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6D94" w14:textId="77777777" w:rsidR="000940E6" w:rsidRDefault="00B90DF7" w:rsidP="00B90DF7">
      <w:pPr>
        <w:pStyle w:val="Title"/>
        <w:spacing w:line="276" w:lineRule="auto"/>
      </w:pPr>
      <w:bookmarkStart w:id="0" w:name="Australian_Product_Information_–"/>
      <w:bookmarkEnd w:id="0"/>
      <w:r>
        <w:t xml:space="preserve">AUSTRALIAN PRODUCT INFORMATION – </w:t>
      </w:r>
      <w:bookmarkStart w:id="1" w:name="Heparin_Interpharma_(Heparin_Sodium)_sol"/>
      <w:bookmarkEnd w:id="1"/>
      <w:r>
        <w:t>HEPARIN</w:t>
      </w:r>
      <w:r>
        <w:rPr>
          <w:spacing w:val="-12"/>
        </w:rPr>
        <w:t xml:space="preserve"> </w:t>
      </w:r>
      <w:r>
        <w:t>INTERPHARMA</w:t>
      </w:r>
      <w:r>
        <w:rPr>
          <w:spacing w:val="-12"/>
        </w:rPr>
        <w:t xml:space="preserve"> </w:t>
      </w:r>
      <w:r>
        <w:t>(HEPARIN</w:t>
      </w:r>
      <w:r>
        <w:rPr>
          <w:spacing w:val="-12"/>
        </w:rPr>
        <w:t xml:space="preserve"> </w:t>
      </w:r>
      <w:r>
        <w:t>SODIUM) SOLUTION FOR INJECTION</w:t>
      </w:r>
    </w:p>
    <w:p w14:paraId="525B9CDC" w14:textId="77777777" w:rsidR="000940E6" w:rsidRDefault="000940E6" w:rsidP="00B90DF7">
      <w:pPr>
        <w:pStyle w:val="BodyText"/>
        <w:spacing w:before="263"/>
        <w:ind w:left="0"/>
        <w:jc w:val="left"/>
        <w:rPr>
          <w:b/>
          <w:sz w:val="36"/>
        </w:rPr>
      </w:pPr>
    </w:p>
    <w:p w14:paraId="1F9D7273" w14:textId="77777777" w:rsidR="000940E6" w:rsidRDefault="00B90DF7" w:rsidP="00B90DF7">
      <w:pPr>
        <w:pStyle w:val="Heading1"/>
        <w:numPr>
          <w:ilvl w:val="0"/>
          <w:numId w:val="1"/>
        </w:numPr>
        <w:tabs>
          <w:tab w:val="left" w:pos="552"/>
        </w:tabs>
        <w:ind w:hanging="432"/>
      </w:pPr>
      <w:bookmarkStart w:id="2" w:name="1_Name_of_the_medicine"/>
      <w:bookmarkEnd w:id="2"/>
      <w:r>
        <w:t>NAME</w:t>
      </w:r>
      <w:r>
        <w:rPr>
          <w:spacing w:val="-3"/>
        </w:rPr>
        <w:t xml:space="preserve"> </w:t>
      </w:r>
      <w:r>
        <w:t>OF</w:t>
      </w:r>
      <w:r>
        <w:rPr>
          <w:spacing w:val="-2"/>
        </w:rPr>
        <w:t xml:space="preserve"> </w:t>
      </w:r>
      <w:r>
        <w:t>THE</w:t>
      </w:r>
      <w:r>
        <w:rPr>
          <w:spacing w:val="-2"/>
        </w:rPr>
        <w:t xml:space="preserve"> MEDICINE</w:t>
      </w:r>
    </w:p>
    <w:p w14:paraId="763C6709" w14:textId="77777777" w:rsidR="000940E6" w:rsidRDefault="00B90DF7" w:rsidP="00B90DF7">
      <w:pPr>
        <w:pStyle w:val="BodyText"/>
        <w:spacing w:before="169"/>
        <w:jc w:val="left"/>
      </w:pPr>
      <w:r>
        <w:t>Heparin</w:t>
      </w:r>
      <w:r>
        <w:rPr>
          <w:spacing w:val="-4"/>
        </w:rPr>
        <w:t xml:space="preserve"> </w:t>
      </w:r>
      <w:r>
        <w:rPr>
          <w:spacing w:val="-2"/>
        </w:rPr>
        <w:t>Sodium</w:t>
      </w:r>
    </w:p>
    <w:p w14:paraId="0649CC7E" w14:textId="77777777" w:rsidR="000940E6" w:rsidRDefault="000940E6" w:rsidP="00B90DF7">
      <w:pPr>
        <w:pStyle w:val="BodyText"/>
        <w:spacing w:before="6"/>
        <w:ind w:left="0"/>
        <w:jc w:val="left"/>
      </w:pPr>
    </w:p>
    <w:p w14:paraId="5836B9F1" w14:textId="77777777" w:rsidR="000940E6" w:rsidRDefault="00B90DF7" w:rsidP="00B90DF7">
      <w:pPr>
        <w:pStyle w:val="Heading1"/>
        <w:numPr>
          <w:ilvl w:val="0"/>
          <w:numId w:val="1"/>
        </w:numPr>
        <w:tabs>
          <w:tab w:val="left" w:pos="552"/>
        </w:tabs>
        <w:ind w:hanging="432"/>
      </w:pPr>
      <w:bookmarkStart w:id="3" w:name="2_Qualitative_and_quantitative_compositi"/>
      <w:bookmarkEnd w:id="3"/>
      <w:r>
        <w:t>QUALITATIVE</w:t>
      </w:r>
      <w:r>
        <w:rPr>
          <w:spacing w:val="-13"/>
        </w:rPr>
        <w:t xml:space="preserve"> </w:t>
      </w:r>
      <w:r>
        <w:t>AND</w:t>
      </w:r>
      <w:r>
        <w:rPr>
          <w:spacing w:val="-9"/>
        </w:rPr>
        <w:t xml:space="preserve"> </w:t>
      </w:r>
      <w:r>
        <w:t>QUANTITATIVE</w:t>
      </w:r>
      <w:r>
        <w:rPr>
          <w:spacing w:val="-8"/>
        </w:rPr>
        <w:t xml:space="preserve"> </w:t>
      </w:r>
      <w:r>
        <w:rPr>
          <w:spacing w:val="-2"/>
        </w:rPr>
        <w:t>COMPOSITION</w:t>
      </w:r>
    </w:p>
    <w:p w14:paraId="468826EC" w14:textId="77777777" w:rsidR="000940E6" w:rsidRDefault="00B90DF7" w:rsidP="00B90DF7">
      <w:pPr>
        <w:pStyle w:val="BodyText"/>
        <w:spacing w:before="167" w:line="379" w:lineRule="auto"/>
        <w:ind w:right="572"/>
        <w:jc w:val="left"/>
      </w:pPr>
      <w:r>
        <w:t>Each</w:t>
      </w:r>
      <w:r>
        <w:rPr>
          <w:spacing w:val="-3"/>
        </w:rPr>
        <w:t xml:space="preserve"> </w:t>
      </w:r>
      <w:r>
        <w:t>pre-filled</w:t>
      </w:r>
      <w:r>
        <w:rPr>
          <w:spacing w:val="-3"/>
        </w:rPr>
        <w:t xml:space="preserve"> </w:t>
      </w:r>
      <w:r>
        <w:t>syringe</w:t>
      </w:r>
      <w:r>
        <w:rPr>
          <w:spacing w:val="-2"/>
        </w:rPr>
        <w:t xml:space="preserve"> </w:t>
      </w:r>
      <w:r>
        <w:t>contains</w:t>
      </w:r>
      <w:r>
        <w:rPr>
          <w:spacing w:val="-3"/>
        </w:rPr>
        <w:t xml:space="preserve"> </w:t>
      </w:r>
      <w:r>
        <w:t>5,000</w:t>
      </w:r>
      <w:r>
        <w:rPr>
          <w:spacing w:val="-3"/>
        </w:rPr>
        <w:t xml:space="preserve"> </w:t>
      </w:r>
      <w:r>
        <w:t>IU</w:t>
      </w:r>
      <w:r>
        <w:rPr>
          <w:spacing w:val="-4"/>
        </w:rPr>
        <w:t xml:space="preserve"> </w:t>
      </w:r>
      <w:r>
        <w:t>heparin</w:t>
      </w:r>
      <w:r>
        <w:rPr>
          <w:spacing w:val="-3"/>
        </w:rPr>
        <w:t xml:space="preserve"> </w:t>
      </w:r>
      <w:r>
        <w:t>sodium</w:t>
      </w:r>
      <w:r>
        <w:rPr>
          <w:spacing w:val="-3"/>
        </w:rPr>
        <w:t xml:space="preserve"> </w:t>
      </w:r>
      <w:r>
        <w:t>from</w:t>
      </w:r>
      <w:r>
        <w:rPr>
          <w:spacing w:val="-3"/>
        </w:rPr>
        <w:t xml:space="preserve"> </w:t>
      </w:r>
      <w:r>
        <w:t>porcine</w:t>
      </w:r>
      <w:r>
        <w:rPr>
          <w:spacing w:val="-4"/>
        </w:rPr>
        <w:t xml:space="preserve"> </w:t>
      </w:r>
      <w:r>
        <w:t>intestinal</w:t>
      </w:r>
      <w:r>
        <w:rPr>
          <w:spacing w:val="-3"/>
        </w:rPr>
        <w:t xml:space="preserve"> </w:t>
      </w:r>
      <w:r>
        <w:t>mucosa. For the full list of excipients, see Section 6.1 List of excipients.</w:t>
      </w:r>
    </w:p>
    <w:p w14:paraId="7049F370" w14:textId="77777777" w:rsidR="000940E6" w:rsidRDefault="00B90DF7" w:rsidP="00B90DF7">
      <w:pPr>
        <w:pStyle w:val="Heading1"/>
        <w:numPr>
          <w:ilvl w:val="0"/>
          <w:numId w:val="1"/>
        </w:numPr>
        <w:tabs>
          <w:tab w:val="left" w:pos="552"/>
        </w:tabs>
        <w:spacing w:before="125"/>
        <w:ind w:hanging="432"/>
      </w:pPr>
      <w:bookmarkStart w:id="4" w:name="3_Pharmaceutical_form"/>
      <w:bookmarkEnd w:id="4"/>
      <w:r>
        <w:t>PHARMACEUTICAL</w:t>
      </w:r>
      <w:r>
        <w:rPr>
          <w:spacing w:val="-11"/>
        </w:rPr>
        <w:t xml:space="preserve"> </w:t>
      </w:r>
      <w:r>
        <w:rPr>
          <w:spacing w:val="-4"/>
        </w:rPr>
        <w:t>FORM</w:t>
      </w:r>
    </w:p>
    <w:p w14:paraId="600D095F" w14:textId="77777777" w:rsidR="000940E6" w:rsidRDefault="00B90DF7" w:rsidP="00B90DF7">
      <w:pPr>
        <w:pStyle w:val="BodyText"/>
        <w:spacing w:before="166"/>
        <w:jc w:val="left"/>
      </w:pPr>
      <w:r>
        <w:t>Clear,</w:t>
      </w:r>
      <w:r>
        <w:rPr>
          <w:spacing w:val="-4"/>
        </w:rPr>
        <w:t xml:space="preserve"> </w:t>
      </w:r>
      <w:r>
        <w:t>colourless</w:t>
      </w:r>
      <w:r>
        <w:rPr>
          <w:spacing w:val="-2"/>
        </w:rPr>
        <w:t xml:space="preserve"> </w:t>
      </w:r>
      <w:r>
        <w:t>solution</w:t>
      </w:r>
      <w:r>
        <w:rPr>
          <w:spacing w:val="-2"/>
        </w:rPr>
        <w:t xml:space="preserve"> </w:t>
      </w:r>
      <w:r>
        <w:t>for</w:t>
      </w:r>
      <w:r>
        <w:rPr>
          <w:spacing w:val="-2"/>
        </w:rPr>
        <w:t xml:space="preserve"> injection.</w:t>
      </w:r>
    </w:p>
    <w:p w14:paraId="6F2D5AC0" w14:textId="77777777" w:rsidR="000940E6" w:rsidRDefault="000940E6" w:rsidP="00B90DF7">
      <w:pPr>
        <w:pStyle w:val="BodyText"/>
        <w:spacing w:before="6"/>
        <w:ind w:left="0"/>
        <w:jc w:val="left"/>
      </w:pPr>
    </w:p>
    <w:p w14:paraId="39FF5E67" w14:textId="77777777" w:rsidR="000940E6" w:rsidRDefault="00B90DF7" w:rsidP="00B90DF7">
      <w:pPr>
        <w:pStyle w:val="Heading1"/>
        <w:numPr>
          <w:ilvl w:val="0"/>
          <w:numId w:val="1"/>
        </w:numPr>
        <w:tabs>
          <w:tab w:val="left" w:pos="552"/>
        </w:tabs>
        <w:ind w:hanging="432"/>
      </w:pPr>
      <w:bookmarkStart w:id="5" w:name="4_Clinical_particulars"/>
      <w:bookmarkEnd w:id="5"/>
      <w:r>
        <w:t>CLINICAL</w:t>
      </w:r>
      <w:r>
        <w:rPr>
          <w:spacing w:val="-7"/>
        </w:rPr>
        <w:t xml:space="preserve"> </w:t>
      </w:r>
      <w:r>
        <w:rPr>
          <w:spacing w:val="-2"/>
        </w:rPr>
        <w:t>PARTICULARS</w:t>
      </w:r>
    </w:p>
    <w:p w14:paraId="14D56991" w14:textId="77777777" w:rsidR="000940E6" w:rsidRDefault="00B90DF7" w:rsidP="00B90DF7">
      <w:pPr>
        <w:pStyle w:val="Heading2"/>
        <w:numPr>
          <w:ilvl w:val="1"/>
          <w:numId w:val="1"/>
        </w:numPr>
        <w:tabs>
          <w:tab w:val="left" w:pos="695"/>
        </w:tabs>
        <w:spacing w:before="248"/>
        <w:ind w:left="695" w:hanging="575"/>
      </w:pPr>
      <w:bookmarkStart w:id="6" w:name="4.1_Therapeutic_indications"/>
      <w:bookmarkEnd w:id="6"/>
      <w:r>
        <w:rPr>
          <w:smallCaps/>
          <w:spacing w:val="-2"/>
        </w:rPr>
        <w:t>Therapeutic</w:t>
      </w:r>
      <w:r>
        <w:rPr>
          <w:smallCaps/>
          <w:spacing w:val="3"/>
        </w:rPr>
        <w:t xml:space="preserve"> </w:t>
      </w:r>
      <w:r>
        <w:rPr>
          <w:smallCaps/>
          <w:spacing w:val="-2"/>
        </w:rPr>
        <w:t>indications</w:t>
      </w:r>
    </w:p>
    <w:p w14:paraId="5A3F927A" w14:textId="77777777" w:rsidR="000940E6" w:rsidRDefault="00B90DF7" w:rsidP="00B90DF7">
      <w:pPr>
        <w:pStyle w:val="BodyText"/>
        <w:ind w:left="180"/>
        <w:jc w:val="left"/>
      </w:pPr>
      <w:r>
        <w:t>Prophylaxis</w:t>
      </w:r>
      <w:r>
        <w:rPr>
          <w:spacing w:val="-2"/>
        </w:rPr>
        <w:t xml:space="preserve"> </w:t>
      </w:r>
      <w:r>
        <w:t>and</w:t>
      </w:r>
      <w:r>
        <w:rPr>
          <w:spacing w:val="-1"/>
        </w:rPr>
        <w:t xml:space="preserve"> </w:t>
      </w:r>
      <w:r>
        <w:t>treatment</w:t>
      </w:r>
      <w:r>
        <w:rPr>
          <w:spacing w:val="-1"/>
        </w:rPr>
        <w:t xml:space="preserve"> </w:t>
      </w:r>
      <w:r>
        <w:t>of</w:t>
      </w:r>
      <w:r>
        <w:rPr>
          <w:spacing w:val="-2"/>
        </w:rPr>
        <w:t xml:space="preserve"> </w:t>
      </w:r>
      <w:r>
        <w:t>deep</w:t>
      </w:r>
      <w:r>
        <w:rPr>
          <w:spacing w:val="-2"/>
        </w:rPr>
        <w:t xml:space="preserve"> </w:t>
      </w:r>
      <w:r>
        <w:t>vein</w:t>
      </w:r>
      <w:r>
        <w:rPr>
          <w:spacing w:val="-1"/>
        </w:rPr>
        <w:t xml:space="preserve"> </w:t>
      </w:r>
      <w:r>
        <w:t>thrombosis</w:t>
      </w:r>
      <w:r>
        <w:rPr>
          <w:spacing w:val="-1"/>
        </w:rPr>
        <w:t xml:space="preserve"> </w:t>
      </w:r>
      <w:r>
        <w:t>for</w:t>
      </w:r>
      <w:r>
        <w:rPr>
          <w:spacing w:val="-2"/>
        </w:rPr>
        <w:t xml:space="preserve"> </w:t>
      </w:r>
      <w:r>
        <w:t>use</w:t>
      </w:r>
      <w:r>
        <w:rPr>
          <w:spacing w:val="-2"/>
        </w:rPr>
        <w:t xml:space="preserve"> </w:t>
      </w:r>
      <w:r>
        <w:t>in</w:t>
      </w:r>
      <w:r>
        <w:rPr>
          <w:spacing w:val="-2"/>
        </w:rPr>
        <w:t xml:space="preserve"> </w:t>
      </w:r>
      <w:r>
        <w:t>patients</w:t>
      </w:r>
      <w:r>
        <w:rPr>
          <w:spacing w:val="-1"/>
        </w:rPr>
        <w:t xml:space="preserve"> </w:t>
      </w:r>
      <w:r>
        <w:t>18</w:t>
      </w:r>
      <w:r>
        <w:rPr>
          <w:spacing w:val="-1"/>
        </w:rPr>
        <w:t xml:space="preserve"> </w:t>
      </w:r>
      <w:r>
        <w:t>years</w:t>
      </w:r>
      <w:r>
        <w:rPr>
          <w:spacing w:val="-1"/>
        </w:rPr>
        <w:t xml:space="preserve"> </w:t>
      </w:r>
      <w:r>
        <w:t>and</w:t>
      </w:r>
      <w:r>
        <w:rPr>
          <w:spacing w:val="-1"/>
        </w:rPr>
        <w:t xml:space="preserve"> </w:t>
      </w:r>
      <w:r>
        <w:rPr>
          <w:spacing w:val="-2"/>
        </w:rPr>
        <w:t>older.</w:t>
      </w:r>
    </w:p>
    <w:p w14:paraId="53E33201" w14:textId="77777777" w:rsidR="000940E6" w:rsidRDefault="00B90DF7" w:rsidP="00B90DF7">
      <w:pPr>
        <w:pStyle w:val="Heading2"/>
        <w:numPr>
          <w:ilvl w:val="1"/>
          <w:numId w:val="1"/>
        </w:numPr>
        <w:tabs>
          <w:tab w:val="left" w:pos="695"/>
        </w:tabs>
        <w:ind w:left="695" w:hanging="575"/>
      </w:pPr>
      <w:bookmarkStart w:id="7" w:name="4.2_Dose_and_method_of_administration"/>
      <w:bookmarkEnd w:id="7"/>
      <w:r>
        <w:rPr>
          <w:smallCaps/>
        </w:rPr>
        <w:t>Dose</w:t>
      </w:r>
      <w:r>
        <w:rPr>
          <w:smallCaps/>
          <w:spacing w:val="-7"/>
        </w:rPr>
        <w:t xml:space="preserve"> </w:t>
      </w:r>
      <w:r>
        <w:rPr>
          <w:smallCaps/>
        </w:rPr>
        <w:t>and</w:t>
      </w:r>
      <w:r>
        <w:rPr>
          <w:smallCaps/>
          <w:spacing w:val="-7"/>
        </w:rPr>
        <w:t xml:space="preserve"> </w:t>
      </w:r>
      <w:r>
        <w:rPr>
          <w:smallCaps/>
        </w:rPr>
        <w:t>method</w:t>
      </w:r>
      <w:r>
        <w:rPr>
          <w:smallCaps/>
          <w:spacing w:val="-6"/>
        </w:rPr>
        <w:t xml:space="preserve"> </w:t>
      </w:r>
      <w:r>
        <w:rPr>
          <w:smallCaps/>
        </w:rPr>
        <w:t>of</w:t>
      </w:r>
      <w:r>
        <w:rPr>
          <w:smallCaps/>
          <w:spacing w:val="-8"/>
        </w:rPr>
        <w:t xml:space="preserve"> </w:t>
      </w:r>
      <w:r>
        <w:rPr>
          <w:smallCaps/>
          <w:spacing w:val="-2"/>
        </w:rPr>
        <w:t>administration</w:t>
      </w:r>
    </w:p>
    <w:p w14:paraId="4E02287A" w14:textId="77777777" w:rsidR="000940E6" w:rsidRDefault="00B90DF7" w:rsidP="00B90DF7">
      <w:pPr>
        <w:pStyle w:val="BodyText"/>
        <w:spacing w:before="160" w:line="276" w:lineRule="auto"/>
        <w:ind w:right="128" w:firstLine="60"/>
        <w:jc w:val="left"/>
      </w:pPr>
      <w:r>
        <w:t>Heparin may be given by intermittent intravenous injection, intravenous infusion or deep subcutaneous injection. It should not be given intramuscularly because of the danger of haematoma formation.</w:t>
      </w:r>
    </w:p>
    <w:p w14:paraId="43D7C189" w14:textId="77777777" w:rsidR="000940E6" w:rsidRDefault="00B90DF7" w:rsidP="00B90DF7">
      <w:pPr>
        <w:pStyle w:val="BodyText"/>
        <w:spacing w:before="119"/>
        <w:jc w:val="left"/>
      </w:pPr>
      <w:r>
        <w:t>A</w:t>
      </w:r>
      <w:r>
        <w:rPr>
          <w:spacing w:val="-4"/>
        </w:rPr>
        <w:t xml:space="preserve"> </w:t>
      </w:r>
      <w:r>
        <w:t>guide</w:t>
      </w:r>
      <w:r>
        <w:rPr>
          <w:spacing w:val="-2"/>
        </w:rPr>
        <w:t xml:space="preserve"> </w:t>
      </w:r>
      <w:r>
        <w:t>to</w:t>
      </w:r>
      <w:r>
        <w:rPr>
          <w:spacing w:val="-1"/>
        </w:rPr>
        <w:t xml:space="preserve"> </w:t>
      </w:r>
      <w:r>
        <w:t>dosage</w:t>
      </w:r>
      <w:r>
        <w:rPr>
          <w:spacing w:val="-2"/>
        </w:rPr>
        <w:t xml:space="preserve"> </w:t>
      </w:r>
      <w:r>
        <w:t>schedules</w:t>
      </w:r>
      <w:r>
        <w:rPr>
          <w:spacing w:val="-1"/>
        </w:rPr>
        <w:t xml:space="preserve"> </w:t>
      </w:r>
      <w:r>
        <w:t>for</w:t>
      </w:r>
      <w:r>
        <w:rPr>
          <w:spacing w:val="-2"/>
        </w:rPr>
        <w:t xml:space="preserve"> </w:t>
      </w:r>
      <w:r>
        <w:t>prophylaxis</w:t>
      </w:r>
      <w:r>
        <w:rPr>
          <w:spacing w:val="-1"/>
        </w:rPr>
        <w:t xml:space="preserve"> </w:t>
      </w:r>
      <w:r>
        <w:t>and</w:t>
      </w:r>
      <w:r>
        <w:rPr>
          <w:spacing w:val="-1"/>
        </w:rPr>
        <w:t xml:space="preserve"> </w:t>
      </w:r>
      <w:r>
        <w:t>treatment</w:t>
      </w:r>
      <w:r>
        <w:rPr>
          <w:spacing w:val="-1"/>
        </w:rPr>
        <w:t xml:space="preserve"> </w:t>
      </w:r>
      <w:r>
        <w:t>is</w:t>
      </w:r>
      <w:r>
        <w:rPr>
          <w:spacing w:val="-1"/>
        </w:rPr>
        <w:t xml:space="preserve"> </w:t>
      </w:r>
      <w:r>
        <w:t>presented</w:t>
      </w:r>
      <w:r>
        <w:rPr>
          <w:spacing w:val="-1"/>
        </w:rPr>
        <w:t xml:space="preserve"> </w:t>
      </w:r>
      <w:r>
        <w:t>in</w:t>
      </w:r>
      <w:r>
        <w:rPr>
          <w:spacing w:val="1"/>
        </w:rPr>
        <w:t xml:space="preserve"> </w:t>
      </w:r>
      <w:r>
        <w:t>Table</w:t>
      </w:r>
      <w:r>
        <w:rPr>
          <w:spacing w:val="-1"/>
        </w:rPr>
        <w:t xml:space="preserve"> </w:t>
      </w:r>
      <w:r>
        <w:rPr>
          <w:spacing w:val="-5"/>
        </w:rPr>
        <w:t>1.</w:t>
      </w:r>
    </w:p>
    <w:p w14:paraId="47289037" w14:textId="77777777" w:rsidR="000940E6" w:rsidRDefault="000940E6" w:rsidP="00B90DF7">
      <w:pPr>
        <w:pStyle w:val="BodyText"/>
        <w:spacing w:before="0"/>
        <w:ind w:left="0"/>
        <w:jc w:val="left"/>
      </w:pPr>
    </w:p>
    <w:p w14:paraId="7A3179F3" w14:textId="77777777" w:rsidR="000940E6" w:rsidRDefault="000940E6" w:rsidP="00B90DF7">
      <w:pPr>
        <w:pStyle w:val="BodyText"/>
        <w:spacing w:before="48"/>
        <w:ind w:left="0"/>
        <w:jc w:val="left"/>
      </w:pPr>
    </w:p>
    <w:p w14:paraId="572055AA" w14:textId="77777777" w:rsidR="000940E6" w:rsidRDefault="00B90DF7" w:rsidP="00B90DF7">
      <w:pPr>
        <w:pStyle w:val="Heading2"/>
        <w:spacing w:before="0" w:after="42"/>
      </w:pPr>
      <w:r>
        <w:t>Table</w:t>
      </w:r>
      <w:r>
        <w:rPr>
          <w:spacing w:val="-5"/>
        </w:rPr>
        <w:t xml:space="preserve"> </w:t>
      </w:r>
      <w:r>
        <w:t>1.</w:t>
      </w:r>
      <w:r>
        <w:rPr>
          <w:spacing w:val="-2"/>
        </w:rPr>
        <w:t xml:space="preserve"> </w:t>
      </w:r>
      <w:r>
        <w:t>Suggested</w:t>
      </w:r>
      <w:r>
        <w:rPr>
          <w:spacing w:val="-2"/>
        </w:rPr>
        <w:t xml:space="preserve"> </w:t>
      </w:r>
      <w:r>
        <w:t>Dosage</w:t>
      </w:r>
      <w:r>
        <w:rPr>
          <w:spacing w:val="-2"/>
        </w:rPr>
        <w:t xml:space="preserve"> </w:t>
      </w:r>
      <w:r>
        <w:t>Schedule</w:t>
      </w:r>
      <w:r>
        <w:rPr>
          <w:spacing w:val="-3"/>
        </w:rPr>
        <w:t xml:space="preserve"> </w:t>
      </w:r>
      <w:r>
        <w:t>for</w:t>
      </w:r>
      <w:r>
        <w:rPr>
          <w:spacing w:val="-3"/>
        </w:rPr>
        <w:t xml:space="preserve"> </w:t>
      </w:r>
      <w:r>
        <w:t>Prophylaxis</w:t>
      </w:r>
      <w:r>
        <w:rPr>
          <w:spacing w:val="-2"/>
        </w:rPr>
        <w:t xml:space="preserve"> </w:t>
      </w:r>
      <w:r>
        <w:t>and</w:t>
      </w:r>
      <w:r>
        <w:rPr>
          <w:spacing w:val="-3"/>
        </w:rPr>
        <w:t xml:space="preserve"> </w:t>
      </w:r>
      <w:r>
        <w:t>Treatment</w:t>
      </w:r>
      <w:r>
        <w:rPr>
          <w:spacing w:val="-3"/>
        </w:rPr>
        <w:t xml:space="preserve"> </w:t>
      </w:r>
      <w:r>
        <w:t>with</w:t>
      </w:r>
      <w:r>
        <w:rPr>
          <w:spacing w:val="-2"/>
        </w:rPr>
        <w:t xml:space="preserve"> </w:t>
      </w:r>
      <w:r>
        <w:t>Heparin</w:t>
      </w:r>
      <w:r>
        <w:rPr>
          <w:spacing w:val="-1"/>
        </w:rPr>
        <w:t xml:space="preserve"> </w:t>
      </w:r>
      <w:r>
        <w:rPr>
          <w:spacing w:val="-2"/>
        </w:rPr>
        <w:t>Sodium</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1843"/>
        <w:gridCol w:w="3931"/>
      </w:tblGrid>
      <w:tr w:rsidR="000940E6" w14:paraId="18BE89C8" w14:textId="77777777">
        <w:trPr>
          <w:trHeight w:val="398"/>
        </w:trPr>
        <w:tc>
          <w:tcPr>
            <w:tcW w:w="3511" w:type="dxa"/>
          </w:tcPr>
          <w:p w14:paraId="0E83344D" w14:textId="77777777" w:rsidR="000940E6" w:rsidRDefault="00B90DF7" w:rsidP="00B90DF7">
            <w:pPr>
              <w:pStyle w:val="TableParagraph"/>
              <w:spacing w:before="84"/>
              <w:rPr>
                <w:sz w:val="20"/>
              </w:rPr>
            </w:pPr>
            <w:r>
              <w:rPr>
                <w:sz w:val="20"/>
              </w:rPr>
              <w:t>Method</w:t>
            </w:r>
            <w:r>
              <w:rPr>
                <w:spacing w:val="-3"/>
                <w:sz w:val="20"/>
              </w:rPr>
              <w:t xml:space="preserve"> </w:t>
            </w:r>
            <w:r>
              <w:rPr>
                <w:sz w:val="20"/>
              </w:rPr>
              <w:t>of</w:t>
            </w:r>
            <w:r>
              <w:rPr>
                <w:spacing w:val="-4"/>
                <w:sz w:val="20"/>
              </w:rPr>
              <w:t xml:space="preserve"> </w:t>
            </w:r>
            <w:r>
              <w:rPr>
                <w:spacing w:val="-2"/>
                <w:sz w:val="20"/>
              </w:rPr>
              <w:t>Administration</w:t>
            </w:r>
          </w:p>
        </w:tc>
        <w:tc>
          <w:tcPr>
            <w:tcW w:w="1843" w:type="dxa"/>
          </w:tcPr>
          <w:p w14:paraId="5A7A23C5" w14:textId="77777777" w:rsidR="000940E6" w:rsidRDefault="00B90DF7" w:rsidP="00B90DF7">
            <w:pPr>
              <w:pStyle w:val="TableParagraph"/>
              <w:spacing w:before="84"/>
              <w:rPr>
                <w:sz w:val="20"/>
              </w:rPr>
            </w:pPr>
            <w:r>
              <w:rPr>
                <w:spacing w:val="-2"/>
                <w:sz w:val="20"/>
              </w:rPr>
              <w:t>Frequency</w:t>
            </w:r>
          </w:p>
        </w:tc>
        <w:tc>
          <w:tcPr>
            <w:tcW w:w="3931" w:type="dxa"/>
          </w:tcPr>
          <w:p w14:paraId="1ABB2671" w14:textId="77777777" w:rsidR="000940E6" w:rsidRDefault="00B90DF7" w:rsidP="00B90DF7">
            <w:pPr>
              <w:pStyle w:val="TableParagraph"/>
              <w:spacing w:before="84"/>
              <w:ind w:left="105"/>
              <w:rPr>
                <w:sz w:val="20"/>
              </w:rPr>
            </w:pPr>
            <w:r>
              <w:rPr>
                <w:sz w:val="20"/>
              </w:rPr>
              <w:t>Recommended</w:t>
            </w:r>
            <w:r>
              <w:rPr>
                <w:spacing w:val="-7"/>
                <w:sz w:val="20"/>
              </w:rPr>
              <w:t xml:space="preserve"> </w:t>
            </w:r>
            <w:r>
              <w:rPr>
                <w:spacing w:val="-4"/>
                <w:sz w:val="20"/>
              </w:rPr>
              <w:t>Dose#</w:t>
            </w:r>
          </w:p>
        </w:tc>
      </w:tr>
      <w:tr w:rsidR="000940E6" w14:paraId="04897A93" w14:textId="77777777">
        <w:trPr>
          <w:trHeight w:val="522"/>
        </w:trPr>
        <w:tc>
          <w:tcPr>
            <w:tcW w:w="3511" w:type="dxa"/>
            <w:shd w:val="clear" w:color="auto" w:fill="D9D9D9"/>
          </w:tcPr>
          <w:p w14:paraId="60B87121" w14:textId="77777777" w:rsidR="000940E6" w:rsidRDefault="00B90DF7" w:rsidP="00B90DF7">
            <w:pPr>
              <w:pStyle w:val="TableParagraph"/>
              <w:spacing w:before="146"/>
              <w:rPr>
                <w:sz w:val="20"/>
              </w:rPr>
            </w:pPr>
            <w:r>
              <w:rPr>
                <w:spacing w:val="-2"/>
                <w:sz w:val="20"/>
              </w:rPr>
              <w:t>Prophylaxis:</w:t>
            </w:r>
          </w:p>
        </w:tc>
        <w:tc>
          <w:tcPr>
            <w:tcW w:w="5774" w:type="dxa"/>
            <w:gridSpan w:val="2"/>
            <w:shd w:val="clear" w:color="auto" w:fill="D9D9D9"/>
          </w:tcPr>
          <w:p w14:paraId="1ED8F707" w14:textId="77777777" w:rsidR="000940E6" w:rsidRDefault="00B90DF7" w:rsidP="00B90DF7">
            <w:pPr>
              <w:pStyle w:val="TableParagraph"/>
              <w:spacing w:before="146"/>
              <w:rPr>
                <w:sz w:val="20"/>
              </w:rPr>
            </w:pPr>
            <w:r>
              <w:rPr>
                <w:sz w:val="20"/>
              </w:rPr>
              <w:t>Subcutaneous</w:t>
            </w:r>
            <w:r>
              <w:rPr>
                <w:spacing w:val="-10"/>
                <w:sz w:val="20"/>
              </w:rPr>
              <w:t xml:space="preserve"> </w:t>
            </w:r>
            <w:r>
              <w:rPr>
                <w:sz w:val="20"/>
              </w:rPr>
              <w:t>Heparin</w:t>
            </w:r>
            <w:r>
              <w:rPr>
                <w:spacing w:val="-7"/>
                <w:sz w:val="20"/>
              </w:rPr>
              <w:t xml:space="preserve"> </w:t>
            </w:r>
            <w:r>
              <w:rPr>
                <w:spacing w:val="-2"/>
                <w:sz w:val="20"/>
              </w:rPr>
              <w:t>Sodium</w:t>
            </w:r>
          </w:p>
        </w:tc>
      </w:tr>
      <w:tr w:rsidR="000940E6" w14:paraId="54509ACE" w14:textId="77777777">
        <w:trPr>
          <w:trHeight w:val="688"/>
        </w:trPr>
        <w:tc>
          <w:tcPr>
            <w:tcW w:w="3511" w:type="dxa"/>
            <w:vMerge w:val="restart"/>
          </w:tcPr>
          <w:p w14:paraId="29300144" w14:textId="77777777" w:rsidR="000940E6" w:rsidRDefault="000940E6" w:rsidP="00B90DF7">
            <w:pPr>
              <w:pStyle w:val="TableParagraph"/>
              <w:spacing w:before="118"/>
              <w:ind w:left="0"/>
              <w:rPr>
                <w:b/>
                <w:sz w:val="20"/>
              </w:rPr>
            </w:pPr>
          </w:p>
          <w:p w14:paraId="31AD5975" w14:textId="77777777" w:rsidR="000940E6" w:rsidRDefault="00B90DF7" w:rsidP="00B90DF7">
            <w:pPr>
              <w:pStyle w:val="TableParagraph"/>
              <w:ind w:right="68"/>
              <w:rPr>
                <w:sz w:val="20"/>
              </w:rPr>
            </w:pPr>
            <w:r>
              <w:rPr>
                <w:sz w:val="20"/>
              </w:rPr>
              <w:t>Deep,</w:t>
            </w:r>
            <w:r>
              <w:rPr>
                <w:spacing w:val="-12"/>
                <w:sz w:val="20"/>
              </w:rPr>
              <w:t xml:space="preserve"> </w:t>
            </w:r>
            <w:r>
              <w:rPr>
                <w:sz w:val="20"/>
              </w:rPr>
              <w:t>subcutaneous</w:t>
            </w:r>
            <w:r>
              <w:rPr>
                <w:spacing w:val="-12"/>
                <w:sz w:val="20"/>
              </w:rPr>
              <w:t xml:space="preserve"> </w:t>
            </w:r>
            <w:r>
              <w:rPr>
                <w:sz w:val="20"/>
              </w:rPr>
              <w:t>(Intra-fat)</w:t>
            </w:r>
            <w:r>
              <w:rPr>
                <w:spacing w:val="-13"/>
                <w:sz w:val="20"/>
              </w:rPr>
              <w:t xml:space="preserve"> </w:t>
            </w:r>
            <w:r>
              <w:rPr>
                <w:sz w:val="20"/>
              </w:rPr>
              <w:t xml:space="preserve">injection. A different site should be used for each injection to prevent the development of </w:t>
            </w:r>
            <w:r>
              <w:rPr>
                <w:spacing w:val="-2"/>
                <w:sz w:val="20"/>
              </w:rPr>
              <w:t>haematoma</w:t>
            </w:r>
          </w:p>
        </w:tc>
        <w:tc>
          <w:tcPr>
            <w:tcW w:w="1843" w:type="dxa"/>
          </w:tcPr>
          <w:p w14:paraId="624DA97B" w14:textId="77777777" w:rsidR="000940E6" w:rsidRDefault="00B90DF7" w:rsidP="00B90DF7">
            <w:pPr>
              <w:pStyle w:val="TableParagraph"/>
              <w:spacing w:before="228"/>
              <w:ind w:left="108"/>
              <w:rPr>
                <w:sz w:val="20"/>
              </w:rPr>
            </w:pPr>
            <w:r>
              <w:rPr>
                <w:sz w:val="20"/>
              </w:rPr>
              <w:t>Initial</w:t>
            </w:r>
            <w:r>
              <w:rPr>
                <w:spacing w:val="-7"/>
                <w:sz w:val="20"/>
              </w:rPr>
              <w:t xml:space="preserve"> </w:t>
            </w:r>
            <w:r>
              <w:rPr>
                <w:spacing w:val="-4"/>
                <w:sz w:val="20"/>
              </w:rPr>
              <w:t>dose</w:t>
            </w:r>
          </w:p>
        </w:tc>
        <w:tc>
          <w:tcPr>
            <w:tcW w:w="3931" w:type="dxa"/>
          </w:tcPr>
          <w:p w14:paraId="586BB491" w14:textId="77777777" w:rsidR="000940E6" w:rsidRDefault="00B90DF7" w:rsidP="00B90DF7">
            <w:pPr>
              <w:pStyle w:val="TableParagraph"/>
              <w:ind w:left="105" w:right="651"/>
              <w:rPr>
                <w:sz w:val="20"/>
              </w:rPr>
            </w:pPr>
            <w:r>
              <w:rPr>
                <w:sz w:val="20"/>
              </w:rPr>
              <w:t>5,000 units by SC injection, Approximately</w:t>
            </w:r>
            <w:r>
              <w:rPr>
                <w:spacing w:val="-13"/>
                <w:sz w:val="20"/>
              </w:rPr>
              <w:t xml:space="preserve"> </w:t>
            </w:r>
            <w:r>
              <w:rPr>
                <w:sz w:val="20"/>
              </w:rPr>
              <w:t>2</w:t>
            </w:r>
            <w:r>
              <w:rPr>
                <w:spacing w:val="-12"/>
                <w:sz w:val="20"/>
              </w:rPr>
              <w:t xml:space="preserve"> </w:t>
            </w:r>
            <w:r>
              <w:rPr>
                <w:sz w:val="20"/>
              </w:rPr>
              <w:t>hours</w:t>
            </w:r>
            <w:r>
              <w:rPr>
                <w:spacing w:val="-13"/>
                <w:sz w:val="20"/>
              </w:rPr>
              <w:t xml:space="preserve"> </w:t>
            </w:r>
            <w:r>
              <w:rPr>
                <w:sz w:val="20"/>
              </w:rPr>
              <w:t>pre-operatively</w:t>
            </w:r>
          </w:p>
          <w:p w14:paraId="36FAF332" w14:textId="77777777" w:rsidR="000940E6" w:rsidRDefault="00B90DF7" w:rsidP="00B90DF7">
            <w:pPr>
              <w:pStyle w:val="TableParagraph"/>
              <w:spacing w:line="208" w:lineRule="exact"/>
              <w:ind w:left="105"/>
              <w:rPr>
                <w:sz w:val="20"/>
              </w:rPr>
            </w:pPr>
            <w:r>
              <w:rPr>
                <w:sz w:val="20"/>
              </w:rPr>
              <w:t>followed</w:t>
            </w:r>
            <w:r>
              <w:rPr>
                <w:spacing w:val="-7"/>
                <w:sz w:val="20"/>
              </w:rPr>
              <w:t xml:space="preserve"> </w:t>
            </w:r>
            <w:r>
              <w:rPr>
                <w:sz w:val="20"/>
              </w:rPr>
              <w:t>by</w:t>
            </w:r>
            <w:r>
              <w:rPr>
                <w:spacing w:val="-6"/>
                <w:sz w:val="20"/>
              </w:rPr>
              <w:t xml:space="preserve"> </w:t>
            </w:r>
            <w:r>
              <w:rPr>
                <w:sz w:val="20"/>
              </w:rPr>
              <w:t>maintenance</w:t>
            </w:r>
            <w:r>
              <w:rPr>
                <w:spacing w:val="-8"/>
                <w:sz w:val="20"/>
              </w:rPr>
              <w:t xml:space="preserve"> </w:t>
            </w:r>
            <w:r>
              <w:rPr>
                <w:spacing w:val="-4"/>
                <w:sz w:val="20"/>
              </w:rPr>
              <w:t>dose</w:t>
            </w:r>
          </w:p>
        </w:tc>
      </w:tr>
      <w:tr w:rsidR="000940E6" w14:paraId="63B67389" w14:textId="77777777">
        <w:trPr>
          <w:trHeight w:val="921"/>
        </w:trPr>
        <w:tc>
          <w:tcPr>
            <w:tcW w:w="3511" w:type="dxa"/>
            <w:vMerge/>
            <w:tcBorders>
              <w:top w:val="nil"/>
            </w:tcBorders>
          </w:tcPr>
          <w:p w14:paraId="334FC247" w14:textId="77777777" w:rsidR="000940E6" w:rsidRDefault="000940E6" w:rsidP="00B90DF7">
            <w:pPr>
              <w:rPr>
                <w:sz w:val="2"/>
                <w:szCs w:val="2"/>
              </w:rPr>
            </w:pPr>
          </w:p>
        </w:tc>
        <w:tc>
          <w:tcPr>
            <w:tcW w:w="1843" w:type="dxa"/>
          </w:tcPr>
          <w:p w14:paraId="15DCF7C9" w14:textId="77777777" w:rsidR="000940E6" w:rsidRDefault="000940E6" w:rsidP="00B90DF7">
            <w:pPr>
              <w:pStyle w:val="TableParagraph"/>
              <w:ind w:left="0"/>
              <w:rPr>
                <w:b/>
                <w:sz w:val="20"/>
              </w:rPr>
            </w:pPr>
          </w:p>
          <w:p w14:paraId="591A9343" w14:textId="77777777" w:rsidR="000940E6" w:rsidRDefault="00B90DF7" w:rsidP="00B90DF7">
            <w:pPr>
              <w:pStyle w:val="TableParagraph"/>
              <w:rPr>
                <w:sz w:val="20"/>
              </w:rPr>
            </w:pPr>
            <w:r>
              <w:rPr>
                <w:sz w:val="20"/>
              </w:rPr>
              <w:t>Maintenance</w:t>
            </w:r>
            <w:r>
              <w:rPr>
                <w:spacing w:val="-10"/>
                <w:sz w:val="20"/>
              </w:rPr>
              <w:t xml:space="preserve"> </w:t>
            </w:r>
            <w:r>
              <w:rPr>
                <w:spacing w:val="-4"/>
                <w:sz w:val="20"/>
              </w:rPr>
              <w:t>dose</w:t>
            </w:r>
          </w:p>
        </w:tc>
        <w:tc>
          <w:tcPr>
            <w:tcW w:w="3931" w:type="dxa"/>
          </w:tcPr>
          <w:p w14:paraId="6B9068D9" w14:textId="77777777" w:rsidR="000940E6" w:rsidRDefault="00B90DF7" w:rsidP="00B90DF7">
            <w:pPr>
              <w:pStyle w:val="TableParagraph"/>
              <w:ind w:left="105"/>
              <w:rPr>
                <w:sz w:val="20"/>
              </w:rPr>
            </w:pPr>
            <w:r>
              <w:rPr>
                <w:spacing w:val="-2"/>
                <w:sz w:val="20"/>
              </w:rPr>
              <w:t>Post-operatively</w:t>
            </w:r>
          </w:p>
          <w:p w14:paraId="1E13422C" w14:textId="77777777" w:rsidR="000940E6" w:rsidRDefault="00B90DF7" w:rsidP="00B90DF7">
            <w:pPr>
              <w:pStyle w:val="TableParagraph"/>
              <w:ind w:left="105"/>
              <w:rPr>
                <w:sz w:val="20"/>
              </w:rPr>
            </w:pPr>
            <w:r>
              <w:rPr>
                <w:sz w:val="20"/>
              </w:rPr>
              <w:t>5,000</w:t>
            </w:r>
            <w:r>
              <w:rPr>
                <w:spacing w:val="-4"/>
                <w:sz w:val="20"/>
              </w:rPr>
              <w:t xml:space="preserve"> </w:t>
            </w:r>
            <w:r>
              <w:rPr>
                <w:sz w:val="20"/>
              </w:rPr>
              <w:t>units</w:t>
            </w:r>
            <w:r>
              <w:rPr>
                <w:spacing w:val="-3"/>
                <w:sz w:val="20"/>
              </w:rPr>
              <w:t xml:space="preserve"> </w:t>
            </w:r>
            <w:r>
              <w:rPr>
                <w:sz w:val="20"/>
              </w:rPr>
              <w:t>by</w:t>
            </w:r>
            <w:r>
              <w:rPr>
                <w:spacing w:val="-4"/>
                <w:sz w:val="20"/>
              </w:rPr>
              <w:t xml:space="preserve"> </w:t>
            </w:r>
            <w:r>
              <w:rPr>
                <w:sz w:val="20"/>
              </w:rPr>
              <w:t>SC</w:t>
            </w:r>
            <w:r>
              <w:rPr>
                <w:spacing w:val="-3"/>
                <w:sz w:val="20"/>
              </w:rPr>
              <w:t xml:space="preserve"> </w:t>
            </w:r>
            <w:r>
              <w:rPr>
                <w:spacing w:val="-2"/>
                <w:sz w:val="20"/>
              </w:rPr>
              <w:t>injection,</w:t>
            </w:r>
          </w:p>
          <w:p w14:paraId="63DE56D7" w14:textId="77777777" w:rsidR="000940E6" w:rsidRDefault="00B90DF7" w:rsidP="00B90DF7">
            <w:pPr>
              <w:pStyle w:val="TableParagraph"/>
              <w:spacing w:line="230" w:lineRule="atLeast"/>
              <w:ind w:left="105"/>
              <w:rPr>
                <w:sz w:val="20"/>
              </w:rPr>
            </w:pPr>
            <w:r>
              <w:rPr>
                <w:sz w:val="20"/>
              </w:rPr>
              <w:t>Every</w:t>
            </w:r>
            <w:r>
              <w:rPr>
                <w:spacing w:val="-6"/>
                <w:sz w:val="20"/>
              </w:rPr>
              <w:t xml:space="preserve"> </w:t>
            </w:r>
            <w:r>
              <w:rPr>
                <w:sz w:val="20"/>
              </w:rPr>
              <w:t>8</w:t>
            </w:r>
            <w:r>
              <w:rPr>
                <w:spacing w:val="-4"/>
                <w:sz w:val="20"/>
              </w:rPr>
              <w:t xml:space="preserve"> </w:t>
            </w:r>
            <w:r>
              <w:rPr>
                <w:sz w:val="20"/>
              </w:rPr>
              <w:t>to</w:t>
            </w:r>
            <w:r>
              <w:rPr>
                <w:spacing w:val="-4"/>
                <w:sz w:val="20"/>
              </w:rPr>
              <w:t xml:space="preserve"> </w:t>
            </w:r>
            <w:r>
              <w:rPr>
                <w:sz w:val="20"/>
              </w:rPr>
              <w:t>12</w:t>
            </w:r>
            <w:r>
              <w:rPr>
                <w:spacing w:val="-4"/>
                <w:sz w:val="20"/>
              </w:rPr>
              <w:t xml:space="preserve"> </w:t>
            </w:r>
            <w:r>
              <w:rPr>
                <w:sz w:val="20"/>
              </w:rPr>
              <w:t>hours</w:t>
            </w:r>
            <w:r>
              <w:rPr>
                <w:spacing w:val="-6"/>
                <w:sz w:val="20"/>
              </w:rPr>
              <w:t xml:space="preserve"> </w:t>
            </w:r>
            <w:r>
              <w:rPr>
                <w:sz w:val="20"/>
              </w:rPr>
              <w:t>until</w:t>
            </w:r>
            <w:r>
              <w:rPr>
                <w:spacing w:val="-5"/>
                <w:sz w:val="20"/>
              </w:rPr>
              <w:t xml:space="preserve"> </w:t>
            </w:r>
            <w:r>
              <w:rPr>
                <w:sz w:val="20"/>
              </w:rPr>
              <w:t>patient</w:t>
            </w:r>
            <w:r>
              <w:rPr>
                <w:spacing w:val="-5"/>
                <w:sz w:val="20"/>
              </w:rPr>
              <w:t xml:space="preserve"> </w:t>
            </w:r>
            <w:r>
              <w:rPr>
                <w:sz w:val="20"/>
              </w:rPr>
              <w:t>mobilises</w:t>
            </w:r>
            <w:r>
              <w:rPr>
                <w:spacing w:val="-5"/>
                <w:sz w:val="20"/>
              </w:rPr>
              <w:t xml:space="preserve"> </w:t>
            </w:r>
            <w:r>
              <w:rPr>
                <w:sz w:val="20"/>
              </w:rPr>
              <w:t>or until adequate vitamin K antagonist activity</w:t>
            </w:r>
          </w:p>
        </w:tc>
      </w:tr>
    </w:tbl>
    <w:p w14:paraId="697B2B27" w14:textId="77777777" w:rsidR="000940E6" w:rsidRDefault="000940E6" w:rsidP="00B90DF7">
      <w:pPr>
        <w:spacing w:line="230" w:lineRule="atLeast"/>
        <w:rPr>
          <w:sz w:val="20"/>
        </w:rPr>
        <w:sectPr w:rsidR="000940E6">
          <w:headerReference w:type="default" r:id="rId7"/>
          <w:footerReference w:type="default" r:id="rId8"/>
          <w:type w:val="continuous"/>
          <w:pgSz w:w="11910" w:h="16840"/>
          <w:pgMar w:top="1360" w:right="1000" w:bottom="2760" w:left="1320" w:header="0" w:footer="1228" w:gutter="0"/>
          <w:pgNumType w:start="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1843"/>
        <w:gridCol w:w="3931"/>
      </w:tblGrid>
      <w:tr w:rsidR="000940E6" w14:paraId="56058D8A" w14:textId="77777777">
        <w:trPr>
          <w:trHeight w:val="417"/>
        </w:trPr>
        <w:tc>
          <w:tcPr>
            <w:tcW w:w="3511" w:type="dxa"/>
            <w:shd w:val="clear" w:color="auto" w:fill="D9D9D9"/>
          </w:tcPr>
          <w:p w14:paraId="353375F3" w14:textId="77777777" w:rsidR="000940E6" w:rsidRDefault="00B90DF7" w:rsidP="00B90DF7">
            <w:pPr>
              <w:pStyle w:val="TableParagraph"/>
              <w:spacing w:before="94"/>
              <w:rPr>
                <w:sz w:val="20"/>
              </w:rPr>
            </w:pPr>
            <w:r>
              <w:rPr>
                <w:spacing w:val="-2"/>
                <w:sz w:val="20"/>
              </w:rPr>
              <w:lastRenderedPageBreak/>
              <w:t>Treatment:</w:t>
            </w:r>
          </w:p>
        </w:tc>
        <w:tc>
          <w:tcPr>
            <w:tcW w:w="5774" w:type="dxa"/>
            <w:gridSpan w:val="2"/>
            <w:shd w:val="clear" w:color="auto" w:fill="D9D9D9"/>
          </w:tcPr>
          <w:p w14:paraId="1240ABA5" w14:textId="77777777" w:rsidR="000940E6" w:rsidRDefault="00B90DF7" w:rsidP="00B90DF7">
            <w:pPr>
              <w:pStyle w:val="TableParagraph"/>
              <w:spacing w:before="94"/>
              <w:rPr>
                <w:sz w:val="20"/>
              </w:rPr>
            </w:pPr>
            <w:r>
              <w:rPr>
                <w:sz w:val="20"/>
              </w:rPr>
              <w:t>Intravenous</w:t>
            </w:r>
            <w:r>
              <w:rPr>
                <w:spacing w:val="-9"/>
                <w:sz w:val="20"/>
              </w:rPr>
              <w:t xml:space="preserve"> </w:t>
            </w:r>
            <w:r>
              <w:rPr>
                <w:sz w:val="20"/>
              </w:rPr>
              <w:t>Heparin</w:t>
            </w:r>
            <w:r>
              <w:rPr>
                <w:spacing w:val="-6"/>
                <w:sz w:val="20"/>
              </w:rPr>
              <w:t xml:space="preserve"> </w:t>
            </w:r>
            <w:r>
              <w:rPr>
                <w:spacing w:val="-2"/>
                <w:sz w:val="20"/>
              </w:rPr>
              <w:t>Sodium</w:t>
            </w:r>
          </w:p>
        </w:tc>
      </w:tr>
      <w:tr w:rsidR="000940E6" w14:paraId="0242F104" w14:textId="77777777">
        <w:trPr>
          <w:trHeight w:val="494"/>
        </w:trPr>
        <w:tc>
          <w:tcPr>
            <w:tcW w:w="3511" w:type="dxa"/>
            <w:vMerge w:val="restart"/>
          </w:tcPr>
          <w:p w14:paraId="2E13D49B" w14:textId="77777777" w:rsidR="000940E6" w:rsidRDefault="000940E6" w:rsidP="00B90DF7">
            <w:pPr>
              <w:pStyle w:val="TableParagraph"/>
              <w:ind w:left="0"/>
              <w:rPr>
                <w:b/>
                <w:sz w:val="20"/>
              </w:rPr>
            </w:pPr>
          </w:p>
          <w:p w14:paraId="49D0003F" w14:textId="77777777" w:rsidR="000940E6" w:rsidRDefault="000940E6" w:rsidP="00B90DF7">
            <w:pPr>
              <w:pStyle w:val="TableParagraph"/>
              <w:spacing w:before="70"/>
              <w:ind w:left="0"/>
              <w:rPr>
                <w:b/>
                <w:sz w:val="20"/>
              </w:rPr>
            </w:pPr>
          </w:p>
          <w:p w14:paraId="4BA644BB" w14:textId="77777777" w:rsidR="000940E6" w:rsidRDefault="00B90DF7" w:rsidP="00B90DF7">
            <w:pPr>
              <w:pStyle w:val="TableParagraph"/>
              <w:rPr>
                <w:sz w:val="20"/>
              </w:rPr>
            </w:pPr>
            <w:r>
              <w:rPr>
                <w:sz w:val="20"/>
              </w:rPr>
              <w:t>Intermittent</w:t>
            </w:r>
            <w:r>
              <w:rPr>
                <w:spacing w:val="-10"/>
                <w:sz w:val="20"/>
              </w:rPr>
              <w:t xml:space="preserve"> </w:t>
            </w:r>
            <w:r>
              <w:rPr>
                <w:sz w:val="20"/>
              </w:rPr>
              <w:t>intravenous</w:t>
            </w:r>
            <w:r>
              <w:rPr>
                <w:spacing w:val="-10"/>
                <w:sz w:val="20"/>
              </w:rPr>
              <w:t xml:space="preserve"> </w:t>
            </w:r>
            <w:r>
              <w:rPr>
                <w:spacing w:val="-2"/>
                <w:sz w:val="20"/>
              </w:rPr>
              <w:t>injection*</w:t>
            </w:r>
          </w:p>
        </w:tc>
        <w:tc>
          <w:tcPr>
            <w:tcW w:w="1843" w:type="dxa"/>
          </w:tcPr>
          <w:p w14:paraId="44A79D97" w14:textId="77777777" w:rsidR="000940E6" w:rsidRDefault="00B90DF7" w:rsidP="00B90DF7">
            <w:pPr>
              <w:pStyle w:val="TableParagraph"/>
              <w:spacing w:before="132"/>
              <w:ind w:left="108"/>
              <w:rPr>
                <w:sz w:val="20"/>
              </w:rPr>
            </w:pPr>
            <w:r>
              <w:rPr>
                <w:sz w:val="20"/>
              </w:rPr>
              <w:t>Initial</w:t>
            </w:r>
            <w:r>
              <w:rPr>
                <w:spacing w:val="-7"/>
                <w:sz w:val="20"/>
              </w:rPr>
              <w:t xml:space="preserve"> </w:t>
            </w:r>
            <w:r>
              <w:rPr>
                <w:spacing w:val="-4"/>
                <w:sz w:val="20"/>
              </w:rPr>
              <w:t>dose</w:t>
            </w:r>
          </w:p>
        </w:tc>
        <w:tc>
          <w:tcPr>
            <w:tcW w:w="3931" w:type="dxa"/>
          </w:tcPr>
          <w:p w14:paraId="6D5573A8" w14:textId="77777777" w:rsidR="000940E6" w:rsidRDefault="00B90DF7" w:rsidP="00B90DF7">
            <w:pPr>
              <w:pStyle w:val="TableParagraph"/>
              <w:spacing w:before="132"/>
              <w:ind w:left="105"/>
              <w:rPr>
                <w:sz w:val="20"/>
              </w:rPr>
            </w:pPr>
            <w:r>
              <w:rPr>
                <w:sz w:val="20"/>
              </w:rPr>
              <w:t>10,000</w:t>
            </w:r>
            <w:r>
              <w:rPr>
                <w:spacing w:val="-4"/>
                <w:sz w:val="20"/>
              </w:rPr>
              <w:t xml:space="preserve"> </w:t>
            </w:r>
            <w:r>
              <w:rPr>
                <w:spacing w:val="-2"/>
                <w:sz w:val="20"/>
              </w:rPr>
              <w:t>units</w:t>
            </w:r>
          </w:p>
        </w:tc>
      </w:tr>
      <w:tr w:rsidR="000940E6" w14:paraId="460189B6" w14:textId="77777777">
        <w:trPr>
          <w:trHeight w:val="789"/>
        </w:trPr>
        <w:tc>
          <w:tcPr>
            <w:tcW w:w="3511" w:type="dxa"/>
            <w:vMerge/>
            <w:tcBorders>
              <w:top w:val="nil"/>
            </w:tcBorders>
          </w:tcPr>
          <w:p w14:paraId="5D24D907" w14:textId="77777777" w:rsidR="000940E6" w:rsidRDefault="000940E6" w:rsidP="00B90DF7">
            <w:pPr>
              <w:rPr>
                <w:sz w:val="2"/>
                <w:szCs w:val="2"/>
              </w:rPr>
            </w:pPr>
          </w:p>
        </w:tc>
        <w:tc>
          <w:tcPr>
            <w:tcW w:w="1843" w:type="dxa"/>
          </w:tcPr>
          <w:p w14:paraId="69A6D2AF" w14:textId="77777777" w:rsidR="000940E6" w:rsidRDefault="000940E6" w:rsidP="00B90DF7">
            <w:pPr>
              <w:pStyle w:val="TableParagraph"/>
              <w:spacing w:before="51"/>
              <w:ind w:left="0"/>
              <w:rPr>
                <w:b/>
                <w:sz w:val="20"/>
              </w:rPr>
            </w:pPr>
          </w:p>
          <w:p w14:paraId="3FED7F0E" w14:textId="77777777" w:rsidR="000940E6" w:rsidRDefault="00B90DF7" w:rsidP="00B90DF7">
            <w:pPr>
              <w:pStyle w:val="TableParagraph"/>
              <w:rPr>
                <w:sz w:val="20"/>
              </w:rPr>
            </w:pPr>
            <w:r>
              <w:rPr>
                <w:sz w:val="20"/>
              </w:rPr>
              <w:t>Maintenance</w:t>
            </w:r>
            <w:r>
              <w:rPr>
                <w:spacing w:val="-10"/>
                <w:sz w:val="20"/>
              </w:rPr>
              <w:t xml:space="preserve"> </w:t>
            </w:r>
            <w:r>
              <w:rPr>
                <w:spacing w:val="-4"/>
                <w:sz w:val="20"/>
              </w:rPr>
              <w:t>dose</w:t>
            </w:r>
          </w:p>
        </w:tc>
        <w:tc>
          <w:tcPr>
            <w:tcW w:w="3931" w:type="dxa"/>
          </w:tcPr>
          <w:p w14:paraId="1530231E" w14:textId="77777777" w:rsidR="000940E6" w:rsidRDefault="00B90DF7" w:rsidP="00B90DF7">
            <w:pPr>
              <w:pStyle w:val="TableParagraph"/>
              <w:spacing w:before="166"/>
              <w:ind w:left="105"/>
              <w:rPr>
                <w:sz w:val="20"/>
              </w:rPr>
            </w:pPr>
            <w:r>
              <w:rPr>
                <w:sz w:val="20"/>
              </w:rPr>
              <w:t>5,000</w:t>
            </w:r>
            <w:r>
              <w:rPr>
                <w:spacing w:val="-5"/>
                <w:sz w:val="20"/>
              </w:rPr>
              <w:t xml:space="preserve"> </w:t>
            </w:r>
            <w:r>
              <w:rPr>
                <w:sz w:val="20"/>
              </w:rPr>
              <w:t>to</w:t>
            </w:r>
            <w:r>
              <w:rPr>
                <w:spacing w:val="-3"/>
                <w:sz w:val="20"/>
              </w:rPr>
              <w:t xml:space="preserve"> </w:t>
            </w:r>
            <w:r>
              <w:rPr>
                <w:sz w:val="20"/>
              </w:rPr>
              <w:t>10,000</w:t>
            </w:r>
            <w:r>
              <w:rPr>
                <w:spacing w:val="-3"/>
                <w:sz w:val="20"/>
              </w:rPr>
              <w:t xml:space="preserve"> </w:t>
            </w:r>
            <w:r>
              <w:rPr>
                <w:spacing w:val="-4"/>
                <w:sz w:val="20"/>
              </w:rPr>
              <w:t>units</w:t>
            </w:r>
          </w:p>
          <w:p w14:paraId="72BFE001" w14:textId="77777777" w:rsidR="000940E6" w:rsidRDefault="00B90DF7" w:rsidP="00B90DF7">
            <w:pPr>
              <w:pStyle w:val="TableParagraph"/>
              <w:ind w:left="105"/>
              <w:rPr>
                <w:sz w:val="20"/>
              </w:rPr>
            </w:pPr>
            <w:r>
              <w:rPr>
                <w:sz w:val="20"/>
              </w:rPr>
              <w:t>Every</w:t>
            </w:r>
            <w:r>
              <w:rPr>
                <w:spacing w:val="-4"/>
                <w:sz w:val="20"/>
              </w:rPr>
              <w:t xml:space="preserve"> </w:t>
            </w:r>
            <w:r>
              <w:rPr>
                <w:sz w:val="20"/>
              </w:rPr>
              <w:t>4</w:t>
            </w:r>
            <w:r>
              <w:rPr>
                <w:spacing w:val="-1"/>
                <w:sz w:val="20"/>
              </w:rPr>
              <w:t xml:space="preserve"> </w:t>
            </w:r>
            <w:r>
              <w:rPr>
                <w:sz w:val="20"/>
              </w:rPr>
              <w:t>to</w:t>
            </w:r>
            <w:r>
              <w:rPr>
                <w:spacing w:val="-1"/>
                <w:sz w:val="20"/>
              </w:rPr>
              <w:t xml:space="preserve"> </w:t>
            </w:r>
            <w:r>
              <w:rPr>
                <w:sz w:val="20"/>
              </w:rPr>
              <w:t>6</w:t>
            </w:r>
            <w:r>
              <w:rPr>
                <w:spacing w:val="-3"/>
                <w:sz w:val="20"/>
              </w:rPr>
              <w:t xml:space="preserve"> </w:t>
            </w:r>
            <w:r>
              <w:rPr>
                <w:spacing w:val="-2"/>
                <w:sz w:val="20"/>
              </w:rPr>
              <w:t>hours</w:t>
            </w:r>
          </w:p>
        </w:tc>
      </w:tr>
      <w:tr w:rsidR="000940E6" w14:paraId="7A8DD6AE" w14:textId="77777777">
        <w:trPr>
          <w:trHeight w:val="539"/>
        </w:trPr>
        <w:tc>
          <w:tcPr>
            <w:tcW w:w="3511" w:type="dxa"/>
            <w:vMerge w:val="restart"/>
          </w:tcPr>
          <w:p w14:paraId="440CF4FE" w14:textId="77777777" w:rsidR="000940E6" w:rsidRDefault="000940E6" w:rsidP="00B90DF7">
            <w:pPr>
              <w:pStyle w:val="TableParagraph"/>
              <w:spacing w:before="199"/>
              <w:ind w:left="0"/>
              <w:rPr>
                <w:b/>
                <w:sz w:val="20"/>
              </w:rPr>
            </w:pPr>
          </w:p>
          <w:p w14:paraId="401F8100" w14:textId="77777777" w:rsidR="000940E6" w:rsidRDefault="00B90DF7" w:rsidP="00B90DF7">
            <w:pPr>
              <w:pStyle w:val="TableParagraph"/>
              <w:spacing w:before="1"/>
              <w:rPr>
                <w:sz w:val="20"/>
              </w:rPr>
            </w:pPr>
            <w:r>
              <w:rPr>
                <w:sz w:val="20"/>
              </w:rPr>
              <w:t>Continuous</w:t>
            </w:r>
            <w:r>
              <w:rPr>
                <w:spacing w:val="-9"/>
                <w:sz w:val="20"/>
              </w:rPr>
              <w:t xml:space="preserve"> </w:t>
            </w:r>
            <w:r>
              <w:rPr>
                <w:sz w:val="20"/>
              </w:rPr>
              <w:t>intravenous</w:t>
            </w:r>
            <w:r>
              <w:rPr>
                <w:spacing w:val="-8"/>
                <w:sz w:val="20"/>
              </w:rPr>
              <w:t xml:space="preserve"> </w:t>
            </w:r>
            <w:r>
              <w:rPr>
                <w:spacing w:val="-2"/>
                <w:sz w:val="20"/>
              </w:rPr>
              <w:t>infusion*</w:t>
            </w:r>
          </w:p>
        </w:tc>
        <w:tc>
          <w:tcPr>
            <w:tcW w:w="1843" w:type="dxa"/>
          </w:tcPr>
          <w:p w14:paraId="13A4B6D8" w14:textId="77777777" w:rsidR="000940E6" w:rsidRDefault="00B90DF7" w:rsidP="00B90DF7">
            <w:pPr>
              <w:pStyle w:val="TableParagraph"/>
              <w:spacing w:before="156"/>
              <w:rPr>
                <w:sz w:val="20"/>
              </w:rPr>
            </w:pPr>
            <w:r>
              <w:rPr>
                <w:sz w:val="20"/>
              </w:rPr>
              <w:t>Initial</w:t>
            </w:r>
            <w:r>
              <w:rPr>
                <w:spacing w:val="-7"/>
                <w:sz w:val="20"/>
              </w:rPr>
              <w:t xml:space="preserve"> </w:t>
            </w:r>
            <w:r>
              <w:rPr>
                <w:spacing w:val="-4"/>
                <w:sz w:val="20"/>
              </w:rPr>
              <w:t>dose</w:t>
            </w:r>
          </w:p>
        </w:tc>
        <w:tc>
          <w:tcPr>
            <w:tcW w:w="3931" w:type="dxa"/>
          </w:tcPr>
          <w:p w14:paraId="310727C7" w14:textId="77777777" w:rsidR="000940E6" w:rsidRDefault="00B90DF7" w:rsidP="00B90DF7">
            <w:pPr>
              <w:pStyle w:val="TableParagraph"/>
              <w:spacing w:before="156"/>
              <w:ind w:left="105"/>
              <w:rPr>
                <w:sz w:val="20"/>
              </w:rPr>
            </w:pPr>
            <w:r>
              <w:rPr>
                <w:sz w:val="20"/>
              </w:rPr>
              <w:t>5,000</w:t>
            </w:r>
            <w:r>
              <w:rPr>
                <w:spacing w:val="-4"/>
                <w:sz w:val="20"/>
              </w:rPr>
              <w:t xml:space="preserve"> </w:t>
            </w:r>
            <w:r>
              <w:rPr>
                <w:sz w:val="20"/>
              </w:rPr>
              <w:t>IU</w:t>
            </w:r>
            <w:r>
              <w:rPr>
                <w:spacing w:val="-3"/>
                <w:sz w:val="20"/>
              </w:rPr>
              <w:t xml:space="preserve"> </w:t>
            </w:r>
            <w:r>
              <w:rPr>
                <w:sz w:val="20"/>
              </w:rPr>
              <w:t>bolus</w:t>
            </w:r>
            <w:r>
              <w:rPr>
                <w:spacing w:val="-4"/>
                <w:sz w:val="20"/>
              </w:rPr>
              <w:t xml:space="preserve"> dose</w:t>
            </w:r>
          </w:p>
        </w:tc>
      </w:tr>
      <w:tr w:rsidR="000940E6" w14:paraId="3D2A933E" w14:textId="77777777">
        <w:trPr>
          <w:trHeight w:val="542"/>
        </w:trPr>
        <w:tc>
          <w:tcPr>
            <w:tcW w:w="3511" w:type="dxa"/>
            <w:vMerge/>
            <w:tcBorders>
              <w:top w:val="nil"/>
            </w:tcBorders>
          </w:tcPr>
          <w:p w14:paraId="2E71C5CD" w14:textId="77777777" w:rsidR="000940E6" w:rsidRDefault="000940E6" w:rsidP="00B90DF7">
            <w:pPr>
              <w:rPr>
                <w:sz w:val="2"/>
                <w:szCs w:val="2"/>
              </w:rPr>
            </w:pPr>
          </w:p>
        </w:tc>
        <w:tc>
          <w:tcPr>
            <w:tcW w:w="1843" w:type="dxa"/>
          </w:tcPr>
          <w:p w14:paraId="5DBE1539" w14:textId="77777777" w:rsidR="000940E6" w:rsidRDefault="00B90DF7" w:rsidP="00B90DF7">
            <w:pPr>
              <w:pStyle w:val="TableParagraph"/>
              <w:spacing w:before="156"/>
              <w:rPr>
                <w:sz w:val="20"/>
              </w:rPr>
            </w:pPr>
            <w:r>
              <w:rPr>
                <w:sz w:val="20"/>
              </w:rPr>
              <w:t>Maintenance</w:t>
            </w:r>
            <w:r>
              <w:rPr>
                <w:spacing w:val="-10"/>
                <w:sz w:val="20"/>
              </w:rPr>
              <w:t xml:space="preserve"> </w:t>
            </w:r>
            <w:r>
              <w:rPr>
                <w:spacing w:val="-4"/>
                <w:sz w:val="20"/>
              </w:rPr>
              <w:t>dose</w:t>
            </w:r>
          </w:p>
        </w:tc>
        <w:tc>
          <w:tcPr>
            <w:tcW w:w="3931" w:type="dxa"/>
          </w:tcPr>
          <w:p w14:paraId="60411E0C" w14:textId="77777777" w:rsidR="000940E6" w:rsidRDefault="00B90DF7" w:rsidP="00B90DF7">
            <w:pPr>
              <w:pStyle w:val="TableParagraph"/>
              <w:spacing w:before="41"/>
              <w:ind w:left="105"/>
              <w:rPr>
                <w:sz w:val="20"/>
              </w:rPr>
            </w:pPr>
            <w:r>
              <w:rPr>
                <w:sz w:val="20"/>
              </w:rPr>
              <w:t>followed</w:t>
            </w:r>
            <w:r>
              <w:rPr>
                <w:spacing w:val="-5"/>
                <w:sz w:val="20"/>
              </w:rPr>
              <w:t xml:space="preserve"> </w:t>
            </w:r>
            <w:r>
              <w:rPr>
                <w:sz w:val="20"/>
              </w:rPr>
              <w:t>by</w:t>
            </w:r>
            <w:r>
              <w:rPr>
                <w:spacing w:val="-5"/>
                <w:sz w:val="20"/>
              </w:rPr>
              <w:t xml:space="preserve"> </w:t>
            </w:r>
            <w:r>
              <w:rPr>
                <w:sz w:val="20"/>
              </w:rPr>
              <w:t>a</w:t>
            </w:r>
            <w:r>
              <w:rPr>
                <w:spacing w:val="-6"/>
                <w:sz w:val="20"/>
              </w:rPr>
              <w:t xml:space="preserve"> </w:t>
            </w:r>
            <w:r>
              <w:rPr>
                <w:sz w:val="20"/>
              </w:rPr>
              <w:t>continuous</w:t>
            </w:r>
            <w:r>
              <w:rPr>
                <w:spacing w:val="-7"/>
                <w:sz w:val="20"/>
              </w:rPr>
              <w:t xml:space="preserve"> </w:t>
            </w:r>
            <w:r>
              <w:rPr>
                <w:sz w:val="20"/>
              </w:rPr>
              <w:t>infusion</w:t>
            </w:r>
            <w:r>
              <w:rPr>
                <w:spacing w:val="-5"/>
                <w:sz w:val="20"/>
              </w:rPr>
              <w:t xml:space="preserve"> </w:t>
            </w:r>
            <w:r>
              <w:rPr>
                <w:sz w:val="20"/>
              </w:rPr>
              <w:t>of</w:t>
            </w:r>
            <w:r>
              <w:rPr>
                <w:spacing w:val="-5"/>
                <w:sz w:val="20"/>
              </w:rPr>
              <w:t xml:space="preserve"> </w:t>
            </w:r>
            <w:r>
              <w:rPr>
                <w:sz w:val="20"/>
              </w:rPr>
              <w:t>at</w:t>
            </w:r>
            <w:r>
              <w:rPr>
                <w:spacing w:val="-6"/>
                <w:sz w:val="20"/>
              </w:rPr>
              <w:t xml:space="preserve"> </w:t>
            </w:r>
            <w:r>
              <w:rPr>
                <w:sz w:val="20"/>
              </w:rPr>
              <w:t>least 30,000 IU for the first 24 h</w:t>
            </w:r>
          </w:p>
        </w:tc>
      </w:tr>
      <w:tr w:rsidR="000940E6" w14:paraId="0FEBC581" w14:textId="77777777">
        <w:trPr>
          <w:trHeight w:val="539"/>
        </w:trPr>
        <w:tc>
          <w:tcPr>
            <w:tcW w:w="3511" w:type="dxa"/>
            <w:vMerge w:val="restart"/>
          </w:tcPr>
          <w:p w14:paraId="255F860B" w14:textId="77777777" w:rsidR="000940E6" w:rsidRDefault="000940E6" w:rsidP="00B90DF7">
            <w:pPr>
              <w:pStyle w:val="TableParagraph"/>
              <w:spacing w:before="199"/>
              <w:ind w:left="0"/>
              <w:rPr>
                <w:b/>
                <w:sz w:val="20"/>
              </w:rPr>
            </w:pPr>
          </w:p>
          <w:p w14:paraId="5CA629A3" w14:textId="77777777" w:rsidR="000940E6" w:rsidRDefault="00B90DF7" w:rsidP="00B90DF7">
            <w:pPr>
              <w:pStyle w:val="TableParagraph"/>
              <w:spacing w:before="1"/>
              <w:rPr>
                <w:sz w:val="20"/>
              </w:rPr>
            </w:pPr>
            <w:r>
              <w:rPr>
                <w:sz w:val="20"/>
              </w:rPr>
              <w:t>Weight-adjusted</w:t>
            </w:r>
            <w:r>
              <w:rPr>
                <w:spacing w:val="-8"/>
                <w:sz w:val="20"/>
              </w:rPr>
              <w:t xml:space="preserve"> </w:t>
            </w:r>
            <w:r>
              <w:rPr>
                <w:sz w:val="20"/>
              </w:rPr>
              <w:t>IV</w:t>
            </w:r>
            <w:r>
              <w:rPr>
                <w:spacing w:val="-9"/>
                <w:sz w:val="20"/>
              </w:rPr>
              <w:t xml:space="preserve"> </w:t>
            </w:r>
            <w:r>
              <w:rPr>
                <w:spacing w:val="-2"/>
                <w:sz w:val="20"/>
              </w:rPr>
              <w:t>regimen</w:t>
            </w:r>
          </w:p>
        </w:tc>
        <w:tc>
          <w:tcPr>
            <w:tcW w:w="1843" w:type="dxa"/>
          </w:tcPr>
          <w:p w14:paraId="6D9843A7" w14:textId="77777777" w:rsidR="000940E6" w:rsidRDefault="00B90DF7" w:rsidP="00B90DF7">
            <w:pPr>
              <w:pStyle w:val="TableParagraph"/>
              <w:spacing w:before="153"/>
              <w:ind w:left="108"/>
              <w:rPr>
                <w:sz w:val="20"/>
              </w:rPr>
            </w:pPr>
            <w:r>
              <w:rPr>
                <w:sz w:val="20"/>
              </w:rPr>
              <w:t>Initial</w:t>
            </w:r>
            <w:r>
              <w:rPr>
                <w:spacing w:val="-7"/>
                <w:sz w:val="20"/>
              </w:rPr>
              <w:t xml:space="preserve"> </w:t>
            </w:r>
            <w:r>
              <w:rPr>
                <w:spacing w:val="-4"/>
                <w:sz w:val="20"/>
              </w:rPr>
              <w:t>dose</w:t>
            </w:r>
          </w:p>
        </w:tc>
        <w:tc>
          <w:tcPr>
            <w:tcW w:w="3931" w:type="dxa"/>
          </w:tcPr>
          <w:p w14:paraId="05685E06" w14:textId="77777777" w:rsidR="000940E6" w:rsidRDefault="00B90DF7" w:rsidP="00B90DF7">
            <w:pPr>
              <w:pStyle w:val="TableParagraph"/>
              <w:spacing w:before="153"/>
              <w:ind w:left="105"/>
              <w:rPr>
                <w:sz w:val="20"/>
              </w:rPr>
            </w:pPr>
            <w:r>
              <w:rPr>
                <w:sz w:val="20"/>
              </w:rPr>
              <w:t>80</w:t>
            </w:r>
            <w:r>
              <w:rPr>
                <w:spacing w:val="-2"/>
                <w:sz w:val="20"/>
              </w:rPr>
              <w:t xml:space="preserve"> </w:t>
            </w:r>
            <w:r>
              <w:rPr>
                <w:sz w:val="20"/>
              </w:rPr>
              <w:t>IU/kg</w:t>
            </w:r>
            <w:r>
              <w:rPr>
                <w:spacing w:val="-4"/>
                <w:sz w:val="20"/>
              </w:rPr>
              <w:t xml:space="preserve"> </w:t>
            </w:r>
            <w:r>
              <w:rPr>
                <w:sz w:val="20"/>
              </w:rPr>
              <w:t>bolus</w:t>
            </w:r>
            <w:r>
              <w:rPr>
                <w:spacing w:val="-3"/>
                <w:sz w:val="20"/>
              </w:rPr>
              <w:t xml:space="preserve"> </w:t>
            </w:r>
            <w:r>
              <w:rPr>
                <w:spacing w:val="-4"/>
                <w:sz w:val="20"/>
              </w:rPr>
              <w:t>dose,</w:t>
            </w:r>
          </w:p>
        </w:tc>
      </w:tr>
      <w:tr w:rsidR="000940E6" w14:paraId="07E9FDA4" w14:textId="77777777">
        <w:trPr>
          <w:trHeight w:val="539"/>
        </w:trPr>
        <w:tc>
          <w:tcPr>
            <w:tcW w:w="3511" w:type="dxa"/>
            <w:vMerge/>
            <w:tcBorders>
              <w:top w:val="nil"/>
            </w:tcBorders>
          </w:tcPr>
          <w:p w14:paraId="6304979D" w14:textId="77777777" w:rsidR="000940E6" w:rsidRDefault="000940E6" w:rsidP="00B90DF7">
            <w:pPr>
              <w:rPr>
                <w:sz w:val="2"/>
                <w:szCs w:val="2"/>
              </w:rPr>
            </w:pPr>
          </w:p>
        </w:tc>
        <w:tc>
          <w:tcPr>
            <w:tcW w:w="1843" w:type="dxa"/>
          </w:tcPr>
          <w:p w14:paraId="42395341" w14:textId="77777777" w:rsidR="000940E6" w:rsidRDefault="00B90DF7" w:rsidP="00B90DF7">
            <w:pPr>
              <w:pStyle w:val="TableParagraph"/>
              <w:spacing w:before="154"/>
              <w:rPr>
                <w:sz w:val="20"/>
              </w:rPr>
            </w:pPr>
            <w:r>
              <w:rPr>
                <w:sz w:val="20"/>
              </w:rPr>
              <w:t>Maintenance</w:t>
            </w:r>
            <w:r>
              <w:rPr>
                <w:spacing w:val="-10"/>
                <w:sz w:val="20"/>
              </w:rPr>
              <w:t xml:space="preserve"> </w:t>
            </w:r>
            <w:r>
              <w:rPr>
                <w:spacing w:val="-4"/>
                <w:sz w:val="20"/>
              </w:rPr>
              <w:t>dose</w:t>
            </w:r>
          </w:p>
        </w:tc>
        <w:tc>
          <w:tcPr>
            <w:tcW w:w="3931" w:type="dxa"/>
          </w:tcPr>
          <w:p w14:paraId="2C3BA9B3" w14:textId="77777777" w:rsidR="000940E6" w:rsidRDefault="00B90DF7" w:rsidP="00B90DF7">
            <w:pPr>
              <w:pStyle w:val="TableParagraph"/>
              <w:spacing w:before="154"/>
              <w:ind w:left="105"/>
              <w:rPr>
                <w:sz w:val="20"/>
              </w:rPr>
            </w:pPr>
            <w:r>
              <w:rPr>
                <w:sz w:val="20"/>
              </w:rPr>
              <w:t>followed</w:t>
            </w:r>
            <w:r>
              <w:rPr>
                <w:spacing w:val="-4"/>
                <w:sz w:val="20"/>
              </w:rPr>
              <w:t xml:space="preserve"> </w:t>
            </w:r>
            <w:r>
              <w:rPr>
                <w:sz w:val="20"/>
              </w:rPr>
              <w:t>by</w:t>
            </w:r>
            <w:r>
              <w:rPr>
                <w:spacing w:val="-3"/>
                <w:sz w:val="20"/>
              </w:rPr>
              <w:t xml:space="preserve"> </w:t>
            </w:r>
            <w:r>
              <w:rPr>
                <w:sz w:val="20"/>
              </w:rPr>
              <w:t>18</w:t>
            </w:r>
            <w:r>
              <w:rPr>
                <w:spacing w:val="-5"/>
                <w:sz w:val="20"/>
              </w:rPr>
              <w:t xml:space="preserve"> </w:t>
            </w:r>
            <w:r>
              <w:rPr>
                <w:spacing w:val="-2"/>
                <w:sz w:val="20"/>
              </w:rPr>
              <w:t>IU/kg/h</w:t>
            </w:r>
          </w:p>
        </w:tc>
      </w:tr>
      <w:tr w:rsidR="000940E6" w14:paraId="00A6943B" w14:textId="77777777">
        <w:trPr>
          <w:trHeight w:val="539"/>
        </w:trPr>
        <w:tc>
          <w:tcPr>
            <w:tcW w:w="3511" w:type="dxa"/>
            <w:vMerge w:val="restart"/>
          </w:tcPr>
          <w:p w14:paraId="36B4263D" w14:textId="77777777" w:rsidR="000940E6" w:rsidRDefault="000940E6" w:rsidP="00B90DF7">
            <w:pPr>
              <w:pStyle w:val="TableParagraph"/>
              <w:spacing w:before="168"/>
              <w:ind w:left="0"/>
              <w:rPr>
                <w:b/>
                <w:sz w:val="20"/>
              </w:rPr>
            </w:pPr>
          </w:p>
          <w:p w14:paraId="382BCBB3" w14:textId="77777777" w:rsidR="000940E6" w:rsidRDefault="00B90DF7" w:rsidP="00B90DF7">
            <w:pPr>
              <w:pStyle w:val="TableParagraph"/>
              <w:rPr>
                <w:sz w:val="20"/>
              </w:rPr>
            </w:pPr>
            <w:r>
              <w:rPr>
                <w:sz w:val="20"/>
              </w:rPr>
              <w:t>Intravenous</w:t>
            </w:r>
            <w:r>
              <w:rPr>
                <w:spacing w:val="-10"/>
                <w:sz w:val="20"/>
              </w:rPr>
              <w:t xml:space="preserve"> </w:t>
            </w:r>
            <w:r>
              <w:rPr>
                <w:sz w:val="20"/>
              </w:rPr>
              <w:t>injection</w:t>
            </w:r>
            <w:r>
              <w:rPr>
                <w:spacing w:val="-8"/>
                <w:sz w:val="20"/>
              </w:rPr>
              <w:t xml:space="preserve"> </w:t>
            </w:r>
            <w:r>
              <w:rPr>
                <w:spacing w:val="-4"/>
                <w:sz w:val="20"/>
              </w:rPr>
              <w:t>then</w:t>
            </w:r>
          </w:p>
          <w:p w14:paraId="03326E31" w14:textId="77777777" w:rsidR="000940E6" w:rsidRDefault="00B90DF7" w:rsidP="00B90DF7">
            <w:pPr>
              <w:pStyle w:val="TableParagraph"/>
              <w:spacing w:before="1"/>
              <w:ind w:right="197"/>
              <w:rPr>
                <w:sz w:val="20"/>
              </w:rPr>
            </w:pPr>
            <w:r>
              <w:rPr>
                <w:sz w:val="20"/>
              </w:rPr>
              <w:t>deep,</w:t>
            </w:r>
            <w:r>
              <w:rPr>
                <w:spacing w:val="-12"/>
                <w:sz w:val="20"/>
              </w:rPr>
              <w:t xml:space="preserve"> </w:t>
            </w:r>
            <w:r>
              <w:rPr>
                <w:sz w:val="20"/>
              </w:rPr>
              <w:t>subcutaneous</w:t>
            </w:r>
            <w:r>
              <w:rPr>
                <w:spacing w:val="-12"/>
                <w:sz w:val="20"/>
              </w:rPr>
              <w:t xml:space="preserve"> </w:t>
            </w:r>
            <w:r>
              <w:rPr>
                <w:sz w:val="20"/>
              </w:rPr>
              <w:t>(Intra-fat)</w:t>
            </w:r>
            <w:r>
              <w:rPr>
                <w:spacing w:val="-13"/>
                <w:sz w:val="20"/>
              </w:rPr>
              <w:t xml:space="preserve"> </w:t>
            </w:r>
            <w:r>
              <w:rPr>
                <w:sz w:val="20"/>
              </w:rPr>
              <w:t>injection. A different site should be used for each injection to prevent the</w:t>
            </w:r>
            <w:r>
              <w:rPr>
                <w:spacing w:val="-1"/>
                <w:sz w:val="20"/>
              </w:rPr>
              <w:t xml:space="preserve"> </w:t>
            </w:r>
            <w:r>
              <w:rPr>
                <w:sz w:val="20"/>
              </w:rPr>
              <w:t xml:space="preserve">development of </w:t>
            </w:r>
            <w:r>
              <w:rPr>
                <w:spacing w:val="-2"/>
                <w:sz w:val="20"/>
              </w:rPr>
              <w:t>haematoma</w:t>
            </w:r>
          </w:p>
        </w:tc>
        <w:tc>
          <w:tcPr>
            <w:tcW w:w="1843" w:type="dxa"/>
          </w:tcPr>
          <w:p w14:paraId="40BA1150" w14:textId="77777777" w:rsidR="000940E6" w:rsidRDefault="00B90DF7" w:rsidP="00B90DF7">
            <w:pPr>
              <w:pStyle w:val="TableParagraph"/>
              <w:spacing w:before="154"/>
              <w:ind w:left="108"/>
              <w:rPr>
                <w:sz w:val="20"/>
              </w:rPr>
            </w:pPr>
            <w:r>
              <w:rPr>
                <w:sz w:val="20"/>
              </w:rPr>
              <w:t>Initial</w:t>
            </w:r>
            <w:r>
              <w:rPr>
                <w:spacing w:val="-7"/>
                <w:sz w:val="20"/>
              </w:rPr>
              <w:t xml:space="preserve"> </w:t>
            </w:r>
            <w:r>
              <w:rPr>
                <w:spacing w:val="-4"/>
                <w:sz w:val="20"/>
              </w:rPr>
              <w:t>dose</w:t>
            </w:r>
          </w:p>
        </w:tc>
        <w:tc>
          <w:tcPr>
            <w:tcW w:w="3931" w:type="dxa"/>
          </w:tcPr>
          <w:p w14:paraId="3D36F6CB" w14:textId="77777777" w:rsidR="000940E6" w:rsidRDefault="00B90DF7" w:rsidP="00B90DF7">
            <w:pPr>
              <w:pStyle w:val="TableParagraph"/>
              <w:spacing w:before="41"/>
              <w:ind w:left="105"/>
              <w:rPr>
                <w:sz w:val="20"/>
              </w:rPr>
            </w:pPr>
            <w:r>
              <w:rPr>
                <w:sz w:val="20"/>
              </w:rPr>
              <w:t>5,000</w:t>
            </w:r>
            <w:r>
              <w:rPr>
                <w:spacing w:val="-8"/>
                <w:sz w:val="20"/>
              </w:rPr>
              <w:t xml:space="preserve"> </w:t>
            </w:r>
            <w:r>
              <w:rPr>
                <w:sz w:val="20"/>
              </w:rPr>
              <w:t>units</w:t>
            </w:r>
            <w:r>
              <w:rPr>
                <w:spacing w:val="-8"/>
                <w:sz w:val="20"/>
              </w:rPr>
              <w:t xml:space="preserve"> </w:t>
            </w:r>
            <w:r>
              <w:rPr>
                <w:sz w:val="20"/>
              </w:rPr>
              <w:t>injected</w:t>
            </w:r>
            <w:r>
              <w:rPr>
                <w:spacing w:val="-6"/>
                <w:sz w:val="20"/>
              </w:rPr>
              <w:t xml:space="preserve"> </w:t>
            </w:r>
            <w:r>
              <w:rPr>
                <w:sz w:val="20"/>
              </w:rPr>
              <w:t>IV,</w:t>
            </w:r>
            <w:r>
              <w:rPr>
                <w:spacing w:val="-9"/>
                <w:sz w:val="20"/>
              </w:rPr>
              <w:t xml:space="preserve"> </w:t>
            </w:r>
            <w:r>
              <w:rPr>
                <w:sz w:val="20"/>
              </w:rPr>
              <w:t>followed</w:t>
            </w:r>
            <w:r>
              <w:rPr>
                <w:spacing w:val="-6"/>
                <w:sz w:val="20"/>
              </w:rPr>
              <w:t xml:space="preserve"> </w:t>
            </w:r>
            <w:r>
              <w:rPr>
                <w:sz w:val="20"/>
              </w:rPr>
              <w:t>by maintenance dose</w:t>
            </w:r>
          </w:p>
        </w:tc>
      </w:tr>
      <w:tr w:rsidR="000940E6" w14:paraId="4BD757AB" w14:textId="77777777">
        <w:trPr>
          <w:trHeight w:val="1396"/>
        </w:trPr>
        <w:tc>
          <w:tcPr>
            <w:tcW w:w="3511" w:type="dxa"/>
            <w:vMerge/>
            <w:tcBorders>
              <w:top w:val="nil"/>
            </w:tcBorders>
          </w:tcPr>
          <w:p w14:paraId="11913DAE" w14:textId="77777777" w:rsidR="000940E6" w:rsidRDefault="000940E6" w:rsidP="00B90DF7">
            <w:pPr>
              <w:rPr>
                <w:sz w:val="2"/>
                <w:szCs w:val="2"/>
              </w:rPr>
            </w:pPr>
          </w:p>
        </w:tc>
        <w:tc>
          <w:tcPr>
            <w:tcW w:w="1843" w:type="dxa"/>
          </w:tcPr>
          <w:p w14:paraId="0BF7F011" w14:textId="77777777" w:rsidR="000940E6" w:rsidRDefault="000940E6" w:rsidP="00B90DF7">
            <w:pPr>
              <w:pStyle w:val="TableParagraph"/>
              <w:ind w:left="0"/>
              <w:rPr>
                <w:b/>
                <w:sz w:val="20"/>
              </w:rPr>
            </w:pPr>
          </w:p>
          <w:p w14:paraId="41C16F77" w14:textId="77777777" w:rsidR="000940E6" w:rsidRDefault="000940E6" w:rsidP="00B90DF7">
            <w:pPr>
              <w:pStyle w:val="TableParagraph"/>
              <w:spacing w:before="123"/>
              <w:ind w:left="0"/>
              <w:rPr>
                <w:b/>
                <w:sz w:val="20"/>
              </w:rPr>
            </w:pPr>
          </w:p>
          <w:p w14:paraId="34DDFBAA" w14:textId="77777777" w:rsidR="000940E6" w:rsidRDefault="00B90DF7" w:rsidP="00B90DF7">
            <w:pPr>
              <w:pStyle w:val="TableParagraph"/>
              <w:rPr>
                <w:sz w:val="20"/>
              </w:rPr>
            </w:pPr>
            <w:r>
              <w:rPr>
                <w:sz w:val="20"/>
              </w:rPr>
              <w:t>Maintenance</w:t>
            </w:r>
            <w:r>
              <w:rPr>
                <w:spacing w:val="-10"/>
                <w:sz w:val="20"/>
              </w:rPr>
              <w:t xml:space="preserve"> </w:t>
            </w:r>
            <w:r>
              <w:rPr>
                <w:spacing w:val="-4"/>
                <w:sz w:val="20"/>
              </w:rPr>
              <w:t>dose</w:t>
            </w:r>
          </w:p>
        </w:tc>
        <w:tc>
          <w:tcPr>
            <w:tcW w:w="3931" w:type="dxa"/>
          </w:tcPr>
          <w:p w14:paraId="430C793B" w14:textId="77777777" w:rsidR="000940E6" w:rsidRDefault="000940E6" w:rsidP="00B90DF7">
            <w:pPr>
              <w:pStyle w:val="TableParagraph"/>
              <w:spacing w:before="123"/>
              <w:ind w:left="0"/>
              <w:rPr>
                <w:b/>
                <w:sz w:val="20"/>
              </w:rPr>
            </w:pPr>
          </w:p>
          <w:p w14:paraId="5093A96B" w14:textId="77777777" w:rsidR="000940E6" w:rsidRDefault="00B90DF7" w:rsidP="00B90DF7">
            <w:pPr>
              <w:pStyle w:val="TableParagraph"/>
              <w:spacing w:line="480" w:lineRule="auto"/>
              <w:ind w:left="105" w:right="651"/>
              <w:rPr>
                <w:sz w:val="20"/>
              </w:rPr>
            </w:pPr>
            <w:r>
              <w:rPr>
                <w:sz w:val="20"/>
              </w:rPr>
              <w:t>10,000</w:t>
            </w:r>
            <w:r>
              <w:rPr>
                <w:spacing w:val="-5"/>
                <w:sz w:val="20"/>
              </w:rPr>
              <w:t xml:space="preserve"> </w:t>
            </w:r>
            <w:r>
              <w:rPr>
                <w:sz w:val="20"/>
              </w:rPr>
              <w:t>units</w:t>
            </w:r>
            <w:r>
              <w:rPr>
                <w:spacing w:val="-7"/>
                <w:sz w:val="20"/>
              </w:rPr>
              <w:t xml:space="preserve"> </w:t>
            </w:r>
            <w:r>
              <w:rPr>
                <w:sz w:val="20"/>
              </w:rPr>
              <w:t>SC</w:t>
            </w:r>
            <w:r>
              <w:rPr>
                <w:spacing w:val="-7"/>
                <w:sz w:val="20"/>
              </w:rPr>
              <w:t xml:space="preserve"> </w:t>
            </w:r>
            <w:r>
              <w:rPr>
                <w:sz w:val="20"/>
              </w:rPr>
              <w:t>Every</w:t>
            </w:r>
            <w:r>
              <w:rPr>
                <w:spacing w:val="-5"/>
                <w:sz w:val="20"/>
              </w:rPr>
              <w:t xml:space="preserve"> </w:t>
            </w:r>
            <w:r>
              <w:rPr>
                <w:sz w:val="20"/>
              </w:rPr>
              <w:t>8</w:t>
            </w:r>
            <w:r>
              <w:rPr>
                <w:spacing w:val="-5"/>
                <w:sz w:val="20"/>
              </w:rPr>
              <w:t xml:space="preserve"> </w:t>
            </w:r>
            <w:r>
              <w:rPr>
                <w:sz w:val="20"/>
              </w:rPr>
              <w:t>hours</w:t>
            </w:r>
            <w:r>
              <w:rPr>
                <w:spacing w:val="-9"/>
                <w:sz w:val="20"/>
              </w:rPr>
              <w:t xml:space="preserve"> </w:t>
            </w:r>
            <w:r>
              <w:rPr>
                <w:sz w:val="20"/>
              </w:rPr>
              <w:t>or 15,000 units SC Every 12 hours</w:t>
            </w:r>
          </w:p>
        </w:tc>
      </w:tr>
      <w:tr w:rsidR="000940E6" w14:paraId="212D537C" w14:textId="77777777">
        <w:trPr>
          <w:trHeight w:val="580"/>
        </w:trPr>
        <w:tc>
          <w:tcPr>
            <w:tcW w:w="9285" w:type="dxa"/>
            <w:gridSpan w:val="3"/>
          </w:tcPr>
          <w:p w14:paraId="1F4B273F" w14:textId="77777777" w:rsidR="000940E6" w:rsidRDefault="00B90DF7" w:rsidP="00B90DF7">
            <w:pPr>
              <w:pStyle w:val="TableParagraph"/>
              <w:spacing w:before="60"/>
              <w:rPr>
                <w:sz w:val="20"/>
              </w:rPr>
            </w:pPr>
            <w:r>
              <w:rPr>
                <w:sz w:val="20"/>
              </w:rPr>
              <w:t>*</w:t>
            </w:r>
            <w:r>
              <w:rPr>
                <w:spacing w:val="-4"/>
                <w:sz w:val="20"/>
              </w:rPr>
              <w:t xml:space="preserve"> </w:t>
            </w:r>
            <w:r>
              <w:rPr>
                <w:sz w:val="20"/>
              </w:rPr>
              <w:t>The</w:t>
            </w:r>
            <w:r>
              <w:rPr>
                <w:spacing w:val="-3"/>
                <w:sz w:val="20"/>
              </w:rPr>
              <w:t xml:space="preserve"> </w:t>
            </w:r>
            <w:r>
              <w:rPr>
                <w:sz w:val="20"/>
              </w:rPr>
              <w:t>prefilled</w:t>
            </w:r>
            <w:r>
              <w:rPr>
                <w:spacing w:val="-2"/>
                <w:sz w:val="20"/>
              </w:rPr>
              <w:t xml:space="preserve"> </w:t>
            </w:r>
            <w:r>
              <w:rPr>
                <w:sz w:val="20"/>
              </w:rPr>
              <w:t>syringe</w:t>
            </w:r>
            <w:r>
              <w:rPr>
                <w:spacing w:val="-3"/>
                <w:sz w:val="20"/>
              </w:rPr>
              <w:t xml:space="preserve"> </w:t>
            </w:r>
            <w:r>
              <w:rPr>
                <w:sz w:val="20"/>
              </w:rPr>
              <w:t>is</w:t>
            </w:r>
            <w:r>
              <w:rPr>
                <w:spacing w:val="-4"/>
                <w:sz w:val="20"/>
              </w:rPr>
              <w:t xml:space="preserve"> </w:t>
            </w:r>
            <w:r>
              <w:rPr>
                <w:sz w:val="20"/>
              </w:rPr>
              <w:t>suitable</w:t>
            </w:r>
            <w:r>
              <w:rPr>
                <w:spacing w:val="-3"/>
                <w:sz w:val="20"/>
              </w:rPr>
              <w:t xml:space="preserve"> </w:t>
            </w:r>
            <w:r>
              <w:rPr>
                <w:sz w:val="20"/>
              </w:rPr>
              <w:t>for</w:t>
            </w:r>
            <w:r>
              <w:rPr>
                <w:spacing w:val="-2"/>
                <w:sz w:val="20"/>
              </w:rPr>
              <w:t xml:space="preserve"> </w:t>
            </w:r>
            <w:r>
              <w:rPr>
                <w:sz w:val="20"/>
              </w:rPr>
              <w:t>substances</w:t>
            </w:r>
            <w:r>
              <w:rPr>
                <w:spacing w:val="-4"/>
                <w:sz w:val="20"/>
              </w:rPr>
              <w:t xml:space="preserve"> </w:t>
            </w:r>
            <w:r>
              <w:rPr>
                <w:sz w:val="20"/>
              </w:rPr>
              <w:t>to</w:t>
            </w:r>
            <w:r>
              <w:rPr>
                <w:spacing w:val="-2"/>
                <w:sz w:val="20"/>
              </w:rPr>
              <w:t xml:space="preserve"> </w:t>
            </w:r>
            <w:r>
              <w:rPr>
                <w:sz w:val="20"/>
              </w:rPr>
              <w:t>be</w:t>
            </w:r>
            <w:r>
              <w:rPr>
                <w:spacing w:val="-3"/>
                <w:sz w:val="20"/>
              </w:rPr>
              <w:t xml:space="preserve"> </w:t>
            </w:r>
            <w:r>
              <w:rPr>
                <w:sz w:val="20"/>
              </w:rPr>
              <w:t>administered</w:t>
            </w:r>
            <w:r>
              <w:rPr>
                <w:spacing w:val="-2"/>
                <w:sz w:val="20"/>
              </w:rPr>
              <w:t xml:space="preserve"> </w:t>
            </w:r>
            <w:r>
              <w:rPr>
                <w:sz w:val="20"/>
              </w:rPr>
              <w:t>intravenously.</w:t>
            </w:r>
            <w:r>
              <w:rPr>
                <w:spacing w:val="-2"/>
                <w:sz w:val="20"/>
              </w:rPr>
              <w:t xml:space="preserve"> </w:t>
            </w:r>
            <w:r>
              <w:rPr>
                <w:sz w:val="20"/>
              </w:rPr>
              <w:t>It</w:t>
            </w:r>
            <w:r>
              <w:rPr>
                <w:spacing w:val="-3"/>
                <w:sz w:val="20"/>
              </w:rPr>
              <w:t xml:space="preserve"> </w:t>
            </w:r>
            <w:r>
              <w:rPr>
                <w:sz w:val="20"/>
              </w:rPr>
              <w:t>is</w:t>
            </w:r>
            <w:r>
              <w:rPr>
                <w:spacing w:val="-4"/>
                <w:sz w:val="20"/>
              </w:rPr>
              <w:t xml:space="preserve"> </w:t>
            </w:r>
            <w:r>
              <w:rPr>
                <w:sz w:val="20"/>
              </w:rPr>
              <w:t>intended</w:t>
            </w:r>
            <w:r>
              <w:rPr>
                <w:spacing w:val="-2"/>
                <w:sz w:val="20"/>
              </w:rPr>
              <w:t xml:space="preserve"> </w:t>
            </w:r>
            <w:r>
              <w:rPr>
                <w:sz w:val="20"/>
              </w:rPr>
              <w:t>for</w:t>
            </w:r>
            <w:r>
              <w:rPr>
                <w:spacing w:val="-2"/>
                <w:sz w:val="20"/>
              </w:rPr>
              <w:t xml:space="preserve"> </w:t>
            </w:r>
            <w:r>
              <w:rPr>
                <w:sz w:val="20"/>
              </w:rPr>
              <w:t>use</w:t>
            </w:r>
            <w:r>
              <w:rPr>
                <w:spacing w:val="-3"/>
                <w:sz w:val="20"/>
              </w:rPr>
              <w:t xml:space="preserve"> </w:t>
            </w:r>
            <w:r>
              <w:rPr>
                <w:sz w:val="20"/>
              </w:rPr>
              <w:t>with injection sets specifically manufactured as "needle-less" injection systems.</w:t>
            </w:r>
          </w:p>
        </w:tc>
      </w:tr>
      <w:tr w:rsidR="000940E6" w14:paraId="2FEEC9EB" w14:textId="77777777">
        <w:trPr>
          <w:trHeight w:val="1379"/>
        </w:trPr>
        <w:tc>
          <w:tcPr>
            <w:tcW w:w="9285" w:type="dxa"/>
            <w:gridSpan w:val="3"/>
          </w:tcPr>
          <w:p w14:paraId="62E88D58" w14:textId="77777777" w:rsidR="000940E6" w:rsidRDefault="00B90DF7" w:rsidP="00B90DF7">
            <w:pPr>
              <w:pStyle w:val="TableParagraph"/>
              <w:rPr>
                <w:sz w:val="20"/>
              </w:rPr>
            </w:pPr>
            <w:r>
              <w:rPr>
                <w:sz w:val="20"/>
              </w:rPr>
              <w:t>Source:</w:t>
            </w:r>
            <w:r>
              <w:rPr>
                <w:spacing w:val="-3"/>
                <w:sz w:val="20"/>
              </w:rPr>
              <w:t xml:space="preserve"> </w:t>
            </w:r>
            <w:r>
              <w:rPr>
                <w:sz w:val="20"/>
              </w:rPr>
              <w:t>Adapted</w:t>
            </w:r>
            <w:r>
              <w:rPr>
                <w:spacing w:val="-4"/>
                <w:sz w:val="20"/>
              </w:rPr>
              <w:t xml:space="preserve"> </w:t>
            </w:r>
            <w:r>
              <w:rPr>
                <w:sz w:val="20"/>
              </w:rPr>
              <w:t>from</w:t>
            </w:r>
            <w:r>
              <w:rPr>
                <w:spacing w:val="-4"/>
                <w:sz w:val="20"/>
              </w:rPr>
              <w:t xml:space="preserve"> </w:t>
            </w:r>
            <w:r>
              <w:rPr>
                <w:sz w:val="20"/>
              </w:rPr>
              <w:t>DBL</w:t>
            </w:r>
            <w:r>
              <w:rPr>
                <w:spacing w:val="-2"/>
                <w:sz w:val="20"/>
              </w:rPr>
              <w:t xml:space="preserve"> </w:t>
            </w:r>
            <w:r>
              <w:rPr>
                <w:sz w:val="20"/>
              </w:rPr>
              <w:t>Heparin</w:t>
            </w:r>
            <w:r>
              <w:rPr>
                <w:spacing w:val="-2"/>
                <w:sz w:val="20"/>
              </w:rPr>
              <w:t xml:space="preserve"> </w:t>
            </w:r>
            <w:r>
              <w:rPr>
                <w:sz w:val="20"/>
              </w:rPr>
              <w:t>Sodium</w:t>
            </w:r>
            <w:r>
              <w:rPr>
                <w:spacing w:val="-2"/>
                <w:sz w:val="20"/>
              </w:rPr>
              <w:t xml:space="preserve"> </w:t>
            </w:r>
            <w:r>
              <w:rPr>
                <w:sz w:val="20"/>
              </w:rPr>
              <w:t>Injection,</w:t>
            </w:r>
            <w:r>
              <w:rPr>
                <w:spacing w:val="-2"/>
                <w:sz w:val="20"/>
              </w:rPr>
              <w:t xml:space="preserve"> </w:t>
            </w:r>
            <w:r>
              <w:rPr>
                <w:sz w:val="20"/>
              </w:rPr>
              <w:t>Product</w:t>
            </w:r>
            <w:r>
              <w:rPr>
                <w:spacing w:val="-3"/>
                <w:sz w:val="20"/>
              </w:rPr>
              <w:t xml:space="preserve"> </w:t>
            </w:r>
            <w:r>
              <w:rPr>
                <w:sz w:val="20"/>
              </w:rPr>
              <w:t>Information</w:t>
            </w:r>
            <w:r>
              <w:rPr>
                <w:spacing w:val="-4"/>
                <w:sz w:val="20"/>
              </w:rPr>
              <w:t xml:space="preserve"> </w:t>
            </w:r>
            <w:r>
              <w:rPr>
                <w:sz w:val="20"/>
              </w:rPr>
              <w:t>–</w:t>
            </w:r>
            <w:r>
              <w:rPr>
                <w:spacing w:val="-2"/>
                <w:sz w:val="20"/>
              </w:rPr>
              <w:t xml:space="preserve"> </w:t>
            </w:r>
            <w:r>
              <w:rPr>
                <w:sz w:val="20"/>
              </w:rPr>
              <w:t>Australia,</w:t>
            </w:r>
            <w:r>
              <w:rPr>
                <w:spacing w:val="-2"/>
                <w:sz w:val="20"/>
              </w:rPr>
              <w:t xml:space="preserve"> </w:t>
            </w:r>
            <w:r>
              <w:rPr>
                <w:sz w:val="20"/>
              </w:rPr>
              <w:t>Pfizer,</w:t>
            </w:r>
            <w:r>
              <w:rPr>
                <w:spacing w:val="-2"/>
                <w:sz w:val="20"/>
              </w:rPr>
              <w:t xml:space="preserve"> </w:t>
            </w:r>
            <w:r>
              <w:rPr>
                <w:sz w:val="20"/>
              </w:rPr>
              <w:t>09</w:t>
            </w:r>
            <w:r>
              <w:rPr>
                <w:spacing w:val="-4"/>
                <w:sz w:val="20"/>
              </w:rPr>
              <w:t xml:space="preserve"> </w:t>
            </w:r>
            <w:r>
              <w:rPr>
                <w:sz w:val="20"/>
              </w:rPr>
              <w:t>March</w:t>
            </w:r>
            <w:r>
              <w:rPr>
                <w:spacing w:val="-4"/>
                <w:sz w:val="20"/>
              </w:rPr>
              <w:t xml:space="preserve"> </w:t>
            </w:r>
            <w:r>
              <w:rPr>
                <w:sz w:val="20"/>
              </w:rPr>
              <w:t>2021; B.Braun Product Information, Summary of Product Characteristics, Heparin Sodium Injection PFS, 5,000 IU/</w:t>
            </w:r>
          </w:p>
          <w:p w14:paraId="0E8345E2" w14:textId="77777777" w:rsidR="000940E6" w:rsidRDefault="00B90DF7" w:rsidP="00B90DF7">
            <w:pPr>
              <w:pStyle w:val="TableParagraph"/>
              <w:spacing w:line="229" w:lineRule="exact"/>
              <w:rPr>
                <w:sz w:val="20"/>
              </w:rPr>
            </w:pPr>
            <w:r>
              <w:rPr>
                <w:sz w:val="20"/>
              </w:rPr>
              <w:t>0.5</w:t>
            </w:r>
            <w:r>
              <w:rPr>
                <w:spacing w:val="-1"/>
                <w:sz w:val="20"/>
              </w:rPr>
              <w:t xml:space="preserve"> </w:t>
            </w:r>
            <w:r>
              <w:rPr>
                <w:spacing w:val="-5"/>
                <w:sz w:val="20"/>
              </w:rPr>
              <w:t>mL</w:t>
            </w:r>
          </w:p>
          <w:p w14:paraId="5D1CAB91" w14:textId="77777777" w:rsidR="000940E6" w:rsidRDefault="00B90DF7" w:rsidP="00B90DF7">
            <w:pPr>
              <w:pStyle w:val="TableParagraph"/>
              <w:spacing w:line="230" w:lineRule="atLeast"/>
              <w:ind w:right="271"/>
              <w:rPr>
                <w:sz w:val="20"/>
              </w:rPr>
            </w:pPr>
            <w:r>
              <w:rPr>
                <w:sz w:val="20"/>
              </w:rPr>
              <w:t>Gresele</w:t>
            </w:r>
            <w:r>
              <w:rPr>
                <w:spacing w:val="-3"/>
                <w:sz w:val="20"/>
              </w:rPr>
              <w:t xml:space="preserve"> </w:t>
            </w:r>
            <w:r>
              <w:rPr>
                <w:sz w:val="20"/>
              </w:rPr>
              <w:t>et</w:t>
            </w:r>
            <w:r>
              <w:rPr>
                <w:spacing w:val="-3"/>
                <w:sz w:val="20"/>
              </w:rPr>
              <w:t xml:space="preserve"> </w:t>
            </w:r>
            <w:r>
              <w:rPr>
                <w:sz w:val="20"/>
              </w:rPr>
              <w:t>al</w:t>
            </w:r>
            <w:r>
              <w:rPr>
                <w:spacing w:val="-3"/>
                <w:sz w:val="20"/>
              </w:rPr>
              <w:t xml:space="preserve"> </w:t>
            </w:r>
            <w:r>
              <w:rPr>
                <w:sz w:val="20"/>
              </w:rPr>
              <w:t>(2012)</w:t>
            </w:r>
            <w:r>
              <w:rPr>
                <w:spacing w:val="-2"/>
                <w:sz w:val="20"/>
              </w:rPr>
              <w:t xml:space="preserve"> </w:t>
            </w:r>
            <w:r>
              <w:rPr>
                <w:sz w:val="20"/>
              </w:rPr>
              <w:t>Heparin</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prophylaxis</w:t>
            </w:r>
            <w:r>
              <w:rPr>
                <w:spacing w:val="-4"/>
                <w:sz w:val="20"/>
              </w:rPr>
              <w:t xml:space="preserve"> </w:t>
            </w:r>
            <w:r>
              <w:rPr>
                <w:sz w:val="20"/>
              </w:rPr>
              <w:t>and</w:t>
            </w:r>
            <w:r>
              <w:rPr>
                <w:spacing w:val="-2"/>
                <w:sz w:val="20"/>
              </w:rPr>
              <w:t xml:space="preserve"> </w:t>
            </w:r>
            <w:r>
              <w:rPr>
                <w:sz w:val="20"/>
              </w:rPr>
              <w:t>Treatment</w:t>
            </w:r>
            <w:r>
              <w:rPr>
                <w:spacing w:val="-3"/>
                <w:sz w:val="20"/>
              </w:rPr>
              <w:t xml:space="preserve"> </w:t>
            </w:r>
            <w:r>
              <w:rPr>
                <w:sz w:val="20"/>
              </w:rPr>
              <w:t>of</w:t>
            </w:r>
            <w:r>
              <w:rPr>
                <w:spacing w:val="-2"/>
                <w:sz w:val="20"/>
              </w:rPr>
              <w:t xml:space="preserve"> </w:t>
            </w:r>
            <w:r>
              <w:rPr>
                <w:sz w:val="20"/>
              </w:rPr>
              <w:t>Thrombosis.</w:t>
            </w:r>
            <w:r>
              <w:rPr>
                <w:spacing w:val="40"/>
                <w:sz w:val="20"/>
              </w:rPr>
              <w:t xml:space="preserve"> </w:t>
            </w:r>
            <w:r>
              <w:rPr>
                <w:sz w:val="20"/>
              </w:rPr>
              <w:t>In:</w:t>
            </w:r>
            <w:r>
              <w:rPr>
                <w:spacing w:val="-3"/>
                <w:sz w:val="20"/>
              </w:rPr>
              <w:t xml:space="preserve"> </w:t>
            </w:r>
            <w:r>
              <w:rPr>
                <w:sz w:val="20"/>
              </w:rPr>
              <w:t>Lever</w:t>
            </w:r>
            <w:r>
              <w:rPr>
                <w:spacing w:val="-2"/>
                <w:sz w:val="20"/>
              </w:rPr>
              <w:t xml:space="preserve"> </w:t>
            </w:r>
            <w:r>
              <w:rPr>
                <w:sz w:val="20"/>
              </w:rPr>
              <w:t>et</w:t>
            </w:r>
            <w:r>
              <w:rPr>
                <w:spacing w:val="-3"/>
                <w:sz w:val="20"/>
              </w:rPr>
              <w:t xml:space="preserve"> </w:t>
            </w:r>
            <w:r>
              <w:rPr>
                <w:sz w:val="20"/>
              </w:rPr>
              <w:t>al.</w:t>
            </w:r>
            <w:r>
              <w:rPr>
                <w:spacing w:val="-2"/>
                <w:sz w:val="20"/>
              </w:rPr>
              <w:t xml:space="preserve"> </w:t>
            </w:r>
            <w:r>
              <w:rPr>
                <w:sz w:val="20"/>
              </w:rPr>
              <w:t>(eds.),</w:t>
            </w:r>
            <w:r>
              <w:rPr>
                <w:spacing w:val="-2"/>
                <w:sz w:val="20"/>
              </w:rPr>
              <w:t xml:space="preserve"> </w:t>
            </w:r>
            <w:r>
              <w:rPr>
                <w:sz w:val="20"/>
              </w:rPr>
              <w:t>Heparin</w:t>
            </w:r>
            <w:r>
              <w:rPr>
                <w:spacing w:val="-2"/>
                <w:sz w:val="20"/>
              </w:rPr>
              <w:t xml:space="preserve"> </w:t>
            </w:r>
            <w:r>
              <w:rPr>
                <w:sz w:val="20"/>
              </w:rPr>
              <w:t>- A Century of Progress, Handbook of Experimental Pharmacology 207, DOI 10.1007/978-3-642-23056-1_9, # Springer-Verlag Berlin Heidelberg 2012</w:t>
            </w:r>
          </w:p>
        </w:tc>
      </w:tr>
    </w:tbl>
    <w:p w14:paraId="76C519F4" w14:textId="77777777" w:rsidR="000940E6" w:rsidRDefault="000940E6" w:rsidP="00B90DF7">
      <w:pPr>
        <w:pStyle w:val="BodyText"/>
        <w:spacing w:before="0"/>
        <w:ind w:left="0"/>
        <w:jc w:val="left"/>
        <w:rPr>
          <w:b/>
        </w:rPr>
      </w:pPr>
    </w:p>
    <w:p w14:paraId="0281A0D4" w14:textId="77777777" w:rsidR="000940E6" w:rsidRDefault="000940E6" w:rsidP="00B90DF7">
      <w:pPr>
        <w:pStyle w:val="BodyText"/>
        <w:spacing w:before="29"/>
        <w:ind w:left="0"/>
        <w:jc w:val="left"/>
        <w:rPr>
          <w:b/>
        </w:rPr>
      </w:pPr>
    </w:p>
    <w:p w14:paraId="420389CE" w14:textId="77777777" w:rsidR="000940E6" w:rsidRDefault="00B90DF7" w:rsidP="00B90DF7">
      <w:pPr>
        <w:pStyle w:val="BodyText"/>
        <w:spacing w:before="0"/>
        <w:jc w:val="left"/>
      </w:pPr>
      <w:bookmarkStart w:id="9" w:name="Laboratory_Monitoring_for_Efficacy_and_S"/>
      <w:bookmarkEnd w:id="9"/>
      <w:r>
        <w:rPr>
          <w:u w:val="single"/>
        </w:rPr>
        <w:t>Laboratory</w:t>
      </w:r>
      <w:r>
        <w:rPr>
          <w:spacing w:val="-2"/>
          <w:u w:val="single"/>
        </w:rPr>
        <w:t xml:space="preserve"> </w:t>
      </w:r>
      <w:r>
        <w:rPr>
          <w:u w:val="single"/>
        </w:rPr>
        <w:t>Monitoring</w:t>
      </w:r>
      <w:r>
        <w:rPr>
          <w:spacing w:val="-3"/>
          <w:u w:val="single"/>
        </w:rPr>
        <w:t xml:space="preserve"> </w:t>
      </w:r>
      <w:r>
        <w:rPr>
          <w:u w:val="single"/>
        </w:rPr>
        <w:t>for</w:t>
      </w:r>
      <w:r>
        <w:rPr>
          <w:spacing w:val="-2"/>
          <w:u w:val="single"/>
        </w:rPr>
        <w:t xml:space="preserve"> </w:t>
      </w:r>
      <w:r>
        <w:rPr>
          <w:u w:val="single"/>
        </w:rPr>
        <w:t>Efficacy</w:t>
      </w:r>
      <w:r>
        <w:rPr>
          <w:spacing w:val="-2"/>
          <w:u w:val="single"/>
        </w:rPr>
        <w:t xml:space="preserve"> </w:t>
      </w:r>
      <w:r>
        <w:rPr>
          <w:u w:val="single"/>
        </w:rPr>
        <w:t>and</w:t>
      </w:r>
      <w:r>
        <w:rPr>
          <w:spacing w:val="-2"/>
          <w:u w:val="single"/>
        </w:rPr>
        <w:t xml:space="preserve"> Safety</w:t>
      </w:r>
    </w:p>
    <w:p w14:paraId="1CCA84CC" w14:textId="77777777" w:rsidR="000940E6" w:rsidRDefault="00B90DF7" w:rsidP="00B90DF7">
      <w:pPr>
        <w:pStyle w:val="BodyText"/>
        <w:spacing w:before="163" w:line="276" w:lineRule="auto"/>
        <w:ind w:right="131"/>
        <w:jc w:val="left"/>
      </w:pPr>
      <w:r>
        <w:t>Adjust the dosage of HEPARIN INTERPHARMA according to the patient’s coagulation test results.</w:t>
      </w:r>
      <w:r>
        <w:rPr>
          <w:spacing w:val="5"/>
        </w:rPr>
        <w:t xml:space="preserve"> </w:t>
      </w:r>
      <w:r>
        <w:t>Dosage</w:t>
      </w:r>
      <w:r>
        <w:rPr>
          <w:spacing w:val="7"/>
        </w:rPr>
        <w:t xml:space="preserve"> </w:t>
      </w:r>
      <w:r>
        <w:t>is</w:t>
      </w:r>
      <w:r>
        <w:rPr>
          <w:spacing w:val="10"/>
        </w:rPr>
        <w:t xml:space="preserve"> </w:t>
      </w:r>
      <w:r>
        <w:t>considered</w:t>
      </w:r>
      <w:r>
        <w:rPr>
          <w:spacing w:val="11"/>
        </w:rPr>
        <w:t xml:space="preserve"> </w:t>
      </w:r>
      <w:r>
        <w:t>adequate</w:t>
      </w:r>
      <w:r>
        <w:rPr>
          <w:spacing w:val="9"/>
        </w:rPr>
        <w:t xml:space="preserve"> </w:t>
      </w:r>
      <w:r>
        <w:t>when</w:t>
      </w:r>
      <w:r>
        <w:rPr>
          <w:spacing w:val="10"/>
        </w:rPr>
        <w:t xml:space="preserve"> </w:t>
      </w:r>
      <w:r>
        <w:t>the</w:t>
      </w:r>
      <w:r>
        <w:rPr>
          <w:spacing w:val="10"/>
        </w:rPr>
        <w:t xml:space="preserve"> </w:t>
      </w:r>
      <w:r>
        <w:t>activated</w:t>
      </w:r>
      <w:r>
        <w:rPr>
          <w:spacing w:val="7"/>
        </w:rPr>
        <w:t xml:space="preserve"> </w:t>
      </w:r>
      <w:r>
        <w:t>partial</w:t>
      </w:r>
      <w:r>
        <w:rPr>
          <w:spacing w:val="9"/>
        </w:rPr>
        <w:t xml:space="preserve"> </w:t>
      </w:r>
      <w:r>
        <w:t>thromboplastin</w:t>
      </w:r>
      <w:r>
        <w:rPr>
          <w:spacing w:val="7"/>
        </w:rPr>
        <w:t xml:space="preserve"> </w:t>
      </w:r>
      <w:r>
        <w:t>time</w:t>
      </w:r>
      <w:r>
        <w:rPr>
          <w:spacing w:val="7"/>
        </w:rPr>
        <w:t xml:space="preserve"> </w:t>
      </w:r>
      <w:r>
        <w:t>(aPTT)</w:t>
      </w:r>
      <w:r>
        <w:rPr>
          <w:spacing w:val="10"/>
        </w:rPr>
        <w:t xml:space="preserve"> </w:t>
      </w:r>
      <w:r>
        <w:rPr>
          <w:spacing w:val="-5"/>
        </w:rPr>
        <w:t>is</w:t>
      </w:r>
    </w:p>
    <w:p w14:paraId="2055523D" w14:textId="77777777" w:rsidR="000940E6" w:rsidRDefault="00B90DF7" w:rsidP="00B90DF7">
      <w:pPr>
        <w:pStyle w:val="BodyText"/>
        <w:spacing w:before="0" w:line="276" w:lineRule="auto"/>
        <w:ind w:right="128"/>
        <w:jc w:val="left"/>
      </w:pPr>
      <w:r>
        <w:t>1.5 to 2 times normal or when the whole blood clotting time is elevated approximately 2.5 to 3 times</w:t>
      </w:r>
      <w:r>
        <w:rPr>
          <w:spacing w:val="-2"/>
        </w:rPr>
        <w:t xml:space="preserve"> </w:t>
      </w:r>
      <w:r>
        <w:t>the</w:t>
      </w:r>
      <w:r>
        <w:rPr>
          <w:spacing w:val="-3"/>
        </w:rPr>
        <w:t xml:space="preserve"> </w:t>
      </w:r>
      <w:r>
        <w:t>control value. After</w:t>
      </w:r>
      <w:r>
        <w:rPr>
          <w:spacing w:val="-3"/>
        </w:rPr>
        <w:t xml:space="preserve"> </w:t>
      </w:r>
      <w:r>
        <w:t>deep subcutaneous injections,</w:t>
      </w:r>
      <w:r>
        <w:rPr>
          <w:spacing w:val="-2"/>
        </w:rPr>
        <w:t xml:space="preserve"> </w:t>
      </w:r>
      <w:r>
        <w:t>tests</w:t>
      </w:r>
      <w:r>
        <w:rPr>
          <w:spacing w:val="-2"/>
        </w:rPr>
        <w:t xml:space="preserve"> </w:t>
      </w:r>
      <w:r>
        <w:t>for</w:t>
      </w:r>
      <w:r>
        <w:rPr>
          <w:spacing w:val="-1"/>
        </w:rPr>
        <w:t xml:space="preserve"> </w:t>
      </w:r>
      <w:r>
        <w:t>adequacy</w:t>
      </w:r>
      <w:r>
        <w:rPr>
          <w:spacing w:val="-2"/>
        </w:rPr>
        <w:t xml:space="preserve"> </w:t>
      </w:r>
      <w:r>
        <w:t>of</w:t>
      </w:r>
      <w:r>
        <w:rPr>
          <w:spacing w:val="-3"/>
        </w:rPr>
        <w:t xml:space="preserve"> </w:t>
      </w:r>
      <w:r>
        <w:t>dosage</w:t>
      </w:r>
      <w:r>
        <w:rPr>
          <w:spacing w:val="-1"/>
        </w:rPr>
        <w:t xml:space="preserve"> </w:t>
      </w:r>
      <w:r>
        <w:t>are</w:t>
      </w:r>
      <w:r>
        <w:rPr>
          <w:spacing w:val="-1"/>
        </w:rPr>
        <w:t xml:space="preserve"> </w:t>
      </w:r>
      <w:r>
        <w:t>best performed on samples drawn 4 to 6 hours after the injections.</w:t>
      </w:r>
    </w:p>
    <w:p w14:paraId="0440B69F" w14:textId="77777777" w:rsidR="000940E6" w:rsidRDefault="00B90DF7" w:rsidP="00B90DF7">
      <w:pPr>
        <w:pStyle w:val="BodyText"/>
        <w:spacing w:before="120" w:line="276" w:lineRule="auto"/>
        <w:ind w:right="132"/>
        <w:jc w:val="left"/>
      </w:pPr>
      <w:r>
        <w:t>Periodic</w:t>
      </w:r>
      <w:r>
        <w:rPr>
          <w:spacing w:val="-11"/>
        </w:rPr>
        <w:t xml:space="preserve"> </w:t>
      </w:r>
      <w:r>
        <w:t>platelet</w:t>
      </w:r>
      <w:r>
        <w:rPr>
          <w:spacing w:val="-7"/>
        </w:rPr>
        <w:t xml:space="preserve"> </w:t>
      </w:r>
      <w:r>
        <w:t>counts</w:t>
      </w:r>
      <w:r>
        <w:rPr>
          <w:spacing w:val="-9"/>
        </w:rPr>
        <w:t xml:space="preserve"> </w:t>
      </w:r>
      <w:r>
        <w:t>and</w:t>
      </w:r>
      <w:r>
        <w:rPr>
          <w:spacing w:val="-10"/>
        </w:rPr>
        <w:t xml:space="preserve"> </w:t>
      </w:r>
      <w:r>
        <w:t>haematocrits</w:t>
      </w:r>
      <w:r>
        <w:rPr>
          <w:spacing w:val="-9"/>
        </w:rPr>
        <w:t xml:space="preserve"> </w:t>
      </w:r>
      <w:r>
        <w:t>are</w:t>
      </w:r>
      <w:r>
        <w:rPr>
          <w:spacing w:val="-11"/>
        </w:rPr>
        <w:t xml:space="preserve"> </w:t>
      </w:r>
      <w:r>
        <w:t>recommended</w:t>
      </w:r>
      <w:r>
        <w:rPr>
          <w:spacing w:val="-10"/>
        </w:rPr>
        <w:t xml:space="preserve"> </w:t>
      </w:r>
      <w:r>
        <w:t>during</w:t>
      </w:r>
      <w:r>
        <w:rPr>
          <w:spacing w:val="-10"/>
        </w:rPr>
        <w:t xml:space="preserve"> </w:t>
      </w:r>
      <w:r>
        <w:t>the</w:t>
      </w:r>
      <w:r>
        <w:rPr>
          <w:spacing w:val="-8"/>
        </w:rPr>
        <w:t xml:space="preserve"> </w:t>
      </w:r>
      <w:r>
        <w:t>entire</w:t>
      </w:r>
      <w:r>
        <w:rPr>
          <w:spacing w:val="-11"/>
        </w:rPr>
        <w:t xml:space="preserve"> </w:t>
      </w:r>
      <w:r>
        <w:t>course</w:t>
      </w:r>
      <w:r>
        <w:rPr>
          <w:spacing w:val="-11"/>
        </w:rPr>
        <w:t xml:space="preserve"> </w:t>
      </w:r>
      <w:r>
        <w:t>of</w:t>
      </w:r>
      <w:r>
        <w:rPr>
          <w:spacing w:val="-10"/>
        </w:rPr>
        <w:t xml:space="preserve"> </w:t>
      </w:r>
      <w:r>
        <w:t>HEPARIN INTERPHARMA therapy, regardless of the route of administration.</w:t>
      </w:r>
    </w:p>
    <w:p w14:paraId="41AA97AD" w14:textId="77777777" w:rsidR="000940E6" w:rsidRDefault="00B90DF7" w:rsidP="00B90DF7">
      <w:pPr>
        <w:pStyle w:val="Heading2"/>
        <w:spacing w:before="200"/>
      </w:pPr>
      <w:r>
        <w:t>Use</w:t>
      </w:r>
      <w:r>
        <w:rPr>
          <w:spacing w:val="-2"/>
        </w:rPr>
        <w:t xml:space="preserve"> </w:t>
      </w:r>
      <w:r>
        <w:t>in</w:t>
      </w:r>
      <w:r>
        <w:rPr>
          <w:spacing w:val="-1"/>
        </w:rPr>
        <w:t xml:space="preserve"> </w:t>
      </w:r>
      <w:r>
        <w:t>hepatic</w:t>
      </w:r>
      <w:r>
        <w:rPr>
          <w:spacing w:val="-1"/>
        </w:rPr>
        <w:t xml:space="preserve"> </w:t>
      </w:r>
      <w:r>
        <w:rPr>
          <w:spacing w:val="-2"/>
        </w:rPr>
        <w:t>impairment</w:t>
      </w:r>
    </w:p>
    <w:p w14:paraId="48899E3D" w14:textId="77777777" w:rsidR="000940E6" w:rsidRDefault="00B90DF7" w:rsidP="00B90DF7">
      <w:pPr>
        <w:pStyle w:val="BodyText"/>
        <w:spacing w:line="276" w:lineRule="auto"/>
        <w:ind w:right="132"/>
        <w:jc w:val="left"/>
      </w:pPr>
      <w:r>
        <w:t>Dose</w:t>
      </w:r>
      <w:r>
        <w:rPr>
          <w:spacing w:val="-8"/>
        </w:rPr>
        <w:t xml:space="preserve"> </w:t>
      </w:r>
      <w:r>
        <w:t>adjustment</w:t>
      </w:r>
      <w:r>
        <w:rPr>
          <w:spacing w:val="-7"/>
        </w:rPr>
        <w:t xml:space="preserve"> </w:t>
      </w:r>
      <w:r>
        <w:t>may</w:t>
      </w:r>
      <w:r>
        <w:rPr>
          <w:spacing w:val="-7"/>
        </w:rPr>
        <w:t xml:space="preserve"> </w:t>
      </w:r>
      <w:r>
        <w:t>be</w:t>
      </w:r>
      <w:r>
        <w:rPr>
          <w:spacing w:val="-3"/>
        </w:rPr>
        <w:t xml:space="preserve"> </w:t>
      </w:r>
      <w:r>
        <w:t>needed</w:t>
      </w:r>
      <w:r>
        <w:rPr>
          <w:spacing w:val="-5"/>
        </w:rPr>
        <w:t xml:space="preserve"> </w:t>
      </w:r>
      <w:r>
        <w:t>in</w:t>
      </w:r>
      <w:r>
        <w:rPr>
          <w:spacing w:val="-7"/>
        </w:rPr>
        <w:t xml:space="preserve"> </w:t>
      </w:r>
      <w:r>
        <w:t>patients</w:t>
      </w:r>
      <w:r>
        <w:rPr>
          <w:spacing w:val="-5"/>
        </w:rPr>
        <w:t xml:space="preserve"> </w:t>
      </w:r>
      <w:r>
        <w:t>with</w:t>
      </w:r>
      <w:r>
        <w:rPr>
          <w:spacing w:val="-7"/>
        </w:rPr>
        <w:t xml:space="preserve"> </w:t>
      </w:r>
      <w:r>
        <w:t>hepatic</w:t>
      </w:r>
      <w:r>
        <w:rPr>
          <w:spacing w:val="-8"/>
        </w:rPr>
        <w:t xml:space="preserve"> </w:t>
      </w:r>
      <w:r>
        <w:t>impairment.</w:t>
      </w:r>
      <w:r>
        <w:rPr>
          <w:spacing w:val="-5"/>
        </w:rPr>
        <w:t xml:space="preserve"> </w:t>
      </w:r>
      <w:r>
        <w:t>See</w:t>
      </w:r>
      <w:r>
        <w:rPr>
          <w:spacing w:val="-6"/>
        </w:rPr>
        <w:t xml:space="preserve"> </w:t>
      </w:r>
      <w:r>
        <w:t>also</w:t>
      </w:r>
      <w:r>
        <w:rPr>
          <w:spacing w:val="-7"/>
        </w:rPr>
        <w:t xml:space="preserve"> </w:t>
      </w:r>
      <w:r>
        <w:t>Section</w:t>
      </w:r>
      <w:r>
        <w:rPr>
          <w:spacing w:val="-7"/>
        </w:rPr>
        <w:t xml:space="preserve"> </w:t>
      </w:r>
      <w:r>
        <w:t>4.4</w:t>
      </w:r>
      <w:r>
        <w:rPr>
          <w:spacing w:val="-7"/>
        </w:rPr>
        <w:t xml:space="preserve"> </w:t>
      </w:r>
      <w:r>
        <w:t>Special warnings and precautions for use.</w:t>
      </w:r>
    </w:p>
    <w:p w14:paraId="6288748E" w14:textId="77777777" w:rsidR="000940E6" w:rsidRDefault="000940E6" w:rsidP="00B90DF7">
      <w:pPr>
        <w:spacing w:line="276" w:lineRule="auto"/>
        <w:sectPr w:rsidR="000940E6">
          <w:type w:val="continuous"/>
          <w:pgSz w:w="11910" w:h="16840"/>
          <w:pgMar w:top="1400" w:right="1000" w:bottom="1420" w:left="1320" w:header="0" w:footer="1228" w:gutter="0"/>
          <w:cols w:space="720"/>
        </w:sectPr>
      </w:pPr>
    </w:p>
    <w:p w14:paraId="27EC6918" w14:textId="77777777" w:rsidR="000940E6" w:rsidRDefault="00B90DF7" w:rsidP="00B90DF7">
      <w:pPr>
        <w:pStyle w:val="Heading2"/>
        <w:spacing w:before="63"/>
      </w:pPr>
      <w:r>
        <w:lastRenderedPageBreak/>
        <w:t>Use</w:t>
      </w:r>
      <w:r>
        <w:rPr>
          <w:spacing w:val="-2"/>
        </w:rPr>
        <w:t xml:space="preserve"> </w:t>
      </w:r>
      <w:r>
        <w:t>in</w:t>
      </w:r>
      <w:r>
        <w:rPr>
          <w:spacing w:val="-1"/>
        </w:rPr>
        <w:t xml:space="preserve"> </w:t>
      </w:r>
      <w:r>
        <w:t>renal</w:t>
      </w:r>
      <w:r>
        <w:rPr>
          <w:spacing w:val="-1"/>
        </w:rPr>
        <w:t xml:space="preserve"> </w:t>
      </w:r>
      <w:r>
        <w:rPr>
          <w:spacing w:val="-2"/>
        </w:rPr>
        <w:t>impairment</w:t>
      </w:r>
    </w:p>
    <w:p w14:paraId="33887AB6" w14:textId="77777777" w:rsidR="000940E6" w:rsidRDefault="00B90DF7" w:rsidP="00B90DF7">
      <w:pPr>
        <w:pStyle w:val="BodyText"/>
        <w:spacing w:before="158" w:line="276" w:lineRule="auto"/>
        <w:ind w:right="131"/>
        <w:jc w:val="left"/>
      </w:pPr>
      <w:r>
        <w:t>Dose adjustment may be needed in patients with renal impairment. See also Section 4.4 Special warnings and precautions for use.</w:t>
      </w:r>
    </w:p>
    <w:p w14:paraId="15D86C6A" w14:textId="77777777" w:rsidR="000940E6" w:rsidRDefault="00B90DF7" w:rsidP="00B90DF7">
      <w:pPr>
        <w:pStyle w:val="Heading2"/>
        <w:spacing w:before="203"/>
      </w:pPr>
      <w:r>
        <w:t>Use</w:t>
      </w:r>
      <w:r>
        <w:rPr>
          <w:spacing w:val="-2"/>
        </w:rPr>
        <w:t xml:space="preserve"> </w:t>
      </w:r>
      <w:r>
        <w:t>in</w:t>
      </w:r>
      <w:r>
        <w:rPr>
          <w:spacing w:val="-1"/>
        </w:rPr>
        <w:t xml:space="preserve"> </w:t>
      </w:r>
      <w:r>
        <w:t>the</w:t>
      </w:r>
      <w:r>
        <w:rPr>
          <w:spacing w:val="-1"/>
        </w:rPr>
        <w:t xml:space="preserve"> </w:t>
      </w:r>
      <w:r>
        <w:rPr>
          <w:spacing w:val="-2"/>
        </w:rPr>
        <w:t>elderly</w:t>
      </w:r>
    </w:p>
    <w:p w14:paraId="2AC3DF3F" w14:textId="77777777" w:rsidR="000940E6" w:rsidRDefault="00B90DF7" w:rsidP="00B90DF7">
      <w:pPr>
        <w:pStyle w:val="BodyText"/>
        <w:spacing w:before="159" w:line="276" w:lineRule="auto"/>
        <w:ind w:right="130"/>
        <w:jc w:val="left"/>
      </w:pPr>
      <w:r>
        <w:t>Dose requirements for heparin might be adjusted in the elderly (patients aged 60 years and over) depending on their individual condition (e.g. kidney function). (See also Section 5.2 Pharmacokinetic properties).</w:t>
      </w:r>
    </w:p>
    <w:p w14:paraId="37584B54" w14:textId="77777777" w:rsidR="000940E6" w:rsidRDefault="00B90DF7" w:rsidP="00B90DF7">
      <w:pPr>
        <w:pStyle w:val="Heading2"/>
      </w:pPr>
      <w:bookmarkStart w:id="10" w:name="Smokers"/>
      <w:bookmarkEnd w:id="10"/>
      <w:r>
        <w:rPr>
          <w:spacing w:val="-2"/>
        </w:rPr>
        <w:t>Smokers</w:t>
      </w:r>
    </w:p>
    <w:p w14:paraId="514EAE61" w14:textId="77777777" w:rsidR="000940E6" w:rsidRDefault="00B90DF7" w:rsidP="00B90DF7">
      <w:pPr>
        <w:pStyle w:val="BodyText"/>
        <w:spacing w:line="276" w:lineRule="auto"/>
        <w:ind w:right="130"/>
        <w:jc w:val="left"/>
      </w:pPr>
      <w:r>
        <w:t>Depending on the amount of nicotine present in the body dose adjustments might be necessary. Refer also to Section 4.5 Interactions with other medicines and other forms of interactions.</w:t>
      </w:r>
    </w:p>
    <w:p w14:paraId="5284A969" w14:textId="77777777" w:rsidR="000940E6" w:rsidRDefault="00B90DF7" w:rsidP="00B90DF7">
      <w:pPr>
        <w:pStyle w:val="Heading2"/>
        <w:spacing w:before="200"/>
      </w:pPr>
      <w:bookmarkStart w:id="11" w:name="Obese_patients"/>
      <w:bookmarkEnd w:id="11"/>
      <w:r>
        <w:t>Obese</w:t>
      </w:r>
      <w:r>
        <w:rPr>
          <w:spacing w:val="-2"/>
        </w:rPr>
        <w:t xml:space="preserve"> patients</w:t>
      </w:r>
    </w:p>
    <w:p w14:paraId="466409BF" w14:textId="77777777" w:rsidR="000940E6" w:rsidRDefault="00B90DF7" w:rsidP="00B90DF7">
      <w:pPr>
        <w:pStyle w:val="BodyText"/>
        <w:spacing w:line="276" w:lineRule="auto"/>
        <w:ind w:right="129"/>
        <w:jc w:val="left"/>
      </w:pPr>
      <w:r>
        <w:t>Clinical trials suggest that in order to provide sufficient anti-coagulation in morbidly obese patient’s dose adjustment of heparin might be needed. However no specific dosage recommendations can be made.</w:t>
      </w:r>
    </w:p>
    <w:p w14:paraId="06D6ADBF" w14:textId="77777777" w:rsidR="000940E6" w:rsidRDefault="00B90DF7" w:rsidP="00B90DF7">
      <w:pPr>
        <w:pStyle w:val="BodyText"/>
        <w:spacing w:before="118" w:line="278" w:lineRule="auto"/>
        <w:ind w:right="127"/>
        <w:jc w:val="left"/>
      </w:pPr>
      <w:r>
        <w:t>Contains</w:t>
      </w:r>
      <w:r>
        <w:rPr>
          <w:spacing w:val="-7"/>
        </w:rPr>
        <w:t xml:space="preserve"> </w:t>
      </w:r>
      <w:r>
        <w:t>no</w:t>
      </w:r>
      <w:r>
        <w:rPr>
          <w:spacing w:val="-7"/>
        </w:rPr>
        <w:t xml:space="preserve"> </w:t>
      </w:r>
      <w:r>
        <w:t>antimicrobial</w:t>
      </w:r>
      <w:r>
        <w:rPr>
          <w:spacing w:val="-7"/>
        </w:rPr>
        <w:t xml:space="preserve"> </w:t>
      </w:r>
      <w:r>
        <w:t>agent.</w:t>
      </w:r>
      <w:r>
        <w:rPr>
          <w:spacing w:val="-7"/>
        </w:rPr>
        <w:t xml:space="preserve"> </w:t>
      </w:r>
      <w:r>
        <w:t>This</w:t>
      </w:r>
      <w:r>
        <w:rPr>
          <w:spacing w:val="-7"/>
        </w:rPr>
        <w:t xml:space="preserve"> </w:t>
      </w:r>
      <w:r>
        <w:t>is</w:t>
      </w:r>
      <w:r>
        <w:rPr>
          <w:spacing w:val="-9"/>
        </w:rPr>
        <w:t xml:space="preserve"> </w:t>
      </w:r>
      <w:r>
        <w:t>for</w:t>
      </w:r>
      <w:r>
        <w:rPr>
          <w:spacing w:val="-8"/>
        </w:rPr>
        <w:t xml:space="preserve"> </w:t>
      </w:r>
      <w:r>
        <w:t>single</w:t>
      </w:r>
      <w:r>
        <w:rPr>
          <w:spacing w:val="-11"/>
        </w:rPr>
        <w:t xml:space="preserve"> </w:t>
      </w:r>
      <w:r>
        <w:t>use</w:t>
      </w:r>
      <w:r>
        <w:rPr>
          <w:spacing w:val="-8"/>
        </w:rPr>
        <w:t xml:space="preserve"> </w:t>
      </w:r>
      <w:r>
        <w:t>only</w:t>
      </w:r>
      <w:r>
        <w:rPr>
          <w:spacing w:val="-7"/>
        </w:rPr>
        <w:t xml:space="preserve"> </w:t>
      </w:r>
      <w:r>
        <w:t>in</w:t>
      </w:r>
      <w:r>
        <w:rPr>
          <w:spacing w:val="-7"/>
        </w:rPr>
        <w:t xml:space="preserve"> </w:t>
      </w:r>
      <w:r>
        <w:t>a</w:t>
      </w:r>
      <w:r>
        <w:rPr>
          <w:spacing w:val="-8"/>
        </w:rPr>
        <w:t xml:space="preserve"> </w:t>
      </w:r>
      <w:r>
        <w:t>single</w:t>
      </w:r>
      <w:r>
        <w:rPr>
          <w:spacing w:val="-8"/>
        </w:rPr>
        <w:t xml:space="preserve"> </w:t>
      </w:r>
      <w:r>
        <w:t>patient.</w:t>
      </w:r>
      <w:r>
        <w:rPr>
          <w:spacing w:val="-7"/>
        </w:rPr>
        <w:t xml:space="preserve"> </w:t>
      </w:r>
      <w:r>
        <w:t>Any</w:t>
      </w:r>
      <w:r>
        <w:rPr>
          <w:spacing w:val="-7"/>
        </w:rPr>
        <w:t xml:space="preserve"> </w:t>
      </w:r>
      <w:r>
        <w:t>residue</w:t>
      </w:r>
      <w:r>
        <w:rPr>
          <w:spacing w:val="-8"/>
        </w:rPr>
        <w:t xml:space="preserve"> </w:t>
      </w:r>
      <w:r>
        <w:t>should be discarded.</w:t>
      </w:r>
    </w:p>
    <w:p w14:paraId="74D42531" w14:textId="77777777" w:rsidR="000940E6" w:rsidRDefault="00B90DF7" w:rsidP="00B90DF7">
      <w:pPr>
        <w:pStyle w:val="Heading2"/>
        <w:numPr>
          <w:ilvl w:val="1"/>
          <w:numId w:val="1"/>
        </w:numPr>
        <w:tabs>
          <w:tab w:val="left" w:pos="695"/>
        </w:tabs>
        <w:spacing w:before="198"/>
        <w:ind w:left="695" w:hanging="575"/>
      </w:pPr>
      <w:bookmarkStart w:id="12" w:name="4.3_Contraindications"/>
      <w:bookmarkEnd w:id="12"/>
      <w:r>
        <w:rPr>
          <w:smallCaps/>
          <w:spacing w:val="-2"/>
        </w:rPr>
        <w:t>Contraindications</w:t>
      </w:r>
    </w:p>
    <w:p w14:paraId="09A3BA78" w14:textId="77777777" w:rsidR="000940E6" w:rsidRDefault="00B90DF7" w:rsidP="00B90DF7">
      <w:pPr>
        <w:pStyle w:val="BodyText"/>
        <w:spacing w:before="158" w:line="381" w:lineRule="auto"/>
        <w:ind w:right="1663"/>
        <w:jc w:val="left"/>
      </w:pPr>
      <w:r>
        <w:t>Heparin</w:t>
      </w:r>
      <w:r>
        <w:rPr>
          <w:spacing w:val="-3"/>
        </w:rPr>
        <w:t xml:space="preserve"> </w:t>
      </w:r>
      <w:r>
        <w:t>therapy</w:t>
      </w:r>
      <w:r>
        <w:rPr>
          <w:spacing w:val="-3"/>
        </w:rPr>
        <w:t xml:space="preserve"> </w:t>
      </w:r>
      <w:r>
        <w:t>is</w:t>
      </w:r>
      <w:r>
        <w:rPr>
          <w:spacing w:val="-3"/>
        </w:rPr>
        <w:t xml:space="preserve"> </w:t>
      </w:r>
      <w:r>
        <w:t>contraindicated</w:t>
      </w:r>
      <w:r>
        <w:rPr>
          <w:spacing w:val="-3"/>
        </w:rPr>
        <w:t xml:space="preserve"> </w:t>
      </w:r>
      <w:r>
        <w:t>in</w:t>
      </w:r>
      <w:r>
        <w:rPr>
          <w:spacing w:val="-3"/>
        </w:rPr>
        <w:t xml:space="preserve"> </w:t>
      </w:r>
      <w:r>
        <w:t>patients</w:t>
      </w:r>
      <w:r>
        <w:rPr>
          <w:spacing w:val="-3"/>
        </w:rPr>
        <w:t xml:space="preserve"> </w:t>
      </w:r>
      <w:r>
        <w:t>who</w:t>
      </w:r>
      <w:r>
        <w:rPr>
          <w:spacing w:val="-1"/>
        </w:rPr>
        <w:t xml:space="preserve"> </w:t>
      </w:r>
      <w:r>
        <w:t>are</w:t>
      </w:r>
      <w:r>
        <w:rPr>
          <w:spacing w:val="-4"/>
        </w:rPr>
        <w:t xml:space="preserve"> </w:t>
      </w:r>
      <w:r>
        <w:t>hypersensitive</w:t>
      </w:r>
      <w:r>
        <w:rPr>
          <w:spacing w:val="-4"/>
        </w:rPr>
        <w:t xml:space="preserve"> </w:t>
      </w:r>
      <w:r>
        <w:t>to</w:t>
      </w:r>
      <w:r>
        <w:rPr>
          <w:spacing w:val="-3"/>
        </w:rPr>
        <w:t xml:space="preserve"> </w:t>
      </w:r>
      <w:r>
        <w:t>the</w:t>
      </w:r>
      <w:r>
        <w:rPr>
          <w:spacing w:val="-2"/>
        </w:rPr>
        <w:t xml:space="preserve"> </w:t>
      </w:r>
      <w:r>
        <w:t>drug. It should not be used in the following cases:</w:t>
      </w:r>
    </w:p>
    <w:p w14:paraId="69355632" w14:textId="77777777" w:rsidR="000940E6" w:rsidRDefault="00B90DF7" w:rsidP="00B90DF7">
      <w:pPr>
        <w:pStyle w:val="ListParagraph"/>
        <w:numPr>
          <w:ilvl w:val="2"/>
          <w:numId w:val="1"/>
        </w:numPr>
        <w:tabs>
          <w:tab w:val="left" w:pos="840"/>
        </w:tabs>
        <w:spacing w:line="273" w:lineRule="auto"/>
        <w:ind w:right="130"/>
        <w:rPr>
          <w:sz w:val="24"/>
        </w:rPr>
      </w:pPr>
      <w:r>
        <w:rPr>
          <w:sz w:val="24"/>
        </w:rPr>
        <w:t>in the presence of actual or potential haemorrhagic states, e.g. haemophilia, ascorbic acid deficiency, increased capillary fragility, hiatus hernia, neoplasms, retinopathy, bleeding haemorrhoids or other organic lesions likely to bleed;</w:t>
      </w:r>
    </w:p>
    <w:p w14:paraId="3E38BCBE" w14:textId="77777777" w:rsidR="000940E6" w:rsidRDefault="00B90DF7" w:rsidP="00B90DF7">
      <w:pPr>
        <w:pStyle w:val="ListParagraph"/>
        <w:numPr>
          <w:ilvl w:val="2"/>
          <w:numId w:val="1"/>
        </w:numPr>
        <w:tabs>
          <w:tab w:val="left" w:pos="840"/>
        </w:tabs>
        <w:spacing w:before="6" w:line="271" w:lineRule="auto"/>
        <w:ind w:right="133"/>
        <w:rPr>
          <w:sz w:val="24"/>
        </w:rPr>
      </w:pPr>
      <w:r>
        <w:rPr>
          <w:sz w:val="24"/>
        </w:rPr>
        <w:t>with an uncontrollable active bleeding state (see Section 4.4 Special warnings and precautions for use), except when this is due to disseminated intravascular coagulation.</w:t>
      </w:r>
    </w:p>
    <w:p w14:paraId="21AD932D" w14:textId="77777777" w:rsidR="000940E6" w:rsidRDefault="00B90DF7" w:rsidP="00B90DF7">
      <w:pPr>
        <w:pStyle w:val="ListParagraph"/>
        <w:numPr>
          <w:ilvl w:val="2"/>
          <w:numId w:val="1"/>
        </w:numPr>
        <w:tabs>
          <w:tab w:val="left" w:pos="839"/>
        </w:tabs>
        <w:spacing w:before="6"/>
        <w:ind w:left="839"/>
        <w:rPr>
          <w:sz w:val="24"/>
        </w:rPr>
      </w:pPr>
      <w:r>
        <w:rPr>
          <w:sz w:val="24"/>
        </w:rPr>
        <w:t>haemorrhagic</w:t>
      </w:r>
      <w:r>
        <w:rPr>
          <w:spacing w:val="-3"/>
          <w:sz w:val="24"/>
        </w:rPr>
        <w:t xml:space="preserve"> </w:t>
      </w:r>
      <w:r>
        <w:rPr>
          <w:sz w:val="24"/>
        </w:rPr>
        <w:t>vascular</w:t>
      </w:r>
      <w:r>
        <w:rPr>
          <w:spacing w:val="-3"/>
          <w:sz w:val="24"/>
        </w:rPr>
        <w:t xml:space="preserve"> </w:t>
      </w:r>
      <w:r>
        <w:rPr>
          <w:spacing w:val="-2"/>
          <w:sz w:val="24"/>
        </w:rPr>
        <w:t>accident;</w:t>
      </w:r>
    </w:p>
    <w:p w14:paraId="1AF3EA22" w14:textId="77777777" w:rsidR="000940E6" w:rsidRDefault="00B90DF7" w:rsidP="00B90DF7">
      <w:pPr>
        <w:pStyle w:val="ListParagraph"/>
        <w:numPr>
          <w:ilvl w:val="2"/>
          <w:numId w:val="1"/>
        </w:numPr>
        <w:tabs>
          <w:tab w:val="left" w:pos="839"/>
        </w:tabs>
        <w:spacing w:before="42"/>
        <w:ind w:left="839"/>
        <w:rPr>
          <w:sz w:val="24"/>
        </w:rPr>
      </w:pPr>
      <w:r>
        <w:rPr>
          <w:sz w:val="24"/>
        </w:rPr>
        <w:t>threatened</w:t>
      </w:r>
      <w:r>
        <w:rPr>
          <w:spacing w:val="-3"/>
          <w:sz w:val="24"/>
        </w:rPr>
        <w:t xml:space="preserve"> </w:t>
      </w:r>
      <w:r>
        <w:rPr>
          <w:spacing w:val="-2"/>
          <w:sz w:val="24"/>
        </w:rPr>
        <w:t>abortion;</w:t>
      </w:r>
    </w:p>
    <w:p w14:paraId="1A69EA74" w14:textId="77777777" w:rsidR="000940E6" w:rsidRDefault="00B90DF7" w:rsidP="00B90DF7">
      <w:pPr>
        <w:pStyle w:val="ListParagraph"/>
        <w:numPr>
          <w:ilvl w:val="2"/>
          <w:numId w:val="1"/>
        </w:numPr>
        <w:tabs>
          <w:tab w:val="left" w:pos="839"/>
        </w:tabs>
        <w:spacing w:before="39"/>
        <w:ind w:left="839"/>
        <w:rPr>
          <w:sz w:val="24"/>
        </w:rPr>
      </w:pPr>
      <w:r>
        <w:rPr>
          <w:sz w:val="24"/>
        </w:rPr>
        <w:t>immediate</w:t>
      </w:r>
      <w:r>
        <w:rPr>
          <w:spacing w:val="-3"/>
          <w:sz w:val="24"/>
        </w:rPr>
        <w:t xml:space="preserve"> </w:t>
      </w:r>
      <w:r>
        <w:rPr>
          <w:sz w:val="24"/>
        </w:rPr>
        <w:t>postpartum</w:t>
      </w:r>
      <w:r>
        <w:rPr>
          <w:spacing w:val="-2"/>
          <w:sz w:val="24"/>
        </w:rPr>
        <w:t xml:space="preserve"> period;</w:t>
      </w:r>
    </w:p>
    <w:p w14:paraId="6C541E48" w14:textId="77777777" w:rsidR="000940E6" w:rsidRDefault="00B90DF7" w:rsidP="00B90DF7">
      <w:pPr>
        <w:pStyle w:val="ListParagraph"/>
        <w:numPr>
          <w:ilvl w:val="2"/>
          <w:numId w:val="1"/>
        </w:numPr>
        <w:tabs>
          <w:tab w:val="left" w:pos="839"/>
        </w:tabs>
        <w:spacing w:before="42"/>
        <w:ind w:left="839"/>
        <w:rPr>
          <w:sz w:val="24"/>
        </w:rPr>
      </w:pPr>
      <w:r>
        <w:rPr>
          <w:sz w:val="24"/>
        </w:rPr>
        <w:t>subacute</w:t>
      </w:r>
      <w:r>
        <w:rPr>
          <w:spacing w:val="-3"/>
          <w:sz w:val="24"/>
        </w:rPr>
        <w:t xml:space="preserve"> </w:t>
      </w:r>
      <w:r>
        <w:rPr>
          <w:sz w:val="24"/>
        </w:rPr>
        <w:t>bacterial</w:t>
      </w:r>
      <w:r>
        <w:rPr>
          <w:spacing w:val="-1"/>
          <w:sz w:val="24"/>
        </w:rPr>
        <w:t xml:space="preserve"> </w:t>
      </w:r>
      <w:r>
        <w:rPr>
          <w:sz w:val="24"/>
        </w:rPr>
        <w:t>endocarditis</w:t>
      </w:r>
      <w:r>
        <w:rPr>
          <w:spacing w:val="-1"/>
          <w:sz w:val="24"/>
        </w:rPr>
        <w:t xml:space="preserve"> </w:t>
      </w:r>
      <w:r>
        <w:rPr>
          <w:sz w:val="24"/>
        </w:rPr>
        <w:t>or</w:t>
      </w:r>
      <w:r>
        <w:rPr>
          <w:spacing w:val="-3"/>
          <w:sz w:val="24"/>
        </w:rPr>
        <w:t xml:space="preserve"> </w:t>
      </w:r>
      <w:r>
        <w:rPr>
          <w:sz w:val="24"/>
        </w:rPr>
        <w:t>acute</w:t>
      </w:r>
      <w:r>
        <w:rPr>
          <w:spacing w:val="-2"/>
          <w:sz w:val="24"/>
        </w:rPr>
        <w:t xml:space="preserve"> </w:t>
      </w:r>
      <w:r>
        <w:rPr>
          <w:sz w:val="24"/>
        </w:rPr>
        <w:t>infectious</w:t>
      </w:r>
      <w:r>
        <w:rPr>
          <w:spacing w:val="1"/>
          <w:sz w:val="24"/>
        </w:rPr>
        <w:t xml:space="preserve"> </w:t>
      </w:r>
      <w:r>
        <w:rPr>
          <w:spacing w:val="-2"/>
          <w:sz w:val="24"/>
        </w:rPr>
        <w:t>endocarditis;</w:t>
      </w:r>
    </w:p>
    <w:p w14:paraId="721AAE8F" w14:textId="77777777" w:rsidR="000940E6" w:rsidRDefault="00B90DF7" w:rsidP="00B90DF7">
      <w:pPr>
        <w:pStyle w:val="ListParagraph"/>
        <w:numPr>
          <w:ilvl w:val="2"/>
          <w:numId w:val="1"/>
        </w:numPr>
        <w:tabs>
          <w:tab w:val="left" w:pos="839"/>
        </w:tabs>
        <w:spacing w:before="40"/>
        <w:ind w:left="839"/>
        <w:rPr>
          <w:sz w:val="24"/>
        </w:rPr>
      </w:pPr>
      <w:r>
        <w:rPr>
          <w:sz w:val="24"/>
        </w:rPr>
        <w:t>severe</w:t>
      </w:r>
      <w:r>
        <w:rPr>
          <w:spacing w:val="-4"/>
          <w:sz w:val="24"/>
        </w:rPr>
        <w:t xml:space="preserve"> </w:t>
      </w:r>
      <w:r>
        <w:rPr>
          <w:spacing w:val="-2"/>
          <w:sz w:val="24"/>
        </w:rPr>
        <w:t>hypertension;</w:t>
      </w:r>
    </w:p>
    <w:p w14:paraId="04A78E47" w14:textId="77777777" w:rsidR="000940E6" w:rsidRDefault="00B90DF7" w:rsidP="00B90DF7">
      <w:pPr>
        <w:pStyle w:val="ListParagraph"/>
        <w:numPr>
          <w:ilvl w:val="2"/>
          <w:numId w:val="1"/>
        </w:numPr>
        <w:tabs>
          <w:tab w:val="left" w:pos="839"/>
        </w:tabs>
        <w:spacing w:before="42" w:line="271" w:lineRule="auto"/>
        <w:ind w:left="839" w:right="132"/>
        <w:rPr>
          <w:sz w:val="24"/>
        </w:rPr>
      </w:pPr>
      <w:r>
        <w:rPr>
          <w:sz w:val="24"/>
        </w:rPr>
        <w:t>gastric or duodenal ulcers or other ulcerative conditions which may have a tendency to</w:t>
      </w:r>
      <w:r>
        <w:rPr>
          <w:spacing w:val="80"/>
          <w:sz w:val="24"/>
        </w:rPr>
        <w:t xml:space="preserve"> </w:t>
      </w:r>
      <w:r>
        <w:rPr>
          <w:sz w:val="24"/>
        </w:rPr>
        <w:t>haemorrhage, e.g. ulcerative colitis;</w:t>
      </w:r>
    </w:p>
    <w:p w14:paraId="2B09E3AE" w14:textId="77777777" w:rsidR="000940E6" w:rsidRDefault="00B90DF7" w:rsidP="00B90DF7">
      <w:pPr>
        <w:pStyle w:val="ListParagraph"/>
        <w:numPr>
          <w:ilvl w:val="2"/>
          <w:numId w:val="1"/>
        </w:numPr>
        <w:tabs>
          <w:tab w:val="left" w:pos="839"/>
        </w:tabs>
        <w:spacing w:before="6"/>
        <w:ind w:left="839"/>
        <w:rPr>
          <w:sz w:val="24"/>
        </w:rPr>
      </w:pPr>
      <w:r>
        <w:rPr>
          <w:sz w:val="24"/>
        </w:rPr>
        <w:t>advanced</w:t>
      </w:r>
      <w:r>
        <w:rPr>
          <w:spacing w:val="-1"/>
          <w:sz w:val="24"/>
        </w:rPr>
        <w:t xml:space="preserve"> </w:t>
      </w:r>
      <w:r>
        <w:rPr>
          <w:sz w:val="24"/>
        </w:rPr>
        <w:t>renal</w:t>
      </w:r>
      <w:r>
        <w:rPr>
          <w:spacing w:val="-1"/>
          <w:sz w:val="24"/>
        </w:rPr>
        <w:t xml:space="preserve"> </w:t>
      </w:r>
      <w:r>
        <w:rPr>
          <w:sz w:val="24"/>
        </w:rPr>
        <w:t>or</w:t>
      </w:r>
      <w:r>
        <w:rPr>
          <w:spacing w:val="-2"/>
          <w:sz w:val="24"/>
        </w:rPr>
        <w:t xml:space="preserve"> </w:t>
      </w:r>
      <w:r>
        <w:rPr>
          <w:sz w:val="24"/>
        </w:rPr>
        <w:t>hepatic</w:t>
      </w:r>
      <w:r>
        <w:rPr>
          <w:spacing w:val="-1"/>
          <w:sz w:val="24"/>
        </w:rPr>
        <w:t xml:space="preserve"> </w:t>
      </w:r>
      <w:r>
        <w:rPr>
          <w:spacing w:val="-2"/>
          <w:sz w:val="24"/>
        </w:rPr>
        <w:t>disease;</w:t>
      </w:r>
    </w:p>
    <w:p w14:paraId="3570524B" w14:textId="77777777" w:rsidR="000940E6" w:rsidRDefault="00B90DF7" w:rsidP="00B90DF7">
      <w:pPr>
        <w:pStyle w:val="ListParagraph"/>
        <w:numPr>
          <w:ilvl w:val="2"/>
          <w:numId w:val="1"/>
        </w:numPr>
        <w:tabs>
          <w:tab w:val="left" w:pos="839"/>
        </w:tabs>
        <w:spacing w:before="42" w:line="271" w:lineRule="auto"/>
        <w:ind w:left="839" w:right="130"/>
        <w:rPr>
          <w:sz w:val="24"/>
        </w:rPr>
      </w:pPr>
      <w:r>
        <w:rPr>
          <w:sz w:val="24"/>
        </w:rPr>
        <w:t>during</w:t>
      </w:r>
      <w:r>
        <w:rPr>
          <w:spacing w:val="-8"/>
          <w:sz w:val="24"/>
        </w:rPr>
        <w:t xml:space="preserve"> </w:t>
      </w:r>
      <w:r>
        <w:rPr>
          <w:sz w:val="24"/>
        </w:rPr>
        <w:t>and</w:t>
      </w:r>
      <w:r>
        <w:rPr>
          <w:spacing w:val="-8"/>
          <w:sz w:val="24"/>
        </w:rPr>
        <w:t xml:space="preserve"> </w:t>
      </w:r>
      <w:r>
        <w:rPr>
          <w:sz w:val="24"/>
        </w:rPr>
        <w:t>immediately</w:t>
      </w:r>
      <w:r>
        <w:rPr>
          <w:spacing w:val="-8"/>
          <w:sz w:val="24"/>
        </w:rPr>
        <w:t xml:space="preserve"> </w:t>
      </w:r>
      <w:r>
        <w:rPr>
          <w:sz w:val="24"/>
        </w:rPr>
        <w:t>after</w:t>
      </w:r>
      <w:r>
        <w:rPr>
          <w:spacing w:val="-9"/>
          <w:sz w:val="24"/>
        </w:rPr>
        <w:t xml:space="preserve"> </w:t>
      </w:r>
      <w:r>
        <w:rPr>
          <w:sz w:val="24"/>
        </w:rPr>
        <w:t>spinal</w:t>
      </w:r>
      <w:r>
        <w:rPr>
          <w:spacing w:val="-8"/>
          <w:sz w:val="24"/>
        </w:rPr>
        <w:t xml:space="preserve"> </w:t>
      </w:r>
      <w:r>
        <w:rPr>
          <w:sz w:val="24"/>
        </w:rPr>
        <w:t>or</w:t>
      </w:r>
      <w:r>
        <w:rPr>
          <w:spacing w:val="-9"/>
          <w:sz w:val="24"/>
        </w:rPr>
        <w:t xml:space="preserve"> </w:t>
      </w:r>
      <w:r>
        <w:rPr>
          <w:sz w:val="24"/>
        </w:rPr>
        <w:t>major</w:t>
      </w:r>
      <w:r>
        <w:rPr>
          <w:spacing w:val="-9"/>
          <w:sz w:val="24"/>
        </w:rPr>
        <w:t xml:space="preserve"> </w:t>
      </w:r>
      <w:r>
        <w:rPr>
          <w:sz w:val="24"/>
        </w:rPr>
        <w:t>surgery,</w:t>
      </w:r>
      <w:r>
        <w:rPr>
          <w:spacing w:val="-8"/>
          <w:sz w:val="24"/>
        </w:rPr>
        <w:t xml:space="preserve"> </w:t>
      </w:r>
      <w:r>
        <w:rPr>
          <w:sz w:val="24"/>
        </w:rPr>
        <w:t>especially</w:t>
      </w:r>
      <w:r>
        <w:rPr>
          <w:spacing w:val="-8"/>
          <w:sz w:val="24"/>
        </w:rPr>
        <w:t xml:space="preserve"> </w:t>
      </w:r>
      <w:r>
        <w:rPr>
          <w:sz w:val="24"/>
        </w:rPr>
        <w:t>those</w:t>
      </w:r>
      <w:r>
        <w:rPr>
          <w:spacing w:val="-9"/>
          <w:sz w:val="24"/>
        </w:rPr>
        <w:t xml:space="preserve"> </w:t>
      </w:r>
      <w:r>
        <w:rPr>
          <w:sz w:val="24"/>
        </w:rPr>
        <w:t>involving</w:t>
      </w:r>
      <w:r>
        <w:rPr>
          <w:spacing w:val="-8"/>
          <w:sz w:val="24"/>
        </w:rPr>
        <w:t xml:space="preserve"> </w:t>
      </w:r>
      <w:r>
        <w:rPr>
          <w:sz w:val="24"/>
        </w:rPr>
        <w:t>the</w:t>
      </w:r>
      <w:r>
        <w:rPr>
          <w:spacing w:val="-9"/>
          <w:sz w:val="24"/>
        </w:rPr>
        <w:t xml:space="preserve"> </w:t>
      </w:r>
      <w:r>
        <w:rPr>
          <w:sz w:val="24"/>
        </w:rPr>
        <w:t>brain, eye or spinal cord;</w:t>
      </w:r>
    </w:p>
    <w:p w14:paraId="3111D70C" w14:textId="77777777" w:rsidR="000940E6" w:rsidRDefault="00B90DF7" w:rsidP="00B90DF7">
      <w:pPr>
        <w:pStyle w:val="ListParagraph"/>
        <w:numPr>
          <w:ilvl w:val="2"/>
          <w:numId w:val="1"/>
        </w:numPr>
        <w:tabs>
          <w:tab w:val="left" w:pos="839"/>
        </w:tabs>
        <w:spacing w:before="6"/>
        <w:ind w:left="839"/>
        <w:rPr>
          <w:sz w:val="24"/>
        </w:rPr>
      </w:pPr>
      <w:r>
        <w:rPr>
          <w:spacing w:val="-2"/>
          <w:sz w:val="24"/>
        </w:rPr>
        <w:t>shock;</w:t>
      </w:r>
    </w:p>
    <w:p w14:paraId="1473ABFF" w14:textId="77777777" w:rsidR="000940E6" w:rsidRDefault="000940E6" w:rsidP="00B90DF7">
      <w:pPr>
        <w:rPr>
          <w:sz w:val="24"/>
        </w:rPr>
        <w:sectPr w:rsidR="000940E6">
          <w:pgSz w:w="11910" w:h="16840"/>
          <w:pgMar w:top="1360" w:right="1000" w:bottom="1420" w:left="1320" w:header="0" w:footer="1228" w:gutter="0"/>
          <w:cols w:space="720"/>
        </w:sectPr>
      </w:pPr>
    </w:p>
    <w:p w14:paraId="349A17CD" w14:textId="77777777" w:rsidR="000940E6" w:rsidRDefault="00B90DF7" w:rsidP="00B90DF7">
      <w:pPr>
        <w:pStyle w:val="ListParagraph"/>
        <w:numPr>
          <w:ilvl w:val="2"/>
          <w:numId w:val="1"/>
        </w:numPr>
        <w:tabs>
          <w:tab w:val="left" w:pos="840"/>
        </w:tabs>
        <w:spacing w:before="82" w:line="271" w:lineRule="auto"/>
        <w:ind w:right="130"/>
        <w:rPr>
          <w:sz w:val="24"/>
        </w:rPr>
      </w:pPr>
      <w:r>
        <w:rPr>
          <w:sz w:val="24"/>
        </w:rPr>
        <w:lastRenderedPageBreak/>
        <w:t>severe thrombocytopenia or a history of thrombocytopenia (type II) with any kind of heparin or with pentosan polysulfate;</w:t>
      </w:r>
    </w:p>
    <w:p w14:paraId="168FD5DD" w14:textId="77777777" w:rsidR="000940E6" w:rsidRDefault="00B90DF7" w:rsidP="00B90DF7">
      <w:pPr>
        <w:pStyle w:val="ListParagraph"/>
        <w:numPr>
          <w:ilvl w:val="2"/>
          <w:numId w:val="1"/>
        </w:numPr>
        <w:tabs>
          <w:tab w:val="left" w:pos="840"/>
        </w:tabs>
        <w:spacing w:before="9" w:line="273" w:lineRule="auto"/>
        <w:ind w:right="130"/>
        <w:rPr>
          <w:sz w:val="24"/>
        </w:rPr>
      </w:pPr>
      <w:r>
        <w:rPr>
          <w:sz w:val="24"/>
        </w:rPr>
        <w:t>patients in whom suitable blood coagulation tests, e.g. whole blood clotting time, partial thromboplastin time, etc, cannot be performed at appropriate intervals (this contraindication</w:t>
      </w:r>
      <w:r>
        <w:rPr>
          <w:spacing w:val="-10"/>
          <w:sz w:val="24"/>
        </w:rPr>
        <w:t xml:space="preserve"> </w:t>
      </w:r>
      <w:r>
        <w:rPr>
          <w:sz w:val="24"/>
        </w:rPr>
        <w:t>refers</w:t>
      </w:r>
      <w:r>
        <w:rPr>
          <w:spacing w:val="-12"/>
          <w:sz w:val="24"/>
        </w:rPr>
        <w:t xml:space="preserve"> </w:t>
      </w:r>
      <w:r>
        <w:rPr>
          <w:sz w:val="24"/>
        </w:rPr>
        <w:t>to</w:t>
      </w:r>
      <w:r>
        <w:rPr>
          <w:spacing w:val="-7"/>
          <w:sz w:val="24"/>
        </w:rPr>
        <w:t xml:space="preserve"> </w:t>
      </w:r>
      <w:r>
        <w:rPr>
          <w:sz w:val="24"/>
        </w:rPr>
        <w:t>full</w:t>
      </w:r>
      <w:r>
        <w:rPr>
          <w:spacing w:val="-12"/>
          <w:sz w:val="24"/>
        </w:rPr>
        <w:t xml:space="preserve"> </w:t>
      </w:r>
      <w:r>
        <w:rPr>
          <w:sz w:val="24"/>
        </w:rPr>
        <w:t>dose</w:t>
      </w:r>
      <w:r>
        <w:rPr>
          <w:spacing w:val="-13"/>
          <w:sz w:val="24"/>
        </w:rPr>
        <w:t xml:space="preserve"> </w:t>
      </w:r>
      <w:r>
        <w:rPr>
          <w:sz w:val="24"/>
        </w:rPr>
        <w:t>heparin;</w:t>
      </w:r>
      <w:r>
        <w:rPr>
          <w:spacing w:val="-12"/>
          <w:sz w:val="24"/>
        </w:rPr>
        <w:t xml:space="preserve"> </w:t>
      </w:r>
      <w:r>
        <w:rPr>
          <w:sz w:val="24"/>
        </w:rPr>
        <w:t>there</w:t>
      </w:r>
      <w:r>
        <w:rPr>
          <w:spacing w:val="-13"/>
          <w:sz w:val="24"/>
        </w:rPr>
        <w:t xml:space="preserve"> </w:t>
      </w:r>
      <w:r>
        <w:rPr>
          <w:sz w:val="24"/>
        </w:rPr>
        <w:t>is</w:t>
      </w:r>
      <w:r>
        <w:rPr>
          <w:spacing w:val="-10"/>
          <w:sz w:val="24"/>
        </w:rPr>
        <w:t xml:space="preserve"> </w:t>
      </w:r>
      <w:r>
        <w:rPr>
          <w:sz w:val="24"/>
        </w:rPr>
        <w:t>usually</w:t>
      </w:r>
      <w:r>
        <w:rPr>
          <w:spacing w:val="-12"/>
          <w:sz w:val="24"/>
        </w:rPr>
        <w:t xml:space="preserve"> </w:t>
      </w:r>
      <w:r>
        <w:rPr>
          <w:sz w:val="24"/>
        </w:rPr>
        <w:t>no</w:t>
      </w:r>
      <w:r>
        <w:rPr>
          <w:spacing w:val="-12"/>
          <w:sz w:val="24"/>
        </w:rPr>
        <w:t xml:space="preserve"> </w:t>
      </w:r>
      <w:r>
        <w:rPr>
          <w:sz w:val="24"/>
        </w:rPr>
        <w:t>need</w:t>
      </w:r>
      <w:r>
        <w:rPr>
          <w:spacing w:val="-12"/>
          <w:sz w:val="24"/>
        </w:rPr>
        <w:t xml:space="preserve"> </w:t>
      </w:r>
      <w:r>
        <w:rPr>
          <w:sz w:val="24"/>
        </w:rPr>
        <w:t>to</w:t>
      </w:r>
      <w:r>
        <w:rPr>
          <w:spacing w:val="-10"/>
          <w:sz w:val="24"/>
        </w:rPr>
        <w:t xml:space="preserve"> </w:t>
      </w:r>
      <w:r>
        <w:rPr>
          <w:sz w:val="24"/>
        </w:rPr>
        <w:t>monitor</w:t>
      </w:r>
      <w:r>
        <w:rPr>
          <w:spacing w:val="-13"/>
          <w:sz w:val="24"/>
        </w:rPr>
        <w:t xml:space="preserve"> </w:t>
      </w:r>
      <w:r>
        <w:rPr>
          <w:sz w:val="24"/>
        </w:rPr>
        <w:t>coagulation parameters in patients receiving low dose heparin).</w:t>
      </w:r>
    </w:p>
    <w:p w14:paraId="270C3037" w14:textId="77777777" w:rsidR="000940E6" w:rsidRDefault="00B90DF7" w:rsidP="00B90DF7">
      <w:pPr>
        <w:pStyle w:val="ListParagraph"/>
        <w:numPr>
          <w:ilvl w:val="2"/>
          <w:numId w:val="1"/>
        </w:numPr>
        <w:tabs>
          <w:tab w:val="left" w:pos="840"/>
        </w:tabs>
        <w:spacing w:before="7" w:line="271" w:lineRule="auto"/>
        <w:ind w:right="133"/>
        <w:rPr>
          <w:sz w:val="24"/>
        </w:rPr>
      </w:pPr>
      <w:r>
        <w:rPr>
          <w:sz w:val="24"/>
        </w:rPr>
        <w:t>hypersensitivity</w:t>
      </w:r>
      <w:r>
        <w:rPr>
          <w:spacing w:val="-6"/>
          <w:sz w:val="24"/>
        </w:rPr>
        <w:t xml:space="preserve"> </w:t>
      </w:r>
      <w:r>
        <w:rPr>
          <w:sz w:val="24"/>
        </w:rPr>
        <w:t>to</w:t>
      </w:r>
      <w:r>
        <w:rPr>
          <w:spacing w:val="-6"/>
          <w:sz w:val="24"/>
        </w:rPr>
        <w:t xml:space="preserve"> </w:t>
      </w:r>
      <w:r>
        <w:rPr>
          <w:sz w:val="24"/>
        </w:rPr>
        <w:t>heparin</w:t>
      </w:r>
      <w:r>
        <w:rPr>
          <w:spacing w:val="-6"/>
          <w:sz w:val="24"/>
        </w:rPr>
        <w:t xml:space="preserve"> </w:t>
      </w:r>
      <w:r>
        <w:rPr>
          <w:sz w:val="24"/>
        </w:rPr>
        <w:t>or</w:t>
      </w:r>
      <w:r>
        <w:rPr>
          <w:spacing w:val="-7"/>
          <w:sz w:val="24"/>
        </w:rPr>
        <w:t xml:space="preserve"> </w:t>
      </w:r>
      <w:r>
        <w:rPr>
          <w:sz w:val="24"/>
        </w:rPr>
        <w:t>to</w:t>
      </w:r>
      <w:r>
        <w:rPr>
          <w:spacing w:val="-6"/>
          <w:sz w:val="24"/>
        </w:rPr>
        <w:t xml:space="preserve"> </w:t>
      </w:r>
      <w:r>
        <w:rPr>
          <w:sz w:val="24"/>
        </w:rPr>
        <w:t>any</w:t>
      </w:r>
      <w:r>
        <w:rPr>
          <w:spacing w:val="-6"/>
          <w:sz w:val="24"/>
        </w:rPr>
        <w:t xml:space="preserve"> </w:t>
      </w:r>
      <w:r>
        <w:rPr>
          <w:sz w:val="24"/>
        </w:rPr>
        <w:t>of</w:t>
      </w:r>
      <w:r>
        <w:rPr>
          <w:spacing w:val="-9"/>
          <w:sz w:val="24"/>
        </w:rPr>
        <w:t xml:space="preserve"> </w:t>
      </w:r>
      <w:r>
        <w:rPr>
          <w:sz w:val="24"/>
        </w:rPr>
        <w:t>the</w:t>
      </w:r>
      <w:r>
        <w:rPr>
          <w:spacing w:val="-7"/>
          <w:sz w:val="24"/>
        </w:rPr>
        <w:t xml:space="preserve"> </w:t>
      </w:r>
      <w:r>
        <w:rPr>
          <w:sz w:val="24"/>
        </w:rPr>
        <w:t>excipients</w:t>
      </w:r>
      <w:r>
        <w:rPr>
          <w:spacing w:val="-6"/>
          <w:sz w:val="24"/>
        </w:rPr>
        <w:t xml:space="preserve"> </w:t>
      </w:r>
      <w:r>
        <w:rPr>
          <w:sz w:val="24"/>
        </w:rPr>
        <w:t>or</w:t>
      </w:r>
      <w:r>
        <w:rPr>
          <w:spacing w:val="-7"/>
          <w:sz w:val="24"/>
        </w:rPr>
        <w:t xml:space="preserve"> </w:t>
      </w:r>
      <w:r>
        <w:rPr>
          <w:sz w:val="24"/>
        </w:rPr>
        <w:t>pork</w:t>
      </w:r>
      <w:r>
        <w:rPr>
          <w:spacing w:val="-6"/>
          <w:sz w:val="24"/>
        </w:rPr>
        <w:t xml:space="preserve"> </w:t>
      </w:r>
      <w:r>
        <w:rPr>
          <w:sz w:val="24"/>
        </w:rPr>
        <w:t>products</w:t>
      </w:r>
      <w:r>
        <w:rPr>
          <w:spacing w:val="-6"/>
          <w:sz w:val="24"/>
        </w:rPr>
        <w:t xml:space="preserve"> </w:t>
      </w:r>
      <w:r>
        <w:rPr>
          <w:sz w:val="24"/>
        </w:rPr>
        <w:t>(e.g.</w:t>
      </w:r>
      <w:r>
        <w:rPr>
          <w:spacing w:val="-8"/>
          <w:sz w:val="24"/>
        </w:rPr>
        <w:t xml:space="preserve"> </w:t>
      </w:r>
      <w:r>
        <w:rPr>
          <w:sz w:val="24"/>
        </w:rPr>
        <w:t xml:space="preserve">anaphylactoid </w:t>
      </w:r>
      <w:r>
        <w:rPr>
          <w:spacing w:val="-2"/>
          <w:sz w:val="24"/>
        </w:rPr>
        <w:t>reactions)</w:t>
      </w:r>
    </w:p>
    <w:p w14:paraId="19A278E9" w14:textId="77777777" w:rsidR="000940E6" w:rsidRDefault="00B90DF7" w:rsidP="00B90DF7">
      <w:pPr>
        <w:pStyle w:val="Heading2"/>
        <w:numPr>
          <w:ilvl w:val="1"/>
          <w:numId w:val="1"/>
        </w:numPr>
        <w:tabs>
          <w:tab w:val="left" w:pos="695"/>
        </w:tabs>
        <w:spacing w:before="206"/>
        <w:ind w:left="695" w:hanging="575"/>
      </w:pPr>
      <w:bookmarkStart w:id="13" w:name="4.4_Special_warnings_and_precautions_for"/>
      <w:bookmarkEnd w:id="13"/>
      <w:r>
        <w:rPr>
          <w:smallCaps/>
        </w:rPr>
        <w:t>Special</w:t>
      </w:r>
      <w:r>
        <w:rPr>
          <w:smallCaps/>
          <w:spacing w:val="-12"/>
        </w:rPr>
        <w:t xml:space="preserve"> </w:t>
      </w:r>
      <w:r>
        <w:rPr>
          <w:smallCaps/>
        </w:rPr>
        <w:t>warnings</w:t>
      </w:r>
      <w:r>
        <w:rPr>
          <w:smallCaps/>
          <w:spacing w:val="-11"/>
        </w:rPr>
        <w:t xml:space="preserve"> </w:t>
      </w:r>
      <w:r>
        <w:rPr>
          <w:smallCaps/>
        </w:rPr>
        <w:t>and</w:t>
      </w:r>
      <w:r>
        <w:rPr>
          <w:smallCaps/>
          <w:spacing w:val="-11"/>
        </w:rPr>
        <w:t xml:space="preserve"> </w:t>
      </w:r>
      <w:r>
        <w:rPr>
          <w:smallCaps/>
        </w:rPr>
        <w:t>precautions</w:t>
      </w:r>
      <w:r>
        <w:rPr>
          <w:smallCaps/>
          <w:spacing w:val="-11"/>
        </w:rPr>
        <w:t xml:space="preserve"> </w:t>
      </w:r>
      <w:r>
        <w:rPr>
          <w:smallCaps/>
        </w:rPr>
        <w:t>for</w:t>
      </w:r>
      <w:r>
        <w:rPr>
          <w:smallCaps/>
          <w:spacing w:val="-12"/>
        </w:rPr>
        <w:t xml:space="preserve"> </w:t>
      </w:r>
      <w:r>
        <w:rPr>
          <w:smallCaps/>
          <w:spacing w:val="-5"/>
        </w:rPr>
        <w:t>use</w:t>
      </w:r>
    </w:p>
    <w:p w14:paraId="09054EB3" w14:textId="77777777" w:rsidR="000940E6" w:rsidRDefault="00B90DF7" w:rsidP="00B90DF7">
      <w:pPr>
        <w:pStyle w:val="BodyText"/>
        <w:ind w:left="119"/>
        <w:jc w:val="left"/>
      </w:pPr>
      <w:r>
        <w:t>Heparin</w:t>
      </w:r>
      <w:r>
        <w:rPr>
          <w:spacing w:val="-3"/>
        </w:rPr>
        <w:t xml:space="preserve"> </w:t>
      </w:r>
      <w:r>
        <w:t>should</w:t>
      </w:r>
      <w:r>
        <w:rPr>
          <w:spacing w:val="-1"/>
        </w:rPr>
        <w:t xml:space="preserve"> </w:t>
      </w:r>
      <w:r>
        <w:t>not</w:t>
      </w:r>
      <w:r>
        <w:rPr>
          <w:spacing w:val="-1"/>
        </w:rPr>
        <w:t xml:space="preserve"> </w:t>
      </w:r>
      <w:r>
        <w:t>be</w:t>
      </w:r>
      <w:r>
        <w:rPr>
          <w:spacing w:val="-1"/>
        </w:rPr>
        <w:t xml:space="preserve"> </w:t>
      </w:r>
      <w:r>
        <w:t>given</w:t>
      </w:r>
      <w:r>
        <w:rPr>
          <w:spacing w:val="-1"/>
        </w:rPr>
        <w:t xml:space="preserve"> </w:t>
      </w:r>
      <w:r>
        <w:t>by</w:t>
      </w:r>
      <w:r>
        <w:rPr>
          <w:spacing w:val="-1"/>
        </w:rPr>
        <w:t xml:space="preserve"> </w:t>
      </w:r>
      <w:r>
        <w:t>intramuscular</w:t>
      </w:r>
      <w:r>
        <w:rPr>
          <w:spacing w:val="-2"/>
        </w:rPr>
        <w:t xml:space="preserve"> </w:t>
      </w:r>
      <w:r>
        <w:t>injection, due</w:t>
      </w:r>
      <w:r>
        <w:rPr>
          <w:spacing w:val="-2"/>
        </w:rPr>
        <w:t xml:space="preserve"> </w:t>
      </w:r>
      <w:r>
        <w:t>to</w:t>
      </w:r>
      <w:r>
        <w:rPr>
          <w:spacing w:val="-1"/>
        </w:rPr>
        <w:t xml:space="preserve"> </w:t>
      </w:r>
      <w:r>
        <w:t>the</w:t>
      </w:r>
      <w:r>
        <w:rPr>
          <w:spacing w:val="-1"/>
        </w:rPr>
        <w:t xml:space="preserve"> </w:t>
      </w:r>
      <w:r>
        <w:t>risk</w:t>
      </w:r>
      <w:r>
        <w:rPr>
          <w:spacing w:val="-1"/>
        </w:rPr>
        <w:t xml:space="preserve"> </w:t>
      </w:r>
      <w:r>
        <w:t>of</w:t>
      </w:r>
      <w:r>
        <w:rPr>
          <w:spacing w:val="-2"/>
        </w:rPr>
        <w:t xml:space="preserve"> </w:t>
      </w:r>
      <w:r>
        <w:t>haematoma</w:t>
      </w:r>
      <w:r>
        <w:rPr>
          <w:spacing w:val="-1"/>
        </w:rPr>
        <w:t xml:space="preserve"> </w:t>
      </w:r>
      <w:r>
        <w:rPr>
          <w:spacing w:val="-2"/>
        </w:rPr>
        <w:t>formation.</w:t>
      </w:r>
    </w:p>
    <w:p w14:paraId="2BA8EA84" w14:textId="77777777" w:rsidR="000940E6" w:rsidRDefault="00B90DF7" w:rsidP="00B90DF7">
      <w:pPr>
        <w:pStyle w:val="BodyText"/>
        <w:spacing w:line="276" w:lineRule="auto"/>
        <w:ind w:left="119" w:right="127"/>
        <w:jc w:val="left"/>
      </w:pPr>
      <w:r>
        <w:t>When</w:t>
      </w:r>
      <w:r>
        <w:rPr>
          <w:spacing w:val="-7"/>
        </w:rPr>
        <w:t xml:space="preserve"> </w:t>
      </w:r>
      <w:r>
        <w:t>neuraxial</w:t>
      </w:r>
      <w:r>
        <w:rPr>
          <w:spacing w:val="-6"/>
        </w:rPr>
        <w:t xml:space="preserve"> </w:t>
      </w:r>
      <w:r>
        <w:t>anaesthesia</w:t>
      </w:r>
      <w:r>
        <w:rPr>
          <w:spacing w:val="-8"/>
        </w:rPr>
        <w:t xml:space="preserve"> </w:t>
      </w:r>
      <w:r>
        <w:t>(epidural/spinal</w:t>
      </w:r>
      <w:r>
        <w:rPr>
          <w:spacing w:val="-6"/>
        </w:rPr>
        <w:t xml:space="preserve"> </w:t>
      </w:r>
      <w:r>
        <w:t>anaesthesia)</w:t>
      </w:r>
      <w:r>
        <w:rPr>
          <w:spacing w:val="-8"/>
        </w:rPr>
        <w:t xml:space="preserve"> </w:t>
      </w:r>
      <w:r>
        <w:t>or</w:t>
      </w:r>
      <w:r>
        <w:rPr>
          <w:spacing w:val="-8"/>
        </w:rPr>
        <w:t xml:space="preserve"> </w:t>
      </w:r>
      <w:r>
        <w:t>spinal</w:t>
      </w:r>
      <w:r>
        <w:rPr>
          <w:spacing w:val="-6"/>
        </w:rPr>
        <w:t xml:space="preserve"> </w:t>
      </w:r>
      <w:r>
        <w:t>puncture</w:t>
      </w:r>
      <w:r>
        <w:rPr>
          <w:spacing w:val="-5"/>
        </w:rPr>
        <w:t xml:space="preserve"> </w:t>
      </w:r>
      <w:r>
        <w:t>is</w:t>
      </w:r>
      <w:r>
        <w:rPr>
          <w:spacing w:val="-7"/>
        </w:rPr>
        <w:t xml:space="preserve"> </w:t>
      </w:r>
      <w:r>
        <w:t>employed,</w:t>
      </w:r>
      <w:r>
        <w:rPr>
          <w:spacing w:val="-7"/>
        </w:rPr>
        <w:t xml:space="preserve"> </w:t>
      </w:r>
      <w:r>
        <w:t>patients anticoagulated or scheduled to be anticoagulated with unfractionated heparin or low molecular weight heparins/heparinoids for prevention of thromboembolic complications are at risk of developing</w:t>
      </w:r>
      <w:r>
        <w:rPr>
          <w:spacing w:val="-10"/>
        </w:rPr>
        <w:t xml:space="preserve"> </w:t>
      </w:r>
      <w:r>
        <w:t>an</w:t>
      </w:r>
      <w:r>
        <w:rPr>
          <w:spacing w:val="-10"/>
        </w:rPr>
        <w:t xml:space="preserve"> </w:t>
      </w:r>
      <w:r>
        <w:t>epidural</w:t>
      </w:r>
      <w:r>
        <w:rPr>
          <w:spacing w:val="-9"/>
        </w:rPr>
        <w:t xml:space="preserve"> </w:t>
      </w:r>
      <w:r>
        <w:t>or</w:t>
      </w:r>
      <w:r>
        <w:rPr>
          <w:spacing w:val="-8"/>
        </w:rPr>
        <w:t xml:space="preserve"> </w:t>
      </w:r>
      <w:r>
        <w:t>spinal</w:t>
      </w:r>
      <w:r>
        <w:rPr>
          <w:spacing w:val="-9"/>
        </w:rPr>
        <w:t xml:space="preserve"> </w:t>
      </w:r>
      <w:r>
        <w:t>haematoma</w:t>
      </w:r>
      <w:r>
        <w:rPr>
          <w:spacing w:val="-11"/>
        </w:rPr>
        <w:t xml:space="preserve"> </w:t>
      </w:r>
      <w:r>
        <w:t>which</w:t>
      </w:r>
      <w:r>
        <w:rPr>
          <w:spacing w:val="-7"/>
        </w:rPr>
        <w:t xml:space="preserve"> </w:t>
      </w:r>
      <w:r>
        <w:t>can</w:t>
      </w:r>
      <w:r>
        <w:rPr>
          <w:spacing w:val="-10"/>
        </w:rPr>
        <w:t xml:space="preserve"> </w:t>
      </w:r>
      <w:r>
        <w:t>result</w:t>
      </w:r>
      <w:r>
        <w:rPr>
          <w:spacing w:val="-9"/>
        </w:rPr>
        <w:t xml:space="preserve"> </w:t>
      </w:r>
      <w:r>
        <w:t>in</w:t>
      </w:r>
      <w:r>
        <w:rPr>
          <w:spacing w:val="-10"/>
        </w:rPr>
        <w:t xml:space="preserve"> </w:t>
      </w:r>
      <w:r>
        <w:t>long</w:t>
      </w:r>
      <w:r>
        <w:rPr>
          <w:spacing w:val="-10"/>
        </w:rPr>
        <w:t xml:space="preserve"> </w:t>
      </w:r>
      <w:r>
        <w:t>term</w:t>
      </w:r>
      <w:r>
        <w:rPr>
          <w:spacing w:val="-9"/>
        </w:rPr>
        <w:t xml:space="preserve"> </w:t>
      </w:r>
      <w:r>
        <w:t>or</w:t>
      </w:r>
      <w:r>
        <w:rPr>
          <w:spacing w:val="-8"/>
        </w:rPr>
        <w:t xml:space="preserve"> </w:t>
      </w:r>
      <w:r>
        <w:t>permanent</w:t>
      </w:r>
      <w:r>
        <w:rPr>
          <w:spacing w:val="-9"/>
        </w:rPr>
        <w:t xml:space="preserve"> </w:t>
      </w:r>
      <w:r>
        <w:t>paralysis. The</w:t>
      </w:r>
      <w:r>
        <w:rPr>
          <w:spacing w:val="-8"/>
        </w:rPr>
        <w:t xml:space="preserve"> </w:t>
      </w:r>
      <w:r>
        <w:t>risk</w:t>
      </w:r>
      <w:r>
        <w:rPr>
          <w:spacing w:val="-7"/>
        </w:rPr>
        <w:t xml:space="preserve"> </w:t>
      </w:r>
      <w:r>
        <w:t>of</w:t>
      </w:r>
      <w:r>
        <w:rPr>
          <w:spacing w:val="-8"/>
        </w:rPr>
        <w:t xml:space="preserve"> </w:t>
      </w:r>
      <w:r>
        <w:t>these</w:t>
      </w:r>
      <w:r>
        <w:rPr>
          <w:spacing w:val="-8"/>
        </w:rPr>
        <w:t xml:space="preserve"> </w:t>
      </w:r>
      <w:r>
        <w:t>events</w:t>
      </w:r>
      <w:r>
        <w:rPr>
          <w:spacing w:val="-7"/>
        </w:rPr>
        <w:t xml:space="preserve"> </w:t>
      </w:r>
      <w:r>
        <w:t>is</w:t>
      </w:r>
      <w:r>
        <w:rPr>
          <w:spacing w:val="-7"/>
        </w:rPr>
        <w:t xml:space="preserve"> </w:t>
      </w:r>
      <w:r>
        <w:t>increased</w:t>
      </w:r>
      <w:r>
        <w:rPr>
          <w:spacing w:val="-7"/>
        </w:rPr>
        <w:t xml:space="preserve"> </w:t>
      </w:r>
      <w:r>
        <w:t>by</w:t>
      </w:r>
      <w:r>
        <w:rPr>
          <w:spacing w:val="-5"/>
        </w:rPr>
        <w:t xml:space="preserve"> </w:t>
      </w:r>
      <w:r>
        <w:t>the</w:t>
      </w:r>
      <w:r>
        <w:rPr>
          <w:spacing w:val="-8"/>
        </w:rPr>
        <w:t xml:space="preserve"> </w:t>
      </w:r>
      <w:r>
        <w:t>use</w:t>
      </w:r>
      <w:r>
        <w:rPr>
          <w:spacing w:val="-8"/>
        </w:rPr>
        <w:t xml:space="preserve"> </w:t>
      </w:r>
      <w:r>
        <w:t>of</w:t>
      </w:r>
      <w:r>
        <w:rPr>
          <w:spacing w:val="-3"/>
        </w:rPr>
        <w:t xml:space="preserve"> </w:t>
      </w:r>
      <w:r>
        <w:t>indwelling</w:t>
      </w:r>
      <w:r>
        <w:rPr>
          <w:spacing w:val="-7"/>
        </w:rPr>
        <w:t xml:space="preserve"> </w:t>
      </w:r>
      <w:r>
        <w:t>epidural</w:t>
      </w:r>
      <w:r>
        <w:rPr>
          <w:spacing w:val="-4"/>
        </w:rPr>
        <w:t xml:space="preserve"> </w:t>
      </w:r>
      <w:r>
        <w:t>catheters</w:t>
      </w:r>
      <w:r>
        <w:rPr>
          <w:spacing w:val="-7"/>
        </w:rPr>
        <w:t xml:space="preserve"> </w:t>
      </w:r>
      <w:r>
        <w:t>for</w:t>
      </w:r>
      <w:r>
        <w:rPr>
          <w:spacing w:val="-6"/>
        </w:rPr>
        <w:t xml:space="preserve"> </w:t>
      </w:r>
      <w:r>
        <w:t>administration of analgesia or by concomitant use of drugs affecting haemostasis such as non-steroidal anti- inflammatory drugs (NSAIDs)</w:t>
      </w:r>
      <w:r>
        <w:t>, platelet inhibitors, or other anticoagulants. The risk also appears to</w:t>
      </w:r>
      <w:r>
        <w:rPr>
          <w:spacing w:val="-10"/>
        </w:rPr>
        <w:t xml:space="preserve"> </w:t>
      </w:r>
      <w:r>
        <w:t>be</w:t>
      </w:r>
      <w:r>
        <w:rPr>
          <w:spacing w:val="-11"/>
        </w:rPr>
        <w:t xml:space="preserve"> </w:t>
      </w:r>
      <w:r>
        <w:t>increased</w:t>
      </w:r>
      <w:r>
        <w:rPr>
          <w:spacing w:val="-10"/>
        </w:rPr>
        <w:t xml:space="preserve"> </w:t>
      </w:r>
      <w:r>
        <w:t>by</w:t>
      </w:r>
      <w:r>
        <w:rPr>
          <w:spacing w:val="-10"/>
        </w:rPr>
        <w:t xml:space="preserve"> </w:t>
      </w:r>
      <w:r>
        <w:t>traumatic</w:t>
      </w:r>
      <w:r>
        <w:rPr>
          <w:spacing w:val="-11"/>
        </w:rPr>
        <w:t xml:space="preserve"> </w:t>
      </w:r>
      <w:r>
        <w:t>or</w:t>
      </w:r>
      <w:r>
        <w:rPr>
          <w:spacing w:val="-10"/>
        </w:rPr>
        <w:t xml:space="preserve"> </w:t>
      </w:r>
      <w:r>
        <w:t>repeated</w:t>
      </w:r>
      <w:r>
        <w:rPr>
          <w:spacing w:val="-8"/>
        </w:rPr>
        <w:t xml:space="preserve"> </w:t>
      </w:r>
      <w:r>
        <w:t>epidural</w:t>
      </w:r>
      <w:r>
        <w:rPr>
          <w:spacing w:val="-9"/>
        </w:rPr>
        <w:t xml:space="preserve"> </w:t>
      </w:r>
      <w:r>
        <w:t>or</w:t>
      </w:r>
      <w:r>
        <w:rPr>
          <w:spacing w:val="-9"/>
        </w:rPr>
        <w:t xml:space="preserve"> </w:t>
      </w:r>
      <w:r>
        <w:t>spinal</w:t>
      </w:r>
      <w:r>
        <w:rPr>
          <w:spacing w:val="-9"/>
        </w:rPr>
        <w:t xml:space="preserve"> </w:t>
      </w:r>
      <w:r>
        <w:t>puncture.</w:t>
      </w:r>
      <w:r>
        <w:rPr>
          <w:spacing w:val="40"/>
        </w:rPr>
        <w:t xml:space="preserve"> </w:t>
      </w:r>
      <w:r>
        <w:t>Patients</w:t>
      </w:r>
      <w:r>
        <w:rPr>
          <w:spacing w:val="-12"/>
        </w:rPr>
        <w:t xml:space="preserve"> </w:t>
      </w:r>
      <w:r>
        <w:t>should</w:t>
      </w:r>
      <w:r>
        <w:rPr>
          <w:spacing w:val="-10"/>
        </w:rPr>
        <w:t xml:space="preserve"> </w:t>
      </w:r>
      <w:r>
        <w:t>be</w:t>
      </w:r>
      <w:r>
        <w:rPr>
          <w:spacing w:val="-11"/>
        </w:rPr>
        <w:t xml:space="preserve"> </w:t>
      </w:r>
      <w:r>
        <w:t>frequently monitored for signs and symptoms of neurological impairment. If neurological compromise is noted, urgent treatment is necessary.</w:t>
      </w:r>
      <w:r>
        <w:rPr>
          <w:spacing w:val="40"/>
        </w:rPr>
        <w:t xml:space="preserve"> </w:t>
      </w:r>
      <w:r>
        <w:t xml:space="preserve">The physician should consider the potential benefit versus risk before neuraxial intervention in patients anticoagulated or to be anticoagulated for </w:t>
      </w:r>
      <w:r>
        <w:rPr>
          <w:spacing w:val="-2"/>
        </w:rPr>
        <w:t>thromboprophylaxis.</w:t>
      </w:r>
    </w:p>
    <w:p w14:paraId="0A399A5B" w14:textId="77777777" w:rsidR="000940E6" w:rsidRDefault="00B90DF7" w:rsidP="00B90DF7">
      <w:pPr>
        <w:pStyle w:val="BodyText"/>
        <w:spacing w:before="120" w:line="276" w:lineRule="auto"/>
        <w:ind w:left="119" w:right="131"/>
        <w:jc w:val="left"/>
      </w:pPr>
      <w:r>
        <w:t>Heparin should be used with extreme caution in patients with continuous tube drainage of the stomach or small intestine.</w:t>
      </w:r>
    </w:p>
    <w:p w14:paraId="5EE344B6" w14:textId="77777777" w:rsidR="000940E6" w:rsidRDefault="00B90DF7" w:rsidP="00B90DF7">
      <w:pPr>
        <w:pStyle w:val="BodyText"/>
        <w:spacing w:before="122" w:line="276" w:lineRule="auto"/>
        <w:ind w:left="119" w:right="132"/>
        <w:jc w:val="left"/>
      </w:pPr>
      <w:r>
        <w:t>Any action which may cause vascular injury, with the exception of necessary intravenous or subcutaneous injections, should be avoided where possible.</w:t>
      </w:r>
    </w:p>
    <w:p w14:paraId="4FCFE809" w14:textId="77777777" w:rsidR="000940E6" w:rsidRDefault="00B90DF7" w:rsidP="00B90DF7">
      <w:pPr>
        <w:pStyle w:val="BodyText"/>
        <w:spacing w:before="118" w:line="288" w:lineRule="auto"/>
        <w:ind w:left="119" w:right="127"/>
        <w:jc w:val="left"/>
        <w:rPr>
          <w:rFonts w:ascii="Yu Gothic"/>
          <w:sz w:val="22"/>
        </w:rPr>
      </w:pPr>
      <w:r>
        <w:t>Heparin may lead to an increase and prolongation of menorrhagia. In case of unusual strong or acyclic</w:t>
      </w:r>
      <w:r>
        <w:rPr>
          <w:spacing w:val="-6"/>
        </w:rPr>
        <w:t xml:space="preserve"> </w:t>
      </w:r>
      <w:r>
        <w:t>uterine</w:t>
      </w:r>
      <w:r>
        <w:rPr>
          <w:spacing w:val="-6"/>
        </w:rPr>
        <w:t xml:space="preserve"> </w:t>
      </w:r>
      <w:r>
        <w:t>bleeding,</w:t>
      </w:r>
      <w:r>
        <w:rPr>
          <w:spacing w:val="-5"/>
        </w:rPr>
        <w:t xml:space="preserve"> </w:t>
      </w:r>
      <w:r>
        <w:t>any</w:t>
      </w:r>
      <w:r>
        <w:rPr>
          <w:spacing w:val="-7"/>
        </w:rPr>
        <w:t xml:space="preserve"> </w:t>
      </w:r>
      <w:r>
        <w:t>organic</w:t>
      </w:r>
      <w:r>
        <w:rPr>
          <w:spacing w:val="-8"/>
        </w:rPr>
        <w:t xml:space="preserve"> </w:t>
      </w:r>
      <w:r>
        <w:t>disease</w:t>
      </w:r>
      <w:r>
        <w:rPr>
          <w:spacing w:val="-6"/>
        </w:rPr>
        <w:t xml:space="preserve"> </w:t>
      </w:r>
      <w:r>
        <w:t>requiring</w:t>
      </w:r>
      <w:r>
        <w:rPr>
          <w:spacing w:val="-7"/>
        </w:rPr>
        <w:t xml:space="preserve"> </w:t>
      </w:r>
      <w:r>
        <w:t>specific</w:t>
      </w:r>
      <w:r>
        <w:rPr>
          <w:spacing w:val="-6"/>
        </w:rPr>
        <w:t xml:space="preserve"> </w:t>
      </w:r>
      <w:r>
        <w:t>treatment</w:t>
      </w:r>
      <w:r>
        <w:rPr>
          <w:spacing w:val="-7"/>
        </w:rPr>
        <w:t xml:space="preserve"> </w:t>
      </w:r>
      <w:r>
        <w:t>should</w:t>
      </w:r>
      <w:r>
        <w:rPr>
          <w:spacing w:val="-7"/>
        </w:rPr>
        <w:t xml:space="preserve"> </w:t>
      </w:r>
      <w:r>
        <w:t>be</w:t>
      </w:r>
      <w:r>
        <w:rPr>
          <w:spacing w:val="-8"/>
        </w:rPr>
        <w:t xml:space="preserve"> </w:t>
      </w:r>
      <w:r>
        <w:t>excluded</w:t>
      </w:r>
      <w:r>
        <w:rPr>
          <w:spacing w:val="-7"/>
        </w:rPr>
        <w:t xml:space="preserve"> </w:t>
      </w:r>
      <w:r>
        <w:t>by</w:t>
      </w:r>
      <w:r>
        <w:rPr>
          <w:spacing w:val="-5"/>
        </w:rPr>
        <w:t xml:space="preserve"> </w:t>
      </w:r>
      <w:r>
        <w:t>a supplementary gynaecological examination</w:t>
      </w:r>
      <w:r>
        <w:rPr>
          <w:rFonts w:ascii="Yu Gothic"/>
          <w:sz w:val="22"/>
        </w:rPr>
        <w:t>.</w:t>
      </w:r>
    </w:p>
    <w:p w14:paraId="76058D03" w14:textId="77777777" w:rsidR="000940E6" w:rsidRDefault="00B90DF7" w:rsidP="00B90DF7">
      <w:pPr>
        <w:pStyle w:val="BodyText"/>
        <w:spacing w:before="75" w:line="276" w:lineRule="auto"/>
        <w:ind w:right="132"/>
        <w:jc w:val="left"/>
      </w:pPr>
      <w:r>
        <w:t>Heparin should</w:t>
      </w:r>
      <w:r>
        <w:rPr>
          <w:spacing w:val="-2"/>
        </w:rPr>
        <w:t xml:space="preserve"> </w:t>
      </w:r>
      <w:r>
        <w:t>be</w:t>
      </w:r>
      <w:r>
        <w:rPr>
          <w:spacing w:val="-1"/>
        </w:rPr>
        <w:t xml:space="preserve"> </w:t>
      </w:r>
      <w:r>
        <w:t>administered</w:t>
      </w:r>
      <w:r>
        <w:rPr>
          <w:spacing w:val="-2"/>
        </w:rPr>
        <w:t xml:space="preserve"> </w:t>
      </w:r>
      <w:r>
        <w:t>with caution</w:t>
      </w:r>
      <w:r>
        <w:rPr>
          <w:spacing w:val="-2"/>
        </w:rPr>
        <w:t xml:space="preserve"> </w:t>
      </w:r>
      <w:r>
        <w:t>to</w:t>
      </w:r>
      <w:r>
        <w:rPr>
          <w:spacing w:val="-2"/>
        </w:rPr>
        <w:t xml:space="preserve"> </w:t>
      </w:r>
      <w:r>
        <w:t>patients</w:t>
      </w:r>
      <w:r>
        <w:rPr>
          <w:spacing w:val="-2"/>
        </w:rPr>
        <w:t xml:space="preserve"> </w:t>
      </w:r>
      <w:r>
        <w:t>with</w:t>
      </w:r>
      <w:r>
        <w:rPr>
          <w:spacing w:val="-2"/>
        </w:rPr>
        <w:t xml:space="preserve"> </w:t>
      </w:r>
      <w:r>
        <w:t>hypertension, a</w:t>
      </w:r>
      <w:r>
        <w:rPr>
          <w:spacing w:val="-3"/>
        </w:rPr>
        <w:t xml:space="preserve"> </w:t>
      </w:r>
      <w:r>
        <w:t>history</w:t>
      </w:r>
      <w:r>
        <w:rPr>
          <w:spacing w:val="-2"/>
        </w:rPr>
        <w:t xml:space="preserve"> </w:t>
      </w:r>
      <w:r>
        <w:t>of</w:t>
      </w:r>
      <w:r>
        <w:rPr>
          <w:spacing w:val="-1"/>
        </w:rPr>
        <w:t xml:space="preserve"> </w:t>
      </w:r>
      <w:r>
        <w:t>ulcers,</w:t>
      </w:r>
      <w:r>
        <w:rPr>
          <w:spacing w:val="-2"/>
        </w:rPr>
        <w:t xml:space="preserve"> </w:t>
      </w:r>
      <w:r>
        <w:t>or with vascular diseases of the chorio-retina, impaired hepatic function, hemostasis disorder, endocarditis, or during surgery of the eyes and central nervous system.</w:t>
      </w:r>
    </w:p>
    <w:p w14:paraId="4DFFB3EF" w14:textId="77777777" w:rsidR="000940E6" w:rsidRDefault="00B90DF7" w:rsidP="00B90DF7">
      <w:pPr>
        <w:pStyle w:val="BodyText"/>
        <w:spacing w:before="120" w:line="276" w:lineRule="auto"/>
        <w:ind w:right="130"/>
        <w:jc w:val="left"/>
      </w:pPr>
      <w:r>
        <w:t>Increased resistance to heparin is frequently encountered with fever, thrombosis, thrombophlebitis, infections with thrombosing tendencies, myocardial infarction, cancer and in post-surgical patients.</w:t>
      </w:r>
    </w:p>
    <w:p w14:paraId="65A6BDCD" w14:textId="77777777" w:rsidR="000940E6" w:rsidRDefault="00B90DF7" w:rsidP="00B90DF7">
      <w:pPr>
        <w:pStyle w:val="BodyText"/>
        <w:spacing w:before="119"/>
        <w:jc w:val="left"/>
      </w:pPr>
      <w:r>
        <w:t>Outpatients</w:t>
      </w:r>
      <w:r>
        <w:rPr>
          <w:spacing w:val="-3"/>
        </w:rPr>
        <w:t xml:space="preserve"> </w:t>
      </w:r>
      <w:r>
        <w:t>should</w:t>
      </w:r>
      <w:r>
        <w:rPr>
          <w:spacing w:val="-1"/>
        </w:rPr>
        <w:t xml:space="preserve"> </w:t>
      </w:r>
      <w:r>
        <w:t>be</w:t>
      </w:r>
      <w:r>
        <w:rPr>
          <w:spacing w:val="-2"/>
        </w:rPr>
        <w:t xml:space="preserve"> </w:t>
      </w:r>
      <w:r>
        <w:t>warned</w:t>
      </w:r>
      <w:r>
        <w:rPr>
          <w:spacing w:val="-1"/>
        </w:rPr>
        <w:t xml:space="preserve"> </w:t>
      </w:r>
      <w:r>
        <w:t>of</w:t>
      </w:r>
      <w:r>
        <w:rPr>
          <w:spacing w:val="-2"/>
        </w:rPr>
        <w:t xml:space="preserve"> </w:t>
      </w:r>
      <w:r>
        <w:t>the</w:t>
      </w:r>
      <w:r>
        <w:rPr>
          <w:spacing w:val="-2"/>
        </w:rPr>
        <w:t xml:space="preserve"> </w:t>
      </w:r>
      <w:r>
        <w:t>haemorrhagic risks</w:t>
      </w:r>
      <w:r>
        <w:rPr>
          <w:spacing w:val="-1"/>
        </w:rPr>
        <w:t xml:space="preserve"> </w:t>
      </w:r>
      <w:r>
        <w:t>in</w:t>
      </w:r>
      <w:r>
        <w:rPr>
          <w:spacing w:val="-1"/>
        </w:rPr>
        <w:t xml:space="preserve"> </w:t>
      </w:r>
      <w:r>
        <w:t>case</w:t>
      </w:r>
      <w:r>
        <w:rPr>
          <w:spacing w:val="-2"/>
        </w:rPr>
        <w:t xml:space="preserve"> </w:t>
      </w:r>
      <w:r>
        <w:t>of</w:t>
      </w:r>
      <w:r>
        <w:rPr>
          <w:spacing w:val="-2"/>
        </w:rPr>
        <w:t xml:space="preserve"> </w:t>
      </w:r>
      <w:r>
        <w:t xml:space="preserve">possible </w:t>
      </w:r>
      <w:r>
        <w:rPr>
          <w:spacing w:val="-2"/>
        </w:rPr>
        <w:t>trauma.</w:t>
      </w:r>
    </w:p>
    <w:p w14:paraId="48CC437B" w14:textId="77777777" w:rsidR="000940E6" w:rsidRDefault="000940E6" w:rsidP="00B90DF7">
      <w:pPr>
        <w:sectPr w:rsidR="000940E6">
          <w:pgSz w:w="11910" w:h="16840"/>
          <w:pgMar w:top="1340" w:right="1000" w:bottom="1420" w:left="1320" w:header="0" w:footer="1228" w:gutter="0"/>
          <w:cols w:space="720"/>
        </w:sectPr>
      </w:pPr>
    </w:p>
    <w:p w14:paraId="5F458FA3" w14:textId="77777777" w:rsidR="000940E6" w:rsidRDefault="00B90DF7" w:rsidP="00B90DF7">
      <w:pPr>
        <w:pStyle w:val="BodyText"/>
        <w:spacing w:before="60" w:line="276" w:lineRule="auto"/>
        <w:ind w:right="130"/>
        <w:jc w:val="left"/>
      </w:pPr>
      <w:r>
        <w:lastRenderedPageBreak/>
        <w:t>After</w:t>
      </w:r>
      <w:r>
        <w:rPr>
          <w:spacing w:val="-9"/>
        </w:rPr>
        <w:t xml:space="preserve"> </w:t>
      </w:r>
      <w:r>
        <w:t>prolonged</w:t>
      </w:r>
      <w:r>
        <w:rPr>
          <w:spacing w:val="-6"/>
        </w:rPr>
        <w:t xml:space="preserve"> </w:t>
      </w:r>
      <w:r>
        <w:t>administration,</w:t>
      </w:r>
      <w:r>
        <w:rPr>
          <w:spacing w:val="-8"/>
        </w:rPr>
        <w:t xml:space="preserve"> </w:t>
      </w:r>
      <w:r>
        <w:t>osteoporosis</w:t>
      </w:r>
      <w:r>
        <w:rPr>
          <w:spacing w:val="-8"/>
        </w:rPr>
        <w:t xml:space="preserve"> </w:t>
      </w:r>
      <w:r>
        <w:t>may</w:t>
      </w:r>
      <w:r>
        <w:rPr>
          <w:spacing w:val="-3"/>
        </w:rPr>
        <w:t xml:space="preserve"> </w:t>
      </w:r>
      <w:r>
        <w:t>develop,</w:t>
      </w:r>
      <w:r>
        <w:rPr>
          <w:spacing w:val="-8"/>
        </w:rPr>
        <w:t xml:space="preserve"> </w:t>
      </w:r>
      <w:r>
        <w:t>especially</w:t>
      </w:r>
      <w:r>
        <w:rPr>
          <w:spacing w:val="-8"/>
        </w:rPr>
        <w:t xml:space="preserve"> </w:t>
      </w:r>
      <w:r>
        <w:t>in</w:t>
      </w:r>
      <w:r>
        <w:rPr>
          <w:spacing w:val="-8"/>
        </w:rPr>
        <w:t xml:space="preserve"> </w:t>
      </w:r>
      <w:r>
        <w:t>predisposed</w:t>
      </w:r>
      <w:r>
        <w:rPr>
          <w:spacing w:val="-8"/>
        </w:rPr>
        <w:t xml:space="preserve"> </w:t>
      </w:r>
      <w:r>
        <w:t>patients</w:t>
      </w:r>
      <w:r>
        <w:rPr>
          <w:spacing w:val="-8"/>
        </w:rPr>
        <w:t xml:space="preserve"> </w:t>
      </w:r>
      <w:r>
        <w:t>(i.e. older people - especially postmenopausal women, pregnant and breastfeeding women). See also Sections 4.6 and 4.8.</w:t>
      </w:r>
    </w:p>
    <w:p w14:paraId="0AA444C6" w14:textId="77777777" w:rsidR="000940E6" w:rsidRDefault="00B90DF7" w:rsidP="00B90DF7">
      <w:pPr>
        <w:spacing w:before="121"/>
        <w:ind w:left="120"/>
        <w:rPr>
          <w:i/>
          <w:sz w:val="24"/>
        </w:rPr>
      </w:pPr>
      <w:r>
        <w:rPr>
          <w:i/>
          <w:sz w:val="24"/>
        </w:rPr>
        <w:t>Oral</w:t>
      </w:r>
      <w:r>
        <w:rPr>
          <w:i/>
          <w:spacing w:val="-1"/>
          <w:sz w:val="24"/>
        </w:rPr>
        <w:t xml:space="preserve"> </w:t>
      </w:r>
      <w:r>
        <w:rPr>
          <w:i/>
          <w:spacing w:val="-2"/>
          <w:sz w:val="24"/>
        </w:rPr>
        <w:t>Surgery</w:t>
      </w:r>
    </w:p>
    <w:p w14:paraId="5AEF0A43" w14:textId="77777777" w:rsidR="000940E6" w:rsidRDefault="00B90DF7" w:rsidP="00B90DF7">
      <w:pPr>
        <w:pStyle w:val="BodyText"/>
        <w:spacing w:line="276" w:lineRule="auto"/>
        <w:ind w:right="132"/>
        <w:jc w:val="left"/>
      </w:pPr>
      <w:r>
        <w:t>Heparin therapy increases the risk of localised haemorrhage during and following oral surgical (dental) procedures. Temporary heparin dosage reduction or withdrawal may therefore be advisable prior to oral surgery.</w:t>
      </w:r>
    </w:p>
    <w:p w14:paraId="1F699E3C" w14:textId="77777777" w:rsidR="000940E6" w:rsidRDefault="00B90DF7" w:rsidP="00B90DF7">
      <w:pPr>
        <w:spacing w:before="121"/>
        <w:ind w:left="120"/>
        <w:rPr>
          <w:i/>
          <w:sz w:val="24"/>
        </w:rPr>
      </w:pPr>
      <w:r>
        <w:rPr>
          <w:i/>
          <w:sz w:val="24"/>
        </w:rPr>
        <w:t>Serum</w:t>
      </w:r>
      <w:r>
        <w:rPr>
          <w:i/>
          <w:spacing w:val="-3"/>
          <w:sz w:val="24"/>
        </w:rPr>
        <w:t xml:space="preserve"> </w:t>
      </w:r>
      <w:r>
        <w:rPr>
          <w:i/>
          <w:spacing w:val="-2"/>
          <w:sz w:val="24"/>
        </w:rPr>
        <w:t>transaminase</w:t>
      </w:r>
    </w:p>
    <w:p w14:paraId="31E81ADF" w14:textId="77777777" w:rsidR="000940E6" w:rsidRDefault="00B90DF7" w:rsidP="00B90DF7">
      <w:pPr>
        <w:pStyle w:val="BodyText"/>
        <w:spacing w:before="160" w:line="276" w:lineRule="auto"/>
        <w:ind w:right="127"/>
        <w:jc w:val="left"/>
      </w:pPr>
      <w:r>
        <w:t>Significant</w:t>
      </w:r>
      <w:r>
        <w:rPr>
          <w:spacing w:val="-4"/>
        </w:rPr>
        <w:t xml:space="preserve"> </w:t>
      </w:r>
      <w:r>
        <w:t>elevations</w:t>
      </w:r>
      <w:r>
        <w:rPr>
          <w:spacing w:val="-5"/>
        </w:rPr>
        <w:t xml:space="preserve"> </w:t>
      </w:r>
      <w:r>
        <w:t>of</w:t>
      </w:r>
      <w:r>
        <w:rPr>
          <w:spacing w:val="-6"/>
        </w:rPr>
        <w:t xml:space="preserve"> </w:t>
      </w:r>
      <w:r>
        <w:t>AST</w:t>
      </w:r>
      <w:r>
        <w:rPr>
          <w:spacing w:val="-5"/>
        </w:rPr>
        <w:t xml:space="preserve"> </w:t>
      </w:r>
      <w:r>
        <w:t>and</w:t>
      </w:r>
      <w:r>
        <w:rPr>
          <w:spacing w:val="-5"/>
        </w:rPr>
        <w:t xml:space="preserve"> </w:t>
      </w:r>
      <w:r>
        <w:t>ALT</w:t>
      </w:r>
      <w:r>
        <w:rPr>
          <w:spacing w:val="-5"/>
        </w:rPr>
        <w:t xml:space="preserve"> </w:t>
      </w:r>
      <w:r>
        <w:t>levels</w:t>
      </w:r>
      <w:r>
        <w:rPr>
          <w:spacing w:val="-5"/>
        </w:rPr>
        <w:t xml:space="preserve"> </w:t>
      </w:r>
      <w:r>
        <w:t>have</w:t>
      </w:r>
      <w:r>
        <w:rPr>
          <w:spacing w:val="-6"/>
        </w:rPr>
        <w:t xml:space="preserve"> </w:t>
      </w:r>
      <w:r>
        <w:t>occurred</w:t>
      </w:r>
      <w:r>
        <w:rPr>
          <w:spacing w:val="-5"/>
        </w:rPr>
        <w:t xml:space="preserve"> </w:t>
      </w:r>
      <w:r>
        <w:t>in</w:t>
      </w:r>
      <w:r>
        <w:rPr>
          <w:spacing w:val="-5"/>
        </w:rPr>
        <w:t xml:space="preserve"> </w:t>
      </w:r>
      <w:r>
        <w:t>a</w:t>
      </w:r>
      <w:r>
        <w:rPr>
          <w:spacing w:val="-6"/>
        </w:rPr>
        <w:t xml:space="preserve"> </w:t>
      </w:r>
      <w:r>
        <w:t>high</w:t>
      </w:r>
      <w:r>
        <w:rPr>
          <w:spacing w:val="-5"/>
        </w:rPr>
        <w:t xml:space="preserve"> </w:t>
      </w:r>
      <w:r>
        <w:t>percentage</w:t>
      </w:r>
      <w:r>
        <w:rPr>
          <w:spacing w:val="-6"/>
        </w:rPr>
        <w:t xml:space="preserve"> </w:t>
      </w:r>
      <w:r>
        <w:t>of</w:t>
      </w:r>
      <w:r>
        <w:rPr>
          <w:spacing w:val="-6"/>
        </w:rPr>
        <w:t xml:space="preserve"> </w:t>
      </w:r>
      <w:r>
        <w:t>patients</w:t>
      </w:r>
      <w:r>
        <w:rPr>
          <w:spacing w:val="-5"/>
        </w:rPr>
        <w:t xml:space="preserve"> </w:t>
      </w:r>
      <w:r>
        <w:t>(and healthy subjects) who have received heparin. Since AST determinations are important in the differential diagnosis of myocardial infarction, liver disease and pulmonary embolism, rises that might be caused by drugs (like heparin) should be interpreted with caution.</w:t>
      </w:r>
    </w:p>
    <w:p w14:paraId="305BA3E5" w14:textId="77777777" w:rsidR="000940E6" w:rsidRDefault="00B90DF7" w:rsidP="00B90DF7">
      <w:pPr>
        <w:spacing w:before="121"/>
        <w:ind w:left="120"/>
        <w:rPr>
          <w:i/>
          <w:sz w:val="24"/>
        </w:rPr>
      </w:pPr>
      <w:r>
        <w:rPr>
          <w:i/>
          <w:sz w:val="24"/>
        </w:rPr>
        <w:t>Heparin</w:t>
      </w:r>
      <w:r>
        <w:rPr>
          <w:i/>
          <w:spacing w:val="-4"/>
          <w:sz w:val="24"/>
        </w:rPr>
        <w:t xml:space="preserve"> </w:t>
      </w:r>
      <w:r>
        <w:rPr>
          <w:i/>
          <w:spacing w:val="-2"/>
          <w:sz w:val="24"/>
        </w:rPr>
        <w:t>resistance</w:t>
      </w:r>
    </w:p>
    <w:p w14:paraId="46AB5B96" w14:textId="77777777" w:rsidR="000940E6" w:rsidRDefault="00B90DF7" w:rsidP="00B90DF7">
      <w:pPr>
        <w:pStyle w:val="BodyText"/>
        <w:spacing w:before="160" w:line="276" w:lineRule="auto"/>
        <w:ind w:right="131"/>
        <w:jc w:val="left"/>
        <w:rPr>
          <w:b/>
        </w:rPr>
      </w:pPr>
      <w:r>
        <w:t>Resistance to heparin is encountered in patients with antithrombin III deficiency. Adjustment of heparin doses based on anti Factor Xa levels may be warranted</w:t>
      </w:r>
      <w:r>
        <w:rPr>
          <w:b/>
        </w:rPr>
        <w:t>.</w:t>
      </w:r>
    </w:p>
    <w:p w14:paraId="36E569B3" w14:textId="77777777" w:rsidR="000940E6" w:rsidRDefault="00B90DF7" w:rsidP="00B90DF7">
      <w:pPr>
        <w:spacing w:before="122"/>
        <w:ind w:left="120"/>
        <w:rPr>
          <w:i/>
          <w:sz w:val="24"/>
        </w:rPr>
      </w:pPr>
      <w:r>
        <w:rPr>
          <w:i/>
          <w:sz w:val="24"/>
        </w:rPr>
        <w:t>Monitoring</w:t>
      </w:r>
      <w:r>
        <w:rPr>
          <w:i/>
          <w:spacing w:val="-2"/>
          <w:sz w:val="24"/>
        </w:rPr>
        <w:t xml:space="preserve"> </w:t>
      </w:r>
      <w:r>
        <w:rPr>
          <w:i/>
          <w:sz w:val="24"/>
        </w:rPr>
        <w:t>during</w:t>
      </w:r>
      <w:r>
        <w:rPr>
          <w:i/>
          <w:spacing w:val="-2"/>
          <w:sz w:val="24"/>
        </w:rPr>
        <w:t xml:space="preserve"> treatment</w:t>
      </w:r>
    </w:p>
    <w:p w14:paraId="1A14DA90" w14:textId="77777777" w:rsidR="000940E6" w:rsidRDefault="00B90DF7" w:rsidP="00B90DF7">
      <w:pPr>
        <w:pStyle w:val="BodyText"/>
        <w:spacing w:before="160" w:line="276" w:lineRule="auto"/>
        <w:ind w:right="130"/>
        <w:jc w:val="left"/>
      </w:pPr>
      <w:r>
        <w:t>Heparin therapy should be monitored carefully. Adequate monitoring of therapy reduces the risk of</w:t>
      </w:r>
      <w:r>
        <w:rPr>
          <w:spacing w:val="-1"/>
        </w:rPr>
        <w:t xml:space="preserve"> </w:t>
      </w:r>
      <w:r>
        <w:t>overdosage and consequent risk of</w:t>
      </w:r>
      <w:r>
        <w:rPr>
          <w:spacing w:val="-1"/>
        </w:rPr>
        <w:t xml:space="preserve"> </w:t>
      </w:r>
      <w:r>
        <w:t>haemorrhage</w:t>
      </w:r>
      <w:r>
        <w:rPr>
          <w:spacing w:val="-1"/>
        </w:rPr>
        <w:t xml:space="preserve"> </w:t>
      </w:r>
      <w:r>
        <w:t>and is an important guide</w:t>
      </w:r>
      <w:r>
        <w:rPr>
          <w:spacing w:val="-1"/>
        </w:rPr>
        <w:t xml:space="preserve"> </w:t>
      </w:r>
      <w:r>
        <w:t>to the</w:t>
      </w:r>
      <w:r>
        <w:rPr>
          <w:spacing w:val="-1"/>
        </w:rPr>
        <w:t xml:space="preserve"> </w:t>
      </w:r>
      <w:r>
        <w:t>development of serious adverse reactions such as delayed onset thrombocytopenia.</w:t>
      </w:r>
    </w:p>
    <w:p w14:paraId="2D117452" w14:textId="77777777" w:rsidR="000940E6" w:rsidRDefault="00B90DF7" w:rsidP="00B90DF7">
      <w:pPr>
        <w:pStyle w:val="BodyText"/>
        <w:spacing w:before="121" w:line="276" w:lineRule="auto"/>
        <w:ind w:right="130"/>
        <w:jc w:val="left"/>
      </w:pPr>
      <w:r>
        <w:t>Platelet counts should be monitored in patients receiving heparin for</w:t>
      </w:r>
      <w:r>
        <w:rPr>
          <w:spacing w:val="-1"/>
        </w:rPr>
        <w:t xml:space="preserve"> </w:t>
      </w:r>
      <w:r>
        <w:t>more than a</w:t>
      </w:r>
      <w:r>
        <w:rPr>
          <w:spacing w:val="-1"/>
        </w:rPr>
        <w:t xml:space="preserve"> </w:t>
      </w:r>
      <w:r>
        <w:t>few</w:t>
      </w:r>
      <w:r>
        <w:rPr>
          <w:spacing w:val="-1"/>
        </w:rPr>
        <w:t xml:space="preserve"> </w:t>
      </w:r>
      <w:r>
        <w:t>days, since heparin</w:t>
      </w:r>
      <w:r>
        <w:rPr>
          <w:spacing w:val="-11"/>
        </w:rPr>
        <w:t xml:space="preserve"> </w:t>
      </w:r>
      <w:r>
        <w:t>may</w:t>
      </w:r>
      <w:r>
        <w:rPr>
          <w:spacing w:val="-11"/>
        </w:rPr>
        <w:t xml:space="preserve"> </w:t>
      </w:r>
      <w:r>
        <w:t>cause</w:t>
      </w:r>
      <w:r>
        <w:rPr>
          <w:spacing w:val="-12"/>
        </w:rPr>
        <w:t xml:space="preserve"> </w:t>
      </w:r>
      <w:r>
        <w:t>thrombocytopenia</w:t>
      </w:r>
      <w:r>
        <w:rPr>
          <w:spacing w:val="-12"/>
        </w:rPr>
        <w:t xml:space="preserve"> </w:t>
      </w:r>
      <w:r>
        <w:t>with</w:t>
      </w:r>
      <w:r>
        <w:rPr>
          <w:spacing w:val="-11"/>
        </w:rPr>
        <w:t xml:space="preserve"> </w:t>
      </w:r>
      <w:r>
        <w:t>severe</w:t>
      </w:r>
      <w:r>
        <w:rPr>
          <w:spacing w:val="-12"/>
        </w:rPr>
        <w:t xml:space="preserve"> </w:t>
      </w:r>
      <w:r>
        <w:t>thromboembolic</w:t>
      </w:r>
      <w:r>
        <w:rPr>
          <w:spacing w:val="-12"/>
        </w:rPr>
        <w:t xml:space="preserve"> </w:t>
      </w:r>
      <w:r>
        <w:t>complications.</w:t>
      </w:r>
      <w:r>
        <w:rPr>
          <w:spacing w:val="-11"/>
        </w:rPr>
        <w:t xml:space="preserve"> </w:t>
      </w:r>
      <w:r>
        <w:t>Heparin</w:t>
      </w:r>
      <w:r>
        <w:rPr>
          <w:spacing w:val="-11"/>
        </w:rPr>
        <w:t xml:space="preserve"> </w:t>
      </w:r>
      <w:r>
        <w:t>should be discontinued if thrombocytopenia develops.</w:t>
      </w:r>
    </w:p>
    <w:p w14:paraId="11A83580" w14:textId="77777777" w:rsidR="000940E6" w:rsidRDefault="00B90DF7" w:rsidP="00B90DF7">
      <w:pPr>
        <w:spacing w:before="118"/>
        <w:ind w:left="120"/>
        <w:rPr>
          <w:i/>
          <w:sz w:val="24"/>
        </w:rPr>
      </w:pPr>
      <w:r>
        <w:rPr>
          <w:i/>
          <w:sz w:val="24"/>
        </w:rPr>
        <w:t>Heparin-induced</w:t>
      </w:r>
      <w:r>
        <w:rPr>
          <w:i/>
          <w:spacing w:val="-6"/>
          <w:sz w:val="24"/>
        </w:rPr>
        <w:t xml:space="preserve"> </w:t>
      </w:r>
      <w:r>
        <w:rPr>
          <w:i/>
          <w:sz w:val="24"/>
        </w:rPr>
        <w:t>Thrombosis-Thrombocytopenia</w:t>
      </w:r>
      <w:r>
        <w:rPr>
          <w:i/>
          <w:spacing w:val="-4"/>
          <w:sz w:val="24"/>
        </w:rPr>
        <w:t xml:space="preserve"> </w:t>
      </w:r>
      <w:r>
        <w:rPr>
          <w:i/>
          <w:sz w:val="24"/>
        </w:rPr>
        <w:t>Syndrome</w:t>
      </w:r>
      <w:r>
        <w:rPr>
          <w:i/>
          <w:spacing w:val="-5"/>
          <w:sz w:val="24"/>
        </w:rPr>
        <w:t xml:space="preserve"> </w:t>
      </w:r>
      <w:r>
        <w:rPr>
          <w:i/>
          <w:sz w:val="24"/>
        </w:rPr>
        <w:t>(HITTS</w:t>
      </w:r>
      <w:r>
        <w:rPr>
          <w:i/>
          <w:spacing w:val="-4"/>
          <w:sz w:val="24"/>
        </w:rPr>
        <w:t xml:space="preserve"> </w:t>
      </w:r>
      <w:r>
        <w:rPr>
          <w:i/>
          <w:sz w:val="24"/>
        </w:rPr>
        <w:t>or</w:t>
      </w:r>
      <w:r>
        <w:rPr>
          <w:i/>
          <w:spacing w:val="-4"/>
          <w:sz w:val="24"/>
        </w:rPr>
        <w:t xml:space="preserve"> </w:t>
      </w:r>
      <w:r>
        <w:rPr>
          <w:i/>
          <w:sz w:val="24"/>
        </w:rPr>
        <w:t>“white</w:t>
      </w:r>
      <w:r>
        <w:rPr>
          <w:i/>
          <w:spacing w:val="-5"/>
          <w:sz w:val="24"/>
        </w:rPr>
        <w:t xml:space="preserve"> </w:t>
      </w:r>
      <w:r>
        <w:rPr>
          <w:i/>
          <w:sz w:val="24"/>
        </w:rPr>
        <w:t>clot</w:t>
      </w:r>
      <w:r>
        <w:rPr>
          <w:i/>
          <w:spacing w:val="-3"/>
          <w:sz w:val="24"/>
        </w:rPr>
        <w:t xml:space="preserve"> </w:t>
      </w:r>
      <w:r>
        <w:rPr>
          <w:i/>
          <w:spacing w:val="-2"/>
          <w:sz w:val="24"/>
        </w:rPr>
        <w:t>syndrome”)</w:t>
      </w:r>
    </w:p>
    <w:p w14:paraId="7D191C74" w14:textId="77777777" w:rsidR="000940E6" w:rsidRDefault="00B90DF7" w:rsidP="00B90DF7">
      <w:pPr>
        <w:pStyle w:val="BodyText"/>
        <w:spacing w:line="276" w:lineRule="auto"/>
        <w:ind w:right="127"/>
        <w:jc w:val="left"/>
      </w:pPr>
      <w:r>
        <w:t>Patients on heparin may rarely develop Heparin-induced Thrombosis-Thrombocytopenia Syndrome: new thrombus formation in association with thrombocytopenia, as a result of irreversible platelet aggregation. This may lead to severe thromboembolic complications such as skin</w:t>
      </w:r>
      <w:r>
        <w:rPr>
          <w:spacing w:val="-14"/>
        </w:rPr>
        <w:t xml:space="preserve"> </w:t>
      </w:r>
      <w:r>
        <w:t>necrosis,</w:t>
      </w:r>
      <w:r>
        <w:rPr>
          <w:spacing w:val="-14"/>
        </w:rPr>
        <w:t xml:space="preserve"> </w:t>
      </w:r>
      <w:r>
        <w:t>gangrene</w:t>
      </w:r>
      <w:r>
        <w:rPr>
          <w:spacing w:val="-13"/>
        </w:rPr>
        <w:t xml:space="preserve"> </w:t>
      </w:r>
      <w:r>
        <w:t>of</w:t>
      </w:r>
      <w:r>
        <w:rPr>
          <w:spacing w:val="-15"/>
        </w:rPr>
        <w:t xml:space="preserve"> </w:t>
      </w:r>
      <w:r>
        <w:t>the</w:t>
      </w:r>
      <w:r>
        <w:rPr>
          <w:spacing w:val="-15"/>
        </w:rPr>
        <w:t xml:space="preserve"> </w:t>
      </w:r>
      <w:r>
        <w:t>extremities,</w:t>
      </w:r>
      <w:r>
        <w:rPr>
          <w:spacing w:val="-14"/>
        </w:rPr>
        <w:t xml:space="preserve"> </w:t>
      </w:r>
      <w:r>
        <w:t>myocardial</w:t>
      </w:r>
      <w:r>
        <w:rPr>
          <w:spacing w:val="-14"/>
        </w:rPr>
        <w:t xml:space="preserve"> </w:t>
      </w:r>
      <w:r>
        <w:t>infarction,</w:t>
      </w:r>
      <w:r>
        <w:rPr>
          <w:spacing w:val="-14"/>
        </w:rPr>
        <w:t xml:space="preserve"> </w:t>
      </w:r>
      <w:r>
        <w:t>pulmonary</w:t>
      </w:r>
      <w:r>
        <w:rPr>
          <w:spacing w:val="-14"/>
        </w:rPr>
        <w:t xml:space="preserve"> </w:t>
      </w:r>
      <w:r>
        <w:t>embolism</w:t>
      </w:r>
      <w:r>
        <w:rPr>
          <w:spacing w:val="-14"/>
        </w:rPr>
        <w:t xml:space="preserve"> </w:t>
      </w:r>
      <w:r>
        <w:t>and</w:t>
      </w:r>
      <w:r>
        <w:rPr>
          <w:spacing w:val="-14"/>
        </w:rPr>
        <w:t xml:space="preserve"> </w:t>
      </w:r>
      <w:r>
        <w:t>stroke. Heparin administration should therefore be discontinued if a patient develops new thrombosis in association with thrombocytopenia. These effects are probably of immuno-allergic nature, and occur</w:t>
      </w:r>
      <w:r>
        <w:rPr>
          <w:spacing w:val="-8"/>
        </w:rPr>
        <w:t xml:space="preserve"> </w:t>
      </w:r>
      <w:r>
        <w:t>mostly</w:t>
      </w:r>
      <w:r>
        <w:rPr>
          <w:spacing w:val="-7"/>
        </w:rPr>
        <w:t xml:space="preserve"> </w:t>
      </w:r>
      <w:r>
        <w:t>between</w:t>
      </w:r>
      <w:r>
        <w:rPr>
          <w:spacing w:val="-5"/>
        </w:rPr>
        <w:t xml:space="preserve"> </w:t>
      </w:r>
      <w:r>
        <w:t>the</w:t>
      </w:r>
      <w:r>
        <w:rPr>
          <w:spacing w:val="-6"/>
        </w:rPr>
        <w:t xml:space="preserve"> </w:t>
      </w:r>
      <w:r>
        <w:t>fifth</w:t>
      </w:r>
      <w:r>
        <w:rPr>
          <w:spacing w:val="-7"/>
        </w:rPr>
        <w:t xml:space="preserve"> </w:t>
      </w:r>
      <w:r>
        <w:t>and</w:t>
      </w:r>
      <w:r>
        <w:rPr>
          <w:spacing w:val="-5"/>
        </w:rPr>
        <w:t xml:space="preserve"> </w:t>
      </w:r>
      <w:r>
        <w:t>21st</w:t>
      </w:r>
      <w:r>
        <w:rPr>
          <w:spacing w:val="-7"/>
        </w:rPr>
        <w:t xml:space="preserve"> </w:t>
      </w:r>
      <w:r>
        <w:t>day</w:t>
      </w:r>
      <w:r>
        <w:rPr>
          <w:spacing w:val="-7"/>
        </w:rPr>
        <w:t xml:space="preserve"> </w:t>
      </w:r>
      <w:r>
        <w:t>of</w:t>
      </w:r>
      <w:r>
        <w:rPr>
          <w:spacing w:val="-8"/>
        </w:rPr>
        <w:t xml:space="preserve"> </w:t>
      </w:r>
      <w:r>
        <w:t>treatment</w:t>
      </w:r>
      <w:r>
        <w:rPr>
          <w:spacing w:val="-7"/>
        </w:rPr>
        <w:t xml:space="preserve"> </w:t>
      </w:r>
      <w:r>
        <w:t>in</w:t>
      </w:r>
      <w:r>
        <w:rPr>
          <w:spacing w:val="-7"/>
        </w:rPr>
        <w:t xml:space="preserve"> </w:t>
      </w:r>
      <w:r>
        <w:t>patients</w:t>
      </w:r>
      <w:r>
        <w:rPr>
          <w:spacing w:val="-7"/>
        </w:rPr>
        <w:t xml:space="preserve"> </w:t>
      </w:r>
      <w:r>
        <w:t>being</w:t>
      </w:r>
      <w:r>
        <w:rPr>
          <w:spacing w:val="-7"/>
        </w:rPr>
        <w:t xml:space="preserve"> </w:t>
      </w:r>
      <w:r>
        <w:t>treated</w:t>
      </w:r>
      <w:r>
        <w:rPr>
          <w:spacing w:val="-5"/>
        </w:rPr>
        <w:t xml:space="preserve"> </w:t>
      </w:r>
      <w:r>
        <w:t>with</w:t>
      </w:r>
      <w:r>
        <w:rPr>
          <w:spacing w:val="-7"/>
        </w:rPr>
        <w:t xml:space="preserve"> </w:t>
      </w:r>
      <w:r>
        <w:t>heparin</w:t>
      </w:r>
      <w:r>
        <w:rPr>
          <w:spacing w:val="-7"/>
        </w:rPr>
        <w:t xml:space="preserve"> </w:t>
      </w:r>
      <w:r>
        <w:t>for the first time.</w:t>
      </w:r>
    </w:p>
    <w:p w14:paraId="47658DBE" w14:textId="77777777" w:rsidR="000940E6" w:rsidRDefault="00B90DF7" w:rsidP="00B90DF7">
      <w:pPr>
        <w:spacing w:before="120"/>
        <w:ind w:left="120"/>
        <w:rPr>
          <w:i/>
          <w:sz w:val="24"/>
        </w:rPr>
      </w:pPr>
      <w:r>
        <w:rPr>
          <w:i/>
          <w:sz w:val="24"/>
        </w:rPr>
        <w:t>Delayed</w:t>
      </w:r>
      <w:r>
        <w:rPr>
          <w:i/>
          <w:spacing w:val="-4"/>
          <w:sz w:val="24"/>
        </w:rPr>
        <w:t xml:space="preserve"> </w:t>
      </w:r>
      <w:r>
        <w:rPr>
          <w:i/>
          <w:sz w:val="24"/>
        </w:rPr>
        <w:t>onset</w:t>
      </w:r>
      <w:r>
        <w:rPr>
          <w:i/>
          <w:spacing w:val="-1"/>
          <w:sz w:val="24"/>
        </w:rPr>
        <w:t xml:space="preserve"> </w:t>
      </w:r>
      <w:r>
        <w:rPr>
          <w:i/>
          <w:sz w:val="24"/>
        </w:rPr>
        <w:t>of</w:t>
      </w:r>
      <w:r>
        <w:rPr>
          <w:i/>
          <w:spacing w:val="-2"/>
          <w:sz w:val="24"/>
        </w:rPr>
        <w:t xml:space="preserve"> </w:t>
      </w:r>
      <w:r>
        <w:rPr>
          <w:i/>
          <w:sz w:val="24"/>
        </w:rPr>
        <w:t>HIT</w:t>
      </w:r>
      <w:r>
        <w:rPr>
          <w:i/>
          <w:spacing w:val="-1"/>
          <w:sz w:val="24"/>
        </w:rPr>
        <w:t xml:space="preserve"> </w:t>
      </w:r>
      <w:r>
        <w:rPr>
          <w:i/>
          <w:sz w:val="24"/>
        </w:rPr>
        <w:t>and</w:t>
      </w:r>
      <w:r>
        <w:rPr>
          <w:i/>
          <w:spacing w:val="-1"/>
          <w:sz w:val="24"/>
        </w:rPr>
        <w:t xml:space="preserve"> </w:t>
      </w:r>
      <w:r>
        <w:rPr>
          <w:i/>
          <w:spacing w:val="-4"/>
          <w:sz w:val="24"/>
        </w:rPr>
        <w:t>HITT</w:t>
      </w:r>
    </w:p>
    <w:p w14:paraId="1DFB98C1" w14:textId="77777777" w:rsidR="000940E6" w:rsidRDefault="00B90DF7" w:rsidP="00B90DF7">
      <w:pPr>
        <w:pStyle w:val="BodyText"/>
        <w:spacing w:before="164" w:line="276" w:lineRule="auto"/>
        <w:ind w:right="130"/>
        <w:jc w:val="left"/>
      </w:pPr>
      <w:r>
        <w:t>Heparin-induced thrombocytopenia (HIT) and Heparin-induced Thrombocytopenia and Thrombosis (HITT) can occur up to several weeks after the discontinuation of heparin therapy. Patients presenting with thrombocytopenia or thrombosis after discontinuation of heparin should be evaluated for HIT and HITT.</w:t>
      </w:r>
    </w:p>
    <w:p w14:paraId="581FD8B6" w14:textId="77777777" w:rsidR="000940E6" w:rsidRDefault="000940E6" w:rsidP="00B90DF7">
      <w:pPr>
        <w:spacing w:line="276" w:lineRule="auto"/>
        <w:sectPr w:rsidR="000940E6">
          <w:pgSz w:w="11910" w:h="16840"/>
          <w:pgMar w:top="1360" w:right="1000" w:bottom="1420" w:left="1320" w:header="0" w:footer="1228" w:gutter="0"/>
          <w:cols w:space="720"/>
        </w:sectPr>
      </w:pPr>
    </w:p>
    <w:p w14:paraId="58C9AB96" w14:textId="77777777" w:rsidR="000940E6" w:rsidRDefault="00B90DF7" w:rsidP="00B90DF7">
      <w:pPr>
        <w:spacing w:before="60"/>
        <w:ind w:left="120"/>
        <w:rPr>
          <w:i/>
          <w:sz w:val="24"/>
        </w:rPr>
      </w:pPr>
      <w:r>
        <w:rPr>
          <w:i/>
          <w:spacing w:val="-2"/>
          <w:sz w:val="24"/>
        </w:rPr>
        <w:lastRenderedPageBreak/>
        <w:t>Hyperkalemia</w:t>
      </w:r>
    </w:p>
    <w:p w14:paraId="4BC881CB" w14:textId="77777777" w:rsidR="000940E6" w:rsidRDefault="00B90DF7" w:rsidP="00B90DF7">
      <w:pPr>
        <w:pStyle w:val="BodyText"/>
        <w:spacing w:line="276" w:lineRule="auto"/>
        <w:ind w:right="128"/>
        <w:jc w:val="left"/>
      </w:pPr>
      <w:r>
        <w:t>Heparin</w:t>
      </w:r>
      <w:r>
        <w:rPr>
          <w:spacing w:val="-1"/>
        </w:rPr>
        <w:t xml:space="preserve"> </w:t>
      </w:r>
      <w:r>
        <w:t>can</w:t>
      </w:r>
      <w:r>
        <w:rPr>
          <w:spacing w:val="-1"/>
        </w:rPr>
        <w:t xml:space="preserve"> </w:t>
      </w:r>
      <w:r>
        <w:t>suppress</w:t>
      </w:r>
      <w:r>
        <w:rPr>
          <w:spacing w:val="-1"/>
        </w:rPr>
        <w:t xml:space="preserve"> </w:t>
      </w:r>
      <w:r>
        <w:t>adrenal</w:t>
      </w:r>
      <w:r>
        <w:rPr>
          <w:spacing w:val="-1"/>
        </w:rPr>
        <w:t xml:space="preserve"> </w:t>
      </w:r>
      <w:r>
        <w:t>secretion</w:t>
      </w:r>
      <w:r>
        <w:rPr>
          <w:spacing w:val="-1"/>
        </w:rPr>
        <w:t xml:space="preserve"> </w:t>
      </w:r>
      <w:r>
        <w:t>of</w:t>
      </w:r>
      <w:r>
        <w:rPr>
          <w:spacing w:val="-2"/>
        </w:rPr>
        <w:t xml:space="preserve"> </w:t>
      </w:r>
      <w:r>
        <w:t>aldosterone</w:t>
      </w:r>
      <w:r>
        <w:rPr>
          <w:spacing w:val="-2"/>
        </w:rPr>
        <w:t xml:space="preserve"> </w:t>
      </w:r>
      <w:r>
        <w:t>leading</w:t>
      </w:r>
      <w:r>
        <w:rPr>
          <w:spacing w:val="-1"/>
        </w:rPr>
        <w:t xml:space="preserve"> </w:t>
      </w:r>
      <w:r>
        <w:t>to</w:t>
      </w:r>
      <w:r>
        <w:rPr>
          <w:spacing w:val="-1"/>
        </w:rPr>
        <w:t xml:space="preserve"> </w:t>
      </w:r>
      <w:r>
        <w:t>hyperkalemia,</w:t>
      </w:r>
      <w:r>
        <w:rPr>
          <w:spacing w:val="-1"/>
        </w:rPr>
        <w:t xml:space="preserve"> </w:t>
      </w:r>
      <w:r>
        <w:t>in</w:t>
      </w:r>
      <w:r>
        <w:rPr>
          <w:spacing w:val="-1"/>
        </w:rPr>
        <w:t xml:space="preserve"> </w:t>
      </w:r>
      <w:r>
        <w:t>patients</w:t>
      </w:r>
      <w:r>
        <w:rPr>
          <w:spacing w:val="-3"/>
        </w:rPr>
        <w:t xml:space="preserve"> </w:t>
      </w:r>
      <w:r>
        <w:t>at</w:t>
      </w:r>
      <w:r>
        <w:rPr>
          <w:spacing w:val="-1"/>
        </w:rPr>
        <w:t xml:space="preserve"> </w:t>
      </w:r>
      <w:r>
        <w:t>risk of</w:t>
      </w:r>
      <w:r>
        <w:rPr>
          <w:spacing w:val="-8"/>
        </w:rPr>
        <w:t xml:space="preserve"> </w:t>
      </w:r>
      <w:r>
        <w:t>increased</w:t>
      </w:r>
      <w:r>
        <w:rPr>
          <w:spacing w:val="-5"/>
        </w:rPr>
        <w:t xml:space="preserve"> </w:t>
      </w:r>
      <w:r>
        <w:t>potassium</w:t>
      </w:r>
      <w:r>
        <w:rPr>
          <w:spacing w:val="-7"/>
        </w:rPr>
        <w:t xml:space="preserve"> </w:t>
      </w:r>
      <w:r>
        <w:t>levels</w:t>
      </w:r>
      <w:r>
        <w:rPr>
          <w:spacing w:val="-7"/>
        </w:rPr>
        <w:t xml:space="preserve"> </w:t>
      </w:r>
      <w:r>
        <w:t>such</w:t>
      </w:r>
      <w:r>
        <w:rPr>
          <w:spacing w:val="-5"/>
        </w:rPr>
        <w:t xml:space="preserve"> </w:t>
      </w:r>
      <w:r>
        <w:t>as</w:t>
      </w:r>
      <w:r>
        <w:rPr>
          <w:spacing w:val="-7"/>
        </w:rPr>
        <w:t xml:space="preserve"> </w:t>
      </w:r>
      <w:r>
        <w:t>patients</w:t>
      </w:r>
      <w:r>
        <w:rPr>
          <w:spacing w:val="-7"/>
        </w:rPr>
        <w:t xml:space="preserve"> </w:t>
      </w:r>
      <w:r>
        <w:t>with</w:t>
      </w:r>
      <w:r>
        <w:rPr>
          <w:spacing w:val="-5"/>
        </w:rPr>
        <w:t xml:space="preserve"> </w:t>
      </w:r>
      <w:r>
        <w:t>diabetes</w:t>
      </w:r>
      <w:r>
        <w:rPr>
          <w:spacing w:val="-7"/>
        </w:rPr>
        <w:t xml:space="preserve"> </w:t>
      </w:r>
      <w:r>
        <w:t>mellitus,</w:t>
      </w:r>
      <w:r>
        <w:rPr>
          <w:spacing w:val="-7"/>
        </w:rPr>
        <w:t xml:space="preserve"> </w:t>
      </w:r>
      <w:r>
        <w:t>renal</w:t>
      </w:r>
      <w:r>
        <w:rPr>
          <w:spacing w:val="-7"/>
        </w:rPr>
        <w:t xml:space="preserve"> </w:t>
      </w:r>
      <w:r>
        <w:t>insufficiency</w:t>
      </w:r>
      <w:r>
        <w:rPr>
          <w:spacing w:val="-5"/>
        </w:rPr>
        <w:t xml:space="preserve"> </w:t>
      </w:r>
      <w:r>
        <w:t>or</w:t>
      </w:r>
      <w:r>
        <w:rPr>
          <w:spacing w:val="-8"/>
        </w:rPr>
        <w:t xml:space="preserve"> </w:t>
      </w:r>
      <w:r>
        <w:t>taking drugs</w:t>
      </w:r>
      <w:r>
        <w:rPr>
          <w:spacing w:val="-14"/>
        </w:rPr>
        <w:t xml:space="preserve"> </w:t>
      </w:r>
      <w:r>
        <w:t>that</w:t>
      </w:r>
      <w:r>
        <w:rPr>
          <w:spacing w:val="-14"/>
        </w:rPr>
        <w:t xml:space="preserve"> </w:t>
      </w:r>
      <w:r>
        <w:t>may</w:t>
      </w:r>
      <w:r>
        <w:rPr>
          <w:spacing w:val="-12"/>
        </w:rPr>
        <w:t xml:space="preserve"> </w:t>
      </w:r>
      <w:r>
        <w:t>increase</w:t>
      </w:r>
      <w:r>
        <w:rPr>
          <w:spacing w:val="-13"/>
        </w:rPr>
        <w:t xml:space="preserve"> </w:t>
      </w:r>
      <w:r>
        <w:t>plasma</w:t>
      </w:r>
      <w:r>
        <w:rPr>
          <w:spacing w:val="-15"/>
        </w:rPr>
        <w:t xml:space="preserve"> </w:t>
      </w:r>
      <w:r>
        <w:t>potassium</w:t>
      </w:r>
      <w:r>
        <w:rPr>
          <w:spacing w:val="-14"/>
        </w:rPr>
        <w:t xml:space="preserve"> </w:t>
      </w:r>
      <w:r>
        <w:t>levels</w:t>
      </w:r>
      <w:r>
        <w:rPr>
          <w:spacing w:val="-12"/>
        </w:rPr>
        <w:t xml:space="preserve"> </w:t>
      </w:r>
      <w:r>
        <w:t>such</w:t>
      </w:r>
      <w:r>
        <w:rPr>
          <w:spacing w:val="-14"/>
        </w:rPr>
        <w:t xml:space="preserve"> </w:t>
      </w:r>
      <w:r>
        <w:t>as</w:t>
      </w:r>
      <w:r>
        <w:rPr>
          <w:spacing w:val="-12"/>
        </w:rPr>
        <w:t xml:space="preserve"> </w:t>
      </w:r>
      <w:r>
        <w:t>ACE</w:t>
      </w:r>
      <w:r>
        <w:rPr>
          <w:spacing w:val="-15"/>
        </w:rPr>
        <w:t xml:space="preserve"> </w:t>
      </w:r>
      <w:r>
        <w:t>inhibitors.</w:t>
      </w:r>
      <w:r>
        <w:rPr>
          <w:spacing w:val="-14"/>
        </w:rPr>
        <w:t xml:space="preserve"> </w:t>
      </w:r>
      <w:r>
        <w:t>The</w:t>
      </w:r>
      <w:r>
        <w:rPr>
          <w:spacing w:val="-15"/>
        </w:rPr>
        <w:t xml:space="preserve"> </w:t>
      </w:r>
      <w:r>
        <w:t>risk</w:t>
      </w:r>
      <w:r>
        <w:rPr>
          <w:spacing w:val="-14"/>
        </w:rPr>
        <w:t xml:space="preserve"> </w:t>
      </w:r>
      <w:r>
        <w:t>of</w:t>
      </w:r>
      <w:r>
        <w:rPr>
          <w:spacing w:val="-15"/>
        </w:rPr>
        <w:t xml:space="preserve"> </w:t>
      </w:r>
      <w:r>
        <w:t>hyperkalemia appears to increase with the duration of treatment, but is normally reversible.</w:t>
      </w:r>
    </w:p>
    <w:p w14:paraId="66281C97" w14:textId="77777777" w:rsidR="000940E6" w:rsidRDefault="00B90DF7" w:rsidP="00B90DF7">
      <w:pPr>
        <w:pStyle w:val="Heading2"/>
      </w:pPr>
      <w:bookmarkStart w:id="14" w:name="Use_in_hepatic_impairment"/>
      <w:bookmarkEnd w:id="14"/>
      <w:r>
        <w:t>Use</w:t>
      </w:r>
      <w:r>
        <w:rPr>
          <w:spacing w:val="-2"/>
        </w:rPr>
        <w:t xml:space="preserve"> </w:t>
      </w:r>
      <w:r>
        <w:t>in</w:t>
      </w:r>
      <w:r>
        <w:rPr>
          <w:spacing w:val="-1"/>
        </w:rPr>
        <w:t xml:space="preserve"> </w:t>
      </w:r>
      <w:r>
        <w:t>hepatic</w:t>
      </w:r>
      <w:r>
        <w:rPr>
          <w:spacing w:val="-1"/>
        </w:rPr>
        <w:t xml:space="preserve"> </w:t>
      </w:r>
      <w:r>
        <w:rPr>
          <w:spacing w:val="-2"/>
        </w:rPr>
        <w:t>impairment</w:t>
      </w:r>
    </w:p>
    <w:p w14:paraId="2BDDB083" w14:textId="77777777" w:rsidR="000940E6" w:rsidRDefault="00B90DF7" w:rsidP="00B90DF7">
      <w:pPr>
        <w:pStyle w:val="BodyText"/>
        <w:spacing w:before="242" w:line="273" w:lineRule="auto"/>
        <w:ind w:right="130"/>
        <w:jc w:val="left"/>
      </w:pPr>
      <w:bookmarkStart w:id="15" w:name="Heparin_should_be_administered_with_caut"/>
      <w:bookmarkEnd w:id="15"/>
      <w:r>
        <w:t>Heparin should be administered with caution to patients with hepatic disease. Dosage reduction may be necessary in patients with advanced hepatic disease.</w:t>
      </w:r>
    </w:p>
    <w:p w14:paraId="72C95B64" w14:textId="77777777" w:rsidR="000940E6" w:rsidRDefault="00B90DF7" w:rsidP="00B90DF7">
      <w:pPr>
        <w:pStyle w:val="Heading2"/>
        <w:spacing w:before="206"/>
      </w:pPr>
      <w:bookmarkStart w:id="16" w:name="Use_in_renal_impairment"/>
      <w:bookmarkEnd w:id="16"/>
      <w:r>
        <w:t>Use</w:t>
      </w:r>
      <w:r>
        <w:rPr>
          <w:spacing w:val="-2"/>
        </w:rPr>
        <w:t xml:space="preserve"> </w:t>
      </w:r>
      <w:r>
        <w:t>in</w:t>
      </w:r>
      <w:r>
        <w:rPr>
          <w:spacing w:val="-1"/>
        </w:rPr>
        <w:t xml:space="preserve"> </w:t>
      </w:r>
      <w:r>
        <w:t>renal</w:t>
      </w:r>
      <w:r>
        <w:rPr>
          <w:spacing w:val="-1"/>
        </w:rPr>
        <w:t xml:space="preserve"> </w:t>
      </w:r>
      <w:r>
        <w:rPr>
          <w:spacing w:val="-2"/>
        </w:rPr>
        <w:t>impairment</w:t>
      </w:r>
    </w:p>
    <w:p w14:paraId="31C4084F" w14:textId="77777777" w:rsidR="000940E6" w:rsidRDefault="00B90DF7" w:rsidP="00B90DF7">
      <w:pPr>
        <w:pStyle w:val="BodyText"/>
        <w:spacing w:before="159" w:line="276" w:lineRule="auto"/>
        <w:ind w:right="132"/>
        <w:jc w:val="left"/>
        <w:rPr>
          <w:b/>
        </w:rPr>
      </w:pPr>
      <w:r>
        <w:t>Heparin</w:t>
      </w:r>
      <w:r>
        <w:rPr>
          <w:spacing w:val="-11"/>
        </w:rPr>
        <w:t xml:space="preserve"> </w:t>
      </w:r>
      <w:r>
        <w:t>should</w:t>
      </w:r>
      <w:r>
        <w:rPr>
          <w:spacing w:val="-11"/>
        </w:rPr>
        <w:t xml:space="preserve"> </w:t>
      </w:r>
      <w:r>
        <w:t>be</w:t>
      </w:r>
      <w:r>
        <w:rPr>
          <w:spacing w:val="-9"/>
        </w:rPr>
        <w:t xml:space="preserve"> </w:t>
      </w:r>
      <w:r>
        <w:t>administered</w:t>
      </w:r>
      <w:r>
        <w:rPr>
          <w:spacing w:val="-11"/>
        </w:rPr>
        <w:t xml:space="preserve"> </w:t>
      </w:r>
      <w:r>
        <w:t>with</w:t>
      </w:r>
      <w:r>
        <w:rPr>
          <w:spacing w:val="-11"/>
        </w:rPr>
        <w:t xml:space="preserve"> </w:t>
      </w:r>
      <w:r>
        <w:t>caution</w:t>
      </w:r>
      <w:r>
        <w:rPr>
          <w:spacing w:val="-11"/>
        </w:rPr>
        <w:t xml:space="preserve"> </w:t>
      </w:r>
      <w:r>
        <w:t>to</w:t>
      </w:r>
      <w:r>
        <w:rPr>
          <w:spacing w:val="-11"/>
        </w:rPr>
        <w:t xml:space="preserve"> </w:t>
      </w:r>
      <w:r>
        <w:t>patients</w:t>
      </w:r>
      <w:r>
        <w:rPr>
          <w:spacing w:val="-10"/>
        </w:rPr>
        <w:t xml:space="preserve"> </w:t>
      </w:r>
      <w:r>
        <w:t>with</w:t>
      </w:r>
      <w:r>
        <w:rPr>
          <w:spacing w:val="-11"/>
        </w:rPr>
        <w:t xml:space="preserve"> </w:t>
      </w:r>
      <w:r>
        <w:t>renal</w:t>
      </w:r>
      <w:r>
        <w:rPr>
          <w:spacing w:val="-10"/>
        </w:rPr>
        <w:t xml:space="preserve"> </w:t>
      </w:r>
      <w:r>
        <w:t>disease.</w:t>
      </w:r>
      <w:r>
        <w:rPr>
          <w:spacing w:val="-8"/>
        </w:rPr>
        <w:t xml:space="preserve"> </w:t>
      </w:r>
      <w:r>
        <w:t>Dosage</w:t>
      </w:r>
      <w:r>
        <w:rPr>
          <w:spacing w:val="-12"/>
        </w:rPr>
        <w:t xml:space="preserve"> </w:t>
      </w:r>
      <w:r>
        <w:t>reduction</w:t>
      </w:r>
      <w:r>
        <w:rPr>
          <w:spacing w:val="-11"/>
        </w:rPr>
        <w:t xml:space="preserve"> </w:t>
      </w:r>
      <w:r>
        <w:t>may be necessary in patients with advanced renal disease</w:t>
      </w:r>
      <w:r>
        <w:rPr>
          <w:b/>
        </w:rPr>
        <w:t>.</w:t>
      </w:r>
    </w:p>
    <w:p w14:paraId="487F97A4" w14:textId="77777777" w:rsidR="000940E6" w:rsidRDefault="00B90DF7" w:rsidP="00B90DF7">
      <w:pPr>
        <w:pStyle w:val="Heading2"/>
        <w:spacing w:before="203"/>
      </w:pPr>
      <w:bookmarkStart w:id="17" w:name="Use_in_the_elderly"/>
      <w:bookmarkEnd w:id="17"/>
      <w:r>
        <w:t>Use</w:t>
      </w:r>
      <w:r>
        <w:rPr>
          <w:spacing w:val="-2"/>
        </w:rPr>
        <w:t xml:space="preserve"> </w:t>
      </w:r>
      <w:r>
        <w:t>in</w:t>
      </w:r>
      <w:r>
        <w:rPr>
          <w:spacing w:val="-1"/>
        </w:rPr>
        <w:t xml:space="preserve"> </w:t>
      </w:r>
      <w:r>
        <w:t>the</w:t>
      </w:r>
      <w:r>
        <w:rPr>
          <w:spacing w:val="-1"/>
        </w:rPr>
        <w:t xml:space="preserve"> </w:t>
      </w:r>
      <w:r>
        <w:rPr>
          <w:spacing w:val="-2"/>
        </w:rPr>
        <w:t>elderly</w:t>
      </w:r>
    </w:p>
    <w:p w14:paraId="61E9395B" w14:textId="77777777" w:rsidR="000940E6" w:rsidRDefault="00B90DF7" w:rsidP="00B90DF7">
      <w:pPr>
        <w:pStyle w:val="BodyText"/>
        <w:spacing w:before="158" w:line="276" w:lineRule="auto"/>
        <w:ind w:right="130"/>
        <w:jc w:val="left"/>
      </w:pPr>
      <w:r>
        <w:t xml:space="preserve">Dosage should be reduced in elderly people. Patients aged 60 years or over, especially women, may be more susceptible to haemorrhage during heparin therapy. Patients should be carefully </w:t>
      </w:r>
      <w:r>
        <w:rPr>
          <w:spacing w:val="-2"/>
        </w:rPr>
        <w:t>monitored.</w:t>
      </w:r>
    </w:p>
    <w:p w14:paraId="4B4A3C89" w14:textId="77777777" w:rsidR="000940E6" w:rsidRDefault="00B90DF7" w:rsidP="00B90DF7">
      <w:pPr>
        <w:pStyle w:val="Heading2"/>
      </w:pPr>
      <w:bookmarkStart w:id="18" w:name="Paediatric_use"/>
      <w:bookmarkEnd w:id="18"/>
      <w:r>
        <w:t>Paediatric</w:t>
      </w:r>
      <w:r>
        <w:rPr>
          <w:spacing w:val="-5"/>
        </w:rPr>
        <w:t xml:space="preserve"> use</w:t>
      </w:r>
    </w:p>
    <w:p w14:paraId="7A0143DC" w14:textId="77777777" w:rsidR="000940E6" w:rsidRDefault="00B90DF7" w:rsidP="00B90DF7">
      <w:pPr>
        <w:pStyle w:val="BodyText"/>
        <w:spacing w:before="240" w:line="276" w:lineRule="auto"/>
        <w:ind w:right="132"/>
        <w:jc w:val="left"/>
      </w:pPr>
      <w:bookmarkStart w:id="19" w:name="There_are_no_adequate_and_well_controlle"/>
      <w:bookmarkEnd w:id="19"/>
      <w:r>
        <w:t>There</w:t>
      </w:r>
      <w:r>
        <w:rPr>
          <w:spacing w:val="-11"/>
        </w:rPr>
        <w:t xml:space="preserve"> </w:t>
      </w:r>
      <w:r>
        <w:t>are</w:t>
      </w:r>
      <w:r>
        <w:rPr>
          <w:spacing w:val="-11"/>
        </w:rPr>
        <w:t xml:space="preserve"> </w:t>
      </w:r>
      <w:r>
        <w:t>no</w:t>
      </w:r>
      <w:r>
        <w:rPr>
          <w:spacing w:val="-10"/>
        </w:rPr>
        <w:t xml:space="preserve"> </w:t>
      </w:r>
      <w:r>
        <w:t>adequate</w:t>
      </w:r>
      <w:r>
        <w:rPr>
          <w:spacing w:val="-11"/>
        </w:rPr>
        <w:t xml:space="preserve"> </w:t>
      </w:r>
      <w:r>
        <w:t>and</w:t>
      </w:r>
      <w:r>
        <w:rPr>
          <w:spacing w:val="-10"/>
        </w:rPr>
        <w:t xml:space="preserve"> </w:t>
      </w:r>
      <w:r>
        <w:t>well</w:t>
      </w:r>
      <w:r>
        <w:rPr>
          <w:spacing w:val="-9"/>
        </w:rPr>
        <w:t xml:space="preserve"> </w:t>
      </w:r>
      <w:r>
        <w:t>controlled</w:t>
      </w:r>
      <w:r>
        <w:rPr>
          <w:spacing w:val="-10"/>
        </w:rPr>
        <w:t xml:space="preserve"> </w:t>
      </w:r>
      <w:r>
        <w:t>studies</w:t>
      </w:r>
      <w:r>
        <w:rPr>
          <w:spacing w:val="-9"/>
        </w:rPr>
        <w:t xml:space="preserve"> </w:t>
      </w:r>
      <w:r>
        <w:t>on</w:t>
      </w:r>
      <w:r>
        <w:rPr>
          <w:spacing w:val="-10"/>
        </w:rPr>
        <w:t xml:space="preserve"> </w:t>
      </w:r>
      <w:r>
        <w:t>heparin</w:t>
      </w:r>
      <w:r>
        <w:rPr>
          <w:spacing w:val="-10"/>
        </w:rPr>
        <w:t xml:space="preserve"> </w:t>
      </w:r>
      <w:r>
        <w:t>use</w:t>
      </w:r>
      <w:r>
        <w:rPr>
          <w:spacing w:val="-11"/>
        </w:rPr>
        <w:t xml:space="preserve"> </w:t>
      </w:r>
      <w:r>
        <w:t>in</w:t>
      </w:r>
      <w:r>
        <w:rPr>
          <w:spacing w:val="-10"/>
        </w:rPr>
        <w:t xml:space="preserve"> </w:t>
      </w:r>
      <w:r>
        <w:t>paediatric</w:t>
      </w:r>
      <w:r>
        <w:rPr>
          <w:spacing w:val="-11"/>
        </w:rPr>
        <w:t xml:space="preserve"> </w:t>
      </w:r>
      <w:r>
        <w:t>patients</w:t>
      </w:r>
      <w:r>
        <w:rPr>
          <w:b/>
          <w:sz w:val="23"/>
        </w:rPr>
        <w:t>.</w:t>
      </w:r>
      <w:r>
        <w:rPr>
          <w:b/>
          <w:spacing w:val="-10"/>
          <w:sz w:val="23"/>
        </w:rPr>
        <w:t xml:space="preserve"> </w:t>
      </w:r>
      <w:r>
        <w:t>HEPARIN INTERPHARMA</w:t>
      </w:r>
      <w:r>
        <w:rPr>
          <w:spacing w:val="-8"/>
        </w:rPr>
        <w:t xml:space="preserve"> </w:t>
      </w:r>
      <w:r>
        <w:t>is</w:t>
      </w:r>
      <w:r>
        <w:rPr>
          <w:spacing w:val="-7"/>
        </w:rPr>
        <w:t xml:space="preserve"> </w:t>
      </w:r>
      <w:r>
        <w:t>in</w:t>
      </w:r>
      <w:r>
        <w:rPr>
          <w:spacing w:val="-7"/>
        </w:rPr>
        <w:t xml:space="preserve"> </w:t>
      </w:r>
      <w:r>
        <w:t>a</w:t>
      </w:r>
      <w:r>
        <w:rPr>
          <w:spacing w:val="-8"/>
        </w:rPr>
        <w:t xml:space="preserve"> </w:t>
      </w:r>
      <w:r>
        <w:t>prefilled</w:t>
      </w:r>
      <w:r>
        <w:rPr>
          <w:spacing w:val="-7"/>
        </w:rPr>
        <w:t xml:space="preserve"> </w:t>
      </w:r>
      <w:r>
        <w:t>syringe</w:t>
      </w:r>
      <w:r>
        <w:rPr>
          <w:spacing w:val="-6"/>
        </w:rPr>
        <w:t xml:space="preserve"> </w:t>
      </w:r>
      <w:r>
        <w:t>and</w:t>
      </w:r>
      <w:r>
        <w:rPr>
          <w:spacing w:val="-7"/>
        </w:rPr>
        <w:t xml:space="preserve"> </w:t>
      </w:r>
      <w:r>
        <w:t>should</w:t>
      </w:r>
      <w:r>
        <w:rPr>
          <w:spacing w:val="-7"/>
        </w:rPr>
        <w:t xml:space="preserve"> </w:t>
      </w:r>
      <w:r>
        <w:t>not</w:t>
      </w:r>
      <w:r>
        <w:rPr>
          <w:spacing w:val="-7"/>
        </w:rPr>
        <w:t xml:space="preserve"> </w:t>
      </w:r>
      <w:r>
        <w:t>be</w:t>
      </w:r>
      <w:r>
        <w:rPr>
          <w:spacing w:val="-8"/>
        </w:rPr>
        <w:t xml:space="preserve"> </w:t>
      </w:r>
      <w:r>
        <w:t>administered</w:t>
      </w:r>
      <w:r>
        <w:rPr>
          <w:spacing w:val="-7"/>
        </w:rPr>
        <w:t xml:space="preserve"> </w:t>
      </w:r>
      <w:r>
        <w:t>to</w:t>
      </w:r>
      <w:r>
        <w:rPr>
          <w:spacing w:val="-7"/>
        </w:rPr>
        <w:t xml:space="preserve"> </w:t>
      </w:r>
      <w:r>
        <w:t>children</w:t>
      </w:r>
      <w:r>
        <w:rPr>
          <w:spacing w:val="-7"/>
        </w:rPr>
        <w:t xml:space="preserve"> </w:t>
      </w:r>
      <w:r>
        <w:t>since</w:t>
      </w:r>
      <w:r>
        <w:rPr>
          <w:spacing w:val="-8"/>
        </w:rPr>
        <w:t xml:space="preserve"> </w:t>
      </w:r>
      <w:r>
        <w:t>it</w:t>
      </w:r>
      <w:r>
        <w:rPr>
          <w:spacing w:val="-7"/>
        </w:rPr>
        <w:t xml:space="preserve"> </w:t>
      </w:r>
      <w:r>
        <w:t>does not allow a dose adjustment</w:t>
      </w:r>
    </w:p>
    <w:p w14:paraId="1D9544F0" w14:textId="77777777" w:rsidR="000940E6" w:rsidRDefault="00B90DF7" w:rsidP="00B90DF7">
      <w:pPr>
        <w:pStyle w:val="Heading2"/>
        <w:spacing w:before="203"/>
      </w:pPr>
      <w:bookmarkStart w:id="20" w:name="Effects_on_laboratory_tests"/>
      <w:bookmarkEnd w:id="20"/>
      <w:r>
        <w:t>Effects</w:t>
      </w:r>
      <w:r>
        <w:rPr>
          <w:spacing w:val="-3"/>
        </w:rPr>
        <w:t xml:space="preserve"> </w:t>
      </w:r>
      <w:r>
        <w:t>on</w:t>
      </w:r>
      <w:r>
        <w:rPr>
          <w:spacing w:val="-3"/>
        </w:rPr>
        <w:t xml:space="preserve"> </w:t>
      </w:r>
      <w:r>
        <w:t xml:space="preserve">laboratory </w:t>
      </w:r>
      <w:r>
        <w:rPr>
          <w:spacing w:val="-4"/>
        </w:rPr>
        <w:t>tests</w:t>
      </w:r>
    </w:p>
    <w:p w14:paraId="028261F7" w14:textId="77777777" w:rsidR="000940E6" w:rsidRDefault="00B90DF7" w:rsidP="00B90DF7">
      <w:pPr>
        <w:pStyle w:val="BodyText"/>
        <w:spacing w:before="158"/>
        <w:jc w:val="left"/>
      </w:pPr>
      <w:r>
        <w:t>No</w:t>
      </w:r>
      <w:r>
        <w:rPr>
          <w:spacing w:val="-1"/>
        </w:rPr>
        <w:t xml:space="preserve"> </w:t>
      </w:r>
      <w:r>
        <w:t>data</w:t>
      </w:r>
      <w:r>
        <w:rPr>
          <w:spacing w:val="-2"/>
        </w:rPr>
        <w:t xml:space="preserve"> available.</w:t>
      </w:r>
    </w:p>
    <w:p w14:paraId="5EF4EBBD" w14:textId="77777777" w:rsidR="000940E6" w:rsidRDefault="00B90DF7" w:rsidP="00B90DF7">
      <w:pPr>
        <w:pStyle w:val="Heading2"/>
        <w:numPr>
          <w:ilvl w:val="1"/>
          <w:numId w:val="1"/>
        </w:numPr>
        <w:tabs>
          <w:tab w:val="left" w:pos="695"/>
        </w:tabs>
        <w:spacing w:before="242"/>
        <w:ind w:left="695" w:hanging="575"/>
      </w:pPr>
      <w:bookmarkStart w:id="21" w:name="4.5_.Interactions_with_other_medicines_a"/>
      <w:bookmarkEnd w:id="21"/>
      <w:r>
        <w:rPr>
          <w:smallCaps/>
          <w:color w:val="76923B"/>
        </w:rPr>
        <w:t>.</w:t>
      </w:r>
      <w:r>
        <w:rPr>
          <w:smallCaps/>
        </w:rPr>
        <w:t>Interactions</w:t>
      </w:r>
      <w:r>
        <w:rPr>
          <w:smallCaps/>
          <w:spacing w:val="-10"/>
        </w:rPr>
        <w:t xml:space="preserve"> </w:t>
      </w:r>
      <w:r>
        <w:rPr>
          <w:smallCaps/>
        </w:rPr>
        <w:t>with</w:t>
      </w:r>
      <w:r>
        <w:rPr>
          <w:smallCaps/>
          <w:spacing w:val="-11"/>
        </w:rPr>
        <w:t xml:space="preserve"> </w:t>
      </w:r>
      <w:r>
        <w:rPr>
          <w:smallCaps/>
        </w:rPr>
        <w:t>other</w:t>
      </w:r>
      <w:r>
        <w:rPr>
          <w:smallCaps/>
          <w:spacing w:val="-10"/>
        </w:rPr>
        <w:t xml:space="preserve"> </w:t>
      </w:r>
      <w:r>
        <w:rPr>
          <w:smallCaps/>
        </w:rPr>
        <w:t>medicines</w:t>
      </w:r>
      <w:r>
        <w:rPr>
          <w:smallCaps/>
          <w:spacing w:val="-10"/>
        </w:rPr>
        <w:t xml:space="preserve"> </w:t>
      </w:r>
      <w:r>
        <w:rPr>
          <w:smallCaps/>
        </w:rPr>
        <w:t>and</w:t>
      </w:r>
      <w:r>
        <w:rPr>
          <w:smallCaps/>
          <w:spacing w:val="-9"/>
        </w:rPr>
        <w:t xml:space="preserve"> </w:t>
      </w:r>
      <w:r>
        <w:rPr>
          <w:smallCaps/>
        </w:rPr>
        <w:t>other</w:t>
      </w:r>
      <w:r>
        <w:rPr>
          <w:smallCaps/>
          <w:spacing w:val="-10"/>
        </w:rPr>
        <w:t xml:space="preserve"> </w:t>
      </w:r>
      <w:r>
        <w:rPr>
          <w:smallCaps/>
        </w:rPr>
        <w:t>forms</w:t>
      </w:r>
      <w:r>
        <w:rPr>
          <w:smallCaps/>
          <w:spacing w:val="-8"/>
        </w:rPr>
        <w:t xml:space="preserve"> </w:t>
      </w:r>
      <w:r>
        <w:rPr>
          <w:smallCaps/>
        </w:rPr>
        <w:t>of</w:t>
      </w:r>
      <w:r>
        <w:rPr>
          <w:smallCaps/>
          <w:spacing w:val="-10"/>
        </w:rPr>
        <w:t xml:space="preserve"> </w:t>
      </w:r>
      <w:r>
        <w:rPr>
          <w:smallCaps/>
          <w:spacing w:val="-2"/>
        </w:rPr>
        <w:t>interactions</w:t>
      </w:r>
    </w:p>
    <w:p w14:paraId="7504958A" w14:textId="77777777" w:rsidR="000940E6" w:rsidRDefault="00B90DF7" w:rsidP="00B90DF7">
      <w:pPr>
        <w:spacing w:before="161"/>
        <w:ind w:left="120"/>
        <w:rPr>
          <w:i/>
          <w:sz w:val="24"/>
        </w:rPr>
      </w:pPr>
      <w:bookmarkStart w:id="22" w:name="Enhancement_of_the_heparin_effect"/>
      <w:bookmarkEnd w:id="22"/>
      <w:r>
        <w:rPr>
          <w:i/>
          <w:sz w:val="24"/>
        </w:rPr>
        <w:t>Enhancement</w:t>
      </w:r>
      <w:r>
        <w:rPr>
          <w:i/>
          <w:spacing w:val="-1"/>
          <w:sz w:val="24"/>
        </w:rPr>
        <w:t xml:space="preserve"> </w:t>
      </w:r>
      <w:r>
        <w:rPr>
          <w:i/>
          <w:sz w:val="24"/>
        </w:rPr>
        <w:t>of the</w:t>
      </w:r>
      <w:r>
        <w:rPr>
          <w:i/>
          <w:spacing w:val="-2"/>
          <w:sz w:val="24"/>
        </w:rPr>
        <w:t xml:space="preserve"> </w:t>
      </w:r>
      <w:r>
        <w:rPr>
          <w:i/>
          <w:sz w:val="24"/>
        </w:rPr>
        <w:t xml:space="preserve">heparin </w:t>
      </w:r>
      <w:r>
        <w:rPr>
          <w:i/>
          <w:spacing w:val="-2"/>
          <w:sz w:val="24"/>
        </w:rPr>
        <w:t>effect</w:t>
      </w:r>
    </w:p>
    <w:p w14:paraId="4BE9C4D8" w14:textId="77777777" w:rsidR="000940E6" w:rsidRDefault="00B90DF7" w:rsidP="00B90DF7">
      <w:pPr>
        <w:pStyle w:val="BodyText"/>
        <w:spacing w:line="276" w:lineRule="auto"/>
        <w:ind w:right="128"/>
        <w:jc w:val="left"/>
      </w:pPr>
      <w:r>
        <w:t>Heparin</w:t>
      </w:r>
      <w:r>
        <w:rPr>
          <w:spacing w:val="-2"/>
        </w:rPr>
        <w:t xml:space="preserve"> </w:t>
      </w:r>
      <w:r>
        <w:t>may</w:t>
      </w:r>
      <w:r>
        <w:rPr>
          <w:spacing w:val="-5"/>
        </w:rPr>
        <w:t xml:space="preserve"> </w:t>
      </w:r>
      <w:r>
        <w:t>prolong</w:t>
      </w:r>
      <w:r>
        <w:rPr>
          <w:spacing w:val="-2"/>
        </w:rPr>
        <w:t xml:space="preserve"> </w:t>
      </w:r>
      <w:r>
        <w:t>the</w:t>
      </w:r>
      <w:r>
        <w:rPr>
          <w:spacing w:val="-3"/>
        </w:rPr>
        <w:t xml:space="preserve"> </w:t>
      </w:r>
      <w:r>
        <w:t>one-stage</w:t>
      </w:r>
      <w:r>
        <w:rPr>
          <w:spacing w:val="-6"/>
        </w:rPr>
        <w:t xml:space="preserve"> </w:t>
      </w:r>
      <w:r>
        <w:t>prothrombin</w:t>
      </w:r>
      <w:r>
        <w:rPr>
          <w:spacing w:val="-5"/>
        </w:rPr>
        <w:t xml:space="preserve"> </w:t>
      </w:r>
      <w:r>
        <w:t>time.</w:t>
      </w:r>
      <w:r>
        <w:rPr>
          <w:spacing w:val="-5"/>
        </w:rPr>
        <w:t xml:space="preserve"> </w:t>
      </w:r>
      <w:r>
        <w:t>Therefore,</w:t>
      </w:r>
      <w:r>
        <w:rPr>
          <w:spacing w:val="-5"/>
        </w:rPr>
        <w:t xml:space="preserve"> </w:t>
      </w:r>
      <w:r>
        <w:t>when</w:t>
      </w:r>
      <w:r>
        <w:rPr>
          <w:spacing w:val="-5"/>
        </w:rPr>
        <w:t xml:space="preserve"> </w:t>
      </w:r>
      <w:r>
        <w:t>heparin</w:t>
      </w:r>
      <w:r>
        <w:rPr>
          <w:spacing w:val="-5"/>
        </w:rPr>
        <w:t xml:space="preserve"> </w:t>
      </w:r>
      <w:r>
        <w:t>is</w:t>
      </w:r>
      <w:r>
        <w:rPr>
          <w:spacing w:val="-5"/>
        </w:rPr>
        <w:t xml:space="preserve"> </w:t>
      </w:r>
      <w:r>
        <w:t>given</w:t>
      </w:r>
      <w:r>
        <w:rPr>
          <w:spacing w:val="-2"/>
        </w:rPr>
        <w:t xml:space="preserve"> </w:t>
      </w:r>
      <w:r>
        <w:t>with</w:t>
      </w:r>
      <w:r>
        <w:rPr>
          <w:spacing w:val="-5"/>
        </w:rPr>
        <w:t xml:space="preserve"> </w:t>
      </w:r>
      <w:r>
        <w:t>oral anticoagulants such as warfarin, a period of at least 5 hours after the last intravenous dose, or 24 hours after</w:t>
      </w:r>
      <w:r>
        <w:rPr>
          <w:spacing w:val="-1"/>
        </w:rPr>
        <w:t xml:space="preserve"> </w:t>
      </w:r>
      <w:r>
        <w:t>the</w:t>
      </w:r>
      <w:r>
        <w:rPr>
          <w:spacing w:val="-1"/>
        </w:rPr>
        <w:t xml:space="preserve"> </w:t>
      </w:r>
      <w:r>
        <w:t>last subcutaneous dose</w:t>
      </w:r>
      <w:r>
        <w:rPr>
          <w:spacing w:val="-1"/>
        </w:rPr>
        <w:t xml:space="preserve"> </w:t>
      </w:r>
      <w:r>
        <w:t>of</w:t>
      </w:r>
      <w:r>
        <w:rPr>
          <w:spacing w:val="-1"/>
        </w:rPr>
        <w:t xml:space="preserve"> </w:t>
      </w:r>
      <w:r>
        <w:t>heparin, should elapse</w:t>
      </w:r>
      <w:r>
        <w:rPr>
          <w:spacing w:val="-1"/>
        </w:rPr>
        <w:t xml:space="preserve"> </w:t>
      </w:r>
      <w:r>
        <w:t>before</w:t>
      </w:r>
      <w:r>
        <w:rPr>
          <w:spacing w:val="-1"/>
        </w:rPr>
        <w:t xml:space="preserve"> </w:t>
      </w:r>
      <w:r>
        <w:t>blood is drawn for</w:t>
      </w:r>
      <w:r>
        <w:rPr>
          <w:spacing w:val="-1"/>
        </w:rPr>
        <w:t xml:space="preserve"> </w:t>
      </w:r>
      <w:r>
        <w:t>a</w:t>
      </w:r>
      <w:r>
        <w:rPr>
          <w:spacing w:val="-1"/>
        </w:rPr>
        <w:t xml:space="preserve"> </w:t>
      </w:r>
      <w:r>
        <w:t>valid prothrombin time to be obtained.</w:t>
      </w:r>
    </w:p>
    <w:p w14:paraId="62317A18" w14:textId="77777777" w:rsidR="000940E6" w:rsidRDefault="00B90DF7" w:rsidP="00B90DF7">
      <w:pPr>
        <w:pStyle w:val="BodyText"/>
        <w:spacing w:before="120" w:line="276" w:lineRule="auto"/>
        <w:ind w:right="130"/>
        <w:jc w:val="left"/>
      </w:pPr>
      <w:r>
        <w:t>Medicines which affect platelet function, e.g. aspirin, other salicylates and other non-steroidal anti-inflammatory agents, platelet aggregation inhibitors, glycoprotein IIb/IIIa antagonists, thienopyridines, dextran, dipyridamole and systemic corticosteroids, may increase the risk of haemorrhage and should be used with caution in patients receiving heparin. Where concomitant use cannot be avoided, careful clinical and biological monitoring should be undertaken.</w:t>
      </w:r>
    </w:p>
    <w:p w14:paraId="1F25CC94" w14:textId="77777777" w:rsidR="000940E6" w:rsidRDefault="00B90DF7" w:rsidP="00B90DF7">
      <w:pPr>
        <w:pStyle w:val="BodyText"/>
        <w:spacing w:before="120" w:line="278" w:lineRule="auto"/>
        <w:ind w:right="132"/>
        <w:jc w:val="left"/>
      </w:pPr>
      <w:r>
        <w:t>Other medicines which may potentiate the effect of heparin include hydroxychloroquine, sulphinpyrazone,</w:t>
      </w:r>
      <w:r>
        <w:rPr>
          <w:spacing w:val="30"/>
        </w:rPr>
        <w:t xml:space="preserve">  </w:t>
      </w:r>
      <w:r>
        <w:t>probenecid,</w:t>
      </w:r>
      <w:r>
        <w:rPr>
          <w:spacing w:val="30"/>
        </w:rPr>
        <w:t xml:space="preserve">  </w:t>
      </w:r>
      <w:r>
        <w:t>ethacrynic</w:t>
      </w:r>
      <w:r>
        <w:rPr>
          <w:spacing w:val="30"/>
        </w:rPr>
        <w:t xml:space="preserve">  </w:t>
      </w:r>
      <w:r>
        <w:t>acid,</w:t>
      </w:r>
      <w:r>
        <w:rPr>
          <w:spacing w:val="31"/>
        </w:rPr>
        <w:t xml:space="preserve">  </w:t>
      </w:r>
      <w:r>
        <w:t>vitamin</w:t>
      </w:r>
      <w:r>
        <w:rPr>
          <w:spacing w:val="31"/>
        </w:rPr>
        <w:t xml:space="preserve">  </w:t>
      </w:r>
      <w:r>
        <w:t>K</w:t>
      </w:r>
      <w:r>
        <w:rPr>
          <w:spacing w:val="29"/>
        </w:rPr>
        <w:t xml:space="preserve">  </w:t>
      </w:r>
      <w:r>
        <w:t>antagonists,</w:t>
      </w:r>
      <w:r>
        <w:rPr>
          <w:spacing w:val="30"/>
        </w:rPr>
        <w:t xml:space="preserve">  </w:t>
      </w:r>
      <w:r>
        <w:t>cytostatic</w:t>
      </w:r>
      <w:r>
        <w:rPr>
          <w:spacing w:val="30"/>
        </w:rPr>
        <w:t xml:space="preserve">  </w:t>
      </w:r>
      <w:r>
        <w:rPr>
          <w:spacing w:val="-2"/>
        </w:rPr>
        <w:t>agents,</w:t>
      </w:r>
    </w:p>
    <w:p w14:paraId="082605C9" w14:textId="77777777" w:rsidR="000940E6" w:rsidRDefault="000940E6" w:rsidP="00B90DF7">
      <w:pPr>
        <w:spacing w:line="278" w:lineRule="auto"/>
        <w:sectPr w:rsidR="000940E6">
          <w:pgSz w:w="11910" w:h="16840"/>
          <w:pgMar w:top="1360" w:right="1000" w:bottom="1420" w:left="1320" w:header="0" w:footer="1228" w:gutter="0"/>
          <w:cols w:space="720"/>
        </w:sectPr>
      </w:pPr>
    </w:p>
    <w:p w14:paraId="35B8B674" w14:textId="77777777" w:rsidR="000940E6" w:rsidRDefault="00B90DF7" w:rsidP="00B90DF7">
      <w:pPr>
        <w:pStyle w:val="BodyText"/>
        <w:spacing w:before="60" w:line="276" w:lineRule="auto"/>
        <w:ind w:right="132"/>
        <w:jc w:val="left"/>
      </w:pPr>
      <w:r>
        <w:lastRenderedPageBreak/>
        <w:t>cephamandole, cefotetan, plicamycin, valproic acid and propylthiouracil. High doses of penicillins, some contrast media, asparaginase and epoprostenol may also affect the coagulation process and increase the risk of haemorrhage.</w:t>
      </w:r>
    </w:p>
    <w:p w14:paraId="0A3C5018" w14:textId="77777777" w:rsidR="000940E6" w:rsidRDefault="00B90DF7" w:rsidP="00B90DF7">
      <w:pPr>
        <w:pStyle w:val="BodyText"/>
        <w:spacing w:before="121" w:line="276" w:lineRule="auto"/>
        <w:ind w:right="131"/>
        <w:jc w:val="left"/>
      </w:pPr>
      <w:r>
        <w:t>Concomitant</w:t>
      </w:r>
      <w:r>
        <w:rPr>
          <w:spacing w:val="-9"/>
        </w:rPr>
        <w:t xml:space="preserve"> </w:t>
      </w:r>
      <w:r>
        <w:t>use</w:t>
      </w:r>
      <w:r>
        <w:rPr>
          <w:spacing w:val="-11"/>
        </w:rPr>
        <w:t xml:space="preserve"> </w:t>
      </w:r>
      <w:r>
        <w:t>of</w:t>
      </w:r>
      <w:r>
        <w:rPr>
          <w:spacing w:val="-10"/>
        </w:rPr>
        <w:t xml:space="preserve"> </w:t>
      </w:r>
      <w:r>
        <w:t>thrombolytic</w:t>
      </w:r>
      <w:r>
        <w:rPr>
          <w:spacing w:val="-11"/>
        </w:rPr>
        <w:t xml:space="preserve"> </w:t>
      </w:r>
      <w:r>
        <w:t>agents</w:t>
      </w:r>
      <w:r>
        <w:rPr>
          <w:spacing w:val="-9"/>
        </w:rPr>
        <w:t xml:space="preserve"> </w:t>
      </w:r>
      <w:r>
        <w:t>such</w:t>
      </w:r>
      <w:r>
        <w:rPr>
          <w:spacing w:val="-7"/>
        </w:rPr>
        <w:t xml:space="preserve"> </w:t>
      </w:r>
      <w:r>
        <w:t>as</w:t>
      </w:r>
      <w:r>
        <w:rPr>
          <w:spacing w:val="-9"/>
        </w:rPr>
        <w:t xml:space="preserve"> </w:t>
      </w:r>
      <w:r>
        <w:t>alteplase,</w:t>
      </w:r>
      <w:r>
        <w:rPr>
          <w:spacing w:val="-10"/>
        </w:rPr>
        <w:t xml:space="preserve"> </w:t>
      </w:r>
      <w:r>
        <w:t>anistreplase,</w:t>
      </w:r>
      <w:r>
        <w:rPr>
          <w:spacing w:val="-10"/>
        </w:rPr>
        <w:t xml:space="preserve"> </w:t>
      </w:r>
      <w:r>
        <w:t>streptokinase</w:t>
      </w:r>
      <w:r>
        <w:rPr>
          <w:spacing w:val="-11"/>
        </w:rPr>
        <w:t xml:space="preserve"> </w:t>
      </w:r>
      <w:r>
        <w:t>or</w:t>
      </w:r>
      <w:r>
        <w:rPr>
          <w:spacing w:val="-10"/>
        </w:rPr>
        <w:t xml:space="preserve"> </w:t>
      </w:r>
      <w:r>
        <w:t>urokinase may also increase the risk of haemorrhage.</w:t>
      </w:r>
    </w:p>
    <w:p w14:paraId="46D954ED" w14:textId="77777777" w:rsidR="000940E6" w:rsidRDefault="00B90DF7" w:rsidP="00B90DF7">
      <w:pPr>
        <w:spacing w:before="119"/>
        <w:ind w:left="120"/>
        <w:rPr>
          <w:i/>
          <w:sz w:val="24"/>
        </w:rPr>
      </w:pPr>
      <w:bookmarkStart w:id="23" w:name="Weakening_of_the_heparin_effect"/>
      <w:bookmarkEnd w:id="23"/>
      <w:r>
        <w:rPr>
          <w:i/>
          <w:sz w:val="24"/>
        </w:rPr>
        <w:t>Weakening</w:t>
      </w:r>
      <w:r>
        <w:rPr>
          <w:i/>
          <w:spacing w:val="-2"/>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heparin</w:t>
      </w:r>
      <w:r>
        <w:rPr>
          <w:i/>
          <w:spacing w:val="-1"/>
          <w:sz w:val="24"/>
        </w:rPr>
        <w:t xml:space="preserve"> </w:t>
      </w:r>
      <w:r>
        <w:rPr>
          <w:i/>
          <w:spacing w:val="-2"/>
          <w:sz w:val="24"/>
        </w:rPr>
        <w:t>effect</w:t>
      </w:r>
    </w:p>
    <w:p w14:paraId="1A9BE862" w14:textId="77777777" w:rsidR="000940E6" w:rsidRDefault="00B90DF7" w:rsidP="00B90DF7">
      <w:pPr>
        <w:pStyle w:val="BodyText"/>
        <w:spacing w:line="278" w:lineRule="auto"/>
        <w:ind w:right="131"/>
        <w:jc w:val="left"/>
      </w:pPr>
      <w:r>
        <w:t>Antihistamines,</w:t>
      </w:r>
      <w:r>
        <w:rPr>
          <w:spacing w:val="-9"/>
        </w:rPr>
        <w:t xml:space="preserve"> </w:t>
      </w:r>
      <w:r>
        <w:t>digitalis</w:t>
      </w:r>
      <w:r>
        <w:rPr>
          <w:spacing w:val="-11"/>
        </w:rPr>
        <w:t xml:space="preserve"> </w:t>
      </w:r>
      <w:r>
        <w:t>glycosides,</w:t>
      </w:r>
      <w:r>
        <w:rPr>
          <w:spacing w:val="-9"/>
        </w:rPr>
        <w:t xml:space="preserve"> </w:t>
      </w:r>
      <w:r>
        <w:t>tetracyclines,</w:t>
      </w:r>
      <w:r>
        <w:rPr>
          <w:spacing w:val="-9"/>
        </w:rPr>
        <w:t xml:space="preserve"> </w:t>
      </w:r>
      <w:r>
        <w:t>nicotine,</w:t>
      </w:r>
      <w:r>
        <w:rPr>
          <w:spacing w:val="-9"/>
        </w:rPr>
        <w:t xml:space="preserve"> </w:t>
      </w:r>
      <w:r>
        <w:t>ascorbic</w:t>
      </w:r>
      <w:r>
        <w:rPr>
          <w:spacing w:val="-10"/>
        </w:rPr>
        <w:t xml:space="preserve"> </w:t>
      </w:r>
      <w:r>
        <w:t>acid</w:t>
      </w:r>
      <w:r>
        <w:rPr>
          <w:spacing w:val="-9"/>
        </w:rPr>
        <w:t xml:space="preserve"> </w:t>
      </w:r>
      <w:r>
        <w:t>and</w:t>
      </w:r>
      <w:r>
        <w:rPr>
          <w:spacing w:val="-9"/>
        </w:rPr>
        <w:t xml:space="preserve"> </w:t>
      </w:r>
      <w:r>
        <w:t>quinine</w:t>
      </w:r>
      <w:r>
        <w:rPr>
          <w:spacing w:val="-10"/>
        </w:rPr>
        <w:t xml:space="preserve"> </w:t>
      </w:r>
      <w:r>
        <w:t>may</w:t>
      </w:r>
      <w:r>
        <w:rPr>
          <w:spacing w:val="-9"/>
        </w:rPr>
        <w:t xml:space="preserve"> </w:t>
      </w:r>
      <w:r>
        <w:t>reduce the anticoagulant effect of heparin.</w:t>
      </w:r>
    </w:p>
    <w:p w14:paraId="6A2EBABC" w14:textId="77777777" w:rsidR="000940E6" w:rsidRDefault="00B90DF7" w:rsidP="00B90DF7">
      <w:pPr>
        <w:pStyle w:val="BodyText"/>
        <w:spacing w:before="116" w:line="276" w:lineRule="auto"/>
        <w:ind w:right="129"/>
        <w:jc w:val="left"/>
      </w:pPr>
      <w:r>
        <w:t>Glyceryl trinitrate has been reported to reduce the activity of heparin when both drugs are administered simultaneously intravenously. This effect may be due to the presence of propylene glycol as a solvent in many glyceryl trinitrate parenteral preparations. No interaction has been reported</w:t>
      </w:r>
      <w:r>
        <w:rPr>
          <w:spacing w:val="-1"/>
        </w:rPr>
        <w:t xml:space="preserve"> </w:t>
      </w:r>
      <w:r>
        <w:t>when</w:t>
      </w:r>
      <w:r>
        <w:rPr>
          <w:spacing w:val="-3"/>
        </w:rPr>
        <w:t xml:space="preserve"> </w:t>
      </w:r>
      <w:r>
        <w:t>the</w:t>
      </w:r>
      <w:r>
        <w:rPr>
          <w:spacing w:val="-4"/>
        </w:rPr>
        <w:t xml:space="preserve"> </w:t>
      </w:r>
      <w:r>
        <w:t>glyceryl</w:t>
      </w:r>
      <w:r>
        <w:rPr>
          <w:spacing w:val="-3"/>
        </w:rPr>
        <w:t xml:space="preserve"> </w:t>
      </w:r>
      <w:r>
        <w:t>trinitrate</w:t>
      </w:r>
      <w:r>
        <w:rPr>
          <w:spacing w:val="-4"/>
        </w:rPr>
        <w:t xml:space="preserve"> </w:t>
      </w:r>
      <w:r>
        <w:t>was</w:t>
      </w:r>
      <w:r>
        <w:rPr>
          <w:spacing w:val="-3"/>
        </w:rPr>
        <w:t xml:space="preserve"> </w:t>
      </w:r>
      <w:r>
        <w:t>administered</w:t>
      </w:r>
      <w:r>
        <w:rPr>
          <w:spacing w:val="-3"/>
        </w:rPr>
        <w:t xml:space="preserve"> </w:t>
      </w:r>
      <w:r>
        <w:t>immediately</w:t>
      </w:r>
      <w:r>
        <w:rPr>
          <w:spacing w:val="-1"/>
        </w:rPr>
        <w:t xml:space="preserve"> </w:t>
      </w:r>
      <w:r>
        <w:t>after</w:t>
      </w:r>
      <w:r>
        <w:rPr>
          <w:spacing w:val="-4"/>
        </w:rPr>
        <w:t xml:space="preserve"> </w:t>
      </w:r>
      <w:r>
        <w:t>the</w:t>
      </w:r>
      <w:r>
        <w:rPr>
          <w:spacing w:val="-4"/>
        </w:rPr>
        <w:t xml:space="preserve"> </w:t>
      </w:r>
      <w:r>
        <w:t>heparin.</w:t>
      </w:r>
      <w:r>
        <w:rPr>
          <w:spacing w:val="-3"/>
        </w:rPr>
        <w:t xml:space="preserve"> </w:t>
      </w:r>
      <w:r>
        <w:t xml:space="preserve">Adjustment of heparin dosage during and following administration of intravenous glyceryl trinitrate may be </w:t>
      </w:r>
      <w:r>
        <w:rPr>
          <w:spacing w:val="-2"/>
        </w:rPr>
        <w:t>required.</w:t>
      </w:r>
    </w:p>
    <w:p w14:paraId="1DBEB4E9" w14:textId="77777777" w:rsidR="000940E6" w:rsidRDefault="00B90DF7" w:rsidP="00B90DF7">
      <w:pPr>
        <w:spacing w:before="118"/>
        <w:ind w:left="120"/>
        <w:rPr>
          <w:i/>
          <w:sz w:val="24"/>
        </w:rPr>
      </w:pPr>
      <w:bookmarkStart w:id="24" w:name="Alcohol:"/>
      <w:bookmarkEnd w:id="24"/>
      <w:r>
        <w:rPr>
          <w:i/>
          <w:spacing w:val="-2"/>
          <w:sz w:val="24"/>
        </w:rPr>
        <w:t>Alcohol:</w:t>
      </w:r>
    </w:p>
    <w:p w14:paraId="382F16BA" w14:textId="77777777" w:rsidR="000940E6" w:rsidRDefault="00B90DF7" w:rsidP="00B90DF7">
      <w:pPr>
        <w:pStyle w:val="BodyText"/>
        <w:spacing w:before="164" w:line="276" w:lineRule="auto"/>
        <w:ind w:right="132"/>
        <w:jc w:val="left"/>
      </w:pPr>
      <w:r>
        <w:t>Heavy alcohol drinkers are at greater risk of major heparin associated bleeding than moderate or non drinkers</w:t>
      </w:r>
    </w:p>
    <w:p w14:paraId="0187AD60" w14:textId="77777777" w:rsidR="000940E6" w:rsidRDefault="00B90DF7" w:rsidP="00B90DF7">
      <w:pPr>
        <w:spacing w:before="119"/>
        <w:ind w:left="120"/>
        <w:rPr>
          <w:i/>
          <w:sz w:val="24"/>
        </w:rPr>
      </w:pPr>
      <w:bookmarkStart w:id="25" w:name="Nicotine_abuse:"/>
      <w:bookmarkEnd w:id="25"/>
      <w:r>
        <w:rPr>
          <w:i/>
          <w:sz w:val="24"/>
        </w:rPr>
        <w:t>Nicotine</w:t>
      </w:r>
      <w:r>
        <w:rPr>
          <w:i/>
          <w:spacing w:val="-2"/>
          <w:sz w:val="24"/>
        </w:rPr>
        <w:t xml:space="preserve"> abuse:</w:t>
      </w:r>
    </w:p>
    <w:p w14:paraId="4D12DA25" w14:textId="77777777" w:rsidR="000940E6" w:rsidRDefault="00B90DF7" w:rsidP="00B90DF7">
      <w:pPr>
        <w:pStyle w:val="BodyText"/>
        <w:spacing w:before="160" w:line="278" w:lineRule="auto"/>
        <w:ind w:right="130"/>
        <w:jc w:val="left"/>
      </w:pPr>
      <w:r>
        <w:t>Nicotine may increase the clearance of heparin and therefore partially counteracts the anticoagulant effect of heparin. See also Section 4.2 Dose and method of administration.</w:t>
      </w:r>
    </w:p>
    <w:p w14:paraId="6747A5F7" w14:textId="77777777" w:rsidR="000940E6" w:rsidRDefault="00B90DF7" w:rsidP="00B90DF7">
      <w:pPr>
        <w:spacing w:before="116"/>
        <w:ind w:left="120"/>
        <w:rPr>
          <w:i/>
          <w:sz w:val="24"/>
        </w:rPr>
      </w:pPr>
      <w:bookmarkStart w:id="26" w:name="Influence_of_heparin_on_the_effect_of_ot"/>
      <w:bookmarkEnd w:id="26"/>
      <w:r>
        <w:rPr>
          <w:i/>
          <w:sz w:val="24"/>
        </w:rPr>
        <w:t>Influence</w:t>
      </w:r>
      <w:r>
        <w:rPr>
          <w:i/>
          <w:spacing w:val="-2"/>
          <w:sz w:val="24"/>
        </w:rPr>
        <w:t xml:space="preserve"> </w:t>
      </w:r>
      <w:r>
        <w:rPr>
          <w:i/>
          <w:sz w:val="24"/>
        </w:rPr>
        <w:t>of</w:t>
      </w:r>
      <w:r>
        <w:rPr>
          <w:i/>
          <w:spacing w:val="-1"/>
          <w:sz w:val="24"/>
        </w:rPr>
        <w:t xml:space="preserve"> </w:t>
      </w:r>
      <w:r>
        <w:rPr>
          <w:i/>
          <w:sz w:val="24"/>
        </w:rPr>
        <w:t>heparin</w:t>
      </w:r>
      <w:r>
        <w:rPr>
          <w:i/>
          <w:spacing w:val="-1"/>
          <w:sz w:val="24"/>
        </w:rPr>
        <w:t xml:space="preserve"> </w:t>
      </w:r>
      <w:r>
        <w:rPr>
          <w:i/>
          <w:sz w:val="24"/>
        </w:rPr>
        <w:t>on</w:t>
      </w:r>
      <w:r>
        <w:rPr>
          <w:i/>
          <w:spacing w:val="-1"/>
          <w:sz w:val="24"/>
        </w:rPr>
        <w:t xml:space="preserve"> </w:t>
      </w:r>
      <w:r>
        <w:rPr>
          <w:i/>
          <w:sz w:val="24"/>
        </w:rPr>
        <w:t>the</w:t>
      </w:r>
      <w:r>
        <w:rPr>
          <w:i/>
          <w:spacing w:val="-2"/>
          <w:sz w:val="24"/>
        </w:rPr>
        <w:t xml:space="preserve"> </w:t>
      </w:r>
      <w:r>
        <w:rPr>
          <w:i/>
          <w:sz w:val="24"/>
        </w:rPr>
        <w:t>effect</w:t>
      </w:r>
      <w:r>
        <w:rPr>
          <w:i/>
          <w:spacing w:val="-1"/>
          <w:sz w:val="24"/>
        </w:rPr>
        <w:t xml:space="preserve"> </w:t>
      </w:r>
      <w:r>
        <w:rPr>
          <w:i/>
          <w:sz w:val="24"/>
        </w:rPr>
        <w:t>of</w:t>
      </w:r>
      <w:r>
        <w:rPr>
          <w:i/>
          <w:spacing w:val="-1"/>
          <w:sz w:val="24"/>
        </w:rPr>
        <w:t xml:space="preserve"> </w:t>
      </w:r>
      <w:r>
        <w:rPr>
          <w:i/>
          <w:sz w:val="24"/>
        </w:rPr>
        <w:t>other</w:t>
      </w:r>
      <w:r>
        <w:rPr>
          <w:i/>
          <w:spacing w:val="-1"/>
          <w:sz w:val="24"/>
        </w:rPr>
        <w:t xml:space="preserve"> </w:t>
      </w:r>
      <w:r>
        <w:rPr>
          <w:i/>
          <w:sz w:val="24"/>
        </w:rPr>
        <w:t>drug</w:t>
      </w:r>
      <w:r>
        <w:rPr>
          <w:i/>
          <w:spacing w:val="-1"/>
          <w:sz w:val="24"/>
        </w:rPr>
        <w:t xml:space="preserve"> </w:t>
      </w:r>
      <w:r>
        <w:rPr>
          <w:i/>
          <w:spacing w:val="-2"/>
          <w:sz w:val="24"/>
        </w:rPr>
        <w:t>substances:</w:t>
      </w:r>
    </w:p>
    <w:p w14:paraId="42B6E8F2" w14:textId="77777777" w:rsidR="000940E6" w:rsidRDefault="00B90DF7" w:rsidP="00B90DF7">
      <w:pPr>
        <w:pStyle w:val="BodyText"/>
        <w:spacing w:line="276" w:lineRule="auto"/>
        <w:ind w:right="127"/>
        <w:jc w:val="left"/>
      </w:pPr>
      <w:r>
        <w:t>Drugs</w:t>
      </w:r>
      <w:r>
        <w:rPr>
          <w:spacing w:val="-7"/>
        </w:rPr>
        <w:t xml:space="preserve"> </w:t>
      </w:r>
      <w:r>
        <w:t>that</w:t>
      </w:r>
      <w:r>
        <w:rPr>
          <w:spacing w:val="-7"/>
        </w:rPr>
        <w:t xml:space="preserve"> </w:t>
      </w:r>
      <w:r>
        <w:t>lead</w:t>
      </w:r>
      <w:r>
        <w:rPr>
          <w:spacing w:val="-5"/>
        </w:rPr>
        <w:t xml:space="preserve"> </w:t>
      </w:r>
      <w:r>
        <w:t>to</w:t>
      </w:r>
      <w:r>
        <w:rPr>
          <w:spacing w:val="-7"/>
        </w:rPr>
        <w:t xml:space="preserve"> </w:t>
      </w:r>
      <w:r>
        <w:t>an</w:t>
      </w:r>
      <w:r>
        <w:rPr>
          <w:spacing w:val="-7"/>
        </w:rPr>
        <w:t xml:space="preserve"> </w:t>
      </w:r>
      <w:r>
        <w:t>increase</w:t>
      </w:r>
      <w:r>
        <w:rPr>
          <w:spacing w:val="-8"/>
        </w:rPr>
        <w:t xml:space="preserve"> </w:t>
      </w:r>
      <w:r>
        <w:t>of</w:t>
      </w:r>
      <w:r>
        <w:rPr>
          <w:spacing w:val="-8"/>
        </w:rPr>
        <w:t xml:space="preserve"> </w:t>
      </w:r>
      <w:r>
        <w:t>the</w:t>
      </w:r>
      <w:r>
        <w:rPr>
          <w:spacing w:val="-8"/>
        </w:rPr>
        <w:t xml:space="preserve"> </w:t>
      </w:r>
      <w:r>
        <w:t>serum</w:t>
      </w:r>
      <w:r>
        <w:rPr>
          <w:spacing w:val="-7"/>
        </w:rPr>
        <w:t xml:space="preserve"> </w:t>
      </w:r>
      <w:r>
        <w:t>potassium</w:t>
      </w:r>
      <w:r>
        <w:rPr>
          <w:spacing w:val="-7"/>
        </w:rPr>
        <w:t xml:space="preserve"> </w:t>
      </w:r>
      <w:r>
        <w:t>level</w:t>
      </w:r>
      <w:r>
        <w:rPr>
          <w:spacing w:val="-7"/>
        </w:rPr>
        <w:t xml:space="preserve"> </w:t>
      </w:r>
      <w:r>
        <w:t>(e.g.</w:t>
      </w:r>
      <w:r>
        <w:rPr>
          <w:spacing w:val="-5"/>
        </w:rPr>
        <w:t xml:space="preserve"> </w:t>
      </w:r>
      <w:r>
        <w:t>aliskiren,</w:t>
      </w:r>
      <w:r>
        <w:rPr>
          <w:spacing w:val="-5"/>
        </w:rPr>
        <w:t xml:space="preserve"> </w:t>
      </w:r>
      <w:r>
        <w:t>ACE</w:t>
      </w:r>
      <w:r>
        <w:rPr>
          <w:spacing w:val="-7"/>
        </w:rPr>
        <w:t xml:space="preserve"> </w:t>
      </w:r>
      <w:r>
        <w:t>inhibitors)</w:t>
      </w:r>
      <w:r>
        <w:rPr>
          <w:spacing w:val="-8"/>
        </w:rPr>
        <w:t xml:space="preserve"> </w:t>
      </w:r>
      <w:r>
        <w:t>should only</w:t>
      </w:r>
      <w:r>
        <w:rPr>
          <w:spacing w:val="-8"/>
        </w:rPr>
        <w:t xml:space="preserve"> </w:t>
      </w:r>
      <w:r>
        <w:t>be</w:t>
      </w:r>
      <w:r>
        <w:rPr>
          <w:spacing w:val="-9"/>
        </w:rPr>
        <w:t xml:space="preserve"> </w:t>
      </w:r>
      <w:r>
        <w:t>administered</w:t>
      </w:r>
      <w:r>
        <w:rPr>
          <w:spacing w:val="-8"/>
        </w:rPr>
        <w:t xml:space="preserve"> </w:t>
      </w:r>
      <w:r>
        <w:t>together</w:t>
      </w:r>
      <w:r>
        <w:rPr>
          <w:spacing w:val="-9"/>
        </w:rPr>
        <w:t xml:space="preserve"> </w:t>
      </w:r>
      <w:r>
        <w:t>with</w:t>
      </w:r>
      <w:r>
        <w:rPr>
          <w:spacing w:val="-8"/>
        </w:rPr>
        <w:t xml:space="preserve"> </w:t>
      </w:r>
      <w:r>
        <w:t>heparin</w:t>
      </w:r>
      <w:r>
        <w:rPr>
          <w:spacing w:val="-8"/>
        </w:rPr>
        <w:t xml:space="preserve"> </w:t>
      </w:r>
      <w:r>
        <w:t>under</w:t>
      </w:r>
      <w:r>
        <w:rPr>
          <w:spacing w:val="-7"/>
        </w:rPr>
        <w:t xml:space="preserve"> </w:t>
      </w:r>
      <w:r>
        <w:t>careful</w:t>
      </w:r>
      <w:r>
        <w:rPr>
          <w:spacing w:val="-8"/>
        </w:rPr>
        <w:t xml:space="preserve"> </w:t>
      </w:r>
      <w:r>
        <w:t>monitoring.</w:t>
      </w:r>
      <w:r>
        <w:rPr>
          <w:spacing w:val="-8"/>
        </w:rPr>
        <w:t xml:space="preserve"> </w:t>
      </w:r>
      <w:r>
        <w:t>See</w:t>
      </w:r>
      <w:r>
        <w:rPr>
          <w:spacing w:val="-9"/>
        </w:rPr>
        <w:t xml:space="preserve"> </w:t>
      </w:r>
      <w:r>
        <w:t>also</w:t>
      </w:r>
      <w:r>
        <w:rPr>
          <w:spacing w:val="-8"/>
        </w:rPr>
        <w:t xml:space="preserve"> </w:t>
      </w:r>
      <w:r>
        <w:t>Section</w:t>
      </w:r>
      <w:r>
        <w:rPr>
          <w:spacing w:val="-8"/>
        </w:rPr>
        <w:t xml:space="preserve"> </w:t>
      </w:r>
      <w:r>
        <w:t>4.4</w:t>
      </w:r>
      <w:r>
        <w:rPr>
          <w:spacing w:val="-11"/>
        </w:rPr>
        <w:t xml:space="preserve"> </w:t>
      </w:r>
      <w:r>
        <w:t>Special warnings and precautions for use.</w:t>
      </w:r>
    </w:p>
    <w:p w14:paraId="7E135B2F" w14:textId="77777777" w:rsidR="000940E6" w:rsidRDefault="00B90DF7" w:rsidP="00B90DF7">
      <w:pPr>
        <w:pStyle w:val="BodyText"/>
        <w:spacing w:before="121" w:line="276" w:lineRule="auto"/>
        <w:ind w:right="130"/>
        <w:jc w:val="left"/>
      </w:pPr>
      <w:r>
        <w:t>Heparin is known to activate</w:t>
      </w:r>
      <w:r>
        <w:rPr>
          <w:spacing w:val="-1"/>
        </w:rPr>
        <w:t xml:space="preserve"> </w:t>
      </w:r>
      <w:r>
        <w:t>plasma lipoprotein lipase, which should be taken into consideration when</w:t>
      </w:r>
      <w:r>
        <w:rPr>
          <w:spacing w:val="-4"/>
        </w:rPr>
        <w:t xml:space="preserve"> </w:t>
      </w:r>
      <w:r>
        <w:t>heparin</w:t>
      </w:r>
      <w:r>
        <w:rPr>
          <w:spacing w:val="-4"/>
        </w:rPr>
        <w:t xml:space="preserve"> </w:t>
      </w:r>
      <w:r>
        <w:t>is</w:t>
      </w:r>
      <w:r>
        <w:rPr>
          <w:spacing w:val="-4"/>
        </w:rPr>
        <w:t xml:space="preserve"> </w:t>
      </w:r>
      <w:r>
        <w:t>administered</w:t>
      </w:r>
      <w:r>
        <w:rPr>
          <w:spacing w:val="-4"/>
        </w:rPr>
        <w:t xml:space="preserve"> </w:t>
      </w:r>
      <w:r>
        <w:t>concomitantly</w:t>
      </w:r>
      <w:r>
        <w:rPr>
          <w:spacing w:val="-4"/>
        </w:rPr>
        <w:t xml:space="preserve"> </w:t>
      </w:r>
      <w:r>
        <w:t>together</w:t>
      </w:r>
      <w:r>
        <w:rPr>
          <w:spacing w:val="-5"/>
        </w:rPr>
        <w:t xml:space="preserve"> </w:t>
      </w:r>
      <w:r>
        <w:t>with</w:t>
      </w:r>
      <w:r>
        <w:rPr>
          <w:spacing w:val="-4"/>
        </w:rPr>
        <w:t xml:space="preserve"> </w:t>
      </w:r>
      <w:r>
        <w:t>drugs</w:t>
      </w:r>
      <w:r>
        <w:rPr>
          <w:spacing w:val="-4"/>
        </w:rPr>
        <w:t xml:space="preserve"> </w:t>
      </w:r>
      <w:r>
        <w:t>with</w:t>
      </w:r>
      <w:r>
        <w:rPr>
          <w:spacing w:val="-4"/>
        </w:rPr>
        <w:t xml:space="preserve"> </w:t>
      </w:r>
      <w:r>
        <w:t>known</w:t>
      </w:r>
      <w:r>
        <w:rPr>
          <w:spacing w:val="-4"/>
        </w:rPr>
        <w:t xml:space="preserve"> </w:t>
      </w:r>
      <w:r>
        <w:t>high</w:t>
      </w:r>
      <w:r>
        <w:rPr>
          <w:spacing w:val="-4"/>
        </w:rPr>
        <w:t xml:space="preserve"> </w:t>
      </w:r>
      <w:r>
        <w:t>plasma</w:t>
      </w:r>
      <w:r>
        <w:rPr>
          <w:spacing w:val="-5"/>
        </w:rPr>
        <w:t xml:space="preserve"> </w:t>
      </w:r>
      <w:r>
        <w:t>protein binding and narrow therapeutic width (e.g. cardiac glycosides).</w:t>
      </w:r>
    </w:p>
    <w:p w14:paraId="479E2105" w14:textId="77777777" w:rsidR="000940E6" w:rsidRDefault="00B90DF7" w:rsidP="00B90DF7">
      <w:pPr>
        <w:spacing w:before="118"/>
        <w:ind w:left="120"/>
        <w:rPr>
          <w:i/>
          <w:sz w:val="24"/>
        </w:rPr>
      </w:pPr>
      <w:r>
        <w:rPr>
          <w:i/>
          <w:spacing w:val="-2"/>
          <w:sz w:val="24"/>
        </w:rPr>
        <w:t>Incompatibility</w:t>
      </w:r>
    </w:p>
    <w:p w14:paraId="18659BE7" w14:textId="77777777" w:rsidR="000940E6" w:rsidRDefault="00B90DF7" w:rsidP="00B90DF7">
      <w:pPr>
        <w:pStyle w:val="BodyText"/>
        <w:spacing w:before="163" w:line="276" w:lineRule="auto"/>
        <w:ind w:right="128"/>
        <w:jc w:val="left"/>
      </w:pPr>
      <w:r>
        <w:t>Experimental</w:t>
      </w:r>
      <w:r>
        <w:rPr>
          <w:spacing w:val="-13"/>
        </w:rPr>
        <w:t xml:space="preserve"> </w:t>
      </w:r>
      <w:r>
        <w:t>evidence</w:t>
      </w:r>
      <w:r>
        <w:rPr>
          <w:spacing w:val="-14"/>
        </w:rPr>
        <w:t xml:space="preserve"> </w:t>
      </w:r>
      <w:r>
        <w:t>suggests</w:t>
      </w:r>
      <w:r>
        <w:rPr>
          <w:spacing w:val="-13"/>
        </w:rPr>
        <w:t xml:space="preserve"> </w:t>
      </w:r>
      <w:r>
        <w:t>that</w:t>
      </w:r>
      <w:r>
        <w:rPr>
          <w:spacing w:val="-13"/>
        </w:rPr>
        <w:t xml:space="preserve"> </w:t>
      </w:r>
      <w:r>
        <w:t>heparin</w:t>
      </w:r>
      <w:r>
        <w:rPr>
          <w:spacing w:val="-13"/>
        </w:rPr>
        <w:t xml:space="preserve"> </w:t>
      </w:r>
      <w:r>
        <w:t>may</w:t>
      </w:r>
      <w:r>
        <w:rPr>
          <w:spacing w:val="-11"/>
        </w:rPr>
        <w:t xml:space="preserve"> </w:t>
      </w:r>
      <w:r>
        <w:t>antagonise</w:t>
      </w:r>
      <w:r>
        <w:rPr>
          <w:spacing w:val="-14"/>
        </w:rPr>
        <w:t xml:space="preserve"> </w:t>
      </w:r>
      <w:r>
        <w:t>the</w:t>
      </w:r>
      <w:r>
        <w:rPr>
          <w:spacing w:val="-14"/>
        </w:rPr>
        <w:t xml:space="preserve"> </w:t>
      </w:r>
      <w:r>
        <w:t>actions</w:t>
      </w:r>
      <w:r>
        <w:rPr>
          <w:spacing w:val="-13"/>
        </w:rPr>
        <w:t xml:space="preserve"> </w:t>
      </w:r>
      <w:r>
        <w:t>of</w:t>
      </w:r>
      <w:r>
        <w:rPr>
          <w:spacing w:val="-11"/>
        </w:rPr>
        <w:t xml:space="preserve"> </w:t>
      </w:r>
      <w:r>
        <w:t>ACTH,</w:t>
      </w:r>
      <w:r>
        <w:rPr>
          <w:spacing w:val="-13"/>
        </w:rPr>
        <w:t xml:space="preserve"> </w:t>
      </w:r>
      <w:r>
        <w:t>corticosteroids and insulin. Heparin is incompatible with certain substances in aqueous solution. Reference to specialised literature should be made to verify in which solution the incompatibility was noted. The</w:t>
      </w:r>
      <w:r>
        <w:rPr>
          <w:spacing w:val="-8"/>
        </w:rPr>
        <w:t xml:space="preserve"> </w:t>
      </w:r>
      <w:r>
        <w:t>following</w:t>
      </w:r>
      <w:r>
        <w:rPr>
          <w:spacing w:val="-8"/>
        </w:rPr>
        <w:t xml:space="preserve"> </w:t>
      </w:r>
      <w:r>
        <w:t>incompatibilities</w:t>
      </w:r>
      <w:r>
        <w:rPr>
          <w:spacing w:val="-8"/>
        </w:rPr>
        <w:t xml:space="preserve"> </w:t>
      </w:r>
      <w:r>
        <w:t>have</w:t>
      </w:r>
      <w:r>
        <w:rPr>
          <w:spacing w:val="-8"/>
        </w:rPr>
        <w:t xml:space="preserve"> </w:t>
      </w:r>
      <w:r>
        <w:t>been</w:t>
      </w:r>
      <w:r>
        <w:rPr>
          <w:spacing w:val="-8"/>
        </w:rPr>
        <w:t xml:space="preserve"> </w:t>
      </w:r>
      <w:r>
        <w:t>reported:</w:t>
      </w:r>
      <w:r>
        <w:rPr>
          <w:spacing w:val="-7"/>
        </w:rPr>
        <w:t xml:space="preserve"> </w:t>
      </w:r>
      <w:r>
        <w:t>hydrocortisone;</w:t>
      </w:r>
      <w:r>
        <w:rPr>
          <w:spacing w:val="-7"/>
        </w:rPr>
        <w:t xml:space="preserve"> </w:t>
      </w:r>
      <w:r>
        <w:t>hyaluronidase;</w:t>
      </w:r>
      <w:r>
        <w:rPr>
          <w:spacing w:val="-7"/>
        </w:rPr>
        <w:t xml:space="preserve"> </w:t>
      </w:r>
      <w:r>
        <w:t xml:space="preserve">hydroxyzine; some antihistamines, narcotic analgesics, phenothiazines and antibiotics. (Refer to Section 6.2 – </w:t>
      </w:r>
      <w:r>
        <w:rPr>
          <w:spacing w:val="-2"/>
        </w:rPr>
        <w:t>Incompatibilities).</w:t>
      </w:r>
    </w:p>
    <w:p w14:paraId="0D1AB3A7" w14:textId="3739C6D0" w:rsidR="000940E6" w:rsidRDefault="00B90DF7" w:rsidP="00B90DF7">
      <w:pPr>
        <w:pStyle w:val="BodyText"/>
        <w:spacing w:before="119" w:line="276" w:lineRule="auto"/>
        <w:ind w:right="129"/>
        <w:jc w:val="left"/>
        <w:rPr>
          <w:spacing w:val="-2"/>
        </w:rPr>
      </w:pPr>
      <w:r>
        <w:t>Intravenous nitroglycerin administered to heparinized patients may result in a decrease of the partial</w:t>
      </w:r>
      <w:r>
        <w:rPr>
          <w:spacing w:val="-9"/>
        </w:rPr>
        <w:t xml:space="preserve"> </w:t>
      </w:r>
      <w:r>
        <w:t>thromboplastin</w:t>
      </w:r>
      <w:r>
        <w:rPr>
          <w:spacing w:val="-6"/>
        </w:rPr>
        <w:t xml:space="preserve"> </w:t>
      </w:r>
      <w:r>
        <w:t>time</w:t>
      </w:r>
      <w:r>
        <w:rPr>
          <w:spacing w:val="-7"/>
        </w:rPr>
        <w:t xml:space="preserve"> </w:t>
      </w:r>
      <w:r>
        <w:t>with</w:t>
      </w:r>
      <w:r>
        <w:rPr>
          <w:spacing w:val="-7"/>
        </w:rPr>
        <w:t xml:space="preserve"> </w:t>
      </w:r>
      <w:r>
        <w:t>subsequent</w:t>
      </w:r>
      <w:r>
        <w:rPr>
          <w:spacing w:val="-6"/>
        </w:rPr>
        <w:t xml:space="preserve"> </w:t>
      </w:r>
      <w:r>
        <w:t>rebound</w:t>
      </w:r>
      <w:r>
        <w:rPr>
          <w:spacing w:val="-6"/>
        </w:rPr>
        <w:t xml:space="preserve"> </w:t>
      </w:r>
      <w:r>
        <w:t>effect</w:t>
      </w:r>
      <w:r>
        <w:rPr>
          <w:spacing w:val="-7"/>
        </w:rPr>
        <w:t xml:space="preserve"> </w:t>
      </w:r>
      <w:r>
        <w:t>upon</w:t>
      </w:r>
      <w:r>
        <w:rPr>
          <w:spacing w:val="-6"/>
        </w:rPr>
        <w:t xml:space="preserve"> </w:t>
      </w:r>
      <w:r>
        <w:t>discontinuation</w:t>
      </w:r>
      <w:r>
        <w:rPr>
          <w:spacing w:val="-6"/>
        </w:rPr>
        <w:t xml:space="preserve"> </w:t>
      </w:r>
      <w:r>
        <w:t>of</w:t>
      </w:r>
      <w:r>
        <w:rPr>
          <w:spacing w:val="-7"/>
        </w:rPr>
        <w:t xml:space="preserve"> </w:t>
      </w:r>
      <w:r>
        <w:rPr>
          <w:spacing w:val="-2"/>
        </w:rPr>
        <w:t xml:space="preserve">nitroglycerin. </w:t>
      </w:r>
    </w:p>
    <w:p w14:paraId="3F431506" w14:textId="77777777" w:rsidR="00B90DF7" w:rsidRDefault="00B90DF7" w:rsidP="00B90DF7">
      <w:pPr>
        <w:pStyle w:val="BodyText"/>
        <w:spacing w:before="119" w:line="276" w:lineRule="auto"/>
        <w:ind w:right="129"/>
        <w:jc w:val="left"/>
        <w:rPr>
          <w:spacing w:val="-2"/>
        </w:rPr>
      </w:pPr>
    </w:p>
    <w:p w14:paraId="21325B14" w14:textId="77777777" w:rsidR="000940E6" w:rsidRDefault="00B90DF7" w:rsidP="00B90DF7">
      <w:pPr>
        <w:pStyle w:val="BodyText"/>
        <w:spacing w:before="60" w:line="276" w:lineRule="auto"/>
        <w:ind w:right="129"/>
        <w:jc w:val="left"/>
      </w:pPr>
      <w:r>
        <w:lastRenderedPageBreak/>
        <w:t>Careful monitoring of partial thromboplastin time and adjustment of heparin dosage are recommended during co administration of heparin and intravenous nitroglycerin.</w:t>
      </w:r>
    </w:p>
    <w:p w14:paraId="23DCC9B0" w14:textId="77777777" w:rsidR="000940E6" w:rsidRDefault="00B90DF7" w:rsidP="00B90DF7">
      <w:pPr>
        <w:pStyle w:val="Heading2"/>
        <w:numPr>
          <w:ilvl w:val="1"/>
          <w:numId w:val="1"/>
        </w:numPr>
        <w:tabs>
          <w:tab w:val="left" w:pos="695"/>
        </w:tabs>
        <w:spacing w:before="201"/>
        <w:ind w:left="695" w:hanging="575"/>
      </w:pPr>
      <w:bookmarkStart w:id="27" w:name="4.6_Fertility,_pregnancy_and_lactation"/>
      <w:bookmarkEnd w:id="27"/>
      <w:r>
        <w:rPr>
          <w:smallCaps/>
          <w:spacing w:val="-2"/>
        </w:rPr>
        <w:t>Fertility,</w:t>
      </w:r>
      <w:r>
        <w:rPr>
          <w:smallCaps/>
          <w:spacing w:val="-12"/>
        </w:rPr>
        <w:t xml:space="preserve"> </w:t>
      </w:r>
      <w:r>
        <w:rPr>
          <w:smallCaps/>
          <w:spacing w:val="-2"/>
        </w:rPr>
        <w:t>pregnancy</w:t>
      </w:r>
      <w:r>
        <w:rPr>
          <w:smallCaps/>
          <w:spacing w:val="4"/>
        </w:rPr>
        <w:t xml:space="preserve"> </w:t>
      </w:r>
      <w:r>
        <w:rPr>
          <w:smallCaps/>
          <w:spacing w:val="-2"/>
        </w:rPr>
        <w:t>and</w:t>
      </w:r>
      <w:r>
        <w:rPr>
          <w:smallCaps/>
          <w:spacing w:val="2"/>
        </w:rPr>
        <w:t xml:space="preserve"> </w:t>
      </w:r>
      <w:r>
        <w:rPr>
          <w:smallCaps/>
          <w:spacing w:val="-2"/>
        </w:rPr>
        <w:t>lactation</w:t>
      </w:r>
    </w:p>
    <w:p w14:paraId="683219FC" w14:textId="77777777" w:rsidR="000940E6" w:rsidRDefault="000940E6" w:rsidP="00B90DF7">
      <w:pPr>
        <w:pStyle w:val="BodyText"/>
        <w:spacing w:before="24"/>
        <w:ind w:left="0"/>
        <w:jc w:val="left"/>
        <w:rPr>
          <w:b/>
          <w:sz w:val="19"/>
        </w:rPr>
      </w:pPr>
    </w:p>
    <w:p w14:paraId="651BC976" w14:textId="77777777" w:rsidR="000940E6" w:rsidRDefault="00B90DF7" w:rsidP="00B90DF7">
      <w:pPr>
        <w:ind w:left="120"/>
        <w:rPr>
          <w:b/>
          <w:sz w:val="24"/>
        </w:rPr>
      </w:pPr>
      <w:bookmarkStart w:id="28" w:name="Effects_on_Fertility"/>
      <w:bookmarkEnd w:id="28"/>
      <w:r>
        <w:rPr>
          <w:b/>
          <w:sz w:val="24"/>
        </w:rPr>
        <w:t>Effects</w:t>
      </w:r>
      <w:r>
        <w:rPr>
          <w:b/>
          <w:spacing w:val="-3"/>
          <w:sz w:val="24"/>
        </w:rPr>
        <w:t xml:space="preserve"> </w:t>
      </w:r>
      <w:r>
        <w:rPr>
          <w:b/>
          <w:sz w:val="24"/>
        </w:rPr>
        <w:t>on</w:t>
      </w:r>
      <w:r>
        <w:rPr>
          <w:b/>
          <w:spacing w:val="-2"/>
          <w:sz w:val="24"/>
        </w:rPr>
        <w:t xml:space="preserve"> Fertility</w:t>
      </w:r>
    </w:p>
    <w:p w14:paraId="760CA9CD" w14:textId="77777777" w:rsidR="000940E6" w:rsidRDefault="00B90DF7" w:rsidP="00B90DF7">
      <w:pPr>
        <w:pStyle w:val="BodyText"/>
        <w:spacing w:line="276" w:lineRule="auto"/>
        <w:ind w:right="132" w:firstLine="60"/>
        <w:jc w:val="left"/>
      </w:pPr>
      <w:r>
        <w:t>Studies to evaluate the effects of heparin on fertility and embryonic development have not been conducted in animals.</w:t>
      </w:r>
    </w:p>
    <w:p w14:paraId="5EDB19ED" w14:textId="77777777" w:rsidR="000940E6" w:rsidRDefault="00B90DF7" w:rsidP="00B90DF7">
      <w:pPr>
        <w:pStyle w:val="Heading2"/>
        <w:spacing w:before="119"/>
      </w:pPr>
      <w:r>
        <w:t>Use</w:t>
      </w:r>
      <w:r>
        <w:rPr>
          <w:spacing w:val="-4"/>
        </w:rPr>
        <w:t xml:space="preserve"> </w:t>
      </w:r>
      <w:r>
        <w:t>in</w:t>
      </w:r>
      <w:r>
        <w:rPr>
          <w:spacing w:val="-2"/>
        </w:rPr>
        <w:t xml:space="preserve"> </w:t>
      </w:r>
      <w:r>
        <w:t>Pregnancy(Category</w:t>
      </w:r>
      <w:r>
        <w:rPr>
          <w:spacing w:val="-2"/>
        </w:rPr>
        <w:t xml:space="preserve"> </w:t>
      </w:r>
      <w:r>
        <w:rPr>
          <w:spacing w:val="-5"/>
        </w:rPr>
        <w:t>C)</w:t>
      </w:r>
    </w:p>
    <w:p w14:paraId="167E8E10" w14:textId="77777777" w:rsidR="000940E6" w:rsidRDefault="00B90DF7" w:rsidP="00B90DF7">
      <w:pPr>
        <w:pStyle w:val="BodyText"/>
        <w:spacing w:before="160"/>
        <w:jc w:val="left"/>
      </w:pPr>
      <w:r>
        <w:t>Animal</w:t>
      </w:r>
      <w:r>
        <w:rPr>
          <w:spacing w:val="-4"/>
        </w:rPr>
        <w:t xml:space="preserve"> </w:t>
      </w:r>
      <w:r>
        <w:t>reproduction</w:t>
      </w:r>
      <w:r>
        <w:rPr>
          <w:spacing w:val="-1"/>
        </w:rPr>
        <w:t xml:space="preserve"> </w:t>
      </w:r>
      <w:r>
        <w:t>studies</w:t>
      </w:r>
      <w:r>
        <w:rPr>
          <w:spacing w:val="-2"/>
        </w:rPr>
        <w:t xml:space="preserve"> </w:t>
      </w:r>
      <w:r>
        <w:t>have</w:t>
      </w:r>
      <w:r>
        <w:rPr>
          <w:spacing w:val="-2"/>
        </w:rPr>
        <w:t xml:space="preserve"> </w:t>
      </w:r>
      <w:r>
        <w:t>not</w:t>
      </w:r>
      <w:r>
        <w:rPr>
          <w:spacing w:val="-2"/>
        </w:rPr>
        <w:t xml:space="preserve"> </w:t>
      </w:r>
      <w:r>
        <w:t>been</w:t>
      </w:r>
      <w:r>
        <w:rPr>
          <w:spacing w:val="1"/>
        </w:rPr>
        <w:t xml:space="preserve"> </w:t>
      </w:r>
      <w:r>
        <w:t>conducted</w:t>
      </w:r>
      <w:r>
        <w:rPr>
          <w:spacing w:val="-2"/>
        </w:rPr>
        <w:t xml:space="preserve"> </w:t>
      </w:r>
      <w:r>
        <w:t>with</w:t>
      </w:r>
      <w:r>
        <w:rPr>
          <w:spacing w:val="-1"/>
        </w:rPr>
        <w:t xml:space="preserve"> </w:t>
      </w:r>
      <w:r>
        <w:t>heparin</w:t>
      </w:r>
      <w:r>
        <w:rPr>
          <w:spacing w:val="-1"/>
        </w:rPr>
        <w:t xml:space="preserve"> </w:t>
      </w:r>
      <w:r>
        <w:rPr>
          <w:spacing w:val="-2"/>
        </w:rPr>
        <w:t>sodium.</w:t>
      </w:r>
    </w:p>
    <w:p w14:paraId="101CC40C" w14:textId="77777777" w:rsidR="000940E6" w:rsidRDefault="00B90DF7" w:rsidP="00B90DF7">
      <w:pPr>
        <w:pStyle w:val="BodyText"/>
        <w:spacing w:before="164" w:line="276" w:lineRule="auto"/>
        <w:ind w:right="133"/>
        <w:jc w:val="left"/>
      </w:pPr>
      <w:r>
        <w:t>Unfractionated heparin sodium is not known to cross the placenta. Whilst the possibility of fetal harm or effect on reproduction cannot be excluded, a direct fetal effect is unlikely.</w:t>
      </w:r>
    </w:p>
    <w:p w14:paraId="3A99B7BB" w14:textId="77777777" w:rsidR="000940E6" w:rsidRDefault="00B90DF7" w:rsidP="00B90DF7">
      <w:pPr>
        <w:pStyle w:val="BodyText"/>
        <w:spacing w:before="118" w:line="276" w:lineRule="auto"/>
        <w:ind w:right="131"/>
        <w:jc w:val="left"/>
      </w:pPr>
      <w:r>
        <w:t>During pregnancy, complications resulting from underlying illness and/or therapy cannot be excluded. Long-term administration (&gt;3 to 5 months)of heparin may increase the risk of osteoporosis in pregnant women (see also Section 4.4 Special warnings and precautions for</w:t>
      </w:r>
      <w:r>
        <w:rPr>
          <w:spacing w:val="-1"/>
        </w:rPr>
        <w:t xml:space="preserve"> </w:t>
      </w:r>
      <w:r>
        <w:t>use).</w:t>
      </w:r>
    </w:p>
    <w:p w14:paraId="362A63B1" w14:textId="77777777" w:rsidR="000940E6" w:rsidRDefault="00B90DF7" w:rsidP="00B90DF7">
      <w:pPr>
        <w:pStyle w:val="BodyText"/>
        <w:spacing w:before="121" w:line="276" w:lineRule="auto"/>
        <w:ind w:left="119" w:right="132"/>
        <w:jc w:val="left"/>
      </w:pPr>
      <w:r>
        <w:t>The</w:t>
      </w:r>
      <w:r>
        <w:rPr>
          <w:spacing w:val="-12"/>
        </w:rPr>
        <w:t xml:space="preserve"> </w:t>
      </w:r>
      <w:r>
        <w:t>tendency</w:t>
      </w:r>
      <w:r>
        <w:rPr>
          <w:spacing w:val="-8"/>
        </w:rPr>
        <w:t xml:space="preserve"> </w:t>
      </w:r>
      <w:r>
        <w:t>for</w:t>
      </w:r>
      <w:r>
        <w:rPr>
          <w:spacing w:val="-11"/>
        </w:rPr>
        <w:t xml:space="preserve"> </w:t>
      </w:r>
      <w:r>
        <w:t>skin</w:t>
      </w:r>
      <w:r>
        <w:rPr>
          <w:spacing w:val="-11"/>
        </w:rPr>
        <w:t xml:space="preserve"> </w:t>
      </w:r>
      <w:r>
        <w:t>lesions</w:t>
      </w:r>
      <w:r>
        <w:rPr>
          <w:spacing w:val="-10"/>
        </w:rPr>
        <w:t xml:space="preserve"> </w:t>
      </w:r>
      <w:r>
        <w:t>is</w:t>
      </w:r>
      <w:r>
        <w:rPr>
          <w:spacing w:val="-10"/>
        </w:rPr>
        <w:t xml:space="preserve"> </w:t>
      </w:r>
      <w:r>
        <w:t>higher</w:t>
      </w:r>
      <w:r>
        <w:rPr>
          <w:spacing w:val="-11"/>
        </w:rPr>
        <w:t xml:space="preserve"> </w:t>
      </w:r>
      <w:r>
        <w:t>in</w:t>
      </w:r>
      <w:r>
        <w:rPr>
          <w:spacing w:val="-11"/>
        </w:rPr>
        <w:t xml:space="preserve"> </w:t>
      </w:r>
      <w:r>
        <w:t>pregnant</w:t>
      </w:r>
      <w:r>
        <w:rPr>
          <w:spacing w:val="-10"/>
        </w:rPr>
        <w:t xml:space="preserve"> </w:t>
      </w:r>
      <w:r>
        <w:t>women</w:t>
      </w:r>
      <w:r>
        <w:rPr>
          <w:spacing w:val="-11"/>
        </w:rPr>
        <w:t xml:space="preserve"> </w:t>
      </w:r>
      <w:r>
        <w:t>compared</w:t>
      </w:r>
      <w:r>
        <w:rPr>
          <w:spacing w:val="-11"/>
        </w:rPr>
        <w:t xml:space="preserve"> </w:t>
      </w:r>
      <w:r>
        <w:t>to</w:t>
      </w:r>
      <w:r>
        <w:rPr>
          <w:spacing w:val="-11"/>
        </w:rPr>
        <w:t xml:space="preserve"> </w:t>
      </w:r>
      <w:r>
        <w:t>non-pregnant</w:t>
      </w:r>
      <w:r>
        <w:rPr>
          <w:spacing w:val="-10"/>
        </w:rPr>
        <w:t xml:space="preserve"> </w:t>
      </w:r>
      <w:r>
        <w:t>women</w:t>
      </w:r>
      <w:r>
        <w:rPr>
          <w:spacing w:val="-8"/>
        </w:rPr>
        <w:t xml:space="preserve"> </w:t>
      </w:r>
      <w:r>
        <w:t>(see Sections 4.4 Special warnings and precautions for use and 4.8 Adverse</w:t>
      </w:r>
      <w:r>
        <w:rPr>
          <w:spacing w:val="-8"/>
        </w:rPr>
        <w:t xml:space="preserve"> </w:t>
      </w:r>
      <w:r>
        <w:t xml:space="preserve">effects (Undesirable </w:t>
      </w:r>
      <w:r>
        <w:rPr>
          <w:spacing w:val="-2"/>
        </w:rPr>
        <w:t>effects)).</w:t>
      </w:r>
    </w:p>
    <w:p w14:paraId="133F4037" w14:textId="77777777" w:rsidR="000940E6" w:rsidRDefault="00B90DF7" w:rsidP="00B90DF7">
      <w:pPr>
        <w:pStyle w:val="BodyText"/>
        <w:spacing w:before="118" w:line="278" w:lineRule="auto"/>
        <w:ind w:left="119" w:right="133"/>
        <w:jc w:val="left"/>
      </w:pPr>
      <w:r>
        <w:t>For</w:t>
      </w:r>
      <w:r>
        <w:rPr>
          <w:spacing w:val="-9"/>
        </w:rPr>
        <w:t xml:space="preserve"> </w:t>
      </w:r>
      <w:r>
        <w:t>the</w:t>
      </w:r>
      <w:r>
        <w:rPr>
          <w:spacing w:val="-9"/>
        </w:rPr>
        <w:t xml:space="preserve"> </w:t>
      </w:r>
      <w:r>
        <w:t>use</w:t>
      </w:r>
      <w:r>
        <w:rPr>
          <w:spacing w:val="-9"/>
        </w:rPr>
        <w:t xml:space="preserve"> </w:t>
      </w:r>
      <w:r>
        <w:t>of</w:t>
      </w:r>
      <w:r>
        <w:rPr>
          <w:spacing w:val="-9"/>
        </w:rPr>
        <w:t xml:space="preserve"> </w:t>
      </w:r>
      <w:r>
        <w:t>heparin</w:t>
      </w:r>
      <w:r>
        <w:rPr>
          <w:spacing w:val="-8"/>
        </w:rPr>
        <w:t xml:space="preserve"> </w:t>
      </w:r>
      <w:r>
        <w:t>in</w:t>
      </w:r>
      <w:r>
        <w:rPr>
          <w:spacing w:val="-8"/>
        </w:rPr>
        <w:t xml:space="preserve"> </w:t>
      </w:r>
      <w:r>
        <w:t>epidural</w:t>
      </w:r>
      <w:r>
        <w:rPr>
          <w:spacing w:val="-8"/>
        </w:rPr>
        <w:t xml:space="preserve"> </w:t>
      </w:r>
      <w:r>
        <w:t>anaesthesia</w:t>
      </w:r>
      <w:r>
        <w:rPr>
          <w:spacing w:val="-9"/>
        </w:rPr>
        <w:t xml:space="preserve"> </w:t>
      </w:r>
      <w:r>
        <w:t>during</w:t>
      </w:r>
      <w:r>
        <w:rPr>
          <w:spacing w:val="-8"/>
        </w:rPr>
        <w:t xml:space="preserve"> </w:t>
      </w:r>
      <w:r>
        <w:t>labour</w:t>
      </w:r>
      <w:r>
        <w:rPr>
          <w:spacing w:val="-9"/>
        </w:rPr>
        <w:t xml:space="preserve"> </w:t>
      </w:r>
      <w:r>
        <w:t>(see</w:t>
      </w:r>
      <w:r>
        <w:rPr>
          <w:spacing w:val="-9"/>
        </w:rPr>
        <w:t xml:space="preserve"> </w:t>
      </w:r>
      <w:r>
        <w:t>Section</w:t>
      </w:r>
      <w:r>
        <w:rPr>
          <w:spacing w:val="-8"/>
        </w:rPr>
        <w:t xml:space="preserve"> </w:t>
      </w:r>
      <w:r>
        <w:t>4.4</w:t>
      </w:r>
      <w:r>
        <w:rPr>
          <w:spacing w:val="-8"/>
        </w:rPr>
        <w:t xml:space="preserve"> </w:t>
      </w:r>
      <w:r>
        <w:t>Special</w:t>
      </w:r>
      <w:r>
        <w:rPr>
          <w:spacing w:val="-8"/>
        </w:rPr>
        <w:t xml:space="preserve"> </w:t>
      </w:r>
      <w:r>
        <w:t>warnings</w:t>
      </w:r>
      <w:r>
        <w:rPr>
          <w:spacing w:val="-8"/>
        </w:rPr>
        <w:t xml:space="preserve"> </w:t>
      </w:r>
      <w:r>
        <w:t>and precautions for use).</w:t>
      </w:r>
    </w:p>
    <w:p w14:paraId="7C8F3952" w14:textId="77777777" w:rsidR="000940E6" w:rsidRDefault="00B90DF7" w:rsidP="00B90DF7">
      <w:pPr>
        <w:pStyle w:val="BodyText"/>
        <w:spacing w:before="116"/>
        <w:ind w:left="119"/>
        <w:jc w:val="left"/>
      </w:pPr>
      <w:r>
        <w:t>For</w:t>
      </w:r>
      <w:r>
        <w:rPr>
          <w:spacing w:val="-2"/>
        </w:rPr>
        <w:t xml:space="preserve"> </w:t>
      </w:r>
      <w:r>
        <w:t>imminent</w:t>
      </w:r>
      <w:r>
        <w:rPr>
          <w:spacing w:val="-1"/>
        </w:rPr>
        <w:t xml:space="preserve"> </w:t>
      </w:r>
      <w:r>
        <w:t>abortion</w:t>
      </w:r>
      <w:r>
        <w:rPr>
          <w:spacing w:val="-1"/>
        </w:rPr>
        <w:t xml:space="preserve"> </w:t>
      </w:r>
      <w:r>
        <w:t>see</w:t>
      </w:r>
      <w:r>
        <w:rPr>
          <w:spacing w:val="-2"/>
        </w:rPr>
        <w:t xml:space="preserve"> </w:t>
      </w:r>
      <w:r>
        <w:t>also</w:t>
      </w:r>
      <w:r>
        <w:rPr>
          <w:spacing w:val="-1"/>
        </w:rPr>
        <w:t xml:space="preserve"> </w:t>
      </w:r>
      <w:r>
        <w:t>Section</w:t>
      </w:r>
      <w:r>
        <w:rPr>
          <w:spacing w:val="-1"/>
        </w:rPr>
        <w:t xml:space="preserve"> </w:t>
      </w:r>
      <w:r>
        <w:t>4.3</w:t>
      </w:r>
      <w:r>
        <w:rPr>
          <w:spacing w:val="-1"/>
        </w:rPr>
        <w:t xml:space="preserve"> </w:t>
      </w:r>
      <w:r>
        <w:rPr>
          <w:spacing w:val="-2"/>
        </w:rPr>
        <w:t>Contraindications.</w:t>
      </w:r>
    </w:p>
    <w:p w14:paraId="1D96F999" w14:textId="77777777" w:rsidR="000940E6" w:rsidRDefault="00B90DF7" w:rsidP="00B90DF7">
      <w:pPr>
        <w:pStyle w:val="Heading2"/>
        <w:spacing w:before="161"/>
        <w:ind w:left="119"/>
      </w:pPr>
      <w:r>
        <w:t>Use</w:t>
      </w:r>
      <w:r>
        <w:rPr>
          <w:spacing w:val="-2"/>
        </w:rPr>
        <w:t xml:space="preserve"> </w:t>
      </w:r>
      <w:r>
        <w:t xml:space="preserve">in </w:t>
      </w:r>
      <w:r>
        <w:rPr>
          <w:spacing w:val="-2"/>
        </w:rPr>
        <w:t>Lactation.</w:t>
      </w:r>
    </w:p>
    <w:p w14:paraId="43F23155" w14:textId="77777777" w:rsidR="000940E6" w:rsidRDefault="00B90DF7" w:rsidP="00B90DF7">
      <w:pPr>
        <w:pStyle w:val="BodyText"/>
        <w:spacing w:line="276" w:lineRule="auto"/>
        <w:ind w:left="119" w:right="133"/>
        <w:jc w:val="left"/>
      </w:pPr>
      <w:r>
        <w:t>Heparin-</w:t>
      </w:r>
      <w:r>
        <w:rPr>
          <w:spacing w:val="-3"/>
        </w:rPr>
        <w:t xml:space="preserve"> </w:t>
      </w:r>
      <w:r>
        <w:t>is</w:t>
      </w:r>
      <w:r>
        <w:rPr>
          <w:spacing w:val="-5"/>
        </w:rPr>
        <w:t xml:space="preserve"> </w:t>
      </w:r>
      <w:r>
        <w:t>not</w:t>
      </w:r>
      <w:r>
        <w:rPr>
          <w:spacing w:val="-4"/>
        </w:rPr>
        <w:t xml:space="preserve"> </w:t>
      </w:r>
      <w:r>
        <w:t>excreted</w:t>
      </w:r>
      <w:r>
        <w:rPr>
          <w:spacing w:val="-5"/>
        </w:rPr>
        <w:t xml:space="preserve"> </w:t>
      </w:r>
      <w:r>
        <w:t>in</w:t>
      </w:r>
      <w:r>
        <w:rPr>
          <w:spacing w:val="-5"/>
        </w:rPr>
        <w:t xml:space="preserve"> </w:t>
      </w:r>
      <w:r>
        <w:t>breastmilk.</w:t>
      </w:r>
      <w:r>
        <w:rPr>
          <w:spacing w:val="-5"/>
        </w:rPr>
        <w:t xml:space="preserve"> </w:t>
      </w:r>
      <w:r>
        <w:t>Long-term</w:t>
      </w:r>
      <w:r>
        <w:rPr>
          <w:spacing w:val="-2"/>
        </w:rPr>
        <w:t xml:space="preserve"> </w:t>
      </w:r>
      <w:r>
        <w:t>administration</w:t>
      </w:r>
      <w:r>
        <w:rPr>
          <w:spacing w:val="-5"/>
        </w:rPr>
        <w:t xml:space="preserve"> </w:t>
      </w:r>
      <w:r>
        <w:t>of</w:t>
      </w:r>
      <w:r>
        <w:rPr>
          <w:spacing w:val="-6"/>
        </w:rPr>
        <w:t xml:space="preserve"> </w:t>
      </w:r>
      <w:r>
        <w:t>heparin</w:t>
      </w:r>
      <w:r>
        <w:rPr>
          <w:spacing w:val="-5"/>
        </w:rPr>
        <w:t xml:space="preserve"> </w:t>
      </w:r>
      <w:r>
        <w:t>may</w:t>
      </w:r>
      <w:r>
        <w:rPr>
          <w:spacing w:val="-5"/>
        </w:rPr>
        <w:t xml:space="preserve"> </w:t>
      </w:r>
      <w:r>
        <w:t>increase</w:t>
      </w:r>
      <w:r>
        <w:rPr>
          <w:spacing w:val="-6"/>
        </w:rPr>
        <w:t xml:space="preserve"> </w:t>
      </w:r>
      <w:r>
        <w:t>the</w:t>
      </w:r>
      <w:r>
        <w:rPr>
          <w:spacing w:val="-6"/>
        </w:rPr>
        <w:t xml:space="preserve"> </w:t>
      </w:r>
      <w:r>
        <w:t>risk of osteoporosis in breast-feeding women (see also Section 4.4 Special warnings and precautions for use).</w:t>
      </w:r>
    </w:p>
    <w:p w14:paraId="3D5B600C" w14:textId="77777777" w:rsidR="000940E6" w:rsidRDefault="00B90DF7" w:rsidP="00B90DF7">
      <w:pPr>
        <w:pStyle w:val="Heading2"/>
        <w:numPr>
          <w:ilvl w:val="1"/>
          <w:numId w:val="1"/>
        </w:numPr>
        <w:tabs>
          <w:tab w:val="left" w:pos="695"/>
        </w:tabs>
        <w:ind w:left="695"/>
      </w:pPr>
      <w:bookmarkStart w:id="29" w:name="4.7_Effects_on_ability_to_drive_and_use_"/>
      <w:bookmarkEnd w:id="29"/>
      <w:r>
        <w:rPr>
          <w:smallCaps/>
        </w:rPr>
        <w:t>Effects</w:t>
      </w:r>
      <w:r>
        <w:rPr>
          <w:smallCaps/>
          <w:spacing w:val="-7"/>
        </w:rPr>
        <w:t xml:space="preserve"> </w:t>
      </w:r>
      <w:r>
        <w:rPr>
          <w:smallCaps/>
        </w:rPr>
        <w:t>on</w:t>
      </w:r>
      <w:r>
        <w:rPr>
          <w:smallCaps/>
          <w:spacing w:val="-7"/>
        </w:rPr>
        <w:t xml:space="preserve"> </w:t>
      </w:r>
      <w:r>
        <w:rPr>
          <w:smallCaps/>
        </w:rPr>
        <w:t>ability</w:t>
      </w:r>
      <w:r>
        <w:rPr>
          <w:smallCaps/>
          <w:spacing w:val="-7"/>
        </w:rPr>
        <w:t xml:space="preserve"> </w:t>
      </w:r>
      <w:r>
        <w:rPr>
          <w:smallCaps/>
        </w:rPr>
        <w:t>to</w:t>
      </w:r>
      <w:r>
        <w:rPr>
          <w:smallCaps/>
          <w:spacing w:val="-7"/>
        </w:rPr>
        <w:t xml:space="preserve"> </w:t>
      </w:r>
      <w:r>
        <w:rPr>
          <w:smallCaps/>
        </w:rPr>
        <w:t>drive</w:t>
      </w:r>
      <w:r>
        <w:rPr>
          <w:smallCaps/>
          <w:spacing w:val="-6"/>
        </w:rPr>
        <w:t xml:space="preserve"> </w:t>
      </w:r>
      <w:r>
        <w:rPr>
          <w:smallCaps/>
        </w:rPr>
        <w:t>and</w:t>
      </w:r>
      <w:r>
        <w:rPr>
          <w:smallCaps/>
          <w:spacing w:val="-7"/>
        </w:rPr>
        <w:t xml:space="preserve"> </w:t>
      </w:r>
      <w:r>
        <w:rPr>
          <w:smallCaps/>
        </w:rPr>
        <w:t>use</w:t>
      </w:r>
      <w:r>
        <w:rPr>
          <w:smallCaps/>
          <w:spacing w:val="-5"/>
        </w:rPr>
        <w:t xml:space="preserve"> </w:t>
      </w:r>
      <w:r>
        <w:rPr>
          <w:smallCaps/>
          <w:spacing w:val="-2"/>
        </w:rPr>
        <w:t>machines</w:t>
      </w:r>
    </w:p>
    <w:p w14:paraId="758081DA" w14:textId="77777777" w:rsidR="000940E6" w:rsidRDefault="00B90DF7" w:rsidP="00B90DF7">
      <w:pPr>
        <w:pStyle w:val="BodyText"/>
        <w:spacing w:line="276" w:lineRule="auto"/>
        <w:ind w:right="130"/>
        <w:jc w:val="left"/>
      </w:pPr>
      <w:r>
        <w:t>The effects of this medicine on a person's ability to drive and use machines were not assessed as part of its registration.</w:t>
      </w:r>
    </w:p>
    <w:p w14:paraId="5E026BB3" w14:textId="77777777" w:rsidR="000940E6" w:rsidRDefault="00B90DF7" w:rsidP="00B90DF7">
      <w:pPr>
        <w:pStyle w:val="Heading2"/>
        <w:numPr>
          <w:ilvl w:val="1"/>
          <w:numId w:val="1"/>
        </w:numPr>
        <w:tabs>
          <w:tab w:val="left" w:pos="695"/>
        </w:tabs>
        <w:spacing w:before="200"/>
        <w:ind w:left="695" w:hanging="575"/>
      </w:pPr>
      <w:bookmarkStart w:id="30" w:name="4.8_Adverse_effects_(Undesirable_effects"/>
      <w:bookmarkEnd w:id="30"/>
      <w:r>
        <w:rPr>
          <w:smallCaps/>
          <w:spacing w:val="-2"/>
        </w:rPr>
        <w:t>Adverse</w:t>
      </w:r>
      <w:r>
        <w:rPr>
          <w:smallCaps/>
          <w:spacing w:val="5"/>
        </w:rPr>
        <w:t xml:space="preserve"> </w:t>
      </w:r>
      <w:r>
        <w:rPr>
          <w:smallCaps/>
          <w:spacing w:val="-2"/>
        </w:rPr>
        <w:t>effects</w:t>
      </w:r>
      <w:r>
        <w:rPr>
          <w:smallCaps/>
          <w:spacing w:val="4"/>
        </w:rPr>
        <w:t xml:space="preserve"> </w:t>
      </w:r>
      <w:r>
        <w:rPr>
          <w:smallCaps/>
          <w:spacing w:val="-2"/>
        </w:rPr>
        <w:t>(Undesirable</w:t>
      </w:r>
      <w:r>
        <w:rPr>
          <w:smallCaps/>
          <w:spacing w:val="6"/>
        </w:rPr>
        <w:t xml:space="preserve"> </w:t>
      </w:r>
      <w:r>
        <w:rPr>
          <w:smallCaps/>
          <w:spacing w:val="-2"/>
        </w:rPr>
        <w:t>effects)</w:t>
      </w:r>
    </w:p>
    <w:p w14:paraId="1DEA9443" w14:textId="77777777" w:rsidR="000940E6" w:rsidRDefault="00B90DF7" w:rsidP="00B90DF7">
      <w:pPr>
        <w:pStyle w:val="BodyText"/>
        <w:spacing w:line="379" w:lineRule="auto"/>
        <w:ind w:right="1459"/>
        <w:jc w:val="left"/>
      </w:pPr>
      <w:r>
        <w:t>The</w:t>
      </w:r>
      <w:r>
        <w:rPr>
          <w:spacing w:val="-4"/>
        </w:rPr>
        <w:t xml:space="preserve"> </w:t>
      </w:r>
      <w:r>
        <w:t>most</w:t>
      </w:r>
      <w:r>
        <w:rPr>
          <w:spacing w:val="-3"/>
        </w:rPr>
        <w:t xml:space="preserve"> </w:t>
      </w:r>
      <w:r>
        <w:t>frequent</w:t>
      </w:r>
      <w:r>
        <w:rPr>
          <w:spacing w:val="-3"/>
        </w:rPr>
        <w:t xml:space="preserve"> </w:t>
      </w:r>
      <w:r>
        <w:t>undesirable</w:t>
      </w:r>
      <w:r>
        <w:rPr>
          <w:spacing w:val="-4"/>
        </w:rPr>
        <w:t xml:space="preserve"> </w:t>
      </w:r>
      <w:r>
        <w:t>effects</w:t>
      </w:r>
      <w:r>
        <w:rPr>
          <w:spacing w:val="-3"/>
        </w:rPr>
        <w:t xml:space="preserve"> </w:t>
      </w:r>
      <w:r>
        <w:t>are</w:t>
      </w:r>
      <w:r>
        <w:rPr>
          <w:spacing w:val="-4"/>
        </w:rPr>
        <w:t xml:space="preserve"> </w:t>
      </w:r>
      <w:r>
        <w:t>bleeding</w:t>
      </w:r>
      <w:r>
        <w:rPr>
          <w:spacing w:val="-1"/>
        </w:rPr>
        <w:t xml:space="preserve"> </w:t>
      </w:r>
      <w:r>
        <w:t>events</w:t>
      </w:r>
      <w:r>
        <w:rPr>
          <w:spacing w:val="-3"/>
        </w:rPr>
        <w:t xml:space="preserve"> </w:t>
      </w:r>
      <w:r>
        <w:t>from</w:t>
      </w:r>
      <w:r>
        <w:rPr>
          <w:spacing w:val="-3"/>
        </w:rPr>
        <w:t xml:space="preserve"> </w:t>
      </w:r>
      <w:r>
        <w:t>any</w:t>
      </w:r>
      <w:r>
        <w:rPr>
          <w:spacing w:val="-3"/>
        </w:rPr>
        <w:t xml:space="preserve"> </w:t>
      </w:r>
      <w:r>
        <w:t>organ</w:t>
      </w:r>
      <w:r>
        <w:rPr>
          <w:spacing w:val="-3"/>
        </w:rPr>
        <w:t xml:space="preserve"> </w:t>
      </w:r>
      <w:r>
        <w:t>or</w:t>
      </w:r>
      <w:r>
        <w:rPr>
          <w:spacing w:val="-4"/>
        </w:rPr>
        <w:t xml:space="preserve"> </w:t>
      </w:r>
      <w:r>
        <w:t>tissue. Besides this, local reactions at the site of administration may occur.</w:t>
      </w:r>
    </w:p>
    <w:p w14:paraId="4B4686D6" w14:textId="77777777" w:rsidR="000940E6" w:rsidRDefault="00B90DF7" w:rsidP="00B90DF7">
      <w:pPr>
        <w:pStyle w:val="BodyText"/>
        <w:spacing w:before="2" w:line="276" w:lineRule="auto"/>
        <w:ind w:left="119" w:right="128"/>
        <w:jc w:val="left"/>
      </w:pPr>
      <w:r>
        <w:t>Heparin-induced thrombocytopenia of type II occurs rarely (≥ 1/10,000 to &lt; 1/1,000) but this adverse</w:t>
      </w:r>
      <w:r>
        <w:rPr>
          <w:spacing w:val="-1"/>
        </w:rPr>
        <w:t xml:space="preserve"> </w:t>
      </w:r>
      <w:r>
        <w:t>reaction</w:t>
      </w:r>
      <w:r>
        <w:rPr>
          <w:spacing w:val="-2"/>
        </w:rPr>
        <w:t xml:space="preserve"> </w:t>
      </w:r>
      <w:r>
        <w:t>may</w:t>
      </w:r>
      <w:r>
        <w:rPr>
          <w:spacing w:val="-2"/>
        </w:rPr>
        <w:t xml:space="preserve"> </w:t>
      </w:r>
      <w:r>
        <w:t>become</w:t>
      </w:r>
      <w:r>
        <w:rPr>
          <w:spacing w:val="-3"/>
        </w:rPr>
        <w:t xml:space="preserve"> </w:t>
      </w:r>
      <w:r>
        <w:t>serious. It</w:t>
      </w:r>
      <w:r>
        <w:rPr>
          <w:spacing w:val="-2"/>
        </w:rPr>
        <w:t xml:space="preserve"> </w:t>
      </w:r>
      <w:r>
        <w:t>is assumed</w:t>
      </w:r>
      <w:r>
        <w:rPr>
          <w:spacing w:val="-2"/>
        </w:rPr>
        <w:t xml:space="preserve"> </w:t>
      </w:r>
      <w:r>
        <w:t>to</w:t>
      </w:r>
      <w:r>
        <w:rPr>
          <w:spacing w:val="-2"/>
        </w:rPr>
        <w:t xml:space="preserve"> </w:t>
      </w:r>
      <w:r>
        <w:t>be</w:t>
      </w:r>
      <w:r>
        <w:rPr>
          <w:spacing w:val="-3"/>
        </w:rPr>
        <w:t xml:space="preserve"> </w:t>
      </w:r>
      <w:r>
        <w:t>a</w:t>
      </w:r>
      <w:r>
        <w:rPr>
          <w:spacing w:val="-1"/>
        </w:rPr>
        <w:t xml:space="preserve"> </w:t>
      </w:r>
      <w:r>
        <w:t>hypersensitivity</w:t>
      </w:r>
      <w:r>
        <w:rPr>
          <w:spacing w:val="-2"/>
        </w:rPr>
        <w:t xml:space="preserve"> </w:t>
      </w:r>
      <w:r>
        <w:t>reaction</w:t>
      </w:r>
      <w:r>
        <w:rPr>
          <w:spacing w:val="-2"/>
        </w:rPr>
        <w:t xml:space="preserve"> </w:t>
      </w:r>
      <w:r>
        <w:t>mediated</w:t>
      </w:r>
      <w:r>
        <w:rPr>
          <w:spacing w:val="-2"/>
        </w:rPr>
        <w:t xml:space="preserve"> </w:t>
      </w:r>
      <w:r>
        <w:t>by specific antibodies. For details see below.</w:t>
      </w:r>
    </w:p>
    <w:p w14:paraId="6BAF97EE" w14:textId="77777777" w:rsidR="000940E6" w:rsidRDefault="00B90DF7" w:rsidP="00B90DF7">
      <w:pPr>
        <w:pStyle w:val="BodyText"/>
        <w:spacing w:before="120"/>
        <w:ind w:left="119"/>
        <w:jc w:val="left"/>
      </w:pPr>
      <w:r>
        <w:t>Other</w:t>
      </w:r>
      <w:r>
        <w:rPr>
          <w:spacing w:val="-5"/>
        </w:rPr>
        <w:t xml:space="preserve"> </w:t>
      </w:r>
      <w:r>
        <w:t>undesirable</w:t>
      </w:r>
      <w:r>
        <w:rPr>
          <w:spacing w:val="-2"/>
        </w:rPr>
        <w:t xml:space="preserve"> </w:t>
      </w:r>
      <w:r>
        <w:t>effects may</w:t>
      </w:r>
      <w:r>
        <w:rPr>
          <w:spacing w:val="-2"/>
        </w:rPr>
        <w:t xml:space="preserve"> </w:t>
      </w:r>
      <w:r>
        <w:t>include</w:t>
      </w:r>
      <w:r>
        <w:rPr>
          <w:spacing w:val="-2"/>
        </w:rPr>
        <w:t xml:space="preserve"> </w:t>
      </w:r>
      <w:r>
        <w:t>local</w:t>
      </w:r>
      <w:r>
        <w:rPr>
          <w:spacing w:val="-2"/>
        </w:rPr>
        <w:t xml:space="preserve"> </w:t>
      </w:r>
      <w:r>
        <w:t>or</w:t>
      </w:r>
      <w:r>
        <w:rPr>
          <w:spacing w:val="-2"/>
        </w:rPr>
        <w:t xml:space="preserve"> </w:t>
      </w:r>
      <w:r>
        <w:t>systemic</w:t>
      </w:r>
      <w:r>
        <w:rPr>
          <w:spacing w:val="-2"/>
        </w:rPr>
        <w:t xml:space="preserve"> </w:t>
      </w:r>
      <w:r>
        <w:t>allergic</w:t>
      </w:r>
      <w:r>
        <w:rPr>
          <w:spacing w:val="-2"/>
        </w:rPr>
        <w:t xml:space="preserve"> reactions.</w:t>
      </w:r>
    </w:p>
    <w:p w14:paraId="4A647DA5" w14:textId="77777777" w:rsidR="000940E6" w:rsidRDefault="000940E6" w:rsidP="00B90DF7">
      <w:pPr>
        <w:sectPr w:rsidR="000940E6">
          <w:pgSz w:w="11910" w:h="16840"/>
          <w:pgMar w:top="1360" w:right="1000" w:bottom="1420" w:left="1320" w:header="0" w:footer="1228" w:gutter="0"/>
          <w:cols w:space="720"/>
        </w:sectPr>
      </w:pPr>
    </w:p>
    <w:p w14:paraId="0C350A45" w14:textId="77777777" w:rsidR="000940E6" w:rsidRDefault="00B90DF7" w:rsidP="00B90DF7">
      <w:pPr>
        <w:pStyle w:val="BodyText"/>
        <w:spacing w:before="60" w:line="276" w:lineRule="auto"/>
        <w:ind w:right="2236"/>
        <w:jc w:val="left"/>
      </w:pPr>
      <w:r>
        <w:lastRenderedPageBreak/>
        <w:t>Undesirable</w:t>
      </w:r>
      <w:r>
        <w:rPr>
          <w:spacing w:val="-4"/>
        </w:rPr>
        <w:t xml:space="preserve"> </w:t>
      </w:r>
      <w:r>
        <w:t>effects</w:t>
      </w:r>
      <w:r>
        <w:rPr>
          <w:spacing w:val="-5"/>
        </w:rPr>
        <w:t xml:space="preserve"> </w:t>
      </w:r>
      <w:r>
        <w:t>are</w:t>
      </w:r>
      <w:r>
        <w:rPr>
          <w:spacing w:val="-6"/>
        </w:rPr>
        <w:t xml:space="preserve"> </w:t>
      </w:r>
      <w:r>
        <w:t>listed</w:t>
      </w:r>
      <w:r>
        <w:rPr>
          <w:spacing w:val="-5"/>
        </w:rPr>
        <w:t xml:space="preserve"> </w:t>
      </w:r>
      <w:r>
        <w:t>according</w:t>
      </w:r>
      <w:r>
        <w:rPr>
          <w:spacing w:val="-5"/>
        </w:rPr>
        <w:t xml:space="preserve"> </w:t>
      </w:r>
      <w:r>
        <w:t>to</w:t>
      </w:r>
      <w:r>
        <w:rPr>
          <w:spacing w:val="-5"/>
        </w:rPr>
        <w:t xml:space="preserve"> </w:t>
      </w:r>
      <w:r>
        <w:t>their</w:t>
      </w:r>
      <w:r>
        <w:rPr>
          <w:spacing w:val="-6"/>
        </w:rPr>
        <w:t xml:space="preserve"> </w:t>
      </w:r>
      <w:r>
        <w:t>frequencies</w:t>
      </w:r>
      <w:r>
        <w:rPr>
          <w:spacing w:val="-3"/>
        </w:rPr>
        <w:t xml:space="preserve"> </w:t>
      </w:r>
      <w:r>
        <w:t>as</w:t>
      </w:r>
      <w:r>
        <w:rPr>
          <w:spacing w:val="-5"/>
        </w:rPr>
        <w:t xml:space="preserve"> </w:t>
      </w:r>
      <w:r>
        <w:t>follows: Very common</w:t>
      </w:r>
      <w:r>
        <w:rPr>
          <w:spacing w:val="40"/>
        </w:rPr>
        <w:t xml:space="preserve"> </w:t>
      </w:r>
      <w:r>
        <w:t>(≥ 1/10)</w:t>
      </w:r>
    </w:p>
    <w:p w14:paraId="69D7BF0C" w14:textId="77777777" w:rsidR="000940E6" w:rsidRDefault="00B90DF7" w:rsidP="00B90DF7">
      <w:pPr>
        <w:pStyle w:val="BodyText"/>
        <w:tabs>
          <w:tab w:val="left" w:pos="1619"/>
        </w:tabs>
        <w:spacing w:before="0" w:line="234" w:lineRule="exact"/>
        <w:jc w:val="left"/>
      </w:pPr>
      <w:r>
        <w:rPr>
          <w:spacing w:val="-2"/>
        </w:rPr>
        <w:t>Common</w:t>
      </w:r>
      <w:r>
        <w:tab/>
        <w:t>(≥</w:t>
      </w:r>
      <w:r>
        <w:rPr>
          <w:spacing w:val="-3"/>
        </w:rPr>
        <w:t xml:space="preserve"> </w:t>
      </w:r>
      <w:r>
        <w:t>1/100 to &lt;</w:t>
      </w:r>
      <w:r>
        <w:rPr>
          <w:spacing w:val="-1"/>
        </w:rPr>
        <w:t xml:space="preserve"> </w:t>
      </w:r>
      <w:r>
        <w:rPr>
          <w:spacing w:val="-2"/>
        </w:rPr>
        <w:t>1/10)</w:t>
      </w:r>
    </w:p>
    <w:p w14:paraId="14C9223A" w14:textId="77777777" w:rsidR="000940E6" w:rsidRDefault="00B90DF7" w:rsidP="00B90DF7">
      <w:pPr>
        <w:pStyle w:val="BodyText"/>
        <w:tabs>
          <w:tab w:val="left" w:pos="1559"/>
        </w:tabs>
        <w:spacing w:before="0"/>
        <w:ind w:right="5597"/>
        <w:jc w:val="left"/>
      </w:pPr>
      <w:r>
        <w:rPr>
          <w:spacing w:val="-2"/>
        </w:rPr>
        <w:t>Uncommon</w:t>
      </w:r>
      <w:r>
        <w:tab/>
        <w:t xml:space="preserve">(≥ 1/1,000 to &lt; 1/100) </w:t>
      </w:r>
      <w:r>
        <w:rPr>
          <w:spacing w:val="-4"/>
        </w:rPr>
        <w:t>Rare</w:t>
      </w:r>
      <w:r>
        <w:tab/>
        <w:t>(≥</w:t>
      </w:r>
      <w:r>
        <w:rPr>
          <w:spacing w:val="-9"/>
        </w:rPr>
        <w:t xml:space="preserve"> </w:t>
      </w:r>
      <w:r>
        <w:t>1/10,000</w:t>
      </w:r>
      <w:r>
        <w:rPr>
          <w:spacing w:val="-9"/>
        </w:rPr>
        <w:t xml:space="preserve"> </w:t>
      </w:r>
      <w:r>
        <w:t>to</w:t>
      </w:r>
      <w:r>
        <w:rPr>
          <w:spacing w:val="-9"/>
        </w:rPr>
        <w:t xml:space="preserve"> </w:t>
      </w:r>
      <w:r>
        <w:t>&lt;</w:t>
      </w:r>
      <w:r>
        <w:rPr>
          <w:spacing w:val="-9"/>
        </w:rPr>
        <w:t xml:space="preserve"> </w:t>
      </w:r>
      <w:r>
        <w:t>1/1,000)</w:t>
      </w:r>
    </w:p>
    <w:p w14:paraId="0332D002" w14:textId="77777777" w:rsidR="000940E6" w:rsidRDefault="00B90DF7" w:rsidP="00B90DF7">
      <w:pPr>
        <w:pStyle w:val="BodyText"/>
        <w:tabs>
          <w:tab w:val="left" w:pos="1559"/>
        </w:tabs>
        <w:spacing w:before="1"/>
        <w:jc w:val="left"/>
      </w:pPr>
      <w:r>
        <w:t>Very</w:t>
      </w:r>
      <w:r>
        <w:rPr>
          <w:spacing w:val="-3"/>
        </w:rPr>
        <w:t xml:space="preserve"> </w:t>
      </w:r>
      <w:r>
        <w:rPr>
          <w:spacing w:val="-4"/>
        </w:rPr>
        <w:t>rare</w:t>
      </w:r>
      <w:r>
        <w:tab/>
        <w:t>(&lt;</w:t>
      </w:r>
      <w:r>
        <w:rPr>
          <w:spacing w:val="-2"/>
        </w:rPr>
        <w:t xml:space="preserve"> 1/10,000)</w:t>
      </w:r>
    </w:p>
    <w:p w14:paraId="4F629466" w14:textId="77777777" w:rsidR="000940E6" w:rsidRDefault="00B90DF7" w:rsidP="00B90DF7">
      <w:pPr>
        <w:pStyle w:val="BodyText"/>
        <w:spacing w:before="120"/>
        <w:jc w:val="left"/>
      </w:pPr>
      <w:r>
        <w:t>Not</w:t>
      </w:r>
      <w:r>
        <w:rPr>
          <w:spacing w:val="-4"/>
        </w:rPr>
        <w:t xml:space="preserve"> </w:t>
      </w:r>
      <w:r>
        <w:t>known</w:t>
      </w:r>
      <w:r>
        <w:rPr>
          <w:spacing w:val="-2"/>
        </w:rPr>
        <w:t xml:space="preserve"> </w:t>
      </w:r>
      <w:r>
        <w:t>(Frequency</w:t>
      </w:r>
      <w:r>
        <w:rPr>
          <w:spacing w:val="-1"/>
        </w:rPr>
        <w:t xml:space="preserve"> </w:t>
      </w:r>
      <w:r>
        <w:t>cannot</w:t>
      </w:r>
      <w:r>
        <w:rPr>
          <w:spacing w:val="-2"/>
        </w:rPr>
        <w:t xml:space="preserve"> </w:t>
      </w:r>
      <w:r>
        <w:t>be</w:t>
      </w:r>
      <w:r>
        <w:rPr>
          <w:spacing w:val="-2"/>
        </w:rPr>
        <w:t xml:space="preserve"> </w:t>
      </w:r>
      <w:r>
        <w:t>estimated</w:t>
      </w:r>
      <w:r>
        <w:rPr>
          <w:spacing w:val="-3"/>
        </w:rPr>
        <w:t xml:space="preserve"> </w:t>
      </w:r>
      <w:r>
        <w:t>from</w:t>
      </w:r>
      <w:r>
        <w:rPr>
          <w:spacing w:val="-1"/>
        </w:rPr>
        <w:t xml:space="preserve"> </w:t>
      </w:r>
      <w:r>
        <w:t>the</w:t>
      </w:r>
      <w:r>
        <w:rPr>
          <w:spacing w:val="-3"/>
        </w:rPr>
        <w:t xml:space="preserve"> </w:t>
      </w:r>
      <w:r>
        <w:t>available</w:t>
      </w:r>
      <w:r>
        <w:rPr>
          <w:spacing w:val="-2"/>
        </w:rPr>
        <w:t xml:space="preserve"> data).</w:t>
      </w:r>
    </w:p>
    <w:p w14:paraId="13E3E553" w14:textId="77777777" w:rsidR="000940E6" w:rsidRDefault="00B90DF7" w:rsidP="00B90DF7">
      <w:pPr>
        <w:pStyle w:val="BodyText"/>
        <w:spacing w:before="160" w:line="276" w:lineRule="auto"/>
        <w:ind w:left="119" w:right="132"/>
        <w:jc w:val="left"/>
      </w:pPr>
      <w:r>
        <w:t>All</w:t>
      </w:r>
      <w:r>
        <w:rPr>
          <w:spacing w:val="-9"/>
        </w:rPr>
        <w:t xml:space="preserve"> </w:t>
      </w:r>
      <w:r>
        <w:t>reactions</w:t>
      </w:r>
      <w:r>
        <w:rPr>
          <w:spacing w:val="-9"/>
        </w:rPr>
        <w:t xml:space="preserve"> </w:t>
      </w:r>
      <w:r>
        <w:t>that</w:t>
      </w:r>
      <w:r>
        <w:rPr>
          <w:spacing w:val="-9"/>
        </w:rPr>
        <w:t xml:space="preserve"> </w:t>
      </w:r>
      <w:r>
        <w:t>are</w:t>
      </w:r>
      <w:r>
        <w:rPr>
          <w:spacing w:val="-10"/>
        </w:rPr>
        <w:t xml:space="preserve"> </w:t>
      </w:r>
      <w:r>
        <w:t>derived</w:t>
      </w:r>
      <w:r>
        <w:rPr>
          <w:spacing w:val="-9"/>
        </w:rPr>
        <w:t xml:space="preserve"> </w:t>
      </w:r>
      <w:r>
        <w:t>from</w:t>
      </w:r>
      <w:r>
        <w:rPr>
          <w:spacing w:val="-9"/>
        </w:rPr>
        <w:t xml:space="preserve"> </w:t>
      </w:r>
      <w:r>
        <w:t>post-marketing</w:t>
      </w:r>
      <w:r>
        <w:rPr>
          <w:spacing w:val="-7"/>
        </w:rPr>
        <w:t xml:space="preserve"> </w:t>
      </w:r>
      <w:r>
        <w:t>experience</w:t>
      </w:r>
      <w:r>
        <w:rPr>
          <w:spacing w:val="-10"/>
        </w:rPr>
        <w:t xml:space="preserve"> </w:t>
      </w:r>
      <w:r>
        <w:t>(spontaneous</w:t>
      </w:r>
      <w:r>
        <w:rPr>
          <w:spacing w:val="-9"/>
        </w:rPr>
        <w:t xml:space="preserve"> </w:t>
      </w:r>
      <w:r>
        <w:t>reports</w:t>
      </w:r>
      <w:r>
        <w:rPr>
          <w:spacing w:val="-9"/>
        </w:rPr>
        <w:t xml:space="preserve"> </w:t>
      </w:r>
      <w:r>
        <w:t>and</w:t>
      </w:r>
      <w:r>
        <w:rPr>
          <w:spacing w:val="-9"/>
        </w:rPr>
        <w:t xml:space="preserve"> </w:t>
      </w:r>
      <w:r>
        <w:t>literature) only are based on a patient population which is largely unknown. Therefore exact incidences cannot be provided and are referred to with the frequency ‘not known’.</w:t>
      </w:r>
    </w:p>
    <w:p w14:paraId="28E16A95" w14:textId="77777777" w:rsidR="000940E6" w:rsidRDefault="000940E6" w:rsidP="00B90DF7">
      <w:pPr>
        <w:pStyle w:val="BodyText"/>
        <w:spacing w:before="243"/>
        <w:ind w:left="0"/>
        <w:jc w:val="left"/>
      </w:pPr>
    </w:p>
    <w:p w14:paraId="6AC2B044" w14:textId="77777777" w:rsidR="000940E6" w:rsidRDefault="00B90DF7" w:rsidP="00B90DF7">
      <w:pPr>
        <w:pStyle w:val="Heading2"/>
        <w:spacing w:before="0" w:after="42"/>
      </w:pPr>
      <w:r>
        <w:t>Table</w:t>
      </w:r>
      <w:r>
        <w:rPr>
          <w:spacing w:val="-5"/>
        </w:rPr>
        <w:t xml:space="preserve"> </w:t>
      </w:r>
      <w:r>
        <w:t>2</w:t>
      </w:r>
      <w:r>
        <w:rPr>
          <w:spacing w:val="-2"/>
        </w:rPr>
        <w:t xml:space="preserve"> </w:t>
      </w:r>
      <w:r>
        <w:t>Adverse</w:t>
      </w:r>
      <w:r>
        <w:rPr>
          <w:spacing w:val="-3"/>
        </w:rPr>
        <w:t xml:space="preserve"> </w:t>
      </w:r>
      <w:r>
        <w:t>events according</w:t>
      </w:r>
      <w:r>
        <w:rPr>
          <w:spacing w:val="-2"/>
        </w:rPr>
        <w:t xml:space="preserve"> </w:t>
      </w:r>
      <w:r>
        <w:t>to</w:t>
      </w:r>
      <w:r>
        <w:rPr>
          <w:spacing w:val="-2"/>
        </w:rPr>
        <w:t xml:space="preserve"> </w:t>
      </w:r>
      <w:r>
        <w:t>System</w:t>
      </w:r>
      <w:r>
        <w:rPr>
          <w:spacing w:val="-1"/>
        </w:rPr>
        <w:t xml:space="preserve"> </w:t>
      </w:r>
      <w:r>
        <w:t>Organ</w:t>
      </w:r>
      <w:r>
        <w:rPr>
          <w:spacing w:val="-2"/>
        </w:rPr>
        <w:t xml:space="preserve"> </w:t>
      </w:r>
      <w:r>
        <w:t>Class</w:t>
      </w:r>
      <w:r>
        <w:rPr>
          <w:spacing w:val="-2"/>
        </w:rPr>
        <w:t xml:space="preserve"> </w:t>
      </w:r>
      <w:r>
        <w:t>and</w:t>
      </w:r>
      <w:r>
        <w:rPr>
          <w:spacing w:val="-2"/>
        </w:rPr>
        <w:t xml:space="preserve"> Frequency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416"/>
        <w:gridCol w:w="5530"/>
      </w:tblGrid>
      <w:tr w:rsidR="000940E6" w14:paraId="73961DA4" w14:textId="77777777">
        <w:trPr>
          <w:trHeight w:val="395"/>
        </w:trPr>
        <w:tc>
          <w:tcPr>
            <w:tcW w:w="2405" w:type="dxa"/>
          </w:tcPr>
          <w:p w14:paraId="49F10E3F" w14:textId="77777777" w:rsidR="000940E6" w:rsidRDefault="00B90DF7" w:rsidP="00B90DF7">
            <w:pPr>
              <w:pStyle w:val="TableParagraph"/>
              <w:spacing w:before="119" w:line="257" w:lineRule="exact"/>
              <w:rPr>
                <w:b/>
                <w:sz w:val="24"/>
              </w:rPr>
            </w:pPr>
            <w:r>
              <w:rPr>
                <w:b/>
                <w:sz w:val="24"/>
              </w:rPr>
              <w:t>System</w:t>
            </w:r>
            <w:r>
              <w:rPr>
                <w:b/>
                <w:spacing w:val="-5"/>
                <w:sz w:val="24"/>
              </w:rPr>
              <w:t xml:space="preserve"> </w:t>
            </w:r>
            <w:r>
              <w:rPr>
                <w:b/>
                <w:sz w:val="24"/>
              </w:rPr>
              <w:t>Organ</w:t>
            </w:r>
            <w:r>
              <w:rPr>
                <w:b/>
                <w:spacing w:val="-2"/>
                <w:sz w:val="24"/>
              </w:rPr>
              <w:t xml:space="preserve"> </w:t>
            </w:r>
            <w:r>
              <w:rPr>
                <w:b/>
                <w:spacing w:val="-4"/>
                <w:sz w:val="24"/>
              </w:rPr>
              <w:t>Class</w:t>
            </w:r>
          </w:p>
        </w:tc>
        <w:tc>
          <w:tcPr>
            <w:tcW w:w="1416" w:type="dxa"/>
          </w:tcPr>
          <w:p w14:paraId="3FBC7628" w14:textId="77777777" w:rsidR="000940E6" w:rsidRDefault="00B90DF7" w:rsidP="00B90DF7">
            <w:pPr>
              <w:pStyle w:val="TableParagraph"/>
              <w:spacing w:before="119" w:line="257" w:lineRule="exact"/>
              <w:rPr>
                <w:b/>
                <w:sz w:val="24"/>
              </w:rPr>
            </w:pPr>
            <w:r>
              <w:rPr>
                <w:b/>
                <w:spacing w:val="-2"/>
                <w:sz w:val="24"/>
              </w:rPr>
              <w:t>Frequency</w:t>
            </w:r>
          </w:p>
        </w:tc>
        <w:tc>
          <w:tcPr>
            <w:tcW w:w="5530" w:type="dxa"/>
          </w:tcPr>
          <w:p w14:paraId="3C0DAC41" w14:textId="77777777" w:rsidR="000940E6" w:rsidRDefault="00B90DF7" w:rsidP="00B90DF7">
            <w:pPr>
              <w:pStyle w:val="TableParagraph"/>
              <w:spacing w:before="119" w:line="257" w:lineRule="exact"/>
              <w:rPr>
                <w:b/>
                <w:sz w:val="24"/>
              </w:rPr>
            </w:pPr>
            <w:r>
              <w:rPr>
                <w:b/>
                <w:spacing w:val="-4"/>
                <w:sz w:val="24"/>
              </w:rPr>
              <w:t>Event</w:t>
            </w:r>
          </w:p>
        </w:tc>
      </w:tr>
      <w:tr w:rsidR="000940E6" w14:paraId="60D4F251" w14:textId="77777777">
        <w:trPr>
          <w:trHeight w:val="5603"/>
        </w:trPr>
        <w:tc>
          <w:tcPr>
            <w:tcW w:w="2405" w:type="dxa"/>
            <w:vMerge w:val="restart"/>
          </w:tcPr>
          <w:p w14:paraId="60FC0939" w14:textId="77777777" w:rsidR="000940E6" w:rsidRDefault="00B90DF7" w:rsidP="00B90DF7">
            <w:pPr>
              <w:pStyle w:val="TableParagraph"/>
              <w:spacing w:before="198" w:line="242" w:lineRule="auto"/>
              <w:rPr>
                <w:b/>
                <w:sz w:val="24"/>
              </w:rPr>
            </w:pPr>
            <w:bookmarkStart w:id="31" w:name="Blood_and_lymphatic_system_disorders"/>
            <w:bookmarkEnd w:id="31"/>
            <w:r>
              <w:rPr>
                <w:b/>
                <w:sz w:val="24"/>
              </w:rPr>
              <w:t>Blood and lymphatic system disorders</w:t>
            </w:r>
          </w:p>
        </w:tc>
        <w:tc>
          <w:tcPr>
            <w:tcW w:w="1416" w:type="dxa"/>
          </w:tcPr>
          <w:p w14:paraId="3FFAB83B" w14:textId="77777777" w:rsidR="000940E6" w:rsidRDefault="00B90DF7" w:rsidP="00B90DF7">
            <w:pPr>
              <w:pStyle w:val="TableParagraph"/>
              <w:spacing w:before="119"/>
              <w:rPr>
                <w:sz w:val="24"/>
              </w:rPr>
            </w:pPr>
            <w:r>
              <w:rPr>
                <w:spacing w:val="-2"/>
                <w:sz w:val="24"/>
              </w:rPr>
              <w:t>Common</w:t>
            </w:r>
          </w:p>
        </w:tc>
        <w:tc>
          <w:tcPr>
            <w:tcW w:w="5530" w:type="dxa"/>
          </w:tcPr>
          <w:p w14:paraId="107A9830" w14:textId="77777777" w:rsidR="000940E6" w:rsidRDefault="00B90DF7" w:rsidP="00B90DF7">
            <w:pPr>
              <w:pStyle w:val="TableParagraph"/>
              <w:spacing w:before="119"/>
              <w:rPr>
                <w:i/>
                <w:sz w:val="24"/>
              </w:rPr>
            </w:pPr>
            <w:bookmarkStart w:id="32" w:name="Heparin-induced_thrombocytopenia_type_I"/>
            <w:bookmarkEnd w:id="32"/>
            <w:r>
              <w:rPr>
                <w:i/>
                <w:sz w:val="24"/>
              </w:rPr>
              <w:t>Heparin-induced</w:t>
            </w:r>
            <w:r>
              <w:rPr>
                <w:i/>
                <w:spacing w:val="-6"/>
                <w:sz w:val="24"/>
              </w:rPr>
              <w:t xml:space="preserve"> </w:t>
            </w:r>
            <w:r>
              <w:rPr>
                <w:i/>
                <w:sz w:val="24"/>
              </w:rPr>
              <w:t>thrombocytopenia</w:t>
            </w:r>
            <w:r>
              <w:rPr>
                <w:i/>
                <w:spacing w:val="-4"/>
                <w:sz w:val="24"/>
              </w:rPr>
              <w:t xml:space="preserve"> </w:t>
            </w:r>
            <w:r>
              <w:rPr>
                <w:i/>
                <w:sz w:val="24"/>
              </w:rPr>
              <w:t>type</w:t>
            </w:r>
            <w:r>
              <w:rPr>
                <w:i/>
                <w:spacing w:val="-3"/>
                <w:sz w:val="24"/>
              </w:rPr>
              <w:t xml:space="preserve"> </w:t>
            </w:r>
            <w:r>
              <w:rPr>
                <w:i/>
                <w:spacing w:val="-10"/>
                <w:sz w:val="24"/>
              </w:rPr>
              <w:t>I</w:t>
            </w:r>
          </w:p>
          <w:p w14:paraId="4A2D1A5E" w14:textId="77777777" w:rsidR="000940E6" w:rsidRDefault="00B90DF7" w:rsidP="00B90DF7">
            <w:pPr>
              <w:pStyle w:val="TableParagraph"/>
              <w:spacing w:before="120"/>
              <w:ind w:right="114"/>
              <w:rPr>
                <w:sz w:val="24"/>
              </w:rPr>
            </w:pPr>
            <w:r>
              <w:rPr>
                <w:sz w:val="24"/>
              </w:rPr>
              <w:t>At the beginning of heparin therapy mild heparin- induced thrombocytopenia type I (platelet count 100,000</w:t>
            </w:r>
            <w:r>
              <w:rPr>
                <w:spacing w:val="-6"/>
                <w:sz w:val="24"/>
              </w:rPr>
              <w:t xml:space="preserve"> </w:t>
            </w:r>
            <w:r>
              <w:rPr>
                <w:sz w:val="24"/>
              </w:rPr>
              <w:t>–</w:t>
            </w:r>
            <w:r>
              <w:rPr>
                <w:spacing w:val="-6"/>
                <w:sz w:val="24"/>
              </w:rPr>
              <w:t xml:space="preserve"> </w:t>
            </w:r>
            <w:r>
              <w:rPr>
                <w:sz w:val="24"/>
              </w:rPr>
              <w:t>150,000</w:t>
            </w:r>
            <w:r>
              <w:rPr>
                <w:spacing w:val="-6"/>
                <w:sz w:val="24"/>
              </w:rPr>
              <w:t xml:space="preserve"> </w:t>
            </w:r>
            <w:r>
              <w:rPr>
                <w:sz w:val="24"/>
              </w:rPr>
              <w:t>per</w:t>
            </w:r>
            <w:r>
              <w:rPr>
                <w:spacing w:val="-7"/>
                <w:sz w:val="24"/>
              </w:rPr>
              <w:t xml:space="preserve"> </w:t>
            </w:r>
            <w:r>
              <w:rPr>
                <w:sz w:val="24"/>
              </w:rPr>
              <w:t>microlitre),</w:t>
            </w:r>
            <w:r>
              <w:rPr>
                <w:spacing w:val="-6"/>
                <w:sz w:val="24"/>
              </w:rPr>
              <w:t xml:space="preserve"> </w:t>
            </w:r>
            <w:r>
              <w:rPr>
                <w:sz w:val="24"/>
              </w:rPr>
              <w:t>without</w:t>
            </w:r>
            <w:r>
              <w:rPr>
                <w:spacing w:val="-6"/>
                <w:sz w:val="24"/>
              </w:rPr>
              <w:t xml:space="preserve"> </w:t>
            </w:r>
            <w:r>
              <w:rPr>
                <w:sz w:val="24"/>
              </w:rPr>
              <w:t>thrombosis. The</w:t>
            </w:r>
            <w:r>
              <w:rPr>
                <w:spacing w:val="-3"/>
                <w:sz w:val="24"/>
              </w:rPr>
              <w:t xml:space="preserve"> </w:t>
            </w:r>
            <w:r>
              <w:rPr>
                <w:sz w:val="24"/>
              </w:rPr>
              <w:t>thrombocytopenia</w:t>
            </w:r>
            <w:r>
              <w:rPr>
                <w:spacing w:val="-3"/>
                <w:sz w:val="24"/>
              </w:rPr>
              <w:t xml:space="preserve"> </w:t>
            </w:r>
            <w:r>
              <w:rPr>
                <w:sz w:val="24"/>
              </w:rPr>
              <w:t>usually</w:t>
            </w:r>
            <w:r>
              <w:rPr>
                <w:spacing w:val="-2"/>
                <w:sz w:val="24"/>
              </w:rPr>
              <w:t xml:space="preserve"> </w:t>
            </w:r>
            <w:r>
              <w:rPr>
                <w:sz w:val="24"/>
              </w:rPr>
              <w:t>occurs</w:t>
            </w:r>
            <w:r>
              <w:rPr>
                <w:spacing w:val="-2"/>
                <w:sz w:val="24"/>
              </w:rPr>
              <w:t xml:space="preserve"> </w:t>
            </w:r>
            <w:r>
              <w:rPr>
                <w:sz w:val="24"/>
              </w:rPr>
              <w:t>within</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5 days of administration, and is probably due to a direct effect on platelets</w:t>
            </w:r>
          </w:p>
          <w:p w14:paraId="3F595314" w14:textId="77777777" w:rsidR="000940E6" w:rsidRDefault="00B90DF7" w:rsidP="00B90DF7">
            <w:pPr>
              <w:pStyle w:val="TableParagraph"/>
              <w:spacing w:before="101" w:line="270" w:lineRule="atLeast"/>
              <w:ind w:right="175"/>
              <w:rPr>
                <w:sz w:val="24"/>
              </w:rPr>
            </w:pPr>
            <w:r>
              <w:rPr>
                <w:sz w:val="24"/>
              </w:rPr>
              <w:t>Thrombocytopenia</w:t>
            </w:r>
            <w:r>
              <w:rPr>
                <w:spacing w:val="-3"/>
                <w:sz w:val="24"/>
              </w:rPr>
              <w:t xml:space="preserve"> </w:t>
            </w:r>
            <w:r>
              <w:rPr>
                <w:sz w:val="24"/>
              </w:rPr>
              <w:t>has</w:t>
            </w:r>
            <w:r>
              <w:rPr>
                <w:spacing w:val="-2"/>
                <w:sz w:val="24"/>
              </w:rPr>
              <w:t xml:space="preserve"> </w:t>
            </w:r>
            <w:r>
              <w:rPr>
                <w:sz w:val="24"/>
              </w:rPr>
              <w:t>been</w:t>
            </w:r>
            <w:r>
              <w:rPr>
                <w:spacing w:val="-2"/>
                <w:sz w:val="24"/>
              </w:rPr>
              <w:t xml:space="preserve"> </w:t>
            </w:r>
            <w:r>
              <w:rPr>
                <w:sz w:val="24"/>
              </w:rPr>
              <w:t>reported</w:t>
            </w:r>
            <w:r>
              <w:rPr>
                <w:spacing w:val="-2"/>
                <w:sz w:val="24"/>
              </w:rPr>
              <w:t xml:space="preserve"> </w:t>
            </w:r>
            <w:r>
              <w:rPr>
                <w:sz w:val="24"/>
              </w:rPr>
              <w:t>to</w:t>
            </w:r>
            <w:r>
              <w:rPr>
                <w:spacing w:val="-2"/>
                <w:sz w:val="24"/>
              </w:rPr>
              <w:t xml:space="preserve"> </w:t>
            </w:r>
            <w:r>
              <w:rPr>
                <w:sz w:val="24"/>
              </w:rPr>
              <w:t>occur</w:t>
            </w:r>
            <w:r>
              <w:rPr>
                <w:spacing w:val="-3"/>
                <w:sz w:val="24"/>
              </w:rPr>
              <w:t xml:space="preserve"> </w:t>
            </w:r>
            <w:r>
              <w:rPr>
                <w:sz w:val="24"/>
              </w:rPr>
              <w:t>in up</w:t>
            </w:r>
            <w:r>
              <w:rPr>
                <w:spacing w:val="-2"/>
                <w:sz w:val="24"/>
              </w:rPr>
              <w:t xml:space="preserve"> </w:t>
            </w:r>
            <w:r>
              <w:rPr>
                <w:sz w:val="24"/>
              </w:rPr>
              <w:t>to 30% of patients receiving heparin.</w:t>
            </w:r>
            <w:r>
              <w:rPr>
                <w:spacing w:val="40"/>
                <w:sz w:val="24"/>
              </w:rPr>
              <w:t xml:space="preserve"> </w:t>
            </w:r>
            <w:r>
              <w:rPr>
                <w:sz w:val="24"/>
              </w:rPr>
              <w:t>Although the thrombocytopenia is often mild and of no obvious clinical</w:t>
            </w:r>
            <w:r>
              <w:rPr>
                <w:spacing w:val="-6"/>
                <w:sz w:val="24"/>
              </w:rPr>
              <w:t xml:space="preserve"> </w:t>
            </w:r>
            <w:r>
              <w:rPr>
                <w:sz w:val="24"/>
              </w:rPr>
              <w:t>significance,</w:t>
            </w:r>
            <w:r>
              <w:rPr>
                <w:spacing w:val="-6"/>
                <w:sz w:val="24"/>
              </w:rPr>
              <w:t xml:space="preserve"> </w:t>
            </w:r>
            <w:r>
              <w:rPr>
                <w:sz w:val="24"/>
              </w:rPr>
              <w:t>it</w:t>
            </w:r>
            <w:r>
              <w:rPr>
                <w:spacing w:val="-6"/>
                <w:sz w:val="24"/>
              </w:rPr>
              <w:t xml:space="preserve"> </w:t>
            </w:r>
            <w:r>
              <w:rPr>
                <w:sz w:val="24"/>
              </w:rPr>
              <w:t>may</w:t>
            </w:r>
            <w:r>
              <w:rPr>
                <w:spacing w:val="-6"/>
                <w:sz w:val="24"/>
              </w:rPr>
              <w:t xml:space="preserve"> </w:t>
            </w:r>
            <w:r>
              <w:rPr>
                <w:sz w:val="24"/>
              </w:rPr>
              <w:t>be</w:t>
            </w:r>
            <w:r>
              <w:rPr>
                <w:spacing w:val="-7"/>
                <w:sz w:val="24"/>
              </w:rPr>
              <w:t xml:space="preserve"> </w:t>
            </w:r>
            <w:r>
              <w:rPr>
                <w:sz w:val="24"/>
              </w:rPr>
              <w:t>accompanied</w:t>
            </w:r>
            <w:r>
              <w:rPr>
                <w:spacing w:val="-6"/>
                <w:sz w:val="24"/>
              </w:rPr>
              <w:t xml:space="preserve"> </w:t>
            </w:r>
            <w:r>
              <w:rPr>
                <w:sz w:val="24"/>
              </w:rPr>
              <w:t>by</w:t>
            </w:r>
            <w:r>
              <w:rPr>
                <w:spacing w:val="-6"/>
                <w:sz w:val="24"/>
              </w:rPr>
              <w:t xml:space="preserve"> </w:t>
            </w:r>
            <w:r>
              <w:rPr>
                <w:sz w:val="24"/>
              </w:rPr>
              <w:t>severe thromboembolic complications such as skin necrosis, gangrene of the extremities, myocardial infarction, pulmonary embolism and stroke (see Section 4.4 - Special warnings and precautions for use).</w:t>
            </w:r>
            <w:r>
              <w:rPr>
                <w:spacing w:val="40"/>
                <w:sz w:val="24"/>
              </w:rPr>
              <w:t xml:space="preserve"> </w:t>
            </w:r>
            <w:r>
              <w:rPr>
                <w:sz w:val="24"/>
              </w:rPr>
              <w:t>Certain episodes of painful, ischaemic and cyanosed limbs have in the past been attributed to allergic vasospastic reactions; h</w:t>
            </w:r>
            <w:r>
              <w:rPr>
                <w:sz w:val="24"/>
              </w:rPr>
              <w:t>owever these reactions may instead be complications of thrombocytopenia.</w:t>
            </w:r>
          </w:p>
        </w:tc>
      </w:tr>
      <w:tr w:rsidR="000940E6" w14:paraId="368975D9" w14:textId="77777777">
        <w:trPr>
          <w:trHeight w:val="671"/>
        </w:trPr>
        <w:tc>
          <w:tcPr>
            <w:tcW w:w="2405" w:type="dxa"/>
            <w:vMerge/>
            <w:tcBorders>
              <w:top w:val="nil"/>
            </w:tcBorders>
          </w:tcPr>
          <w:p w14:paraId="6460F546" w14:textId="77777777" w:rsidR="000940E6" w:rsidRDefault="000940E6" w:rsidP="00B90DF7">
            <w:pPr>
              <w:rPr>
                <w:sz w:val="2"/>
                <w:szCs w:val="2"/>
              </w:rPr>
            </w:pPr>
          </w:p>
        </w:tc>
        <w:tc>
          <w:tcPr>
            <w:tcW w:w="1416" w:type="dxa"/>
          </w:tcPr>
          <w:p w14:paraId="76AE7530" w14:textId="77777777" w:rsidR="000940E6" w:rsidRDefault="00B90DF7" w:rsidP="00B90DF7">
            <w:pPr>
              <w:pStyle w:val="TableParagraph"/>
              <w:spacing w:before="119"/>
              <w:rPr>
                <w:sz w:val="24"/>
              </w:rPr>
            </w:pPr>
            <w:r>
              <w:rPr>
                <w:spacing w:val="-2"/>
                <w:sz w:val="24"/>
              </w:rPr>
              <w:t>Unknown</w:t>
            </w:r>
          </w:p>
        </w:tc>
        <w:tc>
          <w:tcPr>
            <w:tcW w:w="5530" w:type="dxa"/>
          </w:tcPr>
          <w:p w14:paraId="1DD2AED2" w14:textId="77777777" w:rsidR="000940E6" w:rsidRDefault="00B90DF7" w:rsidP="00B90DF7">
            <w:pPr>
              <w:pStyle w:val="TableParagraph"/>
              <w:spacing w:before="99" w:line="270" w:lineRule="atLeast"/>
              <w:ind w:right="175"/>
              <w:rPr>
                <w:sz w:val="24"/>
              </w:rPr>
            </w:pPr>
            <w:r>
              <w:rPr>
                <w:sz w:val="24"/>
              </w:rPr>
              <w:t>Eosinophilia. Hypereosinophilia, which is reversible on</w:t>
            </w:r>
            <w:r>
              <w:rPr>
                <w:spacing w:val="-7"/>
                <w:sz w:val="24"/>
              </w:rPr>
              <w:t xml:space="preserve"> </w:t>
            </w:r>
            <w:r>
              <w:rPr>
                <w:sz w:val="24"/>
              </w:rPr>
              <w:t>discontinuation</w:t>
            </w:r>
            <w:r>
              <w:rPr>
                <w:spacing w:val="-7"/>
                <w:sz w:val="24"/>
              </w:rPr>
              <w:t xml:space="preserve"> </w:t>
            </w:r>
            <w:r>
              <w:rPr>
                <w:sz w:val="24"/>
              </w:rPr>
              <w:t>of</w:t>
            </w:r>
            <w:r>
              <w:rPr>
                <w:spacing w:val="-8"/>
                <w:sz w:val="24"/>
              </w:rPr>
              <w:t xml:space="preserve"> </w:t>
            </w:r>
            <w:r>
              <w:rPr>
                <w:sz w:val="24"/>
              </w:rPr>
              <w:t>heparin</w:t>
            </w:r>
            <w:r>
              <w:rPr>
                <w:spacing w:val="-7"/>
                <w:sz w:val="24"/>
              </w:rPr>
              <w:t xml:space="preserve"> </w:t>
            </w:r>
            <w:r>
              <w:rPr>
                <w:sz w:val="24"/>
              </w:rPr>
              <w:t>treatment,</w:t>
            </w:r>
            <w:r>
              <w:rPr>
                <w:spacing w:val="-7"/>
                <w:sz w:val="24"/>
              </w:rPr>
              <w:t xml:space="preserve"> </w:t>
            </w:r>
            <w:r>
              <w:rPr>
                <w:sz w:val="24"/>
              </w:rPr>
              <w:t>has</w:t>
            </w:r>
            <w:r>
              <w:rPr>
                <w:spacing w:val="-7"/>
                <w:sz w:val="24"/>
              </w:rPr>
              <w:t xml:space="preserve"> </w:t>
            </w:r>
            <w:r>
              <w:rPr>
                <w:sz w:val="24"/>
              </w:rPr>
              <w:t>occurred.</w:t>
            </w:r>
          </w:p>
        </w:tc>
      </w:tr>
    </w:tbl>
    <w:p w14:paraId="527ACB37" w14:textId="77777777" w:rsidR="000940E6" w:rsidRDefault="000940E6" w:rsidP="00B90DF7">
      <w:pPr>
        <w:spacing w:line="270" w:lineRule="atLeast"/>
        <w:rPr>
          <w:sz w:val="24"/>
        </w:rPr>
        <w:sectPr w:rsidR="000940E6">
          <w:pgSz w:w="11910" w:h="16840"/>
          <w:pgMar w:top="1360" w:right="1000" w:bottom="1420" w:left="1320" w:header="0" w:footer="1228"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416"/>
        <w:gridCol w:w="5530"/>
      </w:tblGrid>
      <w:tr w:rsidR="000940E6" w14:paraId="409D7276" w14:textId="77777777">
        <w:trPr>
          <w:trHeight w:val="395"/>
        </w:trPr>
        <w:tc>
          <w:tcPr>
            <w:tcW w:w="2405" w:type="dxa"/>
          </w:tcPr>
          <w:p w14:paraId="4BD2DE76" w14:textId="77777777" w:rsidR="000940E6" w:rsidRDefault="00B90DF7" w:rsidP="00B90DF7">
            <w:pPr>
              <w:pStyle w:val="TableParagraph"/>
              <w:spacing w:before="119" w:line="257" w:lineRule="exact"/>
              <w:rPr>
                <w:b/>
                <w:sz w:val="24"/>
              </w:rPr>
            </w:pPr>
            <w:bookmarkStart w:id="33" w:name="Skin_and_subcutaneous_tissue_disorders"/>
            <w:bookmarkEnd w:id="33"/>
            <w:r>
              <w:rPr>
                <w:b/>
                <w:sz w:val="24"/>
              </w:rPr>
              <w:lastRenderedPageBreak/>
              <w:t>System</w:t>
            </w:r>
            <w:r>
              <w:rPr>
                <w:b/>
                <w:spacing w:val="-5"/>
                <w:sz w:val="24"/>
              </w:rPr>
              <w:t xml:space="preserve"> </w:t>
            </w:r>
            <w:r>
              <w:rPr>
                <w:b/>
                <w:sz w:val="24"/>
              </w:rPr>
              <w:t>Organ</w:t>
            </w:r>
            <w:r>
              <w:rPr>
                <w:b/>
                <w:spacing w:val="-2"/>
                <w:sz w:val="24"/>
              </w:rPr>
              <w:t xml:space="preserve"> </w:t>
            </w:r>
            <w:r>
              <w:rPr>
                <w:b/>
                <w:spacing w:val="-4"/>
                <w:sz w:val="24"/>
              </w:rPr>
              <w:t>Class</w:t>
            </w:r>
          </w:p>
        </w:tc>
        <w:tc>
          <w:tcPr>
            <w:tcW w:w="1416" w:type="dxa"/>
          </w:tcPr>
          <w:p w14:paraId="73AD3AC4" w14:textId="77777777" w:rsidR="000940E6" w:rsidRDefault="00B90DF7" w:rsidP="00B90DF7">
            <w:pPr>
              <w:pStyle w:val="TableParagraph"/>
              <w:spacing w:before="119" w:line="257" w:lineRule="exact"/>
              <w:rPr>
                <w:b/>
                <w:sz w:val="24"/>
              </w:rPr>
            </w:pPr>
            <w:r>
              <w:rPr>
                <w:b/>
                <w:spacing w:val="-2"/>
                <w:sz w:val="24"/>
              </w:rPr>
              <w:t>Frequency</w:t>
            </w:r>
          </w:p>
        </w:tc>
        <w:tc>
          <w:tcPr>
            <w:tcW w:w="5530" w:type="dxa"/>
          </w:tcPr>
          <w:p w14:paraId="57B4729A" w14:textId="77777777" w:rsidR="000940E6" w:rsidRDefault="00B90DF7" w:rsidP="00B90DF7">
            <w:pPr>
              <w:pStyle w:val="TableParagraph"/>
              <w:spacing w:before="119" w:line="257" w:lineRule="exact"/>
              <w:rPr>
                <w:b/>
                <w:sz w:val="24"/>
              </w:rPr>
            </w:pPr>
            <w:r>
              <w:rPr>
                <w:b/>
                <w:spacing w:val="-4"/>
                <w:sz w:val="24"/>
              </w:rPr>
              <w:t>Event</w:t>
            </w:r>
          </w:p>
        </w:tc>
      </w:tr>
      <w:tr w:rsidR="000940E6" w14:paraId="1C693808" w14:textId="77777777">
        <w:trPr>
          <w:trHeight w:val="827"/>
        </w:trPr>
        <w:tc>
          <w:tcPr>
            <w:tcW w:w="2405" w:type="dxa"/>
          </w:tcPr>
          <w:p w14:paraId="733CDDA6" w14:textId="77777777" w:rsidR="000940E6" w:rsidRDefault="00B90DF7" w:rsidP="00B90DF7">
            <w:pPr>
              <w:pStyle w:val="TableParagraph"/>
              <w:spacing w:line="276" w:lineRule="exact"/>
              <w:ind w:right="143"/>
              <w:rPr>
                <w:b/>
                <w:sz w:val="24"/>
              </w:rPr>
            </w:pPr>
            <w:r>
              <w:rPr>
                <w:b/>
                <w:sz w:val="24"/>
              </w:rPr>
              <w:t>Skin and subcutaneous</w:t>
            </w:r>
            <w:r>
              <w:rPr>
                <w:b/>
                <w:spacing w:val="-15"/>
                <w:sz w:val="24"/>
              </w:rPr>
              <w:t xml:space="preserve"> </w:t>
            </w:r>
            <w:r>
              <w:rPr>
                <w:b/>
                <w:sz w:val="24"/>
              </w:rPr>
              <w:t xml:space="preserve">tissue </w:t>
            </w:r>
            <w:bookmarkStart w:id="34" w:name="Musculoskeletal_and_connective_tissue_di"/>
            <w:bookmarkEnd w:id="34"/>
            <w:r>
              <w:rPr>
                <w:b/>
                <w:spacing w:val="-2"/>
                <w:sz w:val="24"/>
              </w:rPr>
              <w:t>disorders</w:t>
            </w:r>
          </w:p>
        </w:tc>
        <w:tc>
          <w:tcPr>
            <w:tcW w:w="1416" w:type="dxa"/>
          </w:tcPr>
          <w:p w14:paraId="01101FC5" w14:textId="77777777" w:rsidR="000940E6" w:rsidRDefault="00B90DF7" w:rsidP="00B90DF7">
            <w:pPr>
              <w:pStyle w:val="TableParagraph"/>
              <w:spacing w:line="275" w:lineRule="exact"/>
              <w:rPr>
                <w:sz w:val="24"/>
              </w:rPr>
            </w:pPr>
            <w:r>
              <w:rPr>
                <w:spacing w:val="-2"/>
                <w:sz w:val="24"/>
              </w:rPr>
              <w:t>Uncommon</w:t>
            </w:r>
          </w:p>
        </w:tc>
        <w:tc>
          <w:tcPr>
            <w:tcW w:w="5530" w:type="dxa"/>
          </w:tcPr>
          <w:p w14:paraId="629F82C9" w14:textId="77777777" w:rsidR="000940E6" w:rsidRDefault="00B90DF7" w:rsidP="00B90DF7">
            <w:pPr>
              <w:pStyle w:val="TableParagraph"/>
              <w:rPr>
                <w:sz w:val="24"/>
              </w:rPr>
            </w:pPr>
            <w:r>
              <w:rPr>
                <w:sz w:val="24"/>
              </w:rPr>
              <w:t>Transient</w:t>
            </w:r>
            <w:r>
              <w:rPr>
                <w:spacing w:val="-9"/>
                <w:sz w:val="24"/>
              </w:rPr>
              <w:t xml:space="preserve"> </w:t>
            </w:r>
            <w:r>
              <w:rPr>
                <w:sz w:val="24"/>
              </w:rPr>
              <w:t>alopecia</w:t>
            </w:r>
            <w:r>
              <w:rPr>
                <w:spacing w:val="-10"/>
                <w:sz w:val="24"/>
              </w:rPr>
              <w:t xml:space="preserve"> </w:t>
            </w:r>
            <w:r>
              <w:rPr>
                <w:sz w:val="24"/>
              </w:rPr>
              <w:t>following</w:t>
            </w:r>
            <w:r>
              <w:rPr>
                <w:spacing w:val="-9"/>
                <w:sz w:val="24"/>
              </w:rPr>
              <w:t xml:space="preserve"> </w:t>
            </w:r>
            <w:r>
              <w:rPr>
                <w:sz w:val="24"/>
              </w:rPr>
              <w:t>long-term</w:t>
            </w:r>
            <w:r>
              <w:rPr>
                <w:spacing w:val="-9"/>
                <w:sz w:val="24"/>
              </w:rPr>
              <w:t xml:space="preserve"> </w:t>
            </w:r>
            <w:r>
              <w:rPr>
                <w:sz w:val="24"/>
              </w:rPr>
              <w:t>administration, skin necrosis</w:t>
            </w:r>
          </w:p>
        </w:tc>
      </w:tr>
      <w:tr w:rsidR="000940E6" w14:paraId="512353CA" w14:textId="77777777">
        <w:trPr>
          <w:trHeight w:val="1103"/>
        </w:trPr>
        <w:tc>
          <w:tcPr>
            <w:tcW w:w="2405" w:type="dxa"/>
          </w:tcPr>
          <w:p w14:paraId="0B975623" w14:textId="77777777" w:rsidR="000940E6" w:rsidRDefault="00B90DF7" w:rsidP="00B90DF7">
            <w:pPr>
              <w:pStyle w:val="TableParagraph"/>
              <w:rPr>
                <w:b/>
                <w:sz w:val="24"/>
              </w:rPr>
            </w:pPr>
            <w:r>
              <w:rPr>
                <w:b/>
                <w:sz w:val="24"/>
              </w:rPr>
              <w:t>Musculoskeletal</w:t>
            </w:r>
            <w:r>
              <w:rPr>
                <w:b/>
                <w:spacing w:val="-15"/>
                <w:sz w:val="24"/>
              </w:rPr>
              <w:t xml:space="preserve"> </w:t>
            </w:r>
            <w:r>
              <w:rPr>
                <w:b/>
                <w:sz w:val="24"/>
              </w:rPr>
              <w:t xml:space="preserve">and connective tissue </w:t>
            </w:r>
            <w:r>
              <w:rPr>
                <w:b/>
                <w:spacing w:val="-2"/>
                <w:sz w:val="24"/>
              </w:rPr>
              <w:t>disorders</w:t>
            </w:r>
          </w:p>
        </w:tc>
        <w:tc>
          <w:tcPr>
            <w:tcW w:w="1416" w:type="dxa"/>
          </w:tcPr>
          <w:p w14:paraId="47D03E47" w14:textId="77777777" w:rsidR="000940E6" w:rsidRDefault="00B90DF7" w:rsidP="00B90DF7">
            <w:pPr>
              <w:pStyle w:val="TableParagraph"/>
              <w:spacing w:line="275" w:lineRule="exact"/>
              <w:rPr>
                <w:sz w:val="24"/>
              </w:rPr>
            </w:pPr>
            <w:r>
              <w:rPr>
                <w:sz w:val="24"/>
              </w:rPr>
              <w:t>Not</w:t>
            </w:r>
            <w:r>
              <w:rPr>
                <w:spacing w:val="-1"/>
                <w:sz w:val="24"/>
              </w:rPr>
              <w:t xml:space="preserve"> </w:t>
            </w:r>
            <w:r>
              <w:rPr>
                <w:spacing w:val="-2"/>
                <w:sz w:val="24"/>
              </w:rPr>
              <w:t>known</w:t>
            </w:r>
          </w:p>
        </w:tc>
        <w:tc>
          <w:tcPr>
            <w:tcW w:w="5530" w:type="dxa"/>
          </w:tcPr>
          <w:p w14:paraId="1AF20129" w14:textId="77777777" w:rsidR="000940E6" w:rsidRDefault="00B90DF7" w:rsidP="00B90DF7">
            <w:pPr>
              <w:pStyle w:val="TableParagraph"/>
              <w:spacing w:line="276" w:lineRule="exact"/>
              <w:ind w:right="114"/>
              <w:rPr>
                <w:sz w:val="24"/>
              </w:rPr>
            </w:pPr>
            <w:r>
              <w:rPr>
                <w:sz w:val="24"/>
              </w:rPr>
              <w:t>Osteoporosis (after long-term administration of heparin)</w:t>
            </w:r>
            <w:r>
              <w:rPr>
                <w:spacing w:val="-7"/>
                <w:sz w:val="24"/>
              </w:rPr>
              <w:t xml:space="preserve"> </w:t>
            </w:r>
            <w:r>
              <w:rPr>
                <w:sz w:val="24"/>
              </w:rPr>
              <w:t>(see</w:t>
            </w:r>
            <w:r>
              <w:rPr>
                <w:spacing w:val="-5"/>
                <w:sz w:val="24"/>
              </w:rPr>
              <w:t xml:space="preserve"> </w:t>
            </w:r>
            <w:r>
              <w:rPr>
                <w:sz w:val="24"/>
              </w:rPr>
              <w:t>also</w:t>
            </w:r>
            <w:r>
              <w:rPr>
                <w:spacing w:val="-6"/>
                <w:sz w:val="24"/>
              </w:rPr>
              <w:t xml:space="preserve"> </w:t>
            </w:r>
            <w:r>
              <w:rPr>
                <w:sz w:val="24"/>
              </w:rPr>
              <w:t>Sections</w:t>
            </w:r>
            <w:r>
              <w:rPr>
                <w:spacing w:val="-6"/>
                <w:sz w:val="24"/>
              </w:rPr>
              <w:t xml:space="preserve"> </w:t>
            </w:r>
            <w:r>
              <w:rPr>
                <w:sz w:val="24"/>
              </w:rPr>
              <w:t>4.4</w:t>
            </w:r>
            <w:r>
              <w:rPr>
                <w:spacing w:val="-6"/>
                <w:sz w:val="24"/>
              </w:rPr>
              <w:t xml:space="preserve"> </w:t>
            </w:r>
            <w:r>
              <w:rPr>
                <w:sz w:val="24"/>
              </w:rPr>
              <w:t>Special</w:t>
            </w:r>
            <w:r>
              <w:rPr>
                <w:spacing w:val="-6"/>
                <w:sz w:val="24"/>
              </w:rPr>
              <w:t xml:space="preserve"> </w:t>
            </w:r>
            <w:r>
              <w:rPr>
                <w:sz w:val="24"/>
              </w:rPr>
              <w:t>warnings</w:t>
            </w:r>
            <w:r>
              <w:rPr>
                <w:spacing w:val="-6"/>
                <w:sz w:val="24"/>
              </w:rPr>
              <w:t xml:space="preserve"> </w:t>
            </w:r>
            <w:r>
              <w:rPr>
                <w:sz w:val="24"/>
              </w:rPr>
              <w:t xml:space="preserve">and precautions for use and 4.6 Fertility, pregnancy and </w:t>
            </w:r>
            <w:r>
              <w:rPr>
                <w:spacing w:val="-2"/>
                <w:sz w:val="24"/>
              </w:rPr>
              <w:t>lactation).</w:t>
            </w:r>
          </w:p>
        </w:tc>
      </w:tr>
      <w:tr w:rsidR="000940E6" w14:paraId="0DE63DF9" w14:textId="77777777">
        <w:trPr>
          <w:trHeight w:val="1105"/>
        </w:trPr>
        <w:tc>
          <w:tcPr>
            <w:tcW w:w="2405" w:type="dxa"/>
            <w:vMerge w:val="restart"/>
          </w:tcPr>
          <w:p w14:paraId="53525AAD" w14:textId="77777777" w:rsidR="000940E6" w:rsidRDefault="00B90DF7" w:rsidP="00B90DF7">
            <w:pPr>
              <w:pStyle w:val="TableParagraph"/>
              <w:rPr>
                <w:b/>
                <w:sz w:val="24"/>
              </w:rPr>
            </w:pPr>
            <w:bookmarkStart w:id="35" w:name="Endocrine_disorders"/>
            <w:bookmarkEnd w:id="35"/>
            <w:r>
              <w:rPr>
                <w:b/>
                <w:sz w:val="24"/>
              </w:rPr>
              <w:t>Endocrine</w:t>
            </w:r>
            <w:r>
              <w:rPr>
                <w:b/>
                <w:spacing w:val="-3"/>
                <w:sz w:val="24"/>
              </w:rPr>
              <w:t xml:space="preserve"> </w:t>
            </w:r>
            <w:r>
              <w:rPr>
                <w:b/>
                <w:spacing w:val="-2"/>
                <w:sz w:val="24"/>
              </w:rPr>
              <w:t>disorders</w:t>
            </w:r>
          </w:p>
        </w:tc>
        <w:tc>
          <w:tcPr>
            <w:tcW w:w="1416" w:type="dxa"/>
          </w:tcPr>
          <w:p w14:paraId="196D8713" w14:textId="77777777" w:rsidR="000940E6" w:rsidRDefault="00B90DF7" w:rsidP="00B90DF7">
            <w:pPr>
              <w:pStyle w:val="TableParagraph"/>
              <w:rPr>
                <w:sz w:val="24"/>
              </w:rPr>
            </w:pPr>
            <w:r>
              <w:rPr>
                <w:spacing w:val="-4"/>
                <w:sz w:val="24"/>
              </w:rPr>
              <w:t>Rare</w:t>
            </w:r>
          </w:p>
        </w:tc>
        <w:tc>
          <w:tcPr>
            <w:tcW w:w="5530" w:type="dxa"/>
          </w:tcPr>
          <w:p w14:paraId="19E3B0C8" w14:textId="77777777" w:rsidR="000940E6" w:rsidRDefault="00B90DF7" w:rsidP="00B90DF7">
            <w:pPr>
              <w:pStyle w:val="TableParagraph"/>
              <w:rPr>
                <w:sz w:val="24"/>
              </w:rPr>
            </w:pPr>
            <w:r>
              <w:rPr>
                <w:sz w:val="24"/>
              </w:rPr>
              <w:t>Hypoaldosteronism, resulting in hyperkalaemia and metabolic</w:t>
            </w:r>
            <w:r>
              <w:rPr>
                <w:spacing w:val="-8"/>
                <w:sz w:val="24"/>
              </w:rPr>
              <w:t xml:space="preserve"> </w:t>
            </w:r>
            <w:r>
              <w:rPr>
                <w:sz w:val="24"/>
              </w:rPr>
              <w:t>acidosis,</w:t>
            </w:r>
            <w:r>
              <w:rPr>
                <w:spacing w:val="-7"/>
                <w:sz w:val="24"/>
              </w:rPr>
              <w:t xml:space="preserve"> </w:t>
            </w:r>
            <w:r>
              <w:rPr>
                <w:sz w:val="24"/>
              </w:rPr>
              <w:t>especially</w:t>
            </w:r>
            <w:r>
              <w:rPr>
                <w:spacing w:val="-7"/>
                <w:sz w:val="24"/>
              </w:rPr>
              <w:t xml:space="preserve"> </w:t>
            </w:r>
            <w:r>
              <w:rPr>
                <w:sz w:val="24"/>
              </w:rPr>
              <w:t>in</w:t>
            </w:r>
            <w:r>
              <w:rPr>
                <w:spacing w:val="-7"/>
                <w:sz w:val="24"/>
              </w:rPr>
              <w:t xml:space="preserve"> </w:t>
            </w:r>
            <w:r>
              <w:rPr>
                <w:sz w:val="24"/>
              </w:rPr>
              <w:t>patients</w:t>
            </w:r>
            <w:r>
              <w:rPr>
                <w:spacing w:val="-7"/>
                <w:sz w:val="24"/>
              </w:rPr>
              <w:t xml:space="preserve"> </w:t>
            </w:r>
            <w:r>
              <w:rPr>
                <w:sz w:val="24"/>
              </w:rPr>
              <w:t>with</w:t>
            </w:r>
            <w:r>
              <w:rPr>
                <w:spacing w:val="-7"/>
                <w:sz w:val="24"/>
              </w:rPr>
              <w:t xml:space="preserve"> </w:t>
            </w:r>
            <w:r>
              <w:rPr>
                <w:sz w:val="24"/>
              </w:rPr>
              <w:t>impaired kidney</w:t>
            </w:r>
            <w:r>
              <w:rPr>
                <w:spacing w:val="-4"/>
                <w:sz w:val="24"/>
              </w:rPr>
              <w:t xml:space="preserve"> </w:t>
            </w:r>
            <w:r>
              <w:rPr>
                <w:sz w:val="24"/>
              </w:rPr>
              <w:t>function</w:t>
            </w:r>
            <w:r>
              <w:rPr>
                <w:spacing w:val="-1"/>
                <w:sz w:val="24"/>
              </w:rPr>
              <w:t xml:space="preserve"> </w:t>
            </w:r>
            <w:r>
              <w:rPr>
                <w:sz w:val="24"/>
              </w:rPr>
              <w:t>and</w:t>
            </w:r>
            <w:r>
              <w:rPr>
                <w:spacing w:val="-1"/>
                <w:sz w:val="24"/>
              </w:rPr>
              <w:t xml:space="preserve"> </w:t>
            </w:r>
            <w:r>
              <w:rPr>
                <w:sz w:val="24"/>
              </w:rPr>
              <w:t>diabetes</w:t>
            </w:r>
            <w:r>
              <w:rPr>
                <w:spacing w:val="-2"/>
                <w:sz w:val="24"/>
              </w:rPr>
              <w:t xml:space="preserve"> </w:t>
            </w:r>
            <w:r>
              <w:rPr>
                <w:sz w:val="24"/>
              </w:rPr>
              <w:t>mellitus.</w:t>
            </w:r>
            <w:r>
              <w:rPr>
                <w:spacing w:val="-1"/>
                <w:sz w:val="24"/>
              </w:rPr>
              <w:t xml:space="preserve"> </w:t>
            </w:r>
            <w:r>
              <w:rPr>
                <w:sz w:val="24"/>
              </w:rPr>
              <w:t>See</w:t>
            </w:r>
            <w:r>
              <w:rPr>
                <w:spacing w:val="-2"/>
                <w:sz w:val="24"/>
              </w:rPr>
              <w:t xml:space="preserve"> </w:t>
            </w:r>
            <w:r>
              <w:rPr>
                <w:sz w:val="24"/>
              </w:rPr>
              <w:t>also</w:t>
            </w:r>
            <w:r>
              <w:rPr>
                <w:spacing w:val="-1"/>
                <w:sz w:val="24"/>
              </w:rPr>
              <w:t xml:space="preserve"> </w:t>
            </w:r>
            <w:r>
              <w:rPr>
                <w:spacing w:val="-2"/>
                <w:sz w:val="24"/>
              </w:rPr>
              <w:t>Section</w:t>
            </w:r>
          </w:p>
          <w:p w14:paraId="4F01AA11" w14:textId="77777777" w:rsidR="000940E6" w:rsidRDefault="00B90DF7" w:rsidP="00B90DF7">
            <w:pPr>
              <w:pStyle w:val="TableParagraph"/>
              <w:spacing w:line="257" w:lineRule="exact"/>
              <w:rPr>
                <w:sz w:val="24"/>
              </w:rPr>
            </w:pPr>
            <w:r>
              <w:rPr>
                <w:sz w:val="24"/>
              </w:rPr>
              <w:t>4.4</w:t>
            </w:r>
            <w:r>
              <w:rPr>
                <w:spacing w:val="-3"/>
                <w:sz w:val="24"/>
              </w:rPr>
              <w:t xml:space="preserve"> </w:t>
            </w:r>
            <w:r>
              <w:rPr>
                <w:sz w:val="24"/>
              </w:rPr>
              <w:t>Special</w:t>
            </w:r>
            <w:r>
              <w:rPr>
                <w:spacing w:val="-2"/>
                <w:sz w:val="24"/>
              </w:rPr>
              <w:t xml:space="preserve"> </w:t>
            </w:r>
            <w:r>
              <w:rPr>
                <w:sz w:val="24"/>
              </w:rPr>
              <w:t>warnings</w:t>
            </w:r>
            <w:r>
              <w:rPr>
                <w:spacing w:val="-2"/>
                <w:sz w:val="24"/>
              </w:rPr>
              <w:t xml:space="preserve"> </w:t>
            </w:r>
            <w:r>
              <w:rPr>
                <w:sz w:val="24"/>
              </w:rPr>
              <w:t>and</w:t>
            </w:r>
            <w:r>
              <w:rPr>
                <w:spacing w:val="-1"/>
                <w:sz w:val="24"/>
              </w:rPr>
              <w:t xml:space="preserve"> </w:t>
            </w:r>
            <w:r>
              <w:rPr>
                <w:sz w:val="24"/>
              </w:rPr>
              <w:t>precautions</w:t>
            </w:r>
            <w:r>
              <w:rPr>
                <w:spacing w:val="-2"/>
                <w:sz w:val="24"/>
              </w:rPr>
              <w:t xml:space="preserve"> </w:t>
            </w:r>
            <w:r>
              <w:rPr>
                <w:sz w:val="24"/>
              </w:rPr>
              <w:t>for</w:t>
            </w:r>
            <w:r>
              <w:rPr>
                <w:spacing w:val="-3"/>
                <w:sz w:val="24"/>
              </w:rPr>
              <w:t xml:space="preserve"> </w:t>
            </w:r>
            <w:r>
              <w:rPr>
                <w:spacing w:val="-4"/>
                <w:sz w:val="24"/>
              </w:rPr>
              <w:t>use.</w:t>
            </w:r>
          </w:p>
        </w:tc>
      </w:tr>
      <w:tr w:rsidR="000940E6" w14:paraId="0BEB1515" w14:textId="77777777">
        <w:trPr>
          <w:trHeight w:val="2759"/>
        </w:trPr>
        <w:tc>
          <w:tcPr>
            <w:tcW w:w="2405" w:type="dxa"/>
            <w:vMerge/>
            <w:tcBorders>
              <w:top w:val="nil"/>
            </w:tcBorders>
          </w:tcPr>
          <w:p w14:paraId="54E42D3B" w14:textId="77777777" w:rsidR="000940E6" w:rsidRDefault="000940E6" w:rsidP="00B90DF7">
            <w:pPr>
              <w:rPr>
                <w:sz w:val="2"/>
                <w:szCs w:val="2"/>
              </w:rPr>
            </w:pPr>
          </w:p>
        </w:tc>
        <w:tc>
          <w:tcPr>
            <w:tcW w:w="1416" w:type="dxa"/>
          </w:tcPr>
          <w:p w14:paraId="50A81DFA" w14:textId="77777777" w:rsidR="000940E6" w:rsidRDefault="00B90DF7" w:rsidP="00B90DF7">
            <w:pPr>
              <w:pStyle w:val="TableParagraph"/>
              <w:spacing w:line="275" w:lineRule="exact"/>
              <w:rPr>
                <w:sz w:val="24"/>
              </w:rPr>
            </w:pPr>
            <w:r>
              <w:rPr>
                <w:sz w:val="24"/>
              </w:rPr>
              <w:t>Not</w:t>
            </w:r>
            <w:r>
              <w:rPr>
                <w:spacing w:val="-1"/>
                <w:sz w:val="24"/>
              </w:rPr>
              <w:t xml:space="preserve"> </w:t>
            </w:r>
            <w:r>
              <w:rPr>
                <w:spacing w:val="-2"/>
                <w:sz w:val="24"/>
              </w:rPr>
              <w:t>known</w:t>
            </w:r>
          </w:p>
        </w:tc>
        <w:tc>
          <w:tcPr>
            <w:tcW w:w="5530" w:type="dxa"/>
          </w:tcPr>
          <w:p w14:paraId="5C92EF16" w14:textId="77777777" w:rsidR="000940E6" w:rsidRDefault="00B90DF7" w:rsidP="00B90DF7">
            <w:pPr>
              <w:pStyle w:val="TableParagraph"/>
              <w:spacing w:line="276" w:lineRule="exact"/>
              <w:ind w:right="175"/>
              <w:rPr>
                <w:sz w:val="24"/>
              </w:rPr>
            </w:pPr>
            <w:r>
              <w:rPr>
                <w:sz w:val="24"/>
              </w:rPr>
              <w:t>Adrenal Haemorrhage - with resultant acute adrenal insufficiency has occurred during anticoagulant therapy. Anticoagulant treatment should be discontinued in patients who develop signs and symptoms of acute adrenal haemorrhage and insufficiency. Plasma cortisol levels should be measured</w:t>
            </w:r>
            <w:r>
              <w:rPr>
                <w:spacing w:val="-10"/>
                <w:sz w:val="24"/>
              </w:rPr>
              <w:t xml:space="preserve"> </w:t>
            </w:r>
            <w:r>
              <w:rPr>
                <w:sz w:val="24"/>
              </w:rPr>
              <w:t>immediately.</w:t>
            </w:r>
            <w:r>
              <w:rPr>
                <w:spacing w:val="-8"/>
                <w:sz w:val="24"/>
              </w:rPr>
              <w:t xml:space="preserve"> </w:t>
            </w:r>
            <w:r>
              <w:rPr>
                <w:sz w:val="24"/>
              </w:rPr>
              <w:t>Corticosteroid</w:t>
            </w:r>
            <w:r>
              <w:rPr>
                <w:spacing w:val="-10"/>
                <w:sz w:val="24"/>
              </w:rPr>
              <w:t xml:space="preserve"> </w:t>
            </w:r>
            <w:r>
              <w:rPr>
                <w:sz w:val="24"/>
              </w:rPr>
              <w:t>therapy</w:t>
            </w:r>
            <w:r>
              <w:rPr>
                <w:spacing w:val="-10"/>
                <w:sz w:val="24"/>
              </w:rPr>
              <w:t xml:space="preserve"> </w:t>
            </w:r>
            <w:r>
              <w:rPr>
                <w:sz w:val="24"/>
              </w:rPr>
              <w:t>should be initiated promptly, before laboratory confirmation of the diagnosis, as any delay in treatment may result in the patient’s death.</w:t>
            </w:r>
          </w:p>
        </w:tc>
      </w:tr>
    </w:tbl>
    <w:p w14:paraId="5494844B" w14:textId="77777777" w:rsidR="000940E6" w:rsidRDefault="000940E6" w:rsidP="00B90DF7">
      <w:pPr>
        <w:spacing w:line="276" w:lineRule="exact"/>
        <w:rPr>
          <w:sz w:val="24"/>
        </w:rPr>
        <w:sectPr w:rsidR="000940E6">
          <w:pgSz w:w="11910" w:h="16840"/>
          <w:pgMar w:top="1400" w:right="1000" w:bottom="1420" w:left="1320" w:header="0" w:footer="1228"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416"/>
        <w:gridCol w:w="5530"/>
      </w:tblGrid>
      <w:tr w:rsidR="000940E6" w14:paraId="48FF45ED" w14:textId="77777777">
        <w:trPr>
          <w:trHeight w:val="395"/>
        </w:trPr>
        <w:tc>
          <w:tcPr>
            <w:tcW w:w="2405" w:type="dxa"/>
          </w:tcPr>
          <w:p w14:paraId="60A41DE4" w14:textId="77777777" w:rsidR="000940E6" w:rsidRDefault="00B90DF7" w:rsidP="00B90DF7">
            <w:pPr>
              <w:pStyle w:val="TableParagraph"/>
              <w:spacing w:before="119" w:line="257" w:lineRule="exact"/>
              <w:rPr>
                <w:b/>
                <w:sz w:val="24"/>
              </w:rPr>
            </w:pPr>
            <w:bookmarkStart w:id="36" w:name="Vascular_disorders"/>
            <w:bookmarkEnd w:id="36"/>
            <w:r>
              <w:rPr>
                <w:b/>
                <w:sz w:val="24"/>
              </w:rPr>
              <w:lastRenderedPageBreak/>
              <w:t>System</w:t>
            </w:r>
            <w:r>
              <w:rPr>
                <w:b/>
                <w:spacing w:val="-5"/>
                <w:sz w:val="24"/>
              </w:rPr>
              <w:t xml:space="preserve"> </w:t>
            </w:r>
            <w:r>
              <w:rPr>
                <w:b/>
                <w:sz w:val="24"/>
              </w:rPr>
              <w:t>Organ</w:t>
            </w:r>
            <w:r>
              <w:rPr>
                <w:b/>
                <w:spacing w:val="-2"/>
                <w:sz w:val="24"/>
              </w:rPr>
              <w:t xml:space="preserve"> </w:t>
            </w:r>
            <w:r>
              <w:rPr>
                <w:b/>
                <w:spacing w:val="-4"/>
                <w:sz w:val="24"/>
              </w:rPr>
              <w:t>Class</w:t>
            </w:r>
          </w:p>
        </w:tc>
        <w:tc>
          <w:tcPr>
            <w:tcW w:w="1416" w:type="dxa"/>
          </w:tcPr>
          <w:p w14:paraId="131B9C35" w14:textId="77777777" w:rsidR="000940E6" w:rsidRDefault="00B90DF7" w:rsidP="00B90DF7">
            <w:pPr>
              <w:pStyle w:val="TableParagraph"/>
              <w:spacing w:before="119" w:line="257" w:lineRule="exact"/>
              <w:rPr>
                <w:b/>
                <w:sz w:val="24"/>
              </w:rPr>
            </w:pPr>
            <w:r>
              <w:rPr>
                <w:b/>
                <w:spacing w:val="-2"/>
                <w:sz w:val="24"/>
              </w:rPr>
              <w:t>Frequency</w:t>
            </w:r>
          </w:p>
        </w:tc>
        <w:tc>
          <w:tcPr>
            <w:tcW w:w="5530" w:type="dxa"/>
          </w:tcPr>
          <w:p w14:paraId="254451B5" w14:textId="77777777" w:rsidR="000940E6" w:rsidRDefault="00B90DF7" w:rsidP="00B90DF7">
            <w:pPr>
              <w:pStyle w:val="TableParagraph"/>
              <w:spacing w:before="119" w:line="257" w:lineRule="exact"/>
              <w:rPr>
                <w:b/>
                <w:sz w:val="24"/>
              </w:rPr>
            </w:pPr>
            <w:r>
              <w:rPr>
                <w:b/>
                <w:spacing w:val="-4"/>
                <w:sz w:val="24"/>
              </w:rPr>
              <w:t>Event</w:t>
            </w:r>
          </w:p>
        </w:tc>
      </w:tr>
      <w:tr w:rsidR="000940E6" w14:paraId="74D9FD66" w14:textId="77777777">
        <w:trPr>
          <w:trHeight w:val="4139"/>
        </w:trPr>
        <w:tc>
          <w:tcPr>
            <w:tcW w:w="2405" w:type="dxa"/>
            <w:vMerge w:val="restart"/>
          </w:tcPr>
          <w:p w14:paraId="042A5F48" w14:textId="77777777" w:rsidR="000940E6" w:rsidRDefault="00B90DF7" w:rsidP="00B90DF7">
            <w:pPr>
              <w:pStyle w:val="TableParagraph"/>
              <w:spacing w:line="275" w:lineRule="exact"/>
              <w:rPr>
                <w:b/>
                <w:sz w:val="24"/>
              </w:rPr>
            </w:pPr>
            <w:r>
              <w:rPr>
                <w:b/>
                <w:sz w:val="24"/>
              </w:rPr>
              <w:t>Vascular</w:t>
            </w:r>
            <w:r>
              <w:rPr>
                <w:b/>
                <w:spacing w:val="-3"/>
                <w:sz w:val="24"/>
              </w:rPr>
              <w:t xml:space="preserve"> </w:t>
            </w:r>
            <w:r>
              <w:rPr>
                <w:b/>
                <w:spacing w:val="-2"/>
                <w:sz w:val="24"/>
              </w:rPr>
              <w:t>disorders</w:t>
            </w:r>
          </w:p>
        </w:tc>
        <w:tc>
          <w:tcPr>
            <w:tcW w:w="1416" w:type="dxa"/>
          </w:tcPr>
          <w:p w14:paraId="6895F9E3" w14:textId="77777777" w:rsidR="000940E6" w:rsidRDefault="00B90DF7" w:rsidP="00B90DF7">
            <w:pPr>
              <w:pStyle w:val="TableParagraph"/>
              <w:ind w:right="451"/>
              <w:rPr>
                <w:sz w:val="24"/>
              </w:rPr>
            </w:pPr>
            <w:r>
              <w:rPr>
                <w:spacing w:val="-4"/>
                <w:sz w:val="24"/>
              </w:rPr>
              <w:t xml:space="preserve">Very </w:t>
            </w:r>
            <w:r>
              <w:rPr>
                <w:spacing w:val="-2"/>
                <w:sz w:val="24"/>
              </w:rPr>
              <w:t>common</w:t>
            </w:r>
          </w:p>
        </w:tc>
        <w:tc>
          <w:tcPr>
            <w:tcW w:w="5530" w:type="dxa"/>
          </w:tcPr>
          <w:p w14:paraId="5CA06429" w14:textId="77777777" w:rsidR="000940E6" w:rsidRDefault="00B90DF7" w:rsidP="00B90DF7">
            <w:pPr>
              <w:pStyle w:val="TableParagraph"/>
              <w:ind w:right="114"/>
              <w:rPr>
                <w:sz w:val="24"/>
              </w:rPr>
            </w:pPr>
            <w:r>
              <w:rPr>
                <w:sz w:val="24"/>
              </w:rPr>
              <w:t>Haemorrhage;</w:t>
            </w:r>
            <w:r>
              <w:rPr>
                <w:spacing w:val="-7"/>
                <w:sz w:val="24"/>
              </w:rPr>
              <w:t xml:space="preserve"> </w:t>
            </w:r>
            <w:r>
              <w:rPr>
                <w:sz w:val="24"/>
              </w:rPr>
              <w:t>see</w:t>
            </w:r>
            <w:r>
              <w:rPr>
                <w:spacing w:val="-8"/>
                <w:sz w:val="24"/>
              </w:rPr>
              <w:t xml:space="preserve"> </w:t>
            </w:r>
            <w:r>
              <w:rPr>
                <w:sz w:val="24"/>
              </w:rPr>
              <w:t>also</w:t>
            </w:r>
            <w:r>
              <w:rPr>
                <w:spacing w:val="-7"/>
                <w:sz w:val="24"/>
              </w:rPr>
              <w:t xml:space="preserve"> </w:t>
            </w:r>
            <w:r>
              <w:rPr>
                <w:sz w:val="24"/>
              </w:rPr>
              <w:t>Sections</w:t>
            </w:r>
            <w:r>
              <w:rPr>
                <w:spacing w:val="-7"/>
                <w:sz w:val="24"/>
              </w:rPr>
              <w:t xml:space="preserve"> </w:t>
            </w:r>
            <w:r>
              <w:rPr>
                <w:sz w:val="24"/>
              </w:rPr>
              <w:t>4.4</w:t>
            </w:r>
            <w:r>
              <w:rPr>
                <w:spacing w:val="-7"/>
                <w:sz w:val="24"/>
              </w:rPr>
              <w:t xml:space="preserve"> </w:t>
            </w:r>
            <w:r>
              <w:rPr>
                <w:sz w:val="24"/>
              </w:rPr>
              <w:t>Special</w:t>
            </w:r>
            <w:r>
              <w:rPr>
                <w:spacing w:val="-7"/>
                <w:sz w:val="24"/>
              </w:rPr>
              <w:t xml:space="preserve"> </w:t>
            </w:r>
            <w:r>
              <w:rPr>
                <w:sz w:val="24"/>
              </w:rPr>
              <w:t>warnings and precautions for use and 4.9 Overdose.</w:t>
            </w:r>
          </w:p>
          <w:p w14:paraId="102F6BEA" w14:textId="77777777" w:rsidR="000940E6" w:rsidRDefault="00B90DF7" w:rsidP="00B90DF7">
            <w:pPr>
              <w:pStyle w:val="TableParagraph"/>
              <w:ind w:right="178"/>
              <w:rPr>
                <w:sz w:val="24"/>
              </w:rPr>
            </w:pPr>
            <w:r>
              <w:rPr>
                <w:sz w:val="24"/>
              </w:rPr>
              <w:t>Depending</w:t>
            </w:r>
            <w:r>
              <w:rPr>
                <w:spacing w:val="-7"/>
                <w:sz w:val="24"/>
              </w:rPr>
              <w:t xml:space="preserve"> </w:t>
            </w:r>
            <w:r>
              <w:rPr>
                <w:sz w:val="24"/>
              </w:rPr>
              <w:t>on</w:t>
            </w:r>
            <w:r>
              <w:rPr>
                <w:spacing w:val="-7"/>
                <w:sz w:val="24"/>
              </w:rPr>
              <w:t xml:space="preserve"> </w:t>
            </w:r>
            <w:r>
              <w:rPr>
                <w:sz w:val="24"/>
              </w:rPr>
              <w:t>the</w:t>
            </w:r>
            <w:r>
              <w:rPr>
                <w:spacing w:val="-8"/>
                <w:sz w:val="24"/>
              </w:rPr>
              <w:t xml:space="preserve"> </w:t>
            </w:r>
            <w:r>
              <w:rPr>
                <w:sz w:val="24"/>
              </w:rPr>
              <w:t>dose,</w:t>
            </w:r>
            <w:r>
              <w:rPr>
                <w:spacing w:val="-7"/>
                <w:sz w:val="24"/>
              </w:rPr>
              <w:t xml:space="preserve"> </w:t>
            </w:r>
            <w:r>
              <w:rPr>
                <w:sz w:val="24"/>
              </w:rPr>
              <w:t>increased</w:t>
            </w:r>
            <w:r>
              <w:rPr>
                <w:spacing w:val="-7"/>
                <w:sz w:val="24"/>
              </w:rPr>
              <w:t xml:space="preserve"> </w:t>
            </w:r>
            <w:r>
              <w:rPr>
                <w:sz w:val="24"/>
              </w:rPr>
              <w:t>incidence</w:t>
            </w:r>
            <w:r>
              <w:rPr>
                <w:spacing w:val="-8"/>
                <w:sz w:val="24"/>
              </w:rPr>
              <w:t xml:space="preserve"> </w:t>
            </w:r>
            <w:r>
              <w:rPr>
                <w:sz w:val="24"/>
              </w:rPr>
              <w:t>of bleeding from any organ or tissue.</w:t>
            </w:r>
          </w:p>
          <w:p w14:paraId="064B9C85" w14:textId="77777777" w:rsidR="000940E6" w:rsidRDefault="00B90DF7" w:rsidP="00B90DF7">
            <w:pPr>
              <w:pStyle w:val="TableParagraph"/>
              <w:ind w:right="175"/>
              <w:rPr>
                <w:sz w:val="24"/>
              </w:rPr>
            </w:pPr>
            <w:r>
              <w:rPr>
                <w:sz w:val="24"/>
              </w:rPr>
              <w:t>Haemorrhage</w:t>
            </w:r>
            <w:r>
              <w:rPr>
                <w:spacing w:val="-6"/>
                <w:sz w:val="24"/>
              </w:rPr>
              <w:t xml:space="preserve"> </w:t>
            </w:r>
            <w:r>
              <w:rPr>
                <w:sz w:val="24"/>
              </w:rPr>
              <w:t>is</w:t>
            </w:r>
            <w:r>
              <w:rPr>
                <w:spacing w:val="-5"/>
                <w:sz w:val="24"/>
              </w:rPr>
              <w:t xml:space="preserve"> </w:t>
            </w:r>
            <w:r>
              <w:rPr>
                <w:sz w:val="24"/>
              </w:rPr>
              <w:t>the</w:t>
            </w:r>
            <w:r>
              <w:rPr>
                <w:spacing w:val="-6"/>
                <w:sz w:val="24"/>
              </w:rPr>
              <w:t xml:space="preserve"> </w:t>
            </w:r>
            <w:r>
              <w:rPr>
                <w:sz w:val="24"/>
              </w:rPr>
              <w:t>major</w:t>
            </w:r>
            <w:r>
              <w:rPr>
                <w:spacing w:val="-6"/>
                <w:sz w:val="24"/>
              </w:rPr>
              <w:t xml:space="preserve"> </w:t>
            </w:r>
            <w:r>
              <w:rPr>
                <w:sz w:val="24"/>
              </w:rPr>
              <w:t>risk</w:t>
            </w:r>
            <w:r>
              <w:rPr>
                <w:spacing w:val="-5"/>
                <w:sz w:val="24"/>
              </w:rPr>
              <w:t xml:space="preserve"> </w:t>
            </w:r>
            <w:r>
              <w:rPr>
                <w:sz w:val="24"/>
              </w:rPr>
              <w:t>of</w:t>
            </w:r>
            <w:r>
              <w:rPr>
                <w:spacing w:val="-6"/>
                <w:sz w:val="24"/>
              </w:rPr>
              <w:t xml:space="preserve"> </w:t>
            </w:r>
            <w:r>
              <w:rPr>
                <w:sz w:val="24"/>
              </w:rPr>
              <w:t>heparin</w:t>
            </w:r>
            <w:r>
              <w:rPr>
                <w:spacing w:val="-5"/>
                <w:sz w:val="24"/>
              </w:rPr>
              <w:t xml:space="preserve"> </w:t>
            </w:r>
            <w:r>
              <w:rPr>
                <w:sz w:val="24"/>
              </w:rPr>
              <w:t>therapy</w:t>
            </w:r>
            <w:r>
              <w:rPr>
                <w:spacing w:val="-3"/>
                <w:sz w:val="24"/>
              </w:rPr>
              <w:t xml:space="preserve"> </w:t>
            </w:r>
            <w:r>
              <w:rPr>
                <w:sz w:val="24"/>
              </w:rPr>
              <w:t>and may range from minor local ecchymoses to major haemorrhagic complications. An overly prolonged clotting time or minor bleeding can usually be controlled by discontinuing the heparin (see Section 4.9 - Overdose). The occurrence of significant gastrointestinal or urinary tract bleeding during heparin therapy may indicate the presence of an underlying occult lesion.</w:t>
            </w:r>
          </w:p>
          <w:p w14:paraId="1DC049C0" w14:textId="77777777" w:rsidR="000940E6" w:rsidRDefault="00B90DF7" w:rsidP="00B90DF7">
            <w:pPr>
              <w:pStyle w:val="TableParagraph"/>
              <w:spacing w:line="270" w:lineRule="atLeast"/>
              <w:rPr>
                <w:sz w:val="24"/>
              </w:rPr>
            </w:pPr>
            <w:r>
              <w:rPr>
                <w:sz w:val="24"/>
              </w:rPr>
              <w:t>Bleeding can occur at any site, but some specific haemorrhagic</w:t>
            </w:r>
            <w:r>
              <w:rPr>
                <w:spacing w:val="-7"/>
                <w:sz w:val="24"/>
              </w:rPr>
              <w:t xml:space="preserve"> </w:t>
            </w:r>
            <w:r>
              <w:rPr>
                <w:sz w:val="24"/>
              </w:rPr>
              <w:t>complications</w:t>
            </w:r>
            <w:r>
              <w:rPr>
                <w:spacing w:val="-7"/>
                <w:sz w:val="24"/>
              </w:rPr>
              <w:t xml:space="preserve"> </w:t>
            </w:r>
            <w:r>
              <w:rPr>
                <w:sz w:val="24"/>
              </w:rPr>
              <w:t>can</w:t>
            </w:r>
            <w:r>
              <w:rPr>
                <w:spacing w:val="-7"/>
                <w:sz w:val="24"/>
              </w:rPr>
              <w:t xml:space="preserve"> </w:t>
            </w:r>
            <w:r>
              <w:rPr>
                <w:sz w:val="24"/>
              </w:rPr>
              <w:t>be</w:t>
            </w:r>
            <w:r>
              <w:rPr>
                <w:spacing w:val="-7"/>
                <w:sz w:val="24"/>
              </w:rPr>
              <w:t xml:space="preserve"> </w:t>
            </w:r>
            <w:r>
              <w:rPr>
                <w:sz w:val="24"/>
              </w:rPr>
              <w:t>difficult</w:t>
            </w:r>
            <w:r>
              <w:rPr>
                <w:spacing w:val="-7"/>
                <w:sz w:val="24"/>
              </w:rPr>
              <w:t xml:space="preserve"> </w:t>
            </w:r>
            <w:r>
              <w:rPr>
                <w:sz w:val="24"/>
              </w:rPr>
              <w:t>to</w:t>
            </w:r>
            <w:r>
              <w:rPr>
                <w:spacing w:val="-7"/>
                <w:sz w:val="24"/>
              </w:rPr>
              <w:t xml:space="preserve"> </w:t>
            </w:r>
            <w:r>
              <w:rPr>
                <w:sz w:val="24"/>
              </w:rPr>
              <w:t>detect.</w:t>
            </w:r>
          </w:p>
        </w:tc>
      </w:tr>
      <w:tr w:rsidR="000940E6" w14:paraId="3C8A9195" w14:textId="77777777">
        <w:trPr>
          <w:trHeight w:val="1379"/>
        </w:trPr>
        <w:tc>
          <w:tcPr>
            <w:tcW w:w="2405" w:type="dxa"/>
            <w:vMerge/>
            <w:tcBorders>
              <w:top w:val="nil"/>
            </w:tcBorders>
          </w:tcPr>
          <w:p w14:paraId="69DB2A2A" w14:textId="77777777" w:rsidR="000940E6" w:rsidRDefault="000940E6" w:rsidP="00B90DF7">
            <w:pPr>
              <w:rPr>
                <w:sz w:val="2"/>
                <w:szCs w:val="2"/>
              </w:rPr>
            </w:pPr>
          </w:p>
        </w:tc>
        <w:tc>
          <w:tcPr>
            <w:tcW w:w="1416" w:type="dxa"/>
          </w:tcPr>
          <w:p w14:paraId="17ED6DB1" w14:textId="77777777" w:rsidR="000940E6" w:rsidRDefault="00B90DF7" w:rsidP="00B90DF7">
            <w:pPr>
              <w:pStyle w:val="TableParagraph"/>
              <w:spacing w:line="275" w:lineRule="exact"/>
              <w:rPr>
                <w:sz w:val="24"/>
              </w:rPr>
            </w:pPr>
            <w:r>
              <w:rPr>
                <w:sz w:val="24"/>
              </w:rPr>
              <w:t>Not</w:t>
            </w:r>
            <w:r>
              <w:rPr>
                <w:spacing w:val="-1"/>
                <w:sz w:val="24"/>
              </w:rPr>
              <w:t xml:space="preserve"> </w:t>
            </w:r>
            <w:r>
              <w:rPr>
                <w:spacing w:val="-2"/>
                <w:sz w:val="24"/>
              </w:rPr>
              <w:t>known</w:t>
            </w:r>
          </w:p>
        </w:tc>
        <w:tc>
          <w:tcPr>
            <w:tcW w:w="5530" w:type="dxa"/>
          </w:tcPr>
          <w:p w14:paraId="0A95F060" w14:textId="77777777" w:rsidR="000940E6" w:rsidRDefault="00B90DF7" w:rsidP="00B90DF7">
            <w:pPr>
              <w:pStyle w:val="TableParagraph"/>
              <w:rPr>
                <w:sz w:val="24"/>
              </w:rPr>
            </w:pPr>
            <w:r>
              <w:rPr>
                <w:sz w:val="24"/>
              </w:rPr>
              <w:t>Ovarian</w:t>
            </w:r>
            <w:r>
              <w:rPr>
                <w:spacing w:val="-4"/>
                <w:sz w:val="24"/>
              </w:rPr>
              <w:t xml:space="preserve"> </w:t>
            </w:r>
            <w:r>
              <w:rPr>
                <w:sz w:val="24"/>
              </w:rPr>
              <w:t>(corpus</w:t>
            </w:r>
            <w:r>
              <w:rPr>
                <w:spacing w:val="-4"/>
                <w:sz w:val="24"/>
              </w:rPr>
              <w:t xml:space="preserve"> </w:t>
            </w:r>
            <w:r>
              <w:rPr>
                <w:sz w:val="24"/>
              </w:rPr>
              <w:t>luteum)</w:t>
            </w:r>
            <w:r>
              <w:rPr>
                <w:spacing w:val="-4"/>
                <w:sz w:val="24"/>
              </w:rPr>
              <w:t xml:space="preserve"> </w:t>
            </w:r>
            <w:r>
              <w:rPr>
                <w:sz w:val="24"/>
              </w:rPr>
              <w:t>haemorrhage</w:t>
            </w:r>
            <w:r>
              <w:rPr>
                <w:spacing w:val="-6"/>
                <w:sz w:val="24"/>
              </w:rPr>
              <w:t xml:space="preserve"> </w:t>
            </w:r>
            <w:r>
              <w:rPr>
                <w:sz w:val="24"/>
              </w:rPr>
              <w:t>-</w:t>
            </w:r>
            <w:r>
              <w:rPr>
                <w:spacing w:val="-5"/>
                <w:sz w:val="24"/>
              </w:rPr>
              <w:t xml:space="preserve"> </w:t>
            </w:r>
            <w:r>
              <w:rPr>
                <w:sz w:val="24"/>
              </w:rPr>
              <w:t>may</w:t>
            </w:r>
            <w:r>
              <w:rPr>
                <w:spacing w:val="-4"/>
                <w:sz w:val="24"/>
              </w:rPr>
              <w:t xml:space="preserve"> </w:t>
            </w:r>
            <w:r>
              <w:rPr>
                <w:sz w:val="24"/>
              </w:rPr>
              <w:t>be</w:t>
            </w:r>
            <w:r>
              <w:rPr>
                <w:spacing w:val="-5"/>
                <w:sz w:val="24"/>
              </w:rPr>
              <w:t xml:space="preserve"> </w:t>
            </w:r>
            <w:r>
              <w:rPr>
                <w:sz w:val="24"/>
              </w:rPr>
              <w:t>fatal</w:t>
            </w:r>
            <w:r>
              <w:rPr>
                <w:spacing w:val="-4"/>
                <w:sz w:val="24"/>
              </w:rPr>
              <w:t xml:space="preserve"> </w:t>
            </w:r>
            <w:r>
              <w:rPr>
                <w:sz w:val="24"/>
              </w:rPr>
              <w:t xml:space="preserve">if </w:t>
            </w:r>
            <w:r>
              <w:rPr>
                <w:spacing w:val="-2"/>
                <w:sz w:val="24"/>
              </w:rPr>
              <w:t>unrecognised.</w:t>
            </w:r>
          </w:p>
          <w:p w14:paraId="35335AE2" w14:textId="77777777" w:rsidR="000940E6" w:rsidRDefault="00B90DF7" w:rsidP="00B90DF7">
            <w:pPr>
              <w:pStyle w:val="TableParagraph"/>
              <w:rPr>
                <w:sz w:val="24"/>
              </w:rPr>
            </w:pPr>
            <w:r>
              <w:rPr>
                <w:sz w:val="24"/>
              </w:rPr>
              <w:t>Retroperitoneal</w:t>
            </w:r>
            <w:r>
              <w:rPr>
                <w:spacing w:val="-6"/>
                <w:sz w:val="24"/>
              </w:rPr>
              <w:t xml:space="preserve"> </w:t>
            </w:r>
            <w:r>
              <w:rPr>
                <w:spacing w:val="-2"/>
                <w:sz w:val="24"/>
              </w:rPr>
              <w:t>haemorrhage.</w:t>
            </w:r>
          </w:p>
          <w:p w14:paraId="0E3258EF" w14:textId="77777777" w:rsidR="000940E6" w:rsidRDefault="00B90DF7" w:rsidP="00B90DF7">
            <w:pPr>
              <w:pStyle w:val="TableParagraph"/>
              <w:spacing w:line="270" w:lineRule="atLeast"/>
              <w:rPr>
                <w:sz w:val="24"/>
              </w:rPr>
            </w:pPr>
            <w:r>
              <w:rPr>
                <w:sz w:val="24"/>
              </w:rPr>
              <w:t>Both</w:t>
            </w:r>
            <w:r>
              <w:rPr>
                <w:spacing w:val="-7"/>
                <w:sz w:val="24"/>
              </w:rPr>
              <w:t xml:space="preserve"> </w:t>
            </w:r>
            <w:r>
              <w:rPr>
                <w:sz w:val="24"/>
              </w:rPr>
              <w:t>spinal</w:t>
            </w:r>
            <w:r>
              <w:rPr>
                <w:spacing w:val="-7"/>
                <w:sz w:val="24"/>
              </w:rPr>
              <w:t xml:space="preserve"> </w:t>
            </w:r>
            <w:r>
              <w:rPr>
                <w:sz w:val="24"/>
              </w:rPr>
              <w:t>hematomas</w:t>
            </w:r>
            <w:r>
              <w:rPr>
                <w:spacing w:val="-7"/>
                <w:sz w:val="24"/>
              </w:rPr>
              <w:t xml:space="preserve"> </w:t>
            </w:r>
            <w:r>
              <w:rPr>
                <w:sz w:val="24"/>
              </w:rPr>
              <w:t>and</w:t>
            </w:r>
            <w:r>
              <w:rPr>
                <w:spacing w:val="-7"/>
                <w:sz w:val="24"/>
              </w:rPr>
              <w:t xml:space="preserve"> </w:t>
            </w:r>
            <w:r>
              <w:rPr>
                <w:sz w:val="24"/>
              </w:rPr>
              <w:t>epidural</w:t>
            </w:r>
            <w:r>
              <w:rPr>
                <w:spacing w:val="-7"/>
                <w:sz w:val="24"/>
              </w:rPr>
              <w:t xml:space="preserve"> </w:t>
            </w:r>
            <w:r>
              <w:rPr>
                <w:sz w:val="24"/>
              </w:rPr>
              <w:t>hematomas</w:t>
            </w:r>
            <w:r>
              <w:rPr>
                <w:spacing w:val="-5"/>
                <w:sz w:val="24"/>
              </w:rPr>
              <w:t xml:space="preserve"> </w:t>
            </w:r>
            <w:r>
              <w:rPr>
                <w:sz w:val="24"/>
              </w:rPr>
              <w:t xml:space="preserve">can </w:t>
            </w:r>
            <w:r>
              <w:rPr>
                <w:spacing w:val="-4"/>
                <w:sz w:val="24"/>
              </w:rPr>
              <w:t>occur</w:t>
            </w:r>
          </w:p>
        </w:tc>
      </w:tr>
      <w:tr w:rsidR="000940E6" w14:paraId="07F5B15C" w14:textId="77777777">
        <w:trPr>
          <w:trHeight w:val="275"/>
        </w:trPr>
        <w:tc>
          <w:tcPr>
            <w:tcW w:w="2405" w:type="dxa"/>
            <w:vMerge/>
            <w:tcBorders>
              <w:top w:val="nil"/>
            </w:tcBorders>
          </w:tcPr>
          <w:p w14:paraId="2AFFC2EB" w14:textId="77777777" w:rsidR="000940E6" w:rsidRDefault="000940E6" w:rsidP="00B90DF7">
            <w:pPr>
              <w:rPr>
                <w:sz w:val="2"/>
                <w:szCs w:val="2"/>
              </w:rPr>
            </w:pPr>
          </w:p>
        </w:tc>
        <w:tc>
          <w:tcPr>
            <w:tcW w:w="1416" w:type="dxa"/>
          </w:tcPr>
          <w:p w14:paraId="30E57748" w14:textId="77777777" w:rsidR="000940E6" w:rsidRDefault="00B90DF7" w:rsidP="00B90DF7">
            <w:pPr>
              <w:pStyle w:val="TableParagraph"/>
              <w:spacing w:line="255" w:lineRule="exact"/>
              <w:rPr>
                <w:sz w:val="24"/>
              </w:rPr>
            </w:pPr>
            <w:bookmarkStart w:id="37" w:name="General_disorders_and_administration_sit"/>
            <w:bookmarkStart w:id="38" w:name="Common"/>
            <w:bookmarkEnd w:id="37"/>
            <w:bookmarkEnd w:id="38"/>
            <w:r>
              <w:rPr>
                <w:sz w:val="24"/>
              </w:rPr>
              <w:t>Very</w:t>
            </w:r>
            <w:r>
              <w:rPr>
                <w:spacing w:val="-3"/>
                <w:sz w:val="24"/>
              </w:rPr>
              <w:t xml:space="preserve"> </w:t>
            </w:r>
            <w:r>
              <w:rPr>
                <w:spacing w:val="-4"/>
                <w:sz w:val="24"/>
              </w:rPr>
              <w:t>rare</w:t>
            </w:r>
          </w:p>
        </w:tc>
        <w:tc>
          <w:tcPr>
            <w:tcW w:w="5530" w:type="dxa"/>
          </w:tcPr>
          <w:p w14:paraId="6E1DCAB0" w14:textId="77777777" w:rsidR="000940E6" w:rsidRDefault="00B90DF7" w:rsidP="00B90DF7">
            <w:pPr>
              <w:pStyle w:val="TableParagraph"/>
              <w:spacing w:line="255" w:lineRule="exact"/>
              <w:rPr>
                <w:sz w:val="24"/>
              </w:rPr>
            </w:pPr>
            <w:bookmarkStart w:id="39" w:name="Local_irritation,_erythema,_mild_pain,_h"/>
            <w:bookmarkEnd w:id="39"/>
            <w:r>
              <w:rPr>
                <w:spacing w:val="-2"/>
                <w:sz w:val="24"/>
              </w:rPr>
              <w:t>Vasospasm</w:t>
            </w:r>
          </w:p>
        </w:tc>
      </w:tr>
      <w:tr w:rsidR="000940E6" w14:paraId="4A1AFE8D" w14:textId="77777777">
        <w:trPr>
          <w:trHeight w:val="3587"/>
        </w:trPr>
        <w:tc>
          <w:tcPr>
            <w:tcW w:w="2405" w:type="dxa"/>
          </w:tcPr>
          <w:p w14:paraId="77A1CDCA" w14:textId="77777777" w:rsidR="000940E6" w:rsidRDefault="00B90DF7" w:rsidP="00B90DF7">
            <w:pPr>
              <w:pStyle w:val="TableParagraph"/>
              <w:spacing w:before="1"/>
              <w:ind w:right="315"/>
              <w:rPr>
                <w:b/>
                <w:sz w:val="24"/>
              </w:rPr>
            </w:pPr>
            <w:r>
              <w:rPr>
                <w:b/>
                <w:sz w:val="24"/>
              </w:rPr>
              <w:t>General disorders and</w:t>
            </w:r>
            <w:r>
              <w:rPr>
                <w:b/>
                <w:spacing w:val="-15"/>
                <w:sz w:val="24"/>
              </w:rPr>
              <w:t xml:space="preserve"> </w:t>
            </w:r>
            <w:r>
              <w:rPr>
                <w:b/>
                <w:sz w:val="24"/>
              </w:rPr>
              <w:t>administration site conditions</w:t>
            </w:r>
          </w:p>
        </w:tc>
        <w:tc>
          <w:tcPr>
            <w:tcW w:w="1416" w:type="dxa"/>
          </w:tcPr>
          <w:p w14:paraId="1560C781" w14:textId="77777777" w:rsidR="000940E6" w:rsidRDefault="00B90DF7" w:rsidP="00B90DF7">
            <w:pPr>
              <w:pStyle w:val="TableParagraph"/>
              <w:spacing w:before="1"/>
              <w:rPr>
                <w:sz w:val="24"/>
              </w:rPr>
            </w:pPr>
            <w:r>
              <w:rPr>
                <w:spacing w:val="-2"/>
                <w:sz w:val="24"/>
              </w:rPr>
              <w:t>Common</w:t>
            </w:r>
          </w:p>
        </w:tc>
        <w:tc>
          <w:tcPr>
            <w:tcW w:w="5530" w:type="dxa"/>
          </w:tcPr>
          <w:p w14:paraId="3CD262ED" w14:textId="77777777" w:rsidR="000940E6" w:rsidRDefault="00B90DF7" w:rsidP="00B90DF7">
            <w:pPr>
              <w:pStyle w:val="TableParagraph"/>
              <w:spacing w:before="1"/>
              <w:ind w:right="114"/>
              <w:rPr>
                <w:sz w:val="24"/>
              </w:rPr>
            </w:pPr>
            <w:r>
              <w:rPr>
                <w:sz w:val="24"/>
              </w:rPr>
              <w:t>Local irritation, erythema, mild pain, haematoma or ulceration may follow deep subcutaneous injection. The emergence of firm nodules may be noted in some cases;</w:t>
            </w:r>
            <w:r>
              <w:rPr>
                <w:spacing w:val="-6"/>
                <w:sz w:val="24"/>
              </w:rPr>
              <w:t xml:space="preserve"> </w:t>
            </w:r>
            <w:r>
              <w:rPr>
                <w:sz w:val="24"/>
              </w:rPr>
              <w:t>however,</w:t>
            </w:r>
            <w:r>
              <w:rPr>
                <w:spacing w:val="-6"/>
                <w:sz w:val="24"/>
              </w:rPr>
              <w:t xml:space="preserve"> </w:t>
            </w:r>
            <w:r>
              <w:rPr>
                <w:sz w:val="24"/>
              </w:rPr>
              <w:t>these</w:t>
            </w:r>
            <w:r>
              <w:rPr>
                <w:spacing w:val="-7"/>
                <w:sz w:val="24"/>
              </w:rPr>
              <w:t xml:space="preserve"> </w:t>
            </w:r>
            <w:r>
              <w:rPr>
                <w:sz w:val="24"/>
              </w:rPr>
              <w:t>nodules</w:t>
            </w:r>
            <w:r>
              <w:rPr>
                <w:spacing w:val="-6"/>
                <w:sz w:val="24"/>
              </w:rPr>
              <w:t xml:space="preserve"> </w:t>
            </w:r>
            <w:r>
              <w:rPr>
                <w:sz w:val="24"/>
              </w:rPr>
              <w:t>usually</w:t>
            </w:r>
            <w:r>
              <w:rPr>
                <w:spacing w:val="-6"/>
                <w:sz w:val="24"/>
              </w:rPr>
              <w:t xml:space="preserve"> </w:t>
            </w:r>
            <w:r>
              <w:rPr>
                <w:sz w:val="24"/>
              </w:rPr>
              <w:t>disappear</w:t>
            </w:r>
            <w:r>
              <w:rPr>
                <w:spacing w:val="-5"/>
                <w:sz w:val="24"/>
              </w:rPr>
              <w:t xml:space="preserve"> </w:t>
            </w:r>
            <w:r>
              <w:rPr>
                <w:sz w:val="24"/>
              </w:rPr>
              <w:t>after</w:t>
            </w:r>
            <w:r>
              <w:rPr>
                <w:spacing w:val="-7"/>
                <w:sz w:val="24"/>
              </w:rPr>
              <w:t xml:space="preserve"> </w:t>
            </w:r>
            <w:r>
              <w:rPr>
                <w:sz w:val="24"/>
              </w:rPr>
              <w:t xml:space="preserve">a few days. Local tissue reactions at the injection site, such as induration, redness, discolouration, and minor </w:t>
            </w:r>
            <w:bookmarkStart w:id="40" w:name="Skin_necrosis_has_infrequently_been_repo"/>
            <w:bookmarkEnd w:id="40"/>
            <w:r>
              <w:rPr>
                <w:spacing w:val="-2"/>
                <w:sz w:val="24"/>
              </w:rPr>
              <w:t>haematomas</w:t>
            </w:r>
          </w:p>
          <w:p w14:paraId="6E29E760" w14:textId="77777777" w:rsidR="000940E6" w:rsidRDefault="00B90DF7" w:rsidP="00B90DF7">
            <w:pPr>
              <w:pStyle w:val="TableParagraph"/>
              <w:ind w:right="114"/>
              <w:rPr>
                <w:sz w:val="24"/>
              </w:rPr>
            </w:pPr>
            <w:r>
              <w:rPr>
                <w:sz w:val="24"/>
              </w:rPr>
              <w:t>Skin necrosis has infrequently been reported at injection sites.</w:t>
            </w:r>
            <w:r>
              <w:rPr>
                <w:spacing w:val="40"/>
                <w:sz w:val="24"/>
              </w:rPr>
              <w:t xml:space="preserve"> </w:t>
            </w:r>
            <w:r>
              <w:rPr>
                <w:sz w:val="24"/>
              </w:rPr>
              <w:t>It is thought to be a localised manifestation of heparin-induced platelet aggregation and</w:t>
            </w:r>
            <w:r>
              <w:rPr>
                <w:spacing w:val="-5"/>
                <w:sz w:val="24"/>
              </w:rPr>
              <w:t xml:space="preserve"> </w:t>
            </w:r>
            <w:r>
              <w:rPr>
                <w:sz w:val="24"/>
              </w:rPr>
              <w:t>thrombosis,</w:t>
            </w:r>
            <w:r>
              <w:rPr>
                <w:spacing w:val="-5"/>
                <w:sz w:val="24"/>
              </w:rPr>
              <w:t xml:space="preserve"> </w:t>
            </w:r>
            <w:r>
              <w:rPr>
                <w:sz w:val="24"/>
              </w:rPr>
              <w:t>and</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taken</w:t>
            </w:r>
            <w:r>
              <w:rPr>
                <w:spacing w:val="-5"/>
                <w:sz w:val="24"/>
              </w:rPr>
              <w:t xml:space="preserve"> </w:t>
            </w:r>
            <w:r>
              <w:rPr>
                <w:sz w:val="24"/>
              </w:rPr>
              <w:t>as</w:t>
            </w:r>
            <w:r>
              <w:rPr>
                <w:spacing w:val="-5"/>
                <w:sz w:val="24"/>
              </w:rPr>
              <w:t xml:space="preserve"> </w:t>
            </w:r>
            <w:r>
              <w:rPr>
                <w:sz w:val="24"/>
              </w:rPr>
              <w:t>a</w:t>
            </w:r>
            <w:r>
              <w:rPr>
                <w:spacing w:val="-4"/>
                <w:sz w:val="24"/>
              </w:rPr>
              <w:t xml:space="preserve"> </w:t>
            </w:r>
            <w:r>
              <w:rPr>
                <w:sz w:val="24"/>
              </w:rPr>
              <w:t>warning</w:t>
            </w:r>
            <w:r>
              <w:rPr>
                <w:spacing w:val="-3"/>
                <w:sz w:val="24"/>
              </w:rPr>
              <w:t xml:space="preserve"> </w:t>
            </w:r>
            <w:r>
              <w:rPr>
                <w:sz w:val="24"/>
              </w:rPr>
              <w:t>sign</w:t>
            </w:r>
          </w:p>
          <w:p w14:paraId="589E4070" w14:textId="77777777" w:rsidR="000940E6" w:rsidRDefault="00B90DF7" w:rsidP="00B90DF7">
            <w:pPr>
              <w:pStyle w:val="TableParagraph"/>
              <w:spacing w:line="274" w:lineRule="exact"/>
              <w:rPr>
                <w:sz w:val="24"/>
              </w:rPr>
            </w:pPr>
            <w:r>
              <w:rPr>
                <w:sz w:val="24"/>
              </w:rPr>
              <w:t>in</w:t>
            </w:r>
            <w:r>
              <w:rPr>
                <w:spacing w:val="-5"/>
                <w:sz w:val="24"/>
              </w:rPr>
              <w:t xml:space="preserve"> </w:t>
            </w:r>
            <w:r>
              <w:rPr>
                <w:sz w:val="24"/>
              </w:rPr>
              <w:t>patients</w:t>
            </w:r>
            <w:r>
              <w:rPr>
                <w:spacing w:val="-5"/>
                <w:sz w:val="24"/>
              </w:rPr>
              <w:t xml:space="preserve"> </w:t>
            </w:r>
            <w:r>
              <w:rPr>
                <w:sz w:val="24"/>
              </w:rPr>
              <w:t>who</w:t>
            </w:r>
            <w:r>
              <w:rPr>
                <w:spacing w:val="-5"/>
                <w:sz w:val="24"/>
              </w:rPr>
              <w:t xml:space="preserve"> </w:t>
            </w:r>
            <w:r>
              <w:rPr>
                <w:sz w:val="24"/>
              </w:rPr>
              <w:t>develop</w:t>
            </w:r>
            <w:r>
              <w:rPr>
                <w:spacing w:val="-5"/>
                <w:sz w:val="24"/>
              </w:rPr>
              <w:t xml:space="preserve"> </w:t>
            </w:r>
            <w:r>
              <w:rPr>
                <w:sz w:val="24"/>
              </w:rPr>
              <w:t>it.</w:t>
            </w:r>
            <w:r>
              <w:rPr>
                <w:spacing w:val="40"/>
                <w:sz w:val="24"/>
              </w:rPr>
              <w:t xml:space="preserve"> </w:t>
            </w:r>
            <w:r>
              <w:rPr>
                <w:sz w:val="24"/>
              </w:rPr>
              <w:t>Heparin</w:t>
            </w:r>
            <w:r>
              <w:rPr>
                <w:spacing w:val="-5"/>
                <w:sz w:val="24"/>
              </w:rPr>
              <w:t xml:space="preserve"> </w:t>
            </w:r>
            <w:r>
              <w:rPr>
                <w:sz w:val="24"/>
              </w:rPr>
              <w:t>should</w:t>
            </w:r>
            <w:r>
              <w:rPr>
                <w:spacing w:val="-5"/>
                <w:sz w:val="24"/>
              </w:rPr>
              <w:t xml:space="preserve"> </w:t>
            </w:r>
            <w:r>
              <w:rPr>
                <w:sz w:val="24"/>
              </w:rPr>
              <w:t xml:space="preserve">be </w:t>
            </w:r>
            <w:bookmarkStart w:id="41" w:name="Immune_system_disorders"/>
            <w:bookmarkStart w:id="42" w:name="Uncommon"/>
            <w:bookmarkEnd w:id="41"/>
            <w:bookmarkEnd w:id="42"/>
            <w:r>
              <w:rPr>
                <w:sz w:val="24"/>
              </w:rPr>
              <w:t>discontinued immediately.</w:t>
            </w:r>
          </w:p>
        </w:tc>
      </w:tr>
      <w:tr w:rsidR="000940E6" w14:paraId="5CC633EA" w14:textId="77777777">
        <w:trPr>
          <w:trHeight w:val="830"/>
        </w:trPr>
        <w:tc>
          <w:tcPr>
            <w:tcW w:w="2405" w:type="dxa"/>
            <w:vMerge w:val="restart"/>
          </w:tcPr>
          <w:p w14:paraId="08A4365A" w14:textId="77777777" w:rsidR="000940E6" w:rsidRDefault="00B90DF7" w:rsidP="00B90DF7">
            <w:pPr>
              <w:pStyle w:val="TableParagraph"/>
              <w:spacing w:before="1"/>
              <w:ind w:right="663"/>
              <w:rPr>
                <w:b/>
                <w:sz w:val="24"/>
              </w:rPr>
            </w:pPr>
            <w:r>
              <w:rPr>
                <w:b/>
                <w:sz w:val="24"/>
              </w:rPr>
              <w:t>Immune</w:t>
            </w:r>
            <w:r>
              <w:rPr>
                <w:b/>
                <w:spacing w:val="-15"/>
                <w:sz w:val="24"/>
              </w:rPr>
              <w:t xml:space="preserve"> </w:t>
            </w:r>
            <w:r>
              <w:rPr>
                <w:b/>
                <w:sz w:val="24"/>
              </w:rPr>
              <w:t xml:space="preserve">system </w:t>
            </w:r>
            <w:r>
              <w:rPr>
                <w:b/>
                <w:spacing w:val="-2"/>
                <w:sz w:val="24"/>
              </w:rPr>
              <w:t>disorders</w:t>
            </w:r>
          </w:p>
        </w:tc>
        <w:tc>
          <w:tcPr>
            <w:tcW w:w="1416" w:type="dxa"/>
          </w:tcPr>
          <w:p w14:paraId="1EC5C6FB" w14:textId="77777777" w:rsidR="000940E6" w:rsidRDefault="00B90DF7" w:rsidP="00B90DF7">
            <w:pPr>
              <w:pStyle w:val="TableParagraph"/>
              <w:spacing w:before="1"/>
              <w:rPr>
                <w:sz w:val="24"/>
              </w:rPr>
            </w:pPr>
            <w:r>
              <w:rPr>
                <w:spacing w:val="-2"/>
                <w:sz w:val="24"/>
              </w:rPr>
              <w:t>Uncommon</w:t>
            </w:r>
          </w:p>
        </w:tc>
        <w:tc>
          <w:tcPr>
            <w:tcW w:w="5530" w:type="dxa"/>
          </w:tcPr>
          <w:p w14:paraId="246F4C13" w14:textId="77777777" w:rsidR="000940E6" w:rsidRDefault="00B90DF7" w:rsidP="00B90DF7">
            <w:pPr>
              <w:pStyle w:val="TableParagraph"/>
              <w:spacing w:line="270" w:lineRule="atLeast"/>
              <w:ind w:right="114"/>
              <w:rPr>
                <w:sz w:val="24"/>
              </w:rPr>
            </w:pPr>
            <w:r>
              <w:rPr>
                <w:sz w:val="24"/>
              </w:rPr>
              <w:t>Allergic</w:t>
            </w:r>
            <w:r>
              <w:rPr>
                <w:spacing w:val="-6"/>
                <w:sz w:val="24"/>
              </w:rPr>
              <w:t xml:space="preserve"> </w:t>
            </w:r>
            <w:r>
              <w:rPr>
                <w:sz w:val="24"/>
              </w:rPr>
              <w:t>reactions</w:t>
            </w:r>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types</w:t>
            </w:r>
            <w:r>
              <w:rPr>
                <w:spacing w:val="-5"/>
                <w:sz w:val="24"/>
              </w:rPr>
              <w:t xml:space="preserve"> </w:t>
            </w:r>
            <w:r>
              <w:rPr>
                <w:sz w:val="24"/>
              </w:rPr>
              <w:t>and</w:t>
            </w:r>
            <w:r>
              <w:rPr>
                <w:spacing w:val="-5"/>
                <w:sz w:val="24"/>
              </w:rPr>
              <w:t xml:space="preserve"> </w:t>
            </w:r>
            <w:r>
              <w:rPr>
                <w:sz w:val="24"/>
              </w:rPr>
              <w:t>severities,</w:t>
            </w:r>
            <w:r>
              <w:rPr>
                <w:spacing w:val="-5"/>
                <w:sz w:val="24"/>
              </w:rPr>
              <w:t xml:space="preserve"> </w:t>
            </w:r>
            <w:r>
              <w:rPr>
                <w:sz w:val="24"/>
              </w:rPr>
              <w:t xml:space="preserve">with various manifestations (e.g. urticaria, pruritus, </w:t>
            </w:r>
            <w:bookmarkStart w:id="43" w:name="Rare"/>
            <w:bookmarkEnd w:id="43"/>
            <w:r>
              <w:rPr>
                <w:sz w:val="24"/>
              </w:rPr>
              <w:t>dyspnoea, bronchospasm, hypotension).</w:t>
            </w:r>
          </w:p>
        </w:tc>
      </w:tr>
      <w:tr w:rsidR="000940E6" w14:paraId="69BBDBB6" w14:textId="77777777">
        <w:trPr>
          <w:trHeight w:val="827"/>
        </w:trPr>
        <w:tc>
          <w:tcPr>
            <w:tcW w:w="2405" w:type="dxa"/>
            <w:vMerge/>
            <w:tcBorders>
              <w:top w:val="nil"/>
            </w:tcBorders>
          </w:tcPr>
          <w:p w14:paraId="3AC28EFF" w14:textId="77777777" w:rsidR="000940E6" w:rsidRDefault="000940E6" w:rsidP="00B90DF7">
            <w:pPr>
              <w:rPr>
                <w:sz w:val="2"/>
                <w:szCs w:val="2"/>
              </w:rPr>
            </w:pPr>
          </w:p>
        </w:tc>
        <w:tc>
          <w:tcPr>
            <w:tcW w:w="1416" w:type="dxa"/>
          </w:tcPr>
          <w:p w14:paraId="54F49132" w14:textId="77777777" w:rsidR="000940E6" w:rsidRDefault="00B90DF7" w:rsidP="00B90DF7">
            <w:pPr>
              <w:pStyle w:val="TableParagraph"/>
              <w:spacing w:line="275" w:lineRule="exact"/>
              <w:rPr>
                <w:sz w:val="24"/>
              </w:rPr>
            </w:pPr>
            <w:r>
              <w:rPr>
                <w:spacing w:val="-4"/>
                <w:sz w:val="24"/>
              </w:rPr>
              <w:t>Rare</w:t>
            </w:r>
          </w:p>
        </w:tc>
        <w:tc>
          <w:tcPr>
            <w:tcW w:w="5530" w:type="dxa"/>
          </w:tcPr>
          <w:p w14:paraId="45730CB8" w14:textId="77777777" w:rsidR="000940E6" w:rsidRDefault="00B90DF7" w:rsidP="00B90DF7">
            <w:pPr>
              <w:pStyle w:val="TableParagraph"/>
              <w:spacing w:line="276" w:lineRule="exact"/>
              <w:rPr>
                <w:sz w:val="24"/>
              </w:rPr>
            </w:pPr>
            <w:r>
              <w:rPr>
                <w:sz w:val="24"/>
              </w:rPr>
              <w:t>Severe heparin-induced, antibody-mediated thrombocytopenia</w:t>
            </w:r>
            <w:r>
              <w:rPr>
                <w:spacing w:val="-15"/>
                <w:sz w:val="24"/>
              </w:rPr>
              <w:t xml:space="preserve"> </w:t>
            </w:r>
            <w:r>
              <w:rPr>
                <w:sz w:val="24"/>
              </w:rPr>
              <w:t>(Heparin-induced</w:t>
            </w:r>
            <w:r>
              <w:rPr>
                <w:spacing w:val="-15"/>
                <w:sz w:val="24"/>
              </w:rPr>
              <w:t xml:space="preserve"> </w:t>
            </w:r>
            <w:r>
              <w:rPr>
                <w:sz w:val="24"/>
              </w:rPr>
              <w:t>thrombocytopenia type II, for details see below)</w:t>
            </w:r>
          </w:p>
        </w:tc>
      </w:tr>
      <w:tr w:rsidR="000940E6" w14:paraId="52FDA554" w14:textId="77777777">
        <w:trPr>
          <w:trHeight w:val="1499"/>
        </w:trPr>
        <w:tc>
          <w:tcPr>
            <w:tcW w:w="2405" w:type="dxa"/>
            <w:vMerge/>
            <w:tcBorders>
              <w:top w:val="nil"/>
            </w:tcBorders>
          </w:tcPr>
          <w:p w14:paraId="66E8D265" w14:textId="77777777" w:rsidR="000940E6" w:rsidRDefault="000940E6" w:rsidP="00B90DF7">
            <w:pPr>
              <w:rPr>
                <w:sz w:val="2"/>
                <w:szCs w:val="2"/>
              </w:rPr>
            </w:pPr>
          </w:p>
        </w:tc>
        <w:tc>
          <w:tcPr>
            <w:tcW w:w="1416" w:type="dxa"/>
          </w:tcPr>
          <w:p w14:paraId="0CDC6182" w14:textId="77777777" w:rsidR="000940E6" w:rsidRDefault="00B90DF7" w:rsidP="00B90DF7">
            <w:pPr>
              <w:pStyle w:val="TableParagraph"/>
              <w:spacing w:line="275" w:lineRule="exact"/>
              <w:rPr>
                <w:sz w:val="24"/>
              </w:rPr>
            </w:pPr>
            <w:r>
              <w:rPr>
                <w:sz w:val="24"/>
              </w:rPr>
              <w:t>Very</w:t>
            </w:r>
            <w:r>
              <w:rPr>
                <w:spacing w:val="-3"/>
                <w:sz w:val="24"/>
              </w:rPr>
              <w:t xml:space="preserve"> </w:t>
            </w:r>
            <w:r>
              <w:rPr>
                <w:spacing w:val="-4"/>
                <w:sz w:val="24"/>
              </w:rPr>
              <w:t>rare</w:t>
            </w:r>
          </w:p>
        </w:tc>
        <w:tc>
          <w:tcPr>
            <w:tcW w:w="5530" w:type="dxa"/>
          </w:tcPr>
          <w:p w14:paraId="7D957284" w14:textId="77777777" w:rsidR="000940E6" w:rsidRDefault="00B90DF7" w:rsidP="00B90DF7">
            <w:pPr>
              <w:pStyle w:val="TableParagraph"/>
              <w:rPr>
                <w:sz w:val="24"/>
              </w:rPr>
            </w:pPr>
            <w:r>
              <w:rPr>
                <w:sz w:val="24"/>
              </w:rPr>
              <w:t>Anaphylactic</w:t>
            </w:r>
            <w:r>
              <w:rPr>
                <w:spacing w:val="-9"/>
                <w:sz w:val="24"/>
              </w:rPr>
              <w:t xml:space="preserve"> </w:t>
            </w:r>
            <w:r>
              <w:rPr>
                <w:sz w:val="24"/>
              </w:rPr>
              <w:t>shock</w:t>
            </w:r>
            <w:r>
              <w:rPr>
                <w:spacing w:val="-6"/>
                <w:sz w:val="24"/>
              </w:rPr>
              <w:t xml:space="preserve"> </w:t>
            </w:r>
            <w:r>
              <w:rPr>
                <w:sz w:val="24"/>
              </w:rPr>
              <w:t>especially</w:t>
            </w:r>
            <w:r>
              <w:rPr>
                <w:spacing w:val="-8"/>
                <w:sz w:val="24"/>
              </w:rPr>
              <w:t xml:space="preserve"> </w:t>
            </w:r>
            <w:r>
              <w:rPr>
                <w:sz w:val="24"/>
              </w:rPr>
              <w:t>in</w:t>
            </w:r>
            <w:r>
              <w:rPr>
                <w:spacing w:val="-8"/>
                <w:sz w:val="24"/>
              </w:rPr>
              <w:t xml:space="preserve"> </w:t>
            </w:r>
            <w:r>
              <w:rPr>
                <w:sz w:val="24"/>
              </w:rPr>
              <w:t>sensitized</w:t>
            </w:r>
            <w:r>
              <w:rPr>
                <w:spacing w:val="-8"/>
                <w:sz w:val="24"/>
              </w:rPr>
              <w:t xml:space="preserve"> </w:t>
            </w:r>
            <w:r>
              <w:rPr>
                <w:sz w:val="24"/>
              </w:rPr>
              <w:t>patients having previously received heparin</w:t>
            </w:r>
          </w:p>
          <w:p w14:paraId="69573E4B" w14:textId="77777777" w:rsidR="000940E6" w:rsidRDefault="00B90DF7" w:rsidP="00B90DF7">
            <w:pPr>
              <w:pStyle w:val="TableParagraph"/>
              <w:spacing w:before="99" w:line="270" w:lineRule="atLeast"/>
              <w:ind w:right="175"/>
              <w:rPr>
                <w:sz w:val="24"/>
              </w:rPr>
            </w:pPr>
            <w:r>
              <w:rPr>
                <w:sz w:val="24"/>
              </w:rPr>
              <w:t>Onset</w:t>
            </w:r>
            <w:r>
              <w:rPr>
                <w:spacing w:val="-4"/>
                <w:sz w:val="24"/>
              </w:rPr>
              <w:t xml:space="preserve"> </w:t>
            </w:r>
            <w:r>
              <w:rPr>
                <w:sz w:val="24"/>
              </w:rPr>
              <w:t>of</w:t>
            </w:r>
            <w:r>
              <w:rPr>
                <w:spacing w:val="-5"/>
                <w:sz w:val="24"/>
              </w:rPr>
              <w:t xml:space="preserve"> </w:t>
            </w:r>
            <w:r>
              <w:rPr>
                <w:sz w:val="24"/>
              </w:rPr>
              <w:t>type</w:t>
            </w:r>
            <w:r>
              <w:rPr>
                <w:spacing w:val="-3"/>
                <w:sz w:val="24"/>
              </w:rPr>
              <w:t xml:space="preserve"> </w:t>
            </w:r>
            <w:r>
              <w:rPr>
                <w:sz w:val="24"/>
              </w:rPr>
              <w:t>II</w:t>
            </w:r>
            <w:r>
              <w:rPr>
                <w:spacing w:val="-8"/>
                <w:sz w:val="24"/>
              </w:rPr>
              <w:t xml:space="preserve"> </w:t>
            </w:r>
            <w:r>
              <w:rPr>
                <w:sz w:val="24"/>
              </w:rPr>
              <w:t>thrombocytopenia</w:t>
            </w:r>
            <w:r>
              <w:rPr>
                <w:spacing w:val="-5"/>
                <w:sz w:val="24"/>
              </w:rPr>
              <w:t xml:space="preserve"> </w:t>
            </w:r>
            <w:r>
              <w:rPr>
                <w:sz w:val="24"/>
              </w:rPr>
              <w:t>with</w:t>
            </w:r>
            <w:r>
              <w:rPr>
                <w:spacing w:val="-4"/>
                <w:sz w:val="24"/>
              </w:rPr>
              <w:t xml:space="preserve"> </w:t>
            </w:r>
            <w:r>
              <w:rPr>
                <w:sz w:val="24"/>
              </w:rPr>
              <w:t>a</w:t>
            </w:r>
            <w:r>
              <w:rPr>
                <w:spacing w:val="-5"/>
                <w:sz w:val="24"/>
              </w:rPr>
              <w:t xml:space="preserve"> </w:t>
            </w:r>
            <w:r>
              <w:rPr>
                <w:sz w:val="24"/>
              </w:rPr>
              <w:t>delay</w:t>
            </w:r>
            <w:r>
              <w:rPr>
                <w:spacing w:val="-4"/>
                <w:sz w:val="24"/>
              </w:rPr>
              <w:t xml:space="preserve"> </w:t>
            </w:r>
            <w:r>
              <w:rPr>
                <w:sz w:val="24"/>
              </w:rPr>
              <w:t>of</w:t>
            </w:r>
            <w:r>
              <w:rPr>
                <w:spacing w:val="-3"/>
                <w:sz w:val="24"/>
              </w:rPr>
              <w:t xml:space="preserve"> </w:t>
            </w:r>
            <w:r>
              <w:rPr>
                <w:sz w:val="24"/>
              </w:rPr>
              <w:t xml:space="preserve">up to several weeks after the end of heparin </w:t>
            </w:r>
            <w:r>
              <w:rPr>
                <w:spacing w:val="-2"/>
                <w:sz w:val="24"/>
              </w:rPr>
              <w:t>administration.</w:t>
            </w:r>
          </w:p>
        </w:tc>
      </w:tr>
    </w:tbl>
    <w:p w14:paraId="67BC5870" w14:textId="77777777" w:rsidR="000940E6" w:rsidRDefault="000940E6" w:rsidP="00B90DF7">
      <w:pPr>
        <w:spacing w:line="270" w:lineRule="atLeast"/>
        <w:rPr>
          <w:sz w:val="24"/>
        </w:rPr>
        <w:sectPr w:rsidR="000940E6">
          <w:pgSz w:w="11910" w:h="16840"/>
          <w:pgMar w:top="1400" w:right="1000" w:bottom="2221" w:left="1320" w:header="0" w:footer="1228"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416"/>
        <w:gridCol w:w="5530"/>
      </w:tblGrid>
      <w:tr w:rsidR="000940E6" w14:paraId="68674A14" w14:textId="77777777">
        <w:trPr>
          <w:trHeight w:val="395"/>
        </w:trPr>
        <w:tc>
          <w:tcPr>
            <w:tcW w:w="2405" w:type="dxa"/>
          </w:tcPr>
          <w:p w14:paraId="3F99A11F" w14:textId="77777777" w:rsidR="000940E6" w:rsidRDefault="00B90DF7" w:rsidP="00B90DF7">
            <w:pPr>
              <w:pStyle w:val="TableParagraph"/>
              <w:spacing w:before="119" w:line="257" w:lineRule="exact"/>
              <w:rPr>
                <w:b/>
                <w:sz w:val="24"/>
              </w:rPr>
            </w:pPr>
            <w:r>
              <w:rPr>
                <w:b/>
                <w:sz w:val="24"/>
              </w:rPr>
              <w:lastRenderedPageBreak/>
              <w:t>System</w:t>
            </w:r>
            <w:r>
              <w:rPr>
                <w:b/>
                <w:spacing w:val="-5"/>
                <w:sz w:val="24"/>
              </w:rPr>
              <w:t xml:space="preserve"> </w:t>
            </w:r>
            <w:r>
              <w:rPr>
                <w:b/>
                <w:sz w:val="24"/>
              </w:rPr>
              <w:t>Organ</w:t>
            </w:r>
            <w:r>
              <w:rPr>
                <w:b/>
                <w:spacing w:val="-2"/>
                <w:sz w:val="24"/>
              </w:rPr>
              <w:t xml:space="preserve"> </w:t>
            </w:r>
            <w:r>
              <w:rPr>
                <w:b/>
                <w:spacing w:val="-4"/>
                <w:sz w:val="24"/>
              </w:rPr>
              <w:t>Class</w:t>
            </w:r>
          </w:p>
        </w:tc>
        <w:tc>
          <w:tcPr>
            <w:tcW w:w="1416" w:type="dxa"/>
          </w:tcPr>
          <w:p w14:paraId="03C6F357" w14:textId="77777777" w:rsidR="000940E6" w:rsidRDefault="00B90DF7" w:rsidP="00B90DF7">
            <w:pPr>
              <w:pStyle w:val="TableParagraph"/>
              <w:spacing w:before="119" w:line="257" w:lineRule="exact"/>
              <w:rPr>
                <w:b/>
                <w:sz w:val="24"/>
              </w:rPr>
            </w:pPr>
            <w:bookmarkStart w:id="44" w:name="Not_known"/>
            <w:bookmarkEnd w:id="44"/>
            <w:r>
              <w:rPr>
                <w:b/>
                <w:spacing w:val="-2"/>
                <w:sz w:val="24"/>
              </w:rPr>
              <w:t>Frequency</w:t>
            </w:r>
          </w:p>
        </w:tc>
        <w:tc>
          <w:tcPr>
            <w:tcW w:w="5530" w:type="dxa"/>
          </w:tcPr>
          <w:p w14:paraId="0271F241" w14:textId="77777777" w:rsidR="000940E6" w:rsidRDefault="00B90DF7" w:rsidP="00B90DF7">
            <w:pPr>
              <w:pStyle w:val="TableParagraph"/>
              <w:spacing w:before="119" w:line="257" w:lineRule="exact"/>
              <w:rPr>
                <w:b/>
                <w:sz w:val="24"/>
              </w:rPr>
            </w:pPr>
            <w:r>
              <w:rPr>
                <w:b/>
                <w:spacing w:val="-4"/>
                <w:sz w:val="24"/>
              </w:rPr>
              <w:t>Event</w:t>
            </w:r>
          </w:p>
        </w:tc>
      </w:tr>
      <w:tr w:rsidR="000940E6" w14:paraId="668DF125" w14:textId="77777777">
        <w:trPr>
          <w:trHeight w:val="2207"/>
        </w:trPr>
        <w:tc>
          <w:tcPr>
            <w:tcW w:w="2405" w:type="dxa"/>
          </w:tcPr>
          <w:p w14:paraId="5D91D063" w14:textId="77777777" w:rsidR="000940E6" w:rsidRDefault="000940E6" w:rsidP="00B90DF7">
            <w:pPr>
              <w:pStyle w:val="TableParagraph"/>
              <w:ind w:left="0"/>
              <w:rPr>
                <w:sz w:val="24"/>
              </w:rPr>
            </w:pPr>
          </w:p>
        </w:tc>
        <w:tc>
          <w:tcPr>
            <w:tcW w:w="1416" w:type="dxa"/>
          </w:tcPr>
          <w:p w14:paraId="3DF43EC1" w14:textId="77777777" w:rsidR="000940E6" w:rsidRDefault="00B90DF7" w:rsidP="00B90DF7">
            <w:pPr>
              <w:pStyle w:val="TableParagraph"/>
              <w:spacing w:line="275" w:lineRule="exact"/>
              <w:rPr>
                <w:sz w:val="24"/>
              </w:rPr>
            </w:pPr>
            <w:r>
              <w:rPr>
                <w:sz w:val="24"/>
              </w:rPr>
              <w:t>Not</w:t>
            </w:r>
            <w:r>
              <w:rPr>
                <w:spacing w:val="-1"/>
                <w:sz w:val="24"/>
              </w:rPr>
              <w:t xml:space="preserve"> </w:t>
            </w:r>
            <w:r>
              <w:rPr>
                <w:spacing w:val="-2"/>
                <w:sz w:val="24"/>
              </w:rPr>
              <w:t>known</w:t>
            </w:r>
          </w:p>
        </w:tc>
        <w:tc>
          <w:tcPr>
            <w:tcW w:w="5530" w:type="dxa"/>
          </w:tcPr>
          <w:p w14:paraId="5E185551" w14:textId="77777777" w:rsidR="000940E6" w:rsidRDefault="00B90DF7" w:rsidP="00B90DF7">
            <w:pPr>
              <w:pStyle w:val="TableParagraph"/>
              <w:spacing w:line="276" w:lineRule="exact"/>
              <w:ind w:right="114"/>
              <w:rPr>
                <w:sz w:val="24"/>
              </w:rPr>
            </w:pPr>
            <w:r>
              <w:rPr>
                <w:sz w:val="24"/>
              </w:rPr>
              <w:t>Type IV hypersensitivity reaction (e. g. skin lesions, erythematous papules and plaques located at injection site) which may occur with a latency of up to several months.</w:t>
            </w:r>
            <w:r>
              <w:rPr>
                <w:spacing w:val="40"/>
                <w:sz w:val="24"/>
              </w:rPr>
              <w:t xml:space="preserve"> </w:t>
            </w:r>
            <w:r>
              <w:rPr>
                <w:sz w:val="24"/>
              </w:rPr>
              <w:t>Hypersensitivity may be manifested by pruritus,</w:t>
            </w:r>
            <w:r>
              <w:rPr>
                <w:spacing w:val="-7"/>
                <w:sz w:val="24"/>
              </w:rPr>
              <w:t xml:space="preserve"> </w:t>
            </w:r>
            <w:r>
              <w:rPr>
                <w:sz w:val="24"/>
              </w:rPr>
              <w:t>urticaria,</w:t>
            </w:r>
            <w:r>
              <w:rPr>
                <w:spacing w:val="-5"/>
                <w:sz w:val="24"/>
              </w:rPr>
              <w:t xml:space="preserve"> </w:t>
            </w:r>
            <w:r>
              <w:rPr>
                <w:sz w:val="24"/>
              </w:rPr>
              <w:t>chills,</w:t>
            </w:r>
            <w:r>
              <w:rPr>
                <w:spacing w:val="-7"/>
                <w:sz w:val="24"/>
              </w:rPr>
              <w:t xml:space="preserve"> </w:t>
            </w:r>
            <w:r>
              <w:rPr>
                <w:sz w:val="24"/>
              </w:rPr>
              <w:t>fever,</w:t>
            </w:r>
            <w:r>
              <w:rPr>
                <w:spacing w:val="-5"/>
                <w:sz w:val="24"/>
              </w:rPr>
              <w:t xml:space="preserve"> </w:t>
            </w:r>
            <w:r>
              <w:rPr>
                <w:sz w:val="24"/>
              </w:rPr>
              <w:t>asthma</w:t>
            </w:r>
            <w:r>
              <w:rPr>
                <w:spacing w:val="-8"/>
                <w:sz w:val="24"/>
              </w:rPr>
              <w:t xml:space="preserve"> </w:t>
            </w:r>
            <w:r>
              <w:rPr>
                <w:sz w:val="24"/>
              </w:rPr>
              <w:t>like</w:t>
            </w:r>
            <w:r>
              <w:rPr>
                <w:spacing w:val="-8"/>
                <w:sz w:val="24"/>
              </w:rPr>
              <w:t xml:space="preserve"> </w:t>
            </w:r>
            <w:r>
              <w:rPr>
                <w:sz w:val="24"/>
              </w:rPr>
              <w:t xml:space="preserve">symptoms, rhinitis, lacrimation, headache, nausea, vomiting and anaphylactoid reactions, including angioedema and </w:t>
            </w:r>
            <w:bookmarkStart w:id="45" w:name="Hepatobiliary_disorders"/>
            <w:bookmarkStart w:id="46" w:name="Very_common"/>
            <w:bookmarkEnd w:id="45"/>
            <w:bookmarkEnd w:id="46"/>
            <w:r>
              <w:rPr>
                <w:spacing w:val="-2"/>
                <w:sz w:val="24"/>
              </w:rPr>
              <w:t>shock.</w:t>
            </w:r>
          </w:p>
        </w:tc>
      </w:tr>
      <w:tr w:rsidR="000940E6" w14:paraId="3F6B0112" w14:textId="77777777">
        <w:trPr>
          <w:trHeight w:val="1379"/>
        </w:trPr>
        <w:tc>
          <w:tcPr>
            <w:tcW w:w="2405" w:type="dxa"/>
          </w:tcPr>
          <w:p w14:paraId="6E6907C8" w14:textId="77777777" w:rsidR="000940E6" w:rsidRDefault="00B90DF7" w:rsidP="00B90DF7">
            <w:pPr>
              <w:pStyle w:val="TableParagraph"/>
              <w:rPr>
                <w:b/>
                <w:sz w:val="24"/>
              </w:rPr>
            </w:pPr>
            <w:r>
              <w:rPr>
                <w:b/>
                <w:spacing w:val="-2"/>
                <w:sz w:val="24"/>
              </w:rPr>
              <w:t>Hepatobiliary disorders</w:t>
            </w:r>
          </w:p>
        </w:tc>
        <w:tc>
          <w:tcPr>
            <w:tcW w:w="1416" w:type="dxa"/>
          </w:tcPr>
          <w:p w14:paraId="4E5C80B6" w14:textId="77777777" w:rsidR="000940E6" w:rsidRDefault="00B90DF7" w:rsidP="00B90DF7">
            <w:pPr>
              <w:pStyle w:val="TableParagraph"/>
              <w:ind w:right="451"/>
              <w:rPr>
                <w:sz w:val="24"/>
              </w:rPr>
            </w:pPr>
            <w:r>
              <w:rPr>
                <w:spacing w:val="-4"/>
                <w:sz w:val="24"/>
              </w:rPr>
              <w:t xml:space="preserve">Very </w:t>
            </w:r>
            <w:r>
              <w:rPr>
                <w:spacing w:val="-2"/>
                <w:sz w:val="24"/>
              </w:rPr>
              <w:t>common</w:t>
            </w:r>
          </w:p>
        </w:tc>
        <w:tc>
          <w:tcPr>
            <w:tcW w:w="5530" w:type="dxa"/>
          </w:tcPr>
          <w:p w14:paraId="4DC2A61A" w14:textId="77777777" w:rsidR="000940E6" w:rsidRDefault="00B90DF7" w:rsidP="00B90DF7">
            <w:pPr>
              <w:pStyle w:val="TableParagraph"/>
              <w:spacing w:line="276" w:lineRule="exact"/>
              <w:rPr>
                <w:sz w:val="24"/>
              </w:rPr>
            </w:pPr>
            <w:r>
              <w:rPr>
                <w:sz w:val="24"/>
              </w:rPr>
              <w:t>Hepatic enzymes increased (increases of the serum concentrations</w:t>
            </w:r>
            <w:r>
              <w:rPr>
                <w:spacing w:val="-7"/>
                <w:sz w:val="24"/>
              </w:rPr>
              <w:t xml:space="preserve"> </w:t>
            </w:r>
            <w:r>
              <w:rPr>
                <w:sz w:val="24"/>
              </w:rPr>
              <w:t>of</w:t>
            </w:r>
            <w:r>
              <w:rPr>
                <w:spacing w:val="-8"/>
                <w:sz w:val="24"/>
              </w:rPr>
              <w:t xml:space="preserve"> </w:t>
            </w:r>
            <w:r>
              <w:rPr>
                <w:sz w:val="24"/>
              </w:rPr>
              <w:t>transaminases</w:t>
            </w:r>
            <w:r>
              <w:rPr>
                <w:spacing w:val="-7"/>
                <w:sz w:val="24"/>
              </w:rPr>
              <w:t xml:space="preserve"> </w:t>
            </w:r>
            <w:r>
              <w:rPr>
                <w:sz w:val="24"/>
              </w:rPr>
              <w:t>(AST,</w:t>
            </w:r>
            <w:r>
              <w:rPr>
                <w:spacing w:val="-8"/>
                <w:sz w:val="24"/>
              </w:rPr>
              <w:t xml:space="preserve"> </w:t>
            </w:r>
            <w:r>
              <w:rPr>
                <w:sz w:val="24"/>
              </w:rPr>
              <w:t>ALT),</w:t>
            </w:r>
            <w:r>
              <w:rPr>
                <w:spacing w:val="-7"/>
                <w:sz w:val="24"/>
              </w:rPr>
              <w:t xml:space="preserve"> </w:t>
            </w:r>
            <w:r>
              <w:rPr>
                <w:sz w:val="24"/>
              </w:rPr>
              <w:t>gamma- glutamyl transpeptidase, lactate dehydrogenase and lipase,</w:t>
            </w:r>
            <w:r>
              <w:rPr>
                <w:spacing w:val="-2"/>
                <w:sz w:val="24"/>
              </w:rPr>
              <w:t xml:space="preserve"> </w:t>
            </w:r>
            <w:r>
              <w:rPr>
                <w:sz w:val="24"/>
              </w:rPr>
              <w:t>possible</w:t>
            </w:r>
            <w:r>
              <w:rPr>
                <w:spacing w:val="-3"/>
                <w:sz w:val="24"/>
              </w:rPr>
              <w:t xml:space="preserve"> </w:t>
            </w:r>
            <w:r>
              <w:rPr>
                <w:sz w:val="24"/>
              </w:rPr>
              <w:t>resulting</w:t>
            </w:r>
            <w:r>
              <w:rPr>
                <w:spacing w:val="-2"/>
                <w:sz w:val="24"/>
              </w:rPr>
              <w:t xml:space="preserve"> </w:t>
            </w:r>
            <w:r>
              <w:rPr>
                <w:sz w:val="24"/>
              </w:rPr>
              <w:t>in</w:t>
            </w:r>
            <w:r>
              <w:rPr>
                <w:spacing w:val="-2"/>
                <w:sz w:val="24"/>
              </w:rPr>
              <w:t xml:space="preserve"> </w:t>
            </w:r>
            <w:r>
              <w:rPr>
                <w:sz w:val="24"/>
              </w:rPr>
              <w:t>increased free</w:t>
            </w:r>
            <w:r>
              <w:rPr>
                <w:spacing w:val="-3"/>
                <w:sz w:val="24"/>
              </w:rPr>
              <w:t xml:space="preserve"> </w:t>
            </w:r>
            <w:r>
              <w:rPr>
                <w:sz w:val="24"/>
              </w:rPr>
              <w:t>fatty</w:t>
            </w:r>
            <w:r>
              <w:rPr>
                <w:spacing w:val="-2"/>
                <w:sz w:val="24"/>
              </w:rPr>
              <w:t xml:space="preserve"> </w:t>
            </w:r>
            <w:r>
              <w:rPr>
                <w:sz w:val="24"/>
              </w:rPr>
              <w:t xml:space="preserve">acids). </w:t>
            </w:r>
            <w:bookmarkStart w:id="47" w:name="Reproductive_system_and_breast_disorders"/>
            <w:bookmarkStart w:id="48" w:name="Very_rare"/>
            <w:bookmarkEnd w:id="47"/>
            <w:bookmarkEnd w:id="48"/>
            <w:r>
              <w:rPr>
                <w:sz w:val="24"/>
              </w:rPr>
              <w:t>These reactions are, however, reversible</w:t>
            </w:r>
          </w:p>
        </w:tc>
      </w:tr>
      <w:tr w:rsidR="000940E6" w14:paraId="66496526" w14:textId="77777777">
        <w:trPr>
          <w:trHeight w:val="552"/>
        </w:trPr>
        <w:tc>
          <w:tcPr>
            <w:tcW w:w="2405" w:type="dxa"/>
          </w:tcPr>
          <w:p w14:paraId="0714F046" w14:textId="77777777" w:rsidR="000940E6" w:rsidRDefault="00B90DF7" w:rsidP="00B90DF7">
            <w:pPr>
              <w:pStyle w:val="TableParagraph"/>
              <w:spacing w:line="270" w:lineRule="atLeast"/>
              <w:ind w:right="143"/>
              <w:rPr>
                <w:b/>
                <w:sz w:val="24"/>
              </w:rPr>
            </w:pPr>
            <w:r>
              <w:rPr>
                <w:b/>
                <w:sz w:val="24"/>
              </w:rPr>
              <w:t>Reproductive</w:t>
            </w:r>
            <w:r>
              <w:rPr>
                <w:b/>
                <w:spacing w:val="-15"/>
                <w:sz w:val="24"/>
              </w:rPr>
              <w:t xml:space="preserve"> </w:t>
            </w:r>
            <w:r>
              <w:rPr>
                <w:b/>
                <w:sz w:val="24"/>
              </w:rPr>
              <w:t>system and</w:t>
            </w:r>
            <w:r>
              <w:rPr>
                <w:b/>
                <w:spacing w:val="-1"/>
                <w:sz w:val="24"/>
              </w:rPr>
              <w:t xml:space="preserve"> </w:t>
            </w:r>
            <w:r>
              <w:rPr>
                <w:b/>
                <w:sz w:val="24"/>
              </w:rPr>
              <w:t>breast</w:t>
            </w:r>
            <w:r>
              <w:rPr>
                <w:b/>
                <w:spacing w:val="-2"/>
                <w:sz w:val="24"/>
              </w:rPr>
              <w:t xml:space="preserve"> disorders</w:t>
            </w:r>
          </w:p>
        </w:tc>
        <w:tc>
          <w:tcPr>
            <w:tcW w:w="1416" w:type="dxa"/>
          </w:tcPr>
          <w:p w14:paraId="49527403" w14:textId="77777777" w:rsidR="000940E6" w:rsidRDefault="00B90DF7" w:rsidP="00B90DF7">
            <w:pPr>
              <w:pStyle w:val="TableParagraph"/>
              <w:rPr>
                <w:sz w:val="24"/>
              </w:rPr>
            </w:pPr>
            <w:r>
              <w:rPr>
                <w:sz w:val="24"/>
              </w:rPr>
              <w:t>Very</w:t>
            </w:r>
            <w:r>
              <w:rPr>
                <w:spacing w:val="-3"/>
                <w:sz w:val="24"/>
              </w:rPr>
              <w:t xml:space="preserve"> </w:t>
            </w:r>
            <w:r>
              <w:rPr>
                <w:spacing w:val="-4"/>
                <w:sz w:val="24"/>
              </w:rPr>
              <w:t>rare</w:t>
            </w:r>
          </w:p>
        </w:tc>
        <w:tc>
          <w:tcPr>
            <w:tcW w:w="5530" w:type="dxa"/>
          </w:tcPr>
          <w:p w14:paraId="7B3974F9" w14:textId="77777777" w:rsidR="000940E6" w:rsidRDefault="00B90DF7" w:rsidP="00B90DF7">
            <w:pPr>
              <w:pStyle w:val="TableParagraph"/>
              <w:spacing w:before="60"/>
              <w:rPr>
                <w:sz w:val="24"/>
              </w:rPr>
            </w:pPr>
            <w:r>
              <w:rPr>
                <w:spacing w:val="-2"/>
                <w:sz w:val="24"/>
              </w:rPr>
              <w:t>Priapism</w:t>
            </w:r>
          </w:p>
        </w:tc>
      </w:tr>
    </w:tbl>
    <w:p w14:paraId="28BA43D7" w14:textId="77777777" w:rsidR="000940E6" w:rsidRDefault="00B90DF7" w:rsidP="00B90DF7">
      <w:pPr>
        <w:spacing w:before="224"/>
        <w:ind w:left="120"/>
        <w:rPr>
          <w:b/>
          <w:sz w:val="24"/>
        </w:rPr>
      </w:pPr>
      <w:bookmarkStart w:id="49" w:name="Information_on_particular_undesirable_ef"/>
      <w:bookmarkEnd w:id="49"/>
      <w:r>
        <w:rPr>
          <w:b/>
          <w:sz w:val="24"/>
        </w:rPr>
        <w:t>Information</w:t>
      </w:r>
      <w:r>
        <w:rPr>
          <w:b/>
          <w:spacing w:val="-3"/>
          <w:sz w:val="24"/>
        </w:rPr>
        <w:t xml:space="preserve"> </w:t>
      </w:r>
      <w:r>
        <w:rPr>
          <w:b/>
          <w:sz w:val="24"/>
        </w:rPr>
        <w:t>on</w:t>
      </w:r>
      <w:r>
        <w:rPr>
          <w:b/>
          <w:spacing w:val="-3"/>
          <w:sz w:val="24"/>
        </w:rPr>
        <w:t xml:space="preserve"> </w:t>
      </w:r>
      <w:r>
        <w:rPr>
          <w:b/>
          <w:sz w:val="24"/>
        </w:rPr>
        <w:t>particular</w:t>
      </w:r>
      <w:r>
        <w:rPr>
          <w:b/>
          <w:spacing w:val="-3"/>
          <w:sz w:val="24"/>
        </w:rPr>
        <w:t xml:space="preserve"> </w:t>
      </w:r>
      <w:r>
        <w:rPr>
          <w:b/>
          <w:sz w:val="24"/>
        </w:rPr>
        <w:t>undesirable</w:t>
      </w:r>
      <w:r>
        <w:rPr>
          <w:b/>
          <w:spacing w:val="-3"/>
          <w:sz w:val="24"/>
        </w:rPr>
        <w:t xml:space="preserve"> </w:t>
      </w:r>
      <w:r>
        <w:rPr>
          <w:b/>
          <w:spacing w:val="-2"/>
          <w:sz w:val="24"/>
        </w:rPr>
        <w:t>effects</w:t>
      </w:r>
    </w:p>
    <w:p w14:paraId="0CC94B34" w14:textId="77777777" w:rsidR="000940E6" w:rsidRDefault="00B90DF7" w:rsidP="00B90DF7">
      <w:pPr>
        <w:spacing w:before="159"/>
        <w:ind w:left="120"/>
        <w:rPr>
          <w:i/>
          <w:sz w:val="24"/>
        </w:rPr>
      </w:pPr>
      <w:bookmarkStart w:id="50" w:name="Heparin_induced_thrombocytopenia_type_II"/>
      <w:bookmarkEnd w:id="50"/>
      <w:r>
        <w:rPr>
          <w:i/>
          <w:sz w:val="24"/>
        </w:rPr>
        <w:t>Heparin</w:t>
      </w:r>
      <w:r>
        <w:rPr>
          <w:i/>
          <w:spacing w:val="-3"/>
          <w:sz w:val="24"/>
        </w:rPr>
        <w:t xml:space="preserve"> </w:t>
      </w:r>
      <w:r>
        <w:rPr>
          <w:i/>
          <w:sz w:val="24"/>
        </w:rPr>
        <w:t>induced</w:t>
      </w:r>
      <w:r>
        <w:rPr>
          <w:i/>
          <w:spacing w:val="-3"/>
          <w:sz w:val="24"/>
        </w:rPr>
        <w:t xml:space="preserve"> </w:t>
      </w:r>
      <w:r>
        <w:rPr>
          <w:i/>
          <w:sz w:val="24"/>
        </w:rPr>
        <w:t>thrombocytopenia</w:t>
      </w:r>
      <w:r>
        <w:rPr>
          <w:i/>
          <w:spacing w:val="-3"/>
          <w:sz w:val="24"/>
        </w:rPr>
        <w:t xml:space="preserve"> </w:t>
      </w:r>
      <w:r>
        <w:rPr>
          <w:i/>
          <w:sz w:val="24"/>
        </w:rPr>
        <w:t>type</w:t>
      </w:r>
      <w:r>
        <w:rPr>
          <w:i/>
          <w:spacing w:val="-1"/>
          <w:sz w:val="24"/>
        </w:rPr>
        <w:t xml:space="preserve"> </w:t>
      </w:r>
      <w:r>
        <w:rPr>
          <w:i/>
          <w:spacing w:val="-5"/>
          <w:sz w:val="24"/>
        </w:rPr>
        <w:t>II</w:t>
      </w:r>
    </w:p>
    <w:p w14:paraId="2156B0EE" w14:textId="77777777" w:rsidR="000940E6" w:rsidRDefault="00B90DF7" w:rsidP="00B90DF7">
      <w:pPr>
        <w:pStyle w:val="BodyText"/>
        <w:spacing w:line="276" w:lineRule="auto"/>
        <w:ind w:left="119" w:right="129"/>
        <w:jc w:val="left"/>
      </w:pPr>
      <w:r>
        <w:t>Severe heparin-induced, antibody-mediated thrombocytopenia (type II thrombocytopenia, HIT II), is characterised by platelet counts markedly below</w:t>
      </w:r>
      <w:r>
        <w:rPr>
          <w:spacing w:val="-1"/>
        </w:rPr>
        <w:t xml:space="preserve"> </w:t>
      </w:r>
      <w:r>
        <w:t>100 000 per</w:t>
      </w:r>
      <w:r>
        <w:rPr>
          <w:spacing w:val="-1"/>
        </w:rPr>
        <w:t xml:space="preserve"> </w:t>
      </w:r>
      <w:r>
        <w:t>microlitre</w:t>
      </w:r>
      <w:r>
        <w:rPr>
          <w:spacing w:val="-1"/>
        </w:rPr>
        <w:t xml:space="preserve"> </w:t>
      </w:r>
      <w:r>
        <w:t>or a</w:t>
      </w:r>
      <w:r>
        <w:rPr>
          <w:spacing w:val="-1"/>
        </w:rPr>
        <w:t xml:space="preserve"> </w:t>
      </w:r>
      <w:r>
        <w:t>rapid decrease to less than 50 per cent of the initial value and accompanied by arterial or venous thromboses or embolism, consumption coagulopathy, skin necroses at the site of injection. The anticoagulatory effect of heparin may be reduced.</w:t>
      </w:r>
    </w:p>
    <w:p w14:paraId="15CE664B" w14:textId="77777777" w:rsidR="000940E6" w:rsidRDefault="00B90DF7" w:rsidP="00B90DF7">
      <w:pPr>
        <w:pStyle w:val="BodyText"/>
        <w:spacing w:before="122" w:line="276" w:lineRule="auto"/>
        <w:ind w:left="119" w:right="130"/>
        <w:jc w:val="left"/>
      </w:pPr>
      <w:r>
        <w:t>In patients without pre-existing hypersensitivity to heparin the decrease of the platelet count typically</w:t>
      </w:r>
      <w:r>
        <w:rPr>
          <w:spacing w:val="-12"/>
        </w:rPr>
        <w:t xml:space="preserve"> </w:t>
      </w:r>
      <w:r>
        <w:t>begins</w:t>
      </w:r>
      <w:r>
        <w:rPr>
          <w:spacing w:val="-12"/>
        </w:rPr>
        <w:t xml:space="preserve"> </w:t>
      </w:r>
      <w:r>
        <w:t>between</w:t>
      </w:r>
      <w:r>
        <w:rPr>
          <w:spacing w:val="-11"/>
        </w:rPr>
        <w:t xml:space="preserve"> </w:t>
      </w:r>
      <w:r>
        <w:t>5</w:t>
      </w:r>
      <w:r>
        <w:rPr>
          <w:spacing w:val="-12"/>
        </w:rPr>
        <w:t xml:space="preserve"> </w:t>
      </w:r>
      <w:r>
        <w:t>to</w:t>
      </w:r>
      <w:r>
        <w:rPr>
          <w:spacing w:val="-12"/>
        </w:rPr>
        <w:t xml:space="preserve"> </w:t>
      </w:r>
      <w:r>
        <w:t>14</w:t>
      </w:r>
      <w:r>
        <w:rPr>
          <w:spacing w:val="-12"/>
        </w:rPr>
        <w:t xml:space="preserve"> </w:t>
      </w:r>
      <w:r>
        <w:t>days</w:t>
      </w:r>
      <w:r>
        <w:rPr>
          <w:spacing w:val="-12"/>
        </w:rPr>
        <w:t xml:space="preserve"> </w:t>
      </w:r>
      <w:r>
        <w:t>after</w:t>
      </w:r>
      <w:r>
        <w:rPr>
          <w:spacing w:val="-11"/>
        </w:rPr>
        <w:t xml:space="preserve"> </w:t>
      </w:r>
      <w:r>
        <w:t>commencement</w:t>
      </w:r>
      <w:r>
        <w:rPr>
          <w:spacing w:val="-12"/>
        </w:rPr>
        <w:t xml:space="preserve"> </w:t>
      </w:r>
      <w:r>
        <w:t>of</w:t>
      </w:r>
      <w:r>
        <w:rPr>
          <w:spacing w:val="-13"/>
        </w:rPr>
        <w:t xml:space="preserve"> </w:t>
      </w:r>
      <w:r>
        <w:t>the</w:t>
      </w:r>
      <w:r>
        <w:rPr>
          <w:spacing w:val="-13"/>
        </w:rPr>
        <w:t xml:space="preserve"> </w:t>
      </w:r>
      <w:r>
        <w:t>heparin</w:t>
      </w:r>
      <w:r>
        <w:rPr>
          <w:spacing w:val="-12"/>
        </w:rPr>
        <w:t xml:space="preserve"> </w:t>
      </w:r>
      <w:r>
        <w:t>therapy.</w:t>
      </w:r>
      <w:r>
        <w:rPr>
          <w:spacing w:val="-11"/>
        </w:rPr>
        <w:t xml:space="preserve"> </w:t>
      </w:r>
      <w:r>
        <w:t>In</w:t>
      </w:r>
      <w:r>
        <w:rPr>
          <w:spacing w:val="-12"/>
        </w:rPr>
        <w:t xml:space="preserve"> </w:t>
      </w:r>
      <w:r>
        <w:t>patients</w:t>
      </w:r>
      <w:r>
        <w:rPr>
          <w:spacing w:val="-12"/>
        </w:rPr>
        <w:t xml:space="preserve"> </w:t>
      </w:r>
      <w:r>
        <w:t>with existing</w:t>
      </w:r>
      <w:r>
        <w:rPr>
          <w:spacing w:val="-1"/>
        </w:rPr>
        <w:t xml:space="preserve"> </w:t>
      </w:r>
      <w:r>
        <w:t>antibodies</w:t>
      </w:r>
      <w:r>
        <w:rPr>
          <w:spacing w:val="-1"/>
        </w:rPr>
        <w:t xml:space="preserve"> </w:t>
      </w:r>
      <w:r>
        <w:t>to</w:t>
      </w:r>
      <w:r>
        <w:rPr>
          <w:spacing w:val="-1"/>
        </w:rPr>
        <w:t xml:space="preserve"> </w:t>
      </w:r>
      <w:r>
        <w:t>heparin</w:t>
      </w:r>
      <w:r>
        <w:rPr>
          <w:spacing w:val="-1"/>
        </w:rPr>
        <w:t xml:space="preserve"> </w:t>
      </w:r>
      <w:r>
        <w:t>such</w:t>
      </w:r>
      <w:r>
        <w:rPr>
          <w:spacing w:val="-1"/>
        </w:rPr>
        <w:t xml:space="preserve"> </w:t>
      </w:r>
      <w:r>
        <w:t>decrease</w:t>
      </w:r>
      <w:r>
        <w:rPr>
          <w:spacing w:val="-2"/>
        </w:rPr>
        <w:t xml:space="preserve"> </w:t>
      </w:r>
      <w:r>
        <w:t>may begin</w:t>
      </w:r>
      <w:r>
        <w:rPr>
          <w:spacing w:val="-1"/>
        </w:rPr>
        <w:t xml:space="preserve"> </w:t>
      </w:r>
      <w:r>
        <w:t>already after a</w:t>
      </w:r>
      <w:r>
        <w:rPr>
          <w:spacing w:val="-2"/>
        </w:rPr>
        <w:t xml:space="preserve"> </w:t>
      </w:r>
      <w:r>
        <w:t>few hours.</w:t>
      </w:r>
      <w:r>
        <w:rPr>
          <w:spacing w:val="-1"/>
        </w:rPr>
        <w:t xml:space="preserve"> </w:t>
      </w:r>
      <w:r>
        <w:t>The</w:t>
      </w:r>
      <w:r>
        <w:rPr>
          <w:spacing w:val="-2"/>
        </w:rPr>
        <w:t xml:space="preserve"> </w:t>
      </w:r>
      <w:r>
        <w:t>greater</w:t>
      </w:r>
      <w:r>
        <w:rPr>
          <w:spacing w:val="-2"/>
        </w:rPr>
        <w:t xml:space="preserve"> </w:t>
      </w:r>
      <w:r>
        <w:t>the degree of trauma and thus the release of PF4, the more likely patients went on to develop HIT antibodies and clinical HIT.</w:t>
      </w:r>
    </w:p>
    <w:p w14:paraId="2A36F7D5" w14:textId="77777777" w:rsidR="000940E6" w:rsidRDefault="00B90DF7" w:rsidP="00B90DF7">
      <w:pPr>
        <w:pStyle w:val="BodyText"/>
        <w:spacing w:before="119" w:line="276" w:lineRule="auto"/>
        <w:ind w:right="130"/>
        <w:jc w:val="left"/>
      </w:pPr>
      <w:r>
        <w:t>As soon as type II thrombocytopenia occurs, heparin administration must be discontinued immediately. Emergency treatment depends on the nature and severity of the symptoms. Re- exposure of the patient to parenteral heparin is absolutely contraindicated.</w:t>
      </w:r>
    </w:p>
    <w:p w14:paraId="19CE5CC8" w14:textId="77777777" w:rsidR="000940E6" w:rsidRDefault="00B90DF7" w:rsidP="00B90DF7">
      <w:pPr>
        <w:spacing w:before="121"/>
        <w:ind w:left="120"/>
        <w:rPr>
          <w:i/>
          <w:sz w:val="24"/>
        </w:rPr>
      </w:pPr>
      <w:bookmarkStart w:id="51" w:name="Patients_undergoing_extracorporeal_circu"/>
      <w:bookmarkEnd w:id="51"/>
      <w:r>
        <w:rPr>
          <w:i/>
          <w:sz w:val="24"/>
        </w:rPr>
        <w:t>Patients</w:t>
      </w:r>
      <w:r>
        <w:rPr>
          <w:i/>
          <w:spacing w:val="-4"/>
          <w:sz w:val="24"/>
        </w:rPr>
        <w:t xml:space="preserve"> </w:t>
      </w:r>
      <w:r>
        <w:rPr>
          <w:i/>
          <w:sz w:val="24"/>
        </w:rPr>
        <w:t>undergoing</w:t>
      </w:r>
      <w:r>
        <w:rPr>
          <w:i/>
          <w:spacing w:val="-3"/>
          <w:sz w:val="24"/>
        </w:rPr>
        <w:t xml:space="preserve"> </w:t>
      </w:r>
      <w:r>
        <w:rPr>
          <w:i/>
          <w:sz w:val="24"/>
        </w:rPr>
        <w:t>extracorporeal</w:t>
      </w:r>
      <w:r>
        <w:rPr>
          <w:i/>
          <w:spacing w:val="-3"/>
          <w:sz w:val="24"/>
        </w:rPr>
        <w:t xml:space="preserve"> </w:t>
      </w:r>
      <w:r>
        <w:rPr>
          <w:i/>
          <w:spacing w:val="-2"/>
          <w:sz w:val="24"/>
        </w:rPr>
        <w:t>circulation.</w:t>
      </w:r>
    </w:p>
    <w:p w14:paraId="1CCA1330" w14:textId="77777777" w:rsidR="000940E6" w:rsidRDefault="00B90DF7" w:rsidP="00B90DF7">
      <w:pPr>
        <w:pStyle w:val="BodyText"/>
        <w:spacing w:line="276" w:lineRule="auto"/>
        <w:ind w:right="129"/>
        <w:jc w:val="left"/>
      </w:pPr>
      <w:r>
        <w:t>Principally</w:t>
      </w:r>
      <w:r>
        <w:rPr>
          <w:spacing w:val="-10"/>
        </w:rPr>
        <w:t xml:space="preserve"> </w:t>
      </w:r>
      <w:r>
        <w:t>the</w:t>
      </w:r>
      <w:r>
        <w:rPr>
          <w:spacing w:val="-11"/>
        </w:rPr>
        <w:t xml:space="preserve"> </w:t>
      </w:r>
      <w:r>
        <w:t>same</w:t>
      </w:r>
      <w:r>
        <w:rPr>
          <w:spacing w:val="-11"/>
        </w:rPr>
        <w:t xml:space="preserve"> </w:t>
      </w:r>
      <w:r>
        <w:t>ADRs</w:t>
      </w:r>
      <w:r>
        <w:rPr>
          <w:spacing w:val="-9"/>
        </w:rPr>
        <w:t xml:space="preserve"> </w:t>
      </w:r>
      <w:r>
        <w:t>that</w:t>
      </w:r>
      <w:r>
        <w:rPr>
          <w:spacing w:val="-9"/>
        </w:rPr>
        <w:t xml:space="preserve"> </w:t>
      </w:r>
      <w:r>
        <w:t>occur</w:t>
      </w:r>
      <w:r>
        <w:rPr>
          <w:spacing w:val="-10"/>
        </w:rPr>
        <w:t xml:space="preserve"> </w:t>
      </w:r>
      <w:r>
        <w:t>in</w:t>
      </w:r>
      <w:r>
        <w:rPr>
          <w:spacing w:val="-10"/>
        </w:rPr>
        <w:t xml:space="preserve"> </w:t>
      </w:r>
      <w:r>
        <w:t>other</w:t>
      </w:r>
      <w:r>
        <w:rPr>
          <w:spacing w:val="-10"/>
        </w:rPr>
        <w:t xml:space="preserve"> </w:t>
      </w:r>
      <w:r>
        <w:t>patients</w:t>
      </w:r>
      <w:r>
        <w:rPr>
          <w:spacing w:val="-9"/>
        </w:rPr>
        <w:t xml:space="preserve"> </w:t>
      </w:r>
      <w:r>
        <w:t>might</w:t>
      </w:r>
      <w:r>
        <w:rPr>
          <w:spacing w:val="-9"/>
        </w:rPr>
        <w:t xml:space="preserve"> </w:t>
      </w:r>
      <w:r>
        <w:t>occur.</w:t>
      </w:r>
      <w:r>
        <w:rPr>
          <w:spacing w:val="-10"/>
        </w:rPr>
        <w:t xml:space="preserve"> </w:t>
      </w:r>
      <w:r>
        <w:t>Haemodialysis</w:t>
      </w:r>
      <w:r>
        <w:rPr>
          <w:spacing w:val="-9"/>
        </w:rPr>
        <w:t xml:space="preserve"> </w:t>
      </w:r>
      <w:r>
        <w:t>patients</w:t>
      </w:r>
      <w:r>
        <w:rPr>
          <w:spacing w:val="-9"/>
        </w:rPr>
        <w:t xml:space="preserve"> </w:t>
      </w:r>
      <w:r>
        <w:t>might be at an increased risk for developing anaphylactic or anaphylactoid reactions.</w:t>
      </w:r>
    </w:p>
    <w:p w14:paraId="0F4EEA90" w14:textId="77777777" w:rsidR="000940E6" w:rsidRDefault="00B90DF7" w:rsidP="00B90DF7">
      <w:pPr>
        <w:pStyle w:val="Heading2"/>
        <w:spacing w:before="200"/>
      </w:pPr>
      <w:bookmarkStart w:id="52" w:name="Reporting_suspected_adverse_effects"/>
      <w:bookmarkEnd w:id="52"/>
      <w:r>
        <w:t>Reporting</w:t>
      </w:r>
      <w:r>
        <w:rPr>
          <w:spacing w:val="-4"/>
        </w:rPr>
        <w:t xml:space="preserve"> </w:t>
      </w:r>
      <w:r>
        <w:t>suspected</w:t>
      </w:r>
      <w:r>
        <w:rPr>
          <w:spacing w:val="-3"/>
        </w:rPr>
        <w:t xml:space="preserve"> </w:t>
      </w:r>
      <w:r>
        <w:t>adverse</w:t>
      </w:r>
      <w:r>
        <w:rPr>
          <w:spacing w:val="-4"/>
        </w:rPr>
        <w:t xml:space="preserve"> </w:t>
      </w:r>
      <w:r>
        <w:rPr>
          <w:spacing w:val="-2"/>
        </w:rPr>
        <w:t>effects</w:t>
      </w:r>
    </w:p>
    <w:p w14:paraId="61894CC9" w14:textId="77777777" w:rsidR="000940E6" w:rsidRDefault="00B90DF7" w:rsidP="00B90DF7">
      <w:pPr>
        <w:pStyle w:val="BodyText"/>
        <w:spacing w:line="276" w:lineRule="auto"/>
        <w:ind w:right="131"/>
        <w:jc w:val="left"/>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r>
          <w:rPr>
            <w:color w:val="0000FF"/>
            <w:u w:val="single" w:color="0000FF"/>
          </w:rPr>
          <w:t>www.tga.gov.au/reporting-</w:t>
        </w:r>
      </w:hyperlink>
      <w:r>
        <w:rPr>
          <w:color w:val="0000FF"/>
        </w:rPr>
        <w:t xml:space="preserve"> </w:t>
      </w:r>
      <w:hyperlink r:id="rId10">
        <w:r>
          <w:rPr>
            <w:color w:val="0000FF"/>
            <w:spacing w:val="-2"/>
            <w:u w:val="single" w:color="0000FF"/>
          </w:rPr>
          <w:t>problems</w:t>
        </w:r>
        <w:r>
          <w:rPr>
            <w:spacing w:val="-2"/>
          </w:rPr>
          <w:t>.</w:t>
        </w:r>
      </w:hyperlink>
    </w:p>
    <w:p w14:paraId="6B5396E1" w14:textId="77777777" w:rsidR="000940E6" w:rsidRDefault="000940E6" w:rsidP="00B90DF7">
      <w:pPr>
        <w:spacing w:line="276" w:lineRule="auto"/>
        <w:sectPr w:rsidR="000940E6">
          <w:type w:val="continuous"/>
          <w:pgSz w:w="11910" w:h="16840"/>
          <w:pgMar w:top="1400" w:right="1000" w:bottom="1420" w:left="1320" w:header="0" w:footer="1228" w:gutter="0"/>
          <w:cols w:space="720"/>
        </w:sectPr>
      </w:pPr>
    </w:p>
    <w:p w14:paraId="00D02A1B" w14:textId="77777777" w:rsidR="000940E6" w:rsidRDefault="00B90DF7" w:rsidP="00B90DF7">
      <w:pPr>
        <w:pStyle w:val="Heading2"/>
        <w:numPr>
          <w:ilvl w:val="1"/>
          <w:numId w:val="1"/>
        </w:numPr>
        <w:tabs>
          <w:tab w:val="left" w:pos="695"/>
        </w:tabs>
        <w:spacing w:before="63"/>
        <w:ind w:left="695"/>
      </w:pPr>
      <w:bookmarkStart w:id="53" w:name="4.9_Overdose"/>
      <w:bookmarkEnd w:id="53"/>
      <w:r>
        <w:rPr>
          <w:smallCaps/>
          <w:spacing w:val="-2"/>
        </w:rPr>
        <w:lastRenderedPageBreak/>
        <w:t>Overdose</w:t>
      </w:r>
    </w:p>
    <w:p w14:paraId="4CEC04BB" w14:textId="77777777" w:rsidR="000940E6" w:rsidRDefault="000940E6" w:rsidP="00B90DF7">
      <w:pPr>
        <w:pStyle w:val="BodyText"/>
        <w:spacing w:before="21"/>
        <w:ind w:left="0"/>
        <w:jc w:val="left"/>
        <w:rPr>
          <w:b/>
          <w:sz w:val="19"/>
        </w:rPr>
      </w:pPr>
    </w:p>
    <w:p w14:paraId="157E593F" w14:textId="77777777" w:rsidR="000940E6" w:rsidRDefault="00B90DF7" w:rsidP="00B90DF7">
      <w:pPr>
        <w:ind w:left="120"/>
        <w:rPr>
          <w:b/>
          <w:sz w:val="24"/>
        </w:rPr>
      </w:pPr>
      <w:bookmarkStart w:id="54" w:name="Symptoms"/>
      <w:bookmarkEnd w:id="54"/>
      <w:r>
        <w:rPr>
          <w:b/>
          <w:spacing w:val="-2"/>
          <w:sz w:val="24"/>
        </w:rPr>
        <w:t>Symptoms</w:t>
      </w:r>
    </w:p>
    <w:p w14:paraId="2B3286A0" w14:textId="77777777" w:rsidR="000940E6" w:rsidRDefault="00B90DF7" w:rsidP="00B90DF7">
      <w:pPr>
        <w:pStyle w:val="BodyText"/>
        <w:spacing w:line="276" w:lineRule="auto"/>
        <w:ind w:left="119" w:right="130"/>
        <w:jc w:val="left"/>
      </w:pPr>
      <w:r>
        <w:t>The main complication associated with heparin overdose is over-anticoagulation and haemorrhage. Examples of types of bleeding observed in patients receiving heparin sodium following</w:t>
      </w:r>
      <w:r>
        <w:rPr>
          <w:spacing w:val="-9"/>
        </w:rPr>
        <w:t xml:space="preserve"> </w:t>
      </w:r>
      <w:r>
        <w:t>subcutaneous</w:t>
      </w:r>
      <w:r>
        <w:rPr>
          <w:spacing w:val="-9"/>
        </w:rPr>
        <w:t xml:space="preserve"> </w:t>
      </w:r>
      <w:r>
        <w:t>administration</w:t>
      </w:r>
      <w:r>
        <w:rPr>
          <w:spacing w:val="-9"/>
        </w:rPr>
        <w:t xml:space="preserve"> </w:t>
      </w:r>
      <w:r>
        <w:t>include</w:t>
      </w:r>
      <w:r>
        <w:rPr>
          <w:spacing w:val="-10"/>
        </w:rPr>
        <w:t xml:space="preserve"> </w:t>
      </w:r>
      <w:r>
        <w:t>melanemia,</w:t>
      </w:r>
      <w:r>
        <w:rPr>
          <w:spacing w:val="-9"/>
        </w:rPr>
        <w:t xml:space="preserve"> </w:t>
      </w:r>
      <w:r>
        <w:t>haematoma,</w:t>
      </w:r>
      <w:r>
        <w:rPr>
          <w:spacing w:val="-9"/>
        </w:rPr>
        <w:t xml:space="preserve"> </w:t>
      </w:r>
      <w:r>
        <w:t>haematuria,</w:t>
      </w:r>
      <w:r>
        <w:rPr>
          <w:spacing w:val="-9"/>
        </w:rPr>
        <w:t xml:space="preserve"> </w:t>
      </w:r>
      <w:r>
        <w:t xml:space="preserve">ecchymoses, epistaxis, haematemesis, intracranial haemorrhages, pulmonary haemorrhage and other </w:t>
      </w:r>
      <w:r>
        <w:rPr>
          <w:spacing w:val="-2"/>
        </w:rPr>
        <w:t>haemorrhage.</w:t>
      </w:r>
    </w:p>
    <w:p w14:paraId="4C637F91" w14:textId="77777777" w:rsidR="000940E6" w:rsidRDefault="00B90DF7" w:rsidP="00B90DF7">
      <w:pPr>
        <w:pStyle w:val="Heading2"/>
        <w:spacing w:before="201"/>
        <w:ind w:left="119"/>
      </w:pPr>
      <w:bookmarkStart w:id="55" w:name="Treatment"/>
      <w:bookmarkEnd w:id="55"/>
      <w:r>
        <w:rPr>
          <w:spacing w:val="-2"/>
        </w:rPr>
        <w:t>Treatment</w:t>
      </w:r>
    </w:p>
    <w:p w14:paraId="2021B68B" w14:textId="77777777" w:rsidR="000940E6" w:rsidRDefault="00B90DF7" w:rsidP="00B90DF7">
      <w:pPr>
        <w:pStyle w:val="BodyText"/>
        <w:jc w:val="left"/>
      </w:pPr>
      <w:bookmarkStart w:id="56" w:name="Mild_symptoms"/>
      <w:bookmarkEnd w:id="56"/>
      <w:r>
        <w:rPr>
          <w:u w:val="single"/>
        </w:rPr>
        <w:t xml:space="preserve">Mild </w:t>
      </w:r>
      <w:r>
        <w:rPr>
          <w:spacing w:val="-2"/>
          <w:u w:val="single"/>
        </w:rPr>
        <w:t>symptoms</w:t>
      </w:r>
    </w:p>
    <w:p w14:paraId="4864B64E" w14:textId="77777777" w:rsidR="000940E6" w:rsidRDefault="00B90DF7" w:rsidP="00B90DF7">
      <w:pPr>
        <w:pStyle w:val="BodyText"/>
        <w:spacing w:line="379" w:lineRule="auto"/>
        <w:ind w:right="1142"/>
        <w:jc w:val="left"/>
      </w:pPr>
      <w:r>
        <w:t>Slight</w:t>
      </w:r>
      <w:r>
        <w:rPr>
          <w:spacing w:val="-3"/>
        </w:rPr>
        <w:t xml:space="preserve"> </w:t>
      </w:r>
      <w:r>
        <w:t>haemorrhage</w:t>
      </w:r>
      <w:r>
        <w:rPr>
          <w:spacing w:val="-4"/>
        </w:rPr>
        <w:t xml:space="preserve"> </w:t>
      </w:r>
      <w:r>
        <w:t>due</w:t>
      </w:r>
      <w:r>
        <w:rPr>
          <w:spacing w:val="-4"/>
        </w:rPr>
        <w:t xml:space="preserve"> </w:t>
      </w:r>
      <w:r>
        <w:t>to</w:t>
      </w:r>
      <w:r>
        <w:rPr>
          <w:spacing w:val="-3"/>
        </w:rPr>
        <w:t xml:space="preserve"> </w:t>
      </w:r>
      <w:r>
        <w:t>overdosage</w:t>
      </w:r>
      <w:r>
        <w:rPr>
          <w:spacing w:val="-2"/>
        </w:rPr>
        <w:t xml:space="preserve"> </w:t>
      </w:r>
      <w:r>
        <w:t>can</w:t>
      </w:r>
      <w:r>
        <w:rPr>
          <w:spacing w:val="-3"/>
        </w:rPr>
        <w:t xml:space="preserve"> </w:t>
      </w:r>
      <w:r>
        <w:t>usually</w:t>
      </w:r>
      <w:r>
        <w:rPr>
          <w:spacing w:val="-3"/>
        </w:rPr>
        <w:t xml:space="preserve"> </w:t>
      </w:r>
      <w:r>
        <w:t>be</w:t>
      </w:r>
      <w:r>
        <w:rPr>
          <w:spacing w:val="-4"/>
        </w:rPr>
        <w:t xml:space="preserve"> </w:t>
      </w:r>
      <w:r>
        <w:t>treated</w:t>
      </w:r>
      <w:r>
        <w:rPr>
          <w:spacing w:val="-3"/>
        </w:rPr>
        <w:t xml:space="preserve"> </w:t>
      </w:r>
      <w:r>
        <w:t>by</w:t>
      </w:r>
      <w:r>
        <w:rPr>
          <w:spacing w:val="-2"/>
        </w:rPr>
        <w:t xml:space="preserve"> </w:t>
      </w:r>
      <w:r>
        <w:t>withdrawing</w:t>
      </w:r>
      <w:r>
        <w:rPr>
          <w:spacing w:val="-3"/>
        </w:rPr>
        <w:t xml:space="preserve"> </w:t>
      </w:r>
      <w:r>
        <w:t>the</w:t>
      </w:r>
      <w:r>
        <w:rPr>
          <w:spacing w:val="-4"/>
        </w:rPr>
        <w:t xml:space="preserve"> </w:t>
      </w:r>
      <w:r>
        <w:t xml:space="preserve">drug. </w:t>
      </w:r>
      <w:bookmarkStart w:id="57" w:name="Severe_symptoms"/>
      <w:bookmarkEnd w:id="57"/>
      <w:r>
        <w:rPr>
          <w:u w:val="single"/>
        </w:rPr>
        <w:t>Severe symptoms</w:t>
      </w:r>
    </w:p>
    <w:p w14:paraId="5AB2B6EF" w14:textId="77777777" w:rsidR="000940E6" w:rsidRDefault="00B90DF7" w:rsidP="00B90DF7">
      <w:pPr>
        <w:pStyle w:val="BodyText"/>
        <w:spacing w:before="1" w:line="276" w:lineRule="auto"/>
        <w:ind w:right="128"/>
        <w:jc w:val="left"/>
      </w:pPr>
      <w:r>
        <w:t>Severe</w:t>
      </w:r>
      <w:r>
        <w:rPr>
          <w:spacing w:val="-4"/>
        </w:rPr>
        <w:t xml:space="preserve"> </w:t>
      </w:r>
      <w:r>
        <w:t>bleeding</w:t>
      </w:r>
      <w:r>
        <w:rPr>
          <w:spacing w:val="-3"/>
        </w:rPr>
        <w:t xml:space="preserve"> </w:t>
      </w:r>
      <w:r>
        <w:t>may</w:t>
      </w:r>
      <w:r>
        <w:rPr>
          <w:spacing w:val="-3"/>
        </w:rPr>
        <w:t xml:space="preserve"> </w:t>
      </w:r>
      <w:r>
        <w:t>be</w:t>
      </w:r>
      <w:r>
        <w:rPr>
          <w:spacing w:val="-4"/>
        </w:rPr>
        <w:t xml:space="preserve"> </w:t>
      </w:r>
      <w:r>
        <w:t>reduced</w:t>
      </w:r>
      <w:r>
        <w:rPr>
          <w:spacing w:val="-3"/>
        </w:rPr>
        <w:t xml:space="preserve"> </w:t>
      </w:r>
      <w:r>
        <w:t>by</w:t>
      </w:r>
      <w:r>
        <w:rPr>
          <w:spacing w:val="-3"/>
        </w:rPr>
        <w:t xml:space="preserve"> </w:t>
      </w:r>
      <w:r>
        <w:t>the</w:t>
      </w:r>
      <w:r>
        <w:rPr>
          <w:spacing w:val="-4"/>
        </w:rPr>
        <w:t xml:space="preserve"> </w:t>
      </w:r>
      <w:r>
        <w:t>administration</w:t>
      </w:r>
      <w:r>
        <w:rPr>
          <w:spacing w:val="-3"/>
        </w:rPr>
        <w:t xml:space="preserve"> </w:t>
      </w:r>
      <w:r>
        <w:t>of</w:t>
      </w:r>
      <w:r>
        <w:rPr>
          <w:spacing w:val="-4"/>
        </w:rPr>
        <w:t xml:space="preserve"> </w:t>
      </w:r>
      <w:r>
        <w:t>protamine</w:t>
      </w:r>
      <w:r>
        <w:rPr>
          <w:spacing w:val="-4"/>
        </w:rPr>
        <w:t xml:space="preserve"> </w:t>
      </w:r>
      <w:r>
        <w:t>sulphate.</w:t>
      </w:r>
      <w:r>
        <w:rPr>
          <w:spacing w:val="-3"/>
        </w:rPr>
        <w:t xml:space="preserve"> </w:t>
      </w:r>
      <w:r>
        <w:t>Protamine</w:t>
      </w:r>
      <w:r>
        <w:rPr>
          <w:spacing w:val="-4"/>
        </w:rPr>
        <w:t xml:space="preserve"> </w:t>
      </w:r>
      <w:r>
        <w:t>sulphate should be administered intravenously. To avoid circulatory side effects, the injection should be given slowly over a period of about 10 minutes. Not more than 50 milligrams should be given at any one</w:t>
      </w:r>
      <w:r>
        <w:rPr>
          <w:spacing w:val="-1"/>
        </w:rPr>
        <w:t xml:space="preserve"> </w:t>
      </w:r>
      <w:r>
        <w:t>time. The</w:t>
      </w:r>
      <w:r>
        <w:rPr>
          <w:spacing w:val="-1"/>
        </w:rPr>
        <w:t xml:space="preserve"> </w:t>
      </w:r>
      <w:r>
        <w:t>dose</w:t>
      </w:r>
      <w:r>
        <w:rPr>
          <w:spacing w:val="-1"/>
        </w:rPr>
        <w:t xml:space="preserve"> </w:t>
      </w:r>
      <w:r>
        <w:t>of</w:t>
      </w:r>
      <w:r>
        <w:rPr>
          <w:spacing w:val="-1"/>
        </w:rPr>
        <w:t xml:space="preserve"> </w:t>
      </w:r>
      <w:r>
        <w:t>protamine</w:t>
      </w:r>
      <w:r>
        <w:rPr>
          <w:spacing w:val="-1"/>
        </w:rPr>
        <w:t xml:space="preserve"> </w:t>
      </w:r>
      <w:r>
        <w:t>sulphate</w:t>
      </w:r>
      <w:r>
        <w:rPr>
          <w:spacing w:val="-1"/>
        </w:rPr>
        <w:t xml:space="preserve"> </w:t>
      </w:r>
      <w:r>
        <w:t>required is governed by the</w:t>
      </w:r>
      <w:r>
        <w:rPr>
          <w:spacing w:val="-3"/>
        </w:rPr>
        <w:t xml:space="preserve"> </w:t>
      </w:r>
      <w:r>
        <w:t>amount of</w:t>
      </w:r>
      <w:r>
        <w:rPr>
          <w:spacing w:val="-1"/>
        </w:rPr>
        <w:t xml:space="preserve"> </w:t>
      </w:r>
      <w:r>
        <w:t>heparin that has to be neutralised; approximately 1 milligram of protamine sulphate neutralises 100 units of heparin (mucous) that has been injected in the previous 15 minutes. Since heparin is being continuously</w:t>
      </w:r>
      <w:r>
        <w:rPr>
          <w:spacing w:val="-13"/>
        </w:rPr>
        <w:t xml:space="preserve"> </w:t>
      </w:r>
      <w:r>
        <w:t>excreted,</w:t>
      </w:r>
      <w:r>
        <w:rPr>
          <w:spacing w:val="-13"/>
        </w:rPr>
        <w:t xml:space="preserve"> </w:t>
      </w:r>
      <w:r>
        <w:t>the</w:t>
      </w:r>
      <w:r>
        <w:rPr>
          <w:spacing w:val="-14"/>
        </w:rPr>
        <w:t xml:space="preserve"> </w:t>
      </w:r>
      <w:r>
        <w:t>d</w:t>
      </w:r>
      <w:r>
        <w:t>ose</w:t>
      </w:r>
      <w:r>
        <w:rPr>
          <w:spacing w:val="-14"/>
        </w:rPr>
        <w:t xml:space="preserve"> </w:t>
      </w:r>
      <w:r>
        <w:t>should</w:t>
      </w:r>
      <w:r>
        <w:rPr>
          <w:spacing w:val="-13"/>
        </w:rPr>
        <w:t xml:space="preserve"> </w:t>
      </w:r>
      <w:r>
        <w:t>be</w:t>
      </w:r>
      <w:r>
        <w:rPr>
          <w:spacing w:val="-14"/>
        </w:rPr>
        <w:t xml:space="preserve"> </w:t>
      </w:r>
      <w:r>
        <w:t>reduced</w:t>
      </w:r>
      <w:r>
        <w:rPr>
          <w:spacing w:val="-11"/>
        </w:rPr>
        <w:t xml:space="preserve"> </w:t>
      </w:r>
      <w:r>
        <w:t>as</w:t>
      </w:r>
      <w:r>
        <w:rPr>
          <w:spacing w:val="-13"/>
        </w:rPr>
        <w:t xml:space="preserve"> </w:t>
      </w:r>
      <w:r>
        <w:t>more</w:t>
      </w:r>
      <w:r>
        <w:rPr>
          <w:spacing w:val="-14"/>
        </w:rPr>
        <w:t xml:space="preserve"> </w:t>
      </w:r>
      <w:r>
        <w:t>time</w:t>
      </w:r>
      <w:r>
        <w:rPr>
          <w:spacing w:val="-14"/>
        </w:rPr>
        <w:t xml:space="preserve"> </w:t>
      </w:r>
      <w:r>
        <w:t>elapses</w:t>
      </w:r>
      <w:r>
        <w:rPr>
          <w:spacing w:val="-13"/>
        </w:rPr>
        <w:t xml:space="preserve"> </w:t>
      </w:r>
      <w:r>
        <w:t>after</w:t>
      </w:r>
      <w:r>
        <w:rPr>
          <w:spacing w:val="-11"/>
        </w:rPr>
        <w:t xml:space="preserve"> </w:t>
      </w:r>
      <w:r>
        <w:t>the</w:t>
      </w:r>
      <w:r>
        <w:rPr>
          <w:spacing w:val="-14"/>
        </w:rPr>
        <w:t xml:space="preserve"> </w:t>
      </w:r>
      <w:r>
        <w:t>heparin</w:t>
      </w:r>
      <w:r>
        <w:rPr>
          <w:spacing w:val="-13"/>
        </w:rPr>
        <w:t xml:space="preserve"> </w:t>
      </w:r>
      <w:r>
        <w:t>injection. Ideally, the dose of protamine sulphate required should be accurately determined by titration methods as the antagonist itself, in gross excess, acts as an anticoagulant.</w:t>
      </w:r>
    </w:p>
    <w:p w14:paraId="1520DE8C" w14:textId="77777777" w:rsidR="000940E6" w:rsidRDefault="00B90DF7" w:rsidP="00B90DF7">
      <w:pPr>
        <w:pStyle w:val="BodyText"/>
        <w:spacing w:before="120" w:line="278" w:lineRule="auto"/>
        <w:ind w:right="130"/>
        <w:jc w:val="left"/>
      </w:pPr>
      <w:r>
        <w:t>For information on the management of overdose, contact the Poisons Information Centre on 131126 (Australia).</w:t>
      </w:r>
    </w:p>
    <w:p w14:paraId="29064DAB" w14:textId="77777777" w:rsidR="000940E6" w:rsidRDefault="00B90DF7" w:rsidP="00B90DF7">
      <w:pPr>
        <w:pStyle w:val="Heading1"/>
        <w:numPr>
          <w:ilvl w:val="0"/>
          <w:numId w:val="1"/>
        </w:numPr>
        <w:tabs>
          <w:tab w:val="left" w:pos="552"/>
        </w:tabs>
        <w:spacing w:before="237"/>
        <w:ind w:hanging="432"/>
      </w:pPr>
      <w:bookmarkStart w:id="58" w:name="5_Pharmacological_properties"/>
      <w:bookmarkEnd w:id="58"/>
      <w:r>
        <w:t>PHARMACOLOGICAL</w:t>
      </w:r>
      <w:r>
        <w:rPr>
          <w:spacing w:val="-13"/>
        </w:rPr>
        <w:t xml:space="preserve"> </w:t>
      </w:r>
      <w:r>
        <w:rPr>
          <w:spacing w:val="-2"/>
        </w:rPr>
        <w:t>PROPERTIES</w:t>
      </w:r>
    </w:p>
    <w:p w14:paraId="71DE646C" w14:textId="77777777" w:rsidR="000940E6" w:rsidRDefault="00B90DF7" w:rsidP="00B90DF7">
      <w:pPr>
        <w:pStyle w:val="Heading2"/>
        <w:numPr>
          <w:ilvl w:val="1"/>
          <w:numId w:val="1"/>
        </w:numPr>
        <w:tabs>
          <w:tab w:val="left" w:pos="695"/>
        </w:tabs>
        <w:spacing w:before="248"/>
        <w:ind w:left="695" w:hanging="575"/>
      </w:pPr>
      <w:bookmarkStart w:id="59" w:name="5.1_Pharmacodynamic_properties"/>
      <w:bookmarkEnd w:id="59"/>
      <w:r>
        <w:rPr>
          <w:smallCaps/>
          <w:spacing w:val="-2"/>
        </w:rPr>
        <w:t>Pharmacodynamic</w:t>
      </w:r>
      <w:r>
        <w:rPr>
          <w:smallCaps/>
          <w:spacing w:val="2"/>
        </w:rPr>
        <w:t xml:space="preserve"> </w:t>
      </w:r>
      <w:r>
        <w:rPr>
          <w:smallCaps/>
          <w:spacing w:val="-2"/>
        </w:rPr>
        <w:t>properties</w:t>
      </w:r>
    </w:p>
    <w:p w14:paraId="7BBF7220" w14:textId="77777777" w:rsidR="000940E6" w:rsidRDefault="00B90DF7" w:rsidP="00B90DF7">
      <w:pPr>
        <w:pStyle w:val="BodyText"/>
        <w:jc w:val="left"/>
      </w:pPr>
      <w:r>
        <w:t>Anti-thrombotic</w:t>
      </w:r>
      <w:r>
        <w:rPr>
          <w:spacing w:val="-3"/>
        </w:rPr>
        <w:t xml:space="preserve"> </w:t>
      </w:r>
      <w:r>
        <w:t>agents,</w:t>
      </w:r>
      <w:r>
        <w:rPr>
          <w:spacing w:val="-2"/>
        </w:rPr>
        <w:t xml:space="preserve"> </w:t>
      </w:r>
      <w:r>
        <w:t>heparin</w:t>
      </w:r>
      <w:r>
        <w:rPr>
          <w:spacing w:val="-2"/>
        </w:rPr>
        <w:t xml:space="preserve"> </w:t>
      </w:r>
      <w:r>
        <w:t>group,</w:t>
      </w:r>
      <w:r>
        <w:rPr>
          <w:spacing w:val="-1"/>
        </w:rPr>
        <w:t xml:space="preserve"> </w:t>
      </w:r>
      <w:r>
        <w:t>ATC</w:t>
      </w:r>
      <w:r>
        <w:rPr>
          <w:spacing w:val="-2"/>
        </w:rPr>
        <w:t xml:space="preserve"> </w:t>
      </w:r>
      <w:r>
        <w:t>code</w:t>
      </w:r>
      <w:r>
        <w:rPr>
          <w:spacing w:val="-1"/>
        </w:rPr>
        <w:t xml:space="preserve"> </w:t>
      </w:r>
      <w:r>
        <w:t>B01A</w:t>
      </w:r>
      <w:r>
        <w:rPr>
          <w:spacing w:val="-2"/>
        </w:rPr>
        <w:t xml:space="preserve"> </w:t>
      </w:r>
      <w:r>
        <w:rPr>
          <w:spacing w:val="-4"/>
        </w:rPr>
        <w:t>B01.</w:t>
      </w:r>
    </w:p>
    <w:p w14:paraId="7A8A2F3B" w14:textId="77777777" w:rsidR="000940E6" w:rsidRDefault="00B90DF7" w:rsidP="00B90DF7">
      <w:pPr>
        <w:pStyle w:val="Heading2"/>
        <w:spacing w:before="242"/>
      </w:pPr>
      <w:bookmarkStart w:id="60" w:name="Mechanism_of_action"/>
      <w:bookmarkEnd w:id="60"/>
      <w:r>
        <w:t>Mechanism</w:t>
      </w:r>
      <w:r>
        <w:rPr>
          <w:spacing w:val="-3"/>
        </w:rPr>
        <w:t xml:space="preserve"> </w:t>
      </w:r>
      <w:r>
        <w:t>of</w:t>
      </w:r>
      <w:r>
        <w:rPr>
          <w:spacing w:val="-2"/>
        </w:rPr>
        <w:t xml:space="preserve"> action</w:t>
      </w:r>
    </w:p>
    <w:p w14:paraId="2242E325" w14:textId="77777777" w:rsidR="000940E6" w:rsidRDefault="00B90DF7" w:rsidP="00B90DF7">
      <w:pPr>
        <w:pStyle w:val="BodyText"/>
        <w:spacing w:line="276" w:lineRule="auto"/>
        <w:ind w:right="130"/>
        <w:jc w:val="left"/>
      </w:pPr>
      <w:r>
        <w:t>Heparin is a naturally occurring mucopolysaccharide which inhibits</w:t>
      </w:r>
      <w:r>
        <w:rPr>
          <w:spacing w:val="-1"/>
        </w:rPr>
        <w:t xml:space="preserve"> </w:t>
      </w:r>
      <w:r>
        <w:t>the clotting of blood</w:t>
      </w:r>
      <w:r>
        <w:rPr>
          <w:spacing w:val="-1"/>
        </w:rPr>
        <w:t xml:space="preserve"> </w:t>
      </w:r>
      <w:r>
        <w:rPr>
          <w:i/>
        </w:rPr>
        <w:t xml:space="preserve">in vitro </w:t>
      </w:r>
      <w:r>
        <w:t>and</w:t>
      </w:r>
      <w:r>
        <w:rPr>
          <w:spacing w:val="-13"/>
        </w:rPr>
        <w:t xml:space="preserve"> </w:t>
      </w:r>
      <w:r>
        <w:rPr>
          <w:i/>
        </w:rPr>
        <w:t>in</w:t>
      </w:r>
      <w:r>
        <w:rPr>
          <w:i/>
          <w:spacing w:val="-13"/>
        </w:rPr>
        <w:t xml:space="preserve"> </w:t>
      </w:r>
      <w:r>
        <w:rPr>
          <w:i/>
        </w:rPr>
        <w:t>vivo</w:t>
      </w:r>
      <w:r>
        <w:t>.</w:t>
      </w:r>
      <w:r>
        <w:rPr>
          <w:spacing w:val="-13"/>
        </w:rPr>
        <w:t xml:space="preserve"> </w:t>
      </w:r>
      <w:r>
        <w:t>It</w:t>
      </w:r>
      <w:r>
        <w:rPr>
          <w:spacing w:val="-13"/>
        </w:rPr>
        <w:t xml:space="preserve"> </w:t>
      </w:r>
      <w:r>
        <w:t>enhances</w:t>
      </w:r>
      <w:r>
        <w:rPr>
          <w:spacing w:val="-13"/>
        </w:rPr>
        <w:t xml:space="preserve"> </w:t>
      </w:r>
      <w:r>
        <w:t>the</w:t>
      </w:r>
      <w:r>
        <w:rPr>
          <w:spacing w:val="-14"/>
        </w:rPr>
        <w:t xml:space="preserve"> </w:t>
      </w:r>
      <w:r>
        <w:t>rate</w:t>
      </w:r>
      <w:r>
        <w:rPr>
          <w:spacing w:val="-14"/>
        </w:rPr>
        <w:t xml:space="preserve"> </w:t>
      </w:r>
      <w:r>
        <w:t>at</w:t>
      </w:r>
      <w:r>
        <w:rPr>
          <w:spacing w:val="-13"/>
        </w:rPr>
        <w:t xml:space="preserve"> </w:t>
      </w:r>
      <w:r>
        <w:t>which</w:t>
      </w:r>
      <w:r>
        <w:rPr>
          <w:spacing w:val="-13"/>
        </w:rPr>
        <w:t xml:space="preserve"> </w:t>
      </w:r>
      <w:r>
        <w:t>antithrombin</w:t>
      </w:r>
      <w:r>
        <w:rPr>
          <w:spacing w:val="-13"/>
        </w:rPr>
        <w:t xml:space="preserve"> </w:t>
      </w:r>
      <w:r>
        <w:t>III</w:t>
      </w:r>
      <w:r>
        <w:rPr>
          <w:spacing w:val="-15"/>
        </w:rPr>
        <w:t xml:space="preserve"> </w:t>
      </w:r>
      <w:r>
        <w:t>neutralises</w:t>
      </w:r>
      <w:r>
        <w:rPr>
          <w:spacing w:val="-13"/>
        </w:rPr>
        <w:t xml:space="preserve"> </w:t>
      </w:r>
      <w:r>
        <w:t>thrombin</w:t>
      </w:r>
      <w:r>
        <w:rPr>
          <w:spacing w:val="-13"/>
        </w:rPr>
        <w:t xml:space="preserve"> </w:t>
      </w:r>
      <w:r>
        <w:t>and</w:t>
      </w:r>
      <w:r>
        <w:rPr>
          <w:spacing w:val="-13"/>
        </w:rPr>
        <w:t xml:space="preserve"> </w:t>
      </w:r>
      <w:r>
        <w:t>activated</w:t>
      </w:r>
      <w:r>
        <w:rPr>
          <w:spacing w:val="-13"/>
        </w:rPr>
        <w:t xml:space="preserve"> </w:t>
      </w:r>
      <w:r>
        <w:t>factor X (Xa). Antithrombin III also neutralises other activated coagulation factors, e.g. factors IX, XI, XII and plasmin.</w:t>
      </w:r>
    </w:p>
    <w:p w14:paraId="7B10CDE4" w14:textId="77777777" w:rsidR="000940E6" w:rsidRDefault="00B90DF7" w:rsidP="00B90DF7">
      <w:pPr>
        <w:pStyle w:val="BodyText"/>
        <w:spacing w:before="120" w:line="276" w:lineRule="auto"/>
        <w:ind w:right="129"/>
        <w:jc w:val="left"/>
      </w:pPr>
      <w:r>
        <w:t>With</w:t>
      </w:r>
      <w:r>
        <w:rPr>
          <w:spacing w:val="-3"/>
        </w:rPr>
        <w:t xml:space="preserve"> </w:t>
      </w:r>
      <w:r>
        <w:t>low</w:t>
      </w:r>
      <w:r>
        <w:rPr>
          <w:spacing w:val="-4"/>
        </w:rPr>
        <w:t xml:space="preserve"> </w:t>
      </w:r>
      <w:r>
        <w:t>dose</w:t>
      </w:r>
      <w:r>
        <w:rPr>
          <w:spacing w:val="-4"/>
        </w:rPr>
        <w:t xml:space="preserve"> </w:t>
      </w:r>
      <w:r>
        <w:t>heparin</w:t>
      </w:r>
      <w:r>
        <w:rPr>
          <w:spacing w:val="-3"/>
        </w:rPr>
        <w:t xml:space="preserve"> </w:t>
      </w:r>
      <w:r>
        <w:t>therapy,</w:t>
      </w:r>
      <w:r>
        <w:rPr>
          <w:spacing w:val="-1"/>
        </w:rPr>
        <w:t xml:space="preserve"> </w:t>
      </w:r>
      <w:r>
        <w:t>anticoagulation</w:t>
      </w:r>
      <w:r>
        <w:rPr>
          <w:spacing w:val="-3"/>
        </w:rPr>
        <w:t xml:space="preserve"> </w:t>
      </w:r>
      <w:r>
        <w:t>appears</w:t>
      </w:r>
      <w:r>
        <w:rPr>
          <w:spacing w:val="-3"/>
        </w:rPr>
        <w:t xml:space="preserve"> </w:t>
      </w:r>
      <w:r>
        <w:t>to</w:t>
      </w:r>
      <w:r>
        <w:rPr>
          <w:spacing w:val="-3"/>
        </w:rPr>
        <w:t xml:space="preserve"> </w:t>
      </w:r>
      <w:r>
        <w:t>result</w:t>
      </w:r>
      <w:r>
        <w:rPr>
          <w:spacing w:val="-3"/>
        </w:rPr>
        <w:t xml:space="preserve"> </w:t>
      </w:r>
      <w:r>
        <w:t>from</w:t>
      </w:r>
      <w:r>
        <w:rPr>
          <w:spacing w:val="-3"/>
        </w:rPr>
        <w:t xml:space="preserve"> </w:t>
      </w:r>
      <w:r>
        <w:t>neutralisation</w:t>
      </w:r>
      <w:r>
        <w:rPr>
          <w:spacing w:val="-3"/>
        </w:rPr>
        <w:t xml:space="preserve"> </w:t>
      </w:r>
      <w:r>
        <w:t>of</w:t>
      </w:r>
      <w:r>
        <w:rPr>
          <w:spacing w:val="-4"/>
        </w:rPr>
        <w:t xml:space="preserve"> </w:t>
      </w:r>
      <w:r>
        <w:t>Xa</w:t>
      </w:r>
      <w:r>
        <w:rPr>
          <w:spacing w:val="-4"/>
        </w:rPr>
        <w:t xml:space="preserve"> </w:t>
      </w:r>
      <w:r>
        <w:t>which prevents the conversion of prothrombin to thrombin. With full dose heparin therapy, anticoagulation appears to result primarily from neutralisation of thrombin which prevents the conversion</w:t>
      </w:r>
      <w:r>
        <w:rPr>
          <w:spacing w:val="-14"/>
        </w:rPr>
        <w:t xml:space="preserve"> </w:t>
      </w:r>
      <w:r>
        <w:t>of</w:t>
      </w:r>
      <w:r>
        <w:rPr>
          <w:spacing w:val="-13"/>
        </w:rPr>
        <w:t xml:space="preserve"> </w:t>
      </w:r>
      <w:r>
        <w:t>fibrinogen</w:t>
      </w:r>
      <w:r>
        <w:rPr>
          <w:spacing w:val="-12"/>
        </w:rPr>
        <w:t xml:space="preserve"> </w:t>
      </w:r>
      <w:r>
        <w:t>to</w:t>
      </w:r>
      <w:r>
        <w:rPr>
          <w:spacing w:val="-14"/>
        </w:rPr>
        <w:t xml:space="preserve"> </w:t>
      </w:r>
      <w:r>
        <w:t>fibrin.</w:t>
      </w:r>
      <w:r>
        <w:rPr>
          <w:spacing w:val="-14"/>
        </w:rPr>
        <w:t xml:space="preserve"> </w:t>
      </w:r>
      <w:r>
        <w:t>Full</w:t>
      </w:r>
      <w:r>
        <w:rPr>
          <w:spacing w:val="-14"/>
        </w:rPr>
        <w:t xml:space="preserve"> </w:t>
      </w:r>
      <w:r>
        <w:t>dose</w:t>
      </w:r>
      <w:r>
        <w:rPr>
          <w:spacing w:val="-15"/>
        </w:rPr>
        <w:t xml:space="preserve"> </w:t>
      </w:r>
      <w:r>
        <w:t>heparin</w:t>
      </w:r>
      <w:r>
        <w:rPr>
          <w:spacing w:val="-14"/>
        </w:rPr>
        <w:t xml:space="preserve"> </w:t>
      </w:r>
      <w:r>
        <w:t>therapy</w:t>
      </w:r>
      <w:r>
        <w:rPr>
          <w:spacing w:val="-12"/>
        </w:rPr>
        <w:t xml:space="preserve"> </w:t>
      </w:r>
      <w:r>
        <w:t>also</w:t>
      </w:r>
      <w:r>
        <w:rPr>
          <w:spacing w:val="-14"/>
        </w:rPr>
        <w:t xml:space="preserve"> </w:t>
      </w:r>
      <w:r>
        <w:t>prevents</w:t>
      </w:r>
      <w:r>
        <w:rPr>
          <w:spacing w:val="-14"/>
        </w:rPr>
        <w:t xml:space="preserve"> </w:t>
      </w:r>
      <w:r>
        <w:t>the</w:t>
      </w:r>
      <w:r>
        <w:rPr>
          <w:spacing w:val="-15"/>
        </w:rPr>
        <w:t xml:space="preserve"> </w:t>
      </w:r>
      <w:r>
        <w:t>formation</w:t>
      </w:r>
      <w:r>
        <w:rPr>
          <w:spacing w:val="-14"/>
        </w:rPr>
        <w:t xml:space="preserve"> </w:t>
      </w:r>
      <w:r>
        <w:t>of</w:t>
      </w:r>
      <w:r>
        <w:rPr>
          <w:spacing w:val="-15"/>
        </w:rPr>
        <w:t xml:space="preserve"> </w:t>
      </w:r>
      <w:r>
        <w:t>a</w:t>
      </w:r>
      <w:r>
        <w:rPr>
          <w:spacing w:val="-15"/>
        </w:rPr>
        <w:t xml:space="preserve"> </w:t>
      </w:r>
      <w:r>
        <w:t>stable fibrin clot by inhibiting activation of fibrin stabilising factor.</w:t>
      </w:r>
    </w:p>
    <w:p w14:paraId="5AFD618B" w14:textId="77777777" w:rsidR="00B90DF7" w:rsidRDefault="00B90DF7" w:rsidP="00B90DF7">
      <w:pPr>
        <w:pStyle w:val="Heading2"/>
        <w:spacing w:before="63"/>
      </w:pPr>
      <w:bookmarkStart w:id="61" w:name="Clinical_trials"/>
      <w:bookmarkEnd w:id="61"/>
    </w:p>
    <w:p w14:paraId="759B3E8B" w14:textId="41C26DDC" w:rsidR="000940E6" w:rsidRDefault="00B90DF7" w:rsidP="00B90DF7">
      <w:pPr>
        <w:pStyle w:val="Heading2"/>
        <w:spacing w:before="63"/>
      </w:pPr>
      <w:r>
        <w:lastRenderedPageBreak/>
        <w:t>Clinical</w:t>
      </w:r>
      <w:r>
        <w:rPr>
          <w:spacing w:val="-2"/>
        </w:rPr>
        <w:t xml:space="preserve"> trials</w:t>
      </w:r>
    </w:p>
    <w:p w14:paraId="5FBB61D1" w14:textId="77777777" w:rsidR="000940E6" w:rsidRDefault="00B90DF7" w:rsidP="00B90DF7">
      <w:pPr>
        <w:pStyle w:val="BodyText"/>
        <w:spacing w:before="158" w:line="276" w:lineRule="auto"/>
        <w:ind w:right="131"/>
        <w:jc w:val="left"/>
      </w:pPr>
      <w:r>
        <w:t>The</w:t>
      </w:r>
      <w:r>
        <w:rPr>
          <w:spacing w:val="-4"/>
        </w:rPr>
        <w:t xml:space="preserve"> </w:t>
      </w:r>
      <w:r>
        <w:t>safety</w:t>
      </w:r>
      <w:r>
        <w:rPr>
          <w:spacing w:val="-3"/>
        </w:rPr>
        <w:t xml:space="preserve"> </w:t>
      </w:r>
      <w:r>
        <w:t>and</w:t>
      </w:r>
      <w:r>
        <w:rPr>
          <w:spacing w:val="-3"/>
        </w:rPr>
        <w:t xml:space="preserve"> </w:t>
      </w:r>
      <w:r>
        <w:t>efficacy</w:t>
      </w:r>
      <w:r>
        <w:rPr>
          <w:spacing w:val="-3"/>
        </w:rPr>
        <w:t xml:space="preserve"> </w:t>
      </w:r>
      <w:r>
        <w:t>of</w:t>
      </w:r>
      <w:r>
        <w:rPr>
          <w:spacing w:val="-4"/>
        </w:rPr>
        <w:t xml:space="preserve"> </w:t>
      </w:r>
      <w:r>
        <w:t>unfractionated</w:t>
      </w:r>
      <w:r>
        <w:rPr>
          <w:spacing w:val="-3"/>
        </w:rPr>
        <w:t xml:space="preserve"> </w:t>
      </w:r>
      <w:r>
        <w:t>heparin</w:t>
      </w:r>
      <w:r>
        <w:rPr>
          <w:spacing w:val="-3"/>
        </w:rPr>
        <w:t xml:space="preserve"> </w:t>
      </w:r>
      <w:r>
        <w:t>has</w:t>
      </w:r>
      <w:r>
        <w:rPr>
          <w:spacing w:val="-3"/>
        </w:rPr>
        <w:t xml:space="preserve"> </w:t>
      </w:r>
      <w:r>
        <w:t>been</w:t>
      </w:r>
      <w:r>
        <w:rPr>
          <w:spacing w:val="-3"/>
        </w:rPr>
        <w:t xml:space="preserve"> </w:t>
      </w:r>
      <w:r>
        <w:t>demonstrated</w:t>
      </w:r>
      <w:r>
        <w:rPr>
          <w:spacing w:val="-3"/>
        </w:rPr>
        <w:t xml:space="preserve"> </w:t>
      </w:r>
      <w:r>
        <w:t>by</w:t>
      </w:r>
      <w:r>
        <w:rPr>
          <w:spacing w:val="-3"/>
        </w:rPr>
        <w:t xml:space="preserve"> </w:t>
      </w:r>
      <w:r>
        <w:t>decades</w:t>
      </w:r>
      <w:r>
        <w:rPr>
          <w:spacing w:val="-3"/>
        </w:rPr>
        <w:t xml:space="preserve"> </w:t>
      </w:r>
      <w:r>
        <w:t>of</w:t>
      </w:r>
      <w:r>
        <w:rPr>
          <w:spacing w:val="-4"/>
        </w:rPr>
        <w:t xml:space="preserve"> </w:t>
      </w:r>
      <w:r>
        <w:t>use</w:t>
      </w:r>
      <w:r>
        <w:rPr>
          <w:spacing w:val="-4"/>
        </w:rPr>
        <w:t xml:space="preserve"> </w:t>
      </w:r>
      <w:r>
        <w:t>in</w:t>
      </w:r>
      <w:r>
        <w:rPr>
          <w:spacing w:val="-3"/>
        </w:rPr>
        <w:t xml:space="preserve"> </w:t>
      </w:r>
      <w:r>
        <w:t xml:space="preserve">the </w:t>
      </w:r>
      <w:r>
        <w:rPr>
          <w:spacing w:val="-2"/>
        </w:rPr>
        <w:t>clinic.</w:t>
      </w:r>
    </w:p>
    <w:p w14:paraId="32A46A90" w14:textId="77777777" w:rsidR="000940E6" w:rsidRDefault="00B90DF7" w:rsidP="00B90DF7">
      <w:pPr>
        <w:pStyle w:val="BodyText"/>
        <w:spacing w:before="122" w:line="276" w:lineRule="auto"/>
        <w:ind w:right="130"/>
        <w:jc w:val="left"/>
      </w:pPr>
      <w:r>
        <w:t>The</w:t>
      </w:r>
      <w:r>
        <w:rPr>
          <w:spacing w:val="-1"/>
        </w:rPr>
        <w:t xml:space="preserve"> </w:t>
      </w:r>
      <w:r>
        <w:t>safety and efficacy of</w:t>
      </w:r>
      <w:r>
        <w:rPr>
          <w:spacing w:val="-1"/>
        </w:rPr>
        <w:t xml:space="preserve"> </w:t>
      </w:r>
      <w:r>
        <w:t>HEPARIN INTERPHARMA</w:t>
      </w:r>
      <w:r>
        <w:rPr>
          <w:spacing w:val="-1"/>
        </w:rPr>
        <w:t xml:space="preserve"> </w:t>
      </w:r>
      <w:r>
        <w:t>was assessed in a single</w:t>
      </w:r>
      <w:r>
        <w:rPr>
          <w:spacing w:val="-1"/>
        </w:rPr>
        <w:t xml:space="preserve"> </w:t>
      </w:r>
      <w:r>
        <w:t>dose</w:t>
      </w:r>
      <w:r>
        <w:rPr>
          <w:spacing w:val="-1"/>
        </w:rPr>
        <w:t xml:space="preserve"> </w:t>
      </w:r>
      <w:r>
        <w:t>cross over comparison with</w:t>
      </w:r>
      <w:r>
        <w:rPr>
          <w:spacing w:val="-1"/>
        </w:rPr>
        <w:t xml:space="preserve"> </w:t>
      </w:r>
      <w:r>
        <w:t>a</w:t>
      </w:r>
      <w:r>
        <w:rPr>
          <w:spacing w:val="-1"/>
        </w:rPr>
        <w:t xml:space="preserve"> </w:t>
      </w:r>
      <w:r>
        <w:t>foreign registered</w:t>
      </w:r>
      <w:r>
        <w:rPr>
          <w:spacing w:val="-1"/>
        </w:rPr>
        <w:t xml:space="preserve"> </w:t>
      </w:r>
      <w:r>
        <w:t>product in</w:t>
      </w:r>
      <w:r>
        <w:rPr>
          <w:spacing w:val="-1"/>
        </w:rPr>
        <w:t xml:space="preserve"> </w:t>
      </w:r>
      <w:r>
        <w:t>healthy adults.</w:t>
      </w:r>
      <w:r>
        <w:rPr>
          <w:spacing w:val="-1"/>
        </w:rPr>
        <w:t xml:space="preserve"> </w:t>
      </w:r>
      <w:r>
        <w:t>A</w:t>
      </w:r>
      <w:r>
        <w:rPr>
          <w:spacing w:val="-1"/>
        </w:rPr>
        <w:t xml:space="preserve"> </w:t>
      </w:r>
      <w:r>
        <w:t>total of</w:t>
      </w:r>
      <w:r>
        <w:rPr>
          <w:spacing w:val="-1"/>
        </w:rPr>
        <w:t xml:space="preserve"> </w:t>
      </w:r>
      <w:r>
        <w:t>10 adverse</w:t>
      </w:r>
      <w:r>
        <w:rPr>
          <w:spacing w:val="-1"/>
        </w:rPr>
        <w:t xml:space="preserve"> </w:t>
      </w:r>
      <w:r>
        <w:t xml:space="preserve">events were reported by 7 (23%) of the 30 subjects who participated in this study. All of the AEs were mild (9/10; 90%) or moderate (1/10, 10%) in severity. No severe AEs, deaths or withdrawals were </w:t>
      </w:r>
      <w:r>
        <w:rPr>
          <w:spacing w:val="-2"/>
        </w:rPr>
        <w:t>reported.</w:t>
      </w:r>
    </w:p>
    <w:p w14:paraId="6898F5C5" w14:textId="77777777" w:rsidR="000940E6" w:rsidRDefault="00B90DF7" w:rsidP="00B90DF7">
      <w:pPr>
        <w:pStyle w:val="BodyText"/>
        <w:spacing w:before="119" w:line="276" w:lineRule="auto"/>
        <w:ind w:left="119" w:right="133"/>
        <w:jc w:val="left"/>
      </w:pPr>
      <w:r>
        <w:t>Studies</w:t>
      </w:r>
      <w:r>
        <w:rPr>
          <w:spacing w:val="-13"/>
        </w:rPr>
        <w:t xml:space="preserve"> </w:t>
      </w:r>
      <w:r>
        <w:t>published</w:t>
      </w:r>
      <w:r>
        <w:rPr>
          <w:spacing w:val="-15"/>
        </w:rPr>
        <w:t xml:space="preserve"> </w:t>
      </w:r>
      <w:r>
        <w:t>in</w:t>
      </w:r>
      <w:r>
        <w:rPr>
          <w:spacing w:val="-13"/>
        </w:rPr>
        <w:t xml:space="preserve"> </w:t>
      </w:r>
      <w:r>
        <w:t>the</w:t>
      </w:r>
      <w:r>
        <w:rPr>
          <w:spacing w:val="-14"/>
        </w:rPr>
        <w:t xml:space="preserve"> </w:t>
      </w:r>
      <w:r>
        <w:t>literature</w:t>
      </w:r>
      <w:r>
        <w:rPr>
          <w:spacing w:val="-14"/>
        </w:rPr>
        <w:t xml:space="preserve"> </w:t>
      </w:r>
      <w:r>
        <w:t>and</w:t>
      </w:r>
      <w:r>
        <w:rPr>
          <w:spacing w:val="-13"/>
        </w:rPr>
        <w:t xml:space="preserve"> </w:t>
      </w:r>
      <w:r>
        <w:t>post-market</w:t>
      </w:r>
      <w:r>
        <w:rPr>
          <w:spacing w:val="-13"/>
        </w:rPr>
        <w:t xml:space="preserve"> </w:t>
      </w:r>
      <w:r>
        <w:t>surveillance</w:t>
      </w:r>
      <w:r>
        <w:rPr>
          <w:spacing w:val="-14"/>
        </w:rPr>
        <w:t xml:space="preserve"> </w:t>
      </w:r>
      <w:r>
        <w:t>data</w:t>
      </w:r>
      <w:r>
        <w:rPr>
          <w:spacing w:val="-14"/>
        </w:rPr>
        <w:t xml:space="preserve"> </w:t>
      </w:r>
      <w:r>
        <w:t>have</w:t>
      </w:r>
      <w:r>
        <w:rPr>
          <w:spacing w:val="-14"/>
        </w:rPr>
        <w:t xml:space="preserve"> </w:t>
      </w:r>
      <w:r>
        <w:t>not</w:t>
      </w:r>
      <w:r>
        <w:rPr>
          <w:spacing w:val="-13"/>
        </w:rPr>
        <w:t xml:space="preserve"> </w:t>
      </w:r>
      <w:r>
        <w:t>identified</w:t>
      </w:r>
      <w:r>
        <w:rPr>
          <w:spacing w:val="-13"/>
        </w:rPr>
        <w:t xml:space="preserve"> </w:t>
      </w:r>
      <w:r>
        <w:t>new</w:t>
      </w:r>
      <w:r>
        <w:rPr>
          <w:spacing w:val="-14"/>
        </w:rPr>
        <w:t xml:space="preserve"> </w:t>
      </w:r>
      <w:r>
        <w:t>safety concerns for heparin sodium.</w:t>
      </w:r>
    </w:p>
    <w:p w14:paraId="4F197024" w14:textId="77777777" w:rsidR="000940E6" w:rsidRDefault="00B90DF7" w:rsidP="00B90DF7">
      <w:pPr>
        <w:pStyle w:val="Heading2"/>
        <w:numPr>
          <w:ilvl w:val="1"/>
          <w:numId w:val="1"/>
        </w:numPr>
        <w:tabs>
          <w:tab w:val="left" w:pos="632"/>
        </w:tabs>
        <w:spacing w:before="201"/>
        <w:ind w:left="632" w:hanging="513"/>
      </w:pPr>
      <w:bookmarkStart w:id="62" w:name="5.2_Pharmacokinetic_properties"/>
      <w:bookmarkEnd w:id="62"/>
      <w:r>
        <w:rPr>
          <w:smallCaps/>
          <w:spacing w:val="-2"/>
        </w:rPr>
        <w:t>Pharmacokinetic</w:t>
      </w:r>
      <w:r>
        <w:rPr>
          <w:smallCaps/>
          <w:spacing w:val="6"/>
        </w:rPr>
        <w:t xml:space="preserve"> </w:t>
      </w:r>
      <w:r>
        <w:rPr>
          <w:smallCaps/>
          <w:spacing w:val="-2"/>
        </w:rPr>
        <w:t>properties</w:t>
      </w:r>
    </w:p>
    <w:p w14:paraId="1DEFEC4C" w14:textId="77777777" w:rsidR="000940E6" w:rsidRDefault="000940E6" w:rsidP="00B90DF7">
      <w:pPr>
        <w:pStyle w:val="BodyText"/>
        <w:spacing w:before="23"/>
        <w:ind w:left="0"/>
        <w:jc w:val="left"/>
        <w:rPr>
          <w:b/>
          <w:sz w:val="19"/>
        </w:rPr>
      </w:pPr>
    </w:p>
    <w:p w14:paraId="1848E392" w14:textId="77777777" w:rsidR="000940E6" w:rsidRDefault="00B90DF7" w:rsidP="00B90DF7">
      <w:pPr>
        <w:ind w:left="120"/>
        <w:rPr>
          <w:b/>
          <w:sz w:val="24"/>
        </w:rPr>
      </w:pPr>
      <w:bookmarkStart w:id="63" w:name="Absorption"/>
      <w:bookmarkEnd w:id="63"/>
      <w:r>
        <w:rPr>
          <w:b/>
          <w:spacing w:val="-2"/>
          <w:sz w:val="24"/>
        </w:rPr>
        <w:t>Absorption</w:t>
      </w:r>
    </w:p>
    <w:p w14:paraId="3F4F2836" w14:textId="77777777" w:rsidR="000940E6" w:rsidRDefault="00B90DF7" w:rsidP="00B90DF7">
      <w:pPr>
        <w:pStyle w:val="BodyText"/>
        <w:spacing w:line="276" w:lineRule="auto"/>
        <w:ind w:left="119" w:right="133"/>
        <w:jc w:val="left"/>
      </w:pPr>
      <w:r>
        <w:t>Because</w:t>
      </w:r>
      <w:r>
        <w:rPr>
          <w:spacing w:val="-13"/>
        </w:rPr>
        <w:t xml:space="preserve"> </w:t>
      </w:r>
      <w:r>
        <w:t>of</w:t>
      </w:r>
      <w:r>
        <w:rPr>
          <w:spacing w:val="-13"/>
        </w:rPr>
        <w:t xml:space="preserve"> </w:t>
      </w:r>
      <w:r>
        <w:t>its</w:t>
      </w:r>
      <w:r>
        <w:rPr>
          <w:spacing w:val="-13"/>
        </w:rPr>
        <w:t xml:space="preserve"> </w:t>
      </w:r>
      <w:r>
        <w:t>high</w:t>
      </w:r>
      <w:r>
        <w:rPr>
          <w:spacing w:val="-13"/>
        </w:rPr>
        <w:t xml:space="preserve"> </w:t>
      </w:r>
      <w:r>
        <w:t>relative</w:t>
      </w:r>
      <w:r>
        <w:rPr>
          <w:spacing w:val="-13"/>
        </w:rPr>
        <w:t xml:space="preserve"> </w:t>
      </w:r>
      <w:r>
        <w:t>molecular</w:t>
      </w:r>
      <w:r>
        <w:rPr>
          <w:spacing w:val="-13"/>
        </w:rPr>
        <w:t xml:space="preserve"> </w:t>
      </w:r>
      <w:r>
        <w:t>mass</w:t>
      </w:r>
      <w:r>
        <w:rPr>
          <w:spacing w:val="-13"/>
        </w:rPr>
        <w:t xml:space="preserve"> </w:t>
      </w:r>
      <w:r>
        <w:t>and</w:t>
      </w:r>
      <w:r>
        <w:rPr>
          <w:spacing w:val="-13"/>
        </w:rPr>
        <w:t xml:space="preserve"> </w:t>
      </w:r>
      <w:r>
        <w:t>its</w:t>
      </w:r>
      <w:r>
        <w:rPr>
          <w:spacing w:val="-13"/>
        </w:rPr>
        <w:t xml:space="preserve"> </w:t>
      </w:r>
      <w:r>
        <w:t>negative</w:t>
      </w:r>
      <w:r>
        <w:rPr>
          <w:spacing w:val="-13"/>
        </w:rPr>
        <w:t xml:space="preserve"> </w:t>
      </w:r>
      <w:r>
        <w:t>surface</w:t>
      </w:r>
      <w:r>
        <w:rPr>
          <w:spacing w:val="-13"/>
        </w:rPr>
        <w:t xml:space="preserve"> </w:t>
      </w:r>
      <w:r>
        <w:t>charge</w:t>
      </w:r>
      <w:r>
        <w:rPr>
          <w:spacing w:val="-12"/>
        </w:rPr>
        <w:t xml:space="preserve"> </w:t>
      </w:r>
      <w:r>
        <w:t>heparin</w:t>
      </w:r>
      <w:r>
        <w:rPr>
          <w:spacing w:val="-13"/>
        </w:rPr>
        <w:t xml:space="preserve"> </w:t>
      </w:r>
      <w:r>
        <w:t>is</w:t>
      </w:r>
      <w:r>
        <w:rPr>
          <w:spacing w:val="-13"/>
        </w:rPr>
        <w:t xml:space="preserve"> </w:t>
      </w:r>
      <w:r>
        <w:t>not</w:t>
      </w:r>
      <w:r>
        <w:rPr>
          <w:spacing w:val="-13"/>
        </w:rPr>
        <w:t xml:space="preserve"> </w:t>
      </w:r>
      <w:r>
        <w:t>absorbed from</w:t>
      </w:r>
      <w:r>
        <w:rPr>
          <w:spacing w:val="-3"/>
        </w:rPr>
        <w:t xml:space="preserve"> </w:t>
      </w:r>
      <w:r>
        <w:t>the</w:t>
      </w:r>
      <w:r>
        <w:rPr>
          <w:spacing w:val="-4"/>
        </w:rPr>
        <w:t xml:space="preserve"> </w:t>
      </w:r>
      <w:r>
        <w:t>intestine.</w:t>
      </w:r>
      <w:r>
        <w:rPr>
          <w:spacing w:val="40"/>
        </w:rPr>
        <w:t xml:space="preserve"> </w:t>
      </w:r>
      <w:r>
        <w:t>Intake</w:t>
      </w:r>
      <w:r>
        <w:rPr>
          <w:spacing w:val="-4"/>
        </w:rPr>
        <w:t xml:space="preserve"> </w:t>
      </w:r>
      <w:r>
        <w:t>by</w:t>
      </w:r>
      <w:r>
        <w:rPr>
          <w:spacing w:val="-3"/>
        </w:rPr>
        <w:t xml:space="preserve"> </w:t>
      </w:r>
      <w:r>
        <w:t>the</w:t>
      </w:r>
      <w:r>
        <w:rPr>
          <w:spacing w:val="-4"/>
        </w:rPr>
        <w:t xml:space="preserve"> </w:t>
      </w:r>
      <w:r>
        <w:t>parenteral</w:t>
      </w:r>
      <w:r>
        <w:rPr>
          <w:spacing w:val="-3"/>
        </w:rPr>
        <w:t xml:space="preserve"> </w:t>
      </w:r>
      <w:r>
        <w:t>route</w:t>
      </w:r>
      <w:r>
        <w:rPr>
          <w:spacing w:val="-4"/>
        </w:rPr>
        <w:t xml:space="preserve"> </w:t>
      </w:r>
      <w:r>
        <w:t>intravenous</w:t>
      </w:r>
      <w:r>
        <w:rPr>
          <w:spacing w:val="-3"/>
        </w:rPr>
        <w:t xml:space="preserve"> </w:t>
      </w:r>
      <w:r>
        <w:t>or</w:t>
      </w:r>
      <w:r>
        <w:rPr>
          <w:spacing w:val="-4"/>
        </w:rPr>
        <w:t xml:space="preserve"> </w:t>
      </w:r>
      <w:r>
        <w:t>subcutaneous</w:t>
      </w:r>
      <w:r>
        <w:rPr>
          <w:spacing w:val="40"/>
        </w:rPr>
        <w:t xml:space="preserve"> </w:t>
      </w:r>
      <w:r>
        <w:t>is</w:t>
      </w:r>
      <w:r>
        <w:rPr>
          <w:spacing w:val="-6"/>
        </w:rPr>
        <w:t xml:space="preserve"> </w:t>
      </w:r>
      <w:r>
        <w:t>used.</w:t>
      </w:r>
      <w:r>
        <w:rPr>
          <w:spacing w:val="40"/>
        </w:rPr>
        <w:t xml:space="preserve"> </w:t>
      </w:r>
      <w:r>
        <w:t>Intake</w:t>
      </w:r>
      <w:r>
        <w:rPr>
          <w:spacing w:val="-4"/>
        </w:rPr>
        <w:t xml:space="preserve"> </w:t>
      </w:r>
      <w:r>
        <w:t>by inhalation is possible.</w:t>
      </w:r>
    </w:p>
    <w:p w14:paraId="5AC68718" w14:textId="77777777" w:rsidR="000940E6" w:rsidRDefault="00B90DF7" w:rsidP="00B90DF7">
      <w:pPr>
        <w:pStyle w:val="BodyText"/>
        <w:spacing w:before="119" w:line="276" w:lineRule="auto"/>
        <w:ind w:left="119" w:right="127"/>
        <w:jc w:val="left"/>
      </w:pPr>
      <w:r>
        <w:t>Once</w:t>
      </w:r>
      <w:r>
        <w:rPr>
          <w:spacing w:val="-4"/>
        </w:rPr>
        <w:t xml:space="preserve"> </w:t>
      </w:r>
      <w:r>
        <w:t>administered</w:t>
      </w:r>
      <w:r>
        <w:rPr>
          <w:spacing w:val="-3"/>
        </w:rPr>
        <w:t xml:space="preserve"> </w:t>
      </w:r>
      <w:r>
        <w:t>subcutaneous</w:t>
      </w:r>
      <w:r>
        <w:rPr>
          <w:spacing w:val="-3"/>
        </w:rPr>
        <w:t xml:space="preserve"> </w:t>
      </w:r>
      <w:r>
        <w:t>heparin</w:t>
      </w:r>
      <w:r>
        <w:rPr>
          <w:spacing w:val="-3"/>
        </w:rPr>
        <w:t xml:space="preserve"> </w:t>
      </w:r>
      <w:r>
        <w:t>follows</w:t>
      </w:r>
      <w:r>
        <w:rPr>
          <w:spacing w:val="-1"/>
        </w:rPr>
        <w:t xml:space="preserve"> </w:t>
      </w:r>
      <w:r>
        <w:t>non-linear</w:t>
      </w:r>
      <w:r>
        <w:rPr>
          <w:spacing w:val="-4"/>
        </w:rPr>
        <w:t xml:space="preserve"> </w:t>
      </w:r>
      <w:r>
        <w:t>kinetics,</w:t>
      </w:r>
      <w:r>
        <w:rPr>
          <w:spacing w:val="-3"/>
        </w:rPr>
        <w:t xml:space="preserve"> </w:t>
      </w:r>
      <w:r>
        <w:t>as</w:t>
      </w:r>
      <w:r>
        <w:rPr>
          <w:spacing w:val="-3"/>
        </w:rPr>
        <w:t xml:space="preserve"> </w:t>
      </w:r>
      <w:r>
        <w:t>there</w:t>
      </w:r>
      <w:r>
        <w:rPr>
          <w:spacing w:val="-4"/>
        </w:rPr>
        <w:t xml:space="preserve"> </w:t>
      </w:r>
      <w:r>
        <w:t>is</w:t>
      </w:r>
      <w:r>
        <w:rPr>
          <w:spacing w:val="-3"/>
        </w:rPr>
        <w:t xml:space="preserve"> </w:t>
      </w:r>
      <w:r>
        <w:t>a</w:t>
      </w:r>
      <w:r>
        <w:rPr>
          <w:spacing w:val="-4"/>
        </w:rPr>
        <w:t xml:space="preserve"> </w:t>
      </w:r>
      <w:r>
        <w:t>combination</w:t>
      </w:r>
      <w:r>
        <w:rPr>
          <w:spacing w:val="-3"/>
        </w:rPr>
        <w:t xml:space="preserve"> </w:t>
      </w:r>
      <w:r>
        <w:t>of saturable and non-saturable mechanisms of clearance. This effect thereby reduces the unbound fraction of heparin and also heparin’s anticoagulant activity at low concentrations. Additionally, binding of heparin to Von-Willebrand- factor inhibits platelet function. The bioavailability of subcutaneously administered heparin is dose-dependent. The</w:t>
      </w:r>
      <w:r>
        <w:rPr>
          <w:spacing w:val="-1"/>
        </w:rPr>
        <w:t xml:space="preserve"> </w:t>
      </w:r>
      <w:r>
        <w:t>bioavailability of the</w:t>
      </w:r>
      <w:r>
        <w:rPr>
          <w:spacing w:val="-1"/>
        </w:rPr>
        <w:t xml:space="preserve"> </w:t>
      </w:r>
      <w:r>
        <w:t>anti-factor Xa activity increases with the dose delivered and tends from approximately 30 % with low doses toward</w:t>
      </w:r>
      <w:r>
        <w:rPr>
          <w:spacing w:val="-11"/>
        </w:rPr>
        <w:t xml:space="preserve"> </w:t>
      </w:r>
      <w:r>
        <w:t>100</w:t>
      </w:r>
      <w:r>
        <w:rPr>
          <w:spacing w:val="-11"/>
        </w:rPr>
        <w:t xml:space="preserve"> </w:t>
      </w:r>
      <w:r>
        <w:t>%</w:t>
      </w:r>
      <w:r>
        <w:rPr>
          <w:spacing w:val="-11"/>
        </w:rPr>
        <w:t xml:space="preserve"> </w:t>
      </w:r>
      <w:r>
        <w:t>at</w:t>
      </w:r>
      <w:r>
        <w:rPr>
          <w:spacing w:val="-10"/>
        </w:rPr>
        <w:t xml:space="preserve"> </w:t>
      </w:r>
      <w:r>
        <w:t>high</w:t>
      </w:r>
      <w:r>
        <w:rPr>
          <w:spacing w:val="-11"/>
        </w:rPr>
        <w:t xml:space="preserve"> </w:t>
      </w:r>
      <w:r>
        <w:t>doses.</w:t>
      </w:r>
      <w:r>
        <w:rPr>
          <w:spacing w:val="-11"/>
        </w:rPr>
        <w:t xml:space="preserve"> </w:t>
      </w:r>
      <w:r>
        <w:t>Ther</w:t>
      </w:r>
      <w:r>
        <w:t>efore</w:t>
      </w:r>
      <w:r>
        <w:rPr>
          <w:spacing w:val="-12"/>
        </w:rPr>
        <w:t xml:space="preserve"> </w:t>
      </w:r>
      <w:r>
        <w:t>after</w:t>
      </w:r>
      <w:r>
        <w:rPr>
          <w:spacing w:val="-11"/>
        </w:rPr>
        <w:t xml:space="preserve"> </w:t>
      </w:r>
      <w:r>
        <w:t>subcutaneous</w:t>
      </w:r>
      <w:r>
        <w:rPr>
          <w:spacing w:val="-10"/>
        </w:rPr>
        <w:t xml:space="preserve"> </w:t>
      </w:r>
      <w:r>
        <w:t>injection,</w:t>
      </w:r>
      <w:r>
        <w:rPr>
          <w:spacing w:val="-11"/>
        </w:rPr>
        <w:t xml:space="preserve"> </w:t>
      </w:r>
      <w:r>
        <w:t>the</w:t>
      </w:r>
      <w:r>
        <w:rPr>
          <w:spacing w:val="-12"/>
        </w:rPr>
        <w:t xml:space="preserve"> </w:t>
      </w:r>
      <w:r>
        <w:t>onset</w:t>
      </w:r>
      <w:r>
        <w:rPr>
          <w:spacing w:val="-10"/>
        </w:rPr>
        <w:t xml:space="preserve"> </w:t>
      </w:r>
      <w:r>
        <w:t>of</w:t>
      </w:r>
      <w:r>
        <w:rPr>
          <w:spacing w:val="-11"/>
        </w:rPr>
        <w:t xml:space="preserve"> </w:t>
      </w:r>
      <w:r>
        <w:t>the</w:t>
      </w:r>
      <w:r>
        <w:rPr>
          <w:spacing w:val="-12"/>
        </w:rPr>
        <w:t xml:space="preserve"> </w:t>
      </w:r>
      <w:r>
        <w:t>heparin</w:t>
      </w:r>
      <w:r>
        <w:rPr>
          <w:spacing w:val="-11"/>
        </w:rPr>
        <w:t xml:space="preserve"> </w:t>
      </w:r>
      <w:r>
        <w:t>effect is delayed for approximately 0.5 - 1 hour after administration.</w:t>
      </w:r>
    </w:p>
    <w:p w14:paraId="0D3977A4" w14:textId="77777777" w:rsidR="000940E6" w:rsidRDefault="00B90DF7" w:rsidP="00B90DF7">
      <w:pPr>
        <w:pStyle w:val="Heading2"/>
        <w:spacing w:before="201"/>
        <w:ind w:left="119"/>
      </w:pPr>
      <w:bookmarkStart w:id="64" w:name="Distribution"/>
      <w:bookmarkEnd w:id="64"/>
      <w:r>
        <w:rPr>
          <w:spacing w:val="-2"/>
        </w:rPr>
        <w:t>Distribution</w:t>
      </w:r>
    </w:p>
    <w:p w14:paraId="70AF92D6" w14:textId="77777777" w:rsidR="000940E6" w:rsidRDefault="00B90DF7" w:rsidP="00B90DF7">
      <w:pPr>
        <w:pStyle w:val="BodyText"/>
        <w:spacing w:line="276" w:lineRule="auto"/>
        <w:ind w:left="119" w:right="131"/>
        <w:jc w:val="left"/>
      </w:pPr>
      <w:r>
        <w:t>Heparin is strongly bound to plasma proteins (LDL, globulins, in particular AT and fibrinogen). Therefore</w:t>
      </w:r>
      <w:r>
        <w:rPr>
          <w:spacing w:val="-6"/>
        </w:rPr>
        <w:t xml:space="preserve"> </w:t>
      </w:r>
      <w:r>
        <w:t>the</w:t>
      </w:r>
      <w:r>
        <w:rPr>
          <w:spacing w:val="-6"/>
        </w:rPr>
        <w:t xml:space="preserve"> </w:t>
      </w:r>
      <w:r>
        <w:t>distribution</w:t>
      </w:r>
      <w:r>
        <w:rPr>
          <w:spacing w:val="-5"/>
        </w:rPr>
        <w:t xml:space="preserve"> </w:t>
      </w:r>
      <w:r>
        <w:t>volume</w:t>
      </w:r>
      <w:r>
        <w:rPr>
          <w:spacing w:val="-6"/>
        </w:rPr>
        <w:t xml:space="preserve"> </w:t>
      </w:r>
      <w:r>
        <w:t>is</w:t>
      </w:r>
      <w:r>
        <w:rPr>
          <w:spacing w:val="-5"/>
        </w:rPr>
        <w:t xml:space="preserve"> </w:t>
      </w:r>
      <w:r>
        <w:t>generally</w:t>
      </w:r>
      <w:r>
        <w:rPr>
          <w:spacing w:val="-5"/>
        </w:rPr>
        <w:t xml:space="preserve"> </w:t>
      </w:r>
      <w:r>
        <w:t>limited</w:t>
      </w:r>
      <w:r>
        <w:rPr>
          <w:spacing w:val="-5"/>
        </w:rPr>
        <w:t xml:space="preserve"> </w:t>
      </w:r>
      <w:r>
        <w:t>to</w:t>
      </w:r>
      <w:r>
        <w:rPr>
          <w:spacing w:val="-5"/>
        </w:rPr>
        <w:t xml:space="preserve"> </w:t>
      </w:r>
      <w:r>
        <w:t>the</w:t>
      </w:r>
      <w:r>
        <w:rPr>
          <w:spacing w:val="-6"/>
        </w:rPr>
        <w:t xml:space="preserve"> </w:t>
      </w:r>
      <w:r>
        <w:t>plasma</w:t>
      </w:r>
      <w:r>
        <w:rPr>
          <w:spacing w:val="-6"/>
        </w:rPr>
        <w:t xml:space="preserve"> </w:t>
      </w:r>
      <w:r>
        <w:t>volume.</w:t>
      </w:r>
      <w:r>
        <w:rPr>
          <w:spacing w:val="-5"/>
        </w:rPr>
        <w:t xml:space="preserve"> </w:t>
      </w:r>
      <w:r>
        <w:t>This</w:t>
      </w:r>
      <w:r>
        <w:rPr>
          <w:spacing w:val="-5"/>
        </w:rPr>
        <w:t xml:space="preserve"> </w:t>
      </w:r>
      <w:r>
        <w:t>is</w:t>
      </w:r>
      <w:r>
        <w:rPr>
          <w:spacing w:val="-5"/>
        </w:rPr>
        <w:t xml:space="preserve"> </w:t>
      </w:r>
      <w:r>
        <w:t>also</w:t>
      </w:r>
      <w:r>
        <w:rPr>
          <w:spacing w:val="-5"/>
        </w:rPr>
        <w:t xml:space="preserve"> </w:t>
      </w:r>
      <w:r>
        <w:t>valid</w:t>
      </w:r>
      <w:r>
        <w:rPr>
          <w:spacing w:val="-5"/>
        </w:rPr>
        <w:t xml:space="preserve"> </w:t>
      </w:r>
      <w:r>
        <w:t>for adults</w:t>
      </w:r>
      <w:r>
        <w:rPr>
          <w:spacing w:val="-6"/>
        </w:rPr>
        <w:t xml:space="preserve"> </w:t>
      </w:r>
      <w:r>
        <w:t>undergoing</w:t>
      </w:r>
      <w:r>
        <w:rPr>
          <w:spacing w:val="-3"/>
        </w:rPr>
        <w:t xml:space="preserve"> </w:t>
      </w:r>
      <w:r>
        <w:t>dialysis;</w:t>
      </w:r>
      <w:r>
        <w:rPr>
          <w:spacing w:val="-3"/>
        </w:rPr>
        <w:t xml:space="preserve"> </w:t>
      </w:r>
      <w:r>
        <w:t>here</w:t>
      </w:r>
      <w:r>
        <w:rPr>
          <w:spacing w:val="-1"/>
        </w:rPr>
        <w:t xml:space="preserve"> </w:t>
      </w:r>
      <w:r>
        <w:t>the</w:t>
      </w:r>
      <w:r>
        <w:rPr>
          <w:spacing w:val="-4"/>
        </w:rPr>
        <w:t xml:space="preserve"> </w:t>
      </w:r>
      <w:r>
        <w:t>volume</w:t>
      </w:r>
      <w:r>
        <w:rPr>
          <w:spacing w:val="-2"/>
        </w:rPr>
        <w:t xml:space="preserve"> </w:t>
      </w:r>
      <w:r>
        <w:t>of</w:t>
      </w:r>
      <w:r>
        <w:rPr>
          <w:spacing w:val="-4"/>
        </w:rPr>
        <w:t xml:space="preserve"> </w:t>
      </w:r>
      <w:r>
        <w:t>distribution</w:t>
      </w:r>
      <w:r>
        <w:rPr>
          <w:spacing w:val="-4"/>
        </w:rPr>
        <w:t xml:space="preserve"> </w:t>
      </w:r>
      <w:r>
        <w:t>has</w:t>
      </w:r>
      <w:r>
        <w:rPr>
          <w:spacing w:val="-3"/>
        </w:rPr>
        <w:t xml:space="preserve"> </w:t>
      </w:r>
      <w:r>
        <w:t>been</w:t>
      </w:r>
      <w:r>
        <w:rPr>
          <w:spacing w:val="-3"/>
        </w:rPr>
        <w:t xml:space="preserve"> </w:t>
      </w:r>
      <w:r>
        <w:t>reported</w:t>
      </w:r>
      <w:r>
        <w:rPr>
          <w:spacing w:val="-4"/>
        </w:rPr>
        <w:t xml:space="preserve"> </w:t>
      </w:r>
      <w:r>
        <w:t>to</w:t>
      </w:r>
      <w:r>
        <w:rPr>
          <w:spacing w:val="-3"/>
        </w:rPr>
        <w:t xml:space="preserve"> </w:t>
      </w:r>
      <w:r>
        <w:t>be</w:t>
      </w:r>
      <w:r>
        <w:rPr>
          <w:spacing w:val="-1"/>
        </w:rPr>
        <w:t xml:space="preserve"> </w:t>
      </w:r>
      <w:r>
        <w:rPr>
          <w:spacing w:val="-2"/>
        </w:rPr>
        <w:t>approximately</w:t>
      </w:r>
    </w:p>
    <w:p w14:paraId="1AA107CB" w14:textId="77777777" w:rsidR="000940E6" w:rsidRDefault="00B90DF7" w:rsidP="00B90DF7">
      <w:pPr>
        <w:pStyle w:val="BodyText"/>
        <w:spacing w:before="0" w:line="274" w:lineRule="exact"/>
        <w:ind w:left="119"/>
        <w:jc w:val="left"/>
      </w:pPr>
      <w:r>
        <w:t xml:space="preserve">0.07 </w:t>
      </w:r>
      <w:r>
        <w:rPr>
          <w:spacing w:val="-2"/>
        </w:rPr>
        <w:t>L/kg.</w:t>
      </w:r>
    </w:p>
    <w:p w14:paraId="2EB4A787" w14:textId="77777777" w:rsidR="000940E6" w:rsidRDefault="00B90DF7" w:rsidP="00B90DF7">
      <w:pPr>
        <w:pStyle w:val="Heading2"/>
        <w:spacing w:before="245"/>
        <w:ind w:left="119"/>
      </w:pPr>
      <w:bookmarkStart w:id="65" w:name="Metabolism"/>
      <w:bookmarkEnd w:id="65"/>
      <w:r>
        <w:rPr>
          <w:spacing w:val="-2"/>
        </w:rPr>
        <w:t>Metabolism</w:t>
      </w:r>
    </w:p>
    <w:p w14:paraId="638BA308" w14:textId="77777777" w:rsidR="000940E6" w:rsidRDefault="00B90DF7" w:rsidP="00B90DF7">
      <w:pPr>
        <w:pStyle w:val="BodyText"/>
        <w:spacing w:before="158" w:line="276" w:lineRule="auto"/>
        <w:ind w:left="119" w:right="129"/>
        <w:jc w:val="left"/>
      </w:pPr>
      <w:r>
        <w:t>The</w:t>
      </w:r>
      <w:r>
        <w:rPr>
          <w:spacing w:val="-11"/>
        </w:rPr>
        <w:t xml:space="preserve"> </w:t>
      </w:r>
      <w:r>
        <w:t>saturable</w:t>
      </w:r>
      <w:r>
        <w:rPr>
          <w:spacing w:val="-11"/>
        </w:rPr>
        <w:t xml:space="preserve"> </w:t>
      </w:r>
      <w:r>
        <w:t>phase</w:t>
      </w:r>
      <w:r>
        <w:rPr>
          <w:spacing w:val="-11"/>
        </w:rPr>
        <w:t xml:space="preserve"> </w:t>
      </w:r>
      <w:r>
        <w:t>of</w:t>
      </w:r>
      <w:r>
        <w:rPr>
          <w:spacing w:val="-8"/>
        </w:rPr>
        <w:t xml:space="preserve"> </w:t>
      </w:r>
      <w:r>
        <w:t>heparin</w:t>
      </w:r>
      <w:r>
        <w:rPr>
          <w:spacing w:val="-10"/>
        </w:rPr>
        <w:t xml:space="preserve"> </w:t>
      </w:r>
      <w:r>
        <w:t>clearance</w:t>
      </w:r>
      <w:r>
        <w:rPr>
          <w:spacing w:val="-8"/>
        </w:rPr>
        <w:t xml:space="preserve"> </w:t>
      </w:r>
      <w:r>
        <w:t>is</w:t>
      </w:r>
      <w:r>
        <w:rPr>
          <w:spacing w:val="-9"/>
        </w:rPr>
        <w:t xml:space="preserve"> </w:t>
      </w:r>
      <w:r>
        <w:t>attributed</w:t>
      </w:r>
      <w:r>
        <w:rPr>
          <w:spacing w:val="-10"/>
        </w:rPr>
        <w:t xml:space="preserve"> </w:t>
      </w:r>
      <w:r>
        <w:t>to</w:t>
      </w:r>
      <w:r>
        <w:rPr>
          <w:spacing w:val="-10"/>
        </w:rPr>
        <w:t xml:space="preserve"> </w:t>
      </w:r>
      <w:r>
        <w:t>binding</w:t>
      </w:r>
      <w:r>
        <w:rPr>
          <w:spacing w:val="-10"/>
        </w:rPr>
        <w:t xml:space="preserve"> </w:t>
      </w:r>
      <w:r>
        <w:t>to</w:t>
      </w:r>
      <w:r>
        <w:rPr>
          <w:spacing w:val="-10"/>
        </w:rPr>
        <w:t xml:space="preserve"> </w:t>
      </w:r>
      <w:r>
        <w:t>the</w:t>
      </w:r>
      <w:r>
        <w:rPr>
          <w:spacing w:val="-8"/>
        </w:rPr>
        <w:t xml:space="preserve"> </w:t>
      </w:r>
      <w:r>
        <w:t>reticulo-endothelial</w:t>
      </w:r>
      <w:r>
        <w:rPr>
          <w:spacing w:val="-9"/>
        </w:rPr>
        <w:t xml:space="preserve"> </w:t>
      </w:r>
      <w:r>
        <w:t>system (e.g.</w:t>
      </w:r>
      <w:r>
        <w:rPr>
          <w:spacing w:val="-15"/>
        </w:rPr>
        <w:t xml:space="preserve"> </w:t>
      </w:r>
      <w:r>
        <w:t>endothelial</w:t>
      </w:r>
      <w:r>
        <w:rPr>
          <w:spacing w:val="-15"/>
        </w:rPr>
        <w:t xml:space="preserve"> </w:t>
      </w:r>
      <w:r>
        <w:t>cell</w:t>
      </w:r>
      <w:r>
        <w:rPr>
          <w:spacing w:val="-15"/>
        </w:rPr>
        <w:t xml:space="preserve"> </w:t>
      </w:r>
      <w:r>
        <w:t>receptors,</w:t>
      </w:r>
      <w:r>
        <w:rPr>
          <w:spacing w:val="-15"/>
        </w:rPr>
        <w:t xml:space="preserve"> </w:t>
      </w:r>
      <w:r>
        <w:t>macrophages),</w:t>
      </w:r>
      <w:r>
        <w:rPr>
          <w:spacing w:val="-15"/>
        </w:rPr>
        <w:t xml:space="preserve"> </w:t>
      </w:r>
      <w:r>
        <w:t>where</w:t>
      </w:r>
      <w:r>
        <w:rPr>
          <w:spacing w:val="-15"/>
        </w:rPr>
        <w:t xml:space="preserve"> </w:t>
      </w:r>
      <w:r>
        <w:t>it</w:t>
      </w:r>
      <w:r>
        <w:rPr>
          <w:spacing w:val="-15"/>
        </w:rPr>
        <w:t xml:space="preserve"> </w:t>
      </w:r>
      <w:r>
        <w:t>is</w:t>
      </w:r>
      <w:r>
        <w:rPr>
          <w:spacing w:val="-15"/>
        </w:rPr>
        <w:t xml:space="preserve"> </w:t>
      </w:r>
      <w:r>
        <w:t>internalized</w:t>
      </w:r>
      <w:r>
        <w:rPr>
          <w:spacing w:val="-15"/>
        </w:rPr>
        <w:t xml:space="preserve"> </w:t>
      </w:r>
      <w:r>
        <w:t>and</w:t>
      </w:r>
      <w:r>
        <w:rPr>
          <w:spacing w:val="-15"/>
        </w:rPr>
        <w:t xml:space="preserve"> </w:t>
      </w:r>
      <w:r>
        <w:t>depolymerised</w:t>
      </w:r>
      <w:r>
        <w:rPr>
          <w:spacing w:val="-15"/>
        </w:rPr>
        <w:t xml:space="preserve"> </w:t>
      </w:r>
      <w:r>
        <w:t>followed by its degradation in the liver by heparinises and urinary excretion mainly in the form of depolymerized inactivated heparin.</w:t>
      </w:r>
    </w:p>
    <w:p w14:paraId="7EFA648F" w14:textId="77777777" w:rsidR="000940E6" w:rsidRDefault="00B90DF7" w:rsidP="00B90DF7">
      <w:pPr>
        <w:pStyle w:val="Heading2"/>
        <w:ind w:left="119"/>
      </w:pPr>
      <w:bookmarkStart w:id="66" w:name="Excretion"/>
      <w:bookmarkEnd w:id="66"/>
      <w:r>
        <w:rPr>
          <w:spacing w:val="-2"/>
        </w:rPr>
        <w:t>Excretion</w:t>
      </w:r>
    </w:p>
    <w:p w14:paraId="305886A4" w14:textId="4FF6F421" w:rsidR="00B90DF7" w:rsidRPr="00B90DF7" w:rsidRDefault="00B90DF7" w:rsidP="00B90DF7">
      <w:pPr>
        <w:rPr>
          <w:bCs/>
          <w:sz w:val="24"/>
          <w:szCs w:val="24"/>
        </w:rPr>
      </w:pPr>
      <w:r w:rsidRPr="00B90DF7">
        <w:rPr>
          <w:bCs/>
          <w:sz w:val="24"/>
          <w:szCs w:val="24"/>
        </w:rPr>
        <w:t>After parenteral administration heparin is eliminated from the blood through a combination of rapid saturable mechanism of zero-order and much slower first-order mechanism. The interindividual half-life has been reported to be approximately 1 - 2 hours. It depends on the actual dose administered, on liver and kidney function and on accompanying diseases</w:t>
      </w:r>
    </w:p>
    <w:p w14:paraId="1277F241" w14:textId="77777777" w:rsidR="000940E6" w:rsidRDefault="00B90DF7" w:rsidP="00B90DF7">
      <w:pPr>
        <w:pStyle w:val="Heading2"/>
        <w:numPr>
          <w:ilvl w:val="1"/>
          <w:numId w:val="1"/>
        </w:numPr>
        <w:tabs>
          <w:tab w:val="left" w:pos="695"/>
        </w:tabs>
        <w:spacing w:before="201"/>
        <w:ind w:left="695" w:hanging="575"/>
      </w:pPr>
      <w:bookmarkStart w:id="67" w:name="5.3_Pre-clinical_safety_data"/>
      <w:bookmarkEnd w:id="67"/>
      <w:r>
        <w:rPr>
          <w:smallCaps/>
          <w:spacing w:val="-2"/>
        </w:rPr>
        <w:lastRenderedPageBreak/>
        <w:t>Pre-clinical</w:t>
      </w:r>
      <w:r>
        <w:rPr>
          <w:smallCaps/>
          <w:spacing w:val="4"/>
        </w:rPr>
        <w:t xml:space="preserve"> </w:t>
      </w:r>
      <w:r>
        <w:rPr>
          <w:smallCaps/>
          <w:spacing w:val="-2"/>
        </w:rPr>
        <w:t>safety</w:t>
      </w:r>
      <w:r>
        <w:rPr>
          <w:smallCaps/>
          <w:spacing w:val="4"/>
        </w:rPr>
        <w:t xml:space="preserve"> </w:t>
      </w:r>
      <w:r>
        <w:rPr>
          <w:smallCaps/>
          <w:spacing w:val="-4"/>
        </w:rPr>
        <w:t>data</w:t>
      </w:r>
    </w:p>
    <w:p w14:paraId="1E9569DA" w14:textId="77777777" w:rsidR="000940E6" w:rsidRDefault="00B90DF7" w:rsidP="00B90DF7">
      <w:pPr>
        <w:pStyle w:val="BodyText"/>
        <w:spacing w:line="276" w:lineRule="auto"/>
        <w:ind w:left="119" w:right="130"/>
        <w:jc w:val="left"/>
      </w:pPr>
      <w:r>
        <w:t>Nonclinical data sourced from published literature reveal no special hazard for humans based on conventional data of safety pharmacology, repeated dose toxicity, genotoxicity, carcinogenicity, toxicity to reproduction and development.</w:t>
      </w:r>
    </w:p>
    <w:p w14:paraId="650A998C" w14:textId="77777777" w:rsidR="000940E6" w:rsidRDefault="00B90DF7" w:rsidP="00B90DF7">
      <w:pPr>
        <w:pStyle w:val="BodyText"/>
        <w:spacing w:before="120" w:line="276" w:lineRule="auto"/>
        <w:ind w:left="119" w:right="132"/>
        <w:jc w:val="left"/>
      </w:pPr>
      <w:r>
        <w:t>In animal studies only effects have been observed that have already been described also for humans in Section 4.8 Adverse</w:t>
      </w:r>
      <w:r>
        <w:rPr>
          <w:spacing w:val="-33"/>
        </w:rPr>
        <w:t xml:space="preserve"> </w:t>
      </w:r>
      <w:r>
        <w:t>effects (Undesirable effects), such as osteoporosis and bleeding.</w:t>
      </w:r>
    </w:p>
    <w:p w14:paraId="62B18964" w14:textId="77777777" w:rsidR="000940E6" w:rsidRDefault="00B90DF7" w:rsidP="00B90DF7">
      <w:pPr>
        <w:pStyle w:val="Heading2"/>
        <w:spacing w:before="201"/>
        <w:ind w:left="119"/>
      </w:pPr>
      <w:bookmarkStart w:id="68" w:name="Genotoxicity"/>
      <w:bookmarkEnd w:id="68"/>
      <w:r>
        <w:rPr>
          <w:spacing w:val="-2"/>
        </w:rPr>
        <w:t>Genotoxicity</w:t>
      </w:r>
    </w:p>
    <w:p w14:paraId="4FF0B2FE" w14:textId="77777777" w:rsidR="000940E6" w:rsidRDefault="00B90DF7" w:rsidP="00B90DF7">
      <w:pPr>
        <w:pStyle w:val="BodyText"/>
        <w:spacing w:line="276" w:lineRule="auto"/>
        <w:ind w:left="119" w:right="132"/>
        <w:jc w:val="left"/>
      </w:pPr>
      <w:r>
        <w:rPr>
          <w:i/>
        </w:rPr>
        <w:t>In</w:t>
      </w:r>
      <w:r>
        <w:rPr>
          <w:i/>
          <w:spacing w:val="-6"/>
        </w:rPr>
        <w:t xml:space="preserve"> </w:t>
      </w:r>
      <w:r>
        <w:rPr>
          <w:i/>
        </w:rPr>
        <w:t>vitro</w:t>
      </w:r>
      <w:r>
        <w:rPr>
          <w:i/>
          <w:spacing w:val="-6"/>
        </w:rPr>
        <w:t xml:space="preserve"> </w:t>
      </w:r>
      <w:r>
        <w:t>data</w:t>
      </w:r>
      <w:r>
        <w:rPr>
          <w:spacing w:val="-7"/>
        </w:rPr>
        <w:t xml:space="preserve"> </w:t>
      </w:r>
      <w:r>
        <w:t>suggest</w:t>
      </w:r>
      <w:r>
        <w:rPr>
          <w:spacing w:val="-5"/>
        </w:rPr>
        <w:t xml:space="preserve"> </w:t>
      </w:r>
      <w:r>
        <w:t>heparin</w:t>
      </w:r>
      <w:r>
        <w:rPr>
          <w:spacing w:val="-6"/>
        </w:rPr>
        <w:t xml:space="preserve"> </w:t>
      </w:r>
      <w:r>
        <w:t>is</w:t>
      </w:r>
      <w:r>
        <w:rPr>
          <w:spacing w:val="-6"/>
        </w:rPr>
        <w:t xml:space="preserve"> </w:t>
      </w:r>
      <w:r>
        <w:t>associated</w:t>
      </w:r>
      <w:r>
        <w:rPr>
          <w:spacing w:val="-6"/>
        </w:rPr>
        <w:t xml:space="preserve"> </w:t>
      </w:r>
      <w:r>
        <w:t>with</w:t>
      </w:r>
      <w:r>
        <w:rPr>
          <w:spacing w:val="-6"/>
        </w:rPr>
        <w:t xml:space="preserve"> </w:t>
      </w:r>
      <w:r>
        <w:t>DNA</w:t>
      </w:r>
      <w:r>
        <w:rPr>
          <w:spacing w:val="-6"/>
        </w:rPr>
        <w:t xml:space="preserve"> </w:t>
      </w:r>
      <w:r>
        <w:t>inhibition,</w:t>
      </w:r>
      <w:r>
        <w:rPr>
          <w:spacing w:val="-6"/>
        </w:rPr>
        <w:t xml:space="preserve"> </w:t>
      </w:r>
      <w:r>
        <w:t>unscheduled</w:t>
      </w:r>
      <w:r>
        <w:rPr>
          <w:spacing w:val="-6"/>
        </w:rPr>
        <w:t xml:space="preserve"> </w:t>
      </w:r>
      <w:r>
        <w:t>DNA</w:t>
      </w:r>
      <w:r>
        <w:rPr>
          <w:spacing w:val="-6"/>
        </w:rPr>
        <w:t xml:space="preserve"> </w:t>
      </w:r>
      <w:r>
        <w:t>synthesis,</w:t>
      </w:r>
      <w:r>
        <w:rPr>
          <w:spacing w:val="-6"/>
        </w:rPr>
        <w:t xml:space="preserve"> </w:t>
      </w:r>
      <w:r>
        <w:t xml:space="preserve">and unspecified DNA damage in various bacterial and mammalian cell types. No in vivo data are </w:t>
      </w:r>
      <w:r>
        <w:rPr>
          <w:spacing w:val="-2"/>
        </w:rPr>
        <w:t>available.</w:t>
      </w:r>
    </w:p>
    <w:p w14:paraId="600FA92A" w14:textId="77777777" w:rsidR="000940E6" w:rsidRDefault="00B90DF7" w:rsidP="00B90DF7">
      <w:pPr>
        <w:pStyle w:val="Heading2"/>
        <w:ind w:left="119"/>
      </w:pPr>
      <w:bookmarkStart w:id="69" w:name="Carcinogenicity"/>
      <w:bookmarkEnd w:id="69"/>
      <w:r>
        <w:rPr>
          <w:spacing w:val="-2"/>
        </w:rPr>
        <w:t>Carcinogenicity</w:t>
      </w:r>
    </w:p>
    <w:p w14:paraId="53D9A9DE" w14:textId="77777777" w:rsidR="000940E6" w:rsidRDefault="00B90DF7" w:rsidP="00B90DF7">
      <w:pPr>
        <w:pStyle w:val="BodyText"/>
        <w:spacing w:before="158" w:line="276" w:lineRule="auto"/>
        <w:ind w:left="119" w:firstLine="60"/>
        <w:jc w:val="left"/>
      </w:pPr>
      <w:r>
        <w:t>No</w:t>
      </w:r>
      <w:r>
        <w:rPr>
          <w:spacing w:val="30"/>
        </w:rPr>
        <w:t xml:space="preserve"> </w:t>
      </w:r>
      <w:r>
        <w:t>studies</w:t>
      </w:r>
      <w:r>
        <w:rPr>
          <w:spacing w:val="30"/>
        </w:rPr>
        <w:t xml:space="preserve"> </w:t>
      </w:r>
      <w:r>
        <w:t>in</w:t>
      </w:r>
      <w:r>
        <w:rPr>
          <w:spacing w:val="30"/>
        </w:rPr>
        <w:t xml:space="preserve"> </w:t>
      </w:r>
      <w:r>
        <w:t>animals</w:t>
      </w:r>
      <w:r>
        <w:rPr>
          <w:spacing w:val="30"/>
        </w:rPr>
        <w:t xml:space="preserve"> </w:t>
      </w:r>
      <w:r>
        <w:t>have</w:t>
      </w:r>
      <w:r>
        <w:rPr>
          <w:spacing w:val="29"/>
        </w:rPr>
        <w:t xml:space="preserve"> </w:t>
      </w:r>
      <w:r>
        <w:t>been</w:t>
      </w:r>
      <w:r>
        <w:rPr>
          <w:spacing w:val="30"/>
        </w:rPr>
        <w:t xml:space="preserve"> </w:t>
      </w:r>
      <w:r>
        <w:t>performed</w:t>
      </w:r>
      <w:r>
        <w:rPr>
          <w:spacing w:val="30"/>
        </w:rPr>
        <w:t xml:space="preserve"> </w:t>
      </w:r>
      <w:r>
        <w:t>to</w:t>
      </w:r>
      <w:r>
        <w:rPr>
          <w:spacing w:val="30"/>
        </w:rPr>
        <w:t xml:space="preserve"> </w:t>
      </w:r>
      <w:r>
        <w:t>evaluate</w:t>
      </w:r>
      <w:r>
        <w:rPr>
          <w:spacing w:val="29"/>
        </w:rPr>
        <w:t xml:space="preserve"> </w:t>
      </w:r>
      <w:r>
        <w:t>the</w:t>
      </w:r>
      <w:r>
        <w:rPr>
          <w:spacing w:val="29"/>
        </w:rPr>
        <w:t xml:space="preserve"> </w:t>
      </w:r>
      <w:r>
        <w:t>carcinogenic</w:t>
      </w:r>
      <w:r>
        <w:rPr>
          <w:spacing w:val="32"/>
        </w:rPr>
        <w:t xml:space="preserve"> </w:t>
      </w:r>
      <w:r>
        <w:t>potential</w:t>
      </w:r>
      <w:r>
        <w:rPr>
          <w:spacing w:val="31"/>
        </w:rPr>
        <w:t xml:space="preserve"> </w:t>
      </w:r>
      <w:r>
        <w:t>of</w:t>
      </w:r>
      <w:r>
        <w:rPr>
          <w:spacing w:val="29"/>
        </w:rPr>
        <w:t xml:space="preserve"> </w:t>
      </w:r>
      <w:r>
        <w:t xml:space="preserve">heparin </w:t>
      </w:r>
      <w:r>
        <w:rPr>
          <w:spacing w:val="-2"/>
        </w:rPr>
        <w:t>sodium.</w:t>
      </w:r>
    </w:p>
    <w:p w14:paraId="60567BEB" w14:textId="77777777" w:rsidR="000940E6" w:rsidRDefault="00B90DF7" w:rsidP="00B90DF7">
      <w:pPr>
        <w:pStyle w:val="Heading1"/>
        <w:numPr>
          <w:ilvl w:val="0"/>
          <w:numId w:val="1"/>
        </w:numPr>
        <w:tabs>
          <w:tab w:val="left" w:pos="552"/>
        </w:tabs>
        <w:spacing w:before="243"/>
        <w:ind w:hanging="432"/>
      </w:pPr>
      <w:bookmarkStart w:id="70" w:name="6_Pharmaceutical_particulars"/>
      <w:bookmarkEnd w:id="70"/>
      <w:r>
        <w:t>PHARMACEUTICAL</w:t>
      </w:r>
      <w:r>
        <w:rPr>
          <w:spacing w:val="-11"/>
        </w:rPr>
        <w:t xml:space="preserve"> </w:t>
      </w:r>
      <w:r>
        <w:rPr>
          <w:spacing w:val="-2"/>
        </w:rPr>
        <w:t>PARTICULARS</w:t>
      </w:r>
    </w:p>
    <w:p w14:paraId="70DCD124" w14:textId="77777777" w:rsidR="000940E6" w:rsidRDefault="00B90DF7" w:rsidP="00B90DF7">
      <w:pPr>
        <w:pStyle w:val="Heading2"/>
        <w:numPr>
          <w:ilvl w:val="1"/>
          <w:numId w:val="1"/>
        </w:numPr>
        <w:tabs>
          <w:tab w:val="left" w:pos="695"/>
        </w:tabs>
        <w:spacing w:before="248"/>
        <w:ind w:left="695" w:hanging="575"/>
      </w:pPr>
      <w:bookmarkStart w:id="71" w:name="6.1_List_of_excipients"/>
      <w:bookmarkEnd w:id="71"/>
      <w:r>
        <w:rPr>
          <w:smallCaps/>
        </w:rPr>
        <w:t>List</w:t>
      </w:r>
      <w:r>
        <w:rPr>
          <w:smallCaps/>
          <w:spacing w:val="-3"/>
        </w:rPr>
        <w:t xml:space="preserve"> </w:t>
      </w:r>
      <w:r>
        <w:rPr>
          <w:smallCaps/>
        </w:rPr>
        <w:t>of</w:t>
      </w:r>
      <w:r>
        <w:rPr>
          <w:smallCaps/>
          <w:spacing w:val="-5"/>
        </w:rPr>
        <w:t xml:space="preserve"> </w:t>
      </w:r>
      <w:r>
        <w:rPr>
          <w:smallCaps/>
          <w:spacing w:val="-2"/>
        </w:rPr>
        <w:t>excipients</w:t>
      </w:r>
    </w:p>
    <w:p w14:paraId="62504C0F" w14:textId="77777777" w:rsidR="000940E6" w:rsidRDefault="00B90DF7" w:rsidP="00B90DF7">
      <w:pPr>
        <w:pStyle w:val="ListParagraph"/>
        <w:numPr>
          <w:ilvl w:val="2"/>
          <w:numId w:val="1"/>
        </w:numPr>
        <w:tabs>
          <w:tab w:val="left" w:pos="839"/>
        </w:tabs>
        <w:spacing w:before="160"/>
        <w:ind w:left="839" w:hanging="359"/>
        <w:rPr>
          <w:rFonts w:ascii="Cambria" w:hAnsi="Cambria"/>
          <w:sz w:val="24"/>
        </w:rPr>
      </w:pPr>
      <w:r>
        <w:rPr>
          <w:rFonts w:ascii="Cambria" w:hAnsi="Cambria"/>
          <w:sz w:val="24"/>
        </w:rPr>
        <w:t>Water</w:t>
      </w:r>
      <w:r>
        <w:rPr>
          <w:rFonts w:ascii="Cambria" w:hAnsi="Cambria"/>
          <w:spacing w:val="-3"/>
          <w:sz w:val="24"/>
        </w:rPr>
        <w:t xml:space="preserve"> </w:t>
      </w:r>
      <w:r>
        <w:rPr>
          <w:rFonts w:ascii="Cambria" w:hAnsi="Cambria"/>
          <w:sz w:val="24"/>
        </w:rPr>
        <w:t>for</w:t>
      </w:r>
      <w:r>
        <w:rPr>
          <w:rFonts w:ascii="Cambria" w:hAnsi="Cambria"/>
          <w:spacing w:val="-2"/>
          <w:sz w:val="24"/>
        </w:rPr>
        <w:t xml:space="preserve"> injections</w:t>
      </w:r>
    </w:p>
    <w:p w14:paraId="3D82D090" w14:textId="77777777" w:rsidR="000940E6" w:rsidRDefault="00B90DF7" w:rsidP="00B90DF7">
      <w:pPr>
        <w:pStyle w:val="ListParagraph"/>
        <w:numPr>
          <w:ilvl w:val="2"/>
          <w:numId w:val="1"/>
        </w:numPr>
        <w:tabs>
          <w:tab w:val="left" w:pos="839"/>
        </w:tabs>
        <w:spacing w:before="44"/>
        <w:ind w:left="839" w:hanging="359"/>
        <w:rPr>
          <w:rFonts w:ascii="Cambria" w:hAnsi="Cambria"/>
          <w:sz w:val="24"/>
        </w:rPr>
      </w:pPr>
      <w:r>
        <w:rPr>
          <w:rFonts w:ascii="Cambria" w:hAnsi="Cambria"/>
          <w:sz w:val="24"/>
        </w:rPr>
        <w:t>Sodium</w:t>
      </w:r>
      <w:r>
        <w:rPr>
          <w:rFonts w:ascii="Cambria" w:hAnsi="Cambria"/>
          <w:spacing w:val="-3"/>
          <w:sz w:val="24"/>
        </w:rPr>
        <w:t xml:space="preserve"> </w:t>
      </w:r>
      <w:r>
        <w:rPr>
          <w:rFonts w:ascii="Cambria" w:hAnsi="Cambria"/>
          <w:sz w:val="24"/>
        </w:rPr>
        <w:t>hydroxide</w:t>
      </w:r>
      <w:r>
        <w:rPr>
          <w:rFonts w:ascii="Cambria" w:hAnsi="Cambria"/>
          <w:spacing w:val="-2"/>
          <w:sz w:val="24"/>
        </w:rPr>
        <w:t xml:space="preserve"> </w:t>
      </w:r>
      <w:r>
        <w:rPr>
          <w:rFonts w:ascii="Cambria" w:hAnsi="Cambria"/>
          <w:sz w:val="24"/>
        </w:rPr>
        <w:t>(for</w:t>
      </w:r>
      <w:r>
        <w:rPr>
          <w:rFonts w:ascii="Cambria" w:hAnsi="Cambria"/>
          <w:spacing w:val="-3"/>
          <w:sz w:val="24"/>
        </w:rPr>
        <w:t xml:space="preserve"> </w:t>
      </w:r>
      <w:r>
        <w:rPr>
          <w:rFonts w:ascii="Cambria" w:hAnsi="Cambria"/>
          <w:sz w:val="24"/>
        </w:rPr>
        <w:t>pH</w:t>
      </w:r>
      <w:r>
        <w:rPr>
          <w:rFonts w:ascii="Cambria" w:hAnsi="Cambria"/>
          <w:spacing w:val="-1"/>
          <w:sz w:val="24"/>
        </w:rPr>
        <w:t xml:space="preserve"> </w:t>
      </w:r>
      <w:r>
        <w:rPr>
          <w:rFonts w:ascii="Cambria" w:hAnsi="Cambria"/>
          <w:spacing w:val="-2"/>
          <w:sz w:val="24"/>
        </w:rPr>
        <w:t>adjustment)</w:t>
      </w:r>
    </w:p>
    <w:p w14:paraId="5E87FA7A" w14:textId="77777777" w:rsidR="000940E6" w:rsidRDefault="00B90DF7" w:rsidP="00B90DF7">
      <w:pPr>
        <w:pStyle w:val="ListParagraph"/>
        <w:numPr>
          <w:ilvl w:val="2"/>
          <w:numId w:val="1"/>
        </w:numPr>
        <w:tabs>
          <w:tab w:val="left" w:pos="839"/>
        </w:tabs>
        <w:spacing w:before="41"/>
        <w:ind w:left="839" w:hanging="359"/>
        <w:rPr>
          <w:rFonts w:ascii="Cambria" w:hAnsi="Cambria"/>
          <w:sz w:val="24"/>
        </w:rPr>
      </w:pPr>
      <w:r>
        <w:rPr>
          <w:rFonts w:ascii="Cambria" w:hAnsi="Cambria"/>
          <w:sz w:val="24"/>
        </w:rPr>
        <w:t>Hydrochloric</w:t>
      </w:r>
      <w:r>
        <w:rPr>
          <w:rFonts w:ascii="Cambria" w:hAnsi="Cambria"/>
          <w:spacing w:val="-4"/>
          <w:sz w:val="24"/>
        </w:rPr>
        <w:t xml:space="preserve"> </w:t>
      </w:r>
      <w:r>
        <w:rPr>
          <w:rFonts w:ascii="Cambria" w:hAnsi="Cambria"/>
          <w:sz w:val="24"/>
        </w:rPr>
        <w:t>acid</w:t>
      </w:r>
      <w:r>
        <w:rPr>
          <w:rFonts w:ascii="Cambria" w:hAnsi="Cambria"/>
          <w:spacing w:val="-2"/>
          <w:sz w:val="24"/>
        </w:rPr>
        <w:t xml:space="preserve"> </w:t>
      </w:r>
      <w:r>
        <w:rPr>
          <w:rFonts w:ascii="Cambria" w:hAnsi="Cambria"/>
          <w:sz w:val="24"/>
        </w:rPr>
        <w:t>(for</w:t>
      </w:r>
      <w:r>
        <w:rPr>
          <w:rFonts w:ascii="Cambria" w:hAnsi="Cambria"/>
          <w:spacing w:val="-4"/>
          <w:sz w:val="24"/>
        </w:rPr>
        <w:t xml:space="preserve"> </w:t>
      </w:r>
      <w:r>
        <w:rPr>
          <w:rFonts w:ascii="Cambria" w:hAnsi="Cambria"/>
          <w:sz w:val="24"/>
        </w:rPr>
        <w:t>pH</w:t>
      </w:r>
      <w:r>
        <w:rPr>
          <w:rFonts w:ascii="Cambria" w:hAnsi="Cambria"/>
          <w:spacing w:val="-2"/>
          <w:sz w:val="24"/>
        </w:rPr>
        <w:t xml:space="preserve"> adjustment)</w:t>
      </w:r>
    </w:p>
    <w:p w14:paraId="21A1162E" w14:textId="77777777" w:rsidR="000940E6" w:rsidRDefault="00B90DF7" w:rsidP="00B90DF7">
      <w:pPr>
        <w:pStyle w:val="Heading2"/>
        <w:numPr>
          <w:ilvl w:val="1"/>
          <w:numId w:val="1"/>
        </w:numPr>
        <w:tabs>
          <w:tab w:val="left" w:pos="695"/>
        </w:tabs>
        <w:spacing w:before="241"/>
        <w:ind w:left="695" w:hanging="575"/>
      </w:pPr>
      <w:bookmarkStart w:id="72" w:name="6.2_Incompatibilities"/>
      <w:bookmarkEnd w:id="72"/>
      <w:r>
        <w:rPr>
          <w:smallCaps/>
          <w:spacing w:val="-2"/>
        </w:rPr>
        <w:t>Incompatibilities</w:t>
      </w:r>
    </w:p>
    <w:p w14:paraId="3BDC9FDA" w14:textId="77777777" w:rsidR="000940E6" w:rsidRDefault="00B90DF7" w:rsidP="00B90DF7">
      <w:pPr>
        <w:pStyle w:val="BodyText"/>
        <w:spacing w:line="276" w:lineRule="auto"/>
        <w:ind w:right="129"/>
        <w:jc w:val="left"/>
      </w:pPr>
      <w:r>
        <w:t>Incompatibility has been reported between heparin (sodium) and alteplase, amikacin sulphate, amiodarone, ampicillin sodium, benzylpenicillin sodium, cephalothin sodium, ciprofloxacin lactate, cytarabine, dacarbazine, daunorubicin hydrochloride, diazepam, dobutamine hydrochloride, doxorubicin hydrochloride, droperidol, erythromycin lactobionate, gentamicin sulphate, haloperidol lactate, hyaluronidase, hydrocortisone sodium succinate, kanamycin sulphate, methicillin sodium, netilimicin sulphate, opioid analge</w:t>
      </w:r>
      <w:r>
        <w:t>sics, oxytetracycline hydrochloride, polymyxin B sulphate, promazine hydrochloride, promethazine hydrochloride, streptomycin sulphate, sulphafurazole diethanolamine, tetracycline hydrochloride, tobramycin sulphate, vancomycin hydrochloride and vinblastine sulphate.</w:t>
      </w:r>
    </w:p>
    <w:p w14:paraId="19ED506E" w14:textId="77777777" w:rsidR="000940E6" w:rsidRDefault="00B90DF7" w:rsidP="00B90DF7">
      <w:pPr>
        <w:pStyle w:val="BodyText"/>
        <w:spacing w:before="120" w:line="276" w:lineRule="auto"/>
        <w:ind w:right="130"/>
        <w:jc w:val="left"/>
      </w:pPr>
      <w:r>
        <w:t>Heparin sodium has also been reported to be incompatible with cisatracurium besylate, labetalol hydrochloride and nicardipine hydrochloride.</w:t>
      </w:r>
    </w:p>
    <w:p w14:paraId="40334475" w14:textId="77777777" w:rsidR="000940E6" w:rsidRDefault="00B90DF7" w:rsidP="00B90DF7">
      <w:pPr>
        <w:pStyle w:val="BodyText"/>
        <w:spacing w:before="121" w:line="276" w:lineRule="auto"/>
        <w:ind w:right="132"/>
        <w:jc w:val="left"/>
      </w:pPr>
      <w:r>
        <w:t>Admixture with glucose can have variable effects. Incompatibility has been reported between heparin and fat emulsion.</w:t>
      </w:r>
    </w:p>
    <w:p w14:paraId="09D614B3" w14:textId="77777777" w:rsidR="000940E6" w:rsidRDefault="000940E6" w:rsidP="00B90DF7">
      <w:pPr>
        <w:spacing w:line="276" w:lineRule="auto"/>
        <w:sectPr w:rsidR="000940E6">
          <w:pgSz w:w="11910" w:h="16840"/>
          <w:pgMar w:top="1360" w:right="1000" w:bottom="1420" w:left="1320" w:header="0" w:footer="1228" w:gutter="0"/>
          <w:cols w:space="720"/>
        </w:sectPr>
      </w:pPr>
    </w:p>
    <w:p w14:paraId="74E4C27C" w14:textId="77777777" w:rsidR="000940E6" w:rsidRDefault="00B90DF7" w:rsidP="00B90DF7">
      <w:pPr>
        <w:pStyle w:val="Heading2"/>
        <w:numPr>
          <w:ilvl w:val="1"/>
          <w:numId w:val="1"/>
        </w:numPr>
        <w:tabs>
          <w:tab w:val="left" w:pos="695"/>
        </w:tabs>
        <w:spacing w:before="63"/>
        <w:ind w:left="695"/>
      </w:pPr>
      <w:bookmarkStart w:id="73" w:name="6.3_Shelf_life"/>
      <w:bookmarkEnd w:id="73"/>
      <w:r>
        <w:rPr>
          <w:smallCaps/>
        </w:rPr>
        <w:lastRenderedPageBreak/>
        <w:t>Shelf</w:t>
      </w:r>
      <w:r>
        <w:rPr>
          <w:smallCaps/>
          <w:spacing w:val="-9"/>
        </w:rPr>
        <w:t xml:space="preserve"> </w:t>
      </w:r>
      <w:r>
        <w:rPr>
          <w:smallCaps/>
          <w:spacing w:val="-4"/>
        </w:rPr>
        <w:t>life</w:t>
      </w:r>
    </w:p>
    <w:p w14:paraId="0705F660" w14:textId="77777777" w:rsidR="000940E6" w:rsidRDefault="00B90DF7" w:rsidP="00B90DF7">
      <w:pPr>
        <w:pStyle w:val="BodyText"/>
        <w:spacing w:before="158" w:line="276" w:lineRule="auto"/>
        <w:ind w:left="119" w:right="132"/>
        <w:jc w:val="left"/>
      </w:pPr>
      <w:r>
        <w:t>In Australia, information on the shelf life can be found on the public summary of the Australian Register of Therapeutic Goods (ARTG). The expiry date can be found on the packaging</w:t>
      </w:r>
    </w:p>
    <w:p w14:paraId="0AC986F0" w14:textId="77777777" w:rsidR="000940E6" w:rsidRDefault="00B90DF7" w:rsidP="00B90DF7">
      <w:pPr>
        <w:pStyle w:val="Heading2"/>
        <w:numPr>
          <w:ilvl w:val="1"/>
          <w:numId w:val="1"/>
        </w:numPr>
        <w:tabs>
          <w:tab w:val="left" w:pos="695"/>
        </w:tabs>
        <w:spacing w:before="203"/>
        <w:ind w:left="695"/>
      </w:pPr>
      <w:bookmarkStart w:id="74" w:name="6.4_Special_precautions_for_storage"/>
      <w:bookmarkEnd w:id="74"/>
      <w:r>
        <w:rPr>
          <w:smallCaps/>
          <w:spacing w:val="-2"/>
        </w:rPr>
        <w:t>Special</w:t>
      </w:r>
      <w:r>
        <w:rPr>
          <w:smallCaps/>
          <w:spacing w:val="2"/>
        </w:rPr>
        <w:t xml:space="preserve"> </w:t>
      </w:r>
      <w:r>
        <w:rPr>
          <w:smallCaps/>
          <w:spacing w:val="-2"/>
        </w:rPr>
        <w:t>precautions</w:t>
      </w:r>
      <w:r>
        <w:rPr>
          <w:smallCaps/>
          <w:spacing w:val="2"/>
        </w:rPr>
        <w:t xml:space="preserve"> </w:t>
      </w:r>
      <w:r>
        <w:rPr>
          <w:smallCaps/>
          <w:spacing w:val="-2"/>
        </w:rPr>
        <w:t>for</w:t>
      </w:r>
      <w:r>
        <w:rPr>
          <w:smallCaps/>
          <w:spacing w:val="1"/>
        </w:rPr>
        <w:t xml:space="preserve"> </w:t>
      </w:r>
      <w:r>
        <w:rPr>
          <w:smallCaps/>
          <w:spacing w:val="-2"/>
        </w:rPr>
        <w:t>storage</w:t>
      </w:r>
    </w:p>
    <w:p w14:paraId="704A524B" w14:textId="77777777" w:rsidR="000940E6" w:rsidRDefault="00B90DF7" w:rsidP="00B90DF7">
      <w:pPr>
        <w:pStyle w:val="BodyText"/>
        <w:spacing w:before="159"/>
        <w:jc w:val="left"/>
      </w:pPr>
      <w:r>
        <w:t>Store</w:t>
      </w:r>
      <w:r>
        <w:rPr>
          <w:spacing w:val="-3"/>
        </w:rPr>
        <w:t xml:space="preserve"> </w:t>
      </w:r>
      <w:r>
        <w:t>below</w:t>
      </w:r>
      <w:r>
        <w:rPr>
          <w:spacing w:val="-2"/>
        </w:rPr>
        <w:t xml:space="preserve"> </w:t>
      </w:r>
      <w:r>
        <w:t>25°C.</w:t>
      </w:r>
      <w:r>
        <w:rPr>
          <w:spacing w:val="-2"/>
        </w:rPr>
        <w:t xml:space="preserve"> </w:t>
      </w:r>
      <w:r>
        <w:t>Do</w:t>
      </w:r>
      <w:r>
        <w:rPr>
          <w:spacing w:val="-1"/>
        </w:rPr>
        <w:t xml:space="preserve"> </w:t>
      </w:r>
      <w:r>
        <w:t>not</w:t>
      </w:r>
      <w:r>
        <w:rPr>
          <w:spacing w:val="-2"/>
        </w:rPr>
        <w:t xml:space="preserve"> </w:t>
      </w:r>
      <w:r>
        <w:t>refrigerate</w:t>
      </w:r>
      <w:r>
        <w:rPr>
          <w:spacing w:val="-2"/>
        </w:rPr>
        <w:t xml:space="preserve"> </w:t>
      </w:r>
      <w:r>
        <w:t xml:space="preserve">or </w:t>
      </w:r>
      <w:r>
        <w:rPr>
          <w:spacing w:val="-2"/>
        </w:rPr>
        <w:t>freeze.</w:t>
      </w:r>
    </w:p>
    <w:p w14:paraId="6E43EE6B" w14:textId="77777777" w:rsidR="000940E6" w:rsidRDefault="00B90DF7" w:rsidP="00B90DF7">
      <w:pPr>
        <w:pStyle w:val="BodyText"/>
        <w:spacing w:before="163" w:line="276" w:lineRule="auto"/>
        <w:ind w:right="132"/>
        <w:jc w:val="left"/>
      </w:pPr>
      <w:r>
        <w:t>Only use the product if the solution is clear and the container is intact. Do not use if solution is yellow or contains precipitates.</w:t>
      </w:r>
    </w:p>
    <w:p w14:paraId="3F1E83B8" w14:textId="77777777" w:rsidR="000940E6" w:rsidRDefault="00B90DF7" w:rsidP="00B90DF7">
      <w:pPr>
        <w:pStyle w:val="Heading2"/>
        <w:numPr>
          <w:ilvl w:val="1"/>
          <w:numId w:val="1"/>
        </w:numPr>
        <w:tabs>
          <w:tab w:val="left" w:pos="695"/>
        </w:tabs>
        <w:spacing w:before="200"/>
        <w:ind w:left="695" w:hanging="575"/>
      </w:pPr>
      <w:bookmarkStart w:id="75" w:name="6.5_Nature_and_contents_of_container"/>
      <w:bookmarkEnd w:id="75"/>
      <w:r>
        <w:rPr>
          <w:smallCaps/>
        </w:rPr>
        <w:t>Nature</w:t>
      </w:r>
      <w:r>
        <w:rPr>
          <w:smallCaps/>
          <w:spacing w:val="-9"/>
        </w:rPr>
        <w:t xml:space="preserve"> </w:t>
      </w:r>
      <w:r>
        <w:rPr>
          <w:smallCaps/>
        </w:rPr>
        <w:t>and</w:t>
      </w:r>
      <w:r>
        <w:rPr>
          <w:smallCaps/>
          <w:spacing w:val="-9"/>
        </w:rPr>
        <w:t xml:space="preserve"> </w:t>
      </w:r>
      <w:r>
        <w:rPr>
          <w:smallCaps/>
        </w:rPr>
        <w:t>contents</w:t>
      </w:r>
      <w:r>
        <w:rPr>
          <w:smallCaps/>
          <w:spacing w:val="-6"/>
        </w:rPr>
        <w:t xml:space="preserve"> </w:t>
      </w:r>
      <w:r>
        <w:rPr>
          <w:smallCaps/>
        </w:rPr>
        <w:t>of</w:t>
      </w:r>
      <w:r>
        <w:rPr>
          <w:smallCaps/>
          <w:spacing w:val="-10"/>
        </w:rPr>
        <w:t xml:space="preserve"> </w:t>
      </w:r>
      <w:r>
        <w:rPr>
          <w:smallCaps/>
          <w:spacing w:val="-2"/>
        </w:rPr>
        <w:t>container</w:t>
      </w:r>
    </w:p>
    <w:p w14:paraId="10B005A2" w14:textId="77777777" w:rsidR="000940E6" w:rsidRDefault="00B90DF7" w:rsidP="00B90DF7">
      <w:pPr>
        <w:pStyle w:val="BodyText"/>
        <w:spacing w:line="276" w:lineRule="auto"/>
        <w:ind w:right="130"/>
        <w:jc w:val="left"/>
      </w:pPr>
      <w:r>
        <w:t>HEPARIN INTERPHARMA</w:t>
      </w:r>
      <w:r>
        <w:rPr>
          <w:spacing w:val="40"/>
        </w:rPr>
        <w:t xml:space="preserve"> </w:t>
      </w:r>
      <w:r>
        <w:t>is supplied in ready to use type I clear glass prefilled syringes containing 0.5</w:t>
      </w:r>
      <w:r>
        <w:rPr>
          <w:spacing w:val="-1"/>
        </w:rPr>
        <w:t xml:space="preserve"> </w:t>
      </w:r>
      <w:r>
        <w:t>mL sterile solution for injection. Each syringe is provided with an affixed siliconised 27g x ½” stainless steel needle with a needle shield.</w:t>
      </w:r>
    </w:p>
    <w:p w14:paraId="4BD4DEE2" w14:textId="77777777" w:rsidR="000940E6" w:rsidRDefault="00B90DF7" w:rsidP="00B90DF7">
      <w:pPr>
        <w:pStyle w:val="BodyText"/>
        <w:spacing w:before="118"/>
        <w:jc w:val="left"/>
      </w:pPr>
      <w:r>
        <w:t>Pack</w:t>
      </w:r>
      <w:r>
        <w:rPr>
          <w:spacing w:val="-1"/>
        </w:rPr>
        <w:t xml:space="preserve"> </w:t>
      </w:r>
      <w:r>
        <w:t>size</w:t>
      </w:r>
      <w:r>
        <w:rPr>
          <w:spacing w:val="-2"/>
        </w:rPr>
        <w:t xml:space="preserve"> </w:t>
      </w:r>
      <w:r>
        <w:t>–</w:t>
      </w:r>
      <w:r>
        <w:rPr>
          <w:spacing w:val="-1"/>
        </w:rPr>
        <w:t xml:space="preserve"> </w:t>
      </w:r>
      <w:r>
        <w:t>10</w:t>
      </w:r>
      <w:r>
        <w:rPr>
          <w:spacing w:val="-1"/>
        </w:rPr>
        <w:t xml:space="preserve"> </w:t>
      </w:r>
      <w:r>
        <w:t>x</w:t>
      </w:r>
      <w:r>
        <w:rPr>
          <w:spacing w:val="-1"/>
        </w:rPr>
        <w:t xml:space="preserve"> </w:t>
      </w:r>
      <w:r>
        <w:t>prefilled</w:t>
      </w:r>
      <w:r>
        <w:rPr>
          <w:spacing w:val="2"/>
        </w:rPr>
        <w:t xml:space="preserve"> </w:t>
      </w:r>
      <w:r>
        <w:rPr>
          <w:spacing w:val="-2"/>
        </w:rPr>
        <w:t>syringe</w:t>
      </w:r>
    </w:p>
    <w:p w14:paraId="4077656F" w14:textId="77777777" w:rsidR="000940E6" w:rsidRDefault="00B90DF7" w:rsidP="00B90DF7">
      <w:pPr>
        <w:pStyle w:val="Heading2"/>
        <w:numPr>
          <w:ilvl w:val="1"/>
          <w:numId w:val="1"/>
        </w:numPr>
        <w:tabs>
          <w:tab w:val="left" w:pos="695"/>
        </w:tabs>
        <w:spacing w:before="245"/>
        <w:ind w:left="695" w:hanging="575"/>
      </w:pPr>
      <w:bookmarkStart w:id="76" w:name="6.6_Special_precautions_for_disposal"/>
      <w:bookmarkEnd w:id="76"/>
      <w:r>
        <w:rPr>
          <w:smallCaps/>
          <w:spacing w:val="-2"/>
        </w:rPr>
        <w:t>Special</w:t>
      </w:r>
      <w:r>
        <w:rPr>
          <w:smallCaps/>
          <w:spacing w:val="2"/>
        </w:rPr>
        <w:t xml:space="preserve"> </w:t>
      </w:r>
      <w:r>
        <w:rPr>
          <w:smallCaps/>
          <w:spacing w:val="-2"/>
        </w:rPr>
        <w:t>precautions</w:t>
      </w:r>
      <w:r>
        <w:rPr>
          <w:smallCaps/>
          <w:spacing w:val="2"/>
        </w:rPr>
        <w:t xml:space="preserve"> </w:t>
      </w:r>
      <w:r>
        <w:rPr>
          <w:smallCaps/>
          <w:spacing w:val="-2"/>
        </w:rPr>
        <w:t>for</w:t>
      </w:r>
      <w:r>
        <w:rPr>
          <w:smallCaps/>
          <w:spacing w:val="1"/>
        </w:rPr>
        <w:t xml:space="preserve"> </w:t>
      </w:r>
      <w:r>
        <w:rPr>
          <w:smallCaps/>
          <w:spacing w:val="-2"/>
        </w:rPr>
        <w:t>disposal</w:t>
      </w:r>
    </w:p>
    <w:p w14:paraId="3F7B2B4A" w14:textId="77777777" w:rsidR="000940E6" w:rsidRDefault="00B90DF7" w:rsidP="00B90DF7">
      <w:pPr>
        <w:pStyle w:val="BodyText"/>
        <w:spacing w:before="159" w:line="276" w:lineRule="auto"/>
        <w:ind w:right="133"/>
        <w:jc w:val="left"/>
      </w:pPr>
      <w:r>
        <w:t>In Australia, any unused medicine or waste material should be disposed of in accordance with local requirements.</w:t>
      </w:r>
    </w:p>
    <w:p w14:paraId="73389929" w14:textId="77777777" w:rsidR="000940E6" w:rsidRDefault="00B90DF7" w:rsidP="00B90DF7">
      <w:pPr>
        <w:pStyle w:val="ListParagraph"/>
        <w:numPr>
          <w:ilvl w:val="1"/>
          <w:numId w:val="1"/>
        </w:numPr>
        <w:tabs>
          <w:tab w:val="left" w:pos="695"/>
        </w:tabs>
        <w:spacing w:before="202"/>
        <w:ind w:left="695" w:hanging="575"/>
        <w:rPr>
          <w:b/>
          <w:sz w:val="24"/>
        </w:rPr>
      </w:pPr>
      <w:bookmarkStart w:id="77" w:name="6.7_Physicochemical_properties"/>
      <w:bookmarkEnd w:id="77"/>
      <w:r>
        <w:rPr>
          <w:b/>
          <w:smallCaps/>
          <w:spacing w:val="-2"/>
          <w:sz w:val="24"/>
        </w:rPr>
        <w:t>Physicochemical</w:t>
      </w:r>
      <w:r>
        <w:rPr>
          <w:b/>
          <w:smallCaps/>
          <w:spacing w:val="4"/>
          <w:sz w:val="24"/>
        </w:rPr>
        <w:t xml:space="preserve"> </w:t>
      </w:r>
      <w:r>
        <w:rPr>
          <w:b/>
          <w:smallCaps/>
          <w:spacing w:val="-2"/>
          <w:sz w:val="24"/>
        </w:rPr>
        <w:t>properties</w:t>
      </w:r>
    </w:p>
    <w:p w14:paraId="5D58AD95" w14:textId="77777777" w:rsidR="000940E6" w:rsidRDefault="000940E6" w:rsidP="00B90DF7">
      <w:pPr>
        <w:pStyle w:val="BodyText"/>
        <w:spacing w:before="22"/>
        <w:ind w:left="0"/>
        <w:jc w:val="left"/>
        <w:rPr>
          <w:b/>
          <w:sz w:val="19"/>
        </w:rPr>
      </w:pPr>
    </w:p>
    <w:p w14:paraId="2E08185A" w14:textId="77777777" w:rsidR="000940E6" w:rsidRDefault="00B90DF7" w:rsidP="00B90DF7">
      <w:pPr>
        <w:ind w:left="120"/>
        <w:rPr>
          <w:b/>
          <w:sz w:val="24"/>
        </w:rPr>
      </w:pPr>
      <w:bookmarkStart w:id="78" w:name="Chemical_structure"/>
      <w:bookmarkEnd w:id="78"/>
      <w:r>
        <w:rPr>
          <w:b/>
          <w:sz w:val="24"/>
        </w:rPr>
        <w:t>Chemical</w:t>
      </w:r>
      <w:r>
        <w:rPr>
          <w:b/>
          <w:spacing w:val="-2"/>
          <w:sz w:val="24"/>
        </w:rPr>
        <w:t xml:space="preserve"> structure</w:t>
      </w:r>
    </w:p>
    <w:p w14:paraId="079B0BC4" w14:textId="77777777" w:rsidR="000940E6" w:rsidRDefault="00B90DF7" w:rsidP="00B90DF7">
      <w:pPr>
        <w:pStyle w:val="BodyText"/>
        <w:spacing w:before="92"/>
        <w:ind w:left="0"/>
        <w:jc w:val="left"/>
        <w:rPr>
          <w:b/>
          <w:sz w:val="20"/>
        </w:rPr>
      </w:pPr>
      <w:r>
        <w:rPr>
          <w:noProof/>
        </w:rPr>
        <w:drawing>
          <wp:anchor distT="0" distB="0" distL="0" distR="0" simplePos="0" relativeHeight="487587840" behindDoc="1" locked="0" layoutInCell="1" allowOverlap="1" wp14:anchorId="78D7A668" wp14:editId="0417DF44">
            <wp:simplePos x="0" y="0"/>
            <wp:positionH relativeFrom="page">
              <wp:posOffset>914400</wp:posOffset>
            </wp:positionH>
            <wp:positionV relativeFrom="paragraph">
              <wp:posOffset>220212</wp:posOffset>
            </wp:positionV>
            <wp:extent cx="2798968" cy="1944624"/>
            <wp:effectExtent l="0" t="0" r="0" b="0"/>
            <wp:wrapTopAndBottom/>
            <wp:docPr id="3" name="Image 3" descr="Heparin Sodium Salt (CAS No: 9041-08-1), #abs818914 Suppliers - Heparin  Sodium Salt (CAS No: 9041-08-1), #abs818914 for Sale - ABSI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eparin Sodium Salt (CAS No: 9041-08-1), #abs818914 Suppliers - Heparin  Sodium Salt (CAS No: 9041-08-1), #abs818914 for Sale - ABSIN "/>
                    <pic:cNvPicPr/>
                  </pic:nvPicPr>
                  <pic:blipFill>
                    <a:blip r:embed="rId11" cstate="print"/>
                    <a:stretch>
                      <a:fillRect/>
                    </a:stretch>
                  </pic:blipFill>
                  <pic:spPr>
                    <a:xfrm>
                      <a:off x="0" y="0"/>
                      <a:ext cx="2798968" cy="1944624"/>
                    </a:xfrm>
                    <a:prstGeom prst="rect">
                      <a:avLst/>
                    </a:prstGeom>
                  </pic:spPr>
                </pic:pic>
              </a:graphicData>
            </a:graphic>
          </wp:anchor>
        </w:drawing>
      </w:r>
    </w:p>
    <w:p w14:paraId="621F143A" w14:textId="77777777" w:rsidR="000940E6" w:rsidRDefault="00B90DF7" w:rsidP="00B90DF7">
      <w:pPr>
        <w:spacing w:before="212"/>
        <w:ind w:left="120"/>
        <w:rPr>
          <w:b/>
          <w:sz w:val="24"/>
        </w:rPr>
      </w:pPr>
      <w:r>
        <w:rPr>
          <w:b/>
          <w:sz w:val="24"/>
        </w:rPr>
        <w:t>CAS</w:t>
      </w:r>
      <w:r>
        <w:rPr>
          <w:b/>
          <w:spacing w:val="-4"/>
          <w:sz w:val="24"/>
        </w:rPr>
        <w:t xml:space="preserve"> </w:t>
      </w:r>
      <w:r>
        <w:rPr>
          <w:b/>
          <w:spacing w:val="-2"/>
          <w:sz w:val="24"/>
        </w:rPr>
        <w:t>number</w:t>
      </w:r>
    </w:p>
    <w:p w14:paraId="5D57CD7C" w14:textId="77777777" w:rsidR="000940E6" w:rsidRDefault="00B90DF7" w:rsidP="00B90DF7">
      <w:pPr>
        <w:pStyle w:val="BodyText"/>
        <w:jc w:val="left"/>
      </w:pPr>
      <w:r>
        <w:rPr>
          <w:spacing w:val="-2"/>
        </w:rPr>
        <w:t>9041-08-</w:t>
      </w:r>
      <w:r>
        <w:rPr>
          <w:spacing w:val="-10"/>
        </w:rPr>
        <w:t>1</w:t>
      </w:r>
    </w:p>
    <w:p w14:paraId="0C72F4C7" w14:textId="77777777" w:rsidR="000940E6" w:rsidRDefault="000940E6" w:rsidP="00B90DF7">
      <w:pPr>
        <w:pStyle w:val="BodyText"/>
        <w:spacing w:before="6"/>
        <w:ind w:left="0"/>
        <w:jc w:val="left"/>
      </w:pPr>
    </w:p>
    <w:p w14:paraId="31252AE5" w14:textId="77777777" w:rsidR="000940E6" w:rsidRDefault="00B90DF7" w:rsidP="00B90DF7">
      <w:pPr>
        <w:pStyle w:val="Heading1"/>
        <w:numPr>
          <w:ilvl w:val="0"/>
          <w:numId w:val="1"/>
        </w:numPr>
        <w:tabs>
          <w:tab w:val="left" w:pos="552"/>
        </w:tabs>
        <w:ind w:hanging="432"/>
      </w:pPr>
      <w:bookmarkStart w:id="79" w:name="7_Medicine_schedule_(Poisons_Standard)"/>
      <w:bookmarkEnd w:id="79"/>
      <w:r>
        <w:t>MEDICINE</w:t>
      </w:r>
      <w:r>
        <w:rPr>
          <w:spacing w:val="-8"/>
        </w:rPr>
        <w:t xml:space="preserve"> </w:t>
      </w:r>
      <w:r>
        <w:t>SCHEDULE</w:t>
      </w:r>
      <w:r>
        <w:rPr>
          <w:spacing w:val="-8"/>
        </w:rPr>
        <w:t xml:space="preserve"> </w:t>
      </w:r>
      <w:r>
        <w:t>(POISONS</w:t>
      </w:r>
      <w:r>
        <w:rPr>
          <w:spacing w:val="-8"/>
        </w:rPr>
        <w:t xml:space="preserve"> </w:t>
      </w:r>
      <w:r>
        <w:rPr>
          <w:spacing w:val="-2"/>
        </w:rPr>
        <w:t>STANDARD)</w:t>
      </w:r>
    </w:p>
    <w:p w14:paraId="79EB5A4C" w14:textId="77777777" w:rsidR="000940E6" w:rsidRDefault="00B90DF7" w:rsidP="00B90DF7">
      <w:pPr>
        <w:pStyle w:val="BodyText"/>
        <w:spacing w:before="169"/>
        <w:jc w:val="left"/>
      </w:pPr>
      <w:r>
        <w:t>S4</w:t>
      </w:r>
      <w:r>
        <w:rPr>
          <w:spacing w:val="-2"/>
        </w:rPr>
        <w:t xml:space="preserve"> </w:t>
      </w:r>
      <w:r>
        <w:t>-</w:t>
      </w:r>
      <w:r>
        <w:rPr>
          <w:spacing w:val="-2"/>
        </w:rPr>
        <w:t xml:space="preserve"> </w:t>
      </w:r>
      <w:r>
        <w:t>(Prescription</w:t>
      </w:r>
      <w:r>
        <w:rPr>
          <w:spacing w:val="-1"/>
        </w:rPr>
        <w:t xml:space="preserve"> </w:t>
      </w:r>
      <w:r>
        <w:t>only</w:t>
      </w:r>
      <w:r>
        <w:rPr>
          <w:spacing w:val="-1"/>
        </w:rPr>
        <w:t xml:space="preserve"> </w:t>
      </w:r>
      <w:r>
        <w:rPr>
          <w:spacing w:val="-2"/>
        </w:rPr>
        <w:t>medicine)</w:t>
      </w:r>
    </w:p>
    <w:p w14:paraId="54F3FDE9" w14:textId="77777777" w:rsidR="000940E6" w:rsidRDefault="000940E6" w:rsidP="00B90DF7">
      <w:pPr>
        <w:sectPr w:rsidR="000940E6">
          <w:pgSz w:w="11910" w:h="16840"/>
          <w:pgMar w:top="1360" w:right="1000" w:bottom="1420" w:left="1320" w:header="0" w:footer="1228" w:gutter="0"/>
          <w:cols w:space="720"/>
        </w:sectPr>
      </w:pPr>
    </w:p>
    <w:p w14:paraId="2F60A77E" w14:textId="77777777" w:rsidR="000940E6" w:rsidRDefault="00B90DF7" w:rsidP="00B90DF7">
      <w:pPr>
        <w:pStyle w:val="Heading1"/>
        <w:numPr>
          <w:ilvl w:val="0"/>
          <w:numId w:val="1"/>
        </w:numPr>
        <w:tabs>
          <w:tab w:val="left" w:pos="552"/>
        </w:tabs>
        <w:spacing w:before="61"/>
        <w:ind w:hanging="432"/>
      </w:pPr>
      <w:bookmarkStart w:id="80" w:name="8_Sponsor"/>
      <w:bookmarkEnd w:id="80"/>
      <w:r>
        <w:rPr>
          <w:spacing w:val="-2"/>
        </w:rPr>
        <w:lastRenderedPageBreak/>
        <w:t>SPONSOR</w:t>
      </w:r>
    </w:p>
    <w:p w14:paraId="2A064A11" w14:textId="77777777" w:rsidR="000940E6" w:rsidRDefault="00B90DF7" w:rsidP="00B90DF7">
      <w:pPr>
        <w:pStyle w:val="BodyText"/>
        <w:spacing w:before="167"/>
        <w:jc w:val="left"/>
      </w:pPr>
      <w:r>
        <w:t>InterPharma</w:t>
      </w:r>
      <w:r>
        <w:rPr>
          <w:spacing w:val="-4"/>
        </w:rPr>
        <w:t xml:space="preserve"> </w:t>
      </w:r>
      <w:r>
        <w:t>Pty</w:t>
      </w:r>
      <w:r>
        <w:rPr>
          <w:spacing w:val="-3"/>
        </w:rPr>
        <w:t xml:space="preserve"> </w:t>
      </w:r>
      <w:r>
        <w:rPr>
          <w:spacing w:val="-5"/>
        </w:rPr>
        <w:t>Ltd</w:t>
      </w:r>
    </w:p>
    <w:p w14:paraId="4E5437FB" w14:textId="77777777" w:rsidR="000940E6" w:rsidRDefault="00B90DF7" w:rsidP="00B90DF7">
      <w:pPr>
        <w:pStyle w:val="BodyText"/>
        <w:spacing w:before="163" w:line="379" w:lineRule="auto"/>
        <w:ind w:right="6191"/>
        <w:jc w:val="left"/>
      </w:pPr>
      <w:r>
        <w:t>Suite 103, 39 East Esplanade MANLY</w:t>
      </w:r>
      <w:r>
        <w:rPr>
          <w:spacing w:val="-12"/>
        </w:rPr>
        <w:t xml:space="preserve"> </w:t>
      </w:r>
      <w:r>
        <w:t>NSW</w:t>
      </w:r>
      <w:r>
        <w:rPr>
          <w:spacing w:val="-12"/>
        </w:rPr>
        <w:t xml:space="preserve"> </w:t>
      </w:r>
      <w:r>
        <w:t>2095</w:t>
      </w:r>
      <w:r>
        <w:rPr>
          <w:spacing w:val="-11"/>
        </w:rPr>
        <w:t xml:space="preserve"> </w:t>
      </w:r>
      <w:r>
        <w:t>Australia Ph.: 02 9976 6876</w:t>
      </w:r>
    </w:p>
    <w:p w14:paraId="0FF46ECE" w14:textId="77777777" w:rsidR="000940E6" w:rsidRDefault="00B90DF7" w:rsidP="00B90DF7">
      <w:pPr>
        <w:pStyle w:val="BodyText"/>
        <w:spacing w:before="3"/>
        <w:jc w:val="left"/>
      </w:pPr>
      <w:hyperlink r:id="rId12">
        <w:r>
          <w:rPr>
            <w:spacing w:val="-2"/>
          </w:rPr>
          <w:t>admin@interpharma.com.au</w:t>
        </w:r>
      </w:hyperlink>
    </w:p>
    <w:p w14:paraId="2F4B876A" w14:textId="77777777" w:rsidR="000940E6" w:rsidRDefault="000940E6" w:rsidP="00B90DF7">
      <w:pPr>
        <w:pStyle w:val="BodyText"/>
        <w:spacing w:before="0"/>
        <w:ind w:left="0"/>
        <w:jc w:val="left"/>
      </w:pPr>
    </w:p>
    <w:p w14:paraId="7F96B848" w14:textId="77777777" w:rsidR="000940E6" w:rsidRDefault="000940E6" w:rsidP="00B90DF7">
      <w:pPr>
        <w:pStyle w:val="BodyText"/>
        <w:spacing w:before="5"/>
        <w:ind w:left="0"/>
        <w:jc w:val="left"/>
      </w:pPr>
    </w:p>
    <w:p w14:paraId="5428ACFF" w14:textId="77777777" w:rsidR="000940E6" w:rsidRDefault="00B90DF7" w:rsidP="00B90DF7">
      <w:pPr>
        <w:pStyle w:val="Heading1"/>
        <w:numPr>
          <w:ilvl w:val="0"/>
          <w:numId w:val="1"/>
        </w:numPr>
        <w:tabs>
          <w:tab w:val="left" w:pos="552"/>
        </w:tabs>
        <w:ind w:hanging="432"/>
      </w:pPr>
      <w:bookmarkStart w:id="81" w:name="9_Date_of_first_approval"/>
      <w:bookmarkEnd w:id="81"/>
      <w:r>
        <w:t>DATE</w:t>
      </w:r>
      <w:r>
        <w:rPr>
          <w:spacing w:val="-4"/>
        </w:rPr>
        <w:t xml:space="preserve"> </w:t>
      </w:r>
      <w:r>
        <w:t>OF</w:t>
      </w:r>
      <w:r>
        <w:rPr>
          <w:spacing w:val="-4"/>
        </w:rPr>
        <w:t xml:space="preserve"> </w:t>
      </w:r>
      <w:r>
        <w:t>FIRST</w:t>
      </w:r>
      <w:r>
        <w:rPr>
          <w:spacing w:val="-3"/>
        </w:rPr>
        <w:t xml:space="preserve"> </w:t>
      </w:r>
      <w:r>
        <w:rPr>
          <w:spacing w:val="-2"/>
        </w:rPr>
        <w:t>APPROVAL</w:t>
      </w:r>
    </w:p>
    <w:p w14:paraId="3781A2CE" w14:textId="77777777" w:rsidR="000940E6" w:rsidRDefault="00B90DF7" w:rsidP="00B90DF7">
      <w:pPr>
        <w:pStyle w:val="BodyText"/>
        <w:spacing w:before="169"/>
        <w:jc w:val="left"/>
      </w:pPr>
      <w:r>
        <w:rPr>
          <w:spacing w:val="-5"/>
        </w:rPr>
        <w:t>TBA</w:t>
      </w:r>
    </w:p>
    <w:p w14:paraId="034F8F75" w14:textId="77777777" w:rsidR="000940E6" w:rsidRDefault="000940E6" w:rsidP="00B90DF7">
      <w:pPr>
        <w:pStyle w:val="BodyText"/>
        <w:spacing w:before="6"/>
        <w:ind w:left="0"/>
        <w:jc w:val="left"/>
      </w:pPr>
    </w:p>
    <w:p w14:paraId="1E3F2E15" w14:textId="77777777" w:rsidR="000940E6" w:rsidRDefault="00B90DF7" w:rsidP="00B90DF7">
      <w:pPr>
        <w:pStyle w:val="ListParagraph"/>
        <w:numPr>
          <w:ilvl w:val="0"/>
          <w:numId w:val="1"/>
        </w:numPr>
        <w:tabs>
          <w:tab w:val="left" w:pos="550"/>
        </w:tabs>
        <w:ind w:left="550" w:hanging="430"/>
        <w:rPr>
          <w:b/>
          <w:sz w:val="28"/>
        </w:rPr>
      </w:pPr>
      <w:bookmarkStart w:id="82" w:name="10_Date_of_revision"/>
      <w:bookmarkEnd w:id="82"/>
      <w:r>
        <w:rPr>
          <w:b/>
          <w:sz w:val="28"/>
        </w:rPr>
        <w:t>DATE</w:t>
      </w:r>
      <w:r>
        <w:rPr>
          <w:b/>
          <w:spacing w:val="-4"/>
          <w:sz w:val="28"/>
        </w:rPr>
        <w:t xml:space="preserve"> </w:t>
      </w:r>
      <w:r>
        <w:rPr>
          <w:b/>
          <w:sz w:val="28"/>
        </w:rPr>
        <w:t>OF</w:t>
      </w:r>
      <w:r>
        <w:rPr>
          <w:b/>
          <w:spacing w:val="-2"/>
          <w:sz w:val="28"/>
        </w:rPr>
        <w:t xml:space="preserve"> REVISION</w:t>
      </w:r>
    </w:p>
    <w:sectPr w:rsidR="000940E6">
      <w:pgSz w:w="11910" w:h="16840"/>
      <w:pgMar w:top="1360" w:right="1000" w:bottom="1420" w:left="1320" w:header="0" w:footer="1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9E32" w14:textId="77777777" w:rsidR="00B90DF7" w:rsidRDefault="00B90DF7">
      <w:r>
        <w:separator/>
      </w:r>
    </w:p>
  </w:endnote>
  <w:endnote w:type="continuationSeparator" w:id="0">
    <w:p w14:paraId="706516EB" w14:textId="77777777" w:rsidR="00B90DF7" w:rsidRDefault="00B9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D4B7" w14:textId="77777777" w:rsidR="000940E6" w:rsidRDefault="00B90DF7">
    <w:pPr>
      <w:pStyle w:val="BodyText"/>
      <w:spacing w:before="0" w:line="14" w:lineRule="auto"/>
      <w:ind w:left="0"/>
      <w:jc w:val="left"/>
      <w:rPr>
        <w:sz w:val="20"/>
      </w:rPr>
    </w:pPr>
    <w:r>
      <w:rPr>
        <w:noProof/>
      </w:rPr>
      <mc:AlternateContent>
        <mc:Choice Requires="wps">
          <w:drawing>
            <wp:anchor distT="0" distB="0" distL="0" distR="0" simplePos="0" relativeHeight="487233536" behindDoc="1" locked="0" layoutInCell="1" allowOverlap="1" wp14:anchorId="02A4202E" wp14:editId="6D7324A1">
              <wp:simplePos x="0" y="0"/>
              <wp:positionH relativeFrom="page">
                <wp:posOffset>901700</wp:posOffset>
              </wp:positionH>
              <wp:positionV relativeFrom="page">
                <wp:posOffset>9772874</wp:posOffset>
              </wp:positionV>
              <wp:extent cx="382016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04470"/>
                      </a:xfrm>
                      <a:prstGeom prst="rect">
                        <a:avLst/>
                      </a:prstGeom>
                    </wps:spPr>
                    <wps:txbx>
                      <w:txbxContent>
                        <w:p w14:paraId="338787FD" w14:textId="77777777" w:rsidR="000940E6" w:rsidRDefault="00B90DF7">
                          <w:pPr>
                            <w:pStyle w:val="BodyText"/>
                            <w:spacing w:before="20"/>
                            <w:ind w:left="20"/>
                            <w:jc w:val="left"/>
                            <w:rPr>
                              <w:rFonts w:ascii="Cambria"/>
                            </w:rPr>
                          </w:pPr>
                          <w:r>
                            <w:rPr>
                              <w:rFonts w:ascii="Cambria"/>
                            </w:rPr>
                            <w:t>HEPARIN</w:t>
                          </w:r>
                          <w:r>
                            <w:rPr>
                              <w:rFonts w:ascii="Cambria"/>
                              <w:spacing w:val="-4"/>
                            </w:rPr>
                            <w:t xml:space="preserve"> </w:t>
                          </w:r>
                          <w:r>
                            <w:rPr>
                              <w:rFonts w:ascii="Cambria"/>
                            </w:rPr>
                            <w:t>INTERPHARMA</w:t>
                          </w:r>
                          <w:r>
                            <w:rPr>
                              <w:rFonts w:ascii="Cambria"/>
                              <w:spacing w:val="-3"/>
                            </w:rPr>
                            <w:t xml:space="preserve"> </w:t>
                          </w:r>
                          <w:r>
                            <w:rPr>
                              <w:rFonts w:ascii="Cambria"/>
                            </w:rPr>
                            <w:t>,</w:t>
                          </w:r>
                          <w:r>
                            <w:rPr>
                              <w:rFonts w:ascii="Cambria"/>
                              <w:spacing w:val="-2"/>
                            </w:rPr>
                            <w:t xml:space="preserve"> </w:t>
                          </w:r>
                          <w:r>
                            <w:rPr>
                              <w:rFonts w:ascii="Cambria"/>
                            </w:rPr>
                            <w:t>prefilled</w:t>
                          </w:r>
                          <w:r>
                            <w:rPr>
                              <w:rFonts w:ascii="Cambria"/>
                              <w:spacing w:val="-1"/>
                            </w:rPr>
                            <w:t xml:space="preserve"> </w:t>
                          </w:r>
                          <w:r>
                            <w:rPr>
                              <w:rFonts w:ascii="Cambria"/>
                            </w:rPr>
                            <w:t>syringe</w:t>
                          </w:r>
                          <w:r>
                            <w:rPr>
                              <w:rFonts w:ascii="Cambria"/>
                              <w:spacing w:val="-3"/>
                            </w:rPr>
                            <w:t xml:space="preserve"> </w:t>
                          </w:r>
                          <w:r>
                            <w:rPr>
                              <w:rFonts w:ascii="Cambria"/>
                            </w:rPr>
                            <w:t>V1.8</w:t>
                          </w:r>
                          <w:r>
                            <w:rPr>
                              <w:rFonts w:ascii="Cambria"/>
                              <w:spacing w:val="-3"/>
                            </w:rPr>
                            <w:t xml:space="preserve"> </w:t>
                          </w:r>
                          <w:r>
                            <w:rPr>
                              <w:rFonts w:ascii="Cambria"/>
                            </w:rPr>
                            <w:t>Oct</w:t>
                          </w:r>
                          <w:r>
                            <w:rPr>
                              <w:rFonts w:ascii="Cambria"/>
                              <w:spacing w:val="-2"/>
                            </w:rPr>
                            <w:t xml:space="preserve"> </w:t>
                          </w:r>
                          <w:r>
                            <w:rPr>
                              <w:rFonts w:ascii="Cambria"/>
                              <w:spacing w:val="-4"/>
                            </w:rPr>
                            <w:t>2023</w:t>
                          </w:r>
                        </w:p>
                      </w:txbxContent>
                    </wps:txbx>
                    <wps:bodyPr wrap="square" lIns="0" tIns="0" rIns="0" bIns="0" rtlCol="0">
                      <a:noAutofit/>
                    </wps:bodyPr>
                  </wps:wsp>
                </a:graphicData>
              </a:graphic>
            </wp:anchor>
          </w:drawing>
        </mc:Choice>
        <mc:Fallback>
          <w:pict>
            <v:shapetype w14:anchorId="02A4202E" id="_x0000_t202" coordsize="21600,21600" o:spt="202" path="m,l,21600r21600,l21600,xe">
              <v:stroke joinstyle="miter"/>
              <v:path gradientshapeok="t" o:connecttype="rect"/>
            </v:shapetype>
            <v:shape id="Textbox 1" o:spid="_x0000_s1026" type="#_x0000_t202" style="position:absolute;margin-left:71pt;margin-top:769.5pt;width:300.8pt;height:16.1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" filled="f" stroked="f">
              <v:textbox inset="0,0,0,0">
                <w:txbxContent>
                  <w:p w14:paraId="338787FD" w14:textId="77777777" w:rsidR="000940E6" w:rsidRDefault="00B90DF7">
                    <w:pPr>
                      <w:pStyle w:val="BodyText"/>
                      <w:spacing w:before="20"/>
                      <w:ind w:left="20"/>
                      <w:jc w:val="left"/>
                      <w:rPr>
                        <w:rFonts w:ascii="Cambria"/>
                      </w:rPr>
                    </w:pPr>
                    <w:r>
                      <w:rPr>
                        <w:rFonts w:ascii="Cambria"/>
                      </w:rPr>
                      <w:t>HEPARIN</w:t>
                    </w:r>
                    <w:r>
                      <w:rPr>
                        <w:rFonts w:ascii="Cambria"/>
                        <w:spacing w:val="-4"/>
                      </w:rPr>
                      <w:t xml:space="preserve"> </w:t>
                    </w:r>
                    <w:r>
                      <w:rPr>
                        <w:rFonts w:ascii="Cambria"/>
                      </w:rPr>
                      <w:t>INTERPHARMA</w:t>
                    </w:r>
                    <w:r>
                      <w:rPr>
                        <w:rFonts w:ascii="Cambria"/>
                        <w:spacing w:val="-3"/>
                      </w:rPr>
                      <w:t xml:space="preserve"> </w:t>
                    </w:r>
                    <w:r>
                      <w:rPr>
                        <w:rFonts w:ascii="Cambria"/>
                      </w:rPr>
                      <w:t>,</w:t>
                    </w:r>
                    <w:r>
                      <w:rPr>
                        <w:rFonts w:ascii="Cambria"/>
                        <w:spacing w:val="-2"/>
                      </w:rPr>
                      <w:t xml:space="preserve"> </w:t>
                    </w:r>
                    <w:r>
                      <w:rPr>
                        <w:rFonts w:ascii="Cambria"/>
                      </w:rPr>
                      <w:t>prefilled</w:t>
                    </w:r>
                    <w:r>
                      <w:rPr>
                        <w:rFonts w:ascii="Cambria"/>
                        <w:spacing w:val="-1"/>
                      </w:rPr>
                      <w:t xml:space="preserve"> </w:t>
                    </w:r>
                    <w:r>
                      <w:rPr>
                        <w:rFonts w:ascii="Cambria"/>
                      </w:rPr>
                      <w:t>syringe</w:t>
                    </w:r>
                    <w:r>
                      <w:rPr>
                        <w:rFonts w:ascii="Cambria"/>
                        <w:spacing w:val="-3"/>
                      </w:rPr>
                      <w:t xml:space="preserve"> </w:t>
                    </w:r>
                    <w:r>
                      <w:rPr>
                        <w:rFonts w:ascii="Cambria"/>
                      </w:rPr>
                      <w:t>V1.8</w:t>
                    </w:r>
                    <w:r>
                      <w:rPr>
                        <w:rFonts w:ascii="Cambria"/>
                        <w:spacing w:val="-3"/>
                      </w:rPr>
                      <w:t xml:space="preserve"> </w:t>
                    </w:r>
                    <w:r>
                      <w:rPr>
                        <w:rFonts w:ascii="Cambria"/>
                      </w:rPr>
                      <w:t>Oct</w:t>
                    </w:r>
                    <w:r>
                      <w:rPr>
                        <w:rFonts w:ascii="Cambria"/>
                        <w:spacing w:val="-2"/>
                      </w:rPr>
                      <w:t xml:space="preserve"> </w:t>
                    </w:r>
                    <w:r>
                      <w:rPr>
                        <w:rFonts w:ascii="Cambria"/>
                        <w:spacing w:val="-4"/>
                      </w:rPr>
                      <w:t>2023</w:t>
                    </w:r>
                  </w:p>
                </w:txbxContent>
              </v:textbox>
              <w10:wrap anchorx="page" anchory="page"/>
            </v:shape>
          </w:pict>
        </mc:Fallback>
      </mc:AlternateContent>
    </w:r>
    <w:r>
      <w:rPr>
        <w:noProof/>
      </w:rPr>
      <mc:AlternateContent>
        <mc:Choice Requires="wps">
          <w:drawing>
            <wp:anchor distT="0" distB="0" distL="0" distR="0" simplePos="0" relativeHeight="487234048" behindDoc="1" locked="0" layoutInCell="1" allowOverlap="1" wp14:anchorId="75511CDD" wp14:editId="43CD3C1A">
              <wp:simplePos x="0" y="0"/>
              <wp:positionH relativeFrom="page">
                <wp:posOffset>5757164</wp:posOffset>
              </wp:positionH>
              <wp:positionV relativeFrom="page">
                <wp:posOffset>9772874</wp:posOffset>
              </wp:positionV>
              <wp:extent cx="901700"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0" cy="204470"/>
                      </a:xfrm>
                      <a:prstGeom prst="rect">
                        <a:avLst/>
                      </a:prstGeom>
                    </wps:spPr>
                    <wps:txbx>
                      <w:txbxContent>
                        <w:p w14:paraId="41729B00" w14:textId="77777777" w:rsidR="000940E6" w:rsidRDefault="00B90DF7">
                          <w:pPr>
                            <w:pStyle w:val="BodyText"/>
                            <w:spacing w:before="20"/>
                            <w:ind w:left="20"/>
                            <w:jc w:val="left"/>
                            <w:rPr>
                              <w:rFonts w:ascii="Cambria"/>
                            </w:rPr>
                          </w:pPr>
                          <w:r>
                            <w:rPr>
                              <w:rFonts w:ascii="Cambria"/>
                            </w:rPr>
                            <w:t>Page</w:t>
                          </w:r>
                          <w:r>
                            <w:rPr>
                              <w:rFonts w:ascii="Cambria"/>
                              <w:spacing w:val="-1"/>
                            </w:rPr>
                            <w:t xml:space="preserve"> </w:t>
                          </w:r>
                          <w:r>
                            <w:rPr>
                              <w:rFonts w:ascii="Cambria"/>
                            </w:rPr>
                            <w:fldChar w:fldCharType="begin"/>
                          </w:r>
                          <w:r>
                            <w:rPr>
                              <w:rFonts w:ascii="Cambria"/>
                            </w:rPr>
                            <w:instrText xml:space="preserve"> PAGE </w:instrText>
                          </w:r>
                          <w:r>
                            <w:rPr>
                              <w:rFonts w:ascii="Cambria"/>
                            </w:rPr>
                            <w:fldChar w:fldCharType="separate"/>
                          </w:r>
                          <w:r>
                            <w:rPr>
                              <w:rFonts w:ascii="Cambria"/>
                            </w:rPr>
                            <w:t>10</w:t>
                          </w:r>
                          <w:r>
                            <w:rPr>
                              <w:rFonts w:ascii="Cambria"/>
                            </w:rPr>
                            <w:fldChar w:fldCharType="end"/>
                          </w:r>
                          <w:r>
                            <w:rPr>
                              <w:rFonts w:ascii="Cambria"/>
                              <w:spacing w:val="-2"/>
                            </w:rPr>
                            <w:t xml:space="preserve"> </w:t>
                          </w:r>
                          <w:r>
                            <w:rPr>
                              <w:rFonts w:ascii="Cambria"/>
                            </w:rPr>
                            <w:t>of</w:t>
                          </w:r>
                          <w:r>
                            <w:rPr>
                              <w:rFonts w:ascii="Cambria"/>
                              <w:spacing w:val="-1"/>
                            </w:rPr>
                            <w:t xml:space="preserve"> </w:t>
                          </w:r>
                          <w:r>
                            <w:rPr>
                              <w:rFonts w:ascii="Cambria"/>
                              <w:spacing w:val="-5"/>
                            </w:rPr>
                            <w:fldChar w:fldCharType="begin"/>
                          </w:r>
                          <w:r>
                            <w:rPr>
                              <w:rFonts w:ascii="Cambria"/>
                              <w:spacing w:val="-5"/>
                            </w:rPr>
                            <w:instrText xml:space="preserve"> NUMPAGES </w:instrText>
                          </w:r>
                          <w:r>
                            <w:rPr>
                              <w:rFonts w:ascii="Cambria"/>
                              <w:spacing w:val="-5"/>
                            </w:rPr>
                            <w:fldChar w:fldCharType="separate"/>
                          </w:r>
                          <w:r>
                            <w:rPr>
                              <w:rFonts w:ascii="Cambria"/>
                              <w:spacing w:val="-5"/>
                            </w:rPr>
                            <w:t>17</w:t>
                          </w:r>
                          <w:r>
                            <w:rPr>
                              <w:rFonts w:ascii="Cambria"/>
                              <w:spacing w:val="-5"/>
                            </w:rPr>
                            <w:fldChar w:fldCharType="end"/>
                          </w:r>
                        </w:p>
                      </w:txbxContent>
                    </wps:txbx>
                    <wps:bodyPr wrap="square" lIns="0" tIns="0" rIns="0" bIns="0" rtlCol="0">
                      <a:noAutofit/>
                    </wps:bodyPr>
                  </wps:wsp>
                </a:graphicData>
              </a:graphic>
            </wp:anchor>
          </w:drawing>
        </mc:Choice>
        <mc:Fallback>
          <w:pict>
            <v:shape w14:anchorId="75511CDD" id="Textbox 2" o:spid="_x0000_s1027" type="#_x0000_t202" style="position:absolute;margin-left:453.3pt;margin-top:769.5pt;width:71pt;height:16.1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" filled="f" stroked="f">
              <v:textbox inset="0,0,0,0">
                <w:txbxContent>
                  <w:p w14:paraId="41729B00" w14:textId="77777777" w:rsidR="000940E6" w:rsidRDefault="00B90DF7">
                    <w:pPr>
                      <w:pStyle w:val="BodyText"/>
                      <w:spacing w:before="20"/>
                      <w:ind w:left="20"/>
                      <w:jc w:val="left"/>
                      <w:rPr>
                        <w:rFonts w:ascii="Cambria"/>
                      </w:rPr>
                    </w:pPr>
                    <w:r>
                      <w:rPr>
                        <w:rFonts w:ascii="Cambria"/>
                      </w:rPr>
                      <w:t>Page</w:t>
                    </w:r>
                    <w:r>
                      <w:rPr>
                        <w:rFonts w:ascii="Cambria"/>
                        <w:spacing w:val="-1"/>
                      </w:rPr>
                      <w:t xml:space="preserve"> </w:t>
                    </w:r>
                    <w:r>
                      <w:rPr>
                        <w:rFonts w:ascii="Cambria"/>
                      </w:rPr>
                      <w:fldChar w:fldCharType="begin"/>
                    </w:r>
                    <w:r>
                      <w:rPr>
                        <w:rFonts w:ascii="Cambria"/>
                      </w:rPr>
                      <w:instrText xml:space="preserve"> PAGE </w:instrText>
                    </w:r>
                    <w:r>
                      <w:rPr>
                        <w:rFonts w:ascii="Cambria"/>
                      </w:rPr>
                      <w:fldChar w:fldCharType="separate"/>
                    </w:r>
                    <w:r>
                      <w:rPr>
                        <w:rFonts w:ascii="Cambria"/>
                      </w:rPr>
                      <w:t>10</w:t>
                    </w:r>
                    <w:r>
                      <w:rPr>
                        <w:rFonts w:ascii="Cambria"/>
                      </w:rPr>
                      <w:fldChar w:fldCharType="end"/>
                    </w:r>
                    <w:r>
                      <w:rPr>
                        <w:rFonts w:ascii="Cambria"/>
                        <w:spacing w:val="-2"/>
                      </w:rPr>
                      <w:t xml:space="preserve"> </w:t>
                    </w:r>
                    <w:r>
                      <w:rPr>
                        <w:rFonts w:ascii="Cambria"/>
                      </w:rPr>
                      <w:t>of</w:t>
                    </w:r>
                    <w:r>
                      <w:rPr>
                        <w:rFonts w:ascii="Cambria"/>
                        <w:spacing w:val="-1"/>
                      </w:rPr>
                      <w:t xml:space="preserve"> </w:t>
                    </w:r>
                    <w:r>
                      <w:rPr>
                        <w:rFonts w:ascii="Cambria"/>
                        <w:spacing w:val="-5"/>
                      </w:rPr>
                      <w:fldChar w:fldCharType="begin"/>
                    </w:r>
                    <w:r>
                      <w:rPr>
                        <w:rFonts w:ascii="Cambria"/>
                        <w:spacing w:val="-5"/>
                      </w:rPr>
                      <w:instrText xml:space="preserve"> NUMPAGES </w:instrText>
                    </w:r>
                    <w:r>
                      <w:rPr>
                        <w:rFonts w:ascii="Cambria"/>
                        <w:spacing w:val="-5"/>
                      </w:rPr>
                      <w:fldChar w:fldCharType="separate"/>
                    </w:r>
                    <w:r>
                      <w:rPr>
                        <w:rFonts w:ascii="Cambria"/>
                        <w:spacing w:val="-5"/>
                      </w:rPr>
                      <w:t>17</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F45E" w14:textId="77777777" w:rsidR="00B90DF7" w:rsidRDefault="00B90DF7">
      <w:r>
        <w:separator/>
      </w:r>
    </w:p>
  </w:footnote>
  <w:footnote w:type="continuationSeparator" w:id="0">
    <w:p w14:paraId="7DADD2BF" w14:textId="77777777" w:rsidR="00B90DF7" w:rsidRDefault="00B90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D1B7" w14:textId="77777777" w:rsidR="00B90DF7" w:rsidRDefault="00B90DF7">
    <w:pPr>
      <w:pStyle w:val="Header"/>
    </w:pPr>
  </w:p>
  <w:tbl>
    <w:tblPr>
      <w:tblStyle w:val="TableGrid"/>
      <w:tblW w:w="0" w:type="auto"/>
      <w:shd w:val="clear" w:color="auto" w:fill="E4F2E0"/>
      <w:tblLook w:val="04A0" w:firstRow="1" w:lastRow="0" w:firstColumn="1" w:lastColumn="0" w:noHBand="0" w:noVBand="1"/>
    </w:tblPr>
    <w:tblGrid>
      <w:gridCol w:w="9180"/>
    </w:tblGrid>
    <w:tr w:rsidR="00B90DF7" w:rsidRPr="000B2145" w14:paraId="2DA7D5E2" w14:textId="77777777" w:rsidTr="00A25FB3">
      <w:trPr>
        <w:trHeight w:val="1012"/>
      </w:trPr>
      <w:tc>
        <w:tcPr>
          <w:tcW w:w="9180" w:type="dxa"/>
          <w:shd w:val="clear" w:color="auto" w:fill="E4F2E0"/>
        </w:tcPr>
        <w:p w14:paraId="3797B628" w14:textId="77777777" w:rsidR="00B90DF7" w:rsidRPr="0044151C" w:rsidRDefault="00B90DF7" w:rsidP="00B90DF7">
          <w:pPr>
            <w:pStyle w:val="Footer"/>
            <w:rPr>
              <w:b/>
              <w:sz w:val="18"/>
              <w:szCs w:val="18"/>
            </w:rPr>
          </w:pPr>
          <w:bookmarkStart w:id="8" w:name="_Hlk109054010"/>
          <w:r w:rsidRPr="0044151C">
            <w:rPr>
              <w:b/>
              <w:sz w:val="18"/>
              <w:szCs w:val="18"/>
            </w:rPr>
            <w:t>AusPAR - Heparin InterPharma - heparin sodium - InterPharma Pty Ltd- PM-2022-03499-1-3</w:t>
          </w:r>
        </w:p>
        <w:p w14:paraId="5233F0C0" w14:textId="77777777" w:rsidR="00B90DF7" w:rsidRPr="000E4791" w:rsidRDefault="00B90DF7" w:rsidP="00B90DF7">
          <w:pPr>
            <w:pStyle w:val="Footer"/>
            <w:rPr>
              <w:b/>
              <w:sz w:val="18"/>
              <w:szCs w:val="18"/>
            </w:rPr>
          </w:pPr>
          <w:r w:rsidRPr="0044151C">
            <w:rPr>
              <w:b/>
              <w:sz w:val="18"/>
              <w:szCs w:val="18"/>
            </w:rPr>
            <w:t>Report Finalisation: 12 July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8"/>
  </w:tbl>
  <w:p w14:paraId="42D9C642" w14:textId="77777777" w:rsidR="00B90DF7" w:rsidRDefault="00B90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9505E"/>
    <w:multiLevelType w:val="multilevel"/>
    <w:tmpl w:val="8BA4A86E"/>
    <w:lvl w:ilvl="0">
      <w:start w:val="1"/>
      <w:numFmt w:val="decimal"/>
      <w:lvlText w:val="%1"/>
      <w:lvlJc w:val="left"/>
      <w:pPr>
        <w:ind w:left="552" w:hanging="433"/>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696" w:hanging="576"/>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33" w:hanging="360"/>
      </w:pPr>
      <w:rPr>
        <w:rFonts w:hint="default"/>
        <w:lang w:val="en-US" w:eastAsia="en-US" w:bidi="ar-SA"/>
      </w:rPr>
    </w:lvl>
    <w:lvl w:ilvl="4">
      <w:numFmt w:val="bullet"/>
      <w:lvlText w:val="•"/>
      <w:lvlJc w:val="left"/>
      <w:pPr>
        <w:ind w:left="3026" w:hanging="360"/>
      </w:pPr>
      <w:rPr>
        <w:rFonts w:hint="default"/>
        <w:lang w:val="en-US" w:eastAsia="en-US" w:bidi="ar-SA"/>
      </w:rPr>
    </w:lvl>
    <w:lvl w:ilvl="5">
      <w:numFmt w:val="bullet"/>
      <w:lvlText w:val="•"/>
      <w:lvlJc w:val="left"/>
      <w:pPr>
        <w:ind w:left="4119" w:hanging="360"/>
      </w:pPr>
      <w:rPr>
        <w:rFonts w:hint="default"/>
        <w:lang w:val="en-US" w:eastAsia="en-US" w:bidi="ar-SA"/>
      </w:rPr>
    </w:lvl>
    <w:lvl w:ilvl="6">
      <w:numFmt w:val="bullet"/>
      <w:lvlText w:val="•"/>
      <w:lvlJc w:val="left"/>
      <w:pPr>
        <w:ind w:left="5213" w:hanging="360"/>
      </w:pPr>
      <w:rPr>
        <w:rFonts w:hint="default"/>
        <w:lang w:val="en-US" w:eastAsia="en-US" w:bidi="ar-SA"/>
      </w:rPr>
    </w:lvl>
    <w:lvl w:ilvl="7">
      <w:numFmt w:val="bullet"/>
      <w:lvlText w:val="•"/>
      <w:lvlJc w:val="left"/>
      <w:pPr>
        <w:ind w:left="6306" w:hanging="360"/>
      </w:pPr>
      <w:rPr>
        <w:rFonts w:hint="default"/>
        <w:lang w:val="en-US" w:eastAsia="en-US" w:bidi="ar-SA"/>
      </w:rPr>
    </w:lvl>
    <w:lvl w:ilvl="8">
      <w:numFmt w:val="bullet"/>
      <w:lvlText w:val="•"/>
      <w:lvlJc w:val="left"/>
      <w:pPr>
        <w:ind w:left="7399" w:hanging="360"/>
      </w:pPr>
      <w:rPr>
        <w:rFonts w:hint="default"/>
        <w:lang w:val="en-US" w:eastAsia="en-US" w:bidi="ar-SA"/>
      </w:rPr>
    </w:lvl>
  </w:abstractNum>
  <w:num w:numId="1" w16cid:durableId="193393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940E6"/>
    <w:rsid w:val="000940E6"/>
    <w:rsid w:val="00A31291"/>
    <w:rsid w:val="00B90D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3BDB"/>
  <w15:docId w15:val="{630AF9D3-AF45-4B73-8B50-FAE2F5B1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2" w:hanging="432"/>
      <w:outlineLvl w:val="0"/>
    </w:pPr>
    <w:rPr>
      <w:b/>
      <w:bCs/>
      <w:sz w:val="28"/>
      <w:szCs w:val="28"/>
    </w:rPr>
  </w:style>
  <w:style w:type="paragraph" w:styleId="Heading2">
    <w:name w:val="heading 2"/>
    <w:basedOn w:val="Normal"/>
    <w:uiPriority w:val="9"/>
    <w:unhideWhenUsed/>
    <w:qFormat/>
    <w:pPr>
      <w:spacing w:before="202"/>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120"/>
      <w:jc w:val="both"/>
    </w:pPr>
    <w:rPr>
      <w:sz w:val="24"/>
      <w:szCs w:val="24"/>
    </w:rPr>
  </w:style>
  <w:style w:type="paragraph" w:styleId="Title">
    <w:name w:val="Title"/>
    <w:basedOn w:val="Normal"/>
    <w:uiPriority w:val="10"/>
    <w:qFormat/>
    <w:pPr>
      <w:spacing w:before="61"/>
      <w:ind w:left="333" w:right="346"/>
      <w:jc w:val="center"/>
    </w:pPr>
    <w:rPr>
      <w:b/>
      <w:bCs/>
      <w:sz w:val="36"/>
      <w:szCs w:val="36"/>
    </w:rPr>
  </w:style>
  <w:style w:type="paragraph" w:styleId="ListParagraph">
    <w:name w:val="List Paragraph"/>
    <w:basedOn w:val="Normal"/>
    <w:uiPriority w:val="1"/>
    <w:qFormat/>
    <w:pPr>
      <w:ind w:left="695" w:hanging="57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90DF7"/>
    <w:pPr>
      <w:tabs>
        <w:tab w:val="center" w:pos="4513"/>
        <w:tab w:val="right" w:pos="9026"/>
      </w:tabs>
    </w:pPr>
  </w:style>
  <w:style w:type="character" w:customStyle="1" w:styleId="HeaderChar">
    <w:name w:val="Header Char"/>
    <w:basedOn w:val="DefaultParagraphFont"/>
    <w:link w:val="Header"/>
    <w:uiPriority w:val="99"/>
    <w:rsid w:val="00B90DF7"/>
    <w:rPr>
      <w:rFonts w:ascii="Times New Roman" w:eastAsia="Times New Roman" w:hAnsi="Times New Roman" w:cs="Times New Roman"/>
    </w:rPr>
  </w:style>
  <w:style w:type="paragraph" w:styleId="Footer">
    <w:name w:val="footer"/>
    <w:basedOn w:val="Normal"/>
    <w:link w:val="FooterChar"/>
    <w:unhideWhenUsed/>
    <w:rsid w:val="00B90DF7"/>
    <w:pPr>
      <w:tabs>
        <w:tab w:val="center" w:pos="4513"/>
        <w:tab w:val="right" w:pos="9026"/>
      </w:tabs>
    </w:pPr>
  </w:style>
  <w:style w:type="character" w:customStyle="1" w:styleId="FooterChar">
    <w:name w:val="Footer Char"/>
    <w:basedOn w:val="DefaultParagraphFont"/>
    <w:link w:val="Footer"/>
    <w:rsid w:val="00B90DF7"/>
    <w:rPr>
      <w:rFonts w:ascii="Times New Roman" w:eastAsia="Times New Roman" w:hAnsi="Times New Roman" w:cs="Times New Roman"/>
    </w:rPr>
  </w:style>
  <w:style w:type="character" w:styleId="Hyperlink">
    <w:name w:val="Hyperlink"/>
    <w:basedOn w:val="DefaultParagraphFont"/>
    <w:uiPriority w:val="99"/>
    <w:unhideWhenUsed/>
    <w:rsid w:val="00B90DF7"/>
    <w:rPr>
      <w:color w:val="0000FF"/>
      <w:u w:val="single"/>
    </w:rPr>
  </w:style>
  <w:style w:type="table" w:styleId="TableGrid">
    <w:name w:val="Table Grid"/>
    <w:basedOn w:val="TableNormal"/>
    <w:uiPriority w:val="59"/>
    <w:rsid w:val="00B90DF7"/>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dmin@interpharma.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4864</Words>
  <Characters>28996</Characters>
  <Application>Microsoft Office Word</Application>
  <DocSecurity>0</DocSecurity>
  <Lines>568</Lines>
  <Paragraphs>286</Paragraphs>
  <ScaleCrop>false</ScaleCrop>
  <HeadingPairs>
    <vt:vector size="2" baseType="variant">
      <vt:variant>
        <vt:lpstr>Title</vt:lpstr>
      </vt:variant>
      <vt:variant>
        <vt:i4>1</vt:i4>
      </vt:variant>
    </vt:vector>
  </HeadingPairs>
  <TitlesOfParts>
    <vt:vector size="1" baseType="lpstr">
      <vt:lpstr/>
    </vt:vector>
  </TitlesOfParts>
  <Company>InterPharma Pty Ltd</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Heparin InterPharma</dc:title>
  <dc:subject>prescription medicines</dc:subject>
  <dc:creator>InterPharma Pty Ltd</dc:creator>
  <cp:lastModifiedBy>LACK, Janet</cp:lastModifiedBy>
  <cp:revision>3</cp:revision>
  <dcterms:created xsi:type="dcterms:W3CDTF">2024-07-30T00:12:00Z</dcterms:created>
  <dcterms:modified xsi:type="dcterms:W3CDTF">2024-07-30T00:18:00Z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0x010100842BA0CB7071504EBE7DE274700D6F37</vt:lpwstr>
  </property>
  <property fmtid="{D5CDD505-2E9C-101B-9397-08002B2CF9AE}" pid="3" name="Created">
    <vt:filetime>2023-11-01T00:00:00Z</vt:filetime>
  </property>
  <property fmtid="{D5CDD505-2E9C-101B-9397-08002B2CF9AE}" pid="4" name="Creator">
    <vt:lpwstr>Acrobat PDFMaker 23 for Word</vt:lpwstr>
  </property>
  <property fmtid="{D5CDD505-2E9C-101B-9397-08002B2CF9AE}" pid="5" name="GrammarlyDocumentId">
    <vt:lpwstr>ead70f27cbfbec7e50976413b1ae6aa4197f93d62f52a714793d71f1860e0f34</vt:lpwstr>
  </property>
  <property fmtid="{D5CDD505-2E9C-101B-9397-08002B2CF9AE}" pid="6" name="LastSaved">
    <vt:filetime>2024-07-12T00:00:00Z</vt:filetime>
  </property>
  <property fmtid="{D5CDD505-2E9C-101B-9397-08002B2CF9AE}" pid="7" name="MSIP_Label_6ddddc05-6d75-4c89-ae8a-b8ab1a1994bc_ActionId">
    <vt:lpwstr>804b7267-61a1-4876-976d-abf12d5c18e8</vt:lpwstr>
  </property>
  <property fmtid="{D5CDD505-2E9C-101B-9397-08002B2CF9AE}" pid="8" name="MSIP_Label_6ddddc05-6d75-4c89-ae8a-b8ab1a1994bc_ContentBits">
    <vt:lpwstr>0</vt:lpwstr>
  </property>
  <property fmtid="{D5CDD505-2E9C-101B-9397-08002B2CF9AE}" pid="9" name="MSIP_Label_6ddddc05-6d75-4c89-ae8a-b8ab1a1994bc_Enabled">
    <vt:lpwstr>true</vt:lpwstr>
  </property>
  <property fmtid="{D5CDD505-2E9C-101B-9397-08002B2CF9AE}" pid="10" name="MSIP_Label_6ddddc05-6d75-4c89-ae8a-b8ab1a1994bc_Method">
    <vt:lpwstr>Standard</vt:lpwstr>
  </property>
  <property fmtid="{D5CDD505-2E9C-101B-9397-08002B2CF9AE}" pid="11" name="MSIP_Label_6ddddc05-6d75-4c89-ae8a-b8ab1a1994bc_Name">
    <vt:lpwstr>without watermark</vt:lpwstr>
  </property>
  <property fmtid="{D5CDD505-2E9C-101B-9397-08002B2CF9AE}" pid="12" name="MSIP_Label_6ddddc05-6d75-4c89-ae8a-b8ab1a1994bc_SetDate">
    <vt:lpwstr>2022-07-19T05:48:30Z</vt:lpwstr>
  </property>
  <property fmtid="{D5CDD505-2E9C-101B-9397-08002B2CF9AE}" pid="13" name="MSIP_Label_6ddddc05-6d75-4c89-ae8a-b8ab1a1994bc_SiteId">
    <vt:lpwstr>ff9ac3ce-3c41-41c3-b556-e1b32a662fed</vt:lpwstr>
  </property>
  <property fmtid="{D5CDD505-2E9C-101B-9397-08002B2CF9AE}" pid="14" name="Producer">
    <vt:lpwstr>Adobe PDF Library 23.6.136</vt:lpwstr>
  </property>
  <property fmtid="{D5CDD505-2E9C-101B-9397-08002B2CF9AE}" pid="15" name="SourceModified">
    <vt:lpwstr>D:20231031041041</vt:lpwstr>
  </property>
</Properties>
</file>