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C9FE8EC" w:rsidR="00F02AEC" w:rsidRPr="00215D48" w:rsidRDefault="00346EC2" w:rsidP="007452E8">
            <w:pPr>
              <w:pStyle w:val="Title"/>
            </w:pPr>
            <w:r w:rsidRPr="00346EC2">
              <w:t xml:space="preserve">Australian Public Assessment Report for </w:t>
            </w:r>
            <w:r w:rsidR="005F6D8A">
              <w:t>Givlaari</w:t>
            </w:r>
          </w:p>
        </w:tc>
      </w:tr>
      <w:tr w:rsidR="00F02AEC" w:rsidRPr="00215D48" w14:paraId="318A40A3" w14:textId="77777777" w:rsidTr="00346EC2">
        <w:trPr>
          <w:trHeight w:val="995"/>
        </w:trPr>
        <w:tc>
          <w:tcPr>
            <w:tcW w:w="8720" w:type="dxa"/>
          </w:tcPr>
          <w:p w14:paraId="1AA7C701" w14:textId="38FCAFA4" w:rsidR="00F02AEC" w:rsidRPr="00215D48" w:rsidRDefault="00346EC2" w:rsidP="007452E8">
            <w:pPr>
              <w:pStyle w:val="Subtitle"/>
              <w:ind w:left="0"/>
            </w:pPr>
            <w:r w:rsidRPr="00346EC2">
              <w:t xml:space="preserve">Active ingredient: </w:t>
            </w:r>
            <w:r w:rsidR="005F6D8A">
              <w:t>Givosiran</w:t>
            </w:r>
            <w:r w:rsidR="00D14D76">
              <w:t xml:space="preserve"> (as sodium)</w:t>
            </w:r>
          </w:p>
        </w:tc>
      </w:tr>
      <w:tr w:rsidR="00346EC2" w:rsidRPr="00215D48" w14:paraId="362CCAE4" w14:textId="77777777" w:rsidTr="007452E8">
        <w:trPr>
          <w:trHeight w:val="1916"/>
        </w:trPr>
        <w:tc>
          <w:tcPr>
            <w:tcW w:w="8720" w:type="dxa"/>
          </w:tcPr>
          <w:p w14:paraId="709C45C0" w14:textId="45D112FC" w:rsidR="00346EC2" w:rsidRPr="00215D48" w:rsidRDefault="00346EC2" w:rsidP="007452E8">
            <w:pPr>
              <w:pStyle w:val="Subtitle"/>
              <w:ind w:left="0"/>
            </w:pPr>
            <w:r w:rsidRPr="00346EC2">
              <w:t xml:space="preserve">Sponsor: </w:t>
            </w:r>
            <w:r w:rsidR="00305887">
              <w:t>Medison Pharma</w:t>
            </w:r>
            <w:r w:rsidR="005F6D8A">
              <w:t xml:space="preserve"> Australia Pty Ltd</w:t>
            </w:r>
          </w:p>
        </w:tc>
      </w:tr>
      <w:tr w:rsidR="00F02AEC" w:rsidRPr="00215D48" w14:paraId="37F2AA1F" w14:textId="77777777" w:rsidTr="007452E8">
        <w:tc>
          <w:tcPr>
            <w:tcW w:w="8720" w:type="dxa"/>
          </w:tcPr>
          <w:p w14:paraId="1FDE8DCD" w14:textId="5B86F3F0" w:rsidR="00F02AEC" w:rsidRPr="00215D48" w:rsidRDefault="00305887" w:rsidP="007452E8">
            <w:pPr>
              <w:pStyle w:val="Date"/>
            </w:pPr>
            <w:r>
              <w:t>June</w:t>
            </w:r>
            <w:r w:rsidR="005F6D8A">
              <w:t xml:space="preserve"> 2024</w:t>
            </w:r>
          </w:p>
        </w:tc>
      </w:tr>
      <w:tr w:rsidR="00594F53" w:rsidRPr="00215D48" w14:paraId="5261E3FA" w14:textId="77777777" w:rsidTr="007452E8">
        <w:tc>
          <w:tcPr>
            <w:tcW w:w="8720" w:type="dxa"/>
          </w:tcPr>
          <w:p w14:paraId="65C5051C" w14:textId="77777777" w:rsidR="00594F53" w:rsidRDefault="00594F53" w:rsidP="007452E8">
            <w:pPr>
              <w:pStyle w:val="Date"/>
            </w:pPr>
          </w:p>
        </w:tc>
      </w:tr>
    </w:tbl>
    <w:p w14:paraId="73752706" w14:textId="77777777" w:rsidR="00F02AEC" w:rsidRPr="00215D48" w:rsidRDefault="00F02AEC" w:rsidP="007452E8">
      <w:pPr>
        <w:pStyle w:val="ListBullet"/>
        <w:numPr>
          <w:ilvl w:val="0"/>
          <w:numId w:val="0"/>
        </w:numPr>
        <w:sectPr w:rsidR="00F02AEC" w:rsidRPr="00215D48" w:rsidSect="00FB19B2">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3AE3499C"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54EEDC69"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628EE557"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08382752" w14:textId="56F31B65" w:rsidR="00F966C9"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0980389" w:history="1">
            <w:r w:rsidR="00F966C9" w:rsidRPr="00413A43">
              <w:rPr>
                <w:rStyle w:val="Hyperlink"/>
                <w:noProof/>
              </w:rPr>
              <w:t>List of abbreviations</w:t>
            </w:r>
            <w:r w:rsidR="00F966C9">
              <w:rPr>
                <w:noProof/>
                <w:webHidden/>
              </w:rPr>
              <w:tab/>
            </w:r>
            <w:r w:rsidR="00F966C9">
              <w:rPr>
                <w:noProof/>
                <w:webHidden/>
              </w:rPr>
              <w:fldChar w:fldCharType="begin"/>
            </w:r>
            <w:r w:rsidR="00F966C9">
              <w:rPr>
                <w:noProof/>
                <w:webHidden/>
              </w:rPr>
              <w:instrText xml:space="preserve"> PAGEREF _Toc170980389 \h </w:instrText>
            </w:r>
            <w:r w:rsidR="00F966C9">
              <w:rPr>
                <w:noProof/>
                <w:webHidden/>
              </w:rPr>
            </w:r>
            <w:r w:rsidR="00F966C9">
              <w:rPr>
                <w:noProof/>
                <w:webHidden/>
              </w:rPr>
              <w:fldChar w:fldCharType="separate"/>
            </w:r>
            <w:r w:rsidR="00F966C9">
              <w:rPr>
                <w:noProof/>
                <w:webHidden/>
              </w:rPr>
              <w:t>4</w:t>
            </w:r>
            <w:r w:rsidR="00F966C9">
              <w:rPr>
                <w:noProof/>
                <w:webHidden/>
              </w:rPr>
              <w:fldChar w:fldCharType="end"/>
            </w:r>
          </w:hyperlink>
        </w:p>
        <w:p w14:paraId="6D493380" w14:textId="132DB134" w:rsidR="00F966C9" w:rsidRDefault="00F966C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980390" w:history="1">
            <w:r w:rsidRPr="00413A43">
              <w:rPr>
                <w:rStyle w:val="Hyperlink"/>
                <w:noProof/>
              </w:rPr>
              <w:t>Product submission</w:t>
            </w:r>
            <w:r>
              <w:rPr>
                <w:noProof/>
                <w:webHidden/>
              </w:rPr>
              <w:tab/>
            </w:r>
            <w:r>
              <w:rPr>
                <w:noProof/>
                <w:webHidden/>
              </w:rPr>
              <w:fldChar w:fldCharType="begin"/>
            </w:r>
            <w:r>
              <w:rPr>
                <w:noProof/>
                <w:webHidden/>
              </w:rPr>
              <w:instrText xml:space="preserve"> PAGEREF _Toc170980390 \h </w:instrText>
            </w:r>
            <w:r>
              <w:rPr>
                <w:noProof/>
                <w:webHidden/>
              </w:rPr>
            </w:r>
            <w:r>
              <w:rPr>
                <w:noProof/>
                <w:webHidden/>
              </w:rPr>
              <w:fldChar w:fldCharType="separate"/>
            </w:r>
            <w:r>
              <w:rPr>
                <w:noProof/>
                <w:webHidden/>
              </w:rPr>
              <w:t>6</w:t>
            </w:r>
            <w:r>
              <w:rPr>
                <w:noProof/>
                <w:webHidden/>
              </w:rPr>
              <w:fldChar w:fldCharType="end"/>
            </w:r>
          </w:hyperlink>
        </w:p>
        <w:p w14:paraId="2C49B6FA" w14:textId="52902F7D" w:rsidR="00F966C9" w:rsidRDefault="00F966C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0391" w:history="1">
            <w:r w:rsidRPr="00413A43">
              <w:rPr>
                <w:rStyle w:val="Hyperlink"/>
                <w:noProof/>
                <w:lang w:eastAsia="en-AU"/>
              </w:rPr>
              <w:t>Submission details</w:t>
            </w:r>
            <w:r>
              <w:rPr>
                <w:noProof/>
                <w:webHidden/>
              </w:rPr>
              <w:tab/>
            </w:r>
            <w:r>
              <w:rPr>
                <w:noProof/>
                <w:webHidden/>
              </w:rPr>
              <w:fldChar w:fldCharType="begin"/>
            </w:r>
            <w:r>
              <w:rPr>
                <w:noProof/>
                <w:webHidden/>
              </w:rPr>
              <w:instrText xml:space="preserve"> PAGEREF _Toc170980391 \h </w:instrText>
            </w:r>
            <w:r>
              <w:rPr>
                <w:noProof/>
                <w:webHidden/>
              </w:rPr>
            </w:r>
            <w:r>
              <w:rPr>
                <w:noProof/>
                <w:webHidden/>
              </w:rPr>
              <w:fldChar w:fldCharType="separate"/>
            </w:r>
            <w:r>
              <w:rPr>
                <w:noProof/>
                <w:webHidden/>
              </w:rPr>
              <w:t>6</w:t>
            </w:r>
            <w:r>
              <w:rPr>
                <w:noProof/>
                <w:webHidden/>
              </w:rPr>
              <w:fldChar w:fldCharType="end"/>
            </w:r>
          </w:hyperlink>
        </w:p>
        <w:p w14:paraId="22FD69DE" w14:textId="4EB60302" w:rsidR="00F966C9" w:rsidRDefault="00F966C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0392" w:history="1">
            <w:r w:rsidRPr="00413A43">
              <w:rPr>
                <w:rStyle w:val="Hyperlink"/>
                <w:noProof/>
              </w:rPr>
              <w:t>Product background</w:t>
            </w:r>
            <w:r>
              <w:rPr>
                <w:noProof/>
                <w:webHidden/>
              </w:rPr>
              <w:tab/>
            </w:r>
            <w:r>
              <w:rPr>
                <w:noProof/>
                <w:webHidden/>
              </w:rPr>
              <w:fldChar w:fldCharType="begin"/>
            </w:r>
            <w:r>
              <w:rPr>
                <w:noProof/>
                <w:webHidden/>
              </w:rPr>
              <w:instrText xml:space="preserve"> PAGEREF _Toc170980392 \h </w:instrText>
            </w:r>
            <w:r>
              <w:rPr>
                <w:noProof/>
                <w:webHidden/>
              </w:rPr>
            </w:r>
            <w:r>
              <w:rPr>
                <w:noProof/>
                <w:webHidden/>
              </w:rPr>
              <w:fldChar w:fldCharType="separate"/>
            </w:r>
            <w:r>
              <w:rPr>
                <w:noProof/>
                <w:webHidden/>
              </w:rPr>
              <w:t>7</w:t>
            </w:r>
            <w:r>
              <w:rPr>
                <w:noProof/>
                <w:webHidden/>
              </w:rPr>
              <w:fldChar w:fldCharType="end"/>
            </w:r>
          </w:hyperlink>
        </w:p>
        <w:p w14:paraId="6ED32357" w14:textId="4C1AEC18"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393" w:history="1">
            <w:r w:rsidRPr="00413A43">
              <w:rPr>
                <w:rStyle w:val="Hyperlink"/>
                <w:noProof/>
              </w:rPr>
              <w:t>The condition</w:t>
            </w:r>
            <w:r>
              <w:rPr>
                <w:noProof/>
                <w:webHidden/>
              </w:rPr>
              <w:tab/>
            </w:r>
            <w:r>
              <w:rPr>
                <w:noProof/>
                <w:webHidden/>
              </w:rPr>
              <w:fldChar w:fldCharType="begin"/>
            </w:r>
            <w:r>
              <w:rPr>
                <w:noProof/>
                <w:webHidden/>
              </w:rPr>
              <w:instrText xml:space="preserve"> PAGEREF _Toc170980393 \h </w:instrText>
            </w:r>
            <w:r>
              <w:rPr>
                <w:noProof/>
                <w:webHidden/>
              </w:rPr>
            </w:r>
            <w:r>
              <w:rPr>
                <w:noProof/>
                <w:webHidden/>
              </w:rPr>
              <w:fldChar w:fldCharType="separate"/>
            </w:r>
            <w:r>
              <w:rPr>
                <w:noProof/>
                <w:webHidden/>
              </w:rPr>
              <w:t>7</w:t>
            </w:r>
            <w:r>
              <w:rPr>
                <w:noProof/>
                <w:webHidden/>
              </w:rPr>
              <w:fldChar w:fldCharType="end"/>
            </w:r>
          </w:hyperlink>
        </w:p>
        <w:p w14:paraId="34FFBB90" w14:textId="501441F9"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394" w:history="1">
            <w:r w:rsidRPr="00413A43">
              <w:rPr>
                <w:rStyle w:val="Hyperlink"/>
                <w:noProof/>
              </w:rPr>
              <w:t>Current treatment options</w:t>
            </w:r>
            <w:r>
              <w:rPr>
                <w:noProof/>
                <w:webHidden/>
              </w:rPr>
              <w:tab/>
            </w:r>
            <w:r>
              <w:rPr>
                <w:noProof/>
                <w:webHidden/>
              </w:rPr>
              <w:fldChar w:fldCharType="begin"/>
            </w:r>
            <w:r>
              <w:rPr>
                <w:noProof/>
                <w:webHidden/>
              </w:rPr>
              <w:instrText xml:space="preserve"> PAGEREF _Toc170980394 \h </w:instrText>
            </w:r>
            <w:r>
              <w:rPr>
                <w:noProof/>
                <w:webHidden/>
              </w:rPr>
            </w:r>
            <w:r>
              <w:rPr>
                <w:noProof/>
                <w:webHidden/>
              </w:rPr>
              <w:fldChar w:fldCharType="separate"/>
            </w:r>
            <w:r>
              <w:rPr>
                <w:noProof/>
                <w:webHidden/>
              </w:rPr>
              <w:t>8</w:t>
            </w:r>
            <w:r>
              <w:rPr>
                <w:noProof/>
                <w:webHidden/>
              </w:rPr>
              <w:fldChar w:fldCharType="end"/>
            </w:r>
          </w:hyperlink>
        </w:p>
        <w:p w14:paraId="51CB5FFF" w14:textId="7D2D79A3"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395" w:history="1">
            <w:r w:rsidRPr="00413A43">
              <w:rPr>
                <w:rStyle w:val="Hyperlink"/>
                <w:noProof/>
              </w:rPr>
              <w:t>Clinical rationale</w:t>
            </w:r>
            <w:r>
              <w:rPr>
                <w:noProof/>
                <w:webHidden/>
              </w:rPr>
              <w:tab/>
            </w:r>
            <w:r>
              <w:rPr>
                <w:noProof/>
                <w:webHidden/>
              </w:rPr>
              <w:fldChar w:fldCharType="begin"/>
            </w:r>
            <w:r>
              <w:rPr>
                <w:noProof/>
                <w:webHidden/>
              </w:rPr>
              <w:instrText xml:space="preserve"> PAGEREF _Toc170980395 \h </w:instrText>
            </w:r>
            <w:r>
              <w:rPr>
                <w:noProof/>
                <w:webHidden/>
              </w:rPr>
            </w:r>
            <w:r>
              <w:rPr>
                <w:noProof/>
                <w:webHidden/>
              </w:rPr>
              <w:fldChar w:fldCharType="separate"/>
            </w:r>
            <w:r>
              <w:rPr>
                <w:noProof/>
                <w:webHidden/>
              </w:rPr>
              <w:t>9</w:t>
            </w:r>
            <w:r>
              <w:rPr>
                <w:noProof/>
                <w:webHidden/>
              </w:rPr>
              <w:fldChar w:fldCharType="end"/>
            </w:r>
          </w:hyperlink>
        </w:p>
        <w:p w14:paraId="022EADEE" w14:textId="3EE7230E" w:rsidR="00F966C9" w:rsidRDefault="00F966C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0396" w:history="1">
            <w:r w:rsidRPr="00413A43">
              <w:rPr>
                <w:rStyle w:val="Hyperlink"/>
                <w:noProof/>
              </w:rPr>
              <w:t>Regulatory status</w:t>
            </w:r>
            <w:r>
              <w:rPr>
                <w:noProof/>
                <w:webHidden/>
              </w:rPr>
              <w:tab/>
            </w:r>
            <w:r>
              <w:rPr>
                <w:noProof/>
                <w:webHidden/>
              </w:rPr>
              <w:fldChar w:fldCharType="begin"/>
            </w:r>
            <w:r>
              <w:rPr>
                <w:noProof/>
                <w:webHidden/>
              </w:rPr>
              <w:instrText xml:space="preserve"> PAGEREF _Toc170980396 \h </w:instrText>
            </w:r>
            <w:r>
              <w:rPr>
                <w:noProof/>
                <w:webHidden/>
              </w:rPr>
            </w:r>
            <w:r>
              <w:rPr>
                <w:noProof/>
                <w:webHidden/>
              </w:rPr>
              <w:fldChar w:fldCharType="separate"/>
            </w:r>
            <w:r>
              <w:rPr>
                <w:noProof/>
                <w:webHidden/>
              </w:rPr>
              <w:t>9</w:t>
            </w:r>
            <w:r>
              <w:rPr>
                <w:noProof/>
                <w:webHidden/>
              </w:rPr>
              <w:fldChar w:fldCharType="end"/>
            </w:r>
          </w:hyperlink>
        </w:p>
        <w:p w14:paraId="53D33357" w14:textId="2109630B"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397" w:history="1">
            <w:r w:rsidRPr="00413A43">
              <w:rPr>
                <w:rStyle w:val="Hyperlink"/>
                <w:noProof/>
              </w:rPr>
              <w:t>Australian regulatory status</w:t>
            </w:r>
            <w:r>
              <w:rPr>
                <w:noProof/>
                <w:webHidden/>
              </w:rPr>
              <w:tab/>
            </w:r>
            <w:r>
              <w:rPr>
                <w:noProof/>
                <w:webHidden/>
              </w:rPr>
              <w:fldChar w:fldCharType="begin"/>
            </w:r>
            <w:r>
              <w:rPr>
                <w:noProof/>
                <w:webHidden/>
              </w:rPr>
              <w:instrText xml:space="preserve"> PAGEREF _Toc170980397 \h </w:instrText>
            </w:r>
            <w:r>
              <w:rPr>
                <w:noProof/>
                <w:webHidden/>
              </w:rPr>
            </w:r>
            <w:r>
              <w:rPr>
                <w:noProof/>
                <w:webHidden/>
              </w:rPr>
              <w:fldChar w:fldCharType="separate"/>
            </w:r>
            <w:r>
              <w:rPr>
                <w:noProof/>
                <w:webHidden/>
              </w:rPr>
              <w:t>9</w:t>
            </w:r>
            <w:r>
              <w:rPr>
                <w:noProof/>
                <w:webHidden/>
              </w:rPr>
              <w:fldChar w:fldCharType="end"/>
            </w:r>
          </w:hyperlink>
        </w:p>
        <w:p w14:paraId="68656D11" w14:textId="2E008651"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398" w:history="1">
            <w:r w:rsidRPr="00413A43">
              <w:rPr>
                <w:rStyle w:val="Hyperlink"/>
                <w:noProof/>
              </w:rPr>
              <w:t>Foreign regulatory status</w:t>
            </w:r>
            <w:r>
              <w:rPr>
                <w:noProof/>
                <w:webHidden/>
              </w:rPr>
              <w:tab/>
            </w:r>
            <w:r>
              <w:rPr>
                <w:noProof/>
                <w:webHidden/>
              </w:rPr>
              <w:fldChar w:fldCharType="begin"/>
            </w:r>
            <w:r>
              <w:rPr>
                <w:noProof/>
                <w:webHidden/>
              </w:rPr>
              <w:instrText xml:space="preserve"> PAGEREF _Toc170980398 \h </w:instrText>
            </w:r>
            <w:r>
              <w:rPr>
                <w:noProof/>
                <w:webHidden/>
              </w:rPr>
            </w:r>
            <w:r>
              <w:rPr>
                <w:noProof/>
                <w:webHidden/>
              </w:rPr>
              <w:fldChar w:fldCharType="separate"/>
            </w:r>
            <w:r>
              <w:rPr>
                <w:noProof/>
                <w:webHidden/>
              </w:rPr>
              <w:t>9</w:t>
            </w:r>
            <w:r>
              <w:rPr>
                <w:noProof/>
                <w:webHidden/>
              </w:rPr>
              <w:fldChar w:fldCharType="end"/>
            </w:r>
          </w:hyperlink>
        </w:p>
        <w:p w14:paraId="16161B91" w14:textId="66F4B252" w:rsidR="00F966C9" w:rsidRDefault="00F966C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980399" w:history="1">
            <w:r w:rsidRPr="00413A43">
              <w:rPr>
                <w:rStyle w:val="Hyperlink"/>
                <w:noProof/>
              </w:rPr>
              <w:t>Registration timeline</w:t>
            </w:r>
            <w:r>
              <w:rPr>
                <w:noProof/>
                <w:webHidden/>
              </w:rPr>
              <w:tab/>
            </w:r>
            <w:r>
              <w:rPr>
                <w:noProof/>
                <w:webHidden/>
              </w:rPr>
              <w:fldChar w:fldCharType="begin"/>
            </w:r>
            <w:r>
              <w:rPr>
                <w:noProof/>
                <w:webHidden/>
              </w:rPr>
              <w:instrText xml:space="preserve"> PAGEREF _Toc170980399 \h </w:instrText>
            </w:r>
            <w:r>
              <w:rPr>
                <w:noProof/>
                <w:webHidden/>
              </w:rPr>
            </w:r>
            <w:r>
              <w:rPr>
                <w:noProof/>
                <w:webHidden/>
              </w:rPr>
              <w:fldChar w:fldCharType="separate"/>
            </w:r>
            <w:r>
              <w:rPr>
                <w:noProof/>
                <w:webHidden/>
              </w:rPr>
              <w:t>10</w:t>
            </w:r>
            <w:r>
              <w:rPr>
                <w:noProof/>
                <w:webHidden/>
              </w:rPr>
              <w:fldChar w:fldCharType="end"/>
            </w:r>
          </w:hyperlink>
        </w:p>
        <w:p w14:paraId="692C3CDA" w14:textId="2050AD8E" w:rsidR="00F966C9" w:rsidRDefault="00F966C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980400" w:history="1">
            <w:r w:rsidRPr="00413A43">
              <w:rPr>
                <w:rStyle w:val="Hyperlink"/>
                <w:noProof/>
              </w:rPr>
              <w:t>Submission overview and risk/benefit assessment</w:t>
            </w:r>
            <w:r>
              <w:rPr>
                <w:noProof/>
                <w:webHidden/>
              </w:rPr>
              <w:tab/>
            </w:r>
            <w:r>
              <w:rPr>
                <w:noProof/>
                <w:webHidden/>
              </w:rPr>
              <w:fldChar w:fldCharType="begin"/>
            </w:r>
            <w:r>
              <w:rPr>
                <w:noProof/>
                <w:webHidden/>
              </w:rPr>
              <w:instrText xml:space="preserve"> PAGEREF _Toc170980400 \h </w:instrText>
            </w:r>
            <w:r>
              <w:rPr>
                <w:noProof/>
                <w:webHidden/>
              </w:rPr>
            </w:r>
            <w:r>
              <w:rPr>
                <w:noProof/>
                <w:webHidden/>
              </w:rPr>
              <w:fldChar w:fldCharType="separate"/>
            </w:r>
            <w:r>
              <w:rPr>
                <w:noProof/>
                <w:webHidden/>
              </w:rPr>
              <w:t>11</w:t>
            </w:r>
            <w:r>
              <w:rPr>
                <w:noProof/>
                <w:webHidden/>
              </w:rPr>
              <w:fldChar w:fldCharType="end"/>
            </w:r>
          </w:hyperlink>
        </w:p>
        <w:p w14:paraId="6127535B" w14:textId="62D9A582" w:rsidR="00F966C9" w:rsidRDefault="00F966C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0401" w:history="1">
            <w:r w:rsidRPr="00413A43">
              <w:rPr>
                <w:rStyle w:val="Hyperlink"/>
                <w:noProof/>
              </w:rPr>
              <w:t>Quality</w:t>
            </w:r>
            <w:r>
              <w:rPr>
                <w:noProof/>
                <w:webHidden/>
              </w:rPr>
              <w:tab/>
            </w:r>
            <w:r>
              <w:rPr>
                <w:noProof/>
                <w:webHidden/>
              </w:rPr>
              <w:fldChar w:fldCharType="begin"/>
            </w:r>
            <w:r>
              <w:rPr>
                <w:noProof/>
                <w:webHidden/>
              </w:rPr>
              <w:instrText xml:space="preserve"> PAGEREF _Toc170980401 \h </w:instrText>
            </w:r>
            <w:r>
              <w:rPr>
                <w:noProof/>
                <w:webHidden/>
              </w:rPr>
            </w:r>
            <w:r>
              <w:rPr>
                <w:noProof/>
                <w:webHidden/>
              </w:rPr>
              <w:fldChar w:fldCharType="separate"/>
            </w:r>
            <w:r>
              <w:rPr>
                <w:noProof/>
                <w:webHidden/>
              </w:rPr>
              <w:t>11</w:t>
            </w:r>
            <w:r>
              <w:rPr>
                <w:noProof/>
                <w:webHidden/>
              </w:rPr>
              <w:fldChar w:fldCharType="end"/>
            </w:r>
          </w:hyperlink>
        </w:p>
        <w:p w14:paraId="3CB5B3EF" w14:textId="4F26587F" w:rsidR="00F966C9" w:rsidRDefault="00F966C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0402" w:history="1">
            <w:r w:rsidRPr="00413A43">
              <w:rPr>
                <w:rStyle w:val="Hyperlink"/>
                <w:noProof/>
              </w:rPr>
              <w:t>Nonclinical</w:t>
            </w:r>
            <w:r>
              <w:rPr>
                <w:noProof/>
                <w:webHidden/>
              </w:rPr>
              <w:tab/>
            </w:r>
            <w:r>
              <w:rPr>
                <w:noProof/>
                <w:webHidden/>
              </w:rPr>
              <w:fldChar w:fldCharType="begin"/>
            </w:r>
            <w:r>
              <w:rPr>
                <w:noProof/>
                <w:webHidden/>
              </w:rPr>
              <w:instrText xml:space="preserve"> PAGEREF _Toc170980402 \h </w:instrText>
            </w:r>
            <w:r>
              <w:rPr>
                <w:noProof/>
                <w:webHidden/>
              </w:rPr>
            </w:r>
            <w:r>
              <w:rPr>
                <w:noProof/>
                <w:webHidden/>
              </w:rPr>
              <w:fldChar w:fldCharType="separate"/>
            </w:r>
            <w:r>
              <w:rPr>
                <w:noProof/>
                <w:webHidden/>
              </w:rPr>
              <w:t>12</w:t>
            </w:r>
            <w:r>
              <w:rPr>
                <w:noProof/>
                <w:webHidden/>
              </w:rPr>
              <w:fldChar w:fldCharType="end"/>
            </w:r>
          </w:hyperlink>
        </w:p>
        <w:p w14:paraId="21C4A48E" w14:textId="09E1BF75" w:rsidR="00F966C9" w:rsidRDefault="00F966C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0403" w:history="1">
            <w:r w:rsidRPr="00413A43">
              <w:rPr>
                <w:rStyle w:val="Hyperlink"/>
                <w:noProof/>
              </w:rPr>
              <w:t>Clinical</w:t>
            </w:r>
            <w:r>
              <w:rPr>
                <w:noProof/>
                <w:webHidden/>
              </w:rPr>
              <w:tab/>
            </w:r>
            <w:r>
              <w:rPr>
                <w:noProof/>
                <w:webHidden/>
              </w:rPr>
              <w:fldChar w:fldCharType="begin"/>
            </w:r>
            <w:r>
              <w:rPr>
                <w:noProof/>
                <w:webHidden/>
              </w:rPr>
              <w:instrText xml:space="preserve"> PAGEREF _Toc170980403 \h </w:instrText>
            </w:r>
            <w:r>
              <w:rPr>
                <w:noProof/>
                <w:webHidden/>
              </w:rPr>
            </w:r>
            <w:r>
              <w:rPr>
                <w:noProof/>
                <w:webHidden/>
              </w:rPr>
              <w:fldChar w:fldCharType="separate"/>
            </w:r>
            <w:r>
              <w:rPr>
                <w:noProof/>
                <w:webHidden/>
              </w:rPr>
              <w:t>13</w:t>
            </w:r>
            <w:r>
              <w:rPr>
                <w:noProof/>
                <w:webHidden/>
              </w:rPr>
              <w:fldChar w:fldCharType="end"/>
            </w:r>
          </w:hyperlink>
        </w:p>
        <w:p w14:paraId="0FE98F11" w14:textId="7A456A4D"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404" w:history="1">
            <w:r w:rsidRPr="00413A43">
              <w:rPr>
                <w:rStyle w:val="Hyperlink"/>
                <w:noProof/>
              </w:rPr>
              <w:t>Summary of clinical studies</w:t>
            </w:r>
            <w:r>
              <w:rPr>
                <w:noProof/>
                <w:webHidden/>
              </w:rPr>
              <w:tab/>
            </w:r>
            <w:r>
              <w:rPr>
                <w:noProof/>
                <w:webHidden/>
              </w:rPr>
              <w:fldChar w:fldCharType="begin"/>
            </w:r>
            <w:r>
              <w:rPr>
                <w:noProof/>
                <w:webHidden/>
              </w:rPr>
              <w:instrText xml:space="preserve"> PAGEREF _Toc170980404 \h </w:instrText>
            </w:r>
            <w:r>
              <w:rPr>
                <w:noProof/>
                <w:webHidden/>
              </w:rPr>
            </w:r>
            <w:r>
              <w:rPr>
                <w:noProof/>
                <w:webHidden/>
              </w:rPr>
              <w:fldChar w:fldCharType="separate"/>
            </w:r>
            <w:r>
              <w:rPr>
                <w:noProof/>
                <w:webHidden/>
              </w:rPr>
              <w:t>13</w:t>
            </w:r>
            <w:r>
              <w:rPr>
                <w:noProof/>
                <w:webHidden/>
              </w:rPr>
              <w:fldChar w:fldCharType="end"/>
            </w:r>
          </w:hyperlink>
        </w:p>
        <w:p w14:paraId="0E222A7D" w14:textId="6DAB88D4"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405" w:history="1">
            <w:r w:rsidRPr="00413A43">
              <w:rPr>
                <w:rStyle w:val="Hyperlink"/>
                <w:noProof/>
              </w:rPr>
              <w:t>Pharmacology</w:t>
            </w:r>
            <w:r>
              <w:rPr>
                <w:noProof/>
                <w:webHidden/>
              </w:rPr>
              <w:tab/>
            </w:r>
            <w:r>
              <w:rPr>
                <w:noProof/>
                <w:webHidden/>
              </w:rPr>
              <w:fldChar w:fldCharType="begin"/>
            </w:r>
            <w:r>
              <w:rPr>
                <w:noProof/>
                <w:webHidden/>
              </w:rPr>
              <w:instrText xml:space="preserve"> PAGEREF _Toc170980405 \h </w:instrText>
            </w:r>
            <w:r>
              <w:rPr>
                <w:noProof/>
                <w:webHidden/>
              </w:rPr>
            </w:r>
            <w:r>
              <w:rPr>
                <w:noProof/>
                <w:webHidden/>
              </w:rPr>
              <w:fldChar w:fldCharType="separate"/>
            </w:r>
            <w:r>
              <w:rPr>
                <w:noProof/>
                <w:webHidden/>
              </w:rPr>
              <w:t>15</w:t>
            </w:r>
            <w:r>
              <w:rPr>
                <w:noProof/>
                <w:webHidden/>
              </w:rPr>
              <w:fldChar w:fldCharType="end"/>
            </w:r>
          </w:hyperlink>
        </w:p>
        <w:p w14:paraId="4FC4B070" w14:textId="48F81735"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406" w:history="1">
            <w:r w:rsidRPr="00413A43">
              <w:rPr>
                <w:rStyle w:val="Hyperlink"/>
                <w:noProof/>
              </w:rPr>
              <w:t>Efficacy</w:t>
            </w:r>
            <w:r>
              <w:rPr>
                <w:noProof/>
                <w:webHidden/>
              </w:rPr>
              <w:tab/>
            </w:r>
            <w:r>
              <w:rPr>
                <w:noProof/>
                <w:webHidden/>
              </w:rPr>
              <w:fldChar w:fldCharType="begin"/>
            </w:r>
            <w:r>
              <w:rPr>
                <w:noProof/>
                <w:webHidden/>
              </w:rPr>
              <w:instrText xml:space="preserve"> PAGEREF _Toc170980406 \h </w:instrText>
            </w:r>
            <w:r>
              <w:rPr>
                <w:noProof/>
                <w:webHidden/>
              </w:rPr>
            </w:r>
            <w:r>
              <w:rPr>
                <w:noProof/>
                <w:webHidden/>
              </w:rPr>
              <w:fldChar w:fldCharType="separate"/>
            </w:r>
            <w:r>
              <w:rPr>
                <w:noProof/>
                <w:webHidden/>
              </w:rPr>
              <w:t>16</w:t>
            </w:r>
            <w:r>
              <w:rPr>
                <w:noProof/>
                <w:webHidden/>
              </w:rPr>
              <w:fldChar w:fldCharType="end"/>
            </w:r>
          </w:hyperlink>
        </w:p>
        <w:p w14:paraId="47B186EA" w14:textId="2DAAF830"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407" w:history="1">
            <w:r w:rsidRPr="00413A43">
              <w:rPr>
                <w:rStyle w:val="Hyperlink"/>
                <w:noProof/>
              </w:rPr>
              <w:t>Safety</w:t>
            </w:r>
            <w:r>
              <w:rPr>
                <w:noProof/>
                <w:webHidden/>
              </w:rPr>
              <w:tab/>
            </w:r>
            <w:r>
              <w:rPr>
                <w:noProof/>
                <w:webHidden/>
              </w:rPr>
              <w:fldChar w:fldCharType="begin"/>
            </w:r>
            <w:r>
              <w:rPr>
                <w:noProof/>
                <w:webHidden/>
              </w:rPr>
              <w:instrText xml:space="preserve"> PAGEREF _Toc170980407 \h </w:instrText>
            </w:r>
            <w:r>
              <w:rPr>
                <w:noProof/>
                <w:webHidden/>
              </w:rPr>
            </w:r>
            <w:r>
              <w:rPr>
                <w:noProof/>
                <w:webHidden/>
              </w:rPr>
              <w:fldChar w:fldCharType="separate"/>
            </w:r>
            <w:r>
              <w:rPr>
                <w:noProof/>
                <w:webHidden/>
              </w:rPr>
              <w:t>28</w:t>
            </w:r>
            <w:r>
              <w:rPr>
                <w:noProof/>
                <w:webHidden/>
              </w:rPr>
              <w:fldChar w:fldCharType="end"/>
            </w:r>
          </w:hyperlink>
        </w:p>
        <w:p w14:paraId="00918AC4" w14:textId="729381E9" w:rsidR="00F966C9" w:rsidRDefault="00F966C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0408" w:history="1">
            <w:r w:rsidRPr="00413A43">
              <w:rPr>
                <w:rStyle w:val="Hyperlink"/>
                <w:noProof/>
                <w:lang w:eastAsia="en-AU"/>
              </w:rPr>
              <w:t>Risk management plan</w:t>
            </w:r>
            <w:r>
              <w:rPr>
                <w:noProof/>
                <w:webHidden/>
              </w:rPr>
              <w:tab/>
            </w:r>
            <w:r>
              <w:rPr>
                <w:noProof/>
                <w:webHidden/>
              </w:rPr>
              <w:fldChar w:fldCharType="begin"/>
            </w:r>
            <w:r>
              <w:rPr>
                <w:noProof/>
                <w:webHidden/>
              </w:rPr>
              <w:instrText xml:space="preserve"> PAGEREF _Toc170980408 \h </w:instrText>
            </w:r>
            <w:r>
              <w:rPr>
                <w:noProof/>
                <w:webHidden/>
              </w:rPr>
            </w:r>
            <w:r>
              <w:rPr>
                <w:noProof/>
                <w:webHidden/>
              </w:rPr>
              <w:fldChar w:fldCharType="separate"/>
            </w:r>
            <w:r>
              <w:rPr>
                <w:noProof/>
                <w:webHidden/>
              </w:rPr>
              <w:t>33</w:t>
            </w:r>
            <w:r>
              <w:rPr>
                <w:noProof/>
                <w:webHidden/>
              </w:rPr>
              <w:fldChar w:fldCharType="end"/>
            </w:r>
          </w:hyperlink>
        </w:p>
        <w:p w14:paraId="6A8526D1" w14:textId="05B56A90" w:rsidR="00F966C9" w:rsidRDefault="00F966C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0409" w:history="1">
            <w:r w:rsidRPr="00413A43">
              <w:rPr>
                <w:rStyle w:val="Hyperlink"/>
                <w:noProof/>
              </w:rPr>
              <w:t>Risk-benefit analysis</w:t>
            </w:r>
            <w:r>
              <w:rPr>
                <w:noProof/>
                <w:webHidden/>
              </w:rPr>
              <w:tab/>
            </w:r>
            <w:r>
              <w:rPr>
                <w:noProof/>
                <w:webHidden/>
              </w:rPr>
              <w:fldChar w:fldCharType="begin"/>
            </w:r>
            <w:r>
              <w:rPr>
                <w:noProof/>
                <w:webHidden/>
              </w:rPr>
              <w:instrText xml:space="preserve"> PAGEREF _Toc170980409 \h </w:instrText>
            </w:r>
            <w:r>
              <w:rPr>
                <w:noProof/>
                <w:webHidden/>
              </w:rPr>
            </w:r>
            <w:r>
              <w:rPr>
                <w:noProof/>
                <w:webHidden/>
              </w:rPr>
              <w:fldChar w:fldCharType="separate"/>
            </w:r>
            <w:r>
              <w:rPr>
                <w:noProof/>
                <w:webHidden/>
              </w:rPr>
              <w:t>34</w:t>
            </w:r>
            <w:r>
              <w:rPr>
                <w:noProof/>
                <w:webHidden/>
              </w:rPr>
              <w:fldChar w:fldCharType="end"/>
            </w:r>
          </w:hyperlink>
        </w:p>
        <w:p w14:paraId="112F00D0" w14:textId="4B5C66A1"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410" w:history="1">
            <w:r w:rsidRPr="00413A43">
              <w:rPr>
                <w:rStyle w:val="Hyperlink"/>
                <w:noProof/>
              </w:rPr>
              <w:t>European assessment</w:t>
            </w:r>
            <w:r>
              <w:rPr>
                <w:noProof/>
                <w:webHidden/>
              </w:rPr>
              <w:tab/>
            </w:r>
            <w:r>
              <w:rPr>
                <w:noProof/>
                <w:webHidden/>
              </w:rPr>
              <w:fldChar w:fldCharType="begin"/>
            </w:r>
            <w:r>
              <w:rPr>
                <w:noProof/>
                <w:webHidden/>
              </w:rPr>
              <w:instrText xml:space="preserve"> PAGEREF _Toc170980410 \h </w:instrText>
            </w:r>
            <w:r>
              <w:rPr>
                <w:noProof/>
                <w:webHidden/>
              </w:rPr>
            </w:r>
            <w:r>
              <w:rPr>
                <w:noProof/>
                <w:webHidden/>
              </w:rPr>
              <w:fldChar w:fldCharType="separate"/>
            </w:r>
            <w:r>
              <w:rPr>
                <w:noProof/>
                <w:webHidden/>
              </w:rPr>
              <w:t>34</w:t>
            </w:r>
            <w:r>
              <w:rPr>
                <w:noProof/>
                <w:webHidden/>
              </w:rPr>
              <w:fldChar w:fldCharType="end"/>
            </w:r>
          </w:hyperlink>
        </w:p>
        <w:p w14:paraId="533EE52E" w14:textId="05C62E92"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411" w:history="1">
            <w:r w:rsidRPr="00413A43">
              <w:rPr>
                <w:rStyle w:val="Hyperlink"/>
                <w:noProof/>
              </w:rPr>
              <w:t>TGA Delegate’s considerations</w:t>
            </w:r>
            <w:r>
              <w:rPr>
                <w:noProof/>
                <w:webHidden/>
              </w:rPr>
              <w:tab/>
            </w:r>
            <w:r>
              <w:rPr>
                <w:noProof/>
                <w:webHidden/>
              </w:rPr>
              <w:fldChar w:fldCharType="begin"/>
            </w:r>
            <w:r>
              <w:rPr>
                <w:noProof/>
                <w:webHidden/>
              </w:rPr>
              <w:instrText xml:space="preserve"> PAGEREF _Toc170980411 \h </w:instrText>
            </w:r>
            <w:r>
              <w:rPr>
                <w:noProof/>
                <w:webHidden/>
              </w:rPr>
            </w:r>
            <w:r>
              <w:rPr>
                <w:noProof/>
                <w:webHidden/>
              </w:rPr>
              <w:fldChar w:fldCharType="separate"/>
            </w:r>
            <w:r>
              <w:rPr>
                <w:noProof/>
                <w:webHidden/>
              </w:rPr>
              <w:t>41</w:t>
            </w:r>
            <w:r>
              <w:rPr>
                <w:noProof/>
                <w:webHidden/>
              </w:rPr>
              <w:fldChar w:fldCharType="end"/>
            </w:r>
          </w:hyperlink>
        </w:p>
        <w:p w14:paraId="2EEB09B4" w14:textId="47210025"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412" w:history="1">
            <w:r w:rsidRPr="00413A43">
              <w:rPr>
                <w:rStyle w:val="Hyperlink"/>
                <w:noProof/>
              </w:rPr>
              <w:t>Proposed action</w:t>
            </w:r>
            <w:r>
              <w:rPr>
                <w:noProof/>
                <w:webHidden/>
              </w:rPr>
              <w:tab/>
            </w:r>
            <w:r>
              <w:rPr>
                <w:noProof/>
                <w:webHidden/>
              </w:rPr>
              <w:fldChar w:fldCharType="begin"/>
            </w:r>
            <w:r>
              <w:rPr>
                <w:noProof/>
                <w:webHidden/>
              </w:rPr>
              <w:instrText xml:space="preserve"> PAGEREF _Toc170980412 \h </w:instrText>
            </w:r>
            <w:r>
              <w:rPr>
                <w:noProof/>
                <w:webHidden/>
              </w:rPr>
            </w:r>
            <w:r>
              <w:rPr>
                <w:noProof/>
                <w:webHidden/>
              </w:rPr>
              <w:fldChar w:fldCharType="separate"/>
            </w:r>
            <w:r>
              <w:rPr>
                <w:noProof/>
                <w:webHidden/>
              </w:rPr>
              <w:t>41</w:t>
            </w:r>
            <w:r>
              <w:rPr>
                <w:noProof/>
                <w:webHidden/>
              </w:rPr>
              <w:fldChar w:fldCharType="end"/>
            </w:r>
          </w:hyperlink>
        </w:p>
        <w:p w14:paraId="09DFF8C3" w14:textId="55FEC97D" w:rsidR="00F966C9" w:rsidRDefault="00F966C9">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0413" w:history="1">
            <w:r w:rsidRPr="00413A43">
              <w:rPr>
                <w:rStyle w:val="Hyperlink"/>
                <w:noProof/>
              </w:rPr>
              <w:t>Advisory Committee considerations</w:t>
            </w:r>
            <w:r>
              <w:rPr>
                <w:noProof/>
                <w:webHidden/>
              </w:rPr>
              <w:tab/>
            </w:r>
            <w:r>
              <w:rPr>
                <w:noProof/>
                <w:webHidden/>
              </w:rPr>
              <w:fldChar w:fldCharType="begin"/>
            </w:r>
            <w:r>
              <w:rPr>
                <w:noProof/>
                <w:webHidden/>
              </w:rPr>
              <w:instrText xml:space="preserve"> PAGEREF _Toc170980413 \h </w:instrText>
            </w:r>
            <w:r>
              <w:rPr>
                <w:noProof/>
                <w:webHidden/>
              </w:rPr>
            </w:r>
            <w:r>
              <w:rPr>
                <w:noProof/>
                <w:webHidden/>
              </w:rPr>
              <w:fldChar w:fldCharType="separate"/>
            </w:r>
            <w:r>
              <w:rPr>
                <w:noProof/>
                <w:webHidden/>
              </w:rPr>
              <w:t>41</w:t>
            </w:r>
            <w:r>
              <w:rPr>
                <w:noProof/>
                <w:webHidden/>
              </w:rPr>
              <w:fldChar w:fldCharType="end"/>
            </w:r>
          </w:hyperlink>
        </w:p>
        <w:p w14:paraId="7057176B" w14:textId="3E08CF7A" w:rsidR="00F966C9" w:rsidRDefault="00F966C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980414" w:history="1">
            <w:r w:rsidRPr="00413A43">
              <w:rPr>
                <w:rStyle w:val="Hyperlink"/>
                <w:noProof/>
              </w:rPr>
              <w:t>Outcome</w:t>
            </w:r>
            <w:r>
              <w:rPr>
                <w:noProof/>
                <w:webHidden/>
              </w:rPr>
              <w:tab/>
            </w:r>
            <w:r>
              <w:rPr>
                <w:noProof/>
                <w:webHidden/>
              </w:rPr>
              <w:fldChar w:fldCharType="begin"/>
            </w:r>
            <w:r>
              <w:rPr>
                <w:noProof/>
                <w:webHidden/>
              </w:rPr>
              <w:instrText xml:space="preserve"> PAGEREF _Toc170980414 \h </w:instrText>
            </w:r>
            <w:r>
              <w:rPr>
                <w:noProof/>
                <w:webHidden/>
              </w:rPr>
            </w:r>
            <w:r>
              <w:rPr>
                <w:noProof/>
                <w:webHidden/>
              </w:rPr>
              <w:fldChar w:fldCharType="separate"/>
            </w:r>
            <w:r>
              <w:rPr>
                <w:noProof/>
                <w:webHidden/>
              </w:rPr>
              <w:t>41</w:t>
            </w:r>
            <w:r>
              <w:rPr>
                <w:noProof/>
                <w:webHidden/>
              </w:rPr>
              <w:fldChar w:fldCharType="end"/>
            </w:r>
          </w:hyperlink>
        </w:p>
        <w:p w14:paraId="582A681E" w14:textId="31FD81CE" w:rsidR="00F966C9" w:rsidRDefault="00F966C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0415" w:history="1">
            <w:r w:rsidRPr="00413A43">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_Toc170980415 \h </w:instrText>
            </w:r>
            <w:r>
              <w:rPr>
                <w:noProof/>
                <w:webHidden/>
              </w:rPr>
            </w:r>
            <w:r>
              <w:rPr>
                <w:noProof/>
                <w:webHidden/>
              </w:rPr>
              <w:fldChar w:fldCharType="separate"/>
            </w:r>
            <w:r>
              <w:rPr>
                <w:noProof/>
                <w:webHidden/>
              </w:rPr>
              <w:t>41</w:t>
            </w:r>
            <w:r>
              <w:rPr>
                <w:noProof/>
                <w:webHidden/>
              </w:rPr>
              <w:fldChar w:fldCharType="end"/>
            </w:r>
          </w:hyperlink>
        </w:p>
        <w:p w14:paraId="6DE937AA" w14:textId="48FBD2D9" w:rsidR="00F966C9" w:rsidRDefault="00F966C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980416" w:history="1">
            <w:r w:rsidRPr="00413A43">
              <w:rPr>
                <w:rStyle w:val="Hyperlink"/>
                <w:noProof/>
              </w:rPr>
              <w:t>Attachment 1. Product Information</w:t>
            </w:r>
            <w:r>
              <w:rPr>
                <w:noProof/>
                <w:webHidden/>
              </w:rPr>
              <w:tab/>
            </w:r>
            <w:r>
              <w:rPr>
                <w:noProof/>
                <w:webHidden/>
              </w:rPr>
              <w:fldChar w:fldCharType="begin"/>
            </w:r>
            <w:r>
              <w:rPr>
                <w:noProof/>
                <w:webHidden/>
              </w:rPr>
              <w:instrText xml:space="preserve"> PAGEREF _Toc170980416 \h </w:instrText>
            </w:r>
            <w:r>
              <w:rPr>
                <w:noProof/>
                <w:webHidden/>
              </w:rPr>
            </w:r>
            <w:r>
              <w:rPr>
                <w:noProof/>
                <w:webHidden/>
              </w:rPr>
              <w:fldChar w:fldCharType="separate"/>
            </w:r>
            <w:r>
              <w:rPr>
                <w:noProof/>
                <w:webHidden/>
              </w:rPr>
              <w:t>42</w:t>
            </w:r>
            <w:r>
              <w:rPr>
                <w:noProof/>
                <w:webHidden/>
              </w:rPr>
              <w:fldChar w:fldCharType="end"/>
            </w:r>
          </w:hyperlink>
        </w:p>
        <w:p w14:paraId="77659F2D" w14:textId="27095CC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170980389"/>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B42A21" w:rsidRPr="00D01DDB" w14:paraId="1944274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AC1DFF" w14:textId="64877BA4" w:rsidR="00B42A21" w:rsidRPr="007D1B55" w:rsidRDefault="00B42A21" w:rsidP="007D1B55">
            <w:pPr>
              <w:rPr>
                <w:szCs w:val="22"/>
              </w:rPr>
            </w:pPr>
            <w:r w:rsidRPr="007D1B55">
              <w:rPr>
                <w:szCs w:val="22"/>
              </w:rPr>
              <w:t>AAR</w:t>
            </w:r>
          </w:p>
        </w:tc>
        <w:tc>
          <w:tcPr>
            <w:tcW w:w="3800" w:type="pct"/>
          </w:tcPr>
          <w:p w14:paraId="22079DF9" w14:textId="5B4D4E92" w:rsidR="00B42A21" w:rsidRDefault="00B42A21" w:rsidP="007D1B55">
            <w:pPr>
              <w:cnfStyle w:val="000000000000" w:firstRow="0" w:lastRow="0" w:firstColumn="0" w:lastColumn="0" w:oddVBand="0" w:evenVBand="0" w:oddHBand="0" w:evenHBand="0" w:firstRowFirstColumn="0" w:firstRowLastColumn="0" w:lastRowFirstColumn="0" w:lastRowLastColumn="0"/>
            </w:pPr>
            <w:r>
              <w:t>Annualised attack rate</w:t>
            </w:r>
          </w:p>
        </w:tc>
      </w:tr>
      <w:tr w:rsidR="00B42A21" w:rsidRPr="00D01DDB" w14:paraId="5714CD8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6BF8D3" w14:textId="00F058CA" w:rsidR="00B42A21" w:rsidRPr="007D1B55" w:rsidRDefault="00B42A21" w:rsidP="007D1B55">
            <w:pPr>
              <w:rPr>
                <w:szCs w:val="22"/>
              </w:rPr>
            </w:pPr>
            <w:r w:rsidRPr="007D1B55">
              <w:rPr>
                <w:szCs w:val="22"/>
              </w:rPr>
              <w:t>ADA</w:t>
            </w:r>
          </w:p>
        </w:tc>
        <w:tc>
          <w:tcPr>
            <w:tcW w:w="3800" w:type="pct"/>
          </w:tcPr>
          <w:p w14:paraId="2E358AA6" w14:textId="63725110" w:rsidR="00B42A21" w:rsidRPr="005F1FE2" w:rsidRDefault="00B42A21" w:rsidP="007D1B55">
            <w:pPr>
              <w:cnfStyle w:val="000000000000" w:firstRow="0" w:lastRow="0" w:firstColumn="0" w:lastColumn="0" w:oddVBand="0" w:evenVBand="0" w:oddHBand="0" w:evenHBand="0" w:firstRowFirstColumn="0" w:firstRowLastColumn="0" w:lastRowFirstColumn="0" w:lastRowLastColumn="0"/>
            </w:pPr>
            <w:r>
              <w:t>Anti</w:t>
            </w:r>
            <w:r>
              <w:noBreakHyphen/>
              <w:t>drug antibodies</w:t>
            </w:r>
          </w:p>
        </w:tc>
      </w:tr>
      <w:tr w:rsidR="005C4E2E" w:rsidRPr="00D01DDB" w14:paraId="4964DBB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E77092" w14:textId="7BD816E4" w:rsidR="005C4E2E" w:rsidRPr="007D1B55" w:rsidRDefault="005C4E2E" w:rsidP="007D1B55">
            <w:pPr>
              <w:rPr>
                <w:szCs w:val="22"/>
              </w:rPr>
            </w:pPr>
            <w:r w:rsidRPr="007D1B55">
              <w:rPr>
                <w:szCs w:val="22"/>
              </w:rPr>
              <w:t>ADP</w:t>
            </w:r>
          </w:p>
        </w:tc>
        <w:tc>
          <w:tcPr>
            <w:tcW w:w="3800" w:type="pct"/>
          </w:tcPr>
          <w:p w14:paraId="66D6616F" w14:textId="0F66ACA9" w:rsidR="005C4E2E" w:rsidRPr="00D01DDB" w:rsidRDefault="005C4E2E" w:rsidP="007D1B55">
            <w:pPr>
              <w:cnfStyle w:val="000000000000" w:firstRow="0" w:lastRow="0" w:firstColumn="0" w:lastColumn="0" w:oddVBand="0" w:evenVBand="0" w:oddHBand="0" w:evenHBand="0" w:firstRowFirstColumn="0" w:firstRowLastColumn="0" w:lastRowFirstColumn="0" w:lastRowLastColumn="0"/>
              <w:rPr>
                <w:szCs w:val="22"/>
              </w:rPr>
            </w:pPr>
            <w:r w:rsidRPr="005F1FE2">
              <w:t>ALA dehydratase-deficient porphyria</w:t>
            </w:r>
          </w:p>
        </w:tc>
      </w:tr>
      <w:tr w:rsidR="00856996" w:rsidRPr="00D01DDB" w14:paraId="567B658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96E32D" w14:textId="110FBF69" w:rsidR="00856996" w:rsidRPr="007D1B55" w:rsidRDefault="00856996" w:rsidP="007D1B55">
            <w:pPr>
              <w:rPr>
                <w:szCs w:val="22"/>
              </w:rPr>
            </w:pPr>
            <w:r w:rsidRPr="007D1B55">
              <w:rPr>
                <w:szCs w:val="22"/>
              </w:rPr>
              <w:t>AE</w:t>
            </w:r>
          </w:p>
        </w:tc>
        <w:tc>
          <w:tcPr>
            <w:tcW w:w="3800" w:type="pct"/>
          </w:tcPr>
          <w:p w14:paraId="40960645" w14:textId="0AD5CFF9" w:rsidR="00856996" w:rsidRPr="005F1FE2" w:rsidRDefault="00856996" w:rsidP="007D1B55">
            <w:pPr>
              <w:cnfStyle w:val="000000000000" w:firstRow="0" w:lastRow="0" w:firstColumn="0" w:lastColumn="0" w:oddVBand="0" w:evenVBand="0" w:oddHBand="0" w:evenHBand="0" w:firstRowFirstColumn="0" w:firstRowLastColumn="0" w:lastRowFirstColumn="0" w:lastRowLastColumn="0"/>
            </w:pPr>
            <w:r>
              <w:t>Adverse event</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762C867C" w:rsidR="00324B33" w:rsidRPr="007D1B55" w:rsidRDefault="00962B7F" w:rsidP="007D1B55">
            <w:pPr>
              <w:rPr>
                <w:szCs w:val="22"/>
              </w:rPr>
            </w:pPr>
            <w:r w:rsidRPr="007D1B55">
              <w:rPr>
                <w:szCs w:val="22"/>
              </w:rPr>
              <w:t>AHP</w:t>
            </w:r>
          </w:p>
        </w:tc>
        <w:tc>
          <w:tcPr>
            <w:tcW w:w="3800" w:type="pct"/>
          </w:tcPr>
          <w:p w14:paraId="4F24A873" w14:textId="6E240B2F" w:rsidR="00324B33" w:rsidRPr="00D01DDB" w:rsidRDefault="00340FB8" w:rsidP="007D1B55">
            <w:pPr>
              <w:cnfStyle w:val="000000000000" w:firstRow="0" w:lastRow="0" w:firstColumn="0" w:lastColumn="0" w:oddVBand="0" w:evenVBand="0" w:oddHBand="0" w:evenHBand="0" w:firstRowFirstColumn="0" w:firstRowLastColumn="0" w:lastRowFirstColumn="0" w:lastRowLastColumn="0"/>
              <w:rPr>
                <w:szCs w:val="22"/>
              </w:rPr>
            </w:pPr>
            <w:r>
              <w:t>Acute hepatic porphyria</w:t>
            </w:r>
          </w:p>
        </w:tc>
      </w:tr>
      <w:tr w:rsidR="00962B7F" w:rsidRPr="00D01DDB" w14:paraId="68BD789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98B37F" w14:textId="7B944C68" w:rsidR="00962B7F" w:rsidRPr="007D1B55" w:rsidRDefault="00962B7F" w:rsidP="007D1B55">
            <w:pPr>
              <w:rPr>
                <w:szCs w:val="22"/>
              </w:rPr>
            </w:pPr>
            <w:r w:rsidRPr="007D1B55">
              <w:rPr>
                <w:szCs w:val="22"/>
              </w:rPr>
              <w:t>AIP</w:t>
            </w:r>
          </w:p>
        </w:tc>
        <w:tc>
          <w:tcPr>
            <w:tcW w:w="3800" w:type="pct"/>
          </w:tcPr>
          <w:p w14:paraId="3F2AD1C0" w14:textId="017D2D93" w:rsidR="00962B7F" w:rsidRPr="00D01DDB" w:rsidRDefault="00962B7F"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962B7F">
              <w:rPr>
                <w:szCs w:val="22"/>
              </w:rPr>
              <w:t>cute intermittent porphyria</w:t>
            </w:r>
          </w:p>
        </w:tc>
      </w:tr>
      <w:tr w:rsidR="005C4E2E" w:rsidRPr="00D01DDB" w14:paraId="74B47E7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D0D08D" w14:textId="340251BE" w:rsidR="005C4E2E" w:rsidRPr="007D1B55" w:rsidRDefault="005C4E2E" w:rsidP="007D1B55">
            <w:pPr>
              <w:rPr>
                <w:szCs w:val="22"/>
              </w:rPr>
            </w:pPr>
            <w:r w:rsidRPr="007D1B55">
              <w:rPr>
                <w:szCs w:val="22"/>
              </w:rPr>
              <w:t>ALA</w:t>
            </w:r>
          </w:p>
        </w:tc>
        <w:tc>
          <w:tcPr>
            <w:tcW w:w="3800" w:type="pct"/>
          </w:tcPr>
          <w:p w14:paraId="32DD73E9" w14:textId="501BDEE8" w:rsidR="005C4E2E" w:rsidRDefault="00415750" w:rsidP="007D1B55">
            <w:pPr>
              <w:cnfStyle w:val="000000000000" w:firstRow="0" w:lastRow="0" w:firstColumn="0" w:lastColumn="0" w:oddVBand="0" w:evenVBand="0" w:oddHBand="0" w:evenHBand="0" w:firstRowFirstColumn="0" w:firstRowLastColumn="0" w:lastRowFirstColumn="0" w:lastRowLastColumn="0"/>
              <w:rPr>
                <w:szCs w:val="22"/>
              </w:rPr>
            </w:pPr>
            <w:proofErr w:type="spellStart"/>
            <w:r>
              <w:t>Aminolevulinic</w:t>
            </w:r>
            <w:proofErr w:type="spellEnd"/>
            <w:r>
              <w:t xml:space="preserve"> acid</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57F02CBF" w:rsidR="00324B33" w:rsidRPr="007D1B55" w:rsidRDefault="00530DDD" w:rsidP="007D1B55">
            <w:pPr>
              <w:rPr>
                <w:szCs w:val="22"/>
              </w:rPr>
            </w:pPr>
            <w:r w:rsidRPr="007D1B55">
              <w:rPr>
                <w:szCs w:val="22"/>
              </w:rPr>
              <w:t>ALAS1</w:t>
            </w:r>
          </w:p>
        </w:tc>
        <w:tc>
          <w:tcPr>
            <w:tcW w:w="3800" w:type="pct"/>
          </w:tcPr>
          <w:p w14:paraId="5072E244" w14:textId="10076520" w:rsidR="00324B33" w:rsidRPr="00D01DDB" w:rsidRDefault="007C65EF" w:rsidP="007D1B55">
            <w:pPr>
              <w:cnfStyle w:val="000000000000" w:firstRow="0" w:lastRow="0" w:firstColumn="0" w:lastColumn="0" w:oddVBand="0" w:evenVBand="0" w:oddHBand="0" w:evenHBand="0" w:firstRowFirstColumn="0" w:firstRowLastColumn="0" w:lastRowFirstColumn="0" w:lastRowLastColumn="0"/>
              <w:rPr>
                <w:szCs w:val="22"/>
              </w:rPr>
            </w:pPr>
            <w:r w:rsidRPr="00121C9B">
              <w:t>5′</w:t>
            </w:r>
            <w:r>
              <w:t>−</w:t>
            </w:r>
            <w:r w:rsidRPr="00121C9B">
              <w:t>aminolevulinate synthase 1</w:t>
            </w:r>
          </w:p>
        </w:tc>
      </w:tr>
      <w:tr w:rsidR="00F94EA3" w:rsidRPr="00D01DDB" w14:paraId="5C8CE1D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425B2C" w14:textId="67809949" w:rsidR="00F94EA3" w:rsidRPr="007D1B55" w:rsidRDefault="00F94EA3" w:rsidP="007D1B55">
            <w:pPr>
              <w:rPr>
                <w:szCs w:val="22"/>
              </w:rPr>
            </w:pPr>
            <w:r w:rsidRPr="007D1B55">
              <w:rPr>
                <w:szCs w:val="22"/>
              </w:rPr>
              <w:t>ALT</w:t>
            </w:r>
          </w:p>
        </w:tc>
        <w:tc>
          <w:tcPr>
            <w:tcW w:w="3800" w:type="pct"/>
          </w:tcPr>
          <w:p w14:paraId="31B08937" w14:textId="19C973E0" w:rsidR="00F94EA3" w:rsidRPr="00121C9B" w:rsidRDefault="00A87A75" w:rsidP="007D1B55">
            <w:pPr>
              <w:cnfStyle w:val="000000000000" w:firstRow="0" w:lastRow="0" w:firstColumn="0" w:lastColumn="0" w:oddVBand="0" w:evenVBand="0" w:oddHBand="0" w:evenHBand="0" w:firstRowFirstColumn="0" w:firstRowLastColumn="0" w:lastRowFirstColumn="0" w:lastRowLastColumn="0"/>
            </w:pPr>
            <w:r>
              <w:t>Alanine aminotransferase</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7D1B55" w:rsidRDefault="00324B33" w:rsidP="007D1B55">
            <w:pPr>
              <w:rPr>
                <w:szCs w:val="22"/>
              </w:rPr>
            </w:pPr>
            <w:r w:rsidRPr="007D1B55">
              <w:rPr>
                <w:szCs w:val="22"/>
              </w:rPr>
              <w:t>ARTG</w:t>
            </w:r>
          </w:p>
        </w:tc>
        <w:tc>
          <w:tcPr>
            <w:tcW w:w="3800" w:type="pct"/>
          </w:tcPr>
          <w:p w14:paraId="228A203A" w14:textId="47EBCFA3" w:rsidR="00324B33" w:rsidRPr="00D01DDB" w:rsidRDefault="00324B33" w:rsidP="007D1B5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7D1B55" w:rsidRDefault="00324B33" w:rsidP="007D1B55">
            <w:pPr>
              <w:rPr>
                <w:szCs w:val="22"/>
              </w:rPr>
            </w:pPr>
            <w:r w:rsidRPr="007D1B55">
              <w:rPr>
                <w:szCs w:val="22"/>
              </w:rPr>
              <w:t>ASA</w:t>
            </w:r>
          </w:p>
        </w:tc>
        <w:tc>
          <w:tcPr>
            <w:tcW w:w="3800" w:type="pct"/>
          </w:tcPr>
          <w:p w14:paraId="4E6F5284" w14:textId="21C063B1" w:rsidR="00324B33" w:rsidRPr="00D01DDB" w:rsidRDefault="00324B33" w:rsidP="007D1B5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F94EA3" w:rsidRPr="00D01DDB" w14:paraId="1044F90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878319" w14:textId="0DBA8C2A" w:rsidR="00F94EA3" w:rsidRPr="007D1B55" w:rsidRDefault="00F94EA3" w:rsidP="007D1B55">
            <w:pPr>
              <w:rPr>
                <w:szCs w:val="22"/>
              </w:rPr>
            </w:pPr>
            <w:r w:rsidRPr="007D1B55">
              <w:rPr>
                <w:szCs w:val="22"/>
              </w:rPr>
              <w:t>AST</w:t>
            </w:r>
          </w:p>
        </w:tc>
        <w:tc>
          <w:tcPr>
            <w:tcW w:w="3800" w:type="pct"/>
          </w:tcPr>
          <w:p w14:paraId="19BD5A7C" w14:textId="1C90E8BF" w:rsidR="00F94EA3" w:rsidRPr="00D01DDB" w:rsidRDefault="00A87A75" w:rsidP="007D1B55">
            <w:pPr>
              <w:cnfStyle w:val="000000000000" w:firstRow="0" w:lastRow="0" w:firstColumn="0" w:lastColumn="0" w:oddVBand="0" w:evenVBand="0" w:oddHBand="0" w:evenHBand="0" w:firstRowFirstColumn="0" w:firstRowLastColumn="0" w:lastRowFirstColumn="0" w:lastRowLastColumn="0"/>
              <w:rPr>
                <w:szCs w:val="22"/>
              </w:rPr>
            </w:pPr>
            <w:r>
              <w:t>Aspartate aminotransferase</w:t>
            </w:r>
          </w:p>
        </w:tc>
      </w:tr>
      <w:tr w:rsidR="00A6268F" w:rsidRPr="00D01DDB" w14:paraId="0414DA1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5D4849" w14:textId="4F526CE4" w:rsidR="00A6268F" w:rsidRPr="007D1B55" w:rsidRDefault="00A6268F" w:rsidP="007D1B55">
            <w:pPr>
              <w:rPr>
                <w:szCs w:val="22"/>
              </w:rPr>
            </w:pPr>
            <w:r w:rsidRPr="007D1B55">
              <w:rPr>
                <w:szCs w:val="22"/>
              </w:rPr>
              <w:t>AUC</w:t>
            </w:r>
          </w:p>
        </w:tc>
        <w:tc>
          <w:tcPr>
            <w:tcW w:w="3800" w:type="pct"/>
          </w:tcPr>
          <w:p w14:paraId="52AAF8BA" w14:textId="19F31A8B" w:rsidR="00A6268F" w:rsidRPr="00D01DDB" w:rsidRDefault="00A6268F" w:rsidP="007D1B55">
            <w:pPr>
              <w:cnfStyle w:val="000000000000" w:firstRow="0" w:lastRow="0" w:firstColumn="0" w:lastColumn="0" w:oddVBand="0" w:evenVBand="0" w:oddHBand="0" w:evenHBand="0" w:firstRowFirstColumn="0" w:firstRowLastColumn="0" w:lastRowFirstColumn="0" w:lastRowLastColumn="0"/>
              <w:rPr>
                <w:szCs w:val="22"/>
              </w:rPr>
            </w:pPr>
            <w:r>
              <w:t>Area under the concentration-time curve</w:t>
            </w:r>
            <w:r w:rsidR="00BB5063">
              <w:t xml:space="preserve"> (may include </w:t>
            </w:r>
            <w:proofErr w:type="gramStart"/>
            <w:r w:rsidR="00BB5063">
              <w:t>time period</w:t>
            </w:r>
            <w:proofErr w:type="gramEnd"/>
            <w:r w:rsidR="00BB5063">
              <w:t xml:space="preserve"> as subscript)</w:t>
            </w:r>
          </w:p>
        </w:tc>
      </w:tr>
      <w:tr w:rsidR="00856996" w:rsidRPr="00D01DDB" w14:paraId="5413DBD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3BCA55" w14:textId="6C82CD9E" w:rsidR="00856996" w:rsidRPr="007D1B55" w:rsidRDefault="00856996" w:rsidP="007D1B55">
            <w:pPr>
              <w:rPr>
                <w:szCs w:val="22"/>
              </w:rPr>
            </w:pPr>
            <w:r w:rsidRPr="007D1B55">
              <w:rPr>
                <w:szCs w:val="22"/>
              </w:rPr>
              <w:t>BMI</w:t>
            </w:r>
          </w:p>
        </w:tc>
        <w:tc>
          <w:tcPr>
            <w:tcW w:w="3800" w:type="pct"/>
          </w:tcPr>
          <w:p w14:paraId="76CDE695" w14:textId="4D060C46" w:rsidR="00856996" w:rsidRDefault="00856996" w:rsidP="007D1B55">
            <w:pPr>
              <w:cnfStyle w:val="000000000000" w:firstRow="0" w:lastRow="0" w:firstColumn="0" w:lastColumn="0" w:oddVBand="0" w:evenVBand="0" w:oddHBand="0" w:evenHBand="0" w:firstRowFirstColumn="0" w:firstRowLastColumn="0" w:lastRowFirstColumn="0" w:lastRowLastColumn="0"/>
            </w:pPr>
            <w:r>
              <w:t>Body mass index</w:t>
            </w:r>
          </w:p>
        </w:tc>
      </w:tr>
      <w:tr w:rsidR="00FB450A" w:rsidRPr="00D01DDB" w14:paraId="01DFC7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41435B" w14:textId="0097194A" w:rsidR="00FB450A" w:rsidRPr="007D1B55" w:rsidRDefault="00FB450A" w:rsidP="007D1B55">
            <w:pPr>
              <w:rPr>
                <w:szCs w:val="22"/>
              </w:rPr>
            </w:pPr>
            <w:r w:rsidRPr="007D1B55">
              <w:rPr>
                <w:szCs w:val="22"/>
              </w:rPr>
              <w:t>CHE</w:t>
            </w:r>
          </w:p>
        </w:tc>
        <w:tc>
          <w:tcPr>
            <w:tcW w:w="3800" w:type="pct"/>
          </w:tcPr>
          <w:p w14:paraId="01C1C644" w14:textId="5AD12F67" w:rsidR="00FB450A" w:rsidRPr="00D01DDB" w:rsidRDefault="00FB450A" w:rsidP="007D1B55">
            <w:pPr>
              <w:cnfStyle w:val="000000000000" w:firstRow="0" w:lastRow="0" w:firstColumn="0" w:lastColumn="0" w:oddVBand="0" w:evenVBand="0" w:oddHBand="0" w:evenHBand="0" w:firstRowFirstColumn="0" w:firstRowLastColumn="0" w:lastRowFirstColumn="0" w:lastRowLastColumn="0"/>
              <w:rPr>
                <w:szCs w:val="22"/>
              </w:rPr>
            </w:pPr>
            <w:r>
              <w:t>C</w:t>
            </w:r>
            <w:r w:rsidRPr="00D70316">
              <w:t>hronic high excreters</w:t>
            </w:r>
          </w:p>
        </w:tc>
      </w:tr>
      <w:tr w:rsidR="007D1B55" w:rsidRPr="00D01DDB" w14:paraId="686E4B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F8DA84" w14:textId="5E15A6AD" w:rsidR="007D1B55" w:rsidRPr="007D1B55" w:rsidRDefault="007D1B55" w:rsidP="007D1B55">
            <w:pPr>
              <w:rPr>
                <w:szCs w:val="22"/>
              </w:rPr>
            </w:pPr>
            <w:r w:rsidRPr="007D1B55">
              <w:rPr>
                <w:szCs w:val="22"/>
              </w:rPr>
              <w:t>CKD</w:t>
            </w:r>
          </w:p>
        </w:tc>
        <w:tc>
          <w:tcPr>
            <w:tcW w:w="3800" w:type="pct"/>
          </w:tcPr>
          <w:p w14:paraId="06E3B39D" w14:textId="236679EB" w:rsidR="007D1B55" w:rsidRDefault="007D1B55" w:rsidP="007D1B55">
            <w:pPr>
              <w:cnfStyle w:val="000000000000" w:firstRow="0" w:lastRow="0" w:firstColumn="0" w:lastColumn="0" w:oddVBand="0" w:evenVBand="0" w:oddHBand="0" w:evenHBand="0" w:firstRowFirstColumn="0" w:firstRowLastColumn="0" w:lastRowFirstColumn="0" w:lastRowLastColumn="0"/>
            </w:pPr>
            <w:r>
              <w:t>Chronic kidney disease</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7D1B55" w:rsidRDefault="00395140" w:rsidP="007D1B55">
            <w:pPr>
              <w:rPr>
                <w:szCs w:val="22"/>
              </w:rPr>
            </w:pPr>
            <w:r w:rsidRPr="007D1B55">
              <w:rPr>
                <w:szCs w:val="22"/>
              </w:rPr>
              <w:t>CMI</w:t>
            </w:r>
          </w:p>
        </w:tc>
        <w:tc>
          <w:tcPr>
            <w:tcW w:w="3800" w:type="pct"/>
          </w:tcPr>
          <w:p w14:paraId="5D8C9DF5" w14:textId="60C23379" w:rsidR="00395140" w:rsidRPr="00D01DDB" w:rsidRDefault="00395140" w:rsidP="007D1B5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675C84" w:rsidRPr="00D01DDB" w14:paraId="1A46FE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5DE929" w14:textId="2F91A3D7" w:rsidR="00675C84" w:rsidRPr="007D1B55" w:rsidRDefault="00675C84" w:rsidP="007D1B55">
            <w:pPr>
              <w:rPr>
                <w:szCs w:val="22"/>
              </w:rPr>
            </w:pPr>
            <w:r>
              <w:rPr>
                <w:szCs w:val="22"/>
              </w:rPr>
              <w:t>COR</w:t>
            </w:r>
          </w:p>
        </w:tc>
        <w:tc>
          <w:tcPr>
            <w:tcW w:w="3800" w:type="pct"/>
          </w:tcPr>
          <w:p w14:paraId="2EC6C381" w14:textId="4EB85A7B" w:rsidR="00675C84" w:rsidRPr="00D01DDB" w:rsidRDefault="00675C84" w:rsidP="007D1B55">
            <w:pPr>
              <w:cnfStyle w:val="000000000000" w:firstRow="0" w:lastRow="0" w:firstColumn="0" w:lastColumn="0" w:oddVBand="0" w:evenVBand="0" w:oddHBand="0" w:evenHBand="0" w:firstRowFirstColumn="0" w:firstRowLastColumn="0" w:lastRowFirstColumn="0" w:lastRowLastColumn="0"/>
              <w:rPr>
                <w:szCs w:val="22"/>
              </w:rPr>
            </w:pPr>
            <w:r w:rsidRPr="00675C84">
              <w:rPr>
                <w:szCs w:val="22"/>
              </w:rPr>
              <w:t xml:space="preserve">Comparable </w:t>
            </w:r>
            <w:r>
              <w:rPr>
                <w:szCs w:val="22"/>
              </w:rPr>
              <w:t>o</w:t>
            </w:r>
            <w:r w:rsidRPr="00675C84">
              <w:rPr>
                <w:szCs w:val="22"/>
              </w:rPr>
              <w:t xml:space="preserve">verseas </w:t>
            </w:r>
            <w:r>
              <w:rPr>
                <w:szCs w:val="22"/>
              </w:rPr>
              <w:t>r</w:t>
            </w:r>
            <w:r w:rsidRPr="00675C84">
              <w:rPr>
                <w:szCs w:val="22"/>
              </w:rPr>
              <w:t>egulator</w:t>
            </w:r>
          </w:p>
        </w:tc>
      </w:tr>
      <w:tr w:rsidR="00D857F9" w:rsidRPr="00D01DDB" w14:paraId="1CAAF18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56C730" w14:textId="6C817E8B" w:rsidR="00D857F9" w:rsidRPr="00D857F9" w:rsidRDefault="00D857F9" w:rsidP="007D1B55">
            <w:pPr>
              <w:rPr>
                <w:szCs w:val="22"/>
              </w:rPr>
            </w:pPr>
            <w:r w:rsidRPr="00D857F9">
              <w:rPr>
                <w:szCs w:val="22"/>
              </w:rPr>
              <w:t>CUP</w:t>
            </w:r>
          </w:p>
        </w:tc>
        <w:tc>
          <w:tcPr>
            <w:tcW w:w="3800" w:type="pct"/>
          </w:tcPr>
          <w:p w14:paraId="19243250" w14:textId="5113EAE6" w:rsidR="00D857F9" w:rsidRPr="00D01DDB" w:rsidRDefault="00D857F9" w:rsidP="007D1B55">
            <w:pPr>
              <w:cnfStyle w:val="000000000000" w:firstRow="0" w:lastRow="0" w:firstColumn="0" w:lastColumn="0" w:oddVBand="0" w:evenVBand="0" w:oddHBand="0" w:evenHBand="0" w:firstRowFirstColumn="0" w:firstRowLastColumn="0" w:lastRowFirstColumn="0" w:lastRowLastColumn="0"/>
              <w:rPr>
                <w:szCs w:val="22"/>
              </w:rPr>
            </w:pPr>
            <w:r w:rsidRPr="00D857F9">
              <w:rPr>
                <w:szCs w:val="22"/>
              </w:rPr>
              <w:t xml:space="preserve">Compassionate </w:t>
            </w:r>
            <w:r w:rsidR="00675C84">
              <w:rPr>
                <w:szCs w:val="22"/>
              </w:rPr>
              <w:t>u</w:t>
            </w:r>
            <w:r w:rsidRPr="00D857F9">
              <w:rPr>
                <w:szCs w:val="22"/>
              </w:rPr>
              <w:t xml:space="preserve">se </w:t>
            </w:r>
            <w:r w:rsidR="00675C84">
              <w:rPr>
                <w:szCs w:val="22"/>
              </w:rPr>
              <w:t>p</w:t>
            </w:r>
            <w:r w:rsidRPr="00D857F9">
              <w:rPr>
                <w:szCs w:val="22"/>
              </w:rPr>
              <w:t>rogram (</w:t>
            </w:r>
            <w:r w:rsidR="00675C84">
              <w:rPr>
                <w:szCs w:val="22"/>
              </w:rPr>
              <w:t xml:space="preserve">and equivalents </w:t>
            </w:r>
            <w:r w:rsidRPr="00D857F9">
              <w:rPr>
                <w:szCs w:val="22"/>
              </w:rPr>
              <w:t>in various countries)</w:t>
            </w:r>
          </w:p>
        </w:tc>
      </w:tr>
      <w:tr w:rsidR="00826DB3" w:rsidRPr="00D01DDB" w14:paraId="7CFF952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6FAD8A" w14:textId="34B8C40A" w:rsidR="00826DB3" w:rsidRPr="007D1B55" w:rsidRDefault="00826DB3" w:rsidP="007D1B55">
            <w:pPr>
              <w:rPr>
                <w:szCs w:val="22"/>
              </w:rPr>
            </w:pPr>
            <w:r w:rsidRPr="007D1B55">
              <w:rPr>
                <w:szCs w:val="22"/>
              </w:rPr>
              <w:t>CYP</w:t>
            </w:r>
          </w:p>
        </w:tc>
        <w:tc>
          <w:tcPr>
            <w:tcW w:w="3800" w:type="pct"/>
          </w:tcPr>
          <w:p w14:paraId="10613A20" w14:textId="39B5F5C9" w:rsidR="00826DB3" w:rsidRPr="00D01DDB" w:rsidRDefault="00826DB3"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Cytochrome P450</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7D1B55" w:rsidRDefault="00324B33" w:rsidP="007D1B55">
            <w:pPr>
              <w:rPr>
                <w:szCs w:val="22"/>
              </w:rPr>
            </w:pPr>
            <w:r w:rsidRPr="007D1B55">
              <w:rPr>
                <w:szCs w:val="22"/>
              </w:rPr>
              <w:t>DLP</w:t>
            </w:r>
          </w:p>
        </w:tc>
        <w:tc>
          <w:tcPr>
            <w:tcW w:w="3800" w:type="pct"/>
          </w:tcPr>
          <w:p w14:paraId="26109D0B" w14:textId="4AE8F60A" w:rsidR="00324B33" w:rsidRPr="00D01DDB" w:rsidRDefault="00324B33" w:rsidP="007D1B5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F94EA3" w:rsidRPr="00D01DDB" w14:paraId="62FD9B8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2E7120" w14:textId="6CAF22D8" w:rsidR="00F94EA3" w:rsidRPr="00E676A9" w:rsidRDefault="00F94EA3" w:rsidP="007D1B55">
            <w:pPr>
              <w:rPr>
                <w:szCs w:val="22"/>
              </w:rPr>
            </w:pPr>
            <w:r w:rsidRPr="00E676A9">
              <w:rPr>
                <w:szCs w:val="22"/>
              </w:rPr>
              <w:t>eGFR</w:t>
            </w:r>
          </w:p>
        </w:tc>
        <w:tc>
          <w:tcPr>
            <w:tcW w:w="3800" w:type="pct"/>
          </w:tcPr>
          <w:p w14:paraId="08B6AC53" w14:textId="642BD1E3" w:rsidR="00F94EA3" w:rsidRPr="00D01DDB" w:rsidRDefault="00A87A75" w:rsidP="007D1B55">
            <w:pPr>
              <w:cnfStyle w:val="000000000000" w:firstRow="0" w:lastRow="0" w:firstColumn="0" w:lastColumn="0" w:oddVBand="0" w:evenVBand="0" w:oddHBand="0" w:evenHBand="0" w:firstRowFirstColumn="0" w:firstRowLastColumn="0" w:lastRowFirstColumn="0" w:lastRowLastColumn="0"/>
              <w:rPr>
                <w:szCs w:val="22"/>
              </w:rPr>
            </w:pPr>
            <w:r w:rsidRPr="00E676A9">
              <w:t>Estimated glom</w:t>
            </w:r>
            <w:r w:rsidR="00E676A9" w:rsidRPr="00E676A9">
              <w:t>er</w:t>
            </w:r>
            <w:r w:rsidRPr="00E676A9">
              <w:t>ular filtration rate</w:t>
            </w:r>
          </w:p>
        </w:tc>
      </w:tr>
      <w:tr w:rsidR="0023227C" w:rsidRPr="00D01DDB" w14:paraId="1EB96A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B2830D" w14:textId="57A73CBE" w:rsidR="0023227C" w:rsidRPr="00E676A9" w:rsidRDefault="0023227C" w:rsidP="007D1B55">
            <w:pPr>
              <w:rPr>
                <w:szCs w:val="22"/>
              </w:rPr>
            </w:pPr>
            <w:r>
              <w:rPr>
                <w:szCs w:val="22"/>
              </w:rPr>
              <w:t>EMA</w:t>
            </w:r>
          </w:p>
        </w:tc>
        <w:tc>
          <w:tcPr>
            <w:tcW w:w="3800" w:type="pct"/>
          </w:tcPr>
          <w:p w14:paraId="2C5A4943" w14:textId="6057A613" w:rsidR="0023227C" w:rsidRPr="00E676A9" w:rsidRDefault="0023227C" w:rsidP="007D1B55">
            <w:pPr>
              <w:cnfStyle w:val="000000000000" w:firstRow="0" w:lastRow="0" w:firstColumn="0" w:lastColumn="0" w:oddVBand="0" w:evenVBand="0" w:oddHBand="0" w:evenHBand="0" w:firstRowFirstColumn="0" w:firstRowLastColumn="0" w:lastRowFirstColumn="0" w:lastRowLastColumn="0"/>
            </w:pPr>
            <w:r w:rsidRPr="00EA464D">
              <w:rPr>
                <w:szCs w:val="22"/>
              </w:rPr>
              <w:t>European Medicines Agency</w:t>
            </w:r>
          </w:p>
        </w:tc>
      </w:tr>
      <w:tr w:rsidR="00D857F9" w:rsidRPr="00E676A9" w14:paraId="566D4F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8C2DF7" w14:textId="7300F242" w:rsidR="00D857F9" w:rsidRPr="00E676A9" w:rsidRDefault="00D857F9" w:rsidP="00E676A9">
            <w:r w:rsidRPr="00E676A9">
              <w:t>EQ VAS</w:t>
            </w:r>
          </w:p>
        </w:tc>
        <w:tc>
          <w:tcPr>
            <w:tcW w:w="3800" w:type="pct"/>
          </w:tcPr>
          <w:p w14:paraId="15CC372C" w14:textId="5EEBC906" w:rsidR="00D857F9" w:rsidRPr="00E676A9" w:rsidRDefault="00E676A9" w:rsidP="00E676A9">
            <w:pPr>
              <w:cnfStyle w:val="000000000000" w:firstRow="0" w:lastRow="0" w:firstColumn="0" w:lastColumn="0" w:oddVBand="0" w:evenVBand="0" w:oddHBand="0" w:evenHBand="0" w:firstRowFirstColumn="0" w:firstRowLastColumn="0" w:lastRowFirstColumn="0" w:lastRowLastColumn="0"/>
            </w:pPr>
            <w:r w:rsidRPr="00E676A9">
              <w:t>Euro Quality of Life Health State Profile Questionnaire visual analog</w:t>
            </w:r>
            <w:r w:rsidR="005471D0">
              <w:t>ue</w:t>
            </w:r>
            <w:r w:rsidRPr="00E676A9">
              <w:t xml:space="preserve"> scale</w:t>
            </w:r>
          </w:p>
        </w:tc>
      </w:tr>
      <w:tr w:rsidR="00630660" w:rsidRPr="00E676A9" w14:paraId="644BE46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A7C4F1" w14:textId="7D75B065" w:rsidR="00630660" w:rsidRPr="00E676A9" w:rsidRDefault="00630660" w:rsidP="00E676A9">
            <w:r>
              <w:t>EU</w:t>
            </w:r>
          </w:p>
        </w:tc>
        <w:tc>
          <w:tcPr>
            <w:tcW w:w="3800" w:type="pct"/>
          </w:tcPr>
          <w:p w14:paraId="293B5580" w14:textId="68756F40" w:rsidR="00630660" w:rsidRPr="00E676A9" w:rsidRDefault="00630660" w:rsidP="00E676A9">
            <w:pPr>
              <w:cnfStyle w:val="000000000000" w:firstRow="0" w:lastRow="0" w:firstColumn="0" w:lastColumn="0" w:oddVBand="0" w:evenVBand="0" w:oddHBand="0" w:evenHBand="0" w:firstRowFirstColumn="0" w:firstRowLastColumn="0" w:lastRowFirstColumn="0" w:lastRowLastColumn="0"/>
            </w:pPr>
            <w:r>
              <w:t>European Union</w:t>
            </w:r>
          </w:p>
        </w:tc>
      </w:tr>
      <w:tr w:rsidR="00300ACC" w:rsidRPr="00300ACC" w14:paraId="24CF6ED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AB9F6F" w14:textId="37A866F2" w:rsidR="00300ACC" w:rsidRPr="007D1B55" w:rsidRDefault="00300ACC" w:rsidP="007D1B55">
            <w:pPr>
              <w:rPr>
                <w:szCs w:val="22"/>
              </w:rPr>
            </w:pPr>
            <w:r w:rsidRPr="007D1B55">
              <w:rPr>
                <w:szCs w:val="22"/>
              </w:rPr>
              <w:t>FAS</w:t>
            </w:r>
          </w:p>
        </w:tc>
        <w:tc>
          <w:tcPr>
            <w:tcW w:w="3800" w:type="pct"/>
          </w:tcPr>
          <w:p w14:paraId="6D10490D" w14:textId="1498C637" w:rsidR="00300ACC" w:rsidRPr="00300ACC" w:rsidRDefault="00300ACC" w:rsidP="007D1B55">
            <w:pPr>
              <w:cnfStyle w:val="000000000000" w:firstRow="0" w:lastRow="0" w:firstColumn="0" w:lastColumn="0" w:oddVBand="0" w:evenVBand="0" w:oddHBand="0" w:evenHBand="0" w:firstRowFirstColumn="0" w:firstRowLastColumn="0" w:lastRowFirstColumn="0" w:lastRowLastColumn="0"/>
              <w:rPr>
                <w:szCs w:val="22"/>
              </w:rPr>
            </w:pPr>
            <w:r w:rsidRPr="00300ACC">
              <w:rPr>
                <w:szCs w:val="22"/>
              </w:rPr>
              <w:t xml:space="preserve">Full </w:t>
            </w:r>
            <w:r>
              <w:rPr>
                <w:szCs w:val="22"/>
              </w:rPr>
              <w:t>a</w:t>
            </w:r>
            <w:r w:rsidRPr="00300ACC">
              <w:rPr>
                <w:szCs w:val="22"/>
              </w:rPr>
              <w:t xml:space="preserve">nalysis </w:t>
            </w:r>
            <w:r>
              <w:rPr>
                <w:szCs w:val="22"/>
              </w:rPr>
              <w:t>s</w:t>
            </w:r>
            <w:r w:rsidRPr="00300ACC">
              <w:rPr>
                <w:szCs w:val="22"/>
              </w:rPr>
              <w:t>et</w:t>
            </w:r>
          </w:p>
        </w:tc>
      </w:tr>
      <w:tr w:rsidR="00856996" w:rsidRPr="00300ACC" w14:paraId="3724A4A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9F68FF" w14:textId="24690D6B" w:rsidR="00856996" w:rsidRPr="007D1B55" w:rsidRDefault="00856996" w:rsidP="007D1B55">
            <w:pPr>
              <w:rPr>
                <w:szCs w:val="22"/>
              </w:rPr>
            </w:pPr>
            <w:r w:rsidRPr="007D1B55">
              <w:rPr>
                <w:szCs w:val="22"/>
              </w:rPr>
              <w:t>FAS</w:t>
            </w:r>
            <w:r w:rsidRPr="00A07E69">
              <w:rPr>
                <w:szCs w:val="22"/>
                <w:vertAlign w:val="subscript"/>
              </w:rPr>
              <w:t>AHP</w:t>
            </w:r>
          </w:p>
        </w:tc>
        <w:tc>
          <w:tcPr>
            <w:tcW w:w="3800" w:type="pct"/>
          </w:tcPr>
          <w:p w14:paraId="5E8BE031" w14:textId="19E81EC8" w:rsidR="00856996" w:rsidRPr="00300ACC" w:rsidRDefault="00856996"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Full analysis set – AHP patients</w:t>
            </w:r>
          </w:p>
        </w:tc>
      </w:tr>
      <w:tr w:rsidR="00856996" w:rsidRPr="00300ACC" w14:paraId="3C199C2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8FC74D" w14:textId="258F8189" w:rsidR="00856996" w:rsidRPr="007D1B55" w:rsidRDefault="00856996" w:rsidP="007D1B55">
            <w:pPr>
              <w:rPr>
                <w:szCs w:val="22"/>
              </w:rPr>
            </w:pPr>
            <w:r w:rsidRPr="007D1B55">
              <w:rPr>
                <w:szCs w:val="22"/>
              </w:rPr>
              <w:t>FAS</w:t>
            </w:r>
            <w:r w:rsidRPr="00A07E69">
              <w:rPr>
                <w:szCs w:val="22"/>
                <w:vertAlign w:val="subscript"/>
              </w:rPr>
              <w:t>AIP</w:t>
            </w:r>
          </w:p>
        </w:tc>
        <w:tc>
          <w:tcPr>
            <w:tcW w:w="3800" w:type="pct"/>
          </w:tcPr>
          <w:p w14:paraId="55DDE150" w14:textId="20442722" w:rsidR="00856996" w:rsidRPr="00300ACC" w:rsidRDefault="00856996"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Full analysis set – AIP patients</w:t>
            </w:r>
          </w:p>
        </w:tc>
      </w:tr>
      <w:tr w:rsidR="00080C76" w:rsidRPr="00D01DDB" w14:paraId="340ECA2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8D1CB1" w14:textId="1AF05FD3" w:rsidR="00080C76" w:rsidRPr="007D1B55" w:rsidRDefault="00080C76" w:rsidP="007D1B55">
            <w:pPr>
              <w:rPr>
                <w:szCs w:val="22"/>
              </w:rPr>
            </w:pPr>
            <w:proofErr w:type="spellStart"/>
            <w:r w:rsidRPr="007D1B55">
              <w:rPr>
                <w:szCs w:val="22"/>
              </w:rPr>
              <w:t>GalNAc</w:t>
            </w:r>
            <w:proofErr w:type="spellEnd"/>
          </w:p>
        </w:tc>
        <w:tc>
          <w:tcPr>
            <w:tcW w:w="3800" w:type="pct"/>
          </w:tcPr>
          <w:p w14:paraId="69927E93" w14:textId="69378B7E" w:rsidR="00080C76" w:rsidRPr="00D01DDB" w:rsidRDefault="00742181" w:rsidP="007D1B55">
            <w:pPr>
              <w:cnfStyle w:val="000000000000" w:firstRow="0" w:lastRow="0" w:firstColumn="0" w:lastColumn="0" w:oddVBand="0" w:evenVBand="0" w:oddHBand="0" w:evenHBand="0" w:firstRowFirstColumn="0" w:firstRowLastColumn="0" w:lastRowFirstColumn="0" w:lastRowLastColumn="0"/>
              <w:rPr>
                <w:szCs w:val="22"/>
              </w:rPr>
            </w:pPr>
            <w:r w:rsidRPr="00742181">
              <w:rPr>
                <w:i/>
                <w:iCs/>
              </w:rPr>
              <w:t>N</w:t>
            </w:r>
            <w:r>
              <w:t>-</w:t>
            </w:r>
            <w:proofErr w:type="spellStart"/>
            <w:r>
              <w:t>acetylgalactosamine</w:t>
            </w:r>
            <w:proofErr w:type="spellEnd"/>
          </w:p>
        </w:tc>
      </w:tr>
      <w:tr w:rsidR="00962B7F" w:rsidRPr="00D01DDB" w14:paraId="1D9B16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DB74C2" w14:textId="66059D7E" w:rsidR="00962B7F" w:rsidRPr="007D1B55" w:rsidRDefault="00962B7F" w:rsidP="007D1B55">
            <w:pPr>
              <w:rPr>
                <w:szCs w:val="22"/>
              </w:rPr>
            </w:pPr>
            <w:r w:rsidRPr="007D1B55">
              <w:rPr>
                <w:szCs w:val="22"/>
              </w:rPr>
              <w:t>HCP</w:t>
            </w:r>
          </w:p>
        </w:tc>
        <w:tc>
          <w:tcPr>
            <w:tcW w:w="3800" w:type="pct"/>
          </w:tcPr>
          <w:p w14:paraId="1A1B1FAE" w14:textId="4081B4E7" w:rsidR="00962B7F" w:rsidRPr="00D01DDB" w:rsidRDefault="00962B7F"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962B7F">
              <w:rPr>
                <w:szCs w:val="22"/>
              </w:rPr>
              <w:t>ereditary coproporphyria</w:t>
            </w:r>
          </w:p>
        </w:tc>
      </w:tr>
      <w:tr w:rsidR="00F94EA3" w:rsidRPr="00D01DDB" w14:paraId="6685279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E08B89" w14:textId="3DA67F7A" w:rsidR="00F94EA3" w:rsidRPr="007D1B55" w:rsidRDefault="00F94EA3" w:rsidP="007D1B55">
            <w:pPr>
              <w:rPr>
                <w:szCs w:val="22"/>
              </w:rPr>
            </w:pPr>
            <w:r w:rsidRPr="007D1B55">
              <w:rPr>
                <w:szCs w:val="22"/>
              </w:rPr>
              <w:lastRenderedPageBreak/>
              <w:t>IV</w:t>
            </w:r>
          </w:p>
        </w:tc>
        <w:tc>
          <w:tcPr>
            <w:tcW w:w="3800" w:type="pct"/>
          </w:tcPr>
          <w:p w14:paraId="5C55E6D4" w14:textId="5E2202C5" w:rsidR="00F94EA3" w:rsidRDefault="00F94EA3"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Intravenous</w:t>
            </w:r>
          </w:p>
        </w:tc>
      </w:tr>
      <w:tr w:rsidR="007D1B55" w:rsidRPr="007D1B55" w14:paraId="4215479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FDD359" w14:textId="66A7D4A7" w:rsidR="007D1B55" w:rsidRPr="007D1B55" w:rsidRDefault="007D1B55" w:rsidP="007D1B55">
            <w:pPr>
              <w:rPr>
                <w:szCs w:val="22"/>
              </w:rPr>
            </w:pPr>
            <w:r w:rsidRPr="007D1B55">
              <w:rPr>
                <w:szCs w:val="22"/>
              </w:rPr>
              <w:t>LFT</w:t>
            </w:r>
          </w:p>
        </w:tc>
        <w:tc>
          <w:tcPr>
            <w:tcW w:w="3800" w:type="pct"/>
          </w:tcPr>
          <w:p w14:paraId="55A1FA89" w14:textId="5EBB3DC4" w:rsidR="007D1B55" w:rsidRDefault="007D1B55" w:rsidP="007D1B55">
            <w:pPr>
              <w:cnfStyle w:val="000000000000" w:firstRow="0" w:lastRow="0" w:firstColumn="0" w:lastColumn="0" w:oddVBand="0" w:evenVBand="0" w:oddHBand="0" w:evenHBand="0" w:firstRowFirstColumn="0" w:firstRowLastColumn="0" w:lastRowFirstColumn="0" w:lastRowLastColumn="0"/>
              <w:rPr>
                <w:szCs w:val="22"/>
              </w:rPr>
            </w:pPr>
            <w:r w:rsidRPr="007D1B55">
              <w:rPr>
                <w:szCs w:val="22"/>
              </w:rPr>
              <w:t>Liver function test</w:t>
            </w:r>
          </w:p>
        </w:tc>
      </w:tr>
      <w:tr w:rsidR="0061172E" w:rsidRPr="007D1B55" w14:paraId="3AF9A1E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CAA8C5" w14:textId="3AA27DE4" w:rsidR="0061172E" w:rsidRPr="007D1B55" w:rsidRDefault="0061172E" w:rsidP="007D1B55">
            <w:pPr>
              <w:rPr>
                <w:szCs w:val="22"/>
              </w:rPr>
            </w:pPr>
            <w:r>
              <w:rPr>
                <w:szCs w:val="22"/>
              </w:rPr>
              <w:t>LS Mean</w:t>
            </w:r>
          </w:p>
        </w:tc>
        <w:tc>
          <w:tcPr>
            <w:tcW w:w="3800" w:type="pct"/>
          </w:tcPr>
          <w:p w14:paraId="6FB98393" w14:textId="51B3C4DF" w:rsidR="0061172E" w:rsidRPr="007D1B55" w:rsidRDefault="00A87A75"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Least square mean</w:t>
            </w:r>
          </w:p>
        </w:tc>
      </w:tr>
      <w:tr w:rsidR="00311A46" w:rsidRPr="00D01DDB" w14:paraId="699B420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0A6251" w14:textId="356C0068" w:rsidR="00311A46" w:rsidRPr="007D1B55" w:rsidRDefault="00311A46" w:rsidP="007D1B55">
            <w:pPr>
              <w:rPr>
                <w:szCs w:val="22"/>
              </w:rPr>
            </w:pPr>
            <w:r w:rsidRPr="007D1B55">
              <w:rPr>
                <w:szCs w:val="22"/>
              </w:rPr>
              <w:t>mRNA</w:t>
            </w:r>
          </w:p>
        </w:tc>
        <w:tc>
          <w:tcPr>
            <w:tcW w:w="3800" w:type="pct"/>
          </w:tcPr>
          <w:p w14:paraId="6F6AA726" w14:textId="081CB0F0" w:rsidR="00311A46" w:rsidRDefault="00311A46" w:rsidP="007D1B55">
            <w:pPr>
              <w:cnfStyle w:val="000000000000" w:firstRow="0" w:lastRow="0" w:firstColumn="0" w:lastColumn="0" w:oddVBand="0" w:evenVBand="0" w:oddHBand="0" w:evenHBand="0" w:firstRowFirstColumn="0" w:firstRowLastColumn="0" w:lastRowFirstColumn="0" w:lastRowLastColumn="0"/>
              <w:rPr>
                <w:szCs w:val="22"/>
              </w:rPr>
            </w:pPr>
            <w:r>
              <w:t>M</w:t>
            </w:r>
            <w:r w:rsidRPr="00121C9B">
              <w:t>essenger RNA</w:t>
            </w:r>
          </w:p>
        </w:tc>
      </w:tr>
      <w:tr w:rsidR="00B42A21" w:rsidRPr="00D01DDB" w14:paraId="1638ADD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7F5614" w14:textId="6F182048" w:rsidR="00B42A21" w:rsidRPr="007D1B55" w:rsidRDefault="00B42A21" w:rsidP="007D1B55">
            <w:pPr>
              <w:rPr>
                <w:szCs w:val="22"/>
              </w:rPr>
            </w:pPr>
            <w:r w:rsidRPr="007D1B55">
              <w:rPr>
                <w:szCs w:val="22"/>
              </w:rPr>
              <w:t>OLE</w:t>
            </w:r>
          </w:p>
        </w:tc>
        <w:tc>
          <w:tcPr>
            <w:tcW w:w="3800" w:type="pct"/>
          </w:tcPr>
          <w:p w14:paraId="48162FE8" w14:textId="757A7727" w:rsidR="00B42A21" w:rsidRDefault="00B42A21" w:rsidP="007D1B55">
            <w:pPr>
              <w:cnfStyle w:val="000000000000" w:firstRow="0" w:lastRow="0" w:firstColumn="0" w:lastColumn="0" w:oddVBand="0" w:evenVBand="0" w:oddHBand="0" w:evenHBand="0" w:firstRowFirstColumn="0" w:firstRowLastColumn="0" w:lastRowFirstColumn="0" w:lastRowLastColumn="0"/>
            </w:pPr>
            <w:r>
              <w:t>Open</w:t>
            </w:r>
            <w:r>
              <w:noBreakHyphen/>
              <w:t>label extension (of trial)</w:t>
            </w:r>
          </w:p>
        </w:tc>
      </w:tr>
      <w:tr w:rsidR="00671E29" w:rsidRPr="00D01DDB" w14:paraId="656184D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029BE9" w14:textId="78C5E73F" w:rsidR="00671E29" w:rsidRPr="007D1B55" w:rsidRDefault="00671E29" w:rsidP="007D1B55">
            <w:pPr>
              <w:rPr>
                <w:szCs w:val="22"/>
              </w:rPr>
            </w:pPr>
            <w:r w:rsidRPr="007D1B55">
              <w:rPr>
                <w:szCs w:val="22"/>
              </w:rPr>
              <w:t>PBG</w:t>
            </w:r>
          </w:p>
        </w:tc>
        <w:tc>
          <w:tcPr>
            <w:tcW w:w="3800" w:type="pct"/>
          </w:tcPr>
          <w:p w14:paraId="0C243DBF" w14:textId="3BB24D83" w:rsidR="00671E29" w:rsidRPr="00D01DDB" w:rsidRDefault="00671E29"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962B7F">
              <w:rPr>
                <w:szCs w:val="22"/>
              </w:rPr>
              <w:t>orphobilinogen</w:t>
            </w:r>
          </w:p>
        </w:tc>
      </w:tr>
      <w:tr w:rsidR="00F94EA3" w:rsidRPr="007D1B55" w14:paraId="2D33F26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3E6B1C" w14:textId="3029D3BE" w:rsidR="00F94EA3" w:rsidRPr="007D1B55" w:rsidRDefault="00F94EA3" w:rsidP="007D1B55">
            <w:pPr>
              <w:rPr>
                <w:szCs w:val="22"/>
              </w:rPr>
            </w:pPr>
            <w:r w:rsidRPr="007D1B55">
              <w:rPr>
                <w:szCs w:val="22"/>
              </w:rPr>
              <w:t>PCS</w:t>
            </w:r>
          </w:p>
        </w:tc>
        <w:tc>
          <w:tcPr>
            <w:tcW w:w="3800" w:type="pct"/>
          </w:tcPr>
          <w:p w14:paraId="0A9FBD75" w14:textId="0483C326" w:rsidR="00F94EA3" w:rsidRDefault="00F94EA3" w:rsidP="007D1B55">
            <w:pPr>
              <w:cnfStyle w:val="000000000000" w:firstRow="0" w:lastRow="0" w:firstColumn="0" w:lastColumn="0" w:oddVBand="0" w:evenVBand="0" w:oddHBand="0" w:evenHBand="0" w:firstRowFirstColumn="0" w:firstRowLastColumn="0" w:lastRowFirstColumn="0" w:lastRowLastColumn="0"/>
              <w:rPr>
                <w:szCs w:val="22"/>
              </w:rPr>
            </w:pPr>
            <w:r w:rsidRPr="007D1B55">
              <w:rPr>
                <w:szCs w:val="22"/>
              </w:rPr>
              <w:t>Physical component score (of the SF</w:t>
            </w:r>
            <w:r w:rsidRPr="007D1B55">
              <w:rPr>
                <w:szCs w:val="22"/>
              </w:rPr>
              <w:noBreakHyphen/>
              <w:t>12)</w:t>
            </w:r>
          </w:p>
        </w:tc>
      </w:tr>
      <w:tr w:rsidR="00991F7C" w:rsidRPr="00D01DDB" w14:paraId="574C13E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2F6886" w14:textId="609008E2" w:rsidR="00991F7C" w:rsidRPr="007D1B55" w:rsidRDefault="00991F7C" w:rsidP="007D1B55">
            <w:pPr>
              <w:rPr>
                <w:szCs w:val="22"/>
              </w:rPr>
            </w:pPr>
            <w:r w:rsidRPr="007D1B55">
              <w:rPr>
                <w:szCs w:val="22"/>
              </w:rPr>
              <w:t>PD</w:t>
            </w:r>
          </w:p>
        </w:tc>
        <w:tc>
          <w:tcPr>
            <w:tcW w:w="3800" w:type="pct"/>
          </w:tcPr>
          <w:p w14:paraId="75C9BC5C" w14:textId="1FBE3F34" w:rsidR="00991F7C" w:rsidRDefault="00991F7C"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Pharmacodynamics</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7D1B55" w:rsidRDefault="00395140" w:rsidP="007D1B55">
            <w:pPr>
              <w:rPr>
                <w:szCs w:val="22"/>
              </w:rPr>
            </w:pPr>
            <w:r w:rsidRPr="007D1B55">
              <w:rPr>
                <w:szCs w:val="22"/>
              </w:rPr>
              <w:t>PI</w:t>
            </w:r>
          </w:p>
        </w:tc>
        <w:tc>
          <w:tcPr>
            <w:tcW w:w="3800" w:type="pct"/>
          </w:tcPr>
          <w:p w14:paraId="354B5DB5" w14:textId="3DAE38C1" w:rsidR="00395140" w:rsidRPr="00D01DDB" w:rsidRDefault="00395140" w:rsidP="007D1B5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991F7C" w:rsidRPr="00D01DDB" w14:paraId="603D774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937311" w14:textId="32E44299" w:rsidR="00991F7C" w:rsidRPr="007D1B55" w:rsidRDefault="00991F7C" w:rsidP="007D1B55">
            <w:pPr>
              <w:rPr>
                <w:szCs w:val="22"/>
              </w:rPr>
            </w:pPr>
            <w:r w:rsidRPr="007D1B55">
              <w:rPr>
                <w:szCs w:val="22"/>
              </w:rPr>
              <w:t>PK</w:t>
            </w:r>
          </w:p>
        </w:tc>
        <w:tc>
          <w:tcPr>
            <w:tcW w:w="3800" w:type="pct"/>
          </w:tcPr>
          <w:p w14:paraId="6DB1FCD5" w14:textId="06A5F9D2" w:rsidR="00991F7C" w:rsidRPr="00D01DDB" w:rsidRDefault="00991F7C"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Pharmacokinetics</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7D1B55" w:rsidRDefault="00A704DC" w:rsidP="007D1B55">
            <w:pPr>
              <w:rPr>
                <w:szCs w:val="22"/>
              </w:rPr>
            </w:pPr>
            <w:r w:rsidRPr="007D1B55">
              <w:rPr>
                <w:szCs w:val="22"/>
              </w:rPr>
              <w:t>PSUR</w:t>
            </w:r>
          </w:p>
        </w:tc>
        <w:tc>
          <w:tcPr>
            <w:tcW w:w="3800" w:type="pct"/>
          </w:tcPr>
          <w:p w14:paraId="4A97D112" w14:textId="3DC38D82" w:rsidR="00A704DC" w:rsidRPr="00D01DDB" w:rsidRDefault="00A704DC" w:rsidP="007D1B5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F94EA3" w:rsidRPr="00D01DDB" w14:paraId="2EF29A7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A278F0" w14:textId="0B775C3E" w:rsidR="00F94EA3" w:rsidRPr="007D1B55" w:rsidRDefault="00F94EA3" w:rsidP="007D1B55">
            <w:pPr>
              <w:rPr>
                <w:szCs w:val="22"/>
              </w:rPr>
            </w:pPr>
            <w:r w:rsidRPr="007D1B55">
              <w:rPr>
                <w:szCs w:val="22"/>
              </w:rPr>
              <w:t>QM</w:t>
            </w:r>
          </w:p>
        </w:tc>
        <w:tc>
          <w:tcPr>
            <w:tcW w:w="3800" w:type="pct"/>
          </w:tcPr>
          <w:p w14:paraId="20065B8B" w14:textId="00285DB0" w:rsidR="00F94EA3" w:rsidRPr="00D01DDB" w:rsidRDefault="00F94EA3"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Once monthly</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7D1B55" w:rsidRDefault="00A704DC" w:rsidP="007D1B55">
            <w:pPr>
              <w:rPr>
                <w:szCs w:val="22"/>
              </w:rPr>
            </w:pPr>
            <w:r w:rsidRPr="007D1B55">
              <w:rPr>
                <w:szCs w:val="22"/>
              </w:rPr>
              <w:t>RMP</w:t>
            </w:r>
          </w:p>
        </w:tc>
        <w:tc>
          <w:tcPr>
            <w:tcW w:w="3800" w:type="pct"/>
          </w:tcPr>
          <w:p w14:paraId="2C862F75" w14:textId="2355E842" w:rsidR="00A704DC" w:rsidRPr="00D01DDB" w:rsidRDefault="00A704DC" w:rsidP="007D1B5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0C3DD5" w:rsidRPr="00D01DDB" w14:paraId="696F4E0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F3A2D5" w14:textId="471592C4" w:rsidR="000C3DD5" w:rsidRPr="007D1B55" w:rsidRDefault="000C3DD5" w:rsidP="007D1B55">
            <w:pPr>
              <w:rPr>
                <w:szCs w:val="22"/>
              </w:rPr>
            </w:pPr>
            <w:r w:rsidRPr="007D1B55">
              <w:rPr>
                <w:szCs w:val="22"/>
              </w:rPr>
              <w:t>RNAi</w:t>
            </w:r>
          </w:p>
        </w:tc>
        <w:tc>
          <w:tcPr>
            <w:tcW w:w="3800" w:type="pct"/>
          </w:tcPr>
          <w:p w14:paraId="4EBAA596" w14:textId="435B4032" w:rsidR="000C3DD5" w:rsidRPr="00D01DDB" w:rsidRDefault="000C3DD5" w:rsidP="007D1B55">
            <w:pPr>
              <w:cnfStyle w:val="000000000000" w:firstRow="0" w:lastRow="0" w:firstColumn="0" w:lastColumn="0" w:oddVBand="0" w:evenVBand="0" w:oddHBand="0" w:evenHBand="0" w:firstRowFirstColumn="0" w:firstRowLastColumn="0" w:lastRowFirstColumn="0" w:lastRowLastColumn="0"/>
              <w:rPr>
                <w:szCs w:val="22"/>
              </w:rPr>
            </w:pPr>
            <w:r w:rsidRPr="000C3DD5">
              <w:rPr>
                <w:szCs w:val="22"/>
              </w:rPr>
              <w:t>Ribonucleic acid interference</w:t>
            </w:r>
          </w:p>
        </w:tc>
      </w:tr>
      <w:tr w:rsidR="007D1B55" w:rsidRPr="007D1B55" w14:paraId="00B3077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607C5D" w14:textId="6547D3D9" w:rsidR="007D1B55" w:rsidRPr="007D1B55" w:rsidRDefault="007D1B55" w:rsidP="007D1B55">
            <w:pPr>
              <w:rPr>
                <w:szCs w:val="22"/>
              </w:rPr>
            </w:pPr>
            <w:r w:rsidRPr="007D1B55">
              <w:rPr>
                <w:szCs w:val="22"/>
              </w:rPr>
              <w:t>SAE</w:t>
            </w:r>
          </w:p>
        </w:tc>
        <w:tc>
          <w:tcPr>
            <w:tcW w:w="3800" w:type="pct"/>
          </w:tcPr>
          <w:p w14:paraId="228FC631" w14:textId="6D240D1C" w:rsidR="007D1B55" w:rsidRPr="000C3DD5" w:rsidRDefault="007D1B55" w:rsidP="007D1B55">
            <w:pPr>
              <w:cnfStyle w:val="000000000000" w:firstRow="0" w:lastRow="0" w:firstColumn="0" w:lastColumn="0" w:oddVBand="0" w:evenVBand="0" w:oddHBand="0" w:evenHBand="0" w:firstRowFirstColumn="0" w:firstRowLastColumn="0" w:lastRowFirstColumn="0" w:lastRowLastColumn="0"/>
              <w:rPr>
                <w:szCs w:val="22"/>
              </w:rPr>
            </w:pPr>
            <w:r w:rsidRPr="007D1B55">
              <w:rPr>
                <w:szCs w:val="22"/>
              </w:rPr>
              <w:t>Serious adverse events</w:t>
            </w:r>
          </w:p>
        </w:tc>
      </w:tr>
      <w:tr w:rsidR="00F94EA3" w:rsidRPr="00D01DDB" w14:paraId="3BDE611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A64E1A" w14:textId="6E121D95" w:rsidR="00F94EA3" w:rsidRPr="007D1B55" w:rsidRDefault="00F94EA3" w:rsidP="007D1B55">
            <w:pPr>
              <w:rPr>
                <w:szCs w:val="22"/>
              </w:rPr>
            </w:pPr>
            <w:r w:rsidRPr="007D1B55">
              <w:rPr>
                <w:szCs w:val="22"/>
              </w:rPr>
              <w:t>SF</w:t>
            </w:r>
            <w:r w:rsidRPr="007D1B55">
              <w:rPr>
                <w:szCs w:val="22"/>
              </w:rPr>
              <w:noBreakHyphen/>
              <w:t>12</w:t>
            </w:r>
          </w:p>
        </w:tc>
        <w:tc>
          <w:tcPr>
            <w:tcW w:w="3800" w:type="pct"/>
          </w:tcPr>
          <w:p w14:paraId="760F167B" w14:textId="532D776C" w:rsidR="00F94EA3" w:rsidRPr="000C3DD5" w:rsidRDefault="00A07E69" w:rsidP="007D1B55">
            <w:pPr>
              <w:cnfStyle w:val="000000000000" w:firstRow="0" w:lastRow="0" w:firstColumn="0" w:lastColumn="0" w:oddVBand="0" w:evenVBand="0" w:oddHBand="0" w:evenHBand="0" w:firstRowFirstColumn="0" w:firstRowLastColumn="0" w:lastRowFirstColumn="0" w:lastRowLastColumn="0"/>
              <w:rPr>
                <w:szCs w:val="22"/>
              </w:rPr>
            </w:pPr>
            <w:r>
              <w:t xml:space="preserve">12 item short </w:t>
            </w:r>
            <w:r w:rsidR="00A87A75">
              <w:t>form health survey</w:t>
            </w:r>
          </w:p>
        </w:tc>
      </w:tr>
      <w:tr w:rsidR="007C65EF" w:rsidRPr="00D01DDB" w14:paraId="773A9A6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C6EA28" w14:textId="04BD9D87" w:rsidR="007C65EF" w:rsidRPr="007D1B55" w:rsidRDefault="007C65EF" w:rsidP="007D1B55">
            <w:pPr>
              <w:rPr>
                <w:szCs w:val="22"/>
              </w:rPr>
            </w:pPr>
            <w:r w:rsidRPr="007D1B55">
              <w:rPr>
                <w:szCs w:val="22"/>
              </w:rPr>
              <w:t>siRNA</w:t>
            </w:r>
          </w:p>
        </w:tc>
        <w:tc>
          <w:tcPr>
            <w:tcW w:w="3800" w:type="pct"/>
          </w:tcPr>
          <w:p w14:paraId="1C11F040" w14:textId="6B25BEF2" w:rsidR="007C65EF" w:rsidRPr="00D01DDB" w:rsidRDefault="00EA464D" w:rsidP="007D1B55">
            <w:pPr>
              <w:cnfStyle w:val="000000000000" w:firstRow="0" w:lastRow="0" w:firstColumn="0" w:lastColumn="0" w:oddVBand="0" w:evenVBand="0" w:oddHBand="0" w:evenHBand="0" w:firstRowFirstColumn="0" w:firstRowLastColumn="0" w:lastRowFirstColumn="0" w:lastRowLastColumn="0"/>
              <w:rPr>
                <w:szCs w:val="22"/>
              </w:rPr>
            </w:pPr>
            <w:r>
              <w:t>S</w:t>
            </w:r>
            <w:r w:rsidR="007C65EF" w:rsidRPr="004C12C1">
              <w:t>mall interfering RNA</w:t>
            </w:r>
          </w:p>
        </w:tc>
      </w:tr>
      <w:tr w:rsidR="00856996" w:rsidRPr="00D01DDB" w14:paraId="3F83EE8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A04A9E" w14:textId="641152EB" w:rsidR="00856996" w:rsidRPr="007D1B55" w:rsidRDefault="00856996" w:rsidP="007D1B55">
            <w:pPr>
              <w:rPr>
                <w:szCs w:val="22"/>
              </w:rPr>
            </w:pPr>
            <w:r w:rsidRPr="007D1B55">
              <w:rPr>
                <w:szCs w:val="22"/>
              </w:rPr>
              <w:t>SmPC</w:t>
            </w:r>
          </w:p>
        </w:tc>
        <w:tc>
          <w:tcPr>
            <w:tcW w:w="3800" w:type="pct"/>
          </w:tcPr>
          <w:p w14:paraId="675B9585" w14:textId="73DBA61E" w:rsidR="00856996" w:rsidRDefault="00856996" w:rsidP="007D1B55">
            <w:pPr>
              <w:cnfStyle w:val="000000000000" w:firstRow="0" w:lastRow="0" w:firstColumn="0" w:lastColumn="0" w:oddVBand="0" w:evenVBand="0" w:oddHBand="0" w:evenHBand="0" w:firstRowFirstColumn="0" w:firstRowLastColumn="0" w:lastRowFirstColumn="0" w:lastRowLastColumn="0"/>
            </w:pPr>
            <w:r>
              <w:t>Summary of Product Characteristics (for the European approved medicine)</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7D1B55" w:rsidRDefault="00A704DC" w:rsidP="007D1B55">
            <w:pPr>
              <w:rPr>
                <w:szCs w:val="22"/>
              </w:rPr>
            </w:pPr>
            <w:r w:rsidRPr="007D1B55">
              <w:rPr>
                <w:szCs w:val="22"/>
              </w:rPr>
              <w:t>TGA</w:t>
            </w:r>
          </w:p>
        </w:tc>
        <w:tc>
          <w:tcPr>
            <w:tcW w:w="3800" w:type="pct"/>
          </w:tcPr>
          <w:p w14:paraId="29EA6BA3" w14:textId="6F99059F" w:rsidR="00A704DC" w:rsidRPr="00D01DDB" w:rsidRDefault="00A704DC" w:rsidP="007D1B5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A704DC"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669AC74A" w:rsidR="00A704DC" w:rsidRPr="007D1B55" w:rsidRDefault="00F94EA3" w:rsidP="007D1B55">
            <w:pPr>
              <w:rPr>
                <w:szCs w:val="22"/>
              </w:rPr>
            </w:pPr>
            <w:r w:rsidRPr="007D1B55">
              <w:rPr>
                <w:szCs w:val="22"/>
              </w:rPr>
              <w:t>ULN</w:t>
            </w:r>
          </w:p>
        </w:tc>
        <w:tc>
          <w:tcPr>
            <w:tcW w:w="3800" w:type="pct"/>
          </w:tcPr>
          <w:p w14:paraId="4458E485" w14:textId="6B92120C" w:rsidR="00A704DC" w:rsidRPr="00D01DDB" w:rsidRDefault="00F94EA3"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Upper limit of normal</w:t>
            </w:r>
          </w:p>
        </w:tc>
      </w:tr>
      <w:tr w:rsidR="00630660" w:rsidRPr="00D01DDB" w14:paraId="108AB06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4A3EFC" w14:textId="2BFC4F07" w:rsidR="00630660" w:rsidRPr="007D1B55" w:rsidRDefault="00630660" w:rsidP="007D1B55">
            <w:pPr>
              <w:rPr>
                <w:szCs w:val="22"/>
              </w:rPr>
            </w:pPr>
            <w:r>
              <w:rPr>
                <w:szCs w:val="22"/>
              </w:rPr>
              <w:t>US(A)</w:t>
            </w:r>
          </w:p>
        </w:tc>
        <w:tc>
          <w:tcPr>
            <w:tcW w:w="3800" w:type="pct"/>
          </w:tcPr>
          <w:p w14:paraId="185F068B" w14:textId="49DABF54" w:rsidR="00630660" w:rsidRDefault="00630660"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r w:rsidR="007D1B55" w:rsidRPr="007D1B55" w14:paraId="0C7BC0E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0F93CC" w14:textId="08CD9DA4" w:rsidR="007D1B55" w:rsidRPr="007D1B55" w:rsidRDefault="007D1B55" w:rsidP="007D1B55">
            <w:pPr>
              <w:rPr>
                <w:szCs w:val="22"/>
              </w:rPr>
            </w:pPr>
            <w:r w:rsidRPr="007D1B55">
              <w:rPr>
                <w:szCs w:val="22"/>
              </w:rPr>
              <w:t>UTI</w:t>
            </w:r>
          </w:p>
        </w:tc>
        <w:tc>
          <w:tcPr>
            <w:tcW w:w="3800" w:type="pct"/>
          </w:tcPr>
          <w:p w14:paraId="41A5B0C8" w14:textId="2D05464B" w:rsidR="007D1B55" w:rsidRDefault="007D1B55" w:rsidP="007D1B55">
            <w:pPr>
              <w:cnfStyle w:val="000000000000" w:firstRow="0" w:lastRow="0" w:firstColumn="0" w:lastColumn="0" w:oddVBand="0" w:evenVBand="0" w:oddHBand="0" w:evenHBand="0" w:firstRowFirstColumn="0" w:firstRowLastColumn="0" w:lastRowFirstColumn="0" w:lastRowLastColumn="0"/>
              <w:rPr>
                <w:szCs w:val="22"/>
              </w:rPr>
            </w:pPr>
            <w:r w:rsidRPr="007D1B55">
              <w:rPr>
                <w:szCs w:val="22"/>
              </w:rPr>
              <w:t>Urinary tract infection</w:t>
            </w:r>
          </w:p>
        </w:tc>
      </w:tr>
      <w:tr w:rsidR="0061172E" w:rsidRPr="00E676A9" w14:paraId="50A088F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E70B60" w14:textId="22433F6C" w:rsidR="0061172E" w:rsidRPr="00E676A9" w:rsidRDefault="0061172E" w:rsidP="00E676A9">
            <w:r w:rsidRPr="00E676A9">
              <w:t>VAS</w:t>
            </w:r>
          </w:p>
        </w:tc>
        <w:tc>
          <w:tcPr>
            <w:tcW w:w="3800" w:type="pct"/>
          </w:tcPr>
          <w:p w14:paraId="3FAC50B2" w14:textId="6D09585D" w:rsidR="0061172E" w:rsidRPr="00E676A9" w:rsidRDefault="00A07E69" w:rsidP="00E676A9">
            <w:pPr>
              <w:cnfStyle w:val="000000000000" w:firstRow="0" w:lastRow="0" w:firstColumn="0" w:lastColumn="0" w:oddVBand="0" w:evenVBand="0" w:oddHBand="0" w:evenHBand="0" w:firstRowFirstColumn="0" w:firstRowLastColumn="0" w:lastRowFirstColumn="0" w:lastRowLastColumn="0"/>
            </w:pPr>
            <w:r w:rsidRPr="00E676A9">
              <w:t>Visual analogue scale</w:t>
            </w:r>
          </w:p>
        </w:tc>
      </w:tr>
      <w:tr w:rsidR="00A704DC" w:rsidRPr="00D01DDB"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723D43AA" w:rsidR="00A704DC" w:rsidRPr="007D1B55" w:rsidRDefault="00962B7F" w:rsidP="007D1B55">
            <w:pPr>
              <w:rPr>
                <w:szCs w:val="22"/>
              </w:rPr>
            </w:pPr>
            <w:r w:rsidRPr="007D1B55">
              <w:rPr>
                <w:szCs w:val="22"/>
              </w:rPr>
              <w:t>VP</w:t>
            </w:r>
          </w:p>
        </w:tc>
        <w:tc>
          <w:tcPr>
            <w:tcW w:w="3800" w:type="pct"/>
          </w:tcPr>
          <w:p w14:paraId="53D4D108" w14:textId="09EB4037" w:rsidR="00A704DC" w:rsidRPr="00D01DDB" w:rsidRDefault="00962B7F" w:rsidP="007D1B55">
            <w:pPr>
              <w:cnfStyle w:val="000000000000" w:firstRow="0" w:lastRow="0" w:firstColumn="0" w:lastColumn="0" w:oddVBand="0" w:evenVBand="0" w:oddHBand="0" w:evenHBand="0" w:firstRowFirstColumn="0" w:firstRowLastColumn="0" w:lastRowFirstColumn="0" w:lastRowLastColumn="0"/>
              <w:rPr>
                <w:szCs w:val="22"/>
              </w:rPr>
            </w:pPr>
            <w:r>
              <w:rPr>
                <w:szCs w:val="22"/>
              </w:rPr>
              <w:t>V</w:t>
            </w:r>
            <w:r w:rsidRPr="00962B7F">
              <w:rPr>
                <w:szCs w:val="22"/>
              </w:rPr>
              <w:t>ariegate porphyria</w:t>
            </w:r>
          </w:p>
        </w:tc>
      </w:tr>
    </w:tbl>
    <w:p w14:paraId="7378F926" w14:textId="77777777" w:rsidR="00324B33" w:rsidRDefault="00324B33" w:rsidP="00324B33"/>
    <w:p w14:paraId="02FB1F38" w14:textId="5DF154B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70980390"/>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70980391"/>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415D524C" w:rsidR="00324B33" w:rsidRPr="00CC4D31" w:rsidRDefault="00324B33" w:rsidP="007452E8">
            <w:pPr>
              <w:rPr>
                <w:i/>
                <w:szCs w:val="22"/>
              </w:rPr>
            </w:pPr>
            <w:r w:rsidRPr="00CC4D31">
              <w:rPr>
                <w:i/>
                <w:szCs w:val="22"/>
              </w:rPr>
              <w:t>Type of submission:</w:t>
            </w:r>
          </w:p>
        </w:tc>
        <w:tc>
          <w:tcPr>
            <w:tcW w:w="3423" w:type="pct"/>
          </w:tcPr>
          <w:p w14:paraId="4F07C303" w14:textId="7DB2B001" w:rsidR="00324B33" w:rsidRPr="00BD5DBD" w:rsidRDefault="00324B33" w:rsidP="007452E8">
            <w:pPr>
              <w:rPr>
                <w:szCs w:val="22"/>
              </w:rPr>
            </w:pPr>
            <w:r w:rsidRPr="00CC4D31">
              <w:rPr>
                <w:szCs w:val="22"/>
              </w:rPr>
              <w:t>New chemical entity</w:t>
            </w:r>
          </w:p>
        </w:tc>
      </w:tr>
      <w:tr w:rsidR="00324B33" w:rsidRPr="00BD5DBD" w14:paraId="13482B61" w14:textId="77777777" w:rsidTr="00F865A7">
        <w:tc>
          <w:tcPr>
            <w:tcW w:w="1577" w:type="pct"/>
          </w:tcPr>
          <w:p w14:paraId="2C427FCF" w14:textId="0697B8A5" w:rsidR="00324B33" w:rsidRPr="00BD5DBD" w:rsidRDefault="00324B33" w:rsidP="007452E8">
            <w:pPr>
              <w:rPr>
                <w:i/>
                <w:szCs w:val="22"/>
              </w:rPr>
            </w:pPr>
            <w:r w:rsidRPr="00BD5DBD">
              <w:rPr>
                <w:i/>
                <w:szCs w:val="22"/>
              </w:rPr>
              <w:t>Product name:</w:t>
            </w:r>
          </w:p>
        </w:tc>
        <w:tc>
          <w:tcPr>
            <w:tcW w:w="3423" w:type="pct"/>
          </w:tcPr>
          <w:p w14:paraId="0E2DEF76" w14:textId="565EFCBF" w:rsidR="00324B33" w:rsidRPr="00BD5DBD" w:rsidRDefault="005F6D8A" w:rsidP="007452E8">
            <w:pPr>
              <w:rPr>
                <w:szCs w:val="22"/>
              </w:rPr>
            </w:pPr>
            <w:r>
              <w:rPr>
                <w:szCs w:val="22"/>
              </w:rPr>
              <w:t>Givlaari</w:t>
            </w:r>
          </w:p>
        </w:tc>
      </w:tr>
      <w:tr w:rsidR="00324B33" w:rsidRPr="00BD5DBD" w14:paraId="01255B5B" w14:textId="77777777" w:rsidTr="00F865A7">
        <w:tc>
          <w:tcPr>
            <w:tcW w:w="1577" w:type="pct"/>
          </w:tcPr>
          <w:p w14:paraId="52B4F3D7" w14:textId="6688DE61" w:rsidR="00324B33" w:rsidRPr="005F6D8A" w:rsidRDefault="00324B33" w:rsidP="007452E8">
            <w:pPr>
              <w:rPr>
                <w:i/>
                <w:szCs w:val="22"/>
              </w:rPr>
            </w:pPr>
            <w:r w:rsidRPr="005F6D8A">
              <w:rPr>
                <w:i/>
                <w:szCs w:val="22"/>
              </w:rPr>
              <w:t>Active ingredient:</w:t>
            </w:r>
          </w:p>
        </w:tc>
        <w:tc>
          <w:tcPr>
            <w:tcW w:w="3423" w:type="pct"/>
          </w:tcPr>
          <w:p w14:paraId="02FB6383" w14:textId="7EAB5D71" w:rsidR="00324B33" w:rsidRPr="00BD5DBD" w:rsidRDefault="005F6D8A" w:rsidP="007452E8">
            <w:pPr>
              <w:rPr>
                <w:szCs w:val="22"/>
              </w:rPr>
            </w:pPr>
            <w:r w:rsidRPr="005F6D8A">
              <w:rPr>
                <w:szCs w:val="22"/>
              </w:rPr>
              <w:t xml:space="preserve">Givosiran </w:t>
            </w:r>
            <w:r w:rsidR="001A2FA5">
              <w:rPr>
                <w:szCs w:val="22"/>
              </w:rPr>
              <w:t xml:space="preserve">(as </w:t>
            </w:r>
            <w:r w:rsidRPr="005F6D8A">
              <w:rPr>
                <w:szCs w:val="22"/>
              </w:rPr>
              <w:t>sodium</w:t>
            </w:r>
            <w:r w:rsidR="001A2FA5">
              <w:rPr>
                <w:szCs w:val="22"/>
              </w:rPr>
              <w:t>)</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307D665" w:rsidR="00324B33" w:rsidRPr="00BD5DBD" w:rsidRDefault="00324B33" w:rsidP="007452E8">
            <w:pPr>
              <w:rPr>
                <w:szCs w:val="22"/>
              </w:rPr>
            </w:pPr>
            <w:r w:rsidRPr="00BD5DBD">
              <w:rPr>
                <w:szCs w:val="22"/>
              </w:rPr>
              <w:t>Approved</w:t>
            </w:r>
          </w:p>
        </w:tc>
      </w:tr>
      <w:tr w:rsidR="00AE1947" w:rsidRPr="009757EB" w14:paraId="32B72632" w14:textId="77777777" w:rsidTr="00F865A7">
        <w:tc>
          <w:tcPr>
            <w:tcW w:w="1577" w:type="pct"/>
          </w:tcPr>
          <w:p w14:paraId="332A5CD5" w14:textId="682CD1B3" w:rsidR="00AE1947" w:rsidRPr="009757EB" w:rsidRDefault="00AE1947" w:rsidP="00C018DE">
            <w:r w:rsidRPr="009757EB">
              <w:rPr>
                <w:i/>
                <w:szCs w:val="22"/>
              </w:rPr>
              <w:t>Date of decision:</w:t>
            </w:r>
          </w:p>
        </w:tc>
        <w:tc>
          <w:tcPr>
            <w:tcW w:w="3423" w:type="pct"/>
          </w:tcPr>
          <w:p w14:paraId="7B381CD6" w14:textId="6F249413" w:rsidR="00AE1947" w:rsidRPr="009757EB" w:rsidRDefault="005F6D8A" w:rsidP="00602658">
            <w:pPr>
              <w:rPr>
                <w:szCs w:val="22"/>
              </w:rPr>
            </w:pPr>
            <w:r w:rsidRPr="009757EB">
              <w:rPr>
                <w:szCs w:val="22"/>
              </w:rPr>
              <w:t>16 November 2023</w:t>
            </w:r>
          </w:p>
        </w:tc>
      </w:tr>
      <w:tr w:rsidR="00324B33" w:rsidRPr="009757EB" w14:paraId="60A25F5A" w14:textId="77777777" w:rsidTr="00F865A7">
        <w:tc>
          <w:tcPr>
            <w:tcW w:w="1577" w:type="pct"/>
          </w:tcPr>
          <w:p w14:paraId="5C5E4CBA" w14:textId="77777777" w:rsidR="00324B33" w:rsidRPr="009757EB" w:rsidRDefault="00324B33" w:rsidP="007452E8">
            <w:pPr>
              <w:rPr>
                <w:i/>
                <w:szCs w:val="22"/>
              </w:rPr>
            </w:pPr>
            <w:r w:rsidRPr="009757EB">
              <w:rPr>
                <w:i/>
                <w:szCs w:val="22"/>
              </w:rPr>
              <w:t>Date of entry onto ARTG:</w:t>
            </w:r>
          </w:p>
        </w:tc>
        <w:tc>
          <w:tcPr>
            <w:tcW w:w="3423" w:type="pct"/>
          </w:tcPr>
          <w:p w14:paraId="28B270E9" w14:textId="6006208C" w:rsidR="00324B33" w:rsidRPr="009757EB" w:rsidRDefault="009757EB" w:rsidP="007452E8">
            <w:pPr>
              <w:rPr>
                <w:szCs w:val="22"/>
              </w:rPr>
            </w:pPr>
            <w:r w:rsidRPr="009757EB">
              <w:rPr>
                <w:szCs w:val="22"/>
              </w:rPr>
              <w:t>28 November 2023</w:t>
            </w:r>
          </w:p>
        </w:tc>
      </w:tr>
      <w:tr w:rsidR="00324B33" w:rsidRPr="00BD5DBD" w14:paraId="547E08D7" w14:textId="77777777" w:rsidTr="00F865A7">
        <w:tc>
          <w:tcPr>
            <w:tcW w:w="1577" w:type="pct"/>
          </w:tcPr>
          <w:p w14:paraId="5030EF30" w14:textId="3FDB069E" w:rsidR="00324B33" w:rsidRPr="009757EB" w:rsidRDefault="00324B33" w:rsidP="007452E8">
            <w:pPr>
              <w:rPr>
                <w:i/>
                <w:szCs w:val="22"/>
              </w:rPr>
            </w:pPr>
            <w:r w:rsidRPr="009757EB">
              <w:rPr>
                <w:i/>
                <w:szCs w:val="22"/>
              </w:rPr>
              <w:t>ARTG number:</w:t>
            </w:r>
          </w:p>
        </w:tc>
        <w:tc>
          <w:tcPr>
            <w:tcW w:w="3423" w:type="pct"/>
          </w:tcPr>
          <w:p w14:paraId="0054E912" w14:textId="4D489B33" w:rsidR="00324B33" w:rsidRPr="009757EB" w:rsidRDefault="009757EB" w:rsidP="007452E8">
            <w:pPr>
              <w:rPr>
                <w:szCs w:val="22"/>
              </w:rPr>
            </w:pPr>
            <w:r w:rsidRPr="009757EB">
              <w:rPr>
                <w:szCs w:val="22"/>
              </w:rPr>
              <w:t>401153</w:t>
            </w:r>
          </w:p>
        </w:tc>
      </w:tr>
      <w:tr w:rsidR="00324B33" w:rsidRPr="00BD5DBD" w14:paraId="7618393F" w14:textId="77777777" w:rsidTr="00F865A7">
        <w:tc>
          <w:tcPr>
            <w:tcW w:w="1577" w:type="pct"/>
          </w:tcPr>
          <w:p w14:paraId="02260DE2" w14:textId="6BDA64AC" w:rsidR="00324B33" w:rsidRPr="00483773" w:rsidRDefault="00324B33" w:rsidP="007452E8">
            <w:pPr>
              <w:rPr>
                <w:i/>
                <w:color w:val="0000FF"/>
                <w:szCs w:val="22"/>
                <w:u w:val="single"/>
              </w:rPr>
            </w:pPr>
            <w:r w:rsidRPr="00BD5DBD">
              <w:rPr>
                <w:rFonts w:ascii="Wingdings 3" w:hAnsi="Wingdings 3"/>
                <w:szCs w:val="22"/>
                <w:lang w:eastAsia="en-AU"/>
              </w:rPr>
              <w:t></w:t>
            </w:r>
            <w:hyperlink r:id="rId17" w:history="1">
              <w:r w:rsidRPr="00BD5DBD">
                <w:rPr>
                  <w:rStyle w:val="Hyperlink"/>
                  <w:i/>
                  <w:szCs w:val="22"/>
                </w:rPr>
                <w:t>Black Triangle Scheme</w:t>
              </w:r>
            </w:hyperlink>
          </w:p>
        </w:tc>
        <w:tc>
          <w:tcPr>
            <w:tcW w:w="3423" w:type="pct"/>
          </w:tcPr>
          <w:p w14:paraId="6B2AF2E7" w14:textId="77777777" w:rsidR="00324B33" w:rsidRDefault="00324B33" w:rsidP="007452E8">
            <w:pPr>
              <w:rPr>
                <w:szCs w:val="22"/>
              </w:rPr>
            </w:pPr>
            <w:r w:rsidRPr="00BD5DBD">
              <w:rPr>
                <w:szCs w:val="22"/>
              </w:rPr>
              <w:t>Yes</w:t>
            </w:r>
          </w:p>
          <w:p w14:paraId="6FF3C6A2" w14:textId="10A548A1" w:rsidR="00677365" w:rsidRPr="00BD5DBD" w:rsidRDefault="00C67785" w:rsidP="00C67785">
            <w:pPr>
              <w:pStyle w:val="ListBullet"/>
              <w:numPr>
                <w:ilvl w:val="0"/>
                <w:numId w:val="0"/>
              </w:numPr>
              <w:ind w:left="4"/>
              <w:rPr>
                <w:szCs w:val="22"/>
              </w:rPr>
            </w:pPr>
            <w:r>
              <w:t>For 5 years, which starts from the date that the sponsor notifies the TGA of supply of the product.</w:t>
            </w:r>
          </w:p>
        </w:tc>
      </w:tr>
      <w:tr w:rsidR="00324B33" w:rsidRPr="00BD5DBD" w14:paraId="179E09FE" w14:textId="77777777" w:rsidTr="00F865A7">
        <w:tc>
          <w:tcPr>
            <w:tcW w:w="1577" w:type="pct"/>
          </w:tcPr>
          <w:p w14:paraId="1A592498" w14:textId="2DD76F4E" w:rsidR="00324B33" w:rsidRPr="00BD5DBD" w:rsidRDefault="00324B33" w:rsidP="007452E8">
            <w:pPr>
              <w:rPr>
                <w:i/>
                <w:szCs w:val="22"/>
              </w:rPr>
            </w:pPr>
            <w:r w:rsidRPr="00BD5DBD">
              <w:rPr>
                <w:i/>
                <w:szCs w:val="22"/>
              </w:rPr>
              <w:t>Sponsor’s name and address</w:t>
            </w:r>
            <w:r w:rsidR="008747CB">
              <w:rPr>
                <w:i/>
                <w:szCs w:val="22"/>
              </w:rPr>
              <w:t xml:space="preserve"> at time of publication of AusPAR</w:t>
            </w:r>
            <w:r w:rsidRPr="00BD5DBD">
              <w:rPr>
                <w:i/>
                <w:szCs w:val="22"/>
              </w:rPr>
              <w:t>:</w:t>
            </w:r>
          </w:p>
        </w:tc>
        <w:tc>
          <w:tcPr>
            <w:tcW w:w="3423" w:type="pct"/>
          </w:tcPr>
          <w:p w14:paraId="63D92AB7" w14:textId="64977136" w:rsidR="00483773" w:rsidRPr="00483773" w:rsidRDefault="00305887" w:rsidP="00483773">
            <w:pPr>
              <w:rPr>
                <w:szCs w:val="22"/>
              </w:rPr>
            </w:pPr>
            <w:r>
              <w:rPr>
                <w:szCs w:val="22"/>
              </w:rPr>
              <w:t>Medison Pharma</w:t>
            </w:r>
            <w:r w:rsidR="00483773" w:rsidRPr="00483773">
              <w:rPr>
                <w:szCs w:val="22"/>
              </w:rPr>
              <w:t xml:space="preserve"> Australia Pty Ltd</w:t>
            </w:r>
          </w:p>
          <w:p w14:paraId="4964638C" w14:textId="20DEFFF5" w:rsidR="00FC74B0" w:rsidRDefault="00305887" w:rsidP="00483773">
            <w:pPr>
              <w:rPr>
                <w:szCs w:val="22"/>
              </w:rPr>
            </w:pPr>
            <w:r>
              <w:rPr>
                <w:szCs w:val="22"/>
              </w:rPr>
              <w:t>1 Bligh Street</w:t>
            </w:r>
          </w:p>
          <w:p w14:paraId="68DD94B0" w14:textId="5B65566D" w:rsidR="00324B33" w:rsidRPr="00BD5DBD" w:rsidRDefault="00FC74B0" w:rsidP="00FC74B0">
            <w:pPr>
              <w:rPr>
                <w:szCs w:val="22"/>
              </w:rPr>
            </w:pPr>
            <w:r>
              <w:rPr>
                <w:szCs w:val="22"/>
              </w:rPr>
              <w:t xml:space="preserve">Sydney </w:t>
            </w:r>
            <w:r w:rsidR="00483773" w:rsidRPr="00483773">
              <w:rPr>
                <w:szCs w:val="22"/>
              </w:rPr>
              <w:t>NSW 2</w:t>
            </w:r>
            <w:r>
              <w:rPr>
                <w:szCs w:val="22"/>
              </w:rPr>
              <w:t>000</w:t>
            </w:r>
          </w:p>
        </w:tc>
      </w:tr>
      <w:tr w:rsidR="00324B33" w:rsidRPr="00BD5DBD" w14:paraId="5322B989" w14:textId="77777777" w:rsidTr="00F865A7">
        <w:tc>
          <w:tcPr>
            <w:tcW w:w="1577" w:type="pct"/>
          </w:tcPr>
          <w:p w14:paraId="24F217E3" w14:textId="4EC9186F" w:rsidR="00324B33" w:rsidRPr="00BD5DBD" w:rsidRDefault="00324B33" w:rsidP="007452E8">
            <w:pPr>
              <w:rPr>
                <w:i/>
                <w:szCs w:val="22"/>
              </w:rPr>
            </w:pPr>
            <w:r w:rsidRPr="00BD5DBD">
              <w:rPr>
                <w:i/>
                <w:szCs w:val="22"/>
              </w:rPr>
              <w:t>Dose form:</w:t>
            </w:r>
          </w:p>
        </w:tc>
        <w:tc>
          <w:tcPr>
            <w:tcW w:w="3423" w:type="pct"/>
          </w:tcPr>
          <w:p w14:paraId="768B254C" w14:textId="685D6D98" w:rsidR="00324B33" w:rsidRPr="00BD5DBD" w:rsidRDefault="00483773" w:rsidP="007452E8">
            <w:pPr>
              <w:rPr>
                <w:szCs w:val="22"/>
              </w:rPr>
            </w:pPr>
            <w:r>
              <w:rPr>
                <w:szCs w:val="22"/>
              </w:rPr>
              <w:t>Solution for injection</w:t>
            </w:r>
          </w:p>
        </w:tc>
      </w:tr>
      <w:tr w:rsidR="00324B33" w:rsidRPr="00BD5DBD" w14:paraId="115243E6" w14:textId="77777777" w:rsidTr="00F865A7">
        <w:tc>
          <w:tcPr>
            <w:tcW w:w="1577" w:type="pct"/>
          </w:tcPr>
          <w:p w14:paraId="7634B062" w14:textId="7B3AB4A4" w:rsidR="00324B33" w:rsidRPr="00BD5DBD" w:rsidRDefault="00324B33" w:rsidP="007452E8">
            <w:pPr>
              <w:rPr>
                <w:i/>
                <w:szCs w:val="22"/>
              </w:rPr>
            </w:pPr>
            <w:r w:rsidRPr="00BD5DBD">
              <w:rPr>
                <w:i/>
                <w:szCs w:val="22"/>
              </w:rPr>
              <w:t>Strength:</w:t>
            </w:r>
          </w:p>
        </w:tc>
        <w:tc>
          <w:tcPr>
            <w:tcW w:w="3423" w:type="pct"/>
          </w:tcPr>
          <w:p w14:paraId="5E5F83DB" w14:textId="3D54225D" w:rsidR="00324B33" w:rsidRPr="00BD5DBD" w:rsidRDefault="00483773" w:rsidP="007452E8">
            <w:pPr>
              <w:rPr>
                <w:szCs w:val="22"/>
              </w:rPr>
            </w:pPr>
            <w:r>
              <w:rPr>
                <w:szCs w:val="22"/>
              </w:rPr>
              <w:t>189 mg in 1 mL</w:t>
            </w:r>
          </w:p>
        </w:tc>
      </w:tr>
      <w:tr w:rsidR="00324B33" w:rsidRPr="00BD5DBD" w14:paraId="34B07BA6" w14:textId="77777777" w:rsidTr="00F865A7">
        <w:tc>
          <w:tcPr>
            <w:tcW w:w="1577" w:type="pct"/>
          </w:tcPr>
          <w:p w14:paraId="1C039224" w14:textId="2C6402EC" w:rsidR="00324B33" w:rsidRPr="00BD5DBD" w:rsidRDefault="00324B33" w:rsidP="007452E8">
            <w:pPr>
              <w:rPr>
                <w:i/>
                <w:szCs w:val="22"/>
              </w:rPr>
            </w:pPr>
            <w:r w:rsidRPr="00BD5DBD">
              <w:rPr>
                <w:i/>
                <w:szCs w:val="22"/>
              </w:rPr>
              <w:t>Container:</w:t>
            </w:r>
          </w:p>
        </w:tc>
        <w:tc>
          <w:tcPr>
            <w:tcW w:w="3423" w:type="pct"/>
          </w:tcPr>
          <w:p w14:paraId="500A42C6" w14:textId="1C1B4175" w:rsidR="00324B33" w:rsidRPr="00BD5DBD" w:rsidRDefault="00483773" w:rsidP="007452E8">
            <w:pPr>
              <w:rPr>
                <w:szCs w:val="22"/>
              </w:rPr>
            </w:pPr>
            <w:r>
              <w:rPr>
                <w:szCs w:val="22"/>
              </w:rPr>
              <w:t>Vial</w:t>
            </w:r>
          </w:p>
        </w:tc>
      </w:tr>
      <w:tr w:rsidR="00324B33" w:rsidRPr="00BD5DBD" w14:paraId="176B6773" w14:textId="77777777" w:rsidTr="00F865A7">
        <w:tc>
          <w:tcPr>
            <w:tcW w:w="1577" w:type="pct"/>
          </w:tcPr>
          <w:p w14:paraId="71846159" w14:textId="27C8EC64" w:rsidR="00324B33" w:rsidRPr="00BD5DBD" w:rsidRDefault="00324B33" w:rsidP="007452E8">
            <w:pPr>
              <w:rPr>
                <w:i/>
                <w:szCs w:val="22"/>
              </w:rPr>
            </w:pPr>
            <w:r w:rsidRPr="00BD5DBD">
              <w:rPr>
                <w:i/>
                <w:szCs w:val="22"/>
              </w:rPr>
              <w:t>Pack size:</w:t>
            </w:r>
          </w:p>
        </w:tc>
        <w:tc>
          <w:tcPr>
            <w:tcW w:w="3423" w:type="pct"/>
          </w:tcPr>
          <w:p w14:paraId="7E978F8F" w14:textId="44FF9273" w:rsidR="00324B33" w:rsidRPr="00BD5DBD" w:rsidRDefault="00483773" w:rsidP="007452E8">
            <w:pPr>
              <w:rPr>
                <w:szCs w:val="22"/>
              </w:rPr>
            </w:pPr>
            <w:r>
              <w:rPr>
                <w:szCs w:val="22"/>
              </w:rPr>
              <w:t>One vial</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1033F2D7" w:rsidR="00324B33" w:rsidRPr="00BD5DBD" w:rsidRDefault="00483773" w:rsidP="00483773">
            <w:pPr>
              <w:rPr>
                <w:szCs w:val="22"/>
              </w:rPr>
            </w:pPr>
            <w:r w:rsidRPr="00483773">
              <w:rPr>
                <w:szCs w:val="22"/>
              </w:rPr>
              <w:t>Givlaari is indicated for the treatment of acute hepatic porphyria (AHP) in adults and</w:t>
            </w:r>
            <w:r>
              <w:rPr>
                <w:szCs w:val="22"/>
              </w:rPr>
              <w:t xml:space="preserve"> </w:t>
            </w:r>
            <w:r w:rsidRPr="00483773">
              <w:rPr>
                <w:szCs w:val="22"/>
              </w:rPr>
              <w:t>adolescents aged 12 years and older.</w:t>
            </w:r>
          </w:p>
        </w:tc>
      </w:tr>
      <w:tr w:rsidR="00324B33" w:rsidRPr="00BD5DBD" w14:paraId="5AFDEED3" w14:textId="77777777" w:rsidTr="00F865A7">
        <w:tc>
          <w:tcPr>
            <w:tcW w:w="1577" w:type="pct"/>
          </w:tcPr>
          <w:p w14:paraId="03884BD1" w14:textId="75DBBDE7" w:rsidR="00324B33" w:rsidRPr="00BD5DBD" w:rsidRDefault="00324B33" w:rsidP="007452E8">
            <w:pPr>
              <w:rPr>
                <w:i/>
                <w:szCs w:val="22"/>
              </w:rPr>
            </w:pPr>
            <w:r w:rsidRPr="00BD5DBD">
              <w:rPr>
                <w:i/>
                <w:szCs w:val="22"/>
              </w:rPr>
              <w:t>Route of administration:</w:t>
            </w:r>
          </w:p>
        </w:tc>
        <w:tc>
          <w:tcPr>
            <w:tcW w:w="3423" w:type="pct"/>
          </w:tcPr>
          <w:p w14:paraId="1ED1357E" w14:textId="229983E4" w:rsidR="00324B33" w:rsidRPr="00BD5DBD" w:rsidRDefault="00483773" w:rsidP="007452E8">
            <w:pPr>
              <w:rPr>
                <w:szCs w:val="22"/>
              </w:rPr>
            </w:pPr>
            <w:r>
              <w:rPr>
                <w:szCs w:val="22"/>
              </w:rPr>
              <w:t>S</w:t>
            </w:r>
            <w:r>
              <w:t>ubcutaneous injection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29310561" w14:textId="6E8719E0" w:rsidR="00483773" w:rsidRPr="00483773" w:rsidRDefault="00483773" w:rsidP="00483773">
            <w:pPr>
              <w:rPr>
                <w:szCs w:val="22"/>
              </w:rPr>
            </w:pPr>
            <w:r w:rsidRPr="00483773">
              <w:rPr>
                <w:szCs w:val="22"/>
              </w:rPr>
              <w:t>Therapy should be initiated under the supervision of a healthcare professional experienced in</w:t>
            </w:r>
            <w:r>
              <w:rPr>
                <w:szCs w:val="22"/>
              </w:rPr>
              <w:t xml:space="preserve"> </w:t>
            </w:r>
            <w:r w:rsidRPr="00483773">
              <w:rPr>
                <w:szCs w:val="22"/>
              </w:rPr>
              <w:t>the management of porphyria.</w:t>
            </w:r>
          </w:p>
          <w:p w14:paraId="4BD4ECF7" w14:textId="23C9C7EF" w:rsidR="00666911" w:rsidRDefault="00483773" w:rsidP="00483773">
            <w:pPr>
              <w:rPr>
                <w:szCs w:val="22"/>
              </w:rPr>
            </w:pPr>
            <w:r w:rsidRPr="00483773">
              <w:rPr>
                <w:szCs w:val="22"/>
              </w:rPr>
              <w:t>The recommended dose of Givlaari is 2.5</w:t>
            </w:r>
            <w:r w:rsidR="00D02FA8">
              <w:rPr>
                <w:szCs w:val="22"/>
              </w:rPr>
              <w:t> </w:t>
            </w:r>
            <w:r w:rsidRPr="00483773">
              <w:rPr>
                <w:szCs w:val="22"/>
              </w:rPr>
              <w:t>mg/kg once monthly, administered via subcutaneous</w:t>
            </w:r>
            <w:r>
              <w:rPr>
                <w:szCs w:val="22"/>
              </w:rPr>
              <w:t xml:space="preserve"> </w:t>
            </w:r>
            <w:r w:rsidRPr="00483773">
              <w:rPr>
                <w:szCs w:val="22"/>
              </w:rPr>
              <w:t>injection. Dosing is based on actual body weight.</w:t>
            </w:r>
          </w:p>
          <w:p w14:paraId="3D0B2D5C" w14:textId="4EAEF436" w:rsidR="00324B33" w:rsidRPr="00BD5DBD" w:rsidRDefault="00324B33" w:rsidP="007452E8">
            <w:pPr>
              <w:rPr>
                <w:szCs w:val="22"/>
              </w:rPr>
            </w:pPr>
            <w:r w:rsidRPr="00BD5DBD">
              <w:rPr>
                <w:szCs w:val="22"/>
              </w:rPr>
              <w:t xml:space="preserve">For further information regarding dosage, </w:t>
            </w:r>
            <w:r w:rsidR="00483773">
              <w:rPr>
                <w:szCs w:val="22"/>
              </w:rPr>
              <w:t>i</w:t>
            </w:r>
            <w:r w:rsidR="00483773">
              <w:t xml:space="preserve">ncluding calculation of patient dose, missed doses, </w:t>
            </w:r>
            <w:r w:rsidR="006B7126">
              <w:rPr>
                <w:szCs w:val="22"/>
              </w:rPr>
              <w:t xml:space="preserve">dose modifications </w:t>
            </w:r>
            <w:r w:rsidR="00483773">
              <w:rPr>
                <w:szCs w:val="22"/>
              </w:rPr>
              <w:t>f</w:t>
            </w:r>
            <w:r w:rsidR="00483773">
              <w:t xml:space="preserve">or </w:t>
            </w:r>
            <w:r w:rsidR="006B7126">
              <w:rPr>
                <w:szCs w:val="22"/>
              </w:rPr>
              <w:t xml:space="preserve">adverse reactions, </w:t>
            </w:r>
            <w:r w:rsidR="00483773">
              <w:rPr>
                <w:szCs w:val="22"/>
              </w:rPr>
              <w:t>s</w:t>
            </w:r>
            <w:r w:rsidR="00483773">
              <w:t xml:space="preserve">pecial populations, and method of administration,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25E48BA5" w14:textId="77777777" w:rsidR="00483773" w:rsidRDefault="00483773" w:rsidP="007967C3">
            <w:r>
              <w:t>B3</w:t>
            </w:r>
          </w:p>
          <w:p w14:paraId="5D6E9706" w14:textId="4F79D819" w:rsidR="00000E6E" w:rsidRPr="00483773" w:rsidRDefault="00483773" w:rsidP="00483773">
            <w:pPr>
              <w:rPr>
                <w:szCs w:val="22"/>
              </w:rPr>
            </w:pPr>
            <w:r w:rsidRPr="00483773">
              <w:rPr>
                <w:szCs w:val="22"/>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483773">
              <w:rPr>
                <w:szCs w:val="22"/>
              </w:rPr>
              <w:t>fetus</w:t>
            </w:r>
            <w:proofErr w:type="spellEnd"/>
            <w:r w:rsidRPr="00483773">
              <w:rPr>
                <w:szCs w:val="22"/>
              </w:rPr>
              <w:t xml:space="preserve"> having been </w:t>
            </w:r>
            <w:r w:rsidRPr="00483773">
              <w:rPr>
                <w:szCs w:val="22"/>
              </w:rPr>
              <w:lastRenderedPageBreak/>
              <w:t>observed. Studies in animals have shown evidence of an increased occurrence of fetal damage, the significance of which is considered uncertain in humans.</w:t>
            </w:r>
          </w:p>
          <w:p w14:paraId="76497789" w14:textId="2898AE1A"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8"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9"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170980392"/>
      <w:r>
        <w:lastRenderedPageBreak/>
        <w:t>Product background</w:t>
      </w:r>
      <w:bookmarkEnd w:id="11"/>
      <w:bookmarkEnd w:id="12"/>
      <w:bookmarkEnd w:id="13"/>
      <w:bookmarkEnd w:id="14"/>
    </w:p>
    <w:p w14:paraId="59BF31D1" w14:textId="618C56B2" w:rsidR="001500A8" w:rsidRPr="00065839" w:rsidRDefault="00324B33" w:rsidP="00065839">
      <w:bookmarkStart w:id="15" w:name="_Hlk170474745"/>
      <w:r w:rsidRPr="00065839">
        <w:t xml:space="preserve">This AusPAR describes the submission by </w:t>
      </w:r>
      <w:r w:rsidR="00E10434">
        <w:t>Alnylam Australia Pty Ltd</w:t>
      </w:r>
      <w:r w:rsidRPr="00065839">
        <w:t xml:space="preserve"> (the sponsor</w:t>
      </w:r>
      <w:r w:rsidR="00305887">
        <w:t xml:space="preserve"> at the time of evaluation and registration</w:t>
      </w:r>
      <w:r w:rsidRPr="00065839">
        <w:t xml:space="preserve">) </w:t>
      </w:r>
      <w:bookmarkEnd w:id="15"/>
      <w:r w:rsidRPr="00065839">
        <w:t xml:space="preserve">to register </w:t>
      </w:r>
      <w:r w:rsidR="00E10434">
        <w:t>Givlaa</w:t>
      </w:r>
      <w:r w:rsidR="005471D0">
        <w:t>ri</w:t>
      </w:r>
      <w:r w:rsidRPr="00065839">
        <w:t xml:space="preserve"> (</w:t>
      </w:r>
      <w:proofErr w:type="spellStart"/>
      <w:r w:rsidR="00E10434">
        <w:t>givosiran</w:t>
      </w:r>
      <w:proofErr w:type="spellEnd"/>
      <w:r w:rsidR="00925C46">
        <w:t xml:space="preserve"> sodium</w:t>
      </w:r>
      <w:r w:rsidRPr="00065839">
        <w:t xml:space="preserve">) </w:t>
      </w:r>
      <w:r w:rsidR="00E10434">
        <w:t>189 mg/mL solution for injection in vials</w:t>
      </w:r>
      <w:r w:rsidRPr="00065839">
        <w:t xml:space="preserve"> for the following proposed indication:</w:t>
      </w:r>
    </w:p>
    <w:p w14:paraId="1870361E" w14:textId="6709C38F" w:rsidR="00324B33" w:rsidRPr="00E10434" w:rsidRDefault="00E10434" w:rsidP="00E10434">
      <w:pPr>
        <w:ind w:left="720"/>
        <w:rPr>
          <w:i/>
          <w:iCs/>
        </w:rPr>
      </w:pPr>
      <w:r w:rsidRPr="00E10434">
        <w:rPr>
          <w:i/>
          <w:iCs/>
        </w:rPr>
        <w:t>Treatment of acute hepatic porphyria (AHP) in adults and adolescents aged 12 years and older.</w:t>
      </w:r>
    </w:p>
    <w:p w14:paraId="1E63A2AE" w14:textId="589114FF" w:rsidR="00CB6813" w:rsidRDefault="004444B0" w:rsidP="00CB6813">
      <w:pPr>
        <w:pStyle w:val="Heading4"/>
      </w:pPr>
      <w:bookmarkStart w:id="16" w:name="_Toc314842485"/>
      <w:bookmarkStart w:id="17" w:name="_Toc247691504"/>
      <w:bookmarkStart w:id="18" w:name="_Toc170980393"/>
      <w:r>
        <w:t xml:space="preserve">The </w:t>
      </w:r>
      <w:r w:rsidR="00E01E1E">
        <w:t>condition</w:t>
      </w:r>
      <w:bookmarkEnd w:id="18"/>
    </w:p>
    <w:p w14:paraId="048793CB" w14:textId="6E70EC15" w:rsidR="005F1FE2" w:rsidRPr="0036001D" w:rsidRDefault="005F1FE2" w:rsidP="005F1FE2">
      <w:r w:rsidRPr="005F1FE2">
        <w:t xml:space="preserve">Acute hepatic porphyria </w:t>
      </w:r>
      <w:r w:rsidR="00F1783E">
        <w:t xml:space="preserve">(AHP) </w:t>
      </w:r>
      <w:r w:rsidRPr="005F1FE2">
        <w:t>is a family of rare, serious, and severely debilitating genetic</w:t>
      </w:r>
      <w:r>
        <w:t xml:space="preserve"> </w:t>
      </w:r>
      <w:r w:rsidRPr="005F1FE2">
        <w:t xml:space="preserve">disorders of </w:t>
      </w:r>
      <w:r w:rsidRPr="0036001D">
        <w:t xml:space="preserve">liver heme synthesis. Induction of </w:t>
      </w:r>
      <w:r w:rsidR="00F1783E" w:rsidRPr="00121C9B">
        <w:t>5′</w:t>
      </w:r>
      <w:r w:rsidR="00F1783E">
        <w:t>−</w:t>
      </w:r>
      <w:r w:rsidR="00F1783E" w:rsidRPr="00121C9B">
        <w:t>aminolevulinate synthase 1</w:t>
      </w:r>
      <w:r w:rsidR="00F1783E">
        <w:t xml:space="preserve"> (</w:t>
      </w:r>
      <w:r w:rsidRPr="0036001D">
        <w:t>ALAS1</w:t>
      </w:r>
      <w:r w:rsidR="00F1783E">
        <w:t>)</w:t>
      </w:r>
      <w:r w:rsidRPr="0036001D">
        <w:t xml:space="preserve"> results in the overproduction of</w:t>
      </w:r>
      <w:r w:rsidR="000B396E" w:rsidRPr="0036001D">
        <w:t xml:space="preserve"> </w:t>
      </w:r>
      <w:r w:rsidRPr="0036001D">
        <w:t>neurotoxic heme intermediates in the presence of a loss-of-function mutation in a heme</w:t>
      </w:r>
      <w:r w:rsidR="000B396E" w:rsidRPr="0036001D">
        <w:t xml:space="preserve"> </w:t>
      </w:r>
      <w:r w:rsidRPr="0036001D">
        <w:t>synthesis pathway enzyme. The AHP family consists of 4 subtypes, each involving a</w:t>
      </w:r>
      <w:r w:rsidR="000B396E" w:rsidRPr="0036001D">
        <w:t xml:space="preserve"> </w:t>
      </w:r>
      <w:r w:rsidRPr="0036001D">
        <w:t>defect in a distinct heme pathway enzyme (</w:t>
      </w:r>
      <w:r w:rsidR="00121C9B" w:rsidRPr="0036001D">
        <w:fldChar w:fldCharType="begin"/>
      </w:r>
      <w:r w:rsidR="00121C9B" w:rsidRPr="0036001D">
        <w:instrText xml:space="preserve"> REF _Ref156910584 \h </w:instrText>
      </w:r>
      <w:r w:rsidR="0036001D">
        <w:instrText xml:space="preserve"> \* MERGEFORMAT </w:instrText>
      </w:r>
      <w:r w:rsidR="00121C9B" w:rsidRPr="0036001D">
        <w:fldChar w:fldCharType="separate"/>
      </w:r>
      <w:r w:rsidR="007C529A">
        <w:t xml:space="preserve">Figure </w:t>
      </w:r>
      <w:r w:rsidR="007C529A">
        <w:rPr>
          <w:noProof/>
        </w:rPr>
        <w:t>1</w:t>
      </w:r>
      <w:r w:rsidR="00121C9B" w:rsidRPr="0036001D">
        <w:fldChar w:fldCharType="end"/>
      </w:r>
      <w:r w:rsidRPr="0036001D">
        <w:t>):</w:t>
      </w:r>
    </w:p>
    <w:p w14:paraId="603D785C" w14:textId="72391283" w:rsidR="005F1FE2" w:rsidRPr="0036001D" w:rsidRDefault="005A738D" w:rsidP="005F1FE2">
      <w:pPr>
        <w:pStyle w:val="ListBullet"/>
      </w:pPr>
      <w:r w:rsidRPr="0036001D">
        <w:t>a</w:t>
      </w:r>
      <w:r w:rsidR="005F1FE2" w:rsidRPr="0036001D">
        <w:t xml:space="preserve">cute intermittent porphyria (AIP) is the most common AHP subtype, representing 80% of all cases. AIP is caused by mutations in the hydroxymethylbilane synthase </w:t>
      </w:r>
      <w:r w:rsidR="00630660">
        <w:t xml:space="preserve">gene, </w:t>
      </w:r>
      <w:r w:rsidR="005F1FE2" w:rsidRPr="0036001D">
        <w:t>also known as porphobilinogen [PBG] deaminase gene</w:t>
      </w:r>
    </w:p>
    <w:p w14:paraId="313F424E" w14:textId="0298557F" w:rsidR="005F1FE2" w:rsidRPr="005F1FE2" w:rsidRDefault="005F1FE2" w:rsidP="005F1FE2">
      <w:pPr>
        <w:pStyle w:val="ListBullet"/>
      </w:pPr>
      <w:r w:rsidRPr="005F1FE2">
        <w:t>hereditary coproporphyria (HCP) is caused by mutations in the coproporphyrinogen oxidase gene</w:t>
      </w:r>
    </w:p>
    <w:p w14:paraId="62DF7EDA" w14:textId="17EB57A6" w:rsidR="005F1FE2" w:rsidRPr="005F1FE2" w:rsidRDefault="005F1FE2" w:rsidP="005F1FE2">
      <w:pPr>
        <w:pStyle w:val="ListBullet"/>
      </w:pPr>
      <w:r w:rsidRPr="005F1FE2">
        <w:t>variegate porphyria (VP) is caused by mutations in the protoporphyrinogen oxidase gene</w:t>
      </w:r>
    </w:p>
    <w:p w14:paraId="33126D34" w14:textId="79C92DA0" w:rsidR="005F1FE2" w:rsidRDefault="0023227C" w:rsidP="005F1FE2">
      <w:pPr>
        <w:pStyle w:val="ListBullet"/>
      </w:pPr>
      <w:proofErr w:type="spellStart"/>
      <w:r>
        <w:t>Aminolevulinic</w:t>
      </w:r>
      <w:proofErr w:type="spellEnd"/>
      <w:r>
        <w:t xml:space="preserve"> acid</w:t>
      </w:r>
      <w:r w:rsidRPr="005F1FE2">
        <w:t xml:space="preserve"> </w:t>
      </w:r>
      <w:r>
        <w:t>(</w:t>
      </w:r>
      <w:r w:rsidR="005F1FE2" w:rsidRPr="005F1FE2">
        <w:t>ALA</w:t>
      </w:r>
      <w:r>
        <w:t>)</w:t>
      </w:r>
      <w:r w:rsidR="005F1FE2" w:rsidRPr="005F1FE2">
        <w:t xml:space="preserve"> dehydratase-deficient porphyria (ADP) is caused by mutations in the ALA dehydratase gene</w:t>
      </w:r>
      <w:r w:rsidR="006049F9">
        <w:t>.</w:t>
      </w:r>
      <w:r w:rsidR="006049F9">
        <w:rPr>
          <w:rStyle w:val="FootnoteReference"/>
        </w:rPr>
        <w:footnoteReference w:id="2"/>
      </w:r>
    </w:p>
    <w:p w14:paraId="27E6233D" w14:textId="74DDC910" w:rsidR="00306EAE" w:rsidRPr="005F1FE2" w:rsidRDefault="00306EAE" w:rsidP="005C4E2E">
      <w:pPr>
        <w:pStyle w:val="FigureTitle"/>
        <w:keepNext/>
      </w:pPr>
      <w:bookmarkStart w:id="19" w:name="_Ref156910584"/>
      <w:r>
        <w:lastRenderedPageBreak/>
        <w:t xml:space="preserve">Figure </w:t>
      </w:r>
      <w:fldSimple w:instr=" SEQ Figure \* ARABIC ">
        <w:r w:rsidR="007C529A">
          <w:rPr>
            <w:noProof/>
          </w:rPr>
          <w:t>1</w:t>
        </w:r>
      </w:fldSimple>
      <w:bookmarkEnd w:id="19"/>
      <w:r>
        <w:t xml:space="preserve">: </w:t>
      </w:r>
      <w:r w:rsidR="00C72722">
        <w:t xml:space="preserve">Effect of </w:t>
      </w:r>
      <w:proofErr w:type="spellStart"/>
      <w:r w:rsidR="00C72722">
        <w:t>givosiran</w:t>
      </w:r>
      <w:proofErr w:type="spellEnd"/>
      <w:r w:rsidR="00C72722">
        <w:t xml:space="preserve"> on liver heme synthetic pathway in acute hepatic porphyria</w:t>
      </w:r>
    </w:p>
    <w:p w14:paraId="60613206" w14:textId="40A291C4" w:rsidR="005F1FE2" w:rsidRPr="005F1FE2" w:rsidRDefault="00306EAE" w:rsidP="005F1FE2">
      <w:r>
        <w:rPr>
          <w:noProof/>
        </w:rPr>
        <w:drawing>
          <wp:inline distT="0" distB="0" distL="0" distR="0" wp14:anchorId="37BED7E2" wp14:editId="64D33A87">
            <wp:extent cx="5759450" cy="3858895"/>
            <wp:effectExtent l="0" t="0" r="0" b="8255"/>
            <wp:docPr id="1" name="Picture 1" descr="Liver heme synthetic pathway highlighting enzymes, intermediates and AHP subtypes, and the point where givosiran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ver heme synthetic pathway highlighting enzymes, intermediates and AHP subtypes, and the point where givosiran acts."/>
                    <pic:cNvPicPr/>
                  </pic:nvPicPr>
                  <pic:blipFill>
                    <a:blip r:embed="rId20"/>
                    <a:stretch>
                      <a:fillRect/>
                    </a:stretch>
                  </pic:blipFill>
                  <pic:spPr>
                    <a:xfrm>
                      <a:off x="0" y="0"/>
                      <a:ext cx="5759450" cy="3858895"/>
                    </a:xfrm>
                    <a:prstGeom prst="rect">
                      <a:avLst/>
                    </a:prstGeom>
                  </pic:spPr>
                </pic:pic>
              </a:graphicData>
            </a:graphic>
          </wp:inline>
        </w:drawing>
      </w:r>
    </w:p>
    <w:p w14:paraId="60492A19" w14:textId="7B5662E1" w:rsidR="00C063DB" w:rsidRDefault="00C063DB" w:rsidP="00C063DB">
      <w:r>
        <w:t xml:space="preserve">These </w:t>
      </w:r>
      <w:proofErr w:type="spellStart"/>
      <w:r>
        <w:t>porphyrias</w:t>
      </w:r>
      <w:proofErr w:type="spellEnd"/>
      <w:r>
        <w:t xml:space="preserve"> cause acute and chronic symptoms due to effects on the nervous system. The most common presenting symptom is neuropathic abdominal pain. The motor, sensory, and autonomic nervous systems are often affected, resulting in autonomic changes (</w:t>
      </w:r>
      <w:r w:rsidR="002E0297">
        <w:t xml:space="preserve">for example, </w:t>
      </w:r>
      <w:r>
        <w:t>tachycardia, hypertension), muscle weakness, sensory loss, and pain in the back, chest, and extremities. Even severe symptoms may be discounted because they mimic other diseases, and physical findings are often minimal.</w:t>
      </w:r>
    </w:p>
    <w:p w14:paraId="5B12F7B5" w14:textId="06887B98" w:rsidR="00C063DB" w:rsidRDefault="00C063DB" w:rsidP="00C063DB">
      <w:r w:rsidRPr="00996FA9">
        <w:t xml:space="preserve">The prototype and most common of these </w:t>
      </w:r>
      <w:proofErr w:type="spellStart"/>
      <w:r w:rsidR="00630660">
        <w:t>porphyrias</w:t>
      </w:r>
      <w:proofErr w:type="spellEnd"/>
      <w:r w:rsidR="00630660">
        <w:t xml:space="preserve"> </w:t>
      </w:r>
      <w:r w:rsidRPr="00996FA9">
        <w:t>is AIP. Identical symptoms occur in the other AHPs (ADP, HCP, and VP). HCP and VP may also present with blistering skin lesions.</w:t>
      </w:r>
    </w:p>
    <w:p w14:paraId="327C414A" w14:textId="57DC442F" w:rsidR="00C063DB" w:rsidRDefault="00C40256" w:rsidP="00C063DB">
      <w:r>
        <w:t xml:space="preserve">The conditions </w:t>
      </w:r>
      <w:r w:rsidR="00C063DB">
        <w:t>AIP, HCP, and VP are autosomal dominant inherited disorders with low penetrance and female predominance. Erythrocyte porphyrins are normal or only slightly elevated in these AHPs.</w:t>
      </w:r>
    </w:p>
    <w:p w14:paraId="5CF5F2AD" w14:textId="331D3101" w:rsidR="00C063DB" w:rsidRPr="00B45FC0" w:rsidRDefault="00C063DB" w:rsidP="00C063DB">
      <w:r>
        <w:t>ADP is autosomal recessive and extremely rare, with only</w:t>
      </w:r>
      <w:r w:rsidR="003A4C64">
        <w:t xml:space="preserve"> 8</w:t>
      </w:r>
      <w:r>
        <w:t xml:space="preserve"> documented cases worldwide, all of whom have been males (which is unexplained), usually with onset of attacks in their early teens. All cases of ADP have elevated erythrocyte zinc protoporphyrin, suggesting an erythropoietic component.</w:t>
      </w:r>
    </w:p>
    <w:p w14:paraId="255E083A" w14:textId="2249F42C" w:rsidR="00CB6813" w:rsidRDefault="00CB6813" w:rsidP="00CB6813">
      <w:pPr>
        <w:pStyle w:val="Heading4"/>
      </w:pPr>
      <w:bookmarkStart w:id="20" w:name="_Toc170980394"/>
      <w:r>
        <w:t>Current treatment options</w:t>
      </w:r>
      <w:bookmarkEnd w:id="20"/>
    </w:p>
    <w:p w14:paraId="414F9C28" w14:textId="6BAE0C15" w:rsidR="004B6DC9" w:rsidRPr="004B6DC9" w:rsidRDefault="004B6DC9" w:rsidP="004B6DC9">
      <w:r w:rsidRPr="004B6DC9">
        <w:t xml:space="preserve">Currently there </w:t>
      </w:r>
      <w:r>
        <w:t>is</w:t>
      </w:r>
      <w:r w:rsidRPr="004B6DC9">
        <w:t xml:space="preserve"> no Australian approved treatments for acute hepatic porphyria.</w:t>
      </w:r>
    </w:p>
    <w:p w14:paraId="26267F5A" w14:textId="21F28F5F" w:rsidR="004B6DC9" w:rsidRPr="004B6DC9" w:rsidRDefault="004B6DC9" w:rsidP="004B6DC9">
      <w:r w:rsidRPr="004B6DC9">
        <w:t>Intravenous hemin is recommended in clinical guidelines in countries and jurisdictions where it is approved (</w:t>
      </w:r>
      <w:r w:rsidR="005875CA">
        <w:t>for example, the</w:t>
      </w:r>
      <w:r w:rsidRPr="004B6DC9">
        <w:t xml:space="preserve"> </w:t>
      </w:r>
      <w:r w:rsidR="0023227C">
        <w:t>European Union (</w:t>
      </w:r>
      <w:r w:rsidRPr="004B6DC9">
        <w:t>EU</w:t>
      </w:r>
      <w:r w:rsidR="0023227C">
        <w:t>)</w:t>
      </w:r>
      <w:r w:rsidR="005875CA">
        <w:t xml:space="preserve"> and the USA</w:t>
      </w:r>
      <w:r w:rsidRPr="004B6DC9">
        <w:t>) to treat acute attacks</w:t>
      </w:r>
      <w:r w:rsidR="005875CA">
        <w:t>.</w:t>
      </w:r>
      <w:r w:rsidR="005875CA">
        <w:rPr>
          <w:rStyle w:val="FootnoteReference"/>
        </w:rPr>
        <w:footnoteReference w:id="3"/>
      </w:r>
      <w:r w:rsidRPr="004B6DC9">
        <w:t xml:space="preserve"> Hemin is not currently approved in Australia.</w:t>
      </w:r>
    </w:p>
    <w:p w14:paraId="37C47E09" w14:textId="14D3762D" w:rsidR="00CB6813" w:rsidRDefault="00CB6813" w:rsidP="00CB6813">
      <w:pPr>
        <w:pStyle w:val="Heading4"/>
      </w:pPr>
      <w:bookmarkStart w:id="21" w:name="_Toc170980395"/>
      <w:r>
        <w:lastRenderedPageBreak/>
        <w:t>C</w:t>
      </w:r>
      <w:r w:rsidRPr="00DE1344">
        <w:t>linical rational</w:t>
      </w:r>
      <w:r w:rsidR="0025785B">
        <w:t>e</w:t>
      </w:r>
      <w:bookmarkEnd w:id="21"/>
    </w:p>
    <w:p w14:paraId="651D07C0" w14:textId="708441FC" w:rsidR="00121C9B" w:rsidRPr="00121C9B" w:rsidRDefault="00121C9B" w:rsidP="00121C9B">
      <w:r w:rsidRPr="00EA464D">
        <w:t>Givosiran is a double-stranded small interfering RNA (siRNA) directed against</w:t>
      </w:r>
      <w:r w:rsidRPr="00121C9B">
        <w:t xml:space="preserve"> ALAS1 messenger RNA (mRNA). The molecule contains a </w:t>
      </w:r>
      <w:proofErr w:type="spellStart"/>
      <w:r w:rsidRPr="009D7679">
        <w:t>triantennary</w:t>
      </w:r>
      <w:proofErr w:type="spellEnd"/>
      <w:r w:rsidRPr="009D7679">
        <w:t xml:space="preserve"> </w:t>
      </w:r>
      <w:r w:rsidRPr="009D7679">
        <w:rPr>
          <w:i/>
          <w:iCs/>
        </w:rPr>
        <w:t>N</w:t>
      </w:r>
      <w:r w:rsidR="009D7679" w:rsidRPr="009D7679">
        <w:noBreakHyphen/>
      </w:r>
      <w:proofErr w:type="spellStart"/>
      <w:r w:rsidRPr="009D7679">
        <w:t>acetylgalactosamine</w:t>
      </w:r>
      <w:proofErr w:type="spellEnd"/>
      <w:r w:rsidRPr="009D7679">
        <w:t xml:space="preserve"> (</w:t>
      </w:r>
      <w:proofErr w:type="spellStart"/>
      <w:r w:rsidRPr="009D7679">
        <w:t>GalNAc</w:t>
      </w:r>
      <w:proofErr w:type="spellEnd"/>
      <w:r w:rsidRPr="009D7679">
        <w:t>) moiety to facilitate targeted delivery to the liver.</w:t>
      </w:r>
    </w:p>
    <w:p w14:paraId="25BF3395" w14:textId="70FEBC82" w:rsidR="00121C9B" w:rsidRPr="00121C9B" w:rsidRDefault="00121C9B" w:rsidP="00121C9B">
      <w:r w:rsidRPr="00121C9B">
        <w:t>ALAS1 is the first and rate</w:t>
      </w:r>
      <w:r w:rsidR="00881E98">
        <w:noBreakHyphen/>
      </w:r>
      <w:r w:rsidRPr="00121C9B">
        <w:t>limiting enzyme of heme synthesis in the liver. In acute hepatic porphyria, loss</w:t>
      </w:r>
      <w:r w:rsidR="00881E98">
        <w:noBreakHyphen/>
      </w:r>
      <w:r w:rsidRPr="00121C9B">
        <w:t>of</w:t>
      </w:r>
      <w:r w:rsidR="00881E98">
        <w:noBreakHyphen/>
      </w:r>
      <w:r w:rsidRPr="00121C9B">
        <w:t xml:space="preserve">function gene mutation in a downstream heme synthesis enzyme induces expression of ALAS1, which leads to accumulation of the toxic heme intermediates, </w:t>
      </w:r>
      <w:r w:rsidRPr="00195135">
        <w:t>ALA and PBG.</w:t>
      </w:r>
    </w:p>
    <w:p w14:paraId="0D615854" w14:textId="77777777" w:rsidR="00324B33" w:rsidRPr="003F31A2" w:rsidRDefault="00324B33" w:rsidP="00324B33">
      <w:pPr>
        <w:pStyle w:val="Heading3"/>
      </w:pPr>
      <w:bookmarkStart w:id="22" w:name="_Toc103679291"/>
      <w:bookmarkStart w:id="23" w:name="_Toc170980396"/>
      <w:r>
        <w:t>Regulatory status</w:t>
      </w:r>
      <w:bookmarkEnd w:id="16"/>
      <w:bookmarkEnd w:id="17"/>
      <w:bookmarkEnd w:id="22"/>
      <w:bookmarkEnd w:id="23"/>
    </w:p>
    <w:p w14:paraId="72C889D6" w14:textId="7E200950" w:rsidR="0017005C" w:rsidRPr="00BD5DBD" w:rsidRDefault="0017005C" w:rsidP="00741AB9">
      <w:pPr>
        <w:pStyle w:val="Heading4"/>
      </w:pPr>
      <w:bookmarkStart w:id="24" w:name="_Toc170980397"/>
      <w:r w:rsidRPr="00BD5DBD">
        <w:t>Australian regulatory</w:t>
      </w:r>
      <w:r>
        <w:t xml:space="preserve"> sta</w:t>
      </w:r>
      <w:r w:rsidR="0025785B">
        <w:t>t</w:t>
      </w:r>
      <w:r>
        <w:t>us</w:t>
      </w:r>
      <w:bookmarkEnd w:id="24"/>
    </w:p>
    <w:p w14:paraId="6A8633FA" w14:textId="63BC3C4E" w:rsidR="00324B33" w:rsidRDefault="00324B33" w:rsidP="00324B33">
      <w:pPr>
        <w:rPr>
          <w:szCs w:val="22"/>
        </w:rPr>
      </w:pPr>
      <w:r w:rsidRPr="00516064">
        <w:rPr>
          <w:szCs w:val="22"/>
        </w:rPr>
        <w:t>This product is considered a new chemical</w:t>
      </w:r>
      <w:r w:rsidR="008C754C" w:rsidRPr="00516064">
        <w:rPr>
          <w:szCs w:val="22"/>
        </w:rPr>
        <w:t xml:space="preserve"> entity</w:t>
      </w:r>
      <w:r w:rsidRPr="00516064">
        <w:rPr>
          <w:szCs w:val="22"/>
        </w:rPr>
        <w:t xml:space="preserve"> for Australian regulatory purposes.</w:t>
      </w:r>
    </w:p>
    <w:p w14:paraId="546C1031" w14:textId="5BAB9E2C" w:rsidR="0017005C" w:rsidRDefault="0017005C" w:rsidP="0017005C">
      <w:pPr>
        <w:pStyle w:val="Heading4"/>
      </w:pPr>
      <w:bookmarkStart w:id="25" w:name="_Toc170980398"/>
      <w:r>
        <w:t>Foreign</w:t>
      </w:r>
      <w:r w:rsidRPr="00BD5DBD">
        <w:t xml:space="preserve"> regulatory</w:t>
      </w:r>
      <w:r>
        <w:t xml:space="preserve"> status</w:t>
      </w:r>
      <w:bookmarkEnd w:id="25"/>
    </w:p>
    <w:p w14:paraId="79EC0762" w14:textId="7CAA2E80" w:rsidR="00C133AB" w:rsidRPr="00C133AB" w:rsidRDefault="00C133AB" w:rsidP="00C52B7B">
      <w:r w:rsidRPr="00EA464D">
        <w:rPr>
          <w:szCs w:val="22"/>
        </w:rPr>
        <w:t xml:space="preserve">This submission was submitted through the TGA’s </w:t>
      </w:r>
      <w:hyperlink r:id="rId21" w:history="1">
        <w:r w:rsidRPr="00EA464D">
          <w:rPr>
            <w:rStyle w:val="Hyperlink"/>
            <w:szCs w:val="22"/>
          </w:rPr>
          <w:t>Comparable Overseas Regulator</w:t>
        </w:r>
      </w:hyperlink>
      <w:r w:rsidRPr="00EA464D">
        <w:rPr>
          <w:szCs w:val="22"/>
        </w:rPr>
        <w:t xml:space="preserve"> B (COR-B) process, using evaluation reports from </w:t>
      </w:r>
      <w:r w:rsidR="008355C8" w:rsidRPr="00EA464D">
        <w:rPr>
          <w:szCs w:val="22"/>
        </w:rPr>
        <w:t>the European Medicines Agency (EMA)</w:t>
      </w:r>
      <w:r w:rsidRPr="00EA464D">
        <w:t>.</w:t>
      </w:r>
      <w:r w:rsidRPr="00EA464D">
        <w:rPr>
          <w:iCs/>
          <w:szCs w:val="22"/>
        </w:rPr>
        <w:t xml:space="preserve"> </w:t>
      </w:r>
      <w:r w:rsidRPr="00EA464D">
        <w:rPr>
          <w:szCs w:val="22"/>
        </w:rPr>
        <w:t>The full dossier was submitted to the TGA.</w:t>
      </w:r>
    </w:p>
    <w:p w14:paraId="7FDF4A0B" w14:textId="4AE41B5A"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p>
    <w:p w14:paraId="19B9E0AC" w14:textId="4FC1D3B7" w:rsidR="00324B33" w:rsidRDefault="00324B33" w:rsidP="00324B33">
      <w:pPr>
        <w:pStyle w:val="TableTitle"/>
      </w:pPr>
      <w:bookmarkStart w:id="26" w:name="_Ref99705479"/>
      <w:r>
        <w:t xml:space="preserve">Table </w:t>
      </w:r>
      <w:fldSimple w:instr=" SEQ Table \* ARABIC ">
        <w:r w:rsidR="007C529A">
          <w:rPr>
            <w:noProof/>
          </w:rPr>
          <w:t>1</w:t>
        </w:r>
      </w:fldSimple>
      <w:bookmarkEnd w:id="26"/>
      <w:r>
        <w:t>: International regulatory status</w:t>
      </w:r>
      <w:r w:rsidR="0023227C">
        <w:t xml:space="preserve"> at the time of registration</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596E7152" w:rsidR="00324B33" w:rsidRPr="00D01DDB" w:rsidRDefault="00946EC2" w:rsidP="00A77882">
            <w:r w:rsidRPr="00946EC2">
              <w:t>United States</w:t>
            </w:r>
            <w:r w:rsidR="0023227C">
              <w:t xml:space="preserve"> of America</w:t>
            </w:r>
          </w:p>
        </w:tc>
        <w:tc>
          <w:tcPr>
            <w:tcW w:w="1018" w:type="pct"/>
          </w:tcPr>
          <w:p w14:paraId="4FA5DDA9" w14:textId="6C04F8FC" w:rsidR="00324B33" w:rsidRPr="00D01DDB" w:rsidRDefault="00B30F8A" w:rsidP="00A77882">
            <w:pPr>
              <w:cnfStyle w:val="000000000000" w:firstRow="0" w:lastRow="0" w:firstColumn="0" w:lastColumn="0" w:oddVBand="0" w:evenVBand="0" w:oddHBand="0" w:evenHBand="0" w:firstRowFirstColumn="0" w:firstRowLastColumn="0" w:lastRowFirstColumn="0" w:lastRowLastColumn="0"/>
            </w:pPr>
            <w:r>
              <w:t>4 June 2019</w:t>
            </w:r>
          </w:p>
        </w:tc>
        <w:tc>
          <w:tcPr>
            <w:tcW w:w="1173" w:type="pct"/>
          </w:tcPr>
          <w:p w14:paraId="29358393" w14:textId="63739B55" w:rsidR="00324B33" w:rsidRPr="00D01DDB" w:rsidRDefault="00324B33" w:rsidP="00A77882">
            <w:pPr>
              <w:cnfStyle w:val="000000000000" w:firstRow="0" w:lastRow="0" w:firstColumn="0" w:lastColumn="0" w:oddVBand="0" w:evenVBand="0" w:oddHBand="0" w:evenHBand="0" w:firstRowFirstColumn="0" w:firstRowLastColumn="0" w:lastRowFirstColumn="0" w:lastRowLastColumn="0"/>
            </w:pPr>
            <w:r w:rsidRPr="00D01DDB">
              <w:t xml:space="preserve">Approved on </w:t>
            </w:r>
            <w:r w:rsidR="00B30F8A">
              <w:t>20 November 2019</w:t>
            </w:r>
          </w:p>
        </w:tc>
        <w:tc>
          <w:tcPr>
            <w:tcW w:w="1795" w:type="pct"/>
          </w:tcPr>
          <w:p w14:paraId="05055674" w14:textId="58866366" w:rsidR="00324B33" w:rsidRPr="00D01DDB" w:rsidRDefault="00F80E00" w:rsidP="00A77882">
            <w:pPr>
              <w:cnfStyle w:val="000000000000" w:firstRow="0" w:lastRow="0" w:firstColumn="0" w:lastColumn="0" w:oddVBand="0" w:evenVBand="0" w:oddHBand="0" w:evenHBand="0" w:firstRowFirstColumn="0" w:firstRowLastColumn="0" w:lastRowFirstColumn="0" w:lastRowLastColumn="0"/>
            </w:pPr>
            <w:r w:rsidRPr="001A666D">
              <w:rPr>
                <w:rFonts w:cstheme="minorHAnsi"/>
              </w:rPr>
              <w:t>Givlaari is indicated for the treatment</w:t>
            </w:r>
            <w:r w:rsidRPr="001A666D">
              <w:rPr>
                <w:rFonts w:cstheme="minorHAnsi"/>
                <w:spacing w:val="-8"/>
              </w:rPr>
              <w:t xml:space="preserve"> </w:t>
            </w:r>
            <w:r w:rsidRPr="001A666D">
              <w:rPr>
                <w:rFonts w:cstheme="minorHAnsi"/>
              </w:rPr>
              <w:t>of</w:t>
            </w:r>
            <w:r w:rsidRPr="001A666D">
              <w:rPr>
                <w:rFonts w:cstheme="minorHAnsi"/>
                <w:spacing w:val="-8"/>
              </w:rPr>
              <w:t xml:space="preserve"> </w:t>
            </w:r>
            <w:r w:rsidRPr="001A666D">
              <w:rPr>
                <w:rFonts w:cstheme="minorHAnsi"/>
              </w:rPr>
              <w:t>acute</w:t>
            </w:r>
            <w:r w:rsidRPr="001A666D">
              <w:rPr>
                <w:rFonts w:cstheme="minorHAnsi"/>
                <w:spacing w:val="-11"/>
              </w:rPr>
              <w:t xml:space="preserve"> </w:t>
            </w:r>
            <w:r w:rsidRPr="001A666D">
              <w:rPr>
                <w:rFonts w:cstheme="minorHAnsi"/>
              </w:rPr>
              <w:t>hepatic</w:t>
            </w:r>
            <w:r w:rsidRPr="001A666D">
              <w:rPr>
                <w:rFonts w:cstheme="minorHAnsi"/>
                <w:spacing w:val="-9"/>
              </w:rPr>
              <w:t xml:space="preserve"> </w:t>
            </w:r>
            <w:r w:rsidRPr="001A666D">
              <w:rPr>
                <w:rFonts w:cstheme="minorHAnsi"/>
              </w:rPr>
              <w:t xml:space="preserve">porphyria </w:t>
            </w:r>
            <w:r w:rsidRPr="001A666D">
              <w:rPr>
                <w:rFonts w:cstheme="minorHAnsi"/>
                <w:spacing w:val="-2"/>
              </w:rPr>
              <w:t>(AHP)</w:t>
            </w:r>
          </w:p>
        </w:tc>
      </w:tr>
      <w:tr w:rsidR="002136A2" w:rsidRPr="00D01DDB" w14:paraId="3BEAE20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B9D9DF6" w14:textId="119A3D9E" w:rsidR="002136A2" w:rsidRPr="00D01DDB" w:rsidRDefault="00946EC2" w:rsidP="00A77882">
            <w:r w:rsidRPr="00946EC2">
              <w:t>European</w:t>
            </w:r>
            <w:r w:rsidR="0023227C">
              <w:t xml:space="preserve"> Union</w:t>
            </w:r>
          </w:p>
        </w:tc>
        <w:tc>
          <w:tcPr>
            <w:tcW w:w="1018" w:type="pct"/>
          </w:tcPr>
          <w:p w14:paraId="68C1ED16" w14:textId="61603C4F" w:rsidR="002136A2" w:rsidRPr="00D01DDB" w:rsidRDefault="004A3889" w:rsidP="00A77882">
            <w:pPr>
              <w:cnfStyle w:val="000000000000" w:firstRow="0" w:lastRow="0" w:firstColumn="0" w:lastColumn="0" w:oddVBand="0" w:evenVBand="0" w:oddHBand="0" w:evenHBand="0" w:firstRowFirstColumn="0" w:firstRowLastColumn="0" w:lastRowFirstColumn="0" w:lastRowLastColumn="0"/>
            </w:pPr>
            <w:r>
              <w:t>28 June 2019</w:t>
            </w:r>
          </w:p>
        </w:tc>
        <w:tc>
          <w:tcPr>
            <w:tcW w:w="1173" w:type="pct"/>
          </w:tcPr>
          <w:p w14:paraId="72B1559B" w14:textId="35EAC625" w:rsidR="002136A2" w:rsidRPr="00D01DDB" w:rsidRDefault="004A3889" w:rsidP="00A77882">
            <w:pPr>
              <w:cnfStyle w:val="000000000000" w:firstRow="0" w:lastRow="0" w:firstColumn="0" w:lastColumn="0" w:oddVBand="0" w:evenVBand="0" w:oddHBand="0" w:evenHBand="0" w:firstRowFirstColumn="0" w:firstRowLastColumn="0" w:lastRowFirstColumn="0" w:lastRowLastColumn="0"/>
            </w:pPr>
            <w:r>
              <w:t>Approved on 2 March 2020</w:t>
            </w:r>
          </w:p>
        </w:tc>
        <w:tc>
          <w:tcPr>
            <w:tcW w:w="1795" w:type="pct"/>
          </w:tcPr>
          <w:p w14:paraId="182E1BBD" w14:textId="3FD6E6C9" w:rsidR="002136A2" w:rsidRPr="00D01DDB" w:rsidRDefault="006E6FBF" w:rsidP="00A77882">
            <w:pPr>
              <w:cnfStyle w:val="000000000000" w:firstRow="0" w:lastRow="0" w:firstColumn="0" w:lastColumn="0" w:oddVBand="0" w:evenVBand="0" w:oddHBand="0" w:evenHBand="0" w:firstRowFirstColumn="0" w:firstRowLastColumn="0" w:lastRowFirstColumn="0" w:lastRowLastColumn="0"/>
            </w:pPr>
            <w:r w:rsidRPr="001A666D">
              <w:rPr>
                <w:rFonts w:cstheme="minorHAnsi"/>
              </w:rPr>
              <w:t>Givlaari is indicated for the treatment of acute hepatic porphyria (AHP) in adults and adolescents aged 12 years and older</w:t>
            </w:r>
          </w:p>
        </w:tc>
      </w:tr>
      <w:tr w:rsidR="002136A2" w:rsidRPr="00D01DDB" w14:paraId="4DB0B81C"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FC7EE64" w14:textId="2B60A88A" w:rsidR="002136A2" w:rsidRPr="00D01DDB" w:rsidRDefault="00946EC2" w:rsidP="00A77882">
            <w:r w:rsidRPr="00946EC2">
              <w:t>Brazil</w:t>
            </w:r>
          </w:p>
        </w:tc>
        <w:tc>
          <w:tcPr>
            <w:tcW w:w="1018" w:type="pct"/>
          </w:tcPr>
          <w:p w14:paraId="2411432E" w14:textId="591AD943" w:rsidR="002136A2" w:rsidRPr="00D01DDB" w:rsidRDefault="004A3889" w:rsidP="00A77882">
            <w:pPr>
              <w:cnfStyle w:val="000000000000" w:firstRow="0" w:lastRow="0" w:firstColumn="0" w:lastColumn="0" w:oddVBand="0" w:evenVBand="0" w:oddHBand="0" w:evenHBand="0" w:firstRowFirstColumn="0" w:firstRowLastColumn="0" w:lastRowFirstColumn="0" w:lastRowLastColumn="0"/>
            </w:pPr>
            <w:r>
              <w:t>14 November 2019</w:t>
            </w:r>
          </w:p>
        </w:tc>
        <w:tc>
          <w:tcPr>
            <w:tcW w:w="1173" w:type="pct"/>
          </w:tcPr>
          <w:p w14:paraId="454AEED0" w14:textId="6F0C4922" w:rsidR="002136A2" w:rsidRPr="00D01DDB" w:rsidRDefault="004A3889" w:rsidP="00A77882">
            <w:pPr>
              <w:cnfStyle w:val="000000000000" w:firstRow="0" w:lastRow="0" w:firstColumn="0" w:lastColumn="0" w:oddVBand="0" w:evenVBand="0" w:oddHBand="0" w:evenHBand="0" w:firstRowFirstColumn="0" w:firstRowLastColumn="0" w:lastRowFirstColumn="0" w:lastRowLastColumn="0"/>
            </w:pPr>
            <w:r>
              <w:t>Approved on 20 July 2020</w:t>
            </w:r>
          </w:p>
        </w:tc>
        <w:tc>
          <w:tcPr>
            <w:tcW w:w="1795" w:type="pct"/>
          </w:tcPr>
          <w:p w14:paraId="66B876C1" w14:textId="1EE9A680" w:rsidR="002136A2" w:rsidRPr="00D01DDB" w:rsidRDefault="004A3889" w:rsidP="00A77882">
            <w:pPr>
              <w:cnfStyle w:val="000000000000" w:firstRow="0" w:lastRow="0" w:firstColumn="0" w:lastColumn="0" w:oddVBand="0" w:evenVBand="0" w:oddHBand="0" w:evenHBand="0" w:firstRowFirstColumn="0" w:firstRowLastColumn="0" w:lastRowFirstColumn="0" w:lastRowLastColumn="0"/>
            </w:pPr>
            <w:r w:rsidRPr="001A666D">
              <w:rPr>
                <w:rFonts w:cstheme="minorHAnsi"/>
              </w:rPr>
              <w:t>Treatment</w:t>
            </w:r>
            <w:r w:rsidRPr="001A666D">
              <w:rPr>
                <w:rFonts w:cstheme="minorHAnsi"/>
                <w:spacing w:val="-13"/>
              </w:rPr>
              <w:t xml:space="preserve"> </w:t>
            </w:r>
            <w:r w:rsidRPr="001A666D">
              <w:rPr>
                <w:rFonts w:cstheme="minorHAnsi"/>
              </w:rPr>
              <w:t>of</w:t>
            </w:r>
            <w:r w:rsidRPr="001A666D">
              <w:rPr>
                <w:rFonts w:cstheme="minorHAnsi"/>
                <w:spacing w:val="-11"/>
              </w:rPr>
              <w:t xml:space="preserve"> </w:t>
            </w:r>
            <w:r w:rsidRPr="001A666D">
              <w:rPr>
                <w:rFonts w:cstheme="minorHAnsi"/>
              </w:rPr>
              <w:t>acute</w:t>
            </w:r>
            <w:r w:rsidRPr="001A666D">
              <w:rPr>
                <w:rFonts w:cstheme="minorHAnsi"/>
                <w:spacing w:val="-12"/>
              </w:rPr>
              <w:t xml:space="preserve"> </w:t>
            </w:r>
            <w:r w:rsidRPr="001A666D">
              <w:rPr>
                <w:rFonts w:cstheme="minorHAnsi"/>
              </w:rPr>
              <w:t>hepatic porphyria</w:t>
            </w:r>
            <w:r w:rsidRPr="001A666D">
              <w:rPr>
                <w:rFonts w:cstheme="minorHAnsi"/>
                <w:spacing w:val="-4"/>
              </w:rPr>
              <w:t xml:space="preserve"> </w:t>
            </w:r>
            <w:r w:rsidRPr="001A666D">
              <w:rPr>
                <w:rFonts w:cstheme="minorHAnsi"/>
              </w:rPr>
              <w:t>(AHP)</w:t>
            </w:r>
            <w:r w:rsidRPr="001A666D">
              <w:rPr>
                <w:rFonts w:cstheme="minorHAnsi"/>
                <w:spacing w:val="-6"/>
              </w:rPr>
              <w:t xml:space="preserve"> </w:t>
            </w:r>
            <w:r w:rsidRPr="001A666D">
              <w:rPr>
                <w:rFonts w:cstheme="minorHAnsi"/>
              </w:rPr>
              <w:t>in</w:t>
            </w:r>
            <w:r w:rsidRPr="001A666D">
              <w:rPr>
                <w:rFonts w:cstheme="minorHAnsi"/>
                <w:spacing w:val="-4"/>
              </w:rPr>
              <w:t xml:space="preserve"> </w:t>
            </w:r>
            <w:r w:rsidRPr="001A666D">
              <w:rPr>
                <w:rFonts w:cstheme="minorHAnsi"/>
              </w:rPr>
              <w:t>adults</w:t>
            </w:r>
          </w:p>
        </w:tc>
      </w:tr>
      <w:tr w:rsidR="002136A2" w:rsidRPr="00D01DDB" w14:paraId="74BBD8C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9973BBA" w14:textId="77E1F8CF" w:rsidR="002136A2" w:rsidRPr="00D01DDB" w:rsidRDefault="00946EC2" w:rsidP="00A77882">
            <w:r>
              <w:t>Canada</w:t>
            </w:r>
          </w:p>
        </w:tc>
        <w:tc>
          <w:tcPr>
            <w:tcW w:w="1018" w:type="pct"/>
          </w:tcPr>
          <w:p w14:paraId="39DB34B3" w14:textId="2C9DEC66" w:rsidR="002136A2" w:rsidRPr="00D01DDB" w:rsidRDefault="004A3889" w:rsidP="00A77882">
            <w:pPr>
              <w:cnfStyle w:val="000000000000" w:firstRow="0" w:lastRow="0" w:firstColumn="0" w:lastColumn="0" w:oddVBand="0" w:evenVBand="0" w:oddHBand="0" w:evenHBand="0" w:firstRowFirstColumn="0" w:firstRowLastColumn="0" w:lastRowFirstColumn="0" w:lastRowLastColumn="0"/>
            </w:pPr>
            <w:r>
              <w:t>16 March 2020</w:t>
            </w:r>
          </w:p>
        </w:tc>
        <w:tc>
          <w:tcPr>
            <w:tcW w:w="1173" w:type="pct"/>
          </w:tcPr>
          <w:p w14:paraId="298180AF" w14:textId="16877AA7" w:rsidR="002136A2" w:rsidRPr="00D01DDB" w:rsidRDefault="004A3889" w:rsidP="00A77882">
            <w:pPr>
              <w:cnfStyle w:val="000000000000" w:firstRow="0" w:lastRow="0" w:firstColumn="0" w:lastColumn="0" w:oddVBand="0" w:evenVBand="0" w:oddHBand="0" w:evenHBand="0" w:firstRowFirstColumn="0" w:firstRowLastColumn="0" w:lastRowFirstColumn="0" w:lastRowLastColumn="0"/>
            </w:pPr>
            <w:r>
              <w:t>Approved on 9 October 2020</w:t>
            </w:r>
          </w:p>
        </w:tc>
        <w:tc>
          <w:tcPr>
            <w:tcW w:w="1795" w:type="pct"/>
          </w:tcPr>
          <w:p w14:paraId="68328241" w14:textId="23E906C3" w:rsidR="002136A2" w:rsidRPr="00D01DDB" w:rsidRDefault="004A3889" w:rsidP="00A77882">
            <w:pPr>
              <w:cnfStyle w:val="000000000000" w:firstRow="0" w:lastRow="0" w:firstColumn="0" w:lastColumn="0" w:oddVBand="0" w:evenVBand="0" w:oddHBand="0" w:evenHBand="0" w:firstRowFirstColumn="0" w:firstRowLastColumn="0" w:lastRowFirstColumn="0" w:lastRowLastColumn="0"/>
            </w:pPr>
            <w:r w:rsidRPr="001A666D">
              <w:rPr>
                <w:rFonts w:cstheme="minorHAnsi"/>
              </w:rPr>
              <w:t>Treatment</w:t>
            </w:r>
            <w:r w:rsidRPr="001A666D">
              <w:rPr>
                <w:rFonts w:cstheme="minorHAnsi"/>
                <w:spacing w:val="-13"/>
              </w:rPr>
              <w:t xml:space="preserve"> </w:t>
            </w:r>
            <w:r w:rsidRPr="001A666D">
              <w:rPr>
                <w:rFonts w:cstheme="minorHAnsi"/>
              </w:rPr>
              <w:t>of</w:t>
            </w:r>
            <w:r w:rsidRPr="001A666D">
              <w:rPr>
                <w:rFonts w:cstheme="minorHAnsi"/>
                <w:spacing w:val="-11"/>
              </w:rPr>
              <w:t xml:space="preserve"> </w:t>
            </w:r>
            <w:r w:rsidRPr="001A666D">
              <w:rPr>
                <w:rFonts w:cstheme="minorHAnsi"/>
              </w:rPr>
              <w:t>acute</w:t>
            </w:r>
            <w:r w:rsidRPr="001A666D">
              <w:rPr>
                <w:rFonts w:cstheme="minorHAnsi"/>
                <w:spacing w:val="-12"/>
              </w:rPr>
              <w:t xml:space="preserve"> </w:t>
            </w:r>
            <w:r w:rsidRPr="001A666D">
              <w:rPr>
                <w:rFonts w:cstheme="minorHAnsi"/>
              </w:rPr>
              <w:t>hepatic porphyria</w:t>
            </w:r>
            <w:r w:rsidRPr="001A666D">
              <w:rPr>
                <w:rFonts w:cstheme="minorHAnsi"/>
                <w:spacing w:val="-4"/>
              </w:rPr>
              <w:t xml:space="preserve"> </w:t>
            </w:r>
            <w:r w:rsidRPr="001A666D">
              <w:rPr>
                <w:rFonts w:cstheme="minorHAnsi"/>
              </w:rPr>
              <w:t>(AHP)</w:t>
            </w:r>
            <w:r w:rsidRPr="001A666D">
              <w:rPr>
                <w:rFonts w:cstheme="minorHAnsi"/>
                <w:spacing w:val="-6"/>
              </w:rPr>
              <w:t xml:space="preserve"> </w:t>
            </w:r>
            <w:r w:rsidRPr="001A666D">
              <w:rPr>
                <w:rFonts w:cstheme="minorHAnsi"/>
              </w:rPr>
              <w:t>in</w:t>
            </w:r>
            <w:r w:rsidRPr="001A666D">
              <w:rPr>
                <w:rFonts w:cstheme="minorHAnsi"/>
                <w:spacing w:val="-4"/>
              </w:rPr>
              <w:t xml:space="preserve"> </w:t>
            </w:r>
            <w:r w:rsidRPr="001A666D">
              <w:rPr>
                <w:rFonts w:cstheme="minorHAnsi"/>
              </w:rPr>
              <w:t>adults</w:t>
            </w:r>
          </w:p>
        </w:tc>
      </w:tr>
      <w:tr w:rsidR="002136A2" w:rsidRPr="00D01DDB" w14:paraId="5750C0F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50BAA39" w14:textId="74EA38C5" w:rsidR="002136A2" w:rsidRPr="00D01DDB" w:rsidRDefault="00946EC2" w:rsidP="00A77882">
            <w:r>
              <w:t>Switzerland</w:t>
            </w:r>
          </w:p>
        </w:tc>
        <w:tc>
          <w:tcPr>
            <w:tcW w:w="1018" w:type="pct"/>
          </w:tcPr>
          <w:p w14:paraId="0B8E4BB7" w14:textId="2F47972E" w:rsidR="002136A2" w:rsidRPr="00D01DDB" w:rsidRDefault="004A3889" w:rsidP="00A77882">
            <w:pPr>
              <w:cnfStyle w:val="000000000000" w:firstRow="0" w:lastRow="0" w:firstColumn="0" w:lastColumn="0" w:oddVBand="0" w:evenVBand="0" w:oddHBand="0" w:evenHBand="0" w:firstRowFirstColumn="0" w:firstRowLastColumn="0" w:lastRowFirstColumn="0" w:lastRowLastColumn="0"/>
            </w:pPr>
            <w:r>
              <w:t>30 May 2020</w:t>
            </w:r>
          </w:p>
        </w:tc>
        <w:tc>
          <w:tcPr>
            <w:tcW w:w="1173" w:type="pct"/>
          </w:tcPr>
          <w:p w14:paraId="6CFB5A62" w14:textId="00863022" w:rsidR="002136A2" w:rsidRPr="00D01DDB" w:rsidRDefault="004A3889" w:rsidP="00A77882">
            <w:pPr>
              <w:cnfStyle w:val="000000000000" w:firstRow="0" w:lastRow="0" w:firstColumn="0" w:lastColumn="0" w:oddVBand="0" w:evenVBand="0" w:oddHBand="0" w:evenHBand="0" w:firstRowFirstColumn="0" w:firstRowLastColumn="0" w:lastRowFirstColumn="0" w:lastRowLastColumn="0"/>
            </w:pPr>
            <w:r>
              <w:t>Approved on 29 March 2021</w:t>
            </w:r>
          </w:p>
        </w:tc>
        <w:tc>
          <w:tcPr>
            <w:tcW w:w="1795" w:type="pct"/>
          </w:tcPr>
          <w:p w14:paraId="01C75692" w14:textId="0542FFB8" w:rsidR="002136A2" w:rsidRPr="00D01DDB" w:rsidRDefault="004A3889" w:rsidP="00A77882">
            <w:pPr>
              <w:cnfStyle w:val="000000000000" w:firstRow="0" w:lastRow="0" w:firstColumn="0" w:lastColumn="0" w:oddVBand="0" w:evenVBand="0" w:oddHBand="0" w:evenHBand="0" w:firstRowFirstColumn="0" w:firstRowLastColumn="0" w:lastRowFirstColumn="0" w:lastRowLastColumn="0"/>
            </w:pPr>
            <w:r w:rsidRPr="001A666D">
              <w:rPr>
                <w:rFonts w:cstheme="minorHAnsi"/>
              </w:rPr>
              <w:t>Givlaari is indicated for the treatment of acute hepatic porphyria (AHP) in adults and adolescents aged 12 years and older</w:t>
            </w:r>
          </w:p>
        </w:tc>
      </w:tr>
      <w:tr w:rsidR="002136A2" w:rsidRPr="00D01DDB" w14:paraId="39AFCB0F"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E8ACF59" w14:textId="6618CEA6" w:rsidR="002136A2" w:rsidRPr="00D01DDB" w:rsidRDefault="008C7B41" w:rsidP="00A77882">
            <w:r>
              <w:lastRenderedPageBreak/>
              <w:t>Great Britain</w:t>
            </w:r>
          </w:p>
        </w:tc>
        <w:tc>
          <w:tcPr>
            <w:tcW w:w="1018" w:type="pct"/>
          </w:tcPr>
          <w:p w14:paraId="5E417946" w14:textId="28FE60FB" w:rsidR="002136A2" w:rsidRPr="00D01DDB" w:rsidRDefault="00424072" w:rsidP="00A77882">
            <w:pPr>
              <w:cnfStyle w:val="000000000000" w:firstRow="0" w:lastRow="0" w:firstColumn="0" w:lastColumn="0" w:oddVBand="0" w:evenVBand="0" w:oddHBand="0" w:evenHBand="0" w:firstRowFirstColumn="0" w:firstRowLastColumn="0" w:lastRowFirstColumn="0" w:lastRowLastColumn="0"/>
            </w:pPr>
            <w:r>
              <w:t>25 May 2021</w:t>
            </w:r>
          </w:p>
        </w:tc>
        <w:tc>
          <w:tcPr>
            <w:tcW w:w="1173" w:type="pct"/>
          </w:tcPr>
          <w:p w14:paraId="10D65AA8" w14:textId="3A359FC0" w:rsidR="002136A2" w:rsidRPr="00D01DDB" w:rsidRDefault="0023227C" w:rsidP="00A77882">
            <w:pPr>
              <w:cnfStyle w:val="000000000000" w:firstRow="0" w:lastRow="0" w:firstColumn="0" w:lastColumn="0" w:oddVBand="0" w:evenVBand="0" w:oddHBand="0" w:evenHBand="0" w:firstRowFirstColumn="0" w:firstRowLastColumn="0" w:lastRowFirstColumn="0" w:lastRowLastColumn="0"/>
            </w:pPr>
            <w:r>
              <w:t xml:space="preserve">Approved on </w:t>
            </w:r>
            <w:r w:rsidR="00424072">
              <w:t>28 May 2021</w:t>
            </w:r>
          </w:p>
        </w:tc>
        <w:tc>
          <w:tcPr>
            <w:tcW w:w="1795" w:type="pct"/>
          </w:tcPr>
          <w:p w14:paraId="0A60ABE9" w14:textId="1A731695" w:rsidR="002136A2" w:rsidRPr="00D01DDB" w:rsidRDefault="00424072" w:rsidP="00A77882">
            <w:pPr>
              <w:cnfStyle w:val="000000000000" w:firstRow="0" w:lastRow="0" w:firstColumn="0" w:lastColumn="0" w:oddVBand="0" w:evenVBand="0" w:oddHBand="0" w:evenHBand="0" w:firstRowFirstColumn="0" w:firstRowLastColumn="0" w:lastRowFirstColumn="0" w:lastRowLastColumn="0"/>
            </w:pPr>
            <w:r w:rsidRPr="001A666D">
              <w:rPr>
                <w:rFonts w:cstheme="minorHAnsi"/>
              </w:rPr>
              <w:t>Givlaari is indicated for the treatment of acute hepatic porphyria (AHP) in adults and adolescents aged 12 years and older</w:t>
            </w:r>
          </w:p>
        </w:tc>
      </w:tr>
      <w:tr w:rsidR="002136A2" w:rsidRPr="00D01DDB" w14:paraId="24235C7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584F6B60" w14:textId="139B7706" w:rsidR="002136A2" w:rsidRPr="00D01DDB" w:rsidRDefault="00424072" w:rsidP="00A77882">
            <w:r>
              <w:t>Israel</w:t>
            </w:r>
          </w:p>
        </w:tc>
        <w:tc>
          <w:tcPr>
            <w:tcW w:w="1018" w:type="pct"/>
          </w:tcPr>
          <w:p w14:paraId="79D72CDF" w14:textId="4EC5A7DC" w:rsidR="002136A2" w:rsidRPr="00D01DDB" w:rsidRDefault="00424072" w:rsidP="00A77882">
            <w:pPr>
              <w:cnfStyle w:val="000000000000" w:firstRow="0" w:lastRow="0" w:firstColumn="0" w:lastColumn="0" w:oddVBand="0" w:evenVBand="0" w:oddHBand="0" w:evenHBand="0" w:firstRowFirstColumn="0" w:firstRowLastColumn="0" w:lastRowFirstColumn="0" w:lastRowLastColumn="0"/>
            </w:pPr>
            <w:r>
              <w:t>6 July 2020</w:t>
            </w:r>
          </w:p>
        </w:tc>
        <w:tc>
          <w:tcPr>
            <w:tcW w:w="1173" w:type="pct"/>
          </w:tcPr>
          <w:p w14:paraId="4EE14F89" w14:textId="63BF16FE" w:rsidR="002136A2" w:rsidRPr="00D01DDB" w:rsidRDefault="00043D6D" w:rsidP="00A77882">
            <w:pPr>
              <w:cnfStyle w:val="000000000000" w:firstRow="0" w:lastRow="0" w:firstColumn="0" w:lastColumn="0" w:oddVBand="0" w:evenVBand="0" w:oddHBand="0" w:evenHBand="0" w:firstRowFirstColumn="0" w:firstRowLastColumn="0" w:lastRowFirstColumn="0" w:lastRowLastColumn="0"/>
            </w:pPr>
            <w:r>
              <w:t xml:space="preserve">Approved on </w:t>
            </w:r>
            <w:r w:rsidR="00424072">
              <w:t>17 June 2021</w:t>
            </w:r>
            <w:r w:rsidRPr="001A666D">
              <w:rPr>
                <w:rFonts w:cstheme="minorHAnsi"/>
              </w:rPr>
              <w:t xml:space="preserve"> </w:t>
            </w:r>
          </w:p>
        </w:tc>
        <w:tc>
          <w:tcPr>
            <w:tcW w:w="1795" w:type="pct"/>
          </w:tcPr>
          <w:p w14:paraId="34B52398" w14:textId="5A7A8AE6" w:rsidR="002136A2" w:rsidRPr="00D01DDB" w:rsidRDefault="00043D6D" w:rsidP="00A77882">
            <w:pPr>
              <w:cnfStyle w:val="000000000000" w:firstRow="0" w:lastRow="0" w:firstColumn="0" w:lastColumn="0" w:oddVBand="0" w:evenVBand="0" w:oddHBand="0" w:evenHBand="0" w:firstRowFirstColumn="0" w:firstRowLastColumn="0" w:lastRowFirstColumn="0" w:lastRowLastColumn="0"/>
            </w:pPr>
            <w:r w:rsidRPr="001A666D">
              <w:rPr>
                <w:rFonts w:cstheme="minorHAnsi"/>
              </w:rPr>
              <w:t>Givlaari is indicated for the treatment of acute hepatic porphyria (AHP) in adults and adolescents aged 12 years and older</w:t>
            </w:r>
          </w:p>
        </w:tc>
      </w:tr>
      <w:tr w:rsidR="002136A2" w:rsidRPr="00D01DDB" w14:paraId="3E393BFF"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F82EA60" w14:textId="23150BBF" w:rsidR="002136A2" w:rsidRPr="00D01DDB" w:rsidRDefault="00043D6D" w:rsidP="00A77882">
            <w:r>
              <w:t>Japan</w:t>
            </w:r>
          </w:p>
        </w:tc>
        <w:tc>
          <w:tcPr>
            <w:tcW w:w="1018" w:type="pct"/>
          </w:tcPr>
          <w:p w14:paraId="7C661AD2" w14:textId="725FADDA" w:rsidR="002136A2" w:rsidRPr="00D01DDB" w:rsidRDefault="00043D6D" w:rsidP="00A77882">
            <w:pPr>
              <w:cnfStyle w:val="000000000000" w:firstRow="0" w:lastRow="0" w:firstColumn="0" w:lastColumn="0" w:oddVBand="0" w:evenVBand="0" w:oddHBand="0" w:evenHBand="0" w:firstRowFirstColumn="0" w:firstRowLastColumn="0" w:lastRowFirstColumn="0" w:lastRowLastColumn="0"/>
            </w:pPr>
            <w:r>
              <w:t>29 September 2020</w:t>
            </w:r>
          </w:p>
        </w:tc>
        <w:tc>
          <w:tcPr>
            <w:tcW w:w="1173" w:type="pct"/>
          </w:tcPr>
          <w:p w14:paraId="741FE219" w14:textId="0FC2A14E" w:rsidR="002136A2" w:rsidRPr="00D01DDB" w:rsidRDefault="00043D6D" w:rsidP="00A77882">
            <w:pPr>
              <w:cnfStyle w:val="000000000000" w:firstRow="0" w:lastRow="0" w:firstColumn="0" w:lastColumn="0" w:oddVBand="0" w:evenVBand="0" w:oddHBand="0" w:evenHBand="0" w:firstRowFirstColumn="0" w:firstRowLastColumn="0" w:lastRowFirstColumn="0" w:lastRowLastColumn="0"/>
            </w:pPr>
            <w:r>
              <w:t>Approved on 23 June 2021</w:t>
            </w:r>
          </w:p>
        </w:tc>
        <w:tc>
          <w:tcPr>
            <w:tcW w:w="1795" w:type="pct"/>
          </w:tcPr>
          <w:p w14:paraId="0631C402" w14:textId="07527D5A" w:rsidR="002136A2" w:rsidRPr="00D01DDB" w:rsidRDefault="00043D6D" w:rsidP="00A77882">
            <w:pPr>
              <w:cnfStyle w:val="000000000000" w:firstRow="0" w:lastRow="0" w:firstColumn="0" w:lastColumn="0" w:oddVBand="0" w:evenVBand="0" w:oddHBand="0" w:evenHBand="0" w:firstRowFirstColumn="0" w:firstRowLastColumn="0" w:lastRowFirstColumn="0" w:lastRowLastColumn="0"/>
            </w:pPr>
            <w:r w:rsidRPr="001A666D">
              <w:rPr>
                <w:rFonts w:cstheme="minorHAnsi"/>
              </w:rPr>
              <w:t>Givlaari is indicated for the treatment of acute hepatic porphyria (AHP) in adults</w:t>
            </w:r>
          </w:p>
        </w:tc>
      </w:tr>
      <w:tr w:rsidR="002136A2" w:rsidRPr="00D01DDB" w14:paraId="1192C383"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38AA76B" w14:textId="089888CF" w:rsidR="002136A2" w:rsidRPr="00D01DDB" w:rsidRDefault="00043D6D" w:rsidP="00A77882">
            <w:r>
              <w:t>Argentina</w:t>
            </w:r>
          </w:p>
        </w:tc>
        <w:tc>
          <w:tcPr>
            <w:tcW w:w="1018" w:type="pct"/>
          </w:tcPr>
          <w:p w14:paraId="49457163" w14:textId="58A62BA5" w:rsidR="002136A2" w:rsidRPr="00D01DDB" w:rsidRDefault="00043D6D" w:rsidP="00A77882">
            <w:pPr>
              <w:cnfStyle w:val="000000000000" w:firstRow="0" w:lastRow="0" w:firstColumn="0" w:lastColumn="0" w:oddVBand="0" w:evenVBand="0" w:oddHBand="0" w:evenHBand="0" w:firstRowFirstColumn="0" w:firstRowLastColumn="0" w:lastRowFirstColumn="0" w:lastRowLastColumn="0"/>
            </w:pPr>
            <w:r>
              <w:t>15 July 2021</w:t>
            </w:r>
          </w:p>
        </w:tc>
        <w:tc>
          <w:tcPr>
            <w:tcW w:w="1173" w:type="pct"/>
          </w:tcPr>
          <w:p w14:paraId="081BC1AE" w14:textId="2201C5D4" w:rsidR="002136A2" w:rsidRPr="00D01DDB" w:rsidRDefault="00043D6D" w:rsidP="00A77882">
            <w:pPr>
              <w:cnfStyle w:val="000000000000" w:firstRow="0" w:lastRow="0" w:firstColumn="0" w:lastColumn="0" w:oddVBand="0" w:evenVBand="0" w:oddHBand="0" w:evenHBand="0" w:firstRowFirstColumn="0" w:firstRowLastColumn="0" w:lastRowFirstColumn="0" w:lastRowLastColumn="0"/>
            </w:pPr>
            <w:r>
              <w:t>Approved on 16 November 2021</w:t>
            </w:r>
          </w:p>
        </w:tc>
        <w:tc>
          <w:tcPr>
            <w:tcW w:w="1795" w:type="pct"/>
          </w:tcPr>
          <w:p w14:paraId="2BE1D41A" w14:textId="6878A051" w:rsidR="002136A2" w:rsidRPr="00D01DDB" w:rsidRDefault="00043D6D" w:rsidP="00A77882">
            <w:pPr>
              <w:cnfStyle w:val="000000000000" w:firstRow="0" w:lastRow="0" w:firstColumn="0" w:lastColumn="0" w:oddVBand="0" w:evenVBand="0" w:oddHBand="0" w:evenHBand="0" w:firstRowFirstColumn="0" w:firstRowLastColumn="0" w:lastRowFirstColumn="0" w:lastRowLastColumn="0"/>
            </w:pPr>
            <w:r w:rsidRPr="001A666D">
              <w:rPr>
                <w:rFonts w:cstheme="minorHAnsi"/>
              </w:rPr>
              <w:t>Givlaari is indicated for the treatment of acute hepatic porphyria (AHP) in adults and adolescents aged 12 years and older</w:t>
            </w:r>
          </w:p>
        </w:tc>
      </w:tr>
      <w:tr w:rsidR="002136A2" w:rsidRPr="00D01DDB" w14:paraId="24B05399"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36C26318" w14:textId="2DC68429" w:rsidR="002136A2" w:rsidRPr="00D01DDB" w:rsidRDefault="00043D6D" w:rsidP="00A77882">
            <w:r>
              <w:t>Taiwan</w:t>
            </w:r>
          </w:p>
        </w:tc>
        <w:tc>
          <w:tcPr>
            <w:tcW w:w="1018" w:type="pct"/>
          </w:tcPr>
          <w:p w14:paraId="5A6069A2" w14:textId="0F62962C" w:rsidR="002136A2" w:rsidRPr="00D01DDB" w:rsidRDefault="00043D6D" w:rsidP="00A77882">
            <w:pPr>
              <w:cnfStyle w:val="000000000000" w:firstRow="0" w:lastRow="0" w:firstColumn="0" w:lastColumn="0" w:oddVBand="0" w:evenVBand="0" w:oddHBand="0" w:evenHBand="0" w:firstRowFirstColumn="0" w:firstRowLastColumn="0" w:lastRowFirstColumn="0" w:lastRowLastColumn="0"/>
            </w:pPr>
            <w:r>
              <w:t>28 September 2021</w:t>
            </w:r>
          </w:p>
        </w:tc>
        <w:tc>
          <w:tcPr>
            <w:tcW w:w="1173" w:type="pct"/>
          </w:tcPr>
          <w:p w14:paraId="3FC1447E" w14:textId="029F8D56" w:rsidR="002136A2" w:rsidRPr="00D01DDB" w:rsidRDefault="0035793C" w:rsidP="00A77882">
            <w:pPr>
              <w:cnfStyle w:val="000000000000" w:firstRow="0" w:lastRow="0" w:firstColumn="0" w:lastColumn="0" w:oddVBand="0" w:evenVBand="0" w:oddHBand="0" w:evenHBand="0" w:firstRowFirstColumn="0" w:firstRowLastColumn="0" w:lastRowFirstColumn="0" w:lastRowLastColumn="0"/>
            </w:pPr>
            <w:r>
              <w:t>30 June 2023</w:t>
            </w:r>
          </w:p>
        </w:tc>
        <w:tc>
          <w:tcPr>
            <w:tcW w:w="1795" w:type="pct"/>
          </w:tcPr>
          <w:p w14:paraId="746D6B0A" w14:textId="24298AB3" w:rsidR="002136A2" w:rsidRPr="00D01DDB" w:rsidRDefault="00EF3251" w:rsidP="00A77882">
            <w:pPr>
              <w:cnfStyle w:val="000000000000" w:firstRow="0" w:lastRow="0" w:firstColumn="0" w:lastColumn="0" w:oddVBand="0" w:evenVBand="0" w:oddHBand="0" w:evenHBand="0" w:firstRowFirstColumn="0" w:firstRowLastColumn="0" w:lastRowFirstColumn="0" w:lastRowLastColumn="0"/>
            </w:pPr>
            <w:r w:rsidRPr="001A666D">
              <w:rPr>
                <w:rFonts w:cstheme="minorHAnsi"/>
              </w:rPr>
              <w:t xml:space="preserve">Givlaari is indicated for the </w:t>
            </w:r>
            <w:r>
              <w:rPr>
                <w:rFonts w:cstheme="minorHAnsi"/>
              </w:rPr>
              <w:t>t</w:t>
            </w:r>
            <w:r w:rsidR="0035793C" w:rsidRPr="0035793C">
              <w:t>reatment of acute hepatic porphyria (AHP) in adults</w:t>
            </w:r>
          </w:p>
        </w:tc>
      </w:tr>
      <w:tr w:rsidR="002136A2" w:rsidRPr="00D01DDB" w14:paraId="27E61301"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0728C86" w14:textId="6D4454BF" w:rsidR="002136A2" w:rsidRPr="00D01DDB" w:rsidRDefault="00043D6D" w:rsidP="00A77882">
            <w:r>
              <w:t>Columbia</w:t>
            </w:r>
          </w:p>
        </w:tc>
        <w:tc>
          <w:tcPr>
            <w:tcW w:w="1018" w:type="pct"/>
          </w:tcPr>
          <w:p w14:paraId="0585D6E3" w14:textId="0EE13AA2" w:rsidR="002136A2" w:rsidRPr="00D01DDB" w:rsidRDefault="00043D6D" w:rsidP="00A77882">
            <w:pPr>
              <w:cnfStyle w:val="000000000000" w:firstRow="0" w:lastRow="0" w:firstColumn="0" w:lastColumn="0" w:oddVBand="0" w:evenVBand="0" w:oddHBand="0" w:evenHBand="0" w:firstRowFirstColumn="0" w:firstRowLastColumn="0" w:lastRowFirstColumn="0" w:lastRowLastColumn="0"/>
            </w:pPr>
            <w:r>
              <w:t>26 November 2021</w:t>
            </w:r>
          </w:p>
        </w:tc>
        <w:tc>
          <w:tcPr>
            <w:tcW w:w="1173" w:type="pct"/>
          </w:tcPr>
          <w:p w14:paraId="7A91781C" w14:textId="57C87D01" w:rsidR="002136A2" w:rsidRPr="00D01DDB" w:rsidRDefault="00043D6D" w:rsidP="00A77882">
            <w:pPr>
              <w:cnfStyle w:val="000000000000" w:firstRow="0" w:lastRow="0" w:firstColumn="0" w:lastColumn="0" w:oddVBand="0" w:evenVBand="0" w:oddHBand="0" w:evenHBand="0" w:firstRowFirstColumn="0" w:firstRowLastColumn="0" w:lastRowFirstColumn="0" w:lastRowLastColumn="0"/>
            </w:pPr>
            <w:r w:rsidRPr="00D01DDB">
              <w:t>Under consideration</w:t>
            </w:r>
          </w:p>
        </w:tc>
        <w:tc>
          <w:tcPr>
            <w:tcW w:w="1795" w:type="pct"/>
          </w:tcPr>
          <w:p w14:paraId="39B9CC79" w14:textId="77777777" w:rsidR="002136A2" w:rsidRPr="00D01DDB" w:rsidRDefault="002136A2" w:rsidP="00A77882">
            <w:pPr>
              <w:cnfStyle w:val="000000000000" w:firstRow="0" w:lastRow="0" w:firstColumn="0" w:lastColumn="0" w:oddVBand="0" w:evenVBand="0" w:oddHBand="0" w:evenHBand="0" w:firstRowFirstColumn="0" w:firstRowLastColumn="0" w:lastRowFirstColumn="0" w:lastRowLastColumn="0"/>
            </w:pP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1B2EC2E5" w:rsidR="00324B33" w:rsidRPr="00D01DDB" w:rsidRDefault="00043D6D" w:rsidP="00A77882">
            <w:r>
              <w:t>Mexico</w:t>
            </w:r>
          </w:p>
        </w:tc>
        <w:tc>
          <w:tcPr>
            <w:tcW w:w="1018" w:type="pct"/>
          </w:tcPr>
          <w:p w14:paraId="1D871E57" w14:textId="1BD52F6F" w:rsidR="00324B33" w:rsidRPr="00D01DDB" w:rsidRDefault="00043D6D" w:rsidP="00A77882">
            <w:pPr>
              <w:cnfStyle w:val="000000000000" w:firstRow="0" w:lastRow="0" w:firstColumn="0" w:lastColumn="0" w:oddVBand="0" w:evenVBand="0" w:oddHBand="0" w:evenHBand="0" w:firstRowFirstColumn="0" w:firstRowLastColumn="0" w:lastRowFirstColumn="0" w:lastRowLastColumn="0"/>
            </w:pPr>
            <w:r>
              <w:t>15 May 2023</w:t>
            </w:r>
          </w:p>
        </w:tc>
        <w:tc>
          <w:tcPr>
            <w:tcW w:w="1173" w:type="pct"/>
          </w:tcPr>
          <w:p w14:paraId="63A3A9D3" w14:textId="2FA15569" w:rsidR="00324B33" w:rsidRPr="00D01DDB" w:rsidRDefault="00324B33" w:rsidP="00A77882">
            <w:pPr>
              <w:cnfStyle w:val="000000000000" w:firstRow="0" w:lastRow="0" w:firstColumn="0" w:lastColumn="0" w:oddVBand="0" w:evenVBand="0" w:oddHBand="0" w:evenHBand="0" w:firstRowFirstColumn="0" w:firstRowLastColumn="0" w:lastRowFirstColumn="0" w:lastRowLastColumn="0"/>
            </w:pPr>
            <w:r w:rsidRPr="00D01DDB">
              <w:t>Under consideration</w:t>
            </w:r>
          </w:p>
        </w:tc>
        <w:tc>
          <w:tcPr>
            <w:tcW w:w="1795" w:type="pct"/>
          </w:tcPr>
          <w:p w14:paraId="17C650B8" w14:textId="553D1672" w:rsidR="00324B33" w:rsidRPr="00D01DDB" w:rsidRDefault="00324B33" w:rsidP="00A77882">
            <w:pPr>
              <w:cnfStyle w:val="000000000000" w:firstRow="0" w:lastRow="0" w:firstColumn="0" w:lastColumn="0" w:oddVBand="0" w:evenVBand="0" w:oddHBand="0" w:evenHBand="0" w:firstRowFirstColumn="0" w:firstRowLastColumn="0" w:lastRowFirstColumn="0" w:lastRowLastColumn="0"/>
            </w:pPr>
          </w:p>
        </w:tc>
      </w:tr>
    </w:tbl>
    <w:p w14:paraId="6D92589C" w14:textId="09786CEF" w:rsidR="00324B33" w:rsidRDefault="00324B33" w:rsidP="00324B33">
      <w:pPr>
        <w:pStyle w:val="Heading2"/>
      </w:pPr>
      <w:bookmarkStart w:id="27" w:name="_Toc504480011"/>
      <w:bookmarkStart w:id="28" w:name="_Toc103679293"/>
      <w:bookmarkStart w:id="29" w:name="_Toc170980399"/>
      <w:r>
        <w:t>Registration timeline</w:t>
      </w:r>
      <w:bookmarkEnd w:id="27"/>
      <w:bookmarkEnd w:id="28"/>
      <w:bookmarkEnd w:id="29"/>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1A27FC8A" w:rsidR="00477C4E" w:rsidRPr="00BD5DBD" w:rsidRDefault="00477C4E" w:rsidP="00324B33">
      <w:pPr>
        <w:rPr>
          <w:szCs w:val="22"/>
        </w:rPr>
      </w:pPr>
      <w:r w:rsidRPr="00BD5DBD">
        <w:rPr>
          <w:szCs w:val="22"/>
        </w:rPr>
        <w:t xml:space="preserve">This submission was evaluated under the </w:t>
      </w:r>
      <w:r w:rsidR="001A2FA5" w:rsidRPr="001A2FA5">
        <w:rPr>
          <w:szCs w:val="22"/>
        </w:rPr>
        <w:t>Comparable Overseas Regulator</w:t>
      </w:r>
      <w:r w:rsidR="00856EE3" w:rsidRPr="00EA464D">
        <w:rPr>
          <w:szCs w:val="22"/>
        </w:rPr>
        <w:t xml:space="preserve"> B (COR-B) process</w:t>
      </w:r>
      <w:r w:rsidR="00856EE3">
        <w:t xml:space="preserve"> </w:t>
      </w:r>
      <w:hyperlink r:id="rId22" w:history="1">
        <w:r w:rsidR="00363F24">
          <w:rPr>
            <w:rStyle w:val="Hyperlink"/>
            <w:szCs w:val="22"/>
          </w:rPr>
          <w:t xml:space="preserve">for </w:t>
        </w:r>
        <w:r w:rsidR="00363F24" w:rsidRPr="00BD5DBD">
          <w:rPr>
            <w:rStyle w:val="Hyperlink"/>
            <w:szCs w:val="22"/>
          </w:rPr>
          <w:t>prescription medicines registration</w:t>
        </w:r>
      </w:hyperlink>
      <w:r w:rsidRPr="00BD5DBD">
        <w:rPr>
          <w:szCs w:val="22"/>
        </w:rPr>
        <w:t>.</w:t>
      </w:r>
    </w:p>
    <w:p w14:paraId="5B779104" w14:textId="7DC4E3B6" w:rsidR="0017005C" w:rsidRDefault="0017005C" w:rsidP="0017005C">
      <w:r w:rsidRPr="00BD5DBD">
        <w:rPr>
          <w:szCs w:val="22"/>
        </w:rPr>
        <w:t>Th</w:t>
      </w:r>
      <w:r w:rsidR="00804897">
        <w:rPr>
          <w:szCs w:val="22"/>
        </w:rPr>
        <w:t>e active ingredient with its proposed indication was given</w:t>
      </w:r>
      <w:r w:rsidR="00804897" w:rsidRPr="00804897">
        <w:t xml:space="preserve"> </w:t>
      </w:r>
      <w:hyperlink r:id="rId23" w:history="1">
        <w:r w:rsidR="00804897">
          <w:rPr>
            <w:rStyle w:val="Hyperlink"/>
          </w:rPr>
          <w:t>orphan drug designation</w:t>
        </w:r>
      </w:hyperlink>
      <w:r w:rsidR="00804897">
        <w:t>.</w:t>
      </w:r>
    </w:p>
    <w:p w14:paraId="44628C5F" w14:textId="1932E9E9" w:rsidR="00324B33" w:rsidRDefault="00324B33" w:rsidP="002C1232">
      <w:pPr>
        <w:pStyle w:val="TableTitle"/>
      </w:pPr>
      <w:r w:rsidRPr="002C1232">
        <w:t xml:space="preserve">Table </w:t>
      </w:r>
      <w:fldSimple w:instr=" SEQ Table \* ARABIC ">
        <w:r w:rsidR="007C529A">
          <w:rPr>
            <w:noProof/>
          </w:rPr>
          <w:t>2</w:t>
        </w:r>
      </w:fldSimple>
      <w:r w:rsidRPr="002C1232">
        <w:t>: Timeline for Submission PM-202</w:t>
      </w:r>
      <w:r w:rsidR="00E10434">
        <w:t>2</w:t>
      </w:r>
      <w:r w:rsidRPr="002C1232">
        <w:t>-</w:t>
      </w:r>
      <w:r w:rsidR="00E10434">
        <w:t>05371-1-</w:t>
      </w:r>
      <w:r w:rsidR="000D1726">
        <w:t>6</w:t>
      </w:r>
    </w:p>
    <w:tbl>
      <w:tblPr>
        <w:tblStyle w:val="TableTGAblue2023"/>
        <w:tblW w:w="8642" w:type="dxa"/>
        <w:tblLook w:val="04A0" w:firstRow="1" w:lastRow="0" w:firstColumn="1" w:lastColumn="0" w:noHBand="0" w:noVBand="1"/>
      </w:tblPr>
      <w:tblGrid>
        <w:gridCol w:w="5949"/>
        <w:gridCol w:w="2693"/>
      </w:tblGrid>
      <w:tr w:rsidR="00324B33" w:rsidRPr="00D01DDB" w14:paraId="6C59BE9C" w14:textId="77777777" w:rsidTr="00077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6D80E78" w14:textId="3EC0CCAF" w:rsidR="00324B33" w:rsidRPr="00D01DDB" w:rsidRDefault="00324B33" w:rsidP="00324B33">
            <w:pPr>
              <w:rPr>
                <w:szCs w:val="22"/>
              </w:rPr>
            </w:pPr>
            <w:r w:rsidRPr="00D01DDB">
              <w:rPr>
                <w:szCs w:val="22"/>
              </w:rPr>
              <w:t>Description</w:t>
            </w:r>
          </w:p>
        </w:tc>
        <w:tc>
          <w:tcPr>
            <w:tcW w:w="2693"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077D39">
        <w:tc>
          <w:tcPr>
            <w:cnfStyle w:val="001000000000" w:firstRow="0" w:lastRow="0" w:firstColumn="1" w:lastColumn="0" w:oddVBand="0" w:evenVBand="0" w:oddHBand="0" w:evenHBand="0" w:firstRowFirstColumn="0" w:firstRowLastColumn="0" w:lastRowFirstColumn="0" w:lastRowLastColumn="0"/>
            <w:tcW w:w="5949" w:type="dxa"/>
          </w:tcPr>
          <w:p w14:paraId="1106CC1E" w14:textId="56269E33" w:rsidR="00324B33" w:rsidRPr="00BE04BA" w:rsidRDefault="00324B33" w:rsidP="00E679D1">
            <w:r w:rsidRPr="00BE04BA">
              <w:t>Designation (Orphan)</w:t>
            </w:r>
          </w:p>
        </w:tc>
        <w:tc>
          <w:tcPr>
            <w:tcW w:w="2693" w:type="dxa"/>
          </w:tcPr>
          <w:p w14:paraId="4CD143CF" w14:textId="590BE94A" w:rsidR="00324B33" w:rsidRPr="00D01DDB" w:rsidRDefault="00B92292" w:rsidP="00324B33">
            <w:pPr>
              <w:cnfStyle w:val="000000000000" w:firstRow="0" w:lastRow="0" w:firstColumn="0" w:lastColumn="0" w:oddVBand="0" w:evenVBand="0" w:oddHBand="0" w:evenHBand="0" w:firstRowFirstColumn="0" w:firstRowLastColumn="0" w:lastRowFirstColumn="0" w:lastRowLastColumn="0"/>
              <w:rPr>
                <w:szCs w:val="22"/>
              </w:rPr>
            </w:pPr>
            <w:r w:rsidRPr="00BE04BA">
              <w:rPr>
                <w:szCs w:val="22"/>
              </w:rPr>
              <w:t>1</w:t>
            </w:r>
            <w:r w:rsidR="00BE04BA" w:rsidRPr="00BE04BA">
              <w:rPr>
                <w:szCs w:val="22"/>
              </w:rPr>
              <w:t>3</w:t>
            </w:r>
            <w:r w:rsidRPr="00BE04BA">
              <w:rPr>
                <w:szCs w:val="22"/>
              </w:rPr>
              <w:t xml:space="preserve"> October 2022</w:t>
            </w:r>
          </w:p>
        </w:tc>
      </w:tr>
      <w:tr w:rsidR="00324B33" w:rsidRPr="00D01DDB" w14:paraId="23610C53" w14:textId="77777777" w:rsidTr="00077D39">
        <w:tc>
          <w:tcPr>
            <w:cnfStyle w:val="001000000000" w:firstRow="0" w:lastRow="0" w:firstColumn="1" w:lastColumn="0" w:oddVBand="0" w:evenVBand="0" w:oddHBand="0" w:evenHBand="0" w:firstRowFirstColumn="0" w:firstRowLastColumn="0" w:lastRowFirstColumn="0" w:lastRowLastColumn="0"/>
            <w:tcW w:w="5949" w:type="dxa"/>
          </w:tcPr>
          <w:p w14:paraId="759D2A12" w14:textId="0D705F83" w:rsidR="00324B33" w:rsidRPr="00E679D1" w:rsidRDefault="00324B33" w:rsidP="00E679D1">
            <w:r w:rsidRPr="00E679D1">
              <w:t>Submission dossier accepted and first round evaluation commenced</w:t>
            </w:r>
          </w:p>
        </w:tc>
        <w:tc>
          <w:tcPr>
            <w:tcW w:w="2693" w:type="dxa"/>
          </w:tcPr>
          <w:p w14:paraId="2963D9D8" w14:textId="45C8AFD9" w:rsidR="00324B33" w:rsidRPr="00D01DDB" w:rsidRDefault="00B9229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January 2023</w:t>
            </w:r>
          </w:p>
        </w:tc>
      </w:tr>
      <w:tr w:rsidR="00324B33" w:rsidRPr="00D01DDB" w14:paraId="53437815" w14:textId="77777777" w:rsidTr="00077D39">
        <w:tc>
          <w:tcPr>
            <w:cnfStyle w:val="001000000000" w:firstRow="0" w:lastRow="0" w:firstColumn="1" w:lastColumn="0" w:oddVBand="0" w:evenVBand="0" w:oddHBand="0" w:evenHBand="0" w:firstRowFirstColumn="0" w:firstRowLastColumn="0" w:lastRowFirstColumn="0" w:lastRowLastColumn="0"/>
            <w:tcW w:w="5949" w:type="dxa"/>
          </w:tcPr>
          <w:p w14:paraId="4C037D4E" w14:textId="2B0CE255" w:rsidR="00324B33" w:rsidRPr="00E679D1" w:rsidRDefault="00324B33" w:rsidP="00E679D1">
            <w:r w:rsidRPr="00E679D1">
              <w:t>First round evaluation completed</w:t>
            </w:r>
          </w:p>
        </w:tc>
        <w:tc>
          <w:tcPr>
            <w:tcW w:w="2693" w:type="dxa"/>
          </w:tcPr>
          <w:p w14:paraId="3CEAFAAB" w14:textId="672FC5DE" w:rsidR="00324B33" w:rsidRPr="00D01DDB" w:rsidRDefault="00B9229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May 2023</w:t>
            </w:r>
          </w:p>
        </w:tc>
      </w:tr>
      <w:tr w:rsidR="00324B33" w:rsidRPr="00D01DDB" w14:paraId="60DA57CC" w14:textId="77777777" w:rsidTr="00077D39">
        <w:tc>
          <w:tcPr>
            <w:cnfStyle w:val="001000000000" w:firstRow="0" w:lastRow="0" w:firstColumn="1" w:lastColumn="0" w:oddVBand="0" w:evenVBand="0" w:oddHBand="0" w:evenHBand="0" w:firstRowFirstColumn="0" w:firstRowLastColumn="0" w:lastRowFirstColumn="0" w:lastRowLastColumn="0"/>
            <w:tcW w:w="5949" w:type="dxa"/>
          </w:tcPr>
          <w:p w14:paraId="02EA1147" w14:textId="77777777" w:rsidR="00324B33" w:rsidRPr="00E679D1" w:rsidRDefault="00324B33" w:rsidP="00E679D1">
            <w:r w:rsidRPr="00E679D1">
              <w:t>Sponsor provides responses on questions raised in first round evaluation</w:t>
            </w:r>
          </w:p>
        </w:tc>
        <w:tc>
          <w:tcPr>
            <w:tcW w:w="2693" w:type="dxa"/>
          </w:tcPr>
          <w:p w14:paraId="68A577C1" w14:textId="570A7298" w:rsidR="00324B33" w:rsidRPr="00D01DDB" w:rsidRDefault="00C16A2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2023</w:t>
            </w:r>
          </w:p>
        </w:tc>
      </w:tr>
      <w:tr w:rsidR="00324B33" w:rsidRPr="00D01DDB" w14:paraId="767E33A4" w14:textId="77777777" w:rsidTr="00077D39">
        <w:tc>
          <w:tcPr>
            <w:cnfStyle w:val="001000000000" w:firstRow="0" w:lastRow="0" w:firstColumn="1" w:lastColumn="0" w:oddVBand="0" w:evenVBand="0" w:oddHBand="0" w:evenHBand="0" w:firstRowFirstColumn="0" w:firstRowLastColumn="0" w:lastRowFirstColumn="0" w:lastRowLastColumn="0"/>
            <w:tcW w:w="5949" w:type="dxa"/>
          </w:tcPr>
          <w:p w14:paraId="4AFC5B50" w14:textId="2BCC6A3E" w:rsidR="00324B33" w:rsidRPr="00E679D1" w:rsidRDefault="00324B33" w:rsidP="00E679D1">
            <w:r w:rsidRPr="00E679D1">
              <w:lastRenderedPageBreak/>
              <w:t>Second round evaluation completed</w:t>
            </w:r>
          </w:p>
        </w:tc>
        <w:tc>
          <w:tcPr>
            <w:tcW w:w="2693" w:type="dxa"/>
          </w:tcPr>
          <w:p w14:paraId="4E47DF62" w14:textId="3C6B309E" w:rsidR="00324B33" w:rsidRPr="00D01DDB" w:rsidRDefault="00B9229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August 2023</w:t>
            </w:r>
          </w:p>
        </w:tc>
      </w:tr>
      <w:tr w:rsidR="00675C84" w:rsidRPr="00D01DDB" w14:paraId="360DFACA" w14:textId="77777777" w:rsidTr="00077D39">
        <w:tc>
          <w:tcPr>
            <w:cnfStyle w:val="001000000000" w:firstRow="0" w:lastRow="0" w:firstColumn="1" w:lastColumn="0" w:oddVBand="0" w:evenVBand="0" w:oddHBand="0" w:evenHBand="0" w:firstRowFirstColumn="0" w:firstRowLastColumn="0" w:lastRowFirstColumn="0" w:lastRowLastColumn="0"/>
            <w:tcW w:w="5949" w:type="dxa"/>
          </w:tcPr>
          <w:p w14:paraId="7D3C4BCB" w14:textId="72E008CC" w:rsidR="00675C84" w:rsidRPr="00733EED" w:rsidRDefault="00675C84" w:rsidP="00324B33">
            <w:pPr>
              <w:rPr>
                <w:szCs w:val="22"/>
              </w:rPr>
            </w:pPr>
            <w:r w:rsidRPr="00733EED">
              <w:t>Sponsor’s notification to the TGA of errors/omissions in evaluation reports</w:t>
            </w:r>
          </w:p>
        </w:tc>
        <w:tc>
          <w:tcPr>
            <w:tcW w:w="2693" w:type="dxa"/>
          </w:tcPr>
          <w:p w14:paraId="0D349A3E" w14:textId="3722FE1D" w:rsidR="00675C84" w:rsidRDefault="00733EED" w:rsidP="00324B33">
            <w:pPr>
              <w:cnfStyle w:val="000000000000" w:firstRow="0" w:lastRow="0" w:firstColumn="0" w:lastColumn="0" w:oddVBand="0" w:evenVBand="0" w:oddHBand="0" w:evenHBand="0" w:firstRowFirstColumn="0" w:firstRowLastColumn="0" w:lastRowFirstColumn="0" w:lastRowLastColumn="0"/>
              <w:rPr>
                <w:szCs w:val="22"/>
              </w:rPr>
            </w:pPr>
            <w:r w:rsidRPr="00733EED">
              <w:rPr>
                <w:szCs w:val="22"/>
              </w:rPr>
              <w:t xml:space="preserve">Not </w:t>
            </w:r>
            <w:r>
              <w:rPr>
                <w:szCs w:val="22"/>
              </w:rPr>
              <w:t>submitted</w:t>
            </w:r>
          </w:p>
        </w:tc>
      </w:tr>
      <w:tr w:rsidR="00324B33" w:rsidRPr="00D01DDB" w14:paraId="302FCB45" w14:textId="77777777" w:rsidTr="00077D39">
        <w:tc>
          <w:tcPr>
            <w:cnfStyle w:val="001000000000" w:firstRow="0" w:lastRow="0" w:firstColumn="1" w:lastColumn="0" w:oddVBand="0" w:evenVBand="0" w:oddHBand="0" w:evenHBand="0" w:firstRowFirstColumn="0" w:firstRowLastColumn="0" w:lastRowFirstColumn="0" w:lastRowLastColumn="0"/>
            <w:tcW w:w="5949" w:type="dxa"/>
          </w:tcPr>
          <w:p w14:paraId="716E9DC1" w14:textId="39C6ADAF" w:rsidR="00324B33" w:rsidRPr="00D01DDB" w:rsidRDefault="00324B33" w:rsidP="00324B33">
            <w:pPr>
              <w:rPr>
                <w:szCs w:val="22"/>
              </w:rPr>
            </w:pPr>
            <w:r w:rsidRPr="00D01DDB">
              <w:rPr>
                <w:szCs w:val="22"/>
              </w:rPr>
              <w:t>Delegate’s Overall benefit-risk assessment</w:t>
            </w:r>
            <w:r w:rsidR="00B92292">
              <w:rPr>
                <w:rStyle w:val="FootnoteReference"/>
                <w:szCs w:val="22"/>
              </w:rPr>
              <w:footnoteReference w:id="4"/>
            </w:r>
          </w:p>
        </w:tc>
        <w:tc>
          <w:tcPr>
            <w:tcW w:w="2693" w:type="dxa"/>
          </w:tcPr>
          <w:p w14:paraId="3BA6EF79" w14:textId="31DB1B1E" w:rsidR="00324B33" w:rsidRPr="00D01DDB" w:rsidRDefault="0031210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November 2023</w:t>
            </w:r>
          </w:p>
        </w:tc>
      </w:tr>
      <w:tr w:rsidR="00324B33" w:rsidRPr="00D01DDB" w14:paraId="5754F7AC" w14:textId="77777777" w:rsidTr="00077D39">
        <w:tc>
          <w:tcPr>
            <w:cnfStyle w:val="001000000000" w:firstRow="0" w:lastRow="0" w:firstColumn="1" w:lastColumn="0" w:oddVBand="0" w:evenVBand="0" w:oddHBand="0" w:evenHBand="0" w:firstRowFirstColumn="0" w:firstRowLastColumn="0" w:lastRowFirstColumn="0" w:lastRowLastColumn="0"/>
            <w:tcW w:w="5949" w:type="dxa"/>
          </w:tcPr>
          <w:p w14:paraId="789DE187" w14:textId="123446EE" w:rsidR="00324B33" w:rsidRPr="00E679D1" w:rsidRDefault="00324B33" w:rsidP="00E679D1">
            <w:r w:rsidRPr="00E679D1">
              <w:t>Advisory Committee meeting</w:t>
            </w:r>
          </w:p>
        </w:tc>
        <w:tc>
          <w:tcPr>
            <w:tcW w:w="2693" w:type="dxa"/>
          </w:tcPr>
          <w:p w14:paraId="5BE1EDE7" w14:textId="2390C06B" w:rsidR="00324B33" w:rsidRPr="00D01DDB" w:rsidRDefault="00B9229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required</w:t>
            </w:r>
          </w:p>
        </w:tc>
      </w:tr>
      <w:tr w:rsidR="00324B33" w:rsidRPr="00D01DDB" w14:paraId="6E5D32FE" w14:textId="77777777" w:rsidTr="00077D39">
        <w:tc>
          <w:tcPr>
            <w:cnfStyle w:val="001000000000" w:firstRow="0" w:lastRow="0" w:firstColumn="1" w:lastColumn="0" w:oddVBand="0" w:evenVBand="0" w:oddHBand="0" w:evenHBand="0" w:firstRowFirstColumn="0" w:firstRowLastColumn="0" w:lastRowFirstColumn="0" w:lastRowLastColumn="0"/>
            <w:tcW w:w="5949" w:type="dxa"/>
          </w:tcPr>
          <w:p w14:paraId="4E95C44C" w14:textId="7A91C710" w:rsidR="00324B33" w:rsidRPr="00E679D1" w:rsidRDefault="00324B33" w:rsidP="00E679D1">
            <w:r w:rsidRPr="00E679D1">
              <w:t>Registration decision (Outcome)</w:t>
            </w:r>
          </w:p>
        </w:tc>
        <w:tc>
          <w:tcPr>
            <w:tcW w:w="2693" w:type="dxa"/>
          </w:tcPr>
          <w:p w14:paraId="62987ABD" w14:textId="6A6175DA" w:rsidR="00324B33" w:rsidRPr="00D01DDB" w:rsidRDefault="00B9229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November 2023</w:t>
            </w:r>
          </w:p>
        </w:tc>
      </w:tr>
      <w:tr w:rsidR="00324B33" w:rsidRPr="00D01DDB" w14:paraId="6DDCDDA4" w14:textId="77777777" w:rsidTr="00077D39">
        <w:tc>
          <w:tcPr>
            <w:cnfStyle w:val="001000000000" w:firstRow="0" w:lastRow="0" w:firstColumn="1" w:lastColumn="0" w:oddVBand="0" w:evenVBand="0" w:oddHBand="0" w:evenHBand="0" w:firstRowFirstColumn="0" w:firstRowLastColumn="0" w:lastRowFirstColumn="0" w:lastRowLastColumn="0"/>
            <w:tcW w:w="5949"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693" w:type="dxa"/>
          </w:tcPr>
          <w:p w14:paraId="5A8923FD" w14:textId="605144CC" w:rsidR="00324B33" w:rsidRPr="00D01DDB" w:rsidRDefault="00B9229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November 2023</w:t>
            </w:r>
          </w:p>
        </w:tc>
      </w:tr>
      <w:tr w:rsidR="00324B33" w:rsidRPr="00D01DDB" w14:paraId="56D922E2" w14:textId="77777777" w:rsidTr="00077D39">
        <w:tc>
          <w:tcPr>
            <w:cnfStyle w:val="001000000000" w:firstRow="0" w:lastRow="0" w:firstColumn="1" w:lastColumn="0" w:oddVBand="0" w:evenVBand="0" w:oddHBand="0" w:evenHBand="0" w:firstRowFirstColumn="0" w:firstRowLastColumn="0" w:lastRowFirstColumn="0" w:lastRowLastColumn="0"/>
            <w:tcW w:w="5949" w:type="dxa"/>
          </w:tcPr>
          <w:p w14:paraId="787FD8DD" w14:textId="0E0CF97F" w:rsidR="00324B33" w:rsidRPr="00E679D1" w:rsidRDefault="00324B33" w:rsidP="00E679D1">
            <w:r w:rsidRPr="00E679D1">
              <w:t>Number of working days from submission dossier acceptance to registration decision*</w:t>
            </w:r>
          </w:p>
        </w:tc>
        <w:tc>
          <w:tcPr>
            <w:tcW w:w="2693" w:type="dxa"/>
          </w:tcPr>
          <w:p w14:paraId="5BAF9FA1" w14:textId="419C6BD4" w:rsidR="00324B33" w:rsidRPr="00D01DDB" w:rsidRDefault="00B9229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157</w:t>
            </w:r>
          </w:p>
        </w:tc>
      </w:tr>
    </w:tbl>
    <w:p w14:paraId="47E88CFC" w14:textId="52215AAF" w:rsidR="00433318" w:rsidRDefault="00433318" w:rsidP="00854D98">
      <w:pPr>
        <w:pStyle w:val="TableDescription"/>
      </w:pPr>
      <w:r w:rsidRPr="00006FAB">
        <w:t>* The COR-B process has a 175 working day evaluation and decision timeframe.</w:t>
      </w:r>
    </w:p>
    <w:p w14:paraId="220925F1" w14:textId="7777777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170980400"/>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540151FC" w14:textId="77777777" w:rsidR="00C22214" w:rsidRPr="00BD5DBD" w:rsidRDefault="00C22214" w:rsidP="00BD5DBD">
      <w:pPr>
        <w:rPr>
          <w:szCs w:val="22"/>
        </w:rPr>
      </w:pPr>
      <w:bookmarkStart w:id="35" w:name="_Toc247691528"/>
      <w:bookmarkStart w:id="36" w:name="_Toc314842511"/>
      <w:r w:rsidRPr="00BD5DBD">
        <w:rPr>
          <w:szCs w:val="22"/>
        </w:rPr>
        <w:t>A summary of the TGA’s assessment for this submission is provided below.</w:t>
      </w:r>
    </w:p>
    <w:p w14:paraId="5F5FAA14" w14:textId="77777777" w:rsidR="00C22214" w:rsidRPr="00BD5DBD" w:rsidRDefault="00C22214" w:rsidP="00C22214">
      <w:pPr>
        <w:rPr>
          <w:szCs w:val="22"/>
        </w:rPr>
      </w:pPr>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77777777" w:rsidR="00C22214" w:rsidRDefault="00C22214" w:rsidP="00C22214">
      <w:pPr>
        <w:pStyle w:val="Heading3"/>
      </w:pPr>
      <w:bookmarkStart w:id="37" w:name="_Toc103679295"/>
      <w:bookmarkStart w:id="38" w:name="_Toc170980401"/>
      <w:r>
        <w:t>Quality</w:t>
      </w:r>
      <w:bookmarkEnd w:id="35"/>
      <w:bookmarkEnd w:id="36"/>
      <w:bookmarkEnd w:id="37"/>
      <w:bookmarkEnd w:id="38"/>
    </w:p>
    <w:p w14:paraId="13239605" w14:textId="3385DAD6" w:rsidR="00EB6FEE" w:rsidRDefault="00EB6FEE" w:rsidP="002C5705">
      <w:r>
        <w:t>G</w:t>
      </w:r>
      <w:r w:rsidRPr="00BA1625">
        <w:t>ivosiran</w:t>
      </w:r>
      <w:r w:rsidR="00D10355">
        <w:t xml:space="preserve"> (as </w:t>
      </w:r>
      <w:proofErr w:type="spellStart"/>
      <w:r w:rsidR="00D10355">
        <w:t>givosiran</w:t>
      </w:r>
      <w:proofErr w:type="spellEnd"/>
      <w:r w:rsidRPr="00BA1625">
        <w:t xml:space="preserve"> </w:t>
      </w:r>
      <w:r>
        <w:t>sodium</w:t>
      </w:r>
      <w:r w:rsidR="00D10355">
        <w:t>)</w:t>
      </w:r>
      <w:r>
        <w:t xml:space="preserve"> </w:t>
      </w:r>
      <w:r w:rsidRPr="00BA1625">
        <w:t xml:space="preserve">is a synthetic </w:t>
      </w:r>
      <w:r w:rsidRPr="00F86427">
        <w:t>double stranded RNA molecule</w:t>
      </w:r>
      <w:r>
        <w:t>. Its structure is shown in the Product Information.</w:t>
      </w:r>
    </w:p>
    <w:p w14:paraId="78BD9D52" w14:textId="632BCEAD" w:rsidR="00EB6FEE" w:rsidRDefault="00EB6FEE" w:rsidP="00EB6FEE">
      <w:r>
        <w:t>The solution for injection contains 189</w:t>
      </w:r>
      <w:r w:rsidR="00C528B7">
        <w:t> </w:t>
      </w:r>
      <w:r>
        <w:t xml:space="preserve">mg/mL </w:t>
      </w:r>
      <w:proofErr w:type="spellStart"/>
      <w:r>
        <w:t>givosiran</w:t>
      </w:r>
      <w:proofErr w:type="spellEnd"/>
      <w:r>
        <w:t xml:space="preserve">, equivalent to 200 mg/mL </w:t>
      </w:r>
      <w:proofErr w:type="spellStart"/>
      <w:r>
        <w:t>givosiran</w:t>
      </w:r>
      <w:proofErr w:type="spellEnd"/>
      <w:r>
        <w:t xml:space="preserve"> sodium.</w:t>
      </w:r>
    </w:p>
    <w:p w14:paraId="14986ED5" w14:textId="4FBE46DB" w:rsidR="00E560E3" w:rsidRDefault="00E560E3" w:rsidP="00EB6FEE">
      <w:r>
        <w:t xml:space="preserve">The evaluator reviewed the assessment reports prepared by the COR for the same submission and provided to the TGA by the applicant. The evaluator also assessed any Australia-specific data relating to the composition, development, manufacture, quality control, stability and bioavailability of the product and checked for compliance, as applicable, with Australian legislation and requirements for new medicines and in accordance with </w:t>
      </w:r>
      <w:proofErr w:type="spellStart"/>
      <w:r>
        <w:t>pharmacopoeial</w:t>
      </w:r>
      <w:proofErr w:type="spellEnd"/>
      <w:r>
        <w:t xml:space="preserve"> standards and the technical guidelines adopted by the TGA.</w:t>
      </w:r>
    </w:p>
    <w:p w14:paraId="3D6A81C6" w14:textId="5E22F65B" w:rsidR="006D3631" w:rsidRDefault="006D3631" w:rsidP="00EB6FEE">
      <w:r w:rsidRPr="00E84FAE">
        <w:rPr>
          <w:iCs/>
        </w:rPr>
        <w:t>Approval</w:t>
      </w:r>
      <w:r>
        <w:rPr>
          <w:iCs/>
        </w:rPr>
        <w:t xml:space="preserve"> was</w:t>
      </w:r>
      <w:r w:rsidRPr="00E84FAE">
        <w:rPr>
          <w:iCs/>
        </w:rPr>
        <w:t xml:space="preserve"> recommended for registration of the proposed product from a pharmaceutical chemistry perspective.</w:t>
      </w:r>
      <w:r>
        <w:rPr>
          <w:iCs/>
        </w:rPr>
        <w:t xml:space="preserve"> No</w:t>
      </w:r>
      <w:r>
        <w:t xml:space="preserve"> condition of registration was proposed.</w:t>
      </w:r>
    </w:p>
    <w:p w14:paraId="2BE90AAE" w14:textId="77777777" w:rsidR="00C22214" w:rsidRDefault="00C22214" w:rsidP="00C22214">
      <w:pPr>
        <w:pStyle w:val="Heading3"/>
      </w:pPr>
      <w:bookmarkStart w:id="39" w:name="_Toc314842512"/>
      <w:bookmarkStart w:id="40" w:name="_Toc103679296"/>
      <w:bookmarkStart w:id="41" w:name="_Toc170980402"/>
      <w:r>
        <w:lastRenderedPageBreak/>
        <w:t>Nonclinical</w:t>
      </w:r>
      <w:bookmarkEnd w:id="39"/>
      <w:bookmarkEnd w:id="40"/>
      <w:bookmarkEnd w:id="41"/>
    </w:p>
    <w:p w14:paraId="74024B20" w14:textId="70F7F44D" w:rsidR="00121C9B" w:rsidRPr="00121C9B" w:rsidRDefault="00121C9B" w:rsidP="00121C9B">
      <w:r w:rsidRPr="00121C9B">
        <w:t>The nonclinical dossier was of sound quality and adequate in scope, consistent with</w:t>
      </w:r>
      <w:r w:rsidR="00A43D46">
        <w:t xml:space="preserve"> the relevant </w:t>
      </w:r>
      <w:r w:rsidR="00A43D46" w:rsidRPr="00A43D46">
        <w:t>ICH guideline</w:t>
      </w:r>
      <w:r w:rsidRPr="00A43D46">
        <w:t>.</w:t>
      </w:r>
      <w:r w:rsidR="00A43D46" w:rsidRPr="00A43D46">
        <w:rPr>
          <w:rStyle w:val="FootnoteReference"/>
        </w:rPr>
        <w:footnoteReference w:id="5"/>
      </w:r>
      <w:r w:rsidRPr="00A43D46">
        <w:t xml:space="preserve"> All pivotal safety-related studies were Good Laboratory Practice</w:t>
      </w:r>
      <w:r w:rsidRPr="00A43D46">
        <w:noBreakHyphen/>
        <w:t>compliant.</w:t>
      </w:r>
    </w:p>
    <w:p w14:paraId="45F05307" w14:textId="42198FD2" w:rsidR="00121C9B" w:rsidRPr="00121C9B" w:rsidRDefault="00121C9B" w:rsidP="00121C9B">
      <w:r w:rsidRPr="00121C9B">
        <w:t xml:space="preserve">Inhibition of ALAS1 mRNA expression by </w:t>
      </w:r>
      <w:proofErr w:type="spellStart"/>
      <w:r w:rsidRPr="00121C9B">
        <w:t>givosiran</w:t>
      </w:r>
      <w:proofErr w:type="spellEnd"/>
      <w:r w:rsidRPr="00121C9B">
        <w:t xml:space="preserve"> was demonstrated in a human hepatoma cell line in vitro (</w:t>
      </w:r>
      <w:r w:rsidR="00502481">
        <w:t>half maximal inhibitory concentration</w:t>
      </w:r>
      <w:r w:rsidR="002A0C3E">
        <w:t>:</w:t>
      </w:r>
      <w:r w:rsidRPr="00121C9B">
        <w:t xml:space="preserve"> 26</w:t>
      </w:r>
      <w:r w:rsidR="00502481">
        <w:t> </w:t>
      </w:r>
      <w:proofErr w:type="spellStart"/>
      <w:r w:rsidRPr="00121C9B">
        <w:t>pM</w:t>
      </w:r>
      <w:proofErr w:type="spellEnd"/>
      <w:r w:rsidRPr="00121C9B">
        <w:t xml:space="preserve">) and in the liver of rats and cynomolgus monkeys in vivo. Givosiran prevented increases in serum ALA and PBG in mouse and rat models of </w:t>
      </w:r>
      <w:r w:rsidR="00014EC2">
        <w:t>AIP</w:t>
      </w:r>
      <w:r w:rsidRPr="00121C9B">
        <w:t xml:space="preserve">. The submitted primary pharmacology studies offer support for the utility of </w:t>
      </w:r>
      <w:proofErr w:type="spellStart"/>
      <w:r w:rsidRPr="00121C9B">
        <w:t>givosiran</w:t>
      </w:r>
      <w:proofErr w:type="spellEnd"/>
      <w:r w:rsidRPr="00121C9B">
        <w:t xml:space="preserve"> for the proposed indication.</w:t>
      </w:r>
    </w:p>
    <w:p w14:paraId="2FAE157A" w14:textId="3640436B" w:rsidR="00121C9B" w:rsidRPr="00121C9B" w:rsidRDefault="00121C9B" w:rsidP="00121C9B">
      <w:r w:rsidRPr="00121C9B">
        <w:t xml:space="preserve">Givosiran has been designed to have at least </w:t>
      </w:r>
      <w:r w:rsidR="00344A35">
        <w:t>2</w:t>
      </w:r>
      <w:r w:rsidRPr="00121C9B">
        <w:t xml:space="preserve"> mismatches to every other known or predicted transcript in the human genome. Givosiran was screened for activity against the </w:t>
      </w:r>
      <w:r w:rsidR="00344A35">
        <w:t>6</w:t>
      </w:r>
      <w:r w:rsidRPr="00121C9B">
        <w:t xml:space="preserve"> most likely secondary targets (identified from in silico analysis), with no significant suppression of mRNA expression found.</w:t>
      </w:r>
    </w:p>
    <w:p w14:paraId="447AAC4E" w14:textId="18892435" w:rsidR="00121C9B" w:rsidRPr="00121C9B" w:rsidRDefault="00121C9B" w:rsidP="00121C9B">
      <w:r w:rsidRPr="00121C9B">
        <w:t xml:space="preserve">No adverse effects on </w:t>
      </w:r>
      <w:r w:rsidR="00203296">
        <w:t>the central nervous system</w:t>
      </w:r>
      <w:r w:rsidRPr="00121C9B">
        <w:t xml:space="preserve">, cardiovascular </w:t>
      </w:r>
      <w:r w:rsidR="00926F31">
        <w:t xml:space="preserve">function </w:t>
      </w:r>
      <w:r w:rsidRPr="00121C9B">
        <w:t>or respiratory function were identified in safety pharmacology</w:t>
      </w:r>
      <w:r w:rsidR="00926F31">
        <w:t xml:space="preserve"> or </w:t>
      </w:r>
      <w:r w:rsidRPr="00121C9B">
        <w:t>repeat</w:t>
      </w:r>
      <w:r w:rsidR="00926F31">
        <w:noBreakHyphen/>
      </w:r>
      <w:r w:rsidRPr="00121C9B">
        <w:t>dose toxicity studies.</w:t>
      </w:r>
    </w:p>
    <w:p w14:paraId="31311503" w14:textId="0540BA55" w:rsidR="00121C9B" w:rsidRDefault="00121C9B" w:rsidP="00121C9B">
      <w:r w:rsidRPr="00121C9B">
        <w:t xml:space="preserve">Absorption of </w:t>
      </w:r>
      <w:proofErr w:type="spellStart"/>
      <w:r w:rsidRPr="00121C9B">
        <w:t>givosiran</w:t>
      </w:r>
      <w:proofErr w:type="spellEnd"/>
      <w:r w:rsidRPr="00121C9B">
        <w:t xml:space="preserve"> after </w:t>
      </w:r>
      <w:r w:rsidR="00EA2A17">
        <w:t>subcutaneous</w:t>
      </w:r>
      <w:r w:rsidRPr="00121C9B">
        <w:t xml:space="preserve"> administration was rapid in laboratory animal species and humans. Plasma half-life was short. Distribution to the liver was shown to be rapid, </w:t>
      </w:r>
      <w:proofErr w:type="gramStart"/>
      <w:r w:rsidRPr="00B42A21">
        <w:t>extensive</w:t>
      </w:r>
      <w:proofErr w:type="gramEnd"/>
      <w:r w:rsidRPr="00B42A21">
        <w:t xml:space="preserve"> and prolonged in rats and monkeys, with the liver AUC</w:t>
      </w:r>
      <w:r w:rsidRPr="00B42A21">
        <w:rPr>
          <w:vertAlign w:val="subscript"/>
        </w:rPr>
        <w:t>0–t</w:t>
      </w:r>
      <w:r w:rsidRPr="00B42A21">
        <w:t xml:space="preserve"> thousands of times higher</w:t>
      </w:r>
      <w:r w:rsidRPr="00121C9B">
        <w:t xml:space="preserve"> than that for plasma. The kidney showed the next highest exposure. No penetration of the blood</w:t>
      </w:r>
      <w:r w:rsidR="009F7788">
        <w:noBreakHyphen/>
      </w:r>
      <w:r w:rsidRPr="00121C9B">
        <w:t>brain barrier was evident in rats. Plasma protein binding was high up to clinically relevant concentrations, and similar in humans and laboratory animal species.</w:t>
      </w:r>
    </w:p>
    <w:p w14:paraId="42FFE46A" w14:textId="372AD126" w:rsidR="00121C9B" w:rsidRPr="00121C9B" w:rsidRDefault="00121C9B" w:rsidP="00121C9B">
      <w:r w:rsidRPr="00803147">
        <w:t xml:space="preserve">Metabolism of </w:t>
      </w:r>
      <w:proofErr w:type="spellStart"/>
      <w:r w:rsidRPr="00803147">
        <w:t>givosiran</w:t>
      </w:r>
      <w:proofErr w:type="spellEnd"/>
      <w:r w:rsidRPr="00803147">
        <w:t xml:space="preserve"> is via nucleases rather than </w:t>
      </w:r>
      <w:r w:rsidR="00803147" w:rsidRPr="00803147">
        <w:t>cytochrome</w:t>
      </w:r>
      <w:r w:rsidR="00B11F6F">
        <w:t xml:space="preserve"> P450</w:t>
      </w:r>
      <w:r w:rsidR="00826DB3">
        <w:t xml:space="preserve"> (CYP)</w:t>
      </w:r>
      <w:r w:rsidRPr="00803147">
        <w:t>. Loss of one nucleotide from</w:t>
      </w:r>
      <w:r w:rsidRPr="00121C9B">
        <w:t xml:space="preserve"> the 3′ end of the antisense strand of </w:t>
      </w:r>
      <w:proofErr w:type="spellStart"/>
      <w:r w:rsidRPr="00121C9B">
        <w:t>givosiran</w:t>
      </w:r>
      <w:proofErr w:type="spellEnd"/>
      <w:r w:rsidRPr="00121C9B">
        <w:t xml:space="preserve"> gives rise to a single major circulating metabolite in humans and laboratory animal species, AS(N</w:t>
      </w:r>
      <w:r w:rsidR="0073519E">
        <w:noBreakHyphen/>
      </w:r>
      <w:r w:rsidRPr="00121C9B">
        <w:t>1)3′</w:t>
      </w:r>
      <w:r w:rsidR="0073519E">
        <w:t>−</w:t>
      </w:r>
      <w:r w:rsidRPr="00121C9B">
        <w:t>givosiran; this metabolite retains full pharmacological activity and is expected to contribute to efficacy in patients. Excretion was shown to be predominantly via the urine in rats and monkeys.</w:t>
      </w:r>
    </w:p>
    <w:p w14:paraId="6DEA858E" w14:textId="27E59FD8" w:rsidR="00121C9B" w:rsidRPr="00121C9B" w:rsidRDefault="00121C9B" w:rsidP="00121C9B">
      <w:r w:rsidRPr="00121C9B">
        <w:t>Givosiran is not a substrate or inhibitor of major drug transporters at clinically relevant concentrations and does not directly inhibit CYPs. Givosiran has the potential to reduce CYP activity in the liver though, via its pharmacological effect to downregulate ALAS1 leading to a reduction in the availability of heme for use as a CYP cofactor.</w:t>
      </w:r>
    </w:p>
    <w:p w14:paraId="59128AA0" w14:textId="77777777" w:rsidR="00121C9B" w:rsidRPr="00121C9B" w:rsidRDefault="00121C9B" w:rsidP="00121C9B">
      <w:r w:rsidRPr="00121C9B">
        <w:t>Givosiran showed a low order of acute toxicity in laboratory animal species.</w:t>
      </w:r>
    </w:p>
    <w:p w14:paraId="375D07A6" w14:textId="486BB223" w:rsidR="00121C9B" w:rsidRPr="00121C9B" w:rsidRDefault="00121C9B" w:rsidP="00121C9B">
      <w:r w:rsidRPr="00121C9B">
        <w:t>Pivotal repeat</w:t>
      </w:r>
      <w:r w:rsidR="00363B4D">
        <w:noBreakHyphen/>
      </w:r>
      <w:r w:rsidRPr="00121C9B">
        <w:t xml:space="preserve">dose toxicity studies by the </w:t>
      </w:r>
      <w:r w:rsidR="00363B4D">
        <w:t>subcutan</w:t>
      </w:r>
      <w:r w:rsidR="0048139C">
        <w:t>eous</w:t>
      </w:r>
      <w:r w:rsidRPr="00121C9B">
        <w:t xml:space="preserve"> route were conducted in rats (6</w:t>
      </w:r>
      <w:r w:rsidR="00964776">
        <w:t> </w:t>
      </w:r>
      <w:r w:rsidRPr="00121C9B">
        <w:t>months duration) and cynomolgus monkeys (9</w:t>
      </w:r>
      <w:r w:rsidR="00964776">
        <w:t> </w:t>
      </w:r>
      <w:r w:rsidRPr="00121C9B">
        <w:t xml:space="preserve">months duration). The liver was identified as the key target organ for toxicity, with effects additionally observed in the kidney, pancreas, lymph nodes and injection site. Many of the microscopic changes observed represent drug accumulation rather than toxicity. Hepatocellular single cell necrosis was the most toxicologically significant finding. In monkeys, this was only of minimal severity at a dose yielding exposure </w:t>
      </w:r>
      <w:r w:rsidR="00964776">
        <w:t xml:space="preserve">at least </w:t>
      </w:r>
      <w:r w:rsidRPr="00121C9B">
        <w:t>170</w:t>
      </w:r>
      <w:r w:rsidR="00964776">
        <w:t> </w:t>
      </w:r>
      <w:r w:rsidRPr="00121C9B">
        <w:t>times higher than in patients, and not observed with dosing at 26</w:t>
      </w:r>
      <w:r w:rsidR="00964776">
        <w:t> </w:t>
      </w:r>
      <w:r w:rsidRPr="00121C9B">
        <w:t>times the clinical exposure.</w:t>
      </w:r>
    </w:p>
    <w:p w14:paraId="06FB37E3" w14:textId="2F31E9ED" w:rsidR="00121C9B" w:rsidRPr="00121C9B" w:rsidRDefault="00121C9B" w:rsidP="00121C9B">
      <w:r w:rsidRPr="00121C9B">
        <w:t xml:space="preserve">Givosiran was negative in the standard battery of tests for genotoxicity and was shown not to be carcinogenic in transgenic mice or in female rats. An increase in hepatocellular adenoma was </w:t>
      </w:r>
      <w:r w:rsidRPr="00215666">
        <w:t>observed in male rats with treatment at 100</w:t>
      </w:r>
      <w:r w:rsidR="00D42B4C" w:rsidRPr="00215666">
        <w:t> </w:t>
      </w:r>
      <w:r w:rsidRPr="00215666">
        <w:t>mg/kg/month (yielding 40</w:t>
      </w:r>
      <w:r w:rsidR="00D42B4C" w:rsidRPr="00215666">
        <w:t> </w:t>
      </w:r>
      <w:r w:rsidRPr="00215666">
        <w:t>times the plasma AUC in</w:t>
      </w:r>
      <w:r w:rsidRPr="00121C9B">
        <w:t xml:space="preserve"> </w:t>
      </w:r>
      <w:r w:rsidRPr="00576E33">
        <w:t xml:space="preserve">patients). Relative exposure at the </w:t>
      </w:r>
      <w:r w:rsidR="00576E33" w:rsidRPr="00576E33">
        <w:t>no observed effect level (</w:t>
      </w:r>
      <w:r w:rsidRPr="00576E33">
        <w:t>NOEL</w:t>
      </w:r>
      <w:r w:rsidR="00576E33" w:rsidRPr="00576E33">
        <w:t>)</w:t>
      </w:r>
      <w:r w:rsidRPr="00576E33">
        <w:t xml:space="preserve"> for carcinogenicity in male</w:t>
      </w:r>
      <w:r w:rsidRPr="00121C9B">
        <w:t xml:space="preserve"> rats, 50</w:t>
      </w:r>
      <w:r w:rsidR="00D42B4C">
        <w:t> </w:t>
      </w:r>
      <w:r w:rsidRPr="00121C9B">
        <w:t xml:space="preserve">mg/kg/month, is 17. Based on the exposure margins, and absence of similar tumour </w:t>
      </w:r>
      <w:r w:rsidRPr="00121C9B">
        <w:lastRenderedPageBreak/>
        <w:t>findings in transgenic mice or female rats, the clinical relevance of the observed increase in hepatocellular adenoma in male rats appears to be limited.</w:t>
      </w:r>
    </w:p>
    <w:p w14:paraId="6E9BA500" w14:textId="711F0A22" w:rsidR="00121C9B" w:rsidRPr="00121C9B" w:rsidRDefault="00121C9B" w:rsidP="00121C9B">
      <w:r w:rsidRPr="00121C9B">
        <w:t xml:space="preserve">Givosiran did not impair male or female fertility in rats. No adverse effects on embryofetal development were observed with </w:t>
      </w:r>
      <w:proofErr w:type="spellStart"/>
      <w:r w:rsidRPr="00121C9B">
        <w:t>givosiran</w:t>
      </w:r>
      <w:proofErr w:type="spellEnd"/>
      <w:r w:rsidRPr="00121C9B">
        <w:t xml:space="preserve"> in rats. </w:t>
      </w:r>
      <w:proofErr w:type="spellStart"/>
      <w:r w:rsidRPr="00121C9B">
        <w:t>Embryolethality</w:t>
      </w:r>
      <w:proofErr w:type="spellEnd"/>
      <w:r w:rsidRPr="00121C9B">
        <w:t xml:space="preserve"> was encountered in rabbits, but this occurred only in conjunction with significant </w:t>
      </w:r>
      <w:proofErr w:type="spellStart"/>
      <w:r w:rsidRPr="00121C9B">
        <w:t>maternotoxicity</w:t>
      </w:r>
      <w:proofErr w:type="spellEnd"/>
      <w:r w:rsidRPr="00121C9B">
        <w:t>; malformations were not observed. Postnatal development was unaffected in rats. Assignment to Pregnancy Category</w:t>
      </w:r>
      <w:r w:rsidR="00634A77">
        <w:t> </w:t>
      </w:r>
      <w:r w:rsidRPr="00121C9B">
        <w:t>B3 is warranted.</w:t>
      </w:r>
      <w:r w:rsidR="001A2FA5">
        <w:rPr>
          <w:rStyle w:val="FootnoteReference"/>
        </w:rPr>
        <w:footnoteReference w:id="6"/>
      </w:r>
    </w:p>
    <w:p w14:paraId="6415F146" w14:textId="77777777" w:rsidR="00121C9B" w:rsidRPr="00121C9B" w:rsidRDefault="00121C9B" w:rsidP="00121C9B">
      <w:r w:rsidRPr="00121C9B">
        <w:t xml:space="preserve">Supporting safety in paediatric patients, the pivotal 9-month study in monkeys used juvenile animals, and developing systems were not identified as targets for </w:t>
      </w:r>
      <w:proofErr w:type="spellStart"/>
      <w:r w:rsidRPr="00121C9B">
        <w:t>givosiran</w:t>
      </w:r>
      <w:proofErr w:type="spellEnd"/>
      <w:r w:rsidRPr="00121C9B">
        <w:t xml:space="preserve"> toxicity.</w:t>
      </w:r>
    </w:p>
    <w:p w14:paraId="38D6096F" w14:textId="77777777" w:rsidR="00121C9B" w:rsidRPr="00121C9B" w:rsidRDefault="00121C9B" w:rsidP="00121C9B">
      <w:r w:rsidRPr="00121C9B">
        <w:t>Acceptable local tolerance was demonstrated in animals.</w:t>
      </w:r>
    </w:p>
    <w:p w14:paraId="0634BC99" w14:textId="2B85F1D7" w:rsidR="00121C9B" w:rsidRPr="00121C9B" w:rsidRDefault="00121C9B" w:rsidP="00121C9B">
      <w:r w:rsidRPr="00121C9B">
        <w:t xml:space="preserve">There </w:t>
      </w:r>
      <w:r w:rsidR="00FE12EA">
        <w:t>is</w:t>
      </w:r>
      <w:r w:rsidRPr="00121C9B">
        <w:t xml:space="preserve"> no nonclinical objection to the registration of G</w:t>
      </w:r>
      <w:r w:rsidR="00FE12EA">
        <w:t>ivlaari</w:t>
      </w:r>
      <w:r w:rsidRPr="00121C9B">
        <w:t xml:space="preserve"> for the proposed indication.</w:t>
      </w:r>
    </w:p>
    <w:p w14:paraId="35B580A5" w14:textId="69B9BE44" w:rsidR="00C22214" w:rsidRDefault="00C22214" w:rsidP="008804CF">
      <w:pPr>
        <w:pStyle w:val="Heading3"/>
      </w:pPr>
      <w:bookmarkStart w:id="42" w:name="_Toc247691530"/>
      <w:bookmarkStart w:id="43" w:name="_Toc314842513"/>
      <w:bookmarkStart w:id="44" w:name="_Toc103679297"/>
      <w:bookmarkStart w:id="45" w:name="_Toc170980403"/>
      <w:r>
        <w:t>Clinical</w:t>
      </w:r>
      <w:bookmarkEnd w:id="42"/>
      <w:bookmarkEnd w:id="43"/>
      <w:bookmarkEnd w:id="44"/>
      <w:bookmarkEnd w:id="45"/>
    </w:p>
    <w:p w14:paraId="32B0DEDA" w14:textId="77777777" w:rsidR="00C22214" w:rsidRPr="00433318" w:rsidRDefault="00C22214" w:rsidP="00433318">
      <w:pPr>
        <w:pStyle w:val="Heading4"/>
      </w:pPr>
      <w:bookmarkStart w:id="46" w:name="_Toc98931928"/>
      <w:bookmarkStart w:id="47" w:name="_Toc170980404"/>
      <w:r>
        <w:t>Summary of clinical studies</w:t>
      </w:r>
      <w:bookmarkEnd w:id="46"/>
      <w:bookmarkEnd w:id="47"/>
    </w:p>
    <w:p w14:paraId="2B5461B5" w14:textId="7341D8A5" w:rsidR="00C0597A" w:rsidRPr="003B4A6C" w:rsidRDefault="00C22214" w:rsidP="005874B5">
      <w:pPr>
        <w:rPr>
          <w:szCs w:val="22"/>
        </w:rPr>
      </w:pPr>
      <w:r w:rsidRPr="00BD5DBD">
        <w:rPr>
          <w:szCs w:val="22"/>
        </w:rPr>
        <w:t>The clinical dossier consisted of</w:t>
      </w:r>
      <w:r w:rsidR="005874B5">
        <w:rPr>
          <w:szCs w:val="22"/>
        </w:rPr>
        <w:t xml:space="preserve"> the studies shown </w:t>
      </w:r>
      <w:r w:rsidR="00703B24">
        <w:rPr>
          <w:szCs w:val="22"/>
        </w:rPr>
        <w:t>in</w:t>
      </w:r>
      <w:r w:rsidR="00A57701">
        <w:rPr>
          <w:szCs w:val="22"/>
        </w:rPr>
        <w:t xml:space="preserve"> </w:t>
      </w:r>
      <w:r w:rsidR="00A57701">
        <w:rPr>
          <w:szCs w:val="22"/>
        </w:rPr>
        <w:fldChar w:fldCharType="begin"/>
      </w:r>
      <w:r w:rsidR="00A57701">
        <w:rPr>
          <w:szCs w:val="22"/>
        </w:rPr>
        <w:instrText xml:space="preserve"> REF _Ref162254894 \h </w:instrText>
      </w:r>
      <w:r w:rsidR="00A57701">
        <w:rPr>
          <w:szCs w:val="22"/>
        </w:rPr>
      </w:r>
      <w:r w:rsidR="00A57701">
        <w:rPr>
          <w:szCs w:val="22"/>
        </w:rPr>
        <w:fldChar w:fldCharType="separate"/>
      </w:r>
      <w:r w:rsidR="007C529A">
        <w:t xml:space="preserve">Table </w:t>
      </w:r>
      <w:r w:rsidR="007C529A">
        <w:rPr>
          <w:noProof/>
        </w:rPr>
        <w:t>3</w:t>
      </w:r>
      <w:r w:rsidR="00A57701">
        <w:rPr>
          <w:szCs w:val="22"/>
        </w:rPr>
        <w:fldChar w:fldCharType="end"/>
      </w:r>
      <w:r w:rsidR="005874B5">
        <w:rPr>
          <w:szCs w:val="22"/>
        </w:rPr>
        <w:t>.</w:t>
      </w:r>
    </w:p>
    <w:p w14:paraId="09297E98" w14:textId="4692C987" w:rsidR="006C2108" w:rsidRDefault="00C0597A" w:rsidP="00C0597A">
      <w:r w:rsidRPr="0018666E">
        <w:t>Th</w:t>
      </w:r>
      <w:r w:rsidR="005874B5" w:rsidRPr="0018666E">
        <w:t xml:space="preserve">e TGA </w:t>
      </w:r>
      <w:r w:rsidRPr="0018666E">
        <w:t xml:space="preserve">evaluation </w:t>
      </w:r>
      <w:r w:rsidR="005874B5" w:rsidRPr="0018666E">
        <w:t>was</w:t>
      </w:r>
      <w:r w:rsidRPr="0018666E">
        <w:t xml:space="preserve"> based on the EU Rapporteur and </w:t>
      </w:r>
      <w:proofErr w:type="gramStart"/>
      <w:r w:rsidRPr="0018666E">
        <w:t>Co-Rapporteur day</w:t>
      </w:r>
      <w:proofErr w:type="gramEnd"/>
      <w:r w:rsidRPr="0018666E">
        <w:t xml:space="preserve"> 60 critical assessment report, EU Rapporteurs day 150 joint </w:t>
      </w:r>
      <w:r w:rsidR="007E0009" w:rsidRPr="0018666E">
        <w:t>Committee for Medicinal Products for Human Use (CHMP)</w:t>
      </w:r>
      <w:r w:rsidRPr="0018666E">
        <w:t xml:space="preserve"> and </w:t>
      </w:r>
      <w:r w:rsidR="00D606FC" w:rsidRPr="0018666E">
        <w:t>Pharmacovigilance Risk Assessment Committee (</w:t>
      </w:r>
      <w:r w:rsidRPr="0018666E">
        <w:t>PRAC</w:t>
      </w:r>
      <w:r w:rsidR="00D606FC" w:rsidRPr="0018666E">
        <w:t>)</w:t>
      </w:r>
      <w:r w:rsidRPr="0018666E">
        <w:t xml:space="preserve"> assessment report, </w:t>
      </w:r>
      <w:r w:rsidR="00E30945" w:rsidRPr="0018666E">
        <w:t xml:space="preserve">and a consolidated version of the </w:t>
      </w:r>
      <w:r w:rsidRPr="0018666E">
        <w:t xml:space="preserve">CHMP positive opinion and </w:t>
      </w:r>
      <w:r w:rsidR="00AB0A16" w:rsidRPr="0018666E">
        <w:t xml:space="preserve">European </w:t>
      </w:r>
      <w:r w:rsidR="00D24307" w:rsidRPr="0018666E">
        <w:t xml:space="preserve">Public </w:t>
      </w:r>
      <w:r w:rsidR="00AB0A16" w:rsidRPr="0018666E">
        <w:t>Assessment Report</w:t>
      </w:r>
      <w:r w:rsidR="00D24307" w:rsidRPr="0018666E">
        <w:t xml:space="preserve"> (EPAR)</w:t>
      </w:r>
      <w:r w:rsidR="00413A6B" w:rsidRPr="0018666E">
        <w:t>.</w:t>
      </w:r>
      <w:r w:rsidR="001F7420" w:rsidRPr="0018666E">
        <w:rPr>
          <w:rStyle w:val="FootnoteReference"/>
        </w:rPr>
        <w:footnoteReference w:id="7"/>
      </w:r>
    </w:p>
    <w:p w14:paraId="11C8A384" w14:textId="745619E5" w:rsidR="00A57701" w:rsidRDefault="00A57701" w:rsidP="00F16AF5">
      <w:pPr>
        <w:pStyle w:val="TableTitle"/>
        <w:rPr>
          <w:lang w:val="en-GB"/>
        </w:rPr>
      </w:pPr>
      <w:bookmarkStart w:id="48" w:name="_Ref162254894"/>
      <w:bookmarkStart w:id="49" w:name="_Ref162254888"/>
      <w:r>
        <w:t xml:space="preserve">Table </w:t>
      </w:r>
      <w:fldSimple w:instr=" SEQ Table \* ARABIC ">
        <w:r w:rsidR="007C529A">
          <w:rPr>
            <w:noProof/>
          </w:rPr>
          <w:t>3</w:t>
        </w:r>
      </w:fldSimple>
      <w:bookmarkEnd w:id="48"/>
      <w:r>
        <w:t>: Summary of clinical studies</w:t>
      </w:r>
      <w:bookmarkEnd w:id="49"/>
    </w:p>
    <w:tbl>
      <w:tblPr>
        <w:tblStyle w:val="TableGrid"/>
        <w:tblW w:w="0" w:type="auto"/>
        <w:tblLook w:val="04A0" w:firstRow="1" w:lastRow="0" w:firstColumn="1" w:lastColumn="0" w:noHBand="0" w:noVBand="1"/>
      </w:tblPr>
      <w:tblGrid>
        <w:gridCol w:w="2405"/>
        <w:gridCol w:w="2693"/>
        <w:gridCol w:w="2002"/>
        <w:gridCol w:w="1785"/>
      </w:tblGrid>
      <w:tr w:rsidR="00A57701" w:rsidRPr="004C27B3" w14:paraId="32D19711" w14:textId="77777777" w:rsidTr="00F16AF5">
        <w:trPr>
          <w:cantSplit/>
          <w:tblHeader/>
        </w:trPr>
        <w:tc>
          <w:tcPr>
            <w:tcW w:w="2405" w:type="dxa"/>
            <w:tcBorders>
              <w:top w:val="single" w:sz="4" w:space="0" w:color="auto"/>
              <w:left w:val="single" w:sz="4" w:space="0" w:color="auto"/>
              <w:bottom w:val="single" w:sz="4" w:space="0" w:color="auto"/>
              <w:right w:val="single" w:sz="4" w:space="0" w:color="auto"/>
            </w:tcBorders>
            <w:shd w:val="clear" w:color="auto" w:fill="DEEAF6"/>
            <w:hideMark/>
          </w:tcPr>
          <w:p w14:paraId="307C9386" w14:textId="77777777" w:rsidR="00A57701" w:rsidRPr="004C27B3" w:rsidRDefault="00A57701" w:rsidP="004C27B3">
            <w:pPr>
              <w:keepNext/>
              <w:spacing w:before="80" w:after="40" w:line="264" w:lineRule="auto"/>
              <w:ind w:left="113"/>
              <w:rPr>
                <w:b/>
                <w:color w:val="263287"/>
                <w:szCs w:val="22"/>
              </w:rPr>
            </w:pPr>
            <w:r w:rsidRPr="004C27B3">
              <w:rPr>
                <w:b/>
                <w:color w:val="263287"/>
                <w:szCs w:val="22"/>
              </w:rPr>
              <w:t>Study, Status, Data Cut-off</w:t>
            </w:r>
          </w:p>
        </w:tc>
        <w:tc>
          <w:tcPr>
            <w:tcW w:w="2693" w:type="dxa"/>
            <w:tcBorders>
              <w:top w:val="single" w:sz="4" w:space="0" w:color="auto"/>
              <w:left w:val="single" w:sz="4" w:space="0" w:color="auto"/>
              <w:bottom w:val="single" w:sz="4" w:space="0" w:color="auto"/>
              <w:right w:val="single" w:sz="4" w:space="0" w:color="auto"/>
            </w:tcBorders>
            <w:shd w:val="clear" w:color="auto" w:fill="DEEAF6"/>
            <w:hideMark/>
          </w:tcPr>
          <w:p w14:paraId="36345512" w14:textId="77777777" w:rsidR="00A57701" w:rsidRPr="004C27B3" w:rsidRDefault="00A57701" w:rsidP="004C27B3">
            <w:pPr>
              <w:keepNext/>
              <w:spacing w:before="80" w:after="40" w:line="264" w:lineRule="auto"/>
              <w:ind w:left="113"/>
              <w:rPr>
                <w:b/>
                <w:color w:val="263287"/>
                <w:szCs w:val="22"/>
              </w:rPr>
            </w:pPr>
            <w:r w:rsidRPr="004C27B3">
              <w:rPr>
                <w:b/>
                <w:color w:val="263287"/>
                <w:szCs w:val="22"/>
              </w:rPr>
              <w:t>Study Design, Objectives, Location</w:t>
            </w:r>
          </w:p>
        </w:tc>
        <w:tc>
          <w:tcPr>
            <w:tcW w:w="1901" w:type="dxa"/>
            <w:tcBorders>
              <w:top w:val="single" w:sz="4" w:space="0" w:color="auto"/>
              <w:left w:val="single" w:sz="4" w:space="0" w:color="auto"/>
              <w:bottom w:val="single" w:sz="4" w:space="0" w:color="auto"/>
              <w:right w:val="single" w:sz="4" w:space="0" w:color="auto"/>
            </w:tcBorders>
            <w:shd w:val="clear" w:color="auto" w:fill="DEEAF6"/>
            <w:hideMark/>
          </w:tcPr>
          <w:p w14:paraId="10B061C4" w14:textId="77777777" w:rsidR="00A57701" w:rsidRPr="004C27B3" w:rsidRDefault="00A57701" w:rsidP="004C27B3">
            <w:pPr>
              <w:keepNext/>
              <w:spacing w:before="80" w:after="40" w:line="264" w:lineRule="auto"/>
              <w:ind w:left="113"/>
              <w:rPr>
                <w:b/>
                <w:color w:val="263287"/>
                <w:szCs w:val="22"/>
              </w:rPr>
            </w:pPr>
            <w:r w:rsidRPr="004C27B3">
              <w:rPr>
                <w:b/>
                <w:color w:val="263287"/>
                <w:szCs w:val="22"/>
              </w:rPr>
              <w:t>Dose(s)</w:t>
            </w:r>
          </w:p>
        </w:tc>
        <w:tc>
          <w:tcPr>
            <w:tcW w:w="1785" w:type="dxa"/>
            <w:tcBorders>
              <w:top w:val="single" w:sz="4" w:space="0" w:color="auto"/>
              <w:left w:val="single" w:sz="4" w:space="0" w:color="auto"/>
              <w:bottom w:val="single" w:sz="4" w:space="0" w:color="auto"/>
              <w:right w:val="single" w:sz="4" w:space="0" w:color="auto"/>
            </w:tcBorders>
            <w:shd w:val="clear" w:color="auto" w:fill="DEEAF6"/>
            <w:hideMark/>
          </w:tcPr>
          <w:p w14:paraId="59A367F4" w14:textId="77777777" w:rsidR="00A57701" w:rsidRPr="004C27B3" w:rsidRDefault="00A57701" w:rsidP="004C27B3">
            <w:pPr>
              <w:keepNext/>
              <w:spacing w:before="80" w:after="40" w:line="264" w:lineRule="auto"/>
              <w:ind w:left="113"/>
              <w:rPr>
                <w:b/>
                <w:color w:val="263287"/>
                <w:szCs w:val="22"/>
              </w:rPr>
            </w:pPr>
            <w:r w:rsidRPr="004C27B3">
              <w:rPr>
                <w:b/>
                <w:color w:val="263287"/>
                <w:szCs w:val="22"/>
              </w:rPr>
              <w:t xml:space="preserve">N, </w:t>
            </w:r>
          </w:p>
          <w:p w14:paraId="6CD7EDFB" w14:textId="77777777" w:rsidR="00A57701" w:rsidRPr="004C27B3" w:rsidRDefault="00A57701" w:rsidP="004C27B3">
            <w:pPr>
              <w:keepNext/>
              <w:spacing w:before="80" w:after="40" w:line="264" w:lineRule="auto"/>
              <w:ind w:left="113"/>
              <w:rPr>
                <w:b/>
                <w:color w:val="263287"/>
                <w:szCs w:val="22"/>
              </w:rPr>
            </w:pPr>
            <w:r w:rsidRPr="004C27B3">
              <w:rPr>
                <w:b/>
                <w:color w:val="263287"/>
                <w:szCs w:val="22"/>
              </w:rPr>
              <w:t>Patient Type</w:t>
            </w:r>
          </w:p>
        </w:tc>
      </w:tr>
      <w:tr w:rsidR="00A57701" w14:paraId="60DB8E0B" w14:textId="77777777" w:rsidTr="00A57701">
        <w:trPr>
          <w:cantSplit/>
        </w:trPr>
        <w:tc>
          <w:tcPr>
            <w:tcW w:w="2405" w:type="dxa"/>
            <w:vMerge w:val="restart"/>
            <w:tcBorders>
              <w:top w:val="single" w:sz="4" w:space="0" w:color="auto"/>
              <w:left w:val="single" w:sz="4" w:space="0" w:color="auto"/>
              <w:bottom w:val="single" w:sz="4" w:space="0" w:color="auto"/>
              <w:right w:val="single" w:sz="4" w:space="0" w:color="auto"/>
            </w:tcBorders>
            <w:hideMark/>
          </w:tcPr>
          <w:p w14:paraId="2D9D3BC5" w14:textId="77777777" w:rsidR="00A57701" w:rsidRDefault="00A57701">
            <w:pPr>
              <w:spacing w:after="40"/>
              <w:rPr>
                <w:b/>
                <w:szCs w:val="22"/>
                <w:lang w:eastAsia="en-US"/>
              </w:rPr>
            </w:pPr>
            <w:r>
              <w:rPr>
                <w:b/>
                <w:szCs w:val="22"/>
                <w:lang w:eastAsia="en-US"/>
              </w:rPr>
              <w:t xml:space="preserve">ALN-AS1-001 </w:t>
            </w:r>
          </w:p>
          <w:p w14:paraId="040AD12F" w14:textId="77777777" w:rsidR="00A57701" w:rsidRDefault="00A57701">
            <w:pPr>
              <w:spacing w:after="40"/>
              <w:rPr>
                <w:b/>
                <w:szCs w:val="22"/>
                <w:lang w:eastAsia="en-US"/>
              </w:rPr>
            </w:pPr>
            <w:r>
              <w:rPr>
                <w:b/>
                <w:szCs w:val="22"/>
                <w:lang w:eastAsia="en-US"/>
              </w:rPr>
              <w:t>(Study 001)</w:t>
            </w:r>
          </w:p>
          <w:p w14:paraId="2E0798AB" w14:textId="77777777" w:rsidR="00A57701" w:rsidRDefault="00A57701">
            <w:pPr>
              <w:spacing w:after="40"/>
              <w:rPr>
                <w:i/>
                <w:szCs w:val="22"/>
                <w:lang w:eastAsia="en-US"/>
              </w:rPr>
            </w:pPr>
            <w:r>
              <w:rPr>
                <w:i/>
                <w:szCs w:val="22"/>
                <w:lang w:eastAsia="en-US"/>
              </w:rPr>
              <w:t>Completed</w:t>
            </w:r>
          </w:p>
          <w:p w14:paraId="7478B27B" w14:textId="77777777" w:rsidR="00A57701" w:rsidRDefault="00A57701">
            <w:pPr>
              <w:spacing w:after="40"/>
              <w:rPr>
                <w:i/>
                <w:szCs w:val="22"/>
                <w:lang w:eastAsia="en-US"/>
              </w:rPr>
            </w:pPr>
            <w:r>
              <w:rPr>
                <w:i/>
                <w:szCs w:val="22"/>
                <w:lang w:eastAsia="en-US"/>
              </w:rPr>
              <w:t xml:space="preserve">Data lock: </w:t>
            </w:r>
          </w:p>
          <w:p w14:paraId="55641B22" w14:textId="77777777" w:rsidR="00A57701" w:rsidRDefault="00A57701">
            <w:pPr>
              <w:spacing w:after="40"/>
              <w:rPr>
                <w:b/>
                <w:szCs w:val="22"/>
                <w:lang w:eastAsia="en-US"/>
              </w:rPr>
            </w:pPr>
            <w:r>
              <w:rPr>
                <w:i/>
                <w:szCs w:val="22"/>
                <w:lang w:eastAsia="en-US"/>
              </w:rPr>
              <w:t>23 Oct 2017</w:t>
            </w:r>
          </w:p>
        </w:tc>
        <w:tc>
          <w:tcPr>
            <w:tcW w:w="2693" w:type="dxa"/>
            <w:tcBorders>
              <w:top w:val="single" w:sz="4" w:space="0" w:color="auto"/>
              <w:left w:val="single" w:sz="4" w:space="0" w:color="auto"/>
              <w:bottom w:val="single" w:sz="4" w:space="0" w:color="auto"/>
              <w:right w:val="single" w:sz="4" w:space="0" w:color="auto"/>
            </w:tcBorders>
            <w:hideMark/>
          </w:tcPr>
          <w:p w14:paraId="7C71CA54" w14:textId="77777777" w:rsidR="00A57701" w:rsidRDefault="00A57701">
            <w:pPr>
              <w:spacing w:after="40"/>
              <w:rPr>
                <w:bCs/>
                <w:szCs w:val="22"/>
                <w:lang w:eastAsia="en-US"/>
              </w:rPr>
            </w:pPr>
            <w:r>
              <w:rPr>
                <w:szCs w:val="22"/>
                <w:lang w:eastAsia="en-US"/>
              </w:rPr>
              <w:t>Phase 1, randomized, single</w:t>
            </w:r>
            <w:r>
              <w:rPr>
                <w:szCs w:val="22"/>
                <w:lang w:eastAsia="en-US"/>
              </w:rPr>
              <w:noBreakHyphen/>
              <w:t xml:space="preserve">blind </w:t>
            </w:r>
            <w:r>
              <w:rPr>
                <w:szCs w:val="22"/>
                <w:lang w:eastAsia="en-US"/>
              </w:rPr>
              <w:br/>
              <w:t>SAD (Part A, 001A) and MAD (Part B, 001B)</w:t>
            </w:r>
          </w:p>
        </w:tc>
        <w:tc>
          <w:tcPr>
            <w:tcW w:w="1901" w:type="dxa"/>
            <w:tcBorders>
              <w:top w:val="single" w:sz="4" w:space="0" w:color="auto"/>
              <w:left w:val="single" w:sz="4" w:space="0" w:color="auto"/>
              <w:bottom w:val="single" w:sz="4" w:space="0" w:color="auto"/>
              <w:right w:val="single" w:sz="4" w:space="0" w:color="auto"/>
            </w:tcBorders>
            <w:hideMark/>
          </w:tcPr>
          <w:p w14:paraId="346BF6B2" w14:textId="77777777" w:rsidR="00A57701" w:rsidRDefault="00A57701">
            <w:pPr>
              <w:spacing w:after="40"/>
              <w:rPr>
                <w:bCs/>
                <w:szCs w:val="22"/>
                <w:lang w:eastAsia="en-US"/>
              </w:rPr>
            </w:pPr>
            <w:r w:rsidRPr="00077D39">
              <w:rPr>
                <w:bCs/>
                <w:szCs w:val="22"/>
                <w:lang w:eastAsia="en-US"/>
              </w:rPr>
              <w:t>Part A</w:t>
            </w:r>
            <w:r>
              <w:rPr>
                <w:bCs/>
                <w:szCs w:val="22"/>
                <w:lang w:eastAsia="en-US"/>
              </w:rPr>
              <w:t xml:space="preserve">: </w:t>
            </w:r>
          </w:p>
          <w:p w14:paraId="2CE3E002" w14:textId="77777777" w:rsidR="00A57701" w:rsidRDefault="00A57701">
            <w:pPr>
              <w:spacing w:after="40"/>
              <w:rPr>
                <w:bCs/>
                <w:szCs w:val="22"/>
                <w:lang w:eastAsia="en-US"/>
              </w:rPr>
            </w:pPr>
            <w:r>
              <w:rPr>
                <w:bCs/>
                <w:szCs w:val="22"/>
                <w:lang w:eastAsia="en-US"/>
              </w:rPr>
              <w:t>0.035 mg/kg to 2.5 mg/kg single SC dose</w:t>
            </w:r>
          </w:p>
          <w:p w14:paraId="3D15824C" w14:textId="77777777" w:rsidR="00A57701" w:rsidRDefault="00A57701">
            <w:pPr>
              <w:spacing w:before="60" w:after="40"/>
              <w:rPr>
                <w:bCs/>
                <w:szCs w:val="22"/>
                <w:lang w:eastAsia="en-US"/>
              </w:rPr>
            </w:pPr>
            <w:r w:rsidRPr="00077D39">
              <w:rPr>
                <w:bCs/>
                <w:szCs w:val="22"/>
                <w:lang w:eastAsia="en-US"/>
              </w:rPr>
              <w:t>Part B</w:t>
            </w:r>
            <w:r>
              <w:rPr>
                <w:bCs/>
                <w:szCs w:val="22"/>
                <w:lang w:eastAsia="en-US"/>
              </w:rPr>
              <w:t xml:space="preserve">: </w:t>
            </w:r>
          </w:p>
          <w:p w14:paraId="7D3461B7" w14:textId="77777777" w:rsidR="00A57701" w:rsidRDefault="00A57701">
            <w:pPr>
              <w:spacing w:before="60" w:after="40"/>
              <w:rPr>
                <w:szCs w:val="22"/>
                <w:lang w:eastAsia="en-US"/>
              </w:rPr>
            </w:pPr>
            <w:r>
              <w:rPr>
                <w:bCs/>
                <w:szCs w:val="22"/>
                <w:lang w:eastAsia="en-US"/>
              </w:rPr>
              <w:t>0.35 mg/kg and 1 mg/kg, monthly (x 2)</w:t>
            </w:r>
          </w:p>
        </w:tc>
        <w:tc>
          <w:tcPr>
            <w:tcW w:w="1785" w:type="dxa"/>
            <w:tcBorders>
              <w:top w:val="single" w:sz="4" w:space="0" w:color="auto"/>
              <w:left w:val="single" w:sz="4" w:space="0" w:color="auto"/>
              <w:bottom w:val="single" w:sz="4" w:space="0" w:color="auto"/>
              <w:right w:val="single" w:sz="4" w:space="0" w:color="auto"/>
            </w:tcBorders>
            <w:hideMark/>
          </w:tcPr>
          <w:p w14:paraId="5D95ADF4" w14:textId="77777777" w:rsidR="00A57701" w:rsidRDefault="00A57701">
            <w:pPr>
              <w:spacing w:after="40"/>
              <w:rPr>
                <w:bCs/>
                <w:szCs w:val="22"/>
                <w:lang w:eastAsia="en-US"/>
              </w:rPr>
            </w:pPr>
            <w:r w:rsidRPr="00077D39">
              <w:rPr>
                <w:bCs/>
                <w:szCs w:val="22"/>
                <w:lang w:eastAsia="en-US"/>
              </w:rPr>
              <w:t>Part A and B</w:t>
            </w:r>
            <w:r>
              <w:rPr>
                <w:bCs/>
                <w:szCs w:val="22"/>
                <w:lang w:eastAsia="en-US"/>
              </w:rPr>
              <w:t>:</w:t>
            </w:r>
          </w:p>
          <w:p w14:paraId="523F48E0" w14:textId="77777777" w:rsidR="00A57701" w:rsidRDefault="00A57701">
            <w:pPr>
              <w:spacing w:after="40"/>
              <w:rPr>
                <w:szCs w:val="22"/>
                <w:lang w:eastAsia="en-US"/>
              </w:rPr>
            </w:pPr>
            <w:r>
              <w:rPr>
                <w:bCs/>
                <w:szCs w:val="22"/>
                <w:lang w:eastAsia="en-US"/>
              </w:rPr>
              <w:t>N=23; CHE subjects</w:t>
            </w:r>
          </w:p>
        </w:tc>
      </w:tr>
      <w:tr w:rsidR="00A57701" w14:paraId="50B43BDB" w14:textId="77777777" w:rsidTr="00A5770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51F93" w14:textId="77777777" w:rsidR="00A57701" w:rsidRDefault="00A57701">
            <w:pPr>
              <w:rPr>
                <w:rFonts w:ascii="Verdana" w:eastAsia="SimSun" w:hAnsi="Verdana"/>
                <w:b/>
                <w:sz w:val="18"/>
                <w:szCs w:val="22"/>
                <w:lang w:val="en-GB"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DF9339A" w14:textId="77777777" w:rsidR="00A57701" w:rsidRDefault="00A57701">
            <w:pPr>
              <w:spacing w:after="40"/>
              <w:rPr>
                <w:szCs w:val="22"/>
                <w:lang w:eastAsia="en-US"/>
              </w:rPr>
            </w:pPr>
            <w:r>
              <w:rPr>
                <w:szCs w:val="22"/>
                <w:lang w:eastAsia="en-US"/>
              </w:rPr>
              <w:t>double-blind multiple</w:t>
            </w:r>
            <w:r>
              <w:rPr>
                <w:szCs w:val="22"/>
                <w:lang w:eastAsia="en-US"/>
              </w:rPr>
              <w:noBreakHyphen/>
              <w:t xml:space="preserve">dose study (Part C, 001C) to evaluate safety, tolerability, PK, PD, and ADA of </w:t>
            </w:r>
            <w:proofErr w:type="spellStart"/>
            <w:r>
              <w:rPr>
                <w:szCs w:val="22"/>
                <w:lang w:eastAsia="en-US"/>
              </w:rPr>
              <w:t>givosiran</w:t>
            </w:r>
            <w:proofErr w:type="spellEnd"/>
          </w:p>
          <w:p w14:paraId="4C3D75AF" w14:textId="26EE4E2C" w:rsidR="00A57701" w:rsidRDefault="00A57701">
            <w:pPr>
              <w:spacing w:after="40"/>
              <w:rPr>
                <w:szCs w:val="20"/>
                <w:lang w:eastAsia="en-US"/>
              </w:rPr>
            </w:pPr>
            <w:r>
              <w:rPr>
                <w:szCs w:val="22"/>
                <w:lang w:eastAsia="en-US"/>
              </w:rPr>
              <w:t xml:space="preserve">6 clinical study </w:t>
            </w:r>
            <w:r w:rsidR="004C27B3">
              <w:rPr>
                <w:szCs w:val="22"/>
                <w:lang w:eastAsia="en-US"/>
              </w:rPr>
              <w:t>centres</w:t>
            </w:r>
          </w:p>
          <w:p w14:paraId="6CD89323" w14:textId="77777777" w:rsidR="00A57701" w:rsidRDefault="00A57701">
            <w:pPr>
              <w:spacing w:after="40"/>
              <w:rPr>
                <w:szCs w:val="22"/>
                <w:lang w:eastAsia="en-US"/>
              </w:rPr>
            </w:pPr>
            <w:r>
              <w:rPr>
                <w:szCs w:val="22"/>
                <w:lang w:eastAsia="en-US"/>
              </w:rPr>
              <w:t>(4 in US, 1 in UK, 1 in Sweden)</w:t>
            </w:r>
          </w:p>
        </w:tc>
        <w:tc>
          <w:tcPr>
            <w:tcW w:w="1901" w:type="dxa"/>
            <w:tcBorders>
              <w:top w:val="single" w:sz="4" w:space="0" w:color="auto"/>
              <w:left w:val="single" w:sz="4" w:space="0" w:color="auto"/>
              <w:bottom w:val="single" w:sz="4" w:space="0" w:color="auto"/>
              <w:right w:val="single" w:sz="4" w:space="0" w:color="auto"/>
            </w:tcBorders>
            <w:hideMark/>
          </w:tcPr>
          <w:p w14:paraId="4B919A61" w14:textId="77777777" w:rsidR="00A57701" w:rsidRDefault="00A57701">
            <w:pPr>
              <w:spacing w:after="40"/>
              <w:rPr>
                <w:bCs/>
                <w:szCs w:val="22"/>
                <w:lang w:eastAsia="en-US"/>
              </w:rPr>
            </w:pPr>
            <w:r w:rsidRPr="00077D39">
              <w:rPr>
                <w:bCs/>
                <w:szCs w:val="22"/>
                <w:lang w:eastAsia="en-US"/>
              </w:rPr>
              <w:t>Part C</w:t>
            </w:r>
            <w:r>
              <w:rPr>
                <w:bCs/>
                <w:szCs w:val="22"/>
                <w:lang w:eastAsia="en-US"/>
              </w:rPr>
              <w:t xml:space="preserve">: 2.5 mg/kg and 5 mg/kg once monthly (x 4) and quarterly (x 2) </w:t>
            </w:r>
          </w:p>
        </w:tc>
        <w:tc>
          <w:tcPr>
            <w:tcW w:w="1785" w:type="dxa"/>
            <w:tcBorders>
              <w:top w:val="single" w:sz="4" w:space="0" w:color="auto"/>
              <w:left w:val="single" w:sz="4" w:space="0" w:color="auto"/>
              <w:bottom w:val="single" w:sz="4" w:space="0" w:color="auto"/>
              <w:right w:val="single" w:sz="4" w:space="0" w:color="auto"/>
            </w:tcBorders>
            <w:hideMark/>
          </w:tcPr>
          <w:p w14:paraId="2BDC4E09" w14:textId="77777777" w:rsidR="00A57701" w:rsidRDefault="00A57701">
            <w:pPr>
              <w:spacing w:before="60" w:after="40"/>
              <w:rPr>
                <w:bCs/>
                <w:szCs w:val="22"/>
                <w:lang w:val="fr-FR" w:eastAsia="en-US"/>
              </w:rPr>
            </w:pPr>
            <w:r w:rsidRPr="00077D39">
              <w:rPr>
                <w:bCs/>
                <w:szCs w:val="22"/>
                <w:lang w:val="fr-FR" w:eastAsia="en-US"/>
              </w:rPr>
              <w:t xml:space="preserve">Part </w:t>
            </w:r>
            <w:proofErr w:type="gramStart"/>
            <w:r w:rsidRPr="00077D39">
              <w:rPr>
                <w:bCs/>
                <w:szCs w:val="22"/>
                <w:lang w:val="fr-FR" w:eastAsia="en-US"/>
              </w:rPr>
              <w:t>C</w:t>
            </w:r>
            <w:r>
              <w:rPr>
                <w:bCs/>
                <w:szCs w:val="22"/>
                <w:lang w:val="fr-FR" w:eastAsia="en-US"/>
              </w:rPr>
              <w:t>:</w:t>
            </w:r>
            <w:proofErr w:type="gramEnd"/>
          </w:p>
          <w:p w14:paraId="3DAA7E18" w14:textId="77777777" w:rsidR="00A57701" w:rsidRDefault="00A57701">
            <w:pPr>
              <w:spacing w:after="40"/>
              <w:rPr>
                <w:szCs w:val="22"/>
                <w:lang w:val="fr-FR" w:eastAsia="en-US"/>
              </w:rPr>
            </w:pPr>
            <w:r>
              <w:rPr>
                <w:bCs/>
                <w:szCs w:val="22"/>
                <w:lang w:val="fr-FR" w:eastAsia="en-US"/>
              </w:rPr>
              <w:t>N=</w:t>
            </w:r>
            <w:proofErr w:type="gramStart"/>
            <w:r>
              <w:rPr>
                <w:bCs/>
                <w:szCs w:val="22"/>
                <w:lang w:val="fr-FR" w:eastAsia="en-US"/>
              </w:rPr>
              <w:t>17;</w:t>
            </w:r>
            <w:proofErr w:type="gramEnd"/>
            <w:r>
              <w:rPr>
                <w:bCs/>
                <w:szCs w:val="22"/>
                <w:lang w:val="fr-FR" w:eastAsia="en-US"/>
              </w:rPr>
              <w:t xml:space="preserve"> AIP patients</w:t>
            </w:r>
          </w:p>
        </w:tc>
      </w:tr>
      <w:tr w:rsidR="00A57701" w14:paraId="4F87C03C" w14:textId="77777777" w:rsidTr="00A57701">
        <w:trPr>
          <w:cantSplit/>
        </w:trPr>
        <w:tc>
          <w:tcPr>
            <w:tcW w:w="2405" w:type="dxa"/>
            <w:tcBorders>
              <w:top w:val="single" w:sz="4" w:space="0" w:color="auto"/>
              <w:left w:val="single" w:sz="4" w:space="0" w:color="auto"/>
              <w:bottom w:val="single" w:sz="4" w:space="0" w:color="auto"/>
              <w:right w:val="single" w:sz="4" w:space="0" w:color="auto"/>
            </w:tcBorders>
            <w:hideMark/>
          </w:tcPr>
          <w:p w14:paraId="2D6911EF" w14:textId="77777777" w:rsidR="00A57701" w:rsidRDefault="00A57701">
            <w:pPr>
              <w:spacing w:after="40"/>
              <w:rPr>
                <w:b/>
                <w:szCs w:val="22"/>
                <w:lang w:val="en-GB" w:eastAsia="en-US"/>
              </w:rPr>
            </w:pPr>
            <w:r>
              <w:rPr>
                <w:b/>
                <w:szCs w:val="22"/>
                <w:lang w:eastAsia="en-US"/>
              </w:rPr>
              <w:t>ALN-AS1-002</w:t>
            </w:r>
          </w:p>
          <w:p w14:paraId="32E1BB57" w14:textId="77777777" w:rsidR="00A57701" w:rsidRDefault="00A57701">
            <w:pPr>
              <w:spacing w:after="40"/>
              <w:rPr>
                <w:b/>
                <w:szCs w:val="22"/>
                <w:lang w:eastAsia="en-US"/>
              </w:rPr>
            </w:pPr>
            <w:r>
              <w:rPr>
                <w:b/>
                <w:szCs w:val="22"/>
                <w:lang w:eastAsia="en-US"/>
              </w:rPr>
              <w:t>(Study 002)</w:t>
            </w:r>
          </w:p>
          <w:p w14:paraId="18DCD751" w14:textId="77777777" w:rsidR="00A57701" w:rsidRDefault="00A57701">
            <w:pPr>
              <w:spacing w:after="40"/>
              <w:rPr>
                <w:i/>
                <w:szCs w:val="22"/>
                <w:lang w:eastAsia="en-US"/>
              </w:rPr>
            </w:pPr>
            <w:r>
              <w:rPr>
                <w:i/>
                <w:szCs w:val="22"/>
                <w:lang w:eastAsia="en-US"/>
              </w:rPr>
              <w:t>Ongoing</w:t>
            </w:r>
          </w:p>
          <w:p w14:paraId="6B3D08AD" w14:textId="77777777" w:rsidR="00A57701" w:rsidRDefault="00A57701">
            <w:pPr>
              <w:spacing w:after="40"/>
              <w:rPr>
                <w:i/>
                <w:szCs w:val="22"/>
                <w:lang w:eastAsia="en-US"/>
              </w:rPr>
            </w:pPr>
            <w:r>
              <w:rPr>
                <w:i/>
                <w:szCs w:val="22"/>
                <w:lang w:eastAsia="en-US"/>
              </w:rPr>
              <w:t>Data cut-off:</w:t>
            </w:r>
          </w:p>
          <w:p w14:paraId="1F82D547" w14:textId="4F255FE1" w:rsidR="00A57701" w:rsidRDefault="00A57701">
            <w:pPr>
              <w:spacing w:after="40"/>
              <w:rPr>
                <w:szCs w:val="20"/>
                <w:lang w:eastAsia="en-US"/>
              </w:rPr>
            </w:pPr>
            <w:r>
              <w:rPr>
                <w:i/>
                <w:szCs w:val="22"/>
                <w:lang w:eastAsia="en-US"/>
              </w:rPr>
              <w:t>19 April 2019</w:t>
            </w:r>
            <w:r>
              <w:rPr>
                <w:position w:val="-1"/>
                <w:szCs w:val="22"/>
                <w:vertAlign w:val="superscript"/>
              </w:rPr>
              <w:fldChar w:fldCharType="begin"/>
            </w:r>
            <w:r>
              <w:rPr>
                <w:position w:val="-1"/>
                <w:szCs w:val="22"/>
                <w:vertAlign w:val="superscript"/>
                <w:lang w:eastAsia="en-US"/>
              </w:rPr>
              <w:instrText xml:space="preserve"> SEQ SeqTableNote \* alphabetic \* MERGEFORMAT </w:instrText>
            </w:r>
            <w:r>
              <w:rPr>
                <w:position w:val="-1"/>
                <w:szCs w:val="22"/>
                <w:vertAlign w:val="superscript"/>
              </w:rPr>
              <w:fldChar w:fldCharType="separate"/>
            </w:r>
            <w:r w:rsidR="007C529A">
              <w:rPr>
                <w:noProof/>
                <w:position w:val="-1"/>
                <w:szCs w:val="22"/>
                <w:vertAlign w:val="superscript"/>
                <w:lang w:eastAsia="en-US"/>
              </w:rPr>
              <w:t>a</w:t>
            </w:r>
            <w:r>
              <w:rPr>
                <w:position w:val="-1"/>
                <w:szCs w:val="22"/>
                <w:vertAlign w:val="superscript"/>
              </w:rPr>
              <w:fldChar w:fldCharType="end"/>
            </w:r>
          </w:p>
        </w:tc>
        <w:tc>
          <w:tcPr>
            <w:tcW w:w="2693" w:type="dxa"/>
            <w:tcBorders>
              <w:top w:val="single" w:sz="4" w:space="0" w:color="auto"/>
              <w:left w:val="single" w:sz="4" w:space="0" w:color="auto"/>
              <w:bottom w:val="single" w:sz="4" w:space="0" w:color="auto"/>
              <w:right w:val="single" w:sz="4" w:space="0" w:color="auto"/>
            </w:tcBorders>
            <w:hideMark/>
          </w:tcPr>
          <w:p w14:paraId="793CC527" w14:textId="77777777" w:rsidR="00A57701" w:rsidRDefault="00A57701">
            <w:pPr>
              <w:spacing w:after="40"/>
              <w:rPr>
                <w:szCs w:val="22"/>
                <w:lang w:eastAsia="en-US"/>
              </w:rPr>
            </w:pPr>
            <w:r>
              <w:rPr>
                <w:szCs w:val="22"/>
                <w:lang w:eastAsia="en-US"/>
              </w:rPr>
              <w:t xml:space="preserve">Phase 2, open-label, single-arm, long-term extension study to evaluate the long-term safety, and clinical activity of </w:t>
            </w:r>
            <w:proofErr w:type="spellStart"/>
            <w:r>
              <w:rPr>
                <w:szCs w:val="22"/>
                <w:lang w:eastAsia="en-US"/>
              </w:rPr>
              <w:t>givosiran</w:t>
            </w:r>
            <w:proofErr w:type="spellEnd"/>
          </w:p>
          <w:p w14:paraId="2B646A7F" w14:textId="06B69B33" w:rsidR="00A57701" w:rsidRDefault="00A57701">
            <w:pPr>
              <w:spacing w:after="40"/>
              <w:rPr>
                <w:szCs w:val="20"/>
                <w:lang w:eastAsia="en-US"/>
              </w:rPr>
            </w:pPr>
            <w:r>
              <w:rPr>
                <w:szCs w:val="22"/>
                <w:lang w:eastAsia="en-US"/>
              </w:rPr>
              <w:t xml:space="preserve">5 clinical study </w:t>
            </w:r>
            <w:r w:rsidR="004C27B3">
              <w:rPr>
                <w:szCs w:val="22"/>
                <w:lang w:eastAsia="en-US"/>
              </w:rPr>
              <w:t>centres</w:t>
            </w:r>
            <w:r>
              <w:rPr>
                <w:szCs w:val="22"/>
                <w:lang w:eastAsia="en-US"/>
              </w:rPr>
              <w:t xml:space="preserve"> </w:t>
            </w:r>
          </w:p>
          <w:p w14:paraId="46565165" w14:textId="77777777" w:rsidR="00A57701" w:rsidRDefault="00A57701">
            <w:pPr>
              <w:spacing w:after="40"/>
              <w:rPr>
                <w:bCs/>
                <w:szCs w:val="22"/>
                <w:lang w:eastAsia="en-US"/>
              </w:rPr>
            </w:pPr>
            <w:r>
              <w:rPr>
                <w:szCs w:val="22"/>
                <w:lang w:eastAsia="en-US"/>
              </w:rPr>
              <w:t>(3 in US, 1 in UK, 1 in Sweden)</w:t>
            </w:r>
          </w:p>
        </w:tc>
        <w:tc>
          <w:tcPr>
            <w:tcW w:w="1901" w:type="dxa"/>
            <w:tcBorders>
              <w:top w:val="single" w:sz="4" w:space="0" w:color="auto"/>
              <w:left w:val="single" w:sz="4" w:space="0" w:color="auto"/>
              <w:bottom w:val="single" w:sz="4" w:space="0" w:color="auto"/>
              <w:right w:val="single" w:sz="4" w:space="0" w:color="auto"/>
            </w:tcBorders>
            <w:hideMark/>
          </w:tcPr>
          <w:p w14:paraId="787D5F90" w14:textId="4852B6B9" w:rsidR="00A57701" w:rsidRDefault="00A57701">
            <w:pPr>
              <w:spacing w:after="40"/>
              <w:rPr>
                <w:position w:val="-1"/>
                <w:szCs w:val="22"/>
                <w:lang w:eastAsia="en-US"/>
              </w:rPr>
            </w:pPr>
            <w:r>
              <w:rPr>
                <w:bCs/>
                <w:szCs w:val="22"/>
                <w:lang w:eastAsia="en-US"/>
              </w:rPr>
              <w:t xml:space="preserve">2.5 mg/kg SC </w:t>
            </w:r>
            <w:r>
              <w:rPr>
                <w:bCs/>
                <w:szCs w:val="22"/>
                <w:lang w:eastAsia="en-US"/>
              </w:rPr>
              <w:br/>
              <w:t>once monthly</w:t>
            </w:r>
            <w:r>
              <w:rPr>
                <w:position w:val="-1"/>
                <w:szCs w:val="22"/>
                <w:vertAlign w:val="superscript"/>
              </w:rPr>
              <w:fldChar w:fldCharType="begin"/>
            </w:r>
            <w:r>
              <w:rPr>
                <w:position w:val="-1"/>
                <w:szCs w:val="22"/>
                <w:vertAlign w:val="superscript"/>
                <w:lang w:eastAsia="en-US"/>
              </w:rPr>
              <w:instrText xml:space="preserve"> SEQ SeqTableNote \* alphabetic \* MERGEFORMAT </w:instrText>
            </w:r>
            <w:r>
              <w:rPr>
                <w:position w:val="-1"/>
                <w:szCs w:val="22"/>
                <w:vertAlign w:val="superscript"/>
              </w:rPr>
              <w:fldChar w:fldCharType="separate"/>
            </w:r>
            <w:r w:rsidR="007C529A">
              <w:rPr>
                <w:noProof/>
                <w:position w:val="-1"/>
                <w:szCs w:val="22"/>
                <w:vertAlign w:val="superscript"/>
                <w:lang w:eastAsia="en-US"/>
              </w:rPr>
              <w:t>b</w:t>
            </w:r>
            <w:r>
              <w:rPr>
                <w:position w:val="-1"/>
                <w:szCs w:val="22"/>
                <w:vertAlign w:val="superscript"/>
              </w:rPr>
              <w:fldChar w:fldCharType="end"/>
            </w:r>
          </w:p>
          <w:p w14:paraId="7CC80946" w14:textId="77777777" w:rsidR="00A57701" w:rsidRDefault="00A57701">
            <w:pPr>
              <w:spacing w:after="40"/>
              <w:rPr>
                <w:szCs w:val="22"/>
                <w:lang w:eastAsia="en-US"/>
              </w:rPr>
            </w:pPr>
            <w:r>
              <w:rPr>
                <w:szCs w:val="22"/>
                <w:lang w:eastAsia="en-US"/>
              </w:rPr>
              <w:t xml:space="preserve">Dosing up to 3 years </w:t>
            </w:r>
          </w:p>
        </w:tc>
        <w:tc>
          <w:tcPr>
            <w:tcW w:w="1785" w:type="dxa"/>
            <w:tcBorders>
              <w:top w:val="single" w:sz="4" w:space="0" w:color="auto"/>
              <w:left w:val="single" w:sz="4" w:space="0" w:color="auto"/>
              <w:bottom w:val="single" w:sz="4" w:space="0" w:color="auto"/>
              <w:right w:val="single" w:sz="4" w:space="0" w:color="auto"/>
            </w:tcBorders>
            <w:hideMark/>
          </w:tcPr>
          <w:p w14:paraId="2118CD46" w14:textId="77777777" w:rsidR="00A57701" w:rsidRDefault="00A57701">
            <w:pPr>
              <w:spacing w:after="40"/>
              <w:rPr>
                <w:szCs w:val="22"/>
                <w:lang w:eastAsia="en-US"/>
              </w:rPr>
            </w:pPr>
            <w:r>
              <w:rPr>
                <w:szCs w:val="22"/>
                <w:lang w:eastAsia="en-US"/>
              </w:rPr>
              <w:t>N=16; AIP patients who completed Study 001C</w:t>
            </w:r>
          </w:p>
        </w:tc>
      </w:tr>
      <w:tr w:rsidR="00A57701" w14:paraId="75B43E44" w14:textId="77777777" w:rsidTr="00A57701">
        <w:trPr>
          <w:cantSplit/>
        </w:trPr>
        <w:tc>
          <w:tcPr>
            <w:tcW w:w="2405" w:type="dxa"/>
            <w:tcBorders>
              <w:top w:val="single" w:sz="4" w:space="0" w:color="auto"/>
              <w:left w:val="single" w:sz="4" w:space="0" w:color="auto"/>
              <w:bottom w:val="single" w:sz="4" w:space="0" w:color="auto"/>
              <w:right w:val="single" w:sz="4" w:space="0" w:color="auto"/>
            </w:tcBorders>
            <w:hideMark/>
          </w:tcPr>
          <w:p w14:paraId="25E6946A" w14:textId="77777777" w:rsidR="00A57701" w:rsidRDefault="00A57701">
            <w:pPr>
              <w:spacing w:after="40"/>
              <w:rPr>
                <w:b/>
                <w:szCs w:val="22"/>
                <w:lang w:eastAsia="en-US"/>
              </w:rPr>
            </w:pPr>
            <w:r>
              <w:rPr>
                <w:b/>
                <w:szCs w:val="22"/>
                <w:lang w:eastAsia="en-US"/>
              </w:rPr>
              <w:t xml:space="preserve">ALN-AS1-003 </w:t>
            </w:r>
          </w:p>
          <w:p w14:paraId="19D87F73" w14:textId="77777777" w:rsidR="00A57701" w:rsidRDefault="00A57701">
            <w:pPr>
              <w:spacing w:after="40"/>
              <w:rPr>
                <w:b/>
                <w:szCs w:val="22"/>
                <w:lang w:eastAsia="en-US"/>
              </w:rPr>
            </w:pPr>
            <w:r>
              <w:rPr>
                <w:b/>
                <w:szCs w:val="22"/>
                <w:lang w:eastAsia="en-US"/>
              </w:rPr>
              <w:t xml:space="preserve">(Study 003) </w:t>
            </w:r>
          </w:p>
          <w:p w14:paraId="219E298F" w14:textId="52927DB4" w:rsidR="00A57701" w:rsidRDefault="00A57701">
            <w:pPr>
              <w:spacing w:after="40"/>
              <w:rPr>
                <w:i/>
                <w:szCs w:val="22"/>
                <w:lang w:eastAsia="en-US"/>
              </w:rPr>
            </w:pPr>
            <w:r>
              <w:rPr>
                <w:i/>
                <w:szCs w:val="22"/>
                <w:lang w:eastAsia="en-US"/>
              </w:rPr>
              <w:t>6-Month Double</w:t>
            </w:r>
            <w:r w:rsidR="00ED332F">
              <w:rPr>
                <w:i/>
                <w:szCs w:val="22"/>
                <w:lang w:eastAsia="en-US"/>
              </w:rPr>
              <w:t>-</w:t>
            </w:r>
            <w:r>
              <w:rPr>
                <w:i/>
                <w:szCs w:val="22"/>
                <w:lang w:eastAsia="en-US"/>
              </w:rPr>
              <w:t>Blind Period: completed</w:t>
            </w:r>
          </w:p>
          <w:p w14:paraId="4BAD1110" w14:textId="77777777" w:rsidR="00A57701" w:rsidRDefault="00A57701">
            <w:pPr>
              <w:spacing w:after="40"/>
              <w:rPr>
                <w:i/>
                <w:szCs w:val="22"/>
                <w:lang w:eastAsia="en-US"/>
              </w:rPr>
            </w:pPr>
            <w:r>
              <w:rPr>
                <w:i/>
                <w:szCs w:val="22"/>
                <w:lang w:eastAsia="en-US"/>
              </w:rPr>
              <w:t>Data lock: 27 Feb 2019</w:t>
            </w:r>
          </w:p>
        </w:tc>
        <w:tc>
          <w:tcPr>
            <w:tcW w:w="2693" w:type="dxa"/>
            <w:tcBorders>
              <w:top w:val="single" w:sz="4" w:space="0" w:color="auto"/>
              <w:left w:val="single" w:sz="4" w:space="0" w:color="auto"/>
              <w:bottom w:val="single" w:sz="4" w:space="0" w:color="auto"/>
              <w:right w:val="single" w:sz="4" w:space="0" w:color="auto"/>
            </w:tcBorders>
            <w:hideMark/>
          </w:tcPr>
          <w:p w14:paraId="497482E8" w14:textId="77777777" w:rsidR="00A57701" w:rsidRDefault="00A57701">
            <w:pPr>
              <w:spacing w:after="40"/>
              <w:rPr>
                <w:szCs w:val="22"/>
                <w:lang w:eastAsia="en-US"/>
              </w:rPr>
            </w:pPr>
            <w:r>
              <w:rPr>
                <w:szCs w:val="22"/>
                <w:lang w:eastAsia="en-US"/>
              </w:rPr>
              <w:t>Phase 3, randomized (1:1), double</w:t>
            </w:r>
            <w:r>
              <w:rPr>
                <w:szCs w:val="22"/>
                <w:lang w:eastAsia="en-US"/>
              </w:rPr>
              <w:noBreakHyphen/>
              <w:t xml:space="preserve">blind, placebo-controlled study with an open-label extension to evaluate the efficacy and safety of </w:t>
            </w:r>
            <w:proofErr w:type="spellStart"/>
            <w:r>
              <w:rPr>
                <w:szCs w:val="22"/>
                <w:lang w:eastAsia="en-US"/>
              </w:rPr>
              <w:t>givosiran</w:t>
            </w:r>
            <w:proofErr w:type="spellEnd"/>
          </w:p>
          <w:p w14:paraId="15CECDEF" w14:textId="266CA26F" w:rsidR="00A57701" w:rsidRDefault="00A57701">
            <w:pPr>
              <w:spacing w:after="40"/>
              <w:rPr>
                <w:bCs/>
                <w:szCs w:val="22"/>
                <w:lang w:eastAsia="en-US"/>
              </w:rPr>
            </w:pPr>
            <w:r>
              <w:rPr>
                <w:szCs w:val="22"/>
                <w:lang w:eastAsia="en-US"/>
              </w:rPr>
              <w:t xml:space="preserve">36 </w:t>
            </w:r>
            <w:r w:rsidR="004C27B3">
              <w:rPr>
                <w:szCs w:val="22"/>
                <w:lang w:eastAsia="en-US"/>
              </w:rPr>
              <w:t>centres</w:t>
            </w:r>
            <w:r>
              <w:rPr>
                <w:szCs w:val="22"/>
                <w:lang w:eastAsia="en-US"/>
              </w:rPr>
              <w:t xml:space="preserve"> across North America, Europe, Asia, Australia, and Mexico</w:t>
            </w:r>
          </w:p>
        </w:tc>
        <w:tc>
          <w:tcPr>
            <w:tcW w:w="1901" w:type="dxa"/>
            <w:tcBorders>
              <w:top w:val="single" w:sz="4" w:space="0" w:color="auto"/>
              <w:left w:val="single" w:sz="4" w:space="0" w:color="auto"/>
              <w:bottom w:val="single" w:sz="4" w:space="0" w:color="auto"/>
              <w:right w:val="single" w:sz="4" w:space="0" w:color="auto"/>
            </w:tcBorders>
            <w:hideMark/>
          </w:tcPr>
          <w:p w14:paraId="39BF0086" w14:textId="77777777" w:rsidR="00A57701" w:rsidRDefault="00A57701">
            <w:pPr>
              <w:spacing w:after="40"/>
              <w:rPr>
                <w:bCs/>
                <w:szCs w:val="22"/>
                <w:lang w:eastAsia="en-US"/>
              </w:rPr>
            </w:pPr>
            <w:r>
              <w:rPr>
                <w:bCs/>
                <w:szCs w:val="22"/>
                <w:lang w:eastAsia="en-US"/>
              </w:rPr>
              <w:t xml:space="preserve">2.5 mg/kg SC </w:t>
            </w:r>
            <w:r>
              <w:rPr>
                <w:bCs/>
                <w:szCs w:val="22"/>
                <w:lang w:eastAsia="en-US"/>
              </w:rPr>
              <w:br/>
              <w:t>once monthly</w:t>
            </w:r>
          </w:p>
          <w:p w14:paraId="6F83DF15" w14:textId="77777777" w:rsidR="00A57701" w:rsidRDefault="00A57701">
            <w:pPr>
              <w:spacing w:after="40"/>
              <w:rPr>
                <w:szCs w:val="22"/>
                <w:lang w:eastAsia="en-US"/>
              </w:rPr>
            </w:pPr>
            <w:r>
              <w:rPr>
                <w:szCs w:val="22"/>
                <w:lang w:eastAsia="en-US"/>
              </w:rPr>
              <w:t>Dosing for 6 months in the double-blind treatment period</w:t>
            </w:r>
          </w:p>
        </w:tc>
        <w:tc>
          <w:tcPr>
            <w:tcW w:w="1785" w:type="dxa"/>
            <w:tcBorders>
              <w:top w:val="single" w:sz="4" w:space="0" w:color="auto"/>
              <w:left w:val="single" w:sz="4" w:space="0" w:color="auto"/>
              <w:bottom w:val="single" w:sz="4" w:space="0" w:color="auto"/>
              <w:right w:val="single" w:sz="4" w:space="0" w:color="auto"/>
            </w:tcBorders>
            <w:hideMark/>
          </w:tcPr>
          <w:p w14:paraId="311210A1" w14:textId="77777777" w:rsidR="00A57701" w:rsidRDefault="00A57701">
            <w:pPr>
              <w:spacing w:after="40"/>
              <w:rPr>
                <w:szCs w:val="22"/>
                <w:lang w:eastAsia="en-US"/>
              </w:rPr>
            </w:pPr>
            <w:r>
              <w:rPr>
                <w:szCs w:val="22"/>
                <w:lang w:eastAsia="en-US"/>
              </w:rPr>
              <w:t>N=94, AHP patients</w:t>
            </w:r>
          </w:p>
          <w:p w14:paraId="1D14CED3" w14:textId="77777777" w:rsidR="00A57701" w:rsidRDefault="00A57701">
            <w:pPr>
              <w:spacing w:after="40"/>
              <w:rPr>
                <w:bCs/>
                <w:szCs w:val="22"/>
                <w:lang w:eastAsia="en-US"/>
              </w:rPr>
            </w:pPr>
            <w:r>
              <w:rPr>
                <w:bCs/>
                <w:szCs w:val="22"/>
                <w:lang w:eastAsia="en-US"/>
              </w:rPr>
              <w:t xml:space="preserve">N=48 on </w:t>
            </w:r>
            <w:proofErr w:type="spellStart"/>
            <w:r>
              <w:rPr>
                <w:bCs/>
                <w:szCs w:val="22"/>
                <w:lang w:eastAsia="en-US"/>
              </w:rPr>
              <w:t>givosiran</w:t>
            </w:r>
            <w:proofErr w:type="spellEnd"/>
          </w:p>
          <w:p w14:paraId="424F426E" w14:textId="77777777" w:rsidR="00A57701" w:rsidRDefault="00A57701">
            <w:pPr>
              <w:spacing w:after="40"/>
              <w:rPr>
                <w:szCs w:val="22"/>
                <w:lang w:eastAsia="en-US"/>
              </w:rPr>
            </w:pPr>
            <w:r>
              <w:rPr>
                <w:bCs/>
                <w:szCs w:val="22"/>
                <w:lang w:eastAsia="en-US"/>
              </w:rPr>
              <w:t>N=46 on placebo</w:t>
            </w:r>
          </w:p>
        </w:tc>
      </w:tr>
      <w:tr w:rsidR="00A57701" w14:paraId="3FAD1543" w14:textId="77777777" w:rsidTr="00A57701">
        <w:trPr>
          <w:cantSplit/>
        </w:trPr>
        <w:tc>
          <w:tcPr>
            <w:tcW w:w="2405" w:type="dxa"/>
            <w:tcBorders>
              <w:top w:val="single" w:sz="4" w:space="0" w:color="auto"/>
              <w:left w:val="single" w:sz="4" w:space="0" w:color="auto"/>
              <w:bottom w:val="single" w:sz="4" w:space="0" w:color="auto"/>
              <w:right w:val="single" w:sz="4" w:space="0" w:color="auto"/>
            </w:tcBorders>
            <w:hideMark/>
          </w:tcPr>
          <w:p w14:paraId="1EC59B69" w14:textId="77777777" w:rsidR="00A57701" w:rsidRDefault="00A57701">
            <w:pPr>
              <w:spacing w:after="40"/>
              <w:rPr>
                <w:i/>
                <w:szCs w:val="22"/>
                <w:lang w:eastAsia="en-US"/>
              </w:rPr>
            </w:pPr>
            <w:proofErr w:type="gramStart"/>
            <w:r>
              <w:rPr>
                <w:i/>
                <w:szCs w:val="22"/>
                <w:lang w:eastAsia="en-US"/>
              </w:rPr>
              <w:t>Ongoing;</w:t>
            </w:r>
            <w:proofErr w:type="gramEnd"/>
          </w:p>
          <w:p w14:paraId="1DE7C36B" w14:textId="77777777" w:rsidR="00A57701" w:rsidRDefault="00A57701">
            <w:pPr>
              <w:spacing w:after="40"/>
              <w:rPr>
                <w:i/>
                <w:szCs w:val="22"/>
                <w:lang w:eastAsia="en-US"/>
              </w:rPr>
            </w:pPr>
            <w:r>
              <w:rPr>
                <w:i/>
                <w:szCs w:val="22"/>
                <w:lang w:eastAsia="en-US"/>
              </w:rPr>
              <w:t>Open-label extension</w:t>
            </w:r>
          </w:p>
          <w:p w14:paraId="5F40A328" w14:textId="77777777" w:rsidR="00A57701" w:rsidRDefault="00A57701">
            <w:pPr>
              <w:spacing w:after="40"/>
              <w:rPr>
                <w:i/>
                <w:szCs w:val="22"/>
                <w:lang w:eastAsia="en-US"/>
              </w:rPr>
            </w:pPr>
            <w:r>
              <w:rPr>
                <w:i/>
                <w:szCs w:val="22"/>
                <w:lang w:eastAsia="en-US"/>
              </w:rPr>
              <w:t>Data cut-off:</w:t>
            </w:r>
          </w:p>
          <w:p w14:paraId="4DC013B7" w14:textId="58ED4A9D" w:rsidR="00A57701" w:rsidRDefault="00A57701">
            <w:pPr>
              <w:spacing w:after="40"/>
              <w:rPr>
                <w:b/>
                <w:szCs w:val="22"/>
                <w:u w:val="single"/>
                <w:lang w:eastAsia="en-US"/>
              </w:rPr>
            </w:pPr>
            <w:r>
              <w:rPr>
                <w:i/>
                <w:szCs w:val="22"/>
                <w:lang w:eastAsia="en-US"/>
              </w:rPr>
              <w:t>23 July 2019</w:t>
            </w:r>
            <w:r>
              <w:rPr>
                <w:position w:val="-1"/>
                <w:szCs w:val="22"/>
                <w:vertAlign w:val="superscript"/>
              </w:rPr>
              <w:fldChar w:fldCharType="begin"/>
            </w:r>
            <w:r>
              <w:rPr>
                <w:position w:val="-1"/>
                <w:szCs w:val="22"/>
                <w:vertAlign w:val="superscript"/>
                <w:lang w:eastAsia="en-US"/>
              </w:rPr>
              <w:instrText xml:space="preserve"> SEQ SeqTableNote \* alphabetic \* MERGEFORMAT </w:instrText>
            </w:r>
            <w:r>
              <w:rPr>
                <w:position w:val="-1"/>
                <w:szCs w:val="22"/>
                <w:vertAlign w:val="superscript"/>
              </w:rPr>
              <w:fldChar w:fldCharType="separate"/>
            </w:r>
            <w:r w:rsidR="007C529A">
              <w:rPr>
                <w:noProof/>
                <w:position w:val="-1"/>
                <w:szCs w:val="22"/>
                <w:vertAlign w:val="superscript"/>
                <w:lang w:eastAsia="en-US"/>
              </w:rPr>
              <w:t>c</w:t>
            </w:r>
            <w:r>
              <w:rPr>
                <w:position w:val="-1"/>
                <w:szCs w:val="22"/>
                <w:vertAlign w:val="superscript"/>
              </w:rPr>
              <w:fldChar w:fldCharType="end"/>
            </w:r>
          </w:p>
        </w:tc>
        <w:tc>
          <w:tcPr>
            <w:tcW w:w="2693" w:type="dxa"/>
            <w:tcBorders>
              <w:top w:val="single" w:sz="4" w:space="0" w:color="auto"/>
              <w:left w:val="single" w:sz="4" w:space="0" w:color="auto"/>
              <w:bottom w:val="single" w:sz="4" w:space="0" w:color="auto"/>
              <w:right w:val="single" w:sz="4" w:space="0" w:color="auto"/>
            </w:tcBorders>
          </w:tcPr>
          <w:p w14:paraId="5CC139AE" w14:textId="77777777" w:rsidR="00A57701" w:rsidRDefault="00A57701">
            <w:pPr>
              <w:spacing w:after="40"/>
              <w:rPr>
                <w:bCs/>
                <w:szCs w:val="22"/>
                <w:lang w:eastAsia="en-US"/>
              </w:rPr>
            </w:pPr>
          </w:p>
        </w:tc>
        <w:tc>
          <w:tcPr>
            <w:tcW w:w="1901" w:type="dxa"/>
            <w:tcBorders>
              <w:top w:val="single" w:sz="4" w:space="0" w:color="auto"/>
              <w:left w:val="single" w:sz="4" w:space="0" w:color="auto"/>
              <w:bottom w:val="single" w:sz="4" w:space="0" w:color="auto"/>
              <w:right w:val="single" w:sz="4" w:space="0" w:color="auto"/>
            </w:tcBorders>
            <w:hideMark/>
          </w:tcPr>
          <w:p w14:paraId="7BCEBF1E" w14:textId="77777777" w:rsidR="00A57701" w:rsidRDefault="00A57701">
            <w:pPr>
              <w:spacing w:after="40"/>
              <w:rPr>
                <w:szCs w:val="22"/>
                <w:lang w:eastAsia="en-US"/>
              </w:rPr>
            </w:pPr>
            <w:r>
              <w:rPr>
                <w:bCs/>
                <w:szCs w:val="22"/>
                <w:lang w:eastAsia="en-US"/>
              </w:rPr>
              <w:t>1.25 mg/kg or 2.5 mg/kg SC once monthly</w:t>
            </w:r>
          </w:p>
        </w:tc>
        <w:tc>
          <w:tcPr>
            <w:tcW w:w="1785" w:type="dxa"/>
            <w:tcBorders>
              <w:top w:val="single" w:sz="4" w:space="0" w:color="auto"/>
              <w:left w:val="single" w:sz="4" w:space="0" w:color="auto"/>
              <w:bottom w:val="single" w:sz="4" w:space="0" w:color="auto"/>
              <w:right w:val="single" w:sz="4" w:space="0" w:color="auto"/>
            </w:tcBorders>
            <w:hideMark/>
          </w:tcPr>
          <w:p w14:paraId="4586EC37" w14:textId="77777777" w:rsidR="00A57701" w:rsidRDefault="00A57701">
            <w:pPr>
              <w:spacing w:after="40"/>
              <w:rPr>
                <w:szCs w:val="22"/>
                <w:lang w:eastAsia="en-US"/>
              </w:rPr>
            </w:pPr>
            <w:r>
              <w:rPr>
                <w:szCs w:val="22"/>
                <w:lang w:eastAsia="en-US"/>
              </w:rPr>
              <w:t>N=93</w:t>
            </w:r>
            <w:r>
              <w:rPr>
                <w:szCs w:val="22"/>
                <w:vertAlign w:val="superscript"/>
                <w:lang w:eastAsia="en-US"/>
              </w:rPr>
              <w:t>e</w:t>
            </w:r>
            <w:r>
              <w:rPr>
                <w:szCs w:val="22"/>
                <w:lang w:eastAsia="en-US"/>
              </w:rPr>
              <w:t>, AHP patients</w:t>
            </w:r>
          </w:p>
          <w:p w14:paraId="6420DFCE" w14:textId="77777777" w:rsidR="00A57701" w:rsidRDefault="00A57701">
            <w:pPr>
              <w:spacing w:after="40"/>
              <w:rPr>
                <w:szCs w:val="22"/>
                <w:lang w:eastAsia="en-US"/>
              </w:rPr>
            </w:pPr>
            <w:r>
              <w:rPr>
                <w:bCs/>
                <w:szCs w:val="22"/>
                <w:lang w:eastAsia="en-US"/>
              </w:rPr>
              <w:t>N=56 on 2.5 mg/kg once monthly</w:t>
            </w:r>
          </w:p>
          <w:p w14:paraId="5C36DC44" w14:textId="77777777" w:rsidR="00A57701" w:rsidRDefault="00A57701">
            <w:pPr>
              <w:spacing w:after="40"/>
              <w:rPr>
                <w:szCs w:val="22"/>
                <w:lang w:eastAsia="en-US"/>
              </w:rPr>
            </w:pPr>
            <w:r>
              <w:rPr>
                <w:bCs/>
                <w:szCs w:val="22"/>
                <w:lang w:eastAsia="en-US"/>
              </w:rPr>
              <w:t>N=</w:t>
            </w:r>
            <w:r>
              <w:rPr>
                <w:szCs w:val="22"/>
                <w:lang w:eastAsia="en-US"/>
              </w:rPr>
              <w:t>37 on 1.25 mg/kg once monthly</w:t>
            </w:r>
          </w:p>
        </w:tc>
      </w:tr>
      <w:tr w:rsidR="00A57701" w14:paraId="24A1FB3A" w14:textId="77777777" w:rsidTr="00A57701">
        <w:trPr>
          <w:cantSplit/>
        </w:trPr>
        <w:tc>
          <w:tcPr>
            <w:tcW w:w="2405" w:type="dxa"/>
            <w:tcBorders>
              <w:top w:val="single" w:sz="4" w:space="0" w:color="auto"/>
              <w:left w:val="single" w:sz="4" w:space="0" w:color="auto"/>
              <w:bottom w:val="single" w:sz="4" w:space="0" w:color="auto"/>
              <w:right w:val="single" w:sz="4" w:space="0" w:color="auto"/>
            </w:tcBorders>
            <w:hideMark/>
          </w:tcPr>
          <w:p w14:paraId="6E158F24" w14:textId="77777777" w:rsidR="00A57701" w:rsidRDefault="00A57701">
            <w:pPr>
              <w:spacing w:after="40"/>
              <w:rPr>
                <w:b/>
                <w:szCs w:val="22"/>
                <w:lang w:eastAsia="en-US"/>
              </w:rPr>
            </w:pPr>
            <w:r>
              <w:rPr>
                <w:b/>
                <w:szCs w:val="22"/>
                <w:lang w:eastAsia="en-US"/>
              </w:rPr>
              <w:t>ALN-AS1-004</w:t>
            </w:r>
          </w:p>
          <w:p w14:paraId="4C21562F" w14:textId="77777777" w:rsidR="00A57701" w:rsidRDefault="00A57701">
            <w:pPr>
              <w:spacing w:after="40"/>
              <w:rPr>
                <w:b/>
                <w:szCs w:val="22"/>
                <w:lang w:eastAsia="en-US"/>
              </w:rPr>
            </w:pPr>
            <w:r>
              <w:rPr>
                <w:b/>
                <w:szCs w:val="22"/>
                <w:lang w:eastAsia="en-US"/>
              </w:rPr>
              <w:t xml:space="preserve">(Study 004) </w:t>
            </w:r>
          </w:p>
          <w:p w14:paraId="35F41786" w14:textId="77777777" w:rsidR="00A57701" w:rsidRDefault="00A57701">
            <w:pPr>
              <w:spacing w:after="40"/>
              <w:rPr>
                <w:i/>
                <w:szCs w:val="22"/>
                <w:lang w:eastAsia="en-US"/>
              </w:rPr>
            </w:pPr>
            <w:proofErr w:type="gramStart"/>
            <w:r>
              <w:rPr>
                <w:i/>
                <w:szCs w:val="22"/>
                <w:lang w:eastAsia="en-US"/>
              </w:rPr>
              <w:t>Completed;</w:t>
            </w:r>
            <w:proofErr w:type="gramEnd"/>
          </w:p>
          <w:p w14:paraId="70375056" w14:textId="77777777" w:rsidR="00A57701" w:rsidRDefault="00A57701">
            <w:pPr>
              <w:spacing w:after="40"/>
              <w:rPr>
                <w:i/>
                <w:szCs w:val="22"/>
                <w:lang w:eastAsia="en-US"/>
              </w:rPr>
            </w:pPr>
            <w:r>
              <w:rPr>
                <w:i/>
                <w:szCs w:val="22"/>
                <w:lang w:eastAsia="en-US"/>
              </w:rPr>
              <w:t xml:space="preserve">Data lock: </w:t>
            </w:r>
          </w:p>
          <w:p w14:paraId="1511D939" w14:textId="77777777" w:rsidR="00A57701" w:rsidRDefault="00A57701">
            <w:pPr>
              <w:spacing w:after="40"/>
              <w:rPr>
                <w:b/>
                <w:szCs w:val="22"/>
                <w:u w:val="single"/>
                <w:lang w:eastAsia="en-US"/>
              </w:rPr>
            </w:pPr>
            <w:r>
              <w:rPr>
                <w:i/>
                <w:szCs w:val="22"/>
                <w:lang w:eastAsia="en-US"/>
              </w:rPr>
              <w:t>25 Jan 2019</w:t>
            </w:r>
          </w:p>
        </w:tc>
        <w:tc>
          <w:tcPr>
            <w:tcW w:w="2693" w:type="dxa"/>
            <w:tcBorders>
              <w:top w:val="single" w:sz="4" w:space="0" w:color="auto"/>
              <w:left w:val="single" w:sz="4" w:space="0" w:color="auto"/>
              <w:bottom w:val="single" w:sz="4" w:space="0" w:color="auto"/>
              <w:right w:val="single" w:sz="4" w:space="0" w:color="auto"/>
            </w:tcBorders>
            <w:hideMark/>
          </w:tcPr>
          <w:p w14:paraId="68C71B6C" w14:textId="77777777" w:rsidR="00A57701" w:rsidRDefault="00A57701">
            <w:pPr>
              <w:spacing w:after="40"/>
              <w:rPr>
                <w:szCs w:val="22"/>
                <w:lang w:eastAsia="en-US"/>
              </w:rPr>
            </w:pPr>
            <w:r>
              <w:rPr>
                <w:szCs w:val="22"/>
                <w:lang w:eastAsia="en-US"/>
              </w:rPr>
              <w:t xml:space="preserve">Phase 1, open-label study to evaluate the drug-drug interaction of </w:t>
            </w:r>
            <w:proofErr w:type="spellStart"/>
            <w:r>
              <w:rPr>
                <w:szCs w:val="22"/>
                <w:lang w:eastAsia="en-US"/>
              </w:rPr>
              <w:t>givosiran</w:t>
            </w:r>
            <w:proofErr w:type="spellEnd"/>
            <w:r>
              <w:rPr>
                <w:szCs w:val="22"/>
                <w:lang w:eastAsia="en-US"/>
              </w:rPr>
              <w:t xml:space="preserve"> with midazolam, caffeine, losartan, omeprazole, and dextromethorphan</w:t>
            </w:r>
          </w:p>
          <w:p w14:paraId="3973F585" w14:textId="30A04AED" w:rsidR="00A57701" w:rsidRDefault="00A57701">
            <w:pPr>
              <w:spacing w:after="40"/>
              <w:rPr>
                <w:bCs/>
                <w:szCs w:val="22"/>
                <w:lang w:eastAsia="en-US"/>
              </w:rPr>
            </w:pPr>
            <w:r>
              <w:rPr>
                <w:szCs w:val="22"/>
                <w:lang w:eastAsia="en-US"/>
              </w:rPr>
              <w:t xml:space="preserve">1 clinical study </w:t>
            </w:r>
            <w:r w:rsidR="004C27B3">
              <w:rPr>
                <w:szCs w:val="22"/>
                <w:lang w:eastAsia="en-US"/>
              </w:rPr>
              <w:t>centre</w:t>
            </w:r>
            <w:r>
              <w:rPr>
                <w:szCs w:val="22"/>
                <w:lang w:eastAsia="en-US"/>
              </w:rPr>
              <w:t xml:space="preserve"> in Sweden</w:t>
            </w:r>
          </w:p>
        </w:tc>
        <w:tc>
          <w:tcPr>
            <w:tcW w:w="1901" w:type="dxa"/>
            <w:tcBorders>
              <w:top w:val="single" w:sz="4" w:space="0" w:color="auto"/>
              <w:left w:val="single" w:sz="4" w:space="0" w:color="auto"/>
              <w:bottom w:val="single" w:sz="4" w:space="0" w:color="auto"/>
              <w:right w:val="single" w:sz="4" w:space="0" w:color="auto"/>
            </w:tcBorders>
            <w:hideMark/>
          </w:tcPr>
          <w:p w14:paraId="309ECFC0" w14:textId="77777777" w:rsidR="00A57701" w:rsidRDefault="00A57701">
            <w:pPr>
              <w:spacing w:after="40"/>
              <w:rPr>
                <w:szCs w:val="22"/>
                <w:lang w:eastAsia="en-US"/>
              </w:rPr>
            </w:pPr>
            <w:r>
              <w:rPr>
                <w:bCs/>
                <w:szCs w:val="22"/>
                <w:lang w:eastAsia="en-US"/>
              </w:rPr>
              <w:t xml:space="preserve">2.5 mg/kg single SC dose of </w:t>
            </w:r>
            <w:proofErr w:type="spellStart"/>
            <w:r>
              <w:rPr>
                <w:bCs/>
                <w:szCs w:val="22"/>
                <w:lang w:eastAsia="en-US"/>
              </w:rPr>
              <w:t>givosiran</w:t>
            </w:r>
            <w:proofErr w:type="spellEnd"/>
          </w:p>
          <w:p w14:paraId="5794C9D2" w14:textId="77777777" w:rsidR="00A57701" w:rsidRDefault="00A57701">
            <w:pPr>
              <w:spacing w:after="40"/>
              <w:rPr>
                <w:szCs w:val="20"/>
                <w:lang w:eastAsia="en-US"/>
              </w:rPr>
            </w:pPr>
            <w:r>
              <w:rPr>
                <w:szCs w:val="20"/>
                <w:lang w:eastAsia="en-US"/>
              </w:rPr>
              <w:t>Single oral dose of midazolam (5 mg), caffeine (200 mg), losartan (50 mg), omeprazole (40 mg), and dextromethorphan (30 mg)</w:t>
            </w:r>
          </w:p>
        </w:tc>
        <w:tc>
          <w:tcPr>
            <w:tcW w:w="1785" w:type="dxa"/>
            <w:tcBorders>
              <w:top w:val="single" w:sz="4" w:space="0" w:color="auto"/>
              <w:left w:val="single" w:sz="4" w:space="0" w:color="auto"/>
              <w:bottom w:val="single" w:sz="4" w:space="0" w:color="auto"/>
              <w:right w:val="single" w:sz="4" w:space="0" w:color="auto"/>
            </w:tcBorders>
            <w:hideMark/>
          </w:tcPr>
          <w:p w14:paraId="020F6BAA" w14:textId="68293EEE" w:rsidR="00A57701" w:rsidRDefault="00A57701">
            <w:pPr>
              <w:spacing w:after="40"/>
              <w:rPr>
                <w:szCs w:val="22"/>
                <w:lang w:eastAsia="en-US"/>
              </w:rPr>
            </w:pPr>
            <w:r>
              <w:rPr>
                <w:szCs w:val="22"/>
                <w:lang w:eastAsia="en-US"/>
              </w:rPr>
              <w:t>N=10, CHE subjects</w:t>
            </w:r>
          </w:p>
        </w:tc>
      </w:tr>
    </w:tbl>
    <w:p w14:paraId="1CDFA9CF" w14:textId="40645C68" w:rsidR="002051FC" w:rsidRDefault="002051FC" w:rsidP="002051FC">
      <w:pPr>
        <w:pStyle w:val="FigureDescription"/>
      </w:pPr>
      <w:r w:rsidRPr="00D70316">
        <w:t>Abbreviations: ADA</w:t>
      </w:r>
      <w:r w:rsidR="00AE69B2" w:rsidRPr="00D70316">
        <w:t> </w:t>
      </w:r>
      <w:r w:rsidRPr="00D70316">
        <w:t>=</w:t>
      </w:r>
      <w:r w:rsidR="00AE69B2" w:rsidRPr="00D70316">
        <w:t> </w:t>
      </w:r>
      <w:r w:rsidRPr="00D70316">
        <w:t>anti-drug antibodies; AHP</w:t>
      </w:r>
      <w:r w:rsidR="00AE69B2" w:rsidRPr="00D70316">
        <w:t> </w:t>
      </w:r>
      <w:r w:rsidRPr="00D70316">
        <w:t>=</w:t>
      </w:r>
      <w:r w:rsidR="00AE69B2" w:rsidRPr="00D70316">
        <w:t> </w:t>
      </w:r>
      <w:r w:rsidRPr="00D70316">
        <w:t>acute hepatic porphyria; AIP</w:t>
      </w:r>
      <w:r w:rsidR="00AE69B2" w:rsidRPr="00D70316">
        <w:t> </w:t>
      </w:r>
      <w:r w:rsidRPr="00D70316">
        <w:t>=</w:t>
      </w:r>
      <w:r w:rsidR="00AE69B2" w:rsidRPr="00D70316">
        <w:t> </w:t>
      </w:r>
      <w:r w:rsidRPr="00D70316">
        <w:t>acute intermittent porphyria; CHE</w:t>
      </w:r>
      <w:r w:rsidR="00AE69B2" w:rsidRPr="00D70316">
        <w:t> </w:t>
      </w:r>
      <w:r w:rsidRPr="00D70316">
        <w:t>=</w:t>
      </w:r>
      <w:r w:rsidR="00AE69B2" w:rsidRPr="00D70316">
        <w:t> </w:t>
      </w:r>
      <w:r w:rsidRPr="00D70316">
        <w:t>chronic high excreters; MAD</w:t>
      </w:r>
      <w:r w:rsidR="00AE69B2" w:rsidRPr="00D70316">
        <w:t> </w:t>
      </w:r>
      <w:r w:rsidRPr="00D70316">
        <w:t>=</w:t>
      </w:r>
      <w:r w:rsidR="00AE69B2" w:rsidRPr="00D70316">
        <w:t> </w:t>
      </w:r>
      <w:r w:rsidRPr="00D70316">
        <w:t>multiple ascending dose; mRNA</w:t>
      </w:r>
      <w:r w:rsidR="00AE69B2" w:rsidRPr="00D70316">
        <w:t> </w:t>
      </w:r>
      <w:r w:rsidRPr="00D70316">
        <w:t>=</w:t>
      </w:r>
      <w:r w:rsidR="00AE69B2" w:rsidRPr="00D70316">
        <w:t> </w:t>
      </w:r>
      <w:r w:rsidRPr="00D70316">
        <w:t>messenger ribonucleic acid; PD</w:t>
      </w:r>
      <w:r w:rsidR="00D05644" w:rsidRPr="00D70316">
        <w:t> </w:t>
      </w:r>
      <w:r w:rsidRPr="00D70316">
        <w:t>=</w:t>
      </w:r>
      <w:r w:rsidR="00D05644" w:rsidRPr="00D70316">
        <w:t> </w:t>
      </w:r>
      <w:r w:rsidRPr="00D70316">
        <w:t>pharmacodynamic; PK</w:t>
      </w:r>
      <w:r w:rsidR="00D05644" w:rsidRPr="00D70316">
        <w:t> </w:t>
      </w:r>
      <w:r w:rsidRPr="00D70316">
        <w:t>=</w:t>
      </w:r>
      <w:r w:rsidR="00D05644" w:rsidRPr="00D70316">
        <w:t> </w:t>
      </w:r>
      <w:r w:rsidRPr="00D70316">
        <w:t>pharmacokinetic; SAD</w:t>
      </w:r>
      <w:r w:rsidR="00D05644" w:rsidRPr="00D70316">
        <w:t> </w:t>
      </w:r>
      <w:r w:rsidRPr="00D70316">
        <w:t>=</w:t>
      </w:r>
      <w:r w:rsidR="00D05644" w:rsidRPr="00D70316">
        <w:t> </w:t>
      </w:r>
      <w:r w:rsidRPr="00D70316">
        <w:t>single ascending dose; SC</w:t>
      </w:r>
      <w:r w:rsidR="00D05644" w:rsidRPr="00D70316">
        <w:t> </w:t>
      </w:r>
      <w:r w:rsidRPr="00D70316">
        <w:t>=</w:t>
      </w:r>
      <w:r w:rsidR="00D05644" w:rsidRPr="00D70316">
        <w:t> </w:t>
      </w:r>
      <w:r w:rsidRPr="00D70316">
        <w:t>subcutaneous.</w:t>
      </w:r>
    </w:p>
    <w:p w14:paraId="2C462B11" w14:textId="1964D135" w:rsidR="00AE69B2" w:rsidRDefault="003446D7" w:rsidP="002051FC">
      <w:pPr>
        <w:pStyle w:val="FigureDescription"/>
      </w:pPr>
      <w:proofErr w:type="gramStart"/>
      <w:r>
        <w:lastRenderedPageBreak/>
        <w:t>a</w:t>
      </w:r>
      <w:proofErr w:type="gramEnd"/>
      <w:r w:rsidR="002051FC">
        <w:t xml:space="preserve"> Analysis for this submission was based on all available data from Study 002 as of the cut-off date of 19 April 2019</w:t>
      </w:r>
    </w:p>
    <w:p w14:paraId="18C80859" w14:textId="4BBAA7AF" w:rsidR="00AE69B2" w:rsidRDefault="003446D7" w:rsidP="002051FC">
      <w:pPr>
        <w:pStyle w:val="FigureDescription"/>
      </w:pPr>
      <w:r>
        <w:t>b</w:t>
      </w:r>
      <w:r w:rsidR="002051FC">
        <w:t xml:space="preserve"> Subjects received different starting doses in Study 002 before transitioning to the Phase 3 dose of 2.5 mg/kg once monthly</w:t>
      </w:r>
    </w:p>
    <w:p w14:paraId="15840647" w14:textId="74497F31" w:rsidR="002051FC" w:rsidRDefault="003446D7" w:rsidP="002051FC">
      <w:pPr>
        <w:pStyle w:val="FigureDescription"/>
      </w:pPr>
      <w:r>
        <w:t>c</w:t>
      </w:r>
      <w:r w:rsidR="002051FC">
        <w:t xml:space="preserve"> All available data from the open label extension period as of the database lock date of 23 July 2019 was used in </w:t>
      </w:r>
      <w:r w:rsidR="00AE69B2">
        <w:t>analysis</w:t>
      </w:r>
      <w:r>
        <w:t>. One</w:t>
      </w:r>
      <w:r w:rsidR="002051FC">
        <w:t xml:space="preserve"> patient discontinued treatment during the </w:t>
      </w:r>
      <w:r w:rsidR="007214DC">
        <w:t>double</w:t>
      </w:r>
      <w:r w:rsidR="007214DC">
        <w:noBreakHyphen/>
        <w:t>blind</w:t>
      </w:r>
      <w:r w:rsidR="002051FC">
        <w:t xml:space="preserve"> period of 003 and did not participate in the </w:t>
      </w:r>
      <w:r w:rsidR="00C62DE3">
        <w:t>open</w:t>
      </w:r>
      <w:r w:rsidR="00C62DE3">
        <w:noBreakHyphen/>
        <w:t>label extension.</w:t>
      </w:r>
    </w:p>
    <w:p w14:paraId="39185665" w14:textId="11A82B34" w:rsidR="00A10644" w:rsidRDefault="00A10644" w:rsidP="00CF42D9">
      <w:pPr>
        <w:pStyle w:val="Heading4"/>
      </w:pPr>
      <w:bookmarkStart w:id="50" w:name="_Toc170980405"/>
      <w:r>
        <w:t>Pharmacology</w:t>
      </w:r>
      <w:r w:rsidR="00CB56D9">
        <w:rPr>
          <w:rStyle w:val="FootnoteReference"/>
        </w:rPr>
        <w:footnoteReference w:id="8"/>
      </w:r>
      <w:bookmarkEnd w:id="50"/>
    </w:p>
    <w:p w14:paraId="3B8A39B8" w14:textId="64A87411" w:rsidR="006F0685" w:rsidRPr="00E676A9" w:rsidRDefault="006F0685" w:rsidP="006F0685">
      <w:pPr>
        <w:pStyle w:val="Heading5"/>
        <w:rPr>
          <w:b w:val="0"/>
        </w:rPr>
      </w:pPr>
      <w:r w:rsidRPr="00E676A9">
        <w:t>Pharmacokinetics</w:t>
      </w:r>
    </w:p>
    <w:p w14:paraId="40D5220F" w14:textId="13E05F22" w:rsidR="006F0685" w:rsidRPr="00B72A83" w:rsidRDefault="006F0685" w:rsidP="00553327">
      <w:r w:rsidRPr="00B72A83">
        <w:t xml:space="preserve">Givosiran is designed to be selectively delivered to the liver via uptake by </w:t>
      </w:r>
      <w:proofErr w:type="spellStart"/>
      <w:r w:rsidRPr="00B72A83">
        <w:t>asialoglycoprotein</w:t>
      </w:r>
      <w:proofErr w:type="spellEnd"/>
      <w:r w:rsidRPr="00B72A83">
        <w:t xml:space="preserve"> receptors which are primarily expressed at high copy numbers on the cell surface of hepatocytes. Targeting is achieved by conjugation of </w:t>
      </w:r>
      <w:r w:rsidRPr="00F15A94">
        <w:t xml:space="preserve">the </w:t>
      </w:r>
      <w:proofErr w:type="spellStart"/>
      <w:r w:rsidRPr="00F15A94">
        <w:t>givosiran</w:t>
      </w:r>
      <w:proofErr w:type="spellEnd"/>
      <w:r w:rsidRPr="00F15A94">
        <w:t xml:space="preserve"> siRNA to a </w:t>
      </w:r>
      <w:proofErr w:type="spellStart"/>
      <w:r w:rsidRPr="00F15A94">
        <w:t>GalNAc</w:t>
      </w:r>
      <w:proofErr w:type="spellEnd"/>
      <w:r w:rsidRPr="00F15A94">
        <w:t xml:space="preserve"> moiety, which is a ligand for </w:t>
      </w:r>
      <w:proofErr w:type="spellStart"/>
      <w:r w:rsidR="00F15A94">
        <w:t>a</w:t>
      </w:r>
      <w:r w:rsidR="00A15EDB" w:rsidRPr="00F15A94">
        <w:t>sialoglycoprotein</w:t>
      </w:r>
      <w:proofErr w:type="spellEnd"/>
      <w:r w:rsidR="00A15EDB" w:rsidRPr="00F15A94">
        <w:t xml:space="preserve"> receptor</w:t>
      </w:r>
      <w:r w:rsidRPr="00F15A94">
        <w:t>s.</w:t>
      </w:r>
    </w:p>
    <w:p w14:paraId="4B886799" w14:textId="680BA02B" w:rsidR="006F0685" w:rsidRPr="00B72A83" w:rsidRDefault="006F0685" w:rsidP="00553327">
      <w:r w:rsidRPr="00B72A83">
        <w:t xml:space="preserve">Pharmacokinetics and pharmacodynamics effects of </w:t>
      </w:r>
      <w:proofErr w:type="spellStart"/>
      <w:r w:rsidRPr="00B72A83">
        <w:t>givosiran</w:t>
      </w:r>
      <w:proofErr w:type="spellEnd"/>
      <w:r w:rsidRPr="00B72A83">
        <w:t xml:space="preserve"> have been evaluated in all 4 clinical </w:t>
      </w:r>
      <w:r w:rsidRPr="004C27B3">
        <w:t xml:space="preserve">studies </w:t>
      </w:r>
      <w:r w:rsidR="006C283C" w:rsidRPr="004C27B3">
        <w:t>[</w:t>
      </w:r>
      <w:r w:rsidR="004C27B3" w:rsidRPr="004C27B3">
        <w:t xml:space="preserve"> </w:t>
      </w:r>
      <w:r w:rsidR="004C27B3" w:rsidRPr="004C27B3">
        <w:fldChar w:fldCharType="begin"/>
      </w:r>
      <w:r w:rsidR="004C27B3" w:rsidRPr="004C27B3">
        <w:instrText xml:space="preserve"> REF _Ref162254894 \h </w:instrText>
      </w:r>
      <w:r w:rsidR="004C27B3">
        <w:instrText xml:space="preserve"> \* MERGEFORMAT </w:instrText>
      </w:r>
      <w:r w:rsidR="004C27B3" w:rsidRPr="004C27B3">
        <w:fldChar w:fldCharType="separate"/>
      </w:r>
      <w:r w:rsidR="007C529A">
        <w:t xml:space="preserve">Table </w:t>
      </w:r>
      <w:r w:rsidR="007C529A">
        <w:rPr>
          <w:noProof/>
        </w:rPr>
        <w:t>3</w:t>
      </w:r>
      <w:r w:rsidR="004C27B3" w:rsidRPr="004C27B3">
        <w:fldChar w:fldCharType="end"/>
      </w:r>
      <w:r w:rsidR="006C283C" w:rsidRPr="004C27B3">
        <w:t>]</w:t>
      </w:r>
      <w:r w:rsidRPr="004C27B3">
        <w:t>. The studies addressed single and multiple ascending doses, the</w:t>
      </w:r>
      <w:r w:rsidRPr="00B72A83">
        <w:t xml:space="preserve"> metabolite profile and potential for drug-drug interactions with </w:t>
      </w:r>
      <w:proofErr w:type="spellStart"/>
      <w:r w:rsidRPr="00B72A83">
        <w:t>givosiran</w:t>
      </w:r>
      <w:proofErr w:type="spellEnd"/>
      <w:r w:rsidRPr="00B72A83">
        <w:t xml:space="preserve">. Covariates affecting the pharmacokinetics of </w:t>
      </w:r>
      <w:proofErr w:type="spellStart"/>
      <w:r w:rsidRPr="00B72A83">
        <w:t>givosiran</w:t>
      </w:r>
      <w:proofErr w:type="spellEnd"/>
      <w:r w:rsidRPr="00B72A83">
        <w:t xml:space="preserve"> were evaluated by population pharmacokinetics. Pharmacokinetics </w:t>
      </w:r>
      <w:r w:rsidRPr="002F3B29">
        <w:t xml:space="preserve">of the primary active metabolite AS(N-1)3’ </w:t>
      </w:r>
      <w:proofErr w:type="spellStart"/>
      <w:r w:rsidRPr="002F3B29">
        <w:t>givosiran</w:t>
      </w:r>
      <w:proofErr w:type="spellEnd"/>
      <w:r w:rsidRPr="002F3B29">
        <w:t xml:space="preserve"> was also evaluated in most studies. Further,</w:t>
      </w:r>
      <w:r w:rsidRPr="00B72A83">
        <w:t xml:space="preserve"> in vitro studies evaluating the drug-drug interaction potential of </w:t>
      </w:r>
      <w:proofErr w:type="spellStart"/>
      <w:proofErr w:type="gramStart"/>
      <w:r w:rsidRPr="00B72A83">
        <w:t>givosiran</w:t>
      </w:r>
      <w:proofErr w:type="spellEnd"/>
      <w:proofErr w:type="gramEnd"/>
      <w:r w:rsidRPr="00B72A83">
        <w:t xml:space="preserve"> and exposure-response analyses have been performed.</w:t>
      </w:r>
    </w:p>
    <w:p w14:paraId="4AFB43BB" w14:textId="0F88DDB9" w:rsidR="006F0685" w:rsidRPr="00B72A83" w:rsidRDefault="006F0685" w:rsidP="00553327">
      <w:r w:rsidRPr="00E676A9">
        <w:t xml:space="preserve">No </w:t>
      </w:r>
      <w:r w:rsidR="009B07C4" w:rsidRPr="00E676A9">
        <w:t>radiolabelled</w:t>
      </w:r>
      <w:r w:rsidRPr="00E676A9">
        <w:t xml:space="preserve"> mass balance study, thorough QT prolongation study, and dedicated studies in</w:t>
      </w:r>
      <w:r w:rsidRPr="00B72A83">
        <w:t xml:space="preserve"> subjects with dedicated hepatic and renal impairment have been conducted but patients with renal and hepatic impairment were allowed to be enrolled in study 003 as was agreed in </w:t>
      </w:r>
      <w:r w:rsidR="00F1783E">
        <w:t>3</w:t>
      </w:r>
      <w:r w:rsidRPr="00B72A83">
        <w:t xml:space="preserve"> protocol assistance meetings with the European Medicines Agency (EMA) in July 2017 and March 2018 (EMEA/H/SA/3587/1/2017/PA/PR/III, EMEA/H/SA/3587/1/FU/1/2018/PA/PR/III, and EMEA/H/SA/3587/2/2018/PA/PR/I). Similarly, in agreement with the recommendations in the </w:t>
      </w:r>
      <w:r w:rsidR="0099253B">
        <w:t>p</w:t>
      </w:r>
      <w:r w:rsidR="0099253B" w:rsidRPr="0099253B">
        <w:t>aediatric investigation plan</w:t>
      </w:r>
      <w:r w:rsidRPr="00B72A83">
        <w:t xml:space="preserve">, adolescents could be enrolled in study 003. Immunogenicity of </w:t>
      </w:r>
      <w:proofErr w:type="spellStart"/>
      <w:r w:rsidRPr="00B72A83">
        <w:t>givosiran</w:t>
      </w:r>
      <w:proofErr w:type="spellEnd"/>
      <w:r w:rsidRPr="00B72A83">
        <w:t xml:space="preserve"> treatment was evaluated in all studies.</w:t>
      </w:r>
    </w:p>
    <w:p w14:paraId="24622D09" w14:textId="000F6A57" w:rsidR="006F0685" w:rsidRPr="00B72A83" w:rsidRDefault="006F0685" w:rsidP="00553327">
      <w:r w:rsidRPr="00B72A83">
        <w:t xml:space="preserve">The recommended dose of </w:t>
      </w:r>
      <w:proofErr w:type="spellStart"/>
      <w:r w:rsidRPr="00B72A83">
        <w:t>givosiran</w:t>
      </w:r>
      <w:proofErr w:type="spellEnd"/>
      <w:r w:rsidRPr="00B72A83">
        <w:t xml:space="preserve"> is 2.5</w:t>
      </w:r>
      <w:r w:rsidR="00CF42D9">
        <w:t> </w:t>
      </w:r>
      <w:r w:rsidRPr="00B72A83">
        <w:t xml:space="preserve">mg/kg once monthly, administered by subcutaneous (SC) injection in abdomen, </w:t>
      </w:r>
      <w:proofErr w:type="gramStart"/>
      <w:r w:rsidRPr="00B72A83">
        <w:t>thigh</w:t>
      </w:r>
      <w:proofErr w:type="gramEnd"/>
      <w:r w:rsidRPr="00B72A83">
        <w:t xml:space="preserve"> or upper arm.</w:t>
      </w:r>
    </w:p>
    <w:p w14:paraId="2559F68D" w14:textId="77777777" w:rsidR="006F0685" w:rsidRPr="00B42A21" w:rsidRDefault="006F0685" w:rsidP="00CF42D9">
      <w:pPr>
        <w:pStyle w:val="Heading5"/>
      </w:pPr>
      <w:r w:rsidRPr="00B42A21">
        <w:t>Population PK data (</w:t>
      </w:r>
      <w:proofErr w:type="spellStart"/>
      <w:r w:rsidRPr="00B42A21">
        <w:t>popPK</w:t>
      </w:r>
      <w:proofErr w:type="spellEnd"/>
      <w:r w:rsidRPr="00B42A21">
        <w:t>)</w:t>
      </w:r>
    </w:p>
    <w:p w14:paraId="0754431D" w14:textId="4EB043FF" w:rsidR="006F0685" w:rsidRPr="00B72A83" w:rsidRDefault="006F0685" w:rsidP="00553327">
      <w:r w:rsidRPr="00991F7C">
        <w:t xml:space="preserve">A population </w:t>
      </w:r>
      <w:r w:rsidR="00BC7963" w:rsidRPr="00991F7C">
        <w:t>pharmacokinetic</w:t>
      </w:r>
      <w:r w:rsidRPr="00991F7C">
        <w:t>/</w:t>
      </w:r>
      <w:r w:rsidR="00BC7963" w:rsidRPr="00991F7C">
        <w:t>pharmacodynamic (PD)</w:t>
      </w:r>
      <w:r w:rsidRPr="00991F7C">
        <w:t xml:space="preserve"> model was developed to describe the</w:t>
      </w:r>
      <w:r w:rsidRPr="00B72A83">
        <w:t xml:space="preserve"> </w:t>
      </w:r>
      <w:r w:rsidRPr="00991F7C">
        <w:t>time-course and estimate inter-individual variability of urinary ALA levels from pooled data</w:t>
      </w:r>
      <w:r w:rsidRPr="00B72A83">
        <w:t xml:space="preserve"> </w:t>
      </w:r>
      <w:r w:rsidRPr="00683A86">
        <w:t xml:space="preserve">following placebo and </w:t>
      </w:r>
      <w:proofErr w:type="spellStart"/>
      <w:r w:rsidRPr="00683A86">
        <w:t>givosiran</w:t>
      </w:r>
      <w:proofErr w:type="spellEnd"/>
      <w:r w:rsidRPr="00683A86">
        <w:t xml:space="preserve"> administration in CHE subjects and AHP patients.</w:t>
      </w:r>
      <w:r w:rsidR="00683A86" w:rsidRPr="00683A86">
        <w:rPr>
          <w:rStyle w:val="FootnoteReference"/>
          <w:sz w:val="20"/>
        </w:rPr>
        <w:footnoteReference w:id="9"/>
      </w:r>
      <w:r w:rsidRPr="00683A86">
        <w:t xml:space="preserve"> The model</w:t>
      </w:r>
      <w:r w:rsidRPr="00B72A83">
        <w:t xml:space="preserve"> was used to support the dose and dosing interval and to support dosing in patients.</w:t>
      </w:r>
    </w:p>
    <w:p w14:paraId="469F5260" w14:textId="77777777" w:rsidR="006F0685" w:rsidRPr="00B72A83" w:rsidRDefault="006F0685" w:rsidP="00CF42D9">
      <w:pPr>
        <w:pStyle w:val="Heading6"/>
      </w:pPr>
      <w:r w:rsidRPr="00B72A83">
        <w:lastRenderedPageBreak/>
        <w:t>Interactions</w:t>
      </w:r>
    </w:p>
    <w:p w14:paraId="69281878" w14:textId="33C64045" w:rsidR="006F0685" w:rsidRPr="00B72A83" w:rsidRDefault="006F0685" w:rsidP="00553327">
      <w:r w:rsidRPr="00B72A83">
        <w:t xml:space="preserve">The potential of </w:t>
      </w:r>
      <w:proofErr w:type="spellStart"/>
      <w:r w:rsidRPr="00B72A83">
        <w:t>givosiran</w:t>
      </w:r>
      <w:proofErr w:type="spellEnd"/>
      <w:r w:rsidRPr="00B72A83">
        <w:t xml:space="preserve"> for drug</w:t>
      </w:r>
      <w:r w:rsidR="005E38BC">
        <w:noBreakHyphen/>
      </w:r>
      <w:r w:rsidRPr="00B72A83">
        <w:t xml:space="preserve">drug interaction has been investigated by in vitro studies. In vitro studies indicated a low interaction profile for </w:t>
      </w:r>
      <w:proofErr w:type="spellStart"/>
      <w:r w:rsidRPr="00B72A83">
        <w:t>givosiran</w:t>
      </w:r>
      <w:proofErr w:type="spellEnd"/>
      <w:r w:rsidRPr="00B72A83">
        <w:t xml:space="preserve"> as </w:t>
      </w:r>
      <w:proofErr w:type="spellStart"/>
      <w:r w:rsidRPr="00B72A83">
        <w:t>givosiran</w:t>
      </w:r>
      <w:proofErr w:type="spellEnd"/>
      <w:r w:rsidRPr="00B72A83">
        <w:t xml:space="preserve"> was not a substrate, </w:t>
      </w:r>
      <w:proofErr w:type="gramStart"/>
      <w:r w:rsidRPr="00C747E3">
        <w:t>inhibitor</w:t>
      </w:r>
      <w:proofErr w:type="gramEnd"/>
      <w:r w:rsidRPr="00C747E3">
        <w:t xml:space="preserve"> or inducer of CYP enzymes and transporters in vitro.</w:t>
      </w:r>
    </w:p>
    <w:p w14:paraId="423FAD81" w14:textId="77777777" w:rsidR="006F0685" w:rsidRPr="00B72A83" w:rsidRDefault="006F0685" w:rsidP="00553327">
      <w:r w:rsidRPr="00B72A83">
        <w:t xml:space="preserve">Overall, these results indicate that </w:t>
      </w:r>
      <w:proofErr w:type="spellStart"/>
      <w:r w:rsidRPr="00B72A83">
        <w:t>givosiran</w:t>
      </w:r>
      <w:proofErr w:type="spellEnd"/>
      <w:r w:rsidRPr="00B72A83">
        <w:t xml:space="preserve"> moderately reduced the activity of CYP1A2 and CYP2D6, weakly reduced the activity of CYP3A4 and CYP2C19, and had no impact on activity of CYP2C9.</w:t>
      </w:r>
    </w:p>
    <w:p w14:paraId="1FEFF5A6" w14:textId="77777777" w:rsidR="006F0685" w:rsidRPr="00B72A83" w:rsidRDefault="006F0685" w:rsidP="00CF42D9">
      <w:pPr>
        <w:pStyle w:val="Heading6"/>
      </w:pPr>
      <w:r w:rsidRPr="00B72A83">
        <w:t>Overall conclusion</w:t>
      </w:r>
    </w:p>
    <w:p w14:paraId="53AF953B" w14:textId="579C6657" w:rsidR="006F0685" w:rsidRPr="00B72A83" w:rsidRDefault="006F0685" w:rsidP="00553327">
      <w:r w:rsidRPr="00B72A83">
        <w:t xml:space="preserve">Pharmacokinetics of </w:t>
      </w:r>
      <w:proofErr w:type="spellStart"/>
      <w:r w:rsidRPr="00B72A83">
        <w:t>givosiran</w:t>
      </w:r>
      <w:proofErr w:type="spellEnd"/>
      <w:r w:rsidRPr="00B72A83">
        <w:t xml:space="preserve"> has been sufficiently well characterised. Givosiran is rapidly cleared from the plasma with a half-life of 6</w:t>
      </w:r>
      <w:r w:rsidR="001C7A58">
        <w:t> </w:t>
      </w:r>
      <w:r w:rsidRPr="00B72A83">
        <w:t>hours and is not directly related to the pharmacodynamic effects which last for 2 to 3</w:t>
      </w:r>
      <w:r w:rsidR="001C7A58">
        <w:t> </w:t>
      </w:r>
      <w:r w:rsidRPr="00B72A83">
        <w:t>months.</w:t>
      </w:r>
    </w:p>
    <w:p w14:paraId="2A668140" w14:textId="77777777" w:rsidR="006F0685" w:rsidRPr="00E87983" w:rsidRDefault="006F0685" w:rsidP="001C7A58">
      <w:pPr>
        <w:pStyle w:val="Heading5"/>
      </w:pPr>
      <w:r w:rsidRPr="00E87983">
        <w:t>Pharmacodynamics (PD)</w:t>
      </w:r>
    </w:p>
    <w:p w14:paraId="62812399" w14:textId="260F0F31" w:rsidR="006F0685" w:rsidRPr="00B72A83" w:rsidRDefault="006F0685" w:rsidP="00553327">
      <w:r w:rsidRPr="002C57A4">
        <w:t xml:space="preserve">Givosiran is designed to be selectively delivered to the liver using the binding between the </w:t>
      </w:r>
      <w:proofErr w:type="spellStart"/>
      <w:r w:rsidRPr="002C57A4">
        <w:t>GalNAc</w:t>
      </w:r>
      <w:proofErr w:type="spellEnd"/>
      <w:r w:rsidR="001C7A58" w:rsidRPr="002C57A4">
        <w:t xml:space="preserve"> </w:t>
      </w:r>
      <w:r w:rsidRPr="002C57A4">
        <w:t xml:space="preserve">ligand of </w:t>
      </w:r>
      <w:proofErr w:type="spellStart"/>
      <w:r w:rsidRPr="002C57A4">
        <w:t>givosiran</w:t>
      </w:r>
      <w:proofErr w:type="spellEnd"/>
      <w:r w:rsidRPr="002C57A4">
        <w:t xml:space="preserve"> and </w:t>
      </w:r>
      <w:proofErr w:type="spellStart"/>
      <w:r w:rsidR="00A15EDB" w:rsidRPr="002C57A4">
        <w:t>asialoglycoprotein</w:t>
      </w:r>
      <w:proofErr w:type="spellEnd"/>
      <w:r w:rsidR="00A15EDB" w:rsidRPr="002C57A4">
        <w:t xml:space="preserve"> receptor</w:t>
      </w:r>
      <w:r w:rsidRPr="002C57A4">
        <w:t xml:space="preserve"> expressed on the liver. Upon delivery to the </w:t>
      </w:r>
      <w:r w:rsidRPr="00627379">
        <w:t xml:space="preserve">liver, </w:t>
      </w:r>
      <w:proofErr w:type="spellStart"/>
      <w:r w:rsidRPr="00627379">
        <w:t>givosiran</w:t>
      </w:r>
      <w:proofErr w:type="spellEnd"/>
      <w:r w:rsidR="001C7A58" w:rsidRPr="00627379">
        <w:t xml:space="preserve"> </w:t>
      </w:r>
      <w:r w:rsidRPr="00627379">
        <w:t xml:space="preserve">uses the naturally occurring </w:t>
      </w:r>
      <w:r w:rsidR="00627379" w:rsidRPr="00627379">
        <w:t>ribonucleic acid interference (</w:t>
      </w:r>
      <w:r w:rsidRPr="00627379">
        <w:t>RNAi</w:t>
      </w:r>
      <w:r w:rsidR="00627379" w:rsidRPr="00627379">
        <w:t>)</w:t>
      </w:r>
      <w:r w:rsidRPr="00627379">
        <w:t xml:space="preserve"> pathway </w:t>
      </w:r>
      <w:r w:rsidRPr="0091381C">
        <w:t>to specifically target and silence ALAS1 mRNA in the liver. The RNAi-mediated lowering of induced liver ALAS1 mRNA levels and the consequent sustained decrease in the accumulation of toxic heme intermediates ALA and PBG is expected to prevent or reduce the occurrence of serious</w:t>
      </w:r>
      <w:r w:rsidRPr="00B72A83">
        <w:t xml:space="preserve"> neurovisceral attacks and ongoing symptoms in patients with AHP.</w:t>
      </w:r>
    </w:p>
    <w:p w14:paraId="149F275B" w14:textId="77777777" w:rsidR="006F0685" w:rsidRPr="00B72A83" w:rsidRDefault="006F0685" w:rsidP="00553327">
      <w:r w:rsidRPr="00B72A83">
        <w:t xml:space="preserve">The primary action of </w:t>
      </w:r>
      <w:proofErr w:type="spellStart"/>
      <w:r w:rsidRPr="00B72A83">
        <w:t>givosiran</w:t>
      </w:r>
      <w:proofErr w:type="spellEnd"/>
      <w:r w:rsidRPr="00B72A83">
        <w:t xml:space="preserve"> sodium is the reduction of the plasma levels of toxic metabolites ALA and PBG. Plasma ALA and PBG levels were shown to be highly correlated with corresponding urinary levels.</w:t>
      </w:r>
    </w:p>
    <w:p w14:paraId="38B578FE" w14:textId="77777777" w:rsidR="006F0685" w:rsidRPr="00B72A83" w:rsidRDefault="006F0685" w:rsidP="00A109BF">
      <w:pPr>
        <w:pStyle w:val="Heading6"/>
      </w:pPr>
      <w:r w:rsidRPr="00B72A83">
        <w:t>Secondary pharmacology</w:t>
      </w:r>
    </w:p>
    <w:p w14:paraId="24EF8530" w14:textId="056C8875" w:rsidR="006F0685" w:rsidRPr="00B72A83" w:rsidRDefault="006F0685" w:rsidP="00553327">
      <w:r w:rsidRPr="00B72A83">
        <w:t xml:space="preserve">No dedicated QT study was performed. However, the data from the pre-clinical and clinical </w:t>
      </w:r>
      <w:r w:rsidRPr="00E676A9">
        <w:t>studies do not indicate any clinically relevant changes in QTc interval.</w:t>
      </w:r>
    </w:p>
    <w:p w14:paraId="13D53EE8" w14:textId="77777777" w:rsidR="006F0685" w:rsidRPr="00B72A83" w:rsidRDefault="006F0685" w:rsidP="00A109BF">
      <w:pPr>
        <w:pStyle w:val="Heading6"/>
      </w:pPr>
      <w:r w:rsidRPr="00B72A83">
        <w:t>Immunogenicity</w:t>
      </w:r>
    </w:p>
    <w:p w14:paraId="76DB1428" w14:textId="6F81ECBF" w:rsidR="006F0685" w:rsidRPr="00B72A83" w:rsidRDefault="006F0685" w:rsidP="00553327">
      <w:r w:rsidRPr="00B42A21">
        <w:t>Across the 4 clinical studies, there was only 1 case of treatment-induced ADA in 131 subjects</w:t>
      </w:r>
      <w:r w:rsidRPr="00B72A83">
        <w:t xml:space="preserve"> (AHP patients </w:t>
      </w:r>
      <w:r w:rsidR="00D8672B">
        <w:t>and</w:t>
      </w:r>
      <w:r w:rsidRPr="00B72A83">
        <w:t xml:space="preserve"> CHE subjects) who received </w:t>
      </w:r>
      <w:proofErr w:type="spellStart"/>
      <w:r w:rsidRPr="00B72A83">
        <w:t>givosiran</w:t>
      </w:r>
      <w:proofErr w:type="spellEnd"/>
      <w:r w:rsidRPr="00B72A83">
        <w:t>.</w:t>
      </w:r>
    </w:p>
    <w:p w14:paraId="4DA1467B" w14:textId="77777777" w:rsidR="006F0685" w:rsidRPr="00B72A83" w:rsidRDefault="006F0685" w:rsidP="00E87983">
      <w:pPr>
        <w:pStyle w:val="Heading5"/>
      </w:pPr>
      <w:r w:rsidRPr="00B72A83">
        <w:t>Conclusion on clinical pharmacology</w:t>
      </w:r>
    </w:p>
    <w:p w14:paraId="3F19B194" w14:textId="66644017" w:rsidR="006F0685" w:rsidRDefault="006F0685" w:rsidP="00553327">
      <w:r w:rsidRPr="00B72A83">
        <w:t xml:space="preserve">Pharmacokinetics of </w:t>
      </w:r>
      <w:proofErr w:type="spellStart"/>
      <w:r w:rsidRPr="00B72A83">
        <w:t>givosiran</w:t>
      </w:r>
      <w:proofErr w:type="spellEnd"/>
      <w:r w:rsidRPr="00B72A83">
        <w:t xml:space="preserve"> in the target organ (liver) drives the long duration of PD effect. Givosiran causes a rapid dose-dependent decrease in urinary ALAS1 mRNA levels, ALA and PGB levels. The selected 2.5</w:t>
      </w:r>
      <w:r w:rsidR="00F95603">
        <w:t> </w:t>
      </w:r>
      <w:r w:rsidRPr="00B72A83">
        <w:t>mg/kg once monthly dosing regimen was chosen based on the exploratory studies with CHE and AHP patients and was further supported by the population PK/PD modelling and simulations.</w:t>
      </w:r>
    </w:p>
    <w:p w14:paraId="2C4A9FC0" w14:textId="314C1189" w:rsidR="00FD7485" w:rsidRPr="00FD7485" w:rsidRDefault="00FD7485" w:rsidP="00FD7485">
      <w:pPr>
        <w:pStyle w:val="Heading4"/>
      </w:pPr>
      <w:bookmarkStart w:id="51" w:name="_Toc170980406"/>
      <w:r w:rsidRPr="00FD7485">
        <w:t>Efficacy</w:t>
      </w:r>
      <w:r w:rsidR="00167C6D">
        <w:rPr>
          <w:rStyle w:val="FootnoteReference"/>
        </w:rPr>
        <w:footnoteReference w:id="10"/>
      </w:r>
      <w:bookmarkEnd w:id="51"/>
    </w:p>
    <w:p w14:paraId="45DF4A76" w14:textId="76EFAB73" w:rsidR="00FD7485" w:rsidRPr="00FD7485" w:rsidRDefault="00FD7485" w:rsidP="00553327">
      <w:r w:rsidRPr="00FD7485">
        <w:t xml:space="preserve">The proposed therapeutic dose of </w:t>
      </w:r>
      <w:proofErr w:type="spellStart"/>
      <w:r w:rsidRPr="00FD7485">
        <w:t>givosiran</w:t>
      </w:r>
      <w:proofErr w:type="spellEnd"/>
      <w:r w:rsidRPr="00FD7485">
        <w:t xml:space="preserve"> is 2.5</w:t>
      </w:r>
      <w:r>
        <w:t> </w:t>
      </w:r>
      <w:r w:rsidRPr="00FD7485">
        <w:t xml:space="preserve">mg/kg once monthly in adults and adolescents, administered subcutaneously. The selection of the dose and dosing frequency was supported by a Phase </w:t>
      </w:r>
      <w:r w:rsidR="00D6390D">
        <w:t>1</w:t>
      </w:r>
      <w:r w:rsidRPr="00FD7485">
        <w:t xml:space="preserve"> single, placebo-controlled multiple-dose Study 001 in CHE subjects </w:t>
      </w:r>
      <w:r w:rsidRPr="00FD7485">
        <w:lastRenderedPageBreak/>
        <w:t>(Study 001a and b) and AIP patients (Study 001c) and an open-label extension long-term dosing study in AIP patients (Study 002).</w:t>
      </w:r>
    </w:p>
    <w:p w14:paraId="2238762C" w14:textId="7A51A205" w:rsidR="00FD7485" w:rsidRPr="00FD7485" w:rsidRDefault="00FD7485" w:rsidP="00553327">
      <w:r w:rsidRPr="00FD7485">
        <w:t>Adequacy of the selected 2.5</w:t>
      </w:r>
      <w:r w:rsidR="00A529FC">
        <w:t> </w:t>
      </w:r>
      <w:r w:rsidRPr="00FD7485">
        <w:t>mg/kg once monthly dosing regimen was further supported by the population PK/PD modelling and simulations using data from Studies 001, 002, and 003. In general, the model supported that the 2.5</w:t>
      </w:r>
      <w:r w:rsidR="00A529FC">
        <w:t> </w:t>
      </w:r>
      <w:r w:rsidRPr="00FD7485">
        <w:t xml:space="preserve">mg/kg dose once monthly seems to be near maximum </w:t>
      </w:r>
      <w:r w:rsidRPr="00B42A21">
        <w:t>PD/clinical effects for both dose-ALA and dose-AAR.</w:t>
      </w:r>
    </w:p>
    <w:p w14:paraId="6B1A3FA3" w14:textId="77777777" w:rsidR="00FD7485" w:rsidRPr="00FD7485" w:rsidRDefault="00FD7485" w:rsidP="00553327">
      <w:r w:rsidRPr="00FD7485">
        <w:t xml:space="preserve">No clinically relevant effect of age, sex, race, or body weight on the PK and PD of </w:t>
      </w:r>
      <w:proofErr w:type="spellStart"/>
      <w:r w:rsidRPr="00FD7485">
        <w:t>givosiran</w:t>
      </w:r>
      <w:proofErr w:type="spellEnd"/>
      <w:r w:rsidRPr="00FD7485">
        <w:t xml:space="preserve"> was observed in the clinical studies or predicted in the pop PK/PD model. No dose adjustment for adolescents &gt;12 years old or elderly are considered needed.</w:t>
      </w:r>
    </w:p>
    <w:p w14:paraId="7C6FA84E" w14:textId="2F6C8637" w:rsidR="00FD7485" w:rsidRPr="00FD7485" w:rsidRDefault="00AB5E53" w:rsidP="00E00B9F">
      <w:pPr>
        <w:pStyle w:val="Heading5"/>
      </w:pPr>
      <w:r>
        <w:t xml:space="preserve">Study </w:t>
      </w:r>
      <w:r w:rsidR="00FD7485" w:rsidRPr="00FD7485">
        <w:t>ALN-AS1-003 (ENVISION)</w:t>
      </w:r>
      <w:r>
        <w:t xml:space="preserve"> – the main study</w:t>
      </w:r>
    </w:p>
    <w:p w14:paraId="6298B6AA" w14:textId="3E967BA7" w:rsidR="00FD7485" w:rsidRPr="00B42A21" w:rsidRDefault="00FD7485" w:rsidP="00553327">
      <w:r w:rsidRPr="00FD7485">
        <w:t>Study 003 is a randomi</w:t>
      </w:r>
      <w:r w:rsidR="00F1783E">
        <w:t>s</w:t>
      </w:r>
      <w:r w:rsidRPr="00FD7485">
        <w:t xml:space="preserve">ed, </w:t>
      </w:r>
      <w:r w:rsidR="00F1783E">
        <w:t xml:space="preserve">double-blind, </w:t>
      </w:r>
      <w:r w:rsidRPr="00FD7485">
        <w:t>placebo-controlled</w:t>
      </w:r>
      <w:r w:rsidR="00F1783E">
        <w:t>,</w:t>
      </w:r>
      <w:r w:rsidRPr="00FD7485">
        <w:t xml:space="preserve"> multicentre</w:t>
      </w:r>
      <w:r w:rsidR="00F1783E">
        <w:t>,</w:t>
      </w:r>
      <w:r w:rsidRPr="00FD7485">
        <w:t xml:space="preserve"> Phase </w:t>
      </w:r>
      <w:r w:rsidR="00F1783E">
        <w:t>III</w:t>
      </w:r>
      <w:r w:rsidRPr="00FD7485">
        <w:t xml:space="preserve"> study designed to evaluate the efficacy and safety of </w:t>
      </w:r>
      <w:proofErr w:type="spellStart"/>
      <w:r w:rsidRPr="00FD7485">
        <w:t>givosiran</w:t>
      </w:r>
      <w:proofErr w:type="spellEnd"/>
      <w:r w:rsidRPr="00FD7485">
        <w:t xml:space="preserve"> sodium in patients with AHP. Patient enrolment began on 16 November 2017, the 6-month DB period of the study was completed (last patient last visit) on 30 January 2019 with a data cut-off of 23 July 2019. </w:t>
      </w:r>
      <w:r w:rsidRPr="00EF1298">
        <w:t xml:space="preserve">The </w:t>
      </w:r>
      <w:r w:rsidR="0014008C">
        <w:t>open-label extension (</w:t>
      </w:r>
      <w:r w:rsidRPr="00EF1298">
        <w:t>OLE</w:t>
      </w:r>
      <w:r w:rsidR="0014008C">
        <w:t>)</w:t>
      </w:r>
      <w:r w:rsidRPr="00EF1298">
        <w:t xml:space="preserve"> period of the study is ongoing</w:t>
      </w:r>
      <w:r w:rsidRPr="00B42A21">
        <w:t xml:space="preserve"> (</w:t>
      </w:r>
      <w:r w:rsidR="00B42A21" w:rsidRPr="00B42A21">
        <w:fldChar w:fldCharType="begin"/>
      </w:r>
      <w:r w:rsidR="00B42A21" w:rsidRPr="00B42A21">
        <w:instrText xml:space="preserve"> REF _Ref157157884 \h </w:instrText>
      </w:r>
      <w:r w:rsidR="00B42A21">
        <w:instrText xml:space="preserve"> \* MERGEFORMAT </w:instrText>
      </w:r>
      <w:r w:rsidR="00B42A21" w:rsidRPr="00B42A21">
        <w:fldChar w:fldCharType="separate"/>
      </w:r>
      <w:r w:rsidR="007C529A">
        <w:t xml:space="preserve">Figure </w:t>
      </w:r>
      <w:r w:rsidR="007C529A">
        <w:rPr>
          <w:noProof/>
        </w:rPr>
        <w:t>2</w:t>
      </w:r>
      <w:r w:rsidR="00B42A21" w:rsidRPr="00B42A21">
        <w:fldChar w:fldCharType="end"/>
      </w:r>
      <w:r w:rsidRPr="00B42A21">
        <w:t>).</w:t>
      </w:r>
      <w:r w:rsidR="00237085">
        <w:rPr>
          <w:rStyle w:val="FootnoteReference"/>
          <w:sz w:val="20"/>
        </w:rPr>
        <w:footnoteReference w:id="11"/>
      </w:r>
    </w:p>
    <w:p w14:paraId="58CF9260" w14:textId="6B0CD3B0" w:rsidR="00773BE8" w:rsidRDefault="000214DD" w:rsidP="000214DD">
      <w:pPr>
        <w:pStyle w:val="FigureTitle"/>
        <w:keepNext/>
        <w:rPr>
          <w:sz w:val="20"/>
        </w:rPr>
      </w:pPr>
      <w:bookmarkStart w:id="52" w:name="_Ref157157884"/>
      <w:r>
        <w:t xml:space="preserve">Figure </w:t>
      </w:r>
      <w:fldSimple w:instr=" SEQ Figure \* ARABIC ">
        <w:r w:rsidR="007C529A">
          <w:rPr>
            <w:noProof/>
          </w:rPr>
          <w:t>2</w:t>
        </w:r>
      </w:fldSimple>
      <w:bookmarkEnd w:id="52"/>
      <w:r>
        <w:t>: Study ALN-AS1-003 schema</w:t>
      </w:r>
    </w:p>
    <w:p w14:paraId="66C9EB60" w14:textId="5D2C973D" w:rsidR="00773BE8" w:rsidRDefault="00773BE8" w:rsidP="002F0C65">
      <w:pPr>
        <w:ind w:left="720" w:hanging="720"/>
        <w:rPr>
          <w:sz w:val="20"/>
        </w:rPr>
      </w:pPr>
      <w:r>
        <w:rPr>
          <w:noProof/>
        </w:rPr>
        <w:drawing>
          <wp:inline distT="0" distB="0" distL="0" distR="0" wp14:anchorId="12B2F28E" wp14:editId="1F52F426">
            <wp:extent cx="5715635" cy="2592517"/>
            <wp:effectExtent l="0" t="0" r="0" b="0"/>
            <wp:docPr id="5" name="Picture 5" descr="Figure showing screening period, randomisation, treatment period, open-label and follow-u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showing screening period, randomisation, treatment period, open-label and follow-up period."/>
                    <pic:cNvPicPr/>
                  </pic:nvPicPr>
                  <pic:blipFill>
                    <a:blip r:embed="rId24"/>
                    <a:stretch>
                      <a:fillRect/>
                    </a:stretch>
                  </pic:blipFill>
                  <pic:spPr>
                    <a:xfrm>
                      <a:off x="0" y="0"/>
                      <a:ext cx="5746570" cy="2606548"/>
                    </a:xfrm>
                    <a:prstGeom prst="rect">
                      <a:avLst/>
                    </a:prstGeom>
                  </pic:spPr>
                </pic:pic>
              </a:graphicData>
            </a:graphic>
          </wp:inline>
        </w:drawing>
      </w:r>
    </w:p>
    <w:p w14:paraId="1C16BBB4" w14:textId="77777777" w:rsidR="00FD7485" w:rsidRPr="00FD7485" w:rsidRDefault="00FD7485" w:rsidP="00894654">
      <w:pPr>
        <w:pStyle w:val="Heading6"/>
      </w:pPr>
      <w:r w:rsidRPr="00FD7485">
        <w:t>Methods</w:t>
      </w:r>
    </w:p>
    <w:p w14:paraId="2F2BA502" w14:textId="77777777" w:rsidR="00FD7485" w:rsidRPr="00FD7485" w:rsidRDefault="00FD7485" w:rsidP="00894654">
      <w:pPr>
        <w:pStyle w:val="Heading7"/>
      </w:pPr>
      <w:r w:rsidRPr="00FD7485">
        <w:t>Study Participants</w:t>
      </w:r>
    </w:p>
    <w:p w14:paraId="3866158B" w14:textId="7ABDC2E0" w:rsidR="00FD7485" w:rsidRPr="00FD7485" w:rsidRDefault="00FD7485" w:rsidP="00553327">
      <w:r w:rsidRPr="00FD7485">
        <w:t>The study population is reflective of the population with AHP but was enriched for the attack rate: only patients with at least 2 attacks in the past 6 months were eligible to enrol in the study. Patients with all types of AHP were allowed to enrol. Adolescents &gt;12 y</w:t>
      </w:r>
      <w:r w:rsidR="009B07C4">
        <w:t>ears of age</w:t>
      </w:r>
      <w:r w:rsidRPr="00FD7485">
        <w:t xml:space="preserve"> were also allowed to enrol to the study, however, due to the rarity of these patients, none was eventually enrolled.</w:t>
      </w:r>
    </w:p>
    <w:p w14:paraId="0DAF9413" w14:textId="36E66489" w:rsidR="0031635B" w:rsidRPr="0031635B" w:rsidRDefault="0031635B" w:rsidP="00553327">
      <w:r w:rsidRPr="00F94EA3">
        <w:t>Subjects with moderate or severe liver impairment (ALT &gt;2</w:t>
      </w:r>
      <w:r w:rsidR="00F94EA3" w:rsidRPr="00F94EA3">
        <w:t>×</w:t>
      </w:r>
      <w:r w:rsidRPr="00F94EA3">
        <w:t>upper limit of normal (ULN), Total bilirubin (TBL) &gt;1.5×ULN, International normali</w:t>
      </w:r>
      <w:r w:rsidR="00F1783E">
        <w:t>s</w:t>
      </w:r>
      <w:r w:rsidRPr="00F94EA3">
        <w:t>ed ratio (INR) &gt;1.5) or severe renal impairment (eGFR &lt;30 mL/min/1.73 m</w:t>
      </w:r>
      <w:r w:rsidRPr="00F94EA3">
        <w:rPr>
          <w:vertAlign w:val="superscript"/>
        </w:rPr>
        <w:t>2</w:t>
      </w:r>
      <w:r w:rsidRPr="00F94EA3">
        <w:t>) were excluded from the study. Hemin use was only allowed during</w:t>
      </w:r>
      <w:r w:rsidRPr="0031635B">
        <w:t xml:space="preserve"> the study (run-in, DB or OLE period) for treatment of acute porphyria attacks.</w:t>
      </w:r>
    </w:p>
    <w:p w14:paraId="23D050FB" w14:textId="3A756A89" w:rsidR="0031635B" w:rsidRPr="0031635B" w:rsidRDefault="0031635B" w:rsidP="00553327">
      <w:r w:rsidRPr="00B42A21">
        <w:t xml:space="preserve">One patient who was included to the study </w:t>
      </w:r>
      <w:r w:rsidR="00064FDA" w:rsidRPr="00B42A21">
        <w:t>[redacted]</w:t>
      </w:r>
      <w:r w:rsidRPr="00B42A21">
        <w:t xml:space="preserve"> previously underwent a liver</w:t>
      </w:r>
      <w:r w:rsidRPr="0031635B">
        <w:t xml:space="preserve"> transplantation from a sibling donor that bore the same mutation in </w:t>
      </w:r>
      <w:r w:rsidR="00671E29" w:rsidRPr="00671E29">
        <w:t xml:space="preserve">porphobilinogen [PBG] </w:t>
      </w:r>
      <w:r w:rsidR="00671E29" w:rsidRPr="00671E29">
        <w:lastRenderedPageBreak/>
        <w:t>deaminase/</w:t>
      </w:r>
      <w:r w:rsidR="00C71148" w:rsidRPr="00671E29">
        <w:t>hydroxymethylbilane synthase</w:t>
      </w:r>
      <w:r w:rsidRPr="00454A0A">
        <w:t xml:space="preserve">. The patient showed similar efficacy from </w:t>
      </w:r>
      <w:proofErr w:type="spellStart"/>
      <w:r w:rsidRPr="00454A0A">
        <w:t>givosiran</w:t>
      </w:r>
      <w:proofErr w:type="spellEnd"/>
      <w:r w:rsidRPr="00454A0A">
        <w:t xml:space="preserve"> treatment</w:t>
      </w:r>
      <w:r w:rsidRPr="0031635B">
        <w:t xml:space="preserve"> compared to the total study population.</w:t>
      </w:r>
    </w:p>
    <w:p w14:paraId="09BF69E1" w14:textId="77777777" w:rsidR="0031635B" w:rsidRPr="0031635B" w:rsidRDefault="0031635B" w:rsidP="000832F1">
      <w:pPr>
        <w:pStyle w:val="Heading7"/>
      </w:pPr>
      <w:r w:rsidRPr="0031635B">
        <w:t>Treatments</w:t>
      </w:r>
    </w:p>
    <w:p w14:paraId="0F4D952A" w14:textId="5CE9FD90" w:rsidR="0031635B" w:rsidRPr="0031635B" w:rsidRDefault="0031635B" w:rsidP="00553327">
      <w:r w:rsidRPr="0031635B">
        <w:t>The study included a screening period, a 6</w:t>
      </w:r>
      <w:r w:rsidR="0010346E">
        <w:noBreakHyphen/>
      </w:r>
      <w:r w:rsidRPr="0031635B">
        <w:t>month DB Treatment Period, and an OLE Treatment Period for up to 29</w:t>
      </w:r>
      <w:r w:rsidR="00334B8A">
        <w:t> </w:t>
      </w:r>
      <w:r w:rsidRPr="0031635B">
        <w:t>months. Eligible patients were randomi</w:t>
      </w:r>
      <w:r w:rsidR="00F1783E">
        <w:t>s</w:t>
      </w:r>
      <w:r w:rsidRPr="0031635B">
        <w:t xml:space="preserve">ed to receive either </w:t>
      </w:r>
      <w:proofErr w:type="spellStart"/>
      <w:r w:rsidRPr="0031635B">
        <w:t>givosiran</w:t>
      </w:r>
      <w:proofErr w:type="spellEnd"/>
      <w:r w:rsidRPr="0031635B">
        <w:t xml:space="preserve"> (2.5</w:t>
      </w:r>
      <w:r w:rsidR="00A56E79">
        <w:t> </w:t>
      </w:r>
      <w:r w:rsidRPr="0031635B">
        <w:t>mg/kg dose) or placebo (1:1) once monthly for up to 6</w:t>
      </w:r>
      <w:r w:rsidR="00A56E79">
        <w:t> </w:t>
      </w:r>
      <w:r w:rsidRPr="0031635B">
        <w:t xml:space="preserve">months. </w:t>
      </w:r>
      <w:proofErr w:type="gramStart"/>
      <w:r w:rsidRPr="0031635B">
        <w:t>In light of</w:t>
      </w:r>
      <w:proofErr w:type="gramEnd"/>
      <w:r w:rsidRPr="0031635B">
        <w:t xml:space="preserve"> liver transaminase elevations observed in some patients during this study, a lower </w:t>
      </w:r>
      <w:proofErr w:type="spellStart"/>
      <w:r w:rsidRPr="0031635B">
        <w:t>givosiran</w:t>
      </w:r>
      <w:proofErr w:type="spellEnd"/>
      <w:r w:rsidRPr="0031635B">
        <w:t xml:space="preserve"> dose of 1.25</w:t>
      </w:r>
      <w:r w:rsidR="00A56E79">
        <w:t> </w:t>
      </w:r>
      <w:r w:rsidRPr="0031635B">
        <w:t xml:space="preserve">mg/kg </w:t>
      </w:r>
      <w:r w:rsidRPr="00F94EA3">
        <w:t>administered once monthly (QM) was introduced as a down</w:t>
      </w:r>
      <w:r w:rsidR="00A56E79" w:rsidRPr="00F94EA3">
        <w:noBreakHyphen/>
      </w:r>
      <w:r w:rsidRPr="00F94EA3">
        <w:t>titration dose in patients who had</w:t>
      </w:r>
      <w:r w:rsidRPr="0031635B">
        <w:t xml:space="preserve"> study drug withheld due to transaminase elevations per protocol-specified dosing rules with protocol Amendment 2.</w:t>
      </w:r>
    </w:p>
    <w:p w14:paraId="2E60171E" w14:textId="4E1AC8B1" w:rsidR="0031635B" w:rsidRPr="0031635B" w:rsidRDefault="0031635B" w:rsidP="00553327">
      <w:r w:rsidRPr="0031635B">
        <w:t>After completion of the 6</w:t>
      </w:r>
      <w:r w:rsidR="0010346E">
        <w:noBreakHyphen/>
      </w:r>
      <w:r w:rsidRPr="0031635B">
        <w:t xml:space="preserve">month DB Period, patients were given the option of continuing into the OLE period and receiving treatment with </w:t>
      </w:r>
      <w:proofErr w:type="spellStart"/>
      <w:r w:rsidRPr="0031635B">
        <w:t>givosiran</w:t>
      </w:r>
      <w:proofErr w:type="spellEnd"/>
      <w:r w:rsidRPr="0031635B">
        <w:t xml:space="preserve"> for up to 29</w:t>
      </w:r>
      <w:r w:rsidR="00334B8A">
        <w:t> </w:t>
      </w:r>
      <w:r w:rsidRPr="0031635B">
        <w:t>months. Patients who enrolled in the OLE before protocol amendment 3 was implemented received 2.5</w:t>
      </w:r>
      <w:r w:rsidR="00334B8A">
        <w:t> </w:t>
      </w:r>
      <w:r w:rsidRPr="0031635B">
        <w:t xml:space="preserve">mg/kg </w:t>
      </w:r>
      <w:proofErr w:type="spellStart"/>
      <w:r w:rsidRPr="0031635B">
        <w:t>givosiran</w:t>
      </w:r>
      <w:proofErr w:type="spellEnd"/>
      <w:r w:rsidRPr="0031635B">
        <w:t xml:space="preserve"> once monthly. Patients who enrolled in the OLE after implementation of protocol amendment 3 received 1.25</w:t>
      </w:r>
      <w:r w:rsidR="00334B8A">
        <w:t> </w:t>
      </w:r>
      <w:r w:rsidRPr="0031635B">
        <w:t xml:space="preserve">mg/kg </w:t>
      </w:r>
      <w:proofErr w:type="spellStart"/>
      <w:r w:rsidRPr="0031635B">
        <w:t>givosiran</w:t>
      </w:r>
      <w:proofErr w:type="spellEnd"/>
      <w:r w:rsidRPr="0031635B">
        <w:t xml:space="preserve"> once monthly. Patients who were assigned to 1.25</w:t>
      </w:r>
      <w:r w:rsidR="00334B8A">
        <w:t> </w:t>
      </w:r>
      <w:r w:rsidRPr="0031635B">
        <w:t xml:space="preserve">mg/kg were permitted to have </w:t>
      </w:r>
      <w:proofErr w:type="spellStart"/>
      <w:r w:rsidRPr="0031635B">
        <w:t>givosiran</w:t>
      </w:r>
      <w:proofErr w:type="spellEnd"/>
      <w:r w:rsidRPr="0031635B">
        <w:t xml:space="preserve"> increased after month</w:t>
      </w:r>
      <w:r w:rsidR="00334B8A">
        <w:t> </w:t>
      </w:r>
      <w:r w:rsidRPr="0031635B">
        <w:t>13 to 2.5</w:t>
      </w:r>
      <w:r w:rsidR="00334B8A">
        <w:t> </w:t>
      </w:r>
      <w:r w:rsidRPr="0031635B">
        <w:t>mg/kg if they had inadequate disease control, as pre-specified in the study protocol.</w:t>
      </w:r>
    </w:p>
    <w:p w14:paraId="3763AFD8" w14:textId="2F9B6C6A" w:rsidR="0031635B" w:rsidRPr="0031635B" w:rsidRDefault="0031635B" w:rsidP="00553327">
      <w:r w:rsidRPr="0031635B">
        <w:t xml:space="preserve">Use of hemin for the treatment of acute or ongoing porphyria attacks was allowed during the </w:t>
      </w:r>
      <w:r w:rsidRPr="00EF1298">
        <w:t xml:space="preserve">study and was recorded as a concomitant medication in the </w:t>
      </w:r>
      <w:r w:rsidR="00EF1298" w:rsidRPr="00EF1298">
        <w:t xml:space="preserve">[electronic case report form] </w:t>
      </w:r>
      <w:r w:rsidRPr="00EF1298">
        <w:t>eCRF.</w:t>
      </w:r>
      <w:r w:rsidRPr="0031635B">
        <w:t xml:space="preserve"> Analgesic medications, including opioids (synthetic and non</w:t>
      </w:r>
      <w:r w:rsidR="00291FDB">
        <w:noBreakHyphen/>
      </w:r>
      <w:r w:rsidRPr="0031635B">
        <w:t>synthetic substances [narcotics]) or non</w:t>
      </w:r>
      <w:r w:rsidR="00291FDB">
        <w:noBreakHyphen/>
      </w:r>
      <w:r w:rsidRPr="0031635B">
        <w:t xml:space="preserve">opioids, such as </w:t>
      </w:r>
      <w:r w:rsidRPr="00F94EA3">
        <w:t>non-steroid anti</w:t>
      </w:r>
      <w:r w:rsidR="00291FDB" w:rsidRPr="00F94EA3">
        <w:noBreakHyphen/>
      </w:r>
      <w:r w:rsidRPr="00F94EA3">
        <w:t>inflammatory drugs (NSAIDs), acetaminophen, or neuropathy medications (e.g.,</w:t>
      </w:r>
      <w:r w:rsidRPr="0031635B">
        <w:t xml:space="preserve"> anti-depressants and anti-seizure medications), were permitted for the management of porphyria and for porphyria attacks, based on clinical judgment.</w:t>
      </w:r>
    </w:p>
    <w:p w14:paraId="065DB210" w14:textId="77777777" w:rsidR="0031635B" w:rsidRPr="0031635B" w:rsidRDefault="0031635B" w:rsidP="00D04E3F">
      <w:pPr>
        <w:pStyle w:val="Heading7"/>
      </w:pPr>
      <w:r w:rsidRPr="0031635B">
        <w:t>Objectives</w:t>
      </w:r>
    </w:p>
    <w:p w14:paraId="5384B2F4" w14:textId="17B176A0" w:rsidR="0031635B" w:rsidRPr="0031635B" w:rsidRDefault="0031635B" w:rsidP="00553327">
      <w:r w:rsidRPr="0031635B">
        <w:t xml:space="preserve">The primary objective was to assess the effect of </w:t>
      </w:r>
      <w:proofErr w:type="spellStart"/>
      <w:r w:rsidRPr="0031635B">
        <w:t>givosiran</w:t>
      </w:r>
      <w:proofErr w:type="spellEnd"/>
      <w:r w:rsidRPr="0031635B">
        <w:t xml:space="preserve"> versus placebo on the rate of </w:t>
      </w:r>
      <w:r w:rsidRPr="00EF1298">
        <w:t>porphyria attacks requiring hospitalization, urgent healthcare visit, or IV hemin administration at</w:t>
      </w:r>
      <w:r w:rsidRPr="0031635B">
        <w:t xml:space="preserve"> home (composite attack) in AIP patients.</w:t>
      </w:r>
    </w:p>
    <w:p w14:paraId="24D21BC0" w14:textId="77777777" w:rsidR="0031635B" w:rsidRPr="0031635B" w:rsidRDefault="0031635B" w:rsidP="00834273">
      <w:pPr>
        <w:pStyle w:val="Heading7"/>
      </w:pPr>
      <w:r w:rsidRPr="0031635B">
        <w:t>Outcomes/endpoints</w:t>
      </w:r>
    </w:p>
    <w:p w14:paraId="4F588FD7" w14:textId="17EE979D" w:rsidR="0031635B" w:rsidRPr="0031635B" w:rsidRDefault="00E87983" w:rsidP="00E87983">
      <w:pPr>
        <w:pStyle w:val="Heading8"/>
      </w:pPr>
      <w:r>
        <w:t>Key p</w:t>
      </w:r>
      <w:r w:rsidR="0031635B" w:rsidRPr="0031635B">
        <w:t>rimary</w:t>
      </w:r>
      <w:r>
        <w:t xml:space="preserve"> efficacy endpoints</w:t>
      </w:r>
    </w:p>
    <w:p w14:paraId="13931DAD" w14:textId="2D4A269B" w:rsidR="0031635B" w:rsidRPr="00553327" w:rsidRDefault="0031635B" w:rsidP="00CB56D9">
      <w:pPr>
        <w:pStyle w:val="ListBullet2"/>
      </w:pPr>
      <w:r w:rsidRPr="00553327">
        <w:t>AAR in AIP patients over the double</w:t>
      </w:r>
      <w:r w:rsidR="00ED332F">
        <w:t>-</w:t>
      </w:r>
      <w:r w:rsidRPr="00553327">
        <w:t>blind period.</w:t>
      </w:r>
    </w:p>
    <w:p w14:paraId="0DE61EE9" w14:textId="480F7F4A" w:rsidR="0031635B" w:rsidRPr="00F94EA3" w:rsidRDefault="00E87983" w:rsidP="00E87983">
      <w:pPr>
        <w:pStyle w:val="Heading8"/>
      </w:pPr>
      <w:r>
        <w:t>Key s</w:t>
      </w:r>
      <w:r w:rsidR="0031635B" w:rsidRPr="00F94EA3">
        <w:t>econdary</w:t>
      </w:r>
      <w:r>
        <w:t xml:space="preserve"> efficacy endpoints</w:t>
      </w:r>
    </w:p>
    <w:p w14:paraId="503C98CD" w14:textId="77777777" w:rsidR="0031635B" w:rsidRPr="00553327" w:rsidRDefault="0031635B" w:rsidP="00CB56D9">
      <w:pPr>
        <w:pStyle w:val="ListBullet2"/>
      </w:pPr>
      <w:r w:rsidRPr="00553327">
        <w:t>AAR in AHP patients</w:t>
      </w:r>
    </w:p>
    <w:p w14:paraId="3FBEC73D" w14:textId="77777777" w:rsidR="0031635B" w:rsidRPr="00553327" w:rsidRDefault="0031635B" w:rsidP="00CB56D9">
      <w:pPr>
        <w:pStyle w:val="ListBullet2"/>
      </w:pPr>
      <w:r w:rsidRPr="00553327">
        <w:t>Levels of urinary ALA and PBG in AIP patients</w:t>
      </w:r>
    </w:p>
    <w:p w14:paraId="14EE560A" w14:textId="0538A468" w:rsidR="0031635B" w:rsidRPr="00553327" w:rsidRDefault="0031635B" w:rsidP="00CB56D9">
      <w:pPr>
        <w:pStyle w:val="ListBullet2"/>
      </w:pPr>
      <w:r w:rsidRPr="00553327">
        <w:t>Annuali</w:t>
      </w:r>
      <w:r w:rsidR="00F1783E" w:rsidRPr="00553327">
        <w:t>s</w:t>
      </w:r>
      <w:r w:rsidRPr="00553327">
        <w:t>ed days of hemin use in AIP patients</w:t>
      </w:r>
    </w:p>
    <w:p w14:paraId="1667802C" w14:textId="77777777" w:rsidR="0031635B" w:rsidRPr="00553327" w:rsidRDefault="0031635B" w:rsidP="00CB56D9">
      <w:pPr>
        <w:pStyle w:val="ListBullet2"/>
      </w:pPr>
      <w:r w:rsidRPr="00553327">
        <w:t>Patient reported outcomes in AIP patients (physical component score (PCS) of the short form 12 health survey (SF-12), pain, nausea, fatigue)</w:t>
      </w:r>
    </w:p>
    <w:p w14:paraId="1BACD6DA" w14:textId="77777777" w:rsidR="0031635B" w:rsidRPr="0031635B" w:rsidRDefault="0031635B" w:rsidP="00447DEF">
      <w:pPr>
        <w:pStyle w:val="Heading7"/>
      </w:pPr>
      <w:r w:rsidRPr="0031635B">
        <w:t>Randomisation and blinding (masking)</w:t>
      </w:r>
    </w:p>
    <w:p w14:paraId="50BB2BE1" w14:textId="0E208E87" w:rsidR="0031635B" w:rsidRPr="0031635B" w:rsidRDefault="0031635B" w:rsidP="00553327">
      <w:r w:rsidRPr="0031635B">
        <w:t>Patients were stratified based on their disease severity (use of hemin prophylaxis regimen at the time of screening and by each patient’s historical AAR) and AHP type. As very few non</w:t>
      </w:r>
      <w:r w:rsidR="00D269AB">
        <w:noBreakHyphen/>
      </w:r>
      <w:r w:rsidRPr="0031635B">
        <w:t xml:space="preserve">AIP patients were anticipated to be enrolled in the study, no additional stratification factors were considered for these patients. Allocations to the </w:t>
      </w:r>
      <w:r w:rsidR="00F1783E">
        <w:t>2</w:t>
      </w:r>
      <w:r w:rsidRPr="0031635B">
        <w:t xml:space="preserve"> doses (1.25 and 2.5</w:t>
      </w:r>
      <w:r w:rsidR="00AC7BD8">
        <w:t> </w:t>
      </w:r>
      <w:r w:rsidRPr="0031635B">
        <w:t xml:space="preserve">mg/kg) in the OLE period </w:t>
      </w:r>
      <w:r w:rsidRPr="0091381C">
        <w:t>were not randomi</w:t>
      </w:r>
      <w:r w:rsidR="00F1783E" w:rsidRPr="0091381C">
        <w:t>s</w:t>
      </w:r>
      <w:r w:rsidRPr="0091381C">
        <w:t>ed</w:t>
      </w:r>
      <w:r w:rsidR="00AC7BD8" w:rsidRPr="0091381C">
        <w:t xml:space="preserve"> </w:t>
      </w:r>
      <w:r w:rsidR="0091381C" w:rsidRPr="0091381C">
        <w:t>…</w:t>
      </w:r>
      <w:r w:rsidRPr="0091381C">
        <w:t xml:space="preserve"> it can be concluded that the patients and investigators have remained</w:t>
      </w:r>
      <w:r w:rsidRPr="0031635B">
        <w:t xml:space="preserve"> blinded to the treatment that patients received during the DB period until all patients completed the month</w:t>
      </w:r>
      <w:r w:rsidR="00CC23EA">
        <w:t> </w:t>
      </w:r>
      <w:r w:rsidRPr="0031635B">
        <w:t>12 visit in the OLE period.</w:t>
      </w:r>
    </w:p>
    <w:p w14:paraId="378F49E7" w14:textId="77777777" w:rsidR="0031635B" w:rsidRPr="0031635B" w:rsidRDefault="0031635B" w:rsidP="006E5F92">
      <w:pPr>
        <w:pStyle w:val="Heading7"/>
      </w:pPr>
      <w:r w:rsidRPr="0031635B">
        <w:lastRenderedPageBreak/>
        <w:t>Statistical methods</w:t>
      </w:r>
    </w:p>
    <w:p w14:paraId="0F1303BB" w14:textId="76D8010F" w:rsidR="0031635B" w:rsidRPr="00167C6D" w:rsidRDefault="006E5F92" w:rsidP="006E5F92">
      <w:pPr>
        <w:rPr>
          <w:szCs w:val="22"/>
        </w:rPr>
      </w:pPr>
      <w:r w:rsidRPr="00167C6D">
        <w:rPr>
          <w:szCs w:val="22"/>
        </w:rPr>
        <w:t xml:space="preserve">The TGA </w:t>
      </w:r>
      <w:r w:rsidR="0031635B" w:rsidRPr="00167C6D">
        <w:rPr>
          <w:szCs w:val="22"/>
        </w:rPr>
        <w:t>Delegate comment</w:t>
      </w:r>
      <w:r w:rsidRPr="00167C6D">
        <w:rPr>
          <w:szCs w:val="22"/>
        </w:rPr>
        <w:t>ed that a</w:t>
      </w:r>
      <w:r w:rsidR="0031635B" w:rsidRPr="00167C6D">
        <w:rPr>
          <w:szCs w:val="22"/>
        </w:rPr>
        <w:t>ppropriate methods appear to have been used.</w:t>
      </w:r>
    </w:p>
    <w:p w14:paraId="63D50AF7" w14:textId="77777777" w:rsidR="007269F6" w:rsidRPr="007269F6" w:rsidRDefault="007269F6" w:rsidP="007269F6">
      <w:pPr>
        <w:pStyle w:val="Heading6"/>
      </w:pPr>
      <w:r w:rsidRPr="007269F6">
        <w:t>Results</w:t>
      </w:r>
    </w:p>
    <w:p w14:paraId="7F12A435" w14:textId="77777777" w:rsidR="007269F6" w:rsidRPr="007269F6" w:rsidRDefault="007269F6" w:rsidP="007269F6">
      <w:pPr>
        <w:pStyle w:val="Heading7"/>
      </w:pPr>
      <w:r w:rsidRPr="007269F6">
        <w:t>Participant flow</w:t>
      </w:r>
    </w:p>
    <w:p w14:paraId="09327679" w14:textId="2C79EA1E" w:rsidR="007269F6" w:rsidRPr="007269F6" w:rsidRDefault="007269F6" w:rsidP="00553327">
      <w:r w:rsidRPr="007269F6">
        <w:t>All patients (100%) completed the DB period of the study. Only one patient discontinued the treatment due to elevation in the liver enzymes (&gt;</w:t>
      </w:r>
      <w:r w:rsidR="00407249">
        <w:t> </w:t>
      </w:r>
      <w:r w:rsidRPr="007269F6">
        <w:t>8</w:t>
      </w:r>
      <w:r w:rsidR="00407249">
        <w:t> × </w:t>
      </w:r>
      <w:r w:rsidRPr="007269F6">
        <w:t>ULN). This patient completed the 6</w:t>
      </w:r>
      <w:r w:rsidR="002D7C11">
        <w:noBreakHyphen/>
      </w:r>
      <w:r w:rsidRPr="007269F6">
        <w:t>month DB period and the 6</w:t>
      </w:r>
      <w:r w:rsidR="002D7C11">
        <w:noBreakHyphen/>
      </w:r>
      <w:r w:rsidRPr="007269F6">
        <w:t>month Visit; however, the patient then withdrew from the study after the 6</w:t>
      </w:r>
      <w:r w:rsidR="002D7C11">
        <w:noBreakHyphen/>
      </w:r>
      <w:r w:rsidRPr="007269F6">
        <w:t>month Visit and did not enter the OLE period. A total of 93 patients (98.9%) continued into the OLE period, where one more patient discontinued the treatment due to pregnancy and three patients discontinued because they no longer wanted to participate in the study.</w:t>
      </w:r>
    </w:p>
    <w:p w14:paraId="6FF7C51D" w14:textId="77777777" w:rsidR="007269F6" w:rsidRPr="007269F6" w:rsidRDefault="007269F6" w:rsidP="007269F6">
      <w:pPr>
        <w:pStyle w:val="Heading7"/>
      </w:pPr>
      <w:r w:rsidRPr="007269F6">
        <w:t>Baseline data</w:t>
      </w:r>
    </w:p>
    <w:p w14:paraId="0F51DC7A" w14:textId="01C29135" w:rsidR="007269F6" w:rsidRDefault="007269F6" w:rsidP="00553327">
      <w:r w:rsidRPr="007269F6">
        <w:t xml:space="preserve">Demographic characteristics for AIP and AHP patients were generally well-balanced between the </w:t>
      </w:r>
      <w:proofErr w:type="spellStart"/>
      <w:r w:rsidRPr="001A58D1">
        <w:t>givosiran</w:t>
      </w:r>
      <w:proofErr w:type="spellEnd"/>
      <w:r w:rsidRPr="001A58D1">
        <w:t xml:space="preserve"> and placebo treatment groups </w:t>
      </w:r>
      <w:r w:rsidR="00FC030E" w:rsidRPr="001A58D1">
        <w:t>[see</w:t>
      </w:r>
      <w:r w:rsidR="001A58D1" w:rsidRPr="001A58D1">
        <w:t xml:space="preserve"> </w:t>
      </w:r>
      <w:r w:rsidR="001A58D1" w:rsidRPr="001A58D1">
        <w:fldChar w:fldCharType="begin"/>
      </w:r>
      <w:r w:rsidR="001A58D1" w:rsidRPr="001A58D1">
        <w:instrText xml:space="preserve"> REF _Ref162256510 \h </w:instrText>
      </w:r>
      <w:r w:rsidR="001A58D1">
        <w:instrText xml:space="preserve"> \* MERGEFORMAT </w:instrText>
      </w:r>
      <w:r w:rsidR="001A58D1" w:rsidRPr="001A58D1">
        <w:fldChar w:fldCharType="separate"/>
      </w:r>
      <w:r w:rsidR="007C529A">
        <w:t xml:space="preserve">Table </w:t>
      </w:r>
      <w:r w:rsidR="007C529A">
        <w:rPr>
          <w:noProof/>
        </w:rPr>
        <w:t>4</w:t>
      </w:r>
      <w:r w:rsidR="001A58D1" w:rsidRPr="001A58D1">
        <w:fldChar w:fldCharType="end"/>
      </w:r>
      <w:r w:rsidR="003446D7">
        <w:t>]</w:t>
      </w:r>
      <w:r w:rsidRPr="001A58D1">
        <w:t>. The study population was</w:t>
      </w:r>
      <w:r w:rsidRPr="00C37EC6">
        <w:t xml:space="preserve"> primarily</w:t>
      </w:r>
      <w:r w:rsidRPr="007269F6">
        <w:t xml:space="preserve"> female (84</w:t>
      </w:r>
      <w:r w:rsidR="00C37EC6">
        <w:t xml:space="preserve"> </w:t>
      </w:r>
      <w:r w:rsidRPr="007269F6">
        <w:t xml:space="preserve">[89.4%]); the mean age was 38.8 years (range: 19-65 years). The majority was white and coming from the different regions in North America, </w:t>
      </w:r>
      <w:proofErr w:type="gramStart"/>
      <w:r w:rsidRPr="007269F6">
        <w:t>Europe</w:t>
      </w:r>
      <w:proofErr w:type="gramEnd"/>
      <w:r w:rsidRPr="007269F6">
        <w:t xml:space="preserve"> or Asia. The mean years since diagnosis was longer in the </w:t>
      </w:r>
      <w:proofErr w:type="spellStart"/>
      <w:r w:rsidRPr="007269F6">
        <w:t>givosiran</w:t>
      </w:r>
      <w:proofErr w:type="spellEnd"/>
      <w:r w:rsidRPr="007269F6">
        <w:t xml:space="preserve"> group than the placebo group.</w:t>
      </w:r>
    </w:p>
    <w:p w14:paraId="13D84596" w14:textId="1000058C" w:rsidR="001A58D1" w:rsidRDefault="001A58D1" w:rsidP="001A58D1">
      <w:pPr>
        <w:pStyle w:val="TableTitle"/>
      </w:pPr>
      <w:bookmarkStart w:id="53" w:name="_Ref162256510"/>
      <w:r>
        <w:t xml:space="preserve">Table </w:t>
      </w:r>
      <w:fldSimple w:instr=" SEQ Table \* ARABIC ">
        <w:r w:rsidR="007C529A">
          <w:rPr>
            <w:noProof/>
          </w:rPr>
          <w:t>4</w:t>
        </w:r>
      </w:fldSimple>
      <w:bookmarkEnd w:id="53"/>
      <w:r>
        <w:t xml:space="preserve">: </w:t>
      </w:r>
      <w:r w:rsidRPr="005F2698">
        <w:t xml:space="preserve">Study ALN-AS1-003 Demographics for the </w:t>
      </w:r>
      <w:proofErr w:type="gramStart"/>
      <w:r w:rsidRPr="005F2698">
        <w:t>6 month</w:t>
      </w:r>
      <w:proofErr w:type="gramEnd"/>
      <w:r w:rsidRPr="005F2698">
        <w:t xml:space="preserve"> double</w:t>
      </w:r>
      <w:r w:rsidR="00ED332F">
        <w:t>-</w:t>
      </w:r>
      <w:r w:rsidRPr="005F2698">
        <w:t>blind period for AHP and AIP patients (safety analysis set)</w:t>
      </w:r>
    </w:p>
    <w:tbl>
      <w:tblPr>
        <w:tblStyle w:val="C-Table"/>
        <w:tblW w:w="5000" w:type="pct"/>
        <w:tblInd w:w="0" w:type="dxa"/>
        <w:tblLook w:val="04A0" w:firstRow="1" w:lastRow="0" w:firstColumn="1" w:lastColumn="0" w:noHBand="0" w:noVBand="1"/>
      </w:tblPr>
      <w:tblGrid>
        <w:gridCol w:w="2076"/>
        <w:gridCol w:w="1219"/>
        <w:gridCol w:w="1110"/>
        <w:gridCol w:w="1161"/>
        <w:gridCol w:w="1161"/>
        <w:gridCol w:w="1163"/>
        <w:gridCol w:w="1164"/>
      </w:tblGrid>
      <w:tr w:rsidR="001A58D1" w:rsidRPr="001A58D1" w14:paraId="4C9FE111" w14:textId="77777777" w:rsidTr="001A58D1">
        <w:trPr>
          <w:trHeight w:val="353"/>
          <w:tblHeader/>
        </w:trPr>
        <w:tc>
          <w:tcPr>
            <w:tcW w:w="1147" w:type="pct"/>
            <w:vMerge w:val="restart"/>
            <w:tcBorders>
              <w:top w:val="single" w:sz="4" w:space="0" w:color="auto"/>
              <w:left w:val="single" w:sz="6" w:space="0" w:color="auto"/>
              <w:bottom w:val="single" w:sz="6" w:space="0" w:color="auto"/>
              <w:right w:val="single" w:sz="6" w:space="0" w:color="auto"/>
            </w:tcBorders>
            <w:shd w:val="clear" w:color="auto" w:fill="DEEAF6"/>
            <w:vAlign w:val="bottom"/>
            <w:hideMark/>
          </w:tcPr>
          <w:p w14:paraId="5417A8BF" w14:textId="77777777" w:rsidR="001A58D1" w:rsidRPr="001A58D1" w:rsidRDefault="001A58D1">
            <w:pPr>
              <w:pStyle w:val="C-TableHeader"/>
              <w:rPr>
                <w:color w:val="263287"/>
                <w:sz w:val="20"/>
              </w:rPr>
            </w:pPr>
            <w:r w:rsidRPr="001A58D1">
              <w:rPr>
                <w:color w:val="263287"/>
                <w:sz w:val="20"/>
              </w:rPr>
              <w:t>Parameter</w:t>
            </w:r>
          </w:p>
        </w:tc>
        <w:tc>
          <w:tcPr>
            <w:tcW w:w="1927" w:type="pct"/>
            <w:gridSpan w:val="3"/>
            <w:tcBorders>
              <w:top w:val="single" w:sz="4" w:space="0" w:color="auto"/>
              <w:left w:val="single" w:sz="6" w:space="0" w:color="auto"/>
              <w:bottom w:val="single" w:sz="4" w:space="0" w:color="auto"/>
              <w:right w:val="single" w:sz="12" w:space="0" w:color="auto"/>
            </w:tcBorders>
            <w:shd w:val="clear" w:color="auto" w:fill="DEEAF6"/>
            <w:vAlign w:val="bottom"/>
            <w:hideMark/>
          </w:tcPr>
          <w:p w14:paraId="2AB17BFB" w14:textId="77777777" w:rsidR="001A58D1" w:rsidRPr="001A58D1" w:rsidRDefault="001A58D1">
            <w:pPr>
              <w:pStyle w:val="C-TableHeader"/>
              <w:jc w:val="center"/>
              <w:rPr>
                <w:color w:val="263287"/>
                <w:sz w:val="20"/>
              </w:rPr>
            </w:pPr>
            <w:r w:rsidRPr="001A58D1">
              <w:rPr>
                <w:rFonts w:eastAsiaTheme="minorEastAsia"/>
                <w:color w:val="263287"/>
                <w:sz w:val="20"/>
              </w:rPr>
              <w:t>AHP Patients</w:t>
            </w:r>
          </w:p>
        </w:tc>
        <w:tc>
          <w:tcPr>
            <w:tcW w:w="1926" w:type="pct"/>
            <w:gridSpan w:val="3"/>
            <w:tcBorders>
              <w:top w:val="single" w:sz="4" w:space="0" w:color="auto"/>
              <w:left w:val="single" w:sz="12" w:space="0" w:color="auto"/>
              <w:bottom w:val="single" w:sz="4" w:space="0" w:color="auto"/>
              <w:right w:val="single" w:sz="6" w:space="0" w:color="auto"/>
            </w:tcBorders>
            <w:shd w:val="clear" w:color="auto" w:fill="DEEAF6"/>
            <w:vAlign w:val="bottom"/>
            <w:hideMark/>
          </w:tcPr>
          <w:p w14:paraId="75EE28CB" w14:textId="77777777" w:rsidR="001A58D1" w:rsidRPr="001A58D1" w:rsidRDefault="001A58D1">
            <w:pPr>
              <w:pStyle w:val="C-TableHeader"/>
              <w:jc w:val="center"/>
              <w:rPr>
                <w:color w:val="263287"/>
                <w:sz w:val="20"/>
              </w:rPr>
            </w:pPr>
            <w:r w:rsidRPr="001A58D1">
              <w:rPr>
                <w:rFonts w:eastAsiaTheme="minorEastAsia"/>
                <w:color w:val="263287"/>
                <w:sz w:val="20"/>
              </w:rPr>
              <w:t>AIP Patients</w:t>
            </w:r>
          </w:p>
        </w:tc>
      </w:tr>
      <w:tr w:rsidR="001A58D1" w:rsidRPr="001A58D1" w14:paraId="2090B01F" w14:textId="77777777" w:rsidTr="001A58D1">
        <w:trPr>
          <w:trHeight w:val="551"/>
          <w:tblHeader/>
        </w:trPr>
        <w:tc>
          <w:tcPr>
            <w:tcW w:w="0" w:type="auto"/>
            <w:vMerge/>
            <w:tcBorders>
              <w:top w:val="single" w:sz="4" w:space="0" w:color="auto"/>
              <w:left w:val="single" w:sz="6" w:space="0" w:color="auto"/>
              <w:bottom w:val="single" w:sz="6" w:space="0" w:color="auto"/>
              <w:right w:val="single" w:sz="6" w:space="0" w:color="auto"/>
            </w:tcBorders>
            <w:shd w:val="clear" w:color="auto" w:fill="DEEAF6"/>
            <w:vAlign w:val="center"/>
            <w:hideMark/>
          </w:tcPr>
          <w:p w14:paraId="2C8A239E" w14:textId="77777777" w:rsidR="001A58D1" w:rsidRPr="001A58D1" w:rsidRDefault="001A58D1">
            <w:pPr>
              <w:rPr>
                <w:rFonts w:ascii="Times New Roman" w:hAnsi="Times New Roman"/>
                <w:b/>
                <w:color w:val="263287"/>
                <w:sz w:val="20"/>
              </w:rPr>
            </w:pPr>
          </w:p>
        </w:tc>
        <w:tc>
          <w:tcPr>
            <w:tcW w:w="673" w:type="pct"/>
            <w:tcBorders>
              <w:top w:val="single" w:sz="4" w:space="0" w:color="auto"/>
              <w:left w:val="single" w:sz="6" w:space="0" w:color="auto"/>
              <w:bottom w:val="single" w:sz="4" w:space="0" w:color="auto"/>
              <w:right w:val="single" w:sz="6" w:space="0" w:color="auto"/>
            </w:tcBorders>
            <w:shd w:val="clear" w:color="auto" w:fill="DEEAF6"/>
            <w:vAlign w:val="bottom"/>
            <w:hideMark/>
          </w:tcPr>
          <w:p w14:paraId="4A852117" w14:textId="77777777" w:rsidR="001A58D1" w:rsidRPr="001A58D1" w:rsidRDefault="001A58D1">
            <w:pPr>
              <w:pStyle w:val="C-TableHeader"/>
              <w:jc w:val="center"/>
              <w:rPr>
                <w:color w:val="263287"/>
                <w:sz w:val="20"/>
              </w:rPr>
            </w:pPr>
            <w:r w:rsidRPr="001A58D1">
              <w:rPr>
                <w:color w:val="263287"/>
                <w:sz w:val="20"/>
              </w:rPr>
              <w:t>Placebo (N=46)</w:t>
            </w:r>
          </w:p>
        </w:tc>
        <w:tc>
          <w:tcPr>
            <w:tcW w:w="613" w:type="pct"/>
            <w:tcBorders>
              <w:top w:val="single" w:sz="4" w:space="0" w:color="auto"/>
              <w:left w:val="single" w:sz="6" w:space="0" w:color="auto"/>
              <w:bottom w:val="single" w:sz="4" w:space="0" w:color="auto"/>
              <w:right w:val="single" w:sz="6" w:space="0" w:color="auto"/>
            </w:tcBorders>
            <w:shd w:val="clear" w:color="auto" w:fill="DEEAF6"/>
            <w:vAlign w:val="bottom"/>
            <w:hideMark/>
          </w:tcPr>
          <w:p w14:paraId="70534E23" w14:textId="77777777" w:rsidR="001A58D1" w:rsidRPr="001A58D1" w:rsidRDefault="001A58D1">
            <w:pPr>
              <w:pStyle w:val="C-TableHeader"/>
              <w:jc w:val="center"/>
              <w:rPr>
                <w:color w:val="263287"/>
                <w:sz w:val="20"/>
              </w:rPr>
            </w:pPr>
            <w:r w:rsidRPr="001A58D1">
              <w:rPr>
                <w:color w:val="263287"/>
                <w:sz w:val="20"/>
              </w:rPr>
              <w:t>Givosiran (N=48)</w:t>
            </w:r>
          </w:p>
        </w:tc>
        <w:tc>
          <w:tcPr>
            <w:tcW w:w="641" w:type="pct"/>
            <w:tcBorders>
              <w:top w:val="single" w:sz="4" w:space="0" w:color="auto"/>
              <w:left w:val="single" w:sz="6" w:space="0" w:color="auto"/>
              <w:bottom w:val="single" w:sz="4" w:space="0" w:color="auto"/>
              <w:right w:val="single" w:sz="12" w:space="0" w:color="auto"/>
            </w:tcBorders>
            <w:shd w:val="clear" w:color="auto" w:fill="DEEAF6"/>
            <w:vAlign w:val="bottom"/>
            <w:hideMark/>
          </w:tcPr>
          <w:p w14:paraId="46E98C4D" w14:textId="77777777" w:rsidR="001A58D1" w:rsidRPr="001A58D1" w:rsidRDefault="001A58D1">
            <w:pPr>
              <w:pStyle w:val="C-TableHeader"/>
              <w:jc w:val="center"/>
              <w:rPr>
                <w:color w:val="263287"/>
                <w:sz w:val="20"/>
              </w:rPr>
            </w:pPr>
            <w:r w:rsidRPr="001A58D1">
              <w:rPr>
                <w:color w:val="263287"/>
                <w:sz w:val="20"/>
              </w:rPr>
              <w:t>Overall (N=94)</w:t>
            </w:r>
          </w:p>
        </w:tc>
        <w:tc>
          <w:tcPr>
            <w:tcW w:w="641" w:type="pct"/>
            <w:tcBorders>
              <w:top w:val="single" w:sz="4" w:space="0" w:color="auto"/>
              <w:left w:val="single" w:sz="12" w:space="0" w:color="auto"/>
              <w:bottom w:val="single" w:sz="4" w:space="0" w:color="auto"/>
              <w:right w:val="single" w:sz="6" w:space="0" w:color="auto"/>
            </w:tcBorders>
            <w:shd w:val="clear" w:color="auto" w:fill="DEEAF6"/>
            <w:vAlign w:val="bottom"/>
            <w:hideMark/>
          </w:tcPr>
          <w:p w14:paraId="08B83BEB" w14:textId="77777777" w:rsidR="001A58D1" w:rsidRPr="001A58D1" w:rsidRDefault="001A58D1">
            <w:pPr>
              <w:pStyle w:val="C-TableHeader"/>
              <w:jc w:val="center"/>
              <w:rPr>
                <w:color w:val="263287"/>
                <w:sz w:val="20"/>
              </w:rPr>
            </w:pPr>
            <w:r w:rsidRPr="001A58D1">
              <w:rPr>
                <w:color w:val="263287"/>
                <w:sz w:val="20"/>
              </w:rPr>
              <w:t>Placebo (N=43)</w:t>
            </w:r>
          </w:p>
        </w:tc>
        <w:tc>
          <w:tcPr>
            <w:tcW w:w="642" w:type="pct"/>
            <w:tcBorders>
              <w:top w:val="single" w:sz="4" w:space="0" w:color="auto"/>
              <w:left w:val="single" w:sz="6" w:space="0" w:color="auto"/>
              <w:bottom w:val="single" w:sz="4" w:space="0" w:color="auto"/>
              <w:right w:val="single" w:sz="6" w:space="0" w:color="auto"/>
            </w:tcBorders>
            <w:shd w:val="clear" w:color="auto" w:fill="DEEAF6"/>
            <w:vAlign w:val="bottom"/>
            <w:hideMark/>
          </w:tcPr>
          <w:p w14:paraId="1EDF66F6" w14:textId="77777777" w:rsidR="001A58D1" w:rsidRPr="001A58D1" w:rsidRDefault="001A58D1">
            <w:pPr>
              <w:pStyle w:val="C-TableHeader"/>
              <w:jc w:val="center"/>
              <w:rPr>
                <w:color w:val="263287"/>
                <w:sz w:val="20"/>
              </w:rPr>
            </w:pPr>
            <w:r w:rsidRPr="001A58D1">
              <w:rPr>
                <w:color w:val="263287"/>
                <w:sz w:val="20"/>
              </w:rPr>
              <w:t>Givosiran (N=46)</w:t>
            </w:r>
          </w:p>
        </w:tc>
        <w:tc>
          <w:tcPr>
            <w:tcW w:w="643" w:type="pct"/>
            <w:tcBorders>
              <w:top w:val="single" w:sz="4" w:space="0" w:color="auto"/>
              <w:left w:val="single" w:sz="6" w:space="0" w:color="auto"/>
              <w:bottom w:val="single" w:sz="4" w:space="0" w:color="auto"/>
              <w:right w:val="single" w:sz="6" w:space="0" w:color="auto"/>
            </w:tcBorders>
            <w:shd w:val="clear" w:color="auto" w:fill="DEEAF6"/>
            <w:vAlign w:val="bottom"/>
            <w:hideMark/>
          </w:tcPr>
          <w:p w14:paraId="7B7DB4DE" w14:textId="77777777" w:rsidR="001A58D1" w:rsidRPr="001A58D1" w:rsidRDefault="001A58D1">
            <w:pPr>
              <w:pStyle w:val="C-TableHeader"/>
              <w:jc w:val="center"/>
              <w:rPr>
                <w:color w:val="263287"/>
                <w:sz w:val="20"/>
              </w:rPr>
            </w:pPr>
            <w:r w:rsidRPr="001A58D1">
              <w:rPr>
                <w:color w:val="263287"/>
                <w:sz w:val="20"/>
              </w:rPr>
              <w:t>Overall (N=89)</w:t>
            </w:r>
          </w:p>
        </w:tc>
      </w:tr>
      <w:tr w:rsidR="001A58D1" w14:paraId="3966316F" w14:textId="77777777" w:rsidTr="001A58D1">
        <w:trPr>
          <w:trHeight w:val="341"/>
        </w:trPr>
        <w:tc>
          <w:tcPr>
            <w:tcW w:w="5000" w:type="pct"/>
            <w:gridSpan w:val="7"/>
            <w:tcBorders>
              <w:top w:val="single" w:sz="4" w:space="0" w:color="auto"/>
              <w:left w:val="single" w:sz="4" w:space="0" w:color="auto"/>
              <w:bottom w:val="single" w:sz="4" w:space="0" w:color="auto"/>
              <w:right w:val="single" w:sz="4" w:space="0" w:color="auto"/>
            </w:tcBorders>
            <w:hideMark/>
          </w:tcPr>
          <w:p w14:paraId="69C15852" w14:textId="77777777" w:rsidR="001A58D1" w:rsidRDefault="001A58D1">
            <w:pPr>
              <w:pStyle w:val="C-TableText"/>
              <w:rPr>
                <w:sz w:val="20"/>
              </w:rPr>
            </w:pPr>
            <w:r>
              <w:rPr>
                <w:b/>
                <w:sz w:val="20"/>
              </w:rPr>
              <w:t>Age at Screening (years)</w:t>
            </w:r>
          </w:p>
        </w:tc>
      </w:tr>
      <w:tr w:rsidR="001A58D1" w14:paraId="11FC37B7"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20833B87" w14:textId="77777777" w:rsidR="001A58D1" w:rsidRDefault="001A58D1">
            <w:pPr>
              <w:pStyle w:val="C-TableText"/>
              <w:ind w:left="163"/>
              <w:rPr>
                <w:b/>
                <w:sz w:val="20"/>
              </w:rPr>
            </w:pPr>
            <w:r>
              <w:rPr>
                <w:sz w:val="20"/>
              </w:rPr>
              <w:t>Mean (SD)</w:t>
            </w:r>
          </w:p>
        </w:tc>
        <w:tc>
          <w:tcPr>
            <w:tcW w:w="673" w:type="pct"/>
            <w:tcBorders>
              <w:top w:val="single" w:sz="4" w:space="0" w:color="auto"/>
              <w:left w:val="single" w:sz="4" w:space="0" w:color="auto"/>
              <w:bottom w:val="single" w:sz="4" w:space="0" w:color="auto"/>
              <w:right w:val="single" w:sz="4" w:space="0" w:color="auto"/>
            </w:tcBorders>
            <w:hideMark/>
          </w:tcPr>
          <w:p w14:paraId="658F7977" w14:textId="77777777" w:rsidR="001A58D1" w:rsidRDefault="001A58D1">
            <w:pPr>
              <w:pStyle w:val="C-TableText"/>
              <w:jc w:val="center"/>
              <w:rPr>
                <w:sz w:val="20"/>
              </w:rPr>
            </w:pPr>
            <w:r>
              <w:rPr>
                <w:sz w:val="20"/>
              </w:rPr>
              <w:t>37.4 (10.5)</w:t>
            </w:r>
          </w:p>
        </w:tc>
        <w:tc>
          <w:tcPr>
            <w:tcW w:w="613" w:type="pct"/>
            <w:tcBorders>
              <w:top w:val="single" w:sz="4" w:space="0" w:color="auto"/>
              <w:left w:val="single" w:sz="4" w:space="0" w:color="auto"/>
              <w:bottom w:val="single" w:sz="4" w:space="0" w:color="auto"/>
              <w:right w:val="single" w:sz="4" w:space="0" w:color="auto"/>
            </w:tcBorders>
            <w:hideMark/>
          </w:tcPr>
          <w:p w14:paraId="4C33B8C0" w14:textId="77777777" w:rsidR="001A58D1" w:rsidRDefault="001A58D1">
            <w:pPr>
              <w:pStyle w:val="C-TableText"/>
              <w:jc w:val="center"/>
              <w:rPr>
                <w:sz w:val="20"/>
              </w:rPr>
            </w:pPr>
            <w:r>
              <w:rPr>
                <w:sz w:val="20"/>
              </w:rPr>
              <w:t>40.1 (12.1)</w:t>
            </w:r>
          </w:p>
        </w:tc>
        <w:tc>
          <w:tcPr>
            <w:tcW w:w="641" w:type="pct"/>
            <w:tcBorders>
              <w:top w:val="single" w:sz="4" w:space="0" w:color="auto"/>
              <w:left w:val="single" w:sz="4" w:space="0" w:color="auto"/>
              <w:bottom w:val="single" w:sz="4" w:space="0" w:color="auto"/>
              <w:right w:val="single" w:sz="12" w:space="0" w:color="auto"/>
            </w:tcBorders>
            <w:hideMark/>
          </w:tcPr>
          <w:p w14:paraId="77437484" w14:textId="77777777" w:rsidR="001A58D1" w:rsidRDefault="001A58D1">
            <w:pPr>
              <w:pStyle w:val="C-TableText"/>
              <w:jc w:val="center"/>
              <w:rPr>
                <w:sz w:val="20"/>
              </w:rPr>
            </w:pPr>
            <w:r>
              <w:rPr>
                <w:sz w:val="20"/>
              </w:rPr>
              <w:t>38.8 (11.4)</w:t>
            </w:r>
          </w:p>
        </w:tc>
        <w:tc>
          <w:tcPr>
            <w:tcW w:w="641" w:type="pct"/>
            <w:tcBorders>
              <w:top w:val="single" w:sz="4" w:space="0" w:color="auto"/>
              <w:left w:val="single" w:sz="12" w:space="0" w:color="auto"/>
              <w:bottom w:val="single" w:sz="4" w:space="0" w:color="auto"/>
              <w:right w:val="single" w:sz="4" w:space="0" w:color="auto"/>
            </w:tcBorders>
            <w:hideMark/>
          </w:tcPr>
          <w:p w14:paraId="71D9D2D4" w14:textId="77777777" w:rsidR="001A58D1" w:rsidRDefault="001A58D1">
            <w:pPr>
              <w:pStyle w:val="C-TableText"/>
              <w:jc w:val="center"/>
              <w:rPr>
                <w:sz w:val="20"/>
              </w:rPr>
            </w:pPr>
            <w:r>
              <w:rPr>
                <w:sz w:val="20"/>
              </w:rPr>
              <w:t>37.3 (10.5)</w:t>
            </w:r>
          </w:p>
        </w:tc>
        <w:tc>
          <w:tcPr>
            <w:tcW w:w="642" w:type="pct"/>
            <w:tcBorders>
              <w:top w:val="single" w:sz="4" w:space="0" w:color="auto"/>
              <w:left w:val="single" w:sz="4" w:space="0" w:color="auto"/>
              <w:bottom w:val="single" w:sz="4" w:space="0" w:color="auto"/>
              <w:right w:val="single" w:sz="4" w:space="0" w:color="auto"/>
            </w:tcBorders>
            <w:hideMark/>
          </w:tcPr>
          <w:p w14:paraId="4C79F7FD" w14:textId="77777777" w:rsidR="001A58D1" w:rsidRDefault="001A58D1">
            <w:pPr>
              <w:pStyle w:val="C-TableText"/>
              <w:jc w:val="center"/>
              <w:rPr>
                <w:sz w:val="20"/>
              </w:rPr>
            </w:pPr>
            <w:r>
              <w:rPr>
                <w:sz w:val="20"/>
              </w:rPr>
              <w:t>40.7 (12.0)</w:t>
            </w:r>
          </w:p>
        </w:tc>
        <w:tc>
          <w:tcPr>
            <w:tcW w:w="643" w:type="pct"/>
            <w:tcBorders>
              <w:top w:val="single" w:sz="4" w:space="0" w:color="auto"/>
              <w:left w:val="single" w:sz="4" w:space="0" w:color="auto"/>
              <w:bottom w:val="single" w:sz="4" w:space="0" w:color="auto"/>
              <w:right w:val="single" w:sz="4" w:space="0" w:color="auto"/>
            </w:tcBorders>
            <w:hideMark/>
          </w:tcPr>
          <w:p w14:paraId="7E2B912E" w14:textId="77777777" w:rsidR="001A58D1" w:rsidRDefault="001A58D1">
            <w:pPr>
              <w:pStyle w:val="C-TableText"/>
              <w:jc w:val="center"/>
              <w:rPr>
                <w:sz w:val="20"/>
              </w:rPr>
            </w:pPr>
            <w:r>
              <w:rPr>
                <w:sz w:val="20"/>
              </w:rPr>
              <w:t>39.0 (11.4)</w:t>
            </w:r>
          </w:p>
        </w:tc>
      </w:tr>
      <w:tr w:rsidR="001A58D1" w14:paraId="7ABF3DF5"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4B7892BA" w14:textId="77777777" w:rsidR="001A58D1" w:rsidRDefault="001A58D1">
            <w:pPr>
              <w:pStyle w:val="C-TableText"/>
              <w:ind w:left="163"/>
              <w:rPr>
                <w:b/>
                <w:sz w:val="20"/>
              </w:rPr>
            </w:pPr>
            <w:r>
              <w:rPr>
                <w:sz w:val="20"/>
              </w:rPr>
              <w:t>Min, Max</w:t>
            </w:r>
          </w:p>
        </w:tc>
        <w:tc>
          <w:tcPr>
            <w:tcW w:w="673" w:type="pct"/>
            <w:tcBorders>
              <w:top w:val="single" w:sz="4" w:space="0" w:color="auto"/>
              <w:left w:val="single" w:sz="4" w:space="0" w:color="auto"/>
              <w:bottom w:val="single" w:sz="4" w:space="0" w:color="auto"/>
              <w:right w:val="single" w:sz="4" w:space="0" w:color="auto"/>
            </w:tcBorders>
            <w:hideMark/>
          </w:tcPr>
          <w:p w14:paraId="6BA1C73A" w14:textId="77777777" w:rsidR="001A58D1" w:rsidRDefault="001A58D1">
            <w:pPr>
              <w:pStyle w:val="C-TableText"/>
              <w:jc w:val="center"/>
              <w:rPr>
                <w:sz w:val="20"/>
              </w:rPr>
            </w:pPr>
            <w:r>
              <w:rPr>
                <w:sz w:val="20"/>
              </w:rPr>
              <w:t>20, 60</w:t>
            </w:r>
          </w:p>
        </w:tc>
        <w:tc>
          <w:tcPr>
            <w:tcW w:w="613" w:type="pct"/>
            <w:tcBorders>
              <w:top w:val="single" w:sz="4" w:space="0" w:color="auto"/>
              <w:left w:val="single" w:sz="4" w:space="0" w:color="auto"/>
              <w:bottom w:val="single" w:sz="4" w:space="0" w:color="auto"/>
              <w:right w:val="single" w:sz="4" w:space="0" w:color="auto"/>
            </w:tcBorders>
            <w:hideMark/>
          </w:tcPr>
          <w:p w14:paraId="3864FE39" w14:textId="77777777" w:rsidR="001A58D1" w:rsidRDefault="001A58D1">
            <w:pPr>
              <w:pStyle w:val="C-TableText"/>
              <w:jc w:val="center"/>
              <w:rPr>
                <w:sz w:val="20"/>
              </w:rPr>
            </w:pPr>
            <w:r>
              <w:rPr>
                <w:sz w:val="20"/>
              </w:rPr>
              <w:t>19, 65</w:t>
            </w:r>
          </w:p>
        </w:tc>
        <w:tc>
          <w:tcPr>
            <w:tcW w:w="641" w:type="pct"/>
            <w:tcBorders>
              <w:top w:val="single" w:sz="4" w:space="0" w:color="auto"/>
              <w:left w:val="single" w:sz="4" w:space="0" w:color="auto"/>
              <w:bottom w:val="single" w:sz="4" w:space="0" w:color="auto"/>
              <w:right w:val="single" w:sz="12" w:space="0" w:color="auto"/>
            </w:tcBorders>
            <w:hideMark/>
          </w:tcPr>
          <w:p w14:paraId="157997D1" w14:textId="77777777" w:rsidR="001A58D1" w:rsidRDefault="001A58D1">
            <w:pPr>
              <w:pStyle w:val="C-TableText"/>
              <w:jc w:val="center"/>
              <w:rPr>
                <w:sz w:val="20"/>
              </w:rPr>
            </w:pPr>
            <w:r>
              <w:rPr>
                <w:sz w:val="20"/>
              </w:rPr>
              <w:t>19, 65</w:t>
            </w:r>
          </w:p>
        </w:tc>
        <w:tc>
          <w:tcPr>
            <w:tcW w:w="641" w:type="pct"/>
            <w:tcBorders>
              <w:top w:val="single" w:sz="4" w:space="0" w:color="auto"/>
              <w:left w:val="single" w:sz="12" w:space="0" w:color="auto"/>
              <w:bottom w:val="single" w:sz="4" w:space="0" w:color="auto"/>
              <w:right w:val="single" w:sz="4" w:space="0" w:color="auto"/>
            </w:tcBorders>
            <w:hideMark/>
          </w:tcPr>
          <w:p w14:paraId="74C1EEDC" w14:textId="77777777" w:rsidR="001A58D1" w:rsidRDefault="001A58D1">
            <w:pPr>
              <w:pStyle w:val="C-TableText"/>
              <w:jc w:val="center"/>
              <w:rPr>
                <w:sz w:val="20"/>
              </w:rPr>
            </w:pPr>
            <w:r>
              <w:rPr>
                <w:sz w:val="20"/>
              </w:rPr>
              <w:t>20, 60</w:t>
            </w:r>
          </w:p>
        </w:tc>
        <w:tc>
          <w:tcPr>
            <w:tcW w:w="642" w:type="pct"/>
            <w:tcBorders>
              <w:top w:val="single" w:sz="4" w:space="0" w:color="auto"/>
              <w:left w:val="single" w:sz="4" w:space="0" w:color="auto"/>
              <w:bottom w:val="single" w:sz="4" w:space="0" w:color="auto"/>
              <w:right w:val="single" w:sz="4" w:space="0" w:color="auto"/>
            </w:tcBorders>
            <w:hideMark/>
          </w:tcPr>
          <w:p w14:paraId="4EF56821" w14:textId="77777777" w:rsidR="001A58D1" w:rsidRDefault="001A58D1">
            <w:pPr>
              <w:pStyle w:val="C-TableText"/>
              <w:jc w:val="center"/>
              <w:rPr>
                <w:sz w:val="20"/>
              </w:rPr>
            </w:pPr>
            <w:r>
              <w:rPr>
                <w:sz w:val="20"/>
              </w:rPr>
              <w:t>19, 65</w:t>
            </w:r>
          </w:p>
        </w:tc>
        <w:tc>
          <w:tcPr>
            <w:tcW w:w="643" w:type="pct"/>
            <w:tcBorders>
              <w:top w:val="single" w:sz="4" w:space="0" w:color="auto"/>
              <w:left w:val="single" w:sz="4" w:space="0" w:color="auto"/>
              <w:bottom w:val="single" w:sz="4" w:space="0" w:color="auto"/>
              <w:right w:val="single" w:sz="4" w:space="0" w:color="auto"/>
            </w:tcBorders>
            <w:hideMark/>
          </w:tcPr>
          <w:p w14:paraId="37A89DB8" w14:textId="77777777" w:rsidR="001A58D1" w:rsidRDefault="001A58D1">
            <w:pPr>
              <w:pStyle w:val="C-TableText"/>
              <w:jc w:val="center"/>
              <w:rPr>
                <w:sz w:val="20"/>
              </w:rPr>
            </w:pPr>
            <w:r>
              <w:rPr>
                <w:sz w:val="20"/>
              </w:rPr>
              <w:t>19, 65</w:t>
            </w:r>
          </w:p>
        </w:tc>
      </w:tr>
      <w:tr w:rsidR="001A58D1" w14:paraId="1B0B1982" w14:textId="77777777" w:rsidTr="001A58D1">
        <w:trPr>
          <w:trHeight w:val="341"/>
        </w:trPr>
        <w:tc>
          <w:tcPr>
            <w:tcW w:w="5000" w:type="pct"/>
            <w:gridSpan w:val="7"/>
            <w:tcBorders>
              <w:top w:val="single" w:sz="4" w:space="0" w:color="auto"/>
              <w:left w:val="single" w:sz="4" w:space="0" w:color="auto"/>
              <w:bottom w:val="single" w:sz="4" w:space="0" w:color="auto"/>
              <w:right w:val="single" w:sz="4" w:space="0" w:color="auto"/>
            </w:tcBorders>
            <w:hideMark/>
          </w:tcPr>
          <w:p w14:paraId="49CEBBE5" w14:textId="77777777" w:rsidR="001A58D1" w:rsidRDefault="001A58D1">
            <w:pPr>
              <w:pStyle w:val="C-TableText"/>
              <w:rPr>
                <w:sz w:val="20"/>
              </w:rPr>
            </w:pPr>
            <w:r>
              <w:rPr>
                <w:rFonts w:ascii="Times" w:hAnsi="Times" w:cs="Times"/>
                <w:b/>
                <w:sz w:val="20"/>
              </w:rPr>
              <w:t>Age category in years, n (%)</w:t>
            </w:r>
          </w:p>
        </w:tc>
      </w:tr>
      <w:tr w:rsidR="001A58D1" w14:paraId="2C7C132A"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13DE577D" w14:textId="77777777" w:rsidR="001A58D1" w:rsidRDefault="001A58D1">
            <w:pPr>
              <w:pStyle w:val="C-TableText"/>
              <w:ind w:left="150"/>
              <w:rPr>
                <w:sz w:val="20"/>
              </w:rPr>
            </w:pPr>
            <w:r>
              <w:rPr>
                <w:sz w:val="20"/>
              </w:rPr>
              <w:t>12 to &lt;18</w:t>
            </w:r>
          </w:p>
        </w:tc>
        <w:tc>
          <w:tcPr>
            <w:tcW w:w="673" w:type="pct"/>
            <w:tcBorders>
              <w:top w:val="single" w:sz="4" w:space="0" w:color="auto"/>
              <w:left w:val="single" w:sz="4" w:space="0" w:color="auto"/>
              <w:bottom w:val="single" w:sz="4" w:space="0" w:color="auto"/>
              <w:right w:val="single" w:sz="4" w:space="0" w:color="auto"/>
            </w:tcBorders>
            <w:hideMark/>
          </w:tcPr>
          <w:p w14:paraId="53CEFFEB" w14:textId="77777777" w:rsidR="001A58D1" w:rsidRDefault="001A58D1">
            <w:pPr>
              <w:pStyle w:val="C-TableText"/>
              <w:jc w:val="center"/>
              <w:rPr>
                <w:sz w:val="20"/>
              </w:rPr>
            </w:pPr>
            <w:r>
              <w:rPr>
                <w:sz w:val="20"/>
              </w:rPr>
              <w:t>0</w:t>
            </w:r>
          </w:p>
        </w:tc>
        <w:tc>
          <w:tcPr>
            <w:tcW w:w="613" w:type="pct"/>
            <w:tcBorders>
              <w:top w:val="single" w:sz="4" w:space="0" w:color="auto"/>
              <w:left w:val="single" w:sz="4" w:space="0" w:color="auto"/>
              <w:bottom w:val="single" w:sz="4" w:space="0" w:color="auto"/>
              <w:right w:val="single" w:sz="4" w:space="0" w:color="auto"/>
            </w:tcBorders>
            <w:hideMark/>
          </w:tcPr>
          <w:p w14:paraId="473CCC56" w14:textId="77777777" w:rsidR="001A58D1" w:rsidRDefault="001A58D1">
            <w:pPr>
              <w:pStyle w:val="C-TableText"/>
              <w:jc w:val="center"/>
              <w:rPr>
                <w:sz w:val="20"/>
              </w:rPr>
            </w:pPr>
            <w:r>
              <w:rPr>
                <w:sz w:val="20"/>
              </w:rPr>
              <w:t>0</w:t>
            </w:r>
          </w:p>
        </w:tc>
        <w:tc>
          <w:tcPr>
            <w:tcW w:w="641" w:type="pct"/>
            <w:tcBorders>
              <w:top w:val="single" w:sz="4" w:space="0" w:color="auto"/>
              <w:left w:val="single" w:sz="4" w:space="0" w:color="auto"/>
              <w:bottom w:val="single" w:sz="4" w:space="0" w:color="auto"/>
              <w:right w:val="single" w:sz="12" w:space="0" w:color="auto"/>
            </w:tcBorders>
            <w:hideMark/>
          </w:tcPr>
          <w:p w14:paraId="0277E3A6" w14:textId="77777777" w:rsidR="001A58D1" w:rsidRDefault="001A58D1">
            <w:pPr>
              <w:pStyle w:val="C-TableText"/>
              <w:jc w:val="center"/>
              <w:rPr>
                <w:sz w:val="20"/>
              </w:rPr>
            </w:pPr>
            <w:r>
              <w:rPr>
                <w:sz w:val="20"/>
              </w:rPr>
              <w:t>0</w:t>
            </w:r>
          </w:p>
        </w:tc>
        <w:tc>
          <w:tcPr>
            <w:tcW w:w="641" w:type="pct"/>
            <w:tcBorders>
              <w:top w:val="single" w:sz="4" w:space="0" w:color="auto"/>
              <w:left w:val="single" w:sz="12" w:space="0" w:color="auto"/>
              <w:bottom w:val="single" w:sz="4" w:space="0" w:color="auto"/>
              <w:right w:val="single" w:sz="4" w:space="0" w:color="auto"/>
            </w:tcBorders>
            <w:hideMark/>
          </w:tcPr>
          <w:p w14:paraId="4C651A11" w14:textId="77777777" w:rsidR="001A58D1" w:rsidRDefault="001A58D1">
            <w:pPr>
              <w:pStyle w:val="C-TableText"/>
              <w:jc w:val="center"/>
              <w:rPr>
                <w:sz w:val="20"/>
              </w:rPr>
            </w:pPr>
            <w:r>
              <w:rPr>
                <w:sz w:val="20"/>
              </w:rPr>
              <w:t>0</w:t>
            </w:r>
          </w:p>
        </w:tc>
        <w:tc>
          <w:tcPr>
            <w:tcW w:w="642" w:type="pct"/>
            <w:tcBorders>
              <w:top w:val="single" w:sz="4" w:space="0" w:color="auto"/>
              <w:left w:val="single" w:sz="4" w:space="0" w:color="auto"/>
              <w:bottom w:val="single" w:sz="4" w:space="0" w:color="auto"/>
              <w:right w:val="single" w:sz="4" w:space="0" w:color="auto"/>
            </w:tcBorders>
            <w:hideMark/>
          </w:tcPr>
          <w:p w14:paraId="5DA5D1F2" w14:textId="77777777" w:rsidR="001A58D1" w:rsidRDefault="001A58D1">
            <w:pPr>
              <w:pStyle w:val="C-TableText"/>
              <w:jc w:val="center"/>
              <w:rPr>
                <w:sz w:val="20"/>
              </w:rPr>
            </w:pPr>
            <w:r>
              <w:rPr>
                <w:sz w:val="20"/>
              </w:rPr>
              <w:t>0</w:t>
            </w:r>
          </w:p>
        </w:tc>
        <w:tc>
          <w:tcPr>
            <w:tcW w:w="643" w:type="pct"/>
            <w:tcBorders>
              <w:top w:val="single" w:sz="4" w:space="0" w:color="auto"/>
              <w:left w:val="single" w:sz="4" w:space="0" w:color="auto"/>
              <w:bottom w:val="single" w:sz="4" w:space="0" w:color="auto"/>
              <w:right w:val="single" w:sz="4" w:space="0" w:color="auto"/>
            </w:tcBorders>
            <w:hideMark/>
          </w:tcPr>
          <w:p w14:paraId="3D74249B" w14:textId="77777777" w:rsidR="001A58D1" w:rsidRDefault="001A58D1">
            <w:pPr>
              <w:pStyle w:val="C-TableText"/>
              <w:jc w:val="center"/>
              <w:rPr>
                <w:sz w:val="20"/>
              </w:rPr>
            </w:pPr>
            <w:r>
              <w:rPr>
                <w:sz w:val="20"/>
              </w:rPr>
              <w:t>0</w:t>
            </w:r>
          </w:p>
        </w:tc>
      </w:tr>
      <w:tr w:rsidR="001A58D1" w14:paraId="2CA7E3E9"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29C52FB0" w14:textId="77777777" w:rsidR="001A58D1" w:rsidRDefault="001A58D1">
            <w:pPr>
              <w:pStyle w:val="C-TableText"/>
              <w:ind w:left="150"/>
              <w:rPr>
                <w:sz w:val="20"/>
              </w:rPr>
            </w:pPr>
            <w:r>
              <w:rPr>
                <w:sz w:val="20"/>
              </w:rPr>
              <w:t>18 to 64</w:t>
            </w:r>
          </w:p>
        </w:tc>
        <w:tc>
          <w:tcPr>
            <w:tcW w:w="673" w:type="pct"/>
            <w:tcBorders>
              <w:top w:val="single" w:sz="4" w:space="0" w:color="auto"/>
              <w:left w:val="single" w:sz="4" w:space="0" w:color="auto"/>
              <w:bottom w:val="single" w:sz="4" w:space="0" w:color="auto"/>
              <w:right w:val="single" w:sz="4" w:space="0" w:color="auto"/>
            </w:tcBorders>
            <w:hideMark/>
          </w:tcPr>
          <w:p w14:paraId="0CC34F54" w14:textId="77777777" w:rsidR="001A58D1" w:rsidRDefault="001A58D1">
            <w:pPr>
              <w:pStyle w:val="C-TableText"/>
              <w:jc w:val="center"/>
              <w:rPr>
                <w:sz w:val="20"/>
              </w:rPr>
            </w:pPr>
            <w:r>
              <w:rPr>
                <w:sz w:val="20"/>
              </w:rPr>
              <w:t>46 (100.0)</w:t>
            </w:r>
          </w:p>
        </w:tc>
        <w:tc>
          <w:tcPr>
            <w:tcW w:w="613" w:type="pct"/>
            <w:tcBorders>
              <w:top w:val="single" w:sz="4" w:space="0" w:color="auto"/>
              <w:left w:val="single" w:sz="4" w:space="0" w:color="auto"/>
              <w:bottom w:val="single" w:sz="4" w:space="0" w:color="auto"/>
              <w:right w:val="single" w:sz="4" w:space="0" w:color="auto"/>
            </w:tcBorders>
            <w:hideMark/>
          </w:tcPr>
          <w:p w14:paraId="3BC6FB91" w14:textId="77777777" w:rsidR="001A58D1" w:rsidRDefault="001A58D1">
            <w:pPr>
              <w:pStyle w:val="C-TableText"/>
              <w:jc w:val="center"/>
              <w:rPr>
                <w:sz w:val="20"/>
              </w:rPr>
            </w:pPr>
            <w:r>
              <w:rPr>
                <w:sz w:val="20"/>
              </w:rPr>
              <w:t>47 (97.9)</w:t>
            </w:r>
          </w:p>
        </w:tc>
        <w:tc>
          <w:tcPr>
            <w:tcW w:w="641" w:type="pct"/>
            <w:tcBorders>
              <w:top w:val="single" w:sz="4" w:space="0" w:color="auto"/>
              <w:left w:val="single" w:sz="4" w:space="0" w:color="auto"/>
              <w:bottom w:val="single" w:sz="4" w:space="0" w:color="auto"/>
              <w:right w:val="single" w:sz="12" w:space="0" w:color="auto"/>
            </w:tcBorders>
            <w:hideMark/>
          </w:tcPr>
          <w:p w14:paraId="5BADD067" w14:textId="77777777" w:rsidR="001A58D1" w:rsidRDefault="001A58D1">
            <w:pPr>
              <w:pStyle w:val="C-TableText"/>
              <w:jc w:val="center"/>
              <w:rPr>
                <w:sz w:val="20"/>
              </w:rPr>
            </w:pPr>
            <w:r>
              <w:rPr>
                <w:sz w:val="20"/>
              </w:rPr>
              <w:t>93 (98.9)</w:t>
            </w:r>
          </w:p>
        </w:tc>
        <w:tc>
          <w:tcPr>
            <w:tcW w:w="641" w:type="pct"/>
            <w:tcBorders>
              <w:top w:val="single" w:sz="4" w:space="0" w:color="auto"/>
              <w:left w:val="single" w:sz="12" w:space="0" w:color="auto"/>
              <w:bottom w:val="single" w:sz="4" w:space="0" w:color="auto"/>
              <w:right w:val="single" w:sz="4" w:space="0" w:color="auto"/>
            </w:tcBorders>
            <w:hideMark/>
          </w:tcPr>
          <w:p w14:paraId="3620DA62" w14:textId="77777777" w:rsidR="001A58D1" w:rsidRDefault="001A58D1">
            <w:pPr>
              <w:pStyle w:val="C-TableText"/>
              <w:jc w:val="center"/>
              <w:rPr>
                <w:sz w:val="20"/>
              </w:rPr>
            </w:pPr>
            <w:r>
              <w:rPr>
                <w:sz w:val="20"/>
              </w:rPr>
              <w:t>43 (100.0)</w:t>
            </w:r>
          </w:p>
        </w:tc>
        <w:tc>
          <w:tcPr>
            <w:tcW w:w="642" w:type="pct"/>
            <w:tcBorders>
              <w:top w:val="single" w:sz="4" w:space="0" w:color="auto"/>
              <w:left w:val="single" w:sz="4" w:space="0" w:color="auto"/>
              <w:bottom w:val="single" w:sz="4" w:space="0" w:color="auto"/>
              <w:right w:val="single" w:sz="4" w:space="0" w:color="auto"/>
            </w:tcBorders>
            <w:hideMark/>
          </w:tcPr>
          <w:p w14:paraId="2566A8B6" w14:textId="77777777" w:rsidR="001A58D1" w:rsidRDefault="001A58D1">
            <w:pPr>
              <w:pStyle w:val="C-TableText"/>
              <w:jc w:val="center"/>
              <w:rPr>
                <w:sz w:val="20"/>
              </w:rPr>
            </w:pPr>
            <w:r>
              <w:rPr>
                <w:sz w:val="20"/>
              </w:rPr>
              <w:t>45 (97.8)</w:t>
            </w:r>
          </w:p>
        </w:tc>
        <w:tc>
          <w:tcPr>
            <w:tcW w:w="643" w:type="pct"/>
            <w:tcBorders>
              <w:top w:val="single" w:sz="4" w:space="0" w:color="auto"/>
              <w:left w:val="single" w:sz="4" w:space="0" w:color="auto"/>
              <w:bottom w:val="single" w:sz="4" w:space="0" w:color="auto"/>
              <w:right w:val="single" w:sz="4" w:space="0" w:color="auto"/>
            </w:tcBorders>
            <w:hideMark/>
          </w:tcPr>
          <w:p w14:paraId="6E63100D" w14:textId="77777777" w:rsidR="001A58D1" w:rsidRDefault="001A58D1">
            <w:pPr>
              <w:pStyle w:val="C-TableText"/>
              <w:jc w:val="center"/>
              <w:rPr>
                <w:sz w:val="20"/>
              </w:rPr>
            </w:pPr>
            <w:r>
              <w:rPr>
                <w:sz w:val="20"/>
              </w:rPr>
              <w:t>88 (98.9)</w:t>
            </w:r>
          </w:p>
        </w:tc>
      </w:tr>
      <w:tr w:rsidR="001A58D1" w14:paraId="7240F63F"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653BDA30" w14:textId="77777777" w:rsidR="001A58D1" w:rsidRDefault="001A58D1">
            <w:pPr>
              <w:pStyle w:val="C-TableText"/>
              <w:ind w:left="150"/>
              <w:rPr>
                <w:sz w:val="20"/>
              </w:rPr>
            </w:pPr>
            <w:r>
              <w:rPr>
                <w:sz w:val="20"/>
              </w:rPr>
              <w:t>≥65</w:t>
            </w:r>
          </w:p>
        </w:tc>
        <w:tc>
          <w:tcPr>
            <w:tcW w:w="673" w:type="pct"/>
            <w:tcBorders>
              <w:top w:val="single" w:sz="4" w:space="0" w:color="auto"/>
              <w:left w:val="single" w:sz="4" w:space="0" w:color="auto"/>
              <w:bottom w:val="single" w:sz="4" w:space="0" w:color="auto"/>
              <w:right w:val="single" w:sz="4" w:space="0" w:color="auto"/>
            </w:tcBorders>
            <w:hideMark/>
          </w:tcPr>
          <w:p w14:paraId="442E5A93" w14:textId="77777777" w:rsidR="001A58D1" w:rsidRDefault="001A58D1">
            <w:pPr>
              <w:pStyle w:val="C-TableText"/>
              <w:jc w:val="center"/>
              <w:rPr>
                <w:sz w:val="20"/>
              </w:rPr>
            </w:pPr>
            <w:r>
              <w:rPr>
                <w:sz w:val="20"/>
              </w:rPr>
              <w:t>0</w:t>
            </w:r>
          </w:p>
        </w:tc>
        <w:tc>
          <w:tcPr>
            <w:tcW w:w="613" w:type="pct"/>
            <w:tcBorders>
              <w:top w:val="single" w:sz="4" w:space="0" w:color="auto"/>
              <w:left w:val="single" w:sz="4" w:space="0" w:color="auto"/>
              <w:bottom w:val="single" w:sz="4" w:space="0" w:color="auto"/>
              <w:right w:val="single" w:sz="4" w:space="0" w:color="auto"/>
            </w:tcBorders>
            <w:hideMark/>
          </w:tcPr>
          <w:p w14:paraId="41558BE6" w14:textId="77777777" w:rsidR="001A58D1" w:rsidRDefault="001A58D1">
            <w:pPr>
              <w:pStyle w:val="C-TableText"/>
              <w:jc w:val="center"/>
              <w:rPr>
                <w:sz w:val="20"/>
              </w:rPr>
            </w:pPr>
            <w:r>
              <w:rPr>
                <w:sz w:val="20"/>
              </w:rPr>
              <w:t>1 (2.1)</w:t>
            </w:r>
          </w:p>
        </w:tc>
        <w:tc>
          <w:tcPr>
            <w:tcW w:w="641" w:type="pct"/>
            <w:tcBorders>
              <w:top w:val="single" w:sz="4" w:space="0" w:color="auto"/>
              <w:left w:val="single" w:sz="4" w:space="0" w:color="auto"/>
              <w:bottom w:val="single" w:sz="4" w:space="0" w:color="auto"/>
              <w:right w:val="single" w:sz="12" w:space="0" w:color="auto"/>
            </w:tcBorders>
            <w:hideMark/>
          </w:tcPr>
          <w:p w14:paraId="09E4CFDF" w14:textId="77777777" w:rsidR="001A58D1" w:rsidRDefault="001A58D1">
            <w:pPr>
              <w:pStyle w:val="C-TableText"/>
              <w:jc w:val="center"/>
              <w:rPr>
                <w:sz w:val="20"/>
              </w:rPr>
            </w:pPr>
            <w:r>
              <w:rPr>
                <w:sz w:val="20"/>
              </w:rPr>
              <w:t>1 (1.1)</w:t>
            </w:r>
          </w:p>
        </w:tc>
        <w:tc>
          <w:tcPr>
            <w:tcW w:w="641" w:type="pct"/>
            <w:tcBorders>
              <w:top w:val="single" w:sz="4" w:space="0" w:color="auto"/>
              <w:left w:val="single" w:sz="12" w:space="0" w:color="auto"/>
              <w:bottom w:val="single" w:sz="4" w:space="0" w:color="auto"/>
              <w:right w:val="single" w:sz="4" w:space="0" w:color="auto"/>
            </w:tcBorders>
            <w:hideMark/>
          </w:tcPr>
          <w:p w14:paraId="2A076545" w14:textId="77777777" w:rsidR="001A58D1" w:rsidRDefault="001A58D1">
            <w:pPr>
              <w:pStyle w:val="C-TableText"/>
              <w:jc w:val="center"/>
              <w:rPr>
                <w:sz w:val="20"/>
              </w:rPr>
            </w:pPr>
            <w:r>
              <w:rPr>
                <w:sz w:val="20"/>
              </w:rPr>
              <w:t>0</w:t>
            </w:r>
          </w:p>
        </w:tc>
        <w:tc>
          <w:tcPr>
            <w:tcW w:w="642" w:type="pct"/>
            <w:tcBorders>
              <w:top w:val="single" w:sz="4" w:space="0" w:color="auto"/>
              <w:left w:val="single" w:sz="4" w:space="0" w:color="auto"/>
              <w:bottom w:val="single" w:sz="4" w:space="0" w:color="auto"/>
              <w:right w:val="single" w:sz="4" w:space="0" w:color="auto"/>
            </w:tcBorders>
            <w:hideMark/>
          </w:tcPr>
          <w:p w14:paraId="78C4D7F0" w14:textId="77777777" w:rsidR="001A58D1" w:rsidRDefault="001A58D1">
            <w:pPr>
              <w:pStyle w:val="C-TableText"/>
              <w:jc w:val="center"/>
              <w:rPr>
                <w:sz w:val="20"/>
              </w:rPr>
            </w:pPr>
            <w:r>
              <w:rPr>
                <w:sz w:val="20"/>
              </w:rPr>
              <w:t>1 (2.2)</w:t>
            </w:r>
          </w:p>
        </w:tc>
        <w:tc>
          <w:tcPr>
            <w:tcW w:w="643" w:type="pct"/>
            <w:tcBorders>
              <w:top w:val="single" w:sz="4" w:space="0" w:color="auto"/>
              <w:left w:val="single" w:sz="4" w:space="0" w:color="auto"/>
              <w:bottom w:val="single" w:sz="4" w:space="0" w:color="auto"/>
              <w:right w:val="single" w:sz="4" w:space="0" w:color="auto"/>
            </w:tcBorders>
            <w:hideMark/>
          </w:tcPr>
          <w:p w14:paraId="329D0428" w14:textId="77777777" w:rsidR="001A58D1" w:rsidRDefault="001A58D1">
            <w:pPr>
              <w:pStyle w:val="C-TableText"/>
              <w:jc w:val="center"/>
              <w:rPr>
                <w:sz w:val="20"/>
              </w:rPr>
            </w:pPr>
            <w:r>
              <w:rPr>
                <w:sz w:val="20"/>
              </w:rPr>
              <w:t>1 (1.1)</w:t>
            </w:r>
          </w:p>
        </w:tc>
      </w:tr>
      <w:tr w:rsidR="001A58D1" w14:paraId="5DAB9AEB" w14:textId="77777777" w:rsidTr="001A58D1">
        <w:trPr>
          <w:trHeight w:val="341"/>
        </w:trPr>
        <w:tc>
          <w:tcPr>
            <w:tcW w:w="5000" w:type="pct"/>
            <w:gridSpan w:val="7"/>
            <w:tcBorders>
              <w:top w:val="single" w:sz="4" w:space="0" w:color="auto"/>
              <w:left w:val="single" w:sz="4" w:space="0" w:color="auto"/>
              <w:bottom w:val="single" w:sz="4" w:space="0" w:color="auto"/>
              <w:right w:val="single" w:sz="4" w:space="0" w:color="auto"/>
            </w:tcBorders>
            <w:hideMark/>
          </w:tcPr>
          <w:p w14:paraId="5E181A08" w14:textId="77777777" w:rsidR="001A58D1" w:rsidRDefault="001A58D1">
            <w:pPr>
              <w:pStyle w:val="C-TableText"/>
              <w:rPr>
                <w:sz w:val="20"/>
                <w:highlight w:val="blue"/>
              </w:rPr>
            </w:pPr>
            <w:r>
              <w:rPr>
                <w:rFonts w:ascii="Times" w:hAnsi="Times" w:cs="Times"/>
                <w:b/>
                <w:sz w:val="20"/>
              </w:rPr>
              <w:t>Gender, n (%)</w:t>
            </w:r>
          </w:p>
        </w:tc>
      </w:tr>
      <w:tr w:rsidR="001A58D1" w14:paraId="4E429BA0"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1B63066F" w14:textId="77777777" w:rsidR="001A58D1" w:rsidRDefault="001A58D1">
            <w:pPr>
              <w:pStyle w:val="C-TableText"/>
              <w:ind w:left="150"/>
              <w:rPr>
                <w:sz w:val="20"/>
              </w:rPr>
            </w:pPr>
            <w:r>
              <w:rPr>
                <w:sz w:val="20"/>
              </w:rPr>
              <w:t>Male</w:t>
            </w:r>
          </w:p>
        </w:tc>
        <w:tc>
          <w:tcPr>
            <w:tcW w:w="673" w:type="pct"/>
            <w:tcBorders>
              <w:top w:val="single" w:sz="4" w:space="0" w:color="auto"/>
              <w:left w:val="single" w:sz="4" w:space="0" w:color="auto"/>
              <w:bottom w:val="single" w:sz="4" w:space="0" w:color="auto"/>
              <w:right w:val="single" w:sz="4" w:space="0" w:color="auto"/>
            </w:tcBorders>
            <w:hideMark/>
          </w:tcPr>
          <w:p w14:paraId="40FA9ABA" w14:textId="77777777" w:rsidR="001A58D1" w:rsidRDefault="001A58D1">
            <w:pPr>
              <w:pStyle w:val="C-TableText"/>
              <w:jc w:val="center"/>
              <w:rPr>
                <w:sz w:val="20"/>
              </w:rPr>
            </w:pPr>
            <w:r>
              <w:rPr>
                <w:sz w:val="20"/>
              </w:rPr>
              <w:t>5 (10.9)</w:t>
            </w:r>
          </w:p>
        </w:tc>
        <w:tc>
          <w:tcPr>
            <w:tcW w:w="613" w:type="pct"/>
            <w:tcBorders>
              <w:top w:val="single" w:sz="4" w:space="0" w:color="auto"/>
              <w:left w:val="single" w:sz="4" w:space="0" w:color="auto"/>
              <w:bottom w:val="single" w:sz="4" w:space="0" w:color="auto"/>
              <w:right w:val="single" w:sz="4" w:space="0" w:color="auto"/>
            </w:tcBorders>
            <w:hideMark/>
          </w:tcPr>
          <w:p w14:paraId="690EB992" w14:textId="77777777" w:rsidR="001A58D1" w:rsidRDefault="001A58D1">
            <w:pPr>
              <w:pStyle w:val="C-TableText"/>
              <w:jc w:val="center"/>
              <w:rPr>
                <w:sz w:val="20"/>
              </w:rPr>
            </w:pPr>
            <w:r>
              <w:rPr>
                <w:sz w:val="20"/>
              </w:rPr>
              <w:t>5 (10.4)</w:t>
            </w:r>
          </w:p>
        </w:tc>
        <w:tc>
          <w:tcPr>
            <w:tcW w:w="641" w:type="pct"/>
            <w:tcBorders>
              <w:top w:val="single" w:sz="4" w:space="0" w:color="auto"/>
              <w:left w:val="single" w:sz="4" w:space="0" w:color="auto"/>
              <w:bottom w:val="single" w:sz="4" w:space="0" w:color="auto"/>
              <w:right w:val="single" w:sz="12" w:space="0" w:color="auto"/>
            </w:tcBorders>
            <w:hideMark/>
          </w:tcPr>
          <w:p w14:paraId="74F1F45F" w14:textId="77777777" w:rsidR="001A58D1" w:rsidRDefault="001A58D1">
            <w:pPr>
              <w:pStyle w:val="C-TableText"/>
              <w:jc w:val="center"/>
              <w:rPr>
                <w:sz w:val="20"/>
              </w:rPr>
            </w:pPr>
            <w:r>
              <w:rPr>
                <w:sz w:val="20"/>
              </w:rPr>
              <w:t>10 (10.6)</w:t>
            </w:r>
          </w:p>
        </w:tc>
        <w:tc>
          <w:tcPr>
            <w:tcW w:w="641" w:type="pct"/>
            <w:tcBorders>
              <w:top w:val="single" w:sz="4" w:space="0" w:color="auto"/>
              <w:left w:val="single" w:sz="12" w:space="0" w:color="auto"/>
              <w:bottom w:val="single" w:sz="4" w:space="0" w:color="auto"/>
              <w:right w:val="single" w:sz="4" w:space="0" w:color="auto"/>
            </w:tcBorders>
            <w:hideMark/>
          </w:tcPr>
          <w:p w14:paraId="0138D4A8" w14:textId="77777777" w:rsidR="001A58D1" w:rsidRDefault="001A58D1">
            <w:pPr>
              <w:pStyle w:val="C-TableText"/>
              <w:jc w:val="center"/>
              <w:rPr>
                <w:sz w:val="20"/>
              </w:rPr>
            </w:pPr>
            <w:r>
              <w:rPr>
                <w:sz w:val="20"/>
              </w:rPr>
              <w:t>4 (9.3)</w:t>
            </w:r>
          </w:p>
        </w:tc>
        <w:tc>
          <w:tcPr>
            <w:tcW w:w="642" w:type="pct"/>
            <w:tcBorders>
              <w:top w:val="single" w:sz="4" w:space="0" w:color="auto"/>
              <w:left w:val="single" w:sz="4" w:space="0" w:color="auto"/>
              <w:bottom w:val="single" w:sz="4" w:space="0" w:color="auto"/>
              <w:right w:val="single" w:sz="4" w:space="0" w:color="auto"/>
            </w:tcBorders>
            <w:hideMark/>
          </w:tcPr>
          <w:p w14:paraId="7C42D31F" w14:textId="77777777" w:rsidR="001A58D1" w:rsidRDefault="001A58D1">
            <w:pPr>
              <w:pStyle w:val="C-TableText"/>
              <w:jc w:val="center"/>
              <w:rPr>
                <w:sz w:val="20"/>
              </w:rPr>
            </w:pPr>
            <w:r>
              <w:rPr>
                <w:sz w:val="20"/>
              </w:rPr>
              <w:t>5 (10.9)</w:t>
            </w:r>
          </w:p>
        </w:tc>
        <w:tc>
          <w:tcPr>
            <w:tcW w:w="643" w:type="pct"/>
            <w:tcBorders>
              <w:top w:val="single" w:sz="4" w:space="0" w:color="auto"/>
              <w:left w:val="single" w:sz="4" w:space="0" w:color="auto"/>
              <w:bottom w:val="single" w:sz="4" w:space="0" w:color="auto"/>
              <w:right w:val="single" w:sz="4" w:space="0" w:color="auto"/>
            </w:tcBorders>
            <w:hideMark/>
          </w:tcPr>
          <w:p w14:paraId="2AAA3EE8" w14:textId="77777777" w:rsidR="001A58D1" w:rsidRDefault="001A58D1">
            <w:pPr>
              <w:pStyle w:val="C-TableText"/>
              <w:jc w:val="center"/>
              <w:rPr>
                <w:sz w:val="20"/>
              </w:rPr>
            </w:pPr>
            <w:r>
              <w:rPr>
                <w:sz w:val="20"/>
              </w:rPr>
              <w:t>9 (10.1)</w:t>
            </w:r>
          </w:p>
        </w:tc>
      </w:tr>
      <w:tr w:rsidR="001A58D1" w14:paraId="5844196B"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79B93F2E" w14:textId="77777777" w:rsidR="001A58D1" w:rsidRDefault="001A58D1">
            <w:pPr>
              <w:pStyle w:val="C-TableText"/>
              <w:ind w:left="150"/>
              <w:rPr>
                <w:sz w:val="20"/>
              </w:rPr>
            </w:pPr>
            <w:r>
              <w:rPr>
                <w:sz w:val="20"/>
              </w:rPr>
              <w:t>Female</w:t>
            </w:r>
          </w:p>
        </w:tc>
        <w:tc>
          <w:tcPr>
            <w:tcW w:w="673" w:type="pct"/>
            <w:tcBorders>
              <w:top w:val="single" w:sz="4" w:space="0" w:color="auto"/>
              <w:left w:val="single" w:sz="4" w:space="0" w:color="auto"/>
              <w:bottom w:val="single" w:sz="4" w:space="0" w:color="auto"/>
              <w:right w:val="single" w:sz="4" w:space="0" w:color="auto"/>
            </w:tcBorders>
            <w:hideMark/>
          </w:tcPr>
          <w:p w14:paraId="52B9B063" w14:textId="77777777" w:rsidR="001A58D1" w:rsidRDefault="001A58D1">
            <w:pPr>
              <w:pStyle w:val="C-TableText"/>
              <w:jc w:val="center"/>
              <w:rPr>
                <w:sz w:val="20"/>
              </w:rPr>
            </w:pPr>
            <w:r>
              <w:rPr>
                <w:sz w:val="20"/>
              </w:rPr>
              <w:t>41 (89.1)</w:t>
            </w:r>
          </w:p>
        </w:tc>
        <w:tc>
          <w:tcPr>
            <w:tcW w:w="613" w:type="pct"/>
            <w:tcBorders>
              <w:top w:val="single" w:sz="4" w:space="0" w:color="auto"/>
              <w:left w:val="single" w:sz="4" w:space="0" w:color="auto"/>
              <w:bottom w:val="single" w:sz="4" w:space="0" w:color="auto"/>
              <w:right w:val="single" w:sz="4" w:space="0" w:color="auto"/>
            </w:tcBorders>
            <w:hideMark/>
          </w:tcPr>
          <w:p w14:paraId="38B0965D" w14:textId="77777777" w:rsidR="001A58D1" w:rsidRDefault="001A58D1">
            <w:pPr>
              <w:pStyle w:val="C-TableText"/>
              <w:jc w:val="center"/>
              <w:rPr>
                <w:sz w:val="20"/>
              </w:rPr>
            </w:pPr>
            <w:r>
              <w:rPr>
                <w:sz w:val="20"/>
              </w:rPr>
              <w:t>43 (89.6)</w:t>
            </w:r>
          </w:p>
        </w:tc>
        <w:tc>
          <w:tcPr>
            <w:tcW w:w="641" w:type="pct"/>
            <w:tcBorders>
              <w:top w:val="single" w:sz="4" w:space="0" w:color="auto"/>
              <w:left w:val="single" w:sz="4" w:space="0" w:color="auto"/>
              <w:bottom w:val="single" w:sz="4" w:space="0" w:color="auto"/>
              <w:right w:val="single" w:sz="12" w:space="0" w:color="auto"/>
            </w:tcBorders>
            <w:hideMark/>
          </w:tcPr>
          <w:p w14:paraId="698543CD" w14:textId="77777777" w:rsidR="001A58D1" w:rsidRDefault="001A58D1">
            <w:pPr>
              <w:pStyle w:val="C-TableText"/>
              <w:jc w:val="center"/>
              <w:rPr>
                <w:sz w:val="20"/>
              </w:rPr>
            </w:pPr>
            <w:r>
              <w:rPr>
                <w:sz w:val="20"/>
              </w:rPr>
              <w:t>84 (89.4)</w:t>
            </w:r>
          </w:p>
        </w:tc>
        <w:tc>
          <w:tcPr>
            <w:tcW w:w="641" w:type="pct"/>
            <w:tcBorders>
              <w:top w:val="single" w:sz="4" w:space="0" w:color="auto"/>
              <w:left w:val="single" w:sz="12" w:space="0" w:color="auto"/>
              <w:bottom w:val="single" w:sz="4" w:space="0" w:color="auto"/>
              <w:right w:val="single" w:sz="4" w:space="0" w:color="auto"/>
            </w:tcBorders>
            <w:hideMark/>
          </w:tcPr>
          <w:p w14:paraId="3886FD65" w14:textId="77777777" w:rsidR="001A58D1" w:rsidRDefault="001A58D1">
            <w:pPr>
              <w:pStyle w:val="C-TableText"/>
              <w:jc w:val="center"/>
              <w:rPr>
                <w:sz w:val="20"/>
              </w:rPr>
            </w:pPr>
            <w:r>
              <w:rPr>
                <w:sz w:val="20"/>
              </w:rPr>
              <w:t>39 (90.7)</w:t>
            </w:r>
          </w:p>
        </w:tc>
        <w:tc>
          <w:tcPr>
            <w:tcW w:w="642" w:type="pct"/>
            <w:tcBorders>
              <w:top w:val="single" w:sz="4" w:space="0" w:color="auto"/>
              <w:left w:val="single" w:sz="4" w:space="0" w:color="auto"/>
              <w:bottom w:val="single" w:sz="4" w:space="0" w:color="auto"/>
              <w:right w:val="single" w:sz="4" w:space="0" w:color="auto"/>
            </w:tcBorders>
            <w:hideMark/>
          </w:tcPr>
          <w:p w14:paraId="2DB3D114" w14:textId="77777777" w:rsidR="001A58D1" w:rsidRDefault="001A58D1">
            <w:pPr>
              <w:pStyle w:val="C-TableText"/>
              <w:jc w:val="center"/>
              <w:rPr>
                <w:sz w:val="20"/>
              </w:rPr>
            </w:pPr>
            <w:r>
              <w:rPr>
                <w:sz w:val="20"/>
              </w:rPr>
              <w:t>41 (89.1)</w:t>
            </w:r>
          </w:p>
        </w:tc>
        <w:tc>
          <w:tcPr>
            <w:tcW w:w="643" w:type="pct"/>
            <w:tcBorders>
              <w:top w:val="single" w:sz="4" w:space="0" w:color="auto"/>
              <w:left w:val="single" w:sz="4" w:space="0" w:color="auto"/>
              <w:bottom w:val="single" w:sz="4" w:space="0" w:color="auto"/>
              <w:right w:val="single" w:sz="4" w:space="0" w:color="auto"/>
            </w:tcBorders>
            <w:hideMark/>
          </w:tcPr>
          <w:p w14:paraId="6668A762" w14:textId="77777777" w:rsidR="001A58D1" w:rsidRDefault="001A58D1">
            <w:pPr>
              <w:pStyle w:val="C-TableText"/>
              <w:jc w:val="center"/>
              <w:rPr>
                <w:sz w:val="20"/>
              </w:rPr>
            </w:pPr>
            <w:r>
              <w:rPr>
                <w:sz w:val="20"/>
              </w:rPr>
              <w:t>80 (89.9)</w:t>
            </w:r>
          </w:p>
        </w:tc>
      </w:tr>
      <w:tr w:rsidR="001A58D1" w14:paraId="7506BEFE" w14:textId="77777777" w:rsidTr="001A58D1">
        <w:trPr>
          <w:trHeight w:val="341"/>
        </w:trPr>
        <w:tc>
          <w:tcPr>
            <w:tcW w:w="5000" w:type="pct"/>
            <w:gridSpan w:val="7"/>
            <w:tcBorders>
              <w:top w:val="single" w:sz="4" w:space="0" w:color="auto"/>
              <w:left w:val="single" w:sz="4" w:space="0" w:color="auto"/>
              <w:bottom w:val="single" w:sz="4" w:space="0" w:color="auto"/>
              <w:right w:val="single" w:sz="4" w:space="0" w:color="auto"/>
            </w:tcBorders>
            <w:hideMark/>
          </w:tcPr>
          <w:p w14:paraId="50B96FE7" w14:textId="77777777" w:rsidR="001A58D1" w:rsidRDefault="001A58D1">
            <w:pPr>
              <w:pStyle w:val="C-TableText"/>
              <w:rPr>
                <w:sz w:val="20"/>
              </w:rPr>
            </w:pPr>
            <w:r>
              <w:rPr>
                <w:b/>
                <w:sz w:val="20"/>
              </w:rPr>
              <w:t>Body Weight (kg)</w:t>
            </w:r>
          </w:p>
        </w:tc>
      </w:tr>
      <w:tr w:rsidR="001A58D1" w14:paraId="7E1B95A5"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1ED9FA74" w14:textId="77777777" w:rsidR="001A58D1" w:rsidRDefault="001A58D1">
            <w:pPr>
              <w:pStyle w:val="C-TableText"/>
              <w:ind w:left="163"/>
              <w:rPr>
                <w:b/>
                <w:sz w:val="20"/>
              </w:rPr>
            </w:pPr>
            <w:r>
              <w:rPr>
                <w:sz w:val="20"/>
              </w:rPr>
              <w:t>Mean (SD)</w:t>
            </w:r>
          </w:p>
        </w:tc>
        <w:tc>
          <w:tcPr>
            <w:tcW w:w="673" w:type="pct"/>
            <w:tcBorders>
              <w:top w:val="single" w:sz="4" w:space="0" w:color="auto"/>
              <w:left w:val="single" w:sz="4" w:space="0" w:color="auto"/>
              <w:bottom w:val="single" w:sz="4" w:space="0" w:color="auto"/>
              <w:right w:val="single" w:sz="4" w:space="0" w:color="auto"/>
            </w:tcBorders>
            <w:hideMark/>
          </w:tcPr>
          <w:p w14:paraId="2B6A0870" w14:textId="77777777" w:rsidR="001A58D1" w:rsidRDefault="001A58D1">
            <w:pPr>
              <w:pStyle w:val="C-TableText"/>
              <w:rPr>
                <w:sz w:val="20"/>
              </w:rPr>
            </w:pPr>
            <w:r>
              <w:rPr>
                <w:sz w:val="20"/>
              </w:rPr>
              <w:t>67.88 (16.82)</w:t>
            </w:r>
          </w:p>
        </w:tc>
        <w:tc>
          <w:tcPr>
            <w:tcW w:w="613" w:type="pct"/>
            <w:tcBorders>
              <w:top w:val="single" w:sz="4" w:space="0" w:color="auto"/>
              <w:left w:val="single" w:sz="4" w:space="0" w:color="auto"/>
              <w:bottom w:val="single" w:sz="4" w:space="0" w:color="auto"/>
              <w:right w:val="single" w:sz="4" w:space="0" w:color="auto"/>
            </w:tcBorders>
            <w:hideMark/>
          </w:tcPr>
          <w:p w14:paraId="1DD2716E" w14:textId="77777777" w:rsidR="001A58D1" w:rsidRDefault="001A58D1">
            <w:pPr>
              <w:pStyle w:val="C-TableText"/>
              <w:rPr>
                <w:sz w:val="20"/>
              </w:rPr>
            </w:pPr>
            <w:r>
              <w:rPr>
                <w:sz w:val="20"/>
              </w:rPr>
              <w:t>65.85 (15.63)</w:t>
            </w:r>
          </w:p>
        </w:tc>
        <w:tc>
          <w:tcPr>
            <w:tcW w:w="641" w:type="pct"/>
            <w:tcBorders>
              <w:top w:val="single" w:sz="4" w:space="0" w:color="auto"/>
              <w:left w:val="single" w:sz="4" w:space="0" w:color="auto"/>
              <w:bottom w:val="single" w:sz="4" w:space="0" w:color="auto"/>
              <w:right w:val="single" w:sz="12" w:space="0" w:color="auto"/>
            </w:tcBorders>
            <w:hideMark/>
          </w:tcPr>
          <w:p w14:paraId="2D563A0A" w14:textId="77777777" w:rsidR="001A58D1" w:rsidRDefault="001A58D1">
            <w:pPr>
              <w:pStyle w:val="C-TableText"/>
              <w:rPr>
                <w:sz w:val="20"/>
              </w:rPr>
            </w:pPr>
            <w:r>
              <w:rPr>
                <w:sz w:val="20"/>
              </w:rPr>
              <w:t>66.84 (16.17)</w:t>
            </w:r>
          </w:p>
        </w:tc>
        <w:tc>
          <w:tcPr>
            <w:tcW w:w="641" w:type="pct"/>
            <w:tcBorders>
              <w:top w:val="single" w:sz="4" w:space="0" w:color="auto"/>
              <w:left w:val="single" w:sz="12" w:space="0" w:color="auto"/>
              <w:bottom w:val="single" w:sz="4" w:space="0" w:color="auto"/>
              <w:right w:val="single" w:sz="4" w:space="0" w:color="auto"/>
            </w:tcBorders>
            <w:hideMark/>
          </w:tcPr>
          <w:p w14:paraId="5FFD6A7F" w14:textId="77777777" w:rsidR="001A58D1" w:rsidRDefault="001A58D1">
            <w:pPr>
              <w:pStyle w:val="C-TableText"/>
              <w:rPr>
                <w:sz w:val="20"/>
              </w:rPr>
            </w:pPr>
            <w:r>
              <w:rPr>
                <w:sz w:val="20"/>
              </w:rPr>
              <w:t>68.50 (16.69)</w:t>
            </w:r>
          </w:p>
        </w:tc>
        <w:tc>
          <w:tcPr>
            <w:tcW w:w="642" w:type="pct"/>
            <w:tcBorders>
              <w:top w:val="single" w:sz="4" w:space="0" w:color="auto"/>
              <w:left w:val="single" w:sz="4" w:space="0" w:color="auto"/>
              <w:bottom w:val="single" w:sz="4" w:space="0" w:color="auto"/>
              <w:right w:val="single" w:sz="4" w:space="0" w:color="auto"/>
            </w:tcBorders>
            <w:hideMark/>
          </w:tcPr>
          <w:p w14:paraId="17EB7450" w14:textId="77777777" w:rsidR="001A58D1" w:rsidRDefault="001A58D1">
            <w:pPr>
              <w:pStyle w:val="C-TableText"/>
              <w:rPr>
                <w:sz w:val="20"/>
              </w:rPr>
            </w:pPr>
            <w:r>
              <w:rPr>
                <w:sz w:val="20"/>
              </w:rPr>
              <w:t>65.71 (15.91)</w:t>
            </w:r>
          </w:p>
        </w:tc>
        <w:tc>
          <w:tcPr>
            <w:tcW w:w="643" w:type="pct"/>
            <w:tcBorders>
              <w:top w:val="single" w:sz="4" w:space="0" w:color="auto"/>
              <w:left w:val="single" w:sz="4" w:space="0" w:color="auto"/>
              <w:bottom w:val="single" w:sz="4" w:space="0" w:color="auto"/>
              <w:right w:val="single" w:sz="4" w:space="0" w:color="auto"/>
            </w:tcBorders>
            <w:hideMark/>
          </w:tcPr>
          <w:p w14:paraId="3ED9E34D" w14:textId="77777777" w:rsidR="001A58D1" w:rsidRDefault="001A58D1">
            <w:pPr>
              <w:pStyle w:val="C-TableText"/>
              <w:rPr>
                <w:sz w:val="20"/>
              </w:rPr>
            </w:pPr>
            <w:r>
              <w:rPr>
                <w:sz w:val="20"/>
              </w:rPr>
              <w:t>67.06 (16.26)</w:t>
            </w:r>
          </w:p>
        </w:tc>
      </w:tr>
      <w:tr w:rsidR="001A58D1" w14:paraId="2BC391B2"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21EBCBB0" w14:textId="77777777" w:rsidR="001A58D1" w:rsidRDefault="001A58D1">
            <w:pPr>
              <w:pStyle w:val="C-TableText"/>
              <w:ind w:left="163"/>
              <w:rPr>
                <w:b/>
                <w:sz w:val="20"/>
              </w:rPr>
            </w:pPr>
            <w:r>
              <w:rPr>
                <w:sz w:val="20"/>
              </w:rPr>
              <w:t>Min, Max</w:t>
            </w:r>
          </w:p>
        </w:tc>
        <w:tc>
          <w:tcPr>
            <w:tcW w:w="673" w:type="pct"/>
            <w:tcBorders>
              <w:top w:val="single" w:sz="4" w:space="0" w:color="auto"/>
              <w:left w:val="single" w:sz="4" w:space="0" w:color="auto"/>
              <w:bottom w:val="single" w:sz="4" w:space="0" w:color="auto"/>
              <w:right w:val="single" w:sz="4" w:space="0" w:color="auto"/>
            </w:tcBorders>
            <w:hideMark/>
          </w:tcPr>
          <w:p w14:paraId="6DF1EA3D" w14:textId="77777777" w:rsidR="001A58D1" w:rsidRDefault="001A58D1">
            <w:pPr>
              <w:pStyle w:val="C-TableText"/>
              <w:rPr>
                <w:sz w:val="20"/>
              </w:rPr>
            </w:pPr>
            <w:r>
              <w:rPr>
                <w:sz w:val="20"/>
              </w:rPr>
              <w:t>41.5, 115.7</w:t>
            </w:r>
          </w:p>
        </w:tc>
        <w:tc>
          <w:tcPr>
            <w:tcW w:w="613" w:type="pct"/>
            <w:tcBorders>
              <w:top w:val="single" w:sz="4" w:space="0" w:color="auto"/>
              <w:left w:val="single" w:sz="4" w:space="0" w:color="auto"/>
              <w:bottom w:val="single" w:sz="4" w:space="0" w:color="auto"/>
              <w:right w:val="single" w:sz="4" w:space="0" w:color="auto"/>
            </w:tcBorders>
            <w:hideMark/>
          </w:tcPr>
          <w:p w14:paraId="74B4150D" w14:textId="77777777" w:rsidR="001A58D1" w:rsidRDefault="001A58D1">
            <w:pPr>
              <w:pStyle w:val="C-TableText"/>
              <w:rPr>
                <w:sz w:val="20"/>
              </w:rPr>
            </w:pPr>
            <w:r>
              <w:rPr>
                <w:sz w:val="20"/>
              </w:rPr>
              <w:t>39.5, 131.3</w:t>
            </w:r>
          </w:p>
        </w:tc>
        <w:tc>
          <w:tcPr>
            <w:tcW w:w="641" w:type="pct"/>
            <w:tcBorders>
              <w:top w:val="single" w:sz="4" w:space="0" w:color="auto"/>
              <w:left w:val="single" w:sz="4" w:space="0" w:color="auto"/>
              <w:bottom w:val="single" w:sz="4" w:space="0" w:color="auto"/>
              <w:right w:val="single" w:sz="12" w:space="0" w:color="auto"/>
            </w:tcBorders>
            <w:hideMark/>
          </w:tcPr>
          <w:p w14:paraId="3B988D55" w14:textId="77777777" w:rsidR="001A58D1" w:rsidRDefault="001A58D1">
            <w:pPr>
              <w:pStyle w:val="C-TableText"/>
              <w:rPr>
                <w:sz w:val="20"/>
              </w:rPr>
            </w:pPr>
            <w:r>
              <w:rPr>
                <w:sz w:val="20"/>
              </w:rPr>
              <w:t>39.5, 131.3</w:t>
            </w:r>
          </w:p>
        </w:tc>
        <w:tc>
          <w:tcPr>
            <w:tcW w:w="641" w:type="pct"/>
            <w:tcBorders>
              <w:top w:val="single" w:sz="4" w:space="0" w:color="auto"/>
              <w:left w:val="single" w:sz="12" w:space="0" w:color="auto"/>
              <w:bottom w:val="single" w:sz="4" w:space="0" w:color="auto"/>
              <w:right w:val="single" w:sz="4" w:space="0" w:color="auto"/>
            </w:tcBorders>
            <w:hideMark/>
          </w:tcPr>
          <w:p w14:paraId="6672C839" w14:textId="77777777" w:rsidR="001A58D1" w:rsidRDefault="001A58D1">
            <w:pPr>
              <w:pStyle w:val="C-TableText"/>
              <w:rPr>
                <w:sz w:val="20"/>
              </w:rPr>
            </w:pPr>
            <w:r>
              <w:rPr>
                <w:sz w:val="20"/>
              </w:rPr>
              <w:t>41.5, 115.7</w:t>
            </w:r>
          </w:p>
        </w:tc>
        <w:tc>
          <w:tcPr>
            <w:tcW w:w="642" w:type="pct"/>
            <w:tcBorders>
              <w:top w:val="single" w:sz="4" w:space="0" w:color="auto"/>
              <w:left w:val="single" w:sz="4" w:space="0" w:color="auto"/>
              <w:bottom w:val="single" w:sz="4" w:space="0" w:color="auto"/>
              <w:right w:val="single" w:sz="4" w:space="0" w:color="auto"/>
            </w:tcBorders>
            <w:hideMark/>
          </w:tcPr>
          <w:p w14:paraId="5C782472" w14:textId="77777777" w:rsidR="001A58D1" w:rsidRDefault="001A58D1">
            <w:pPr>
              <w:pStyle w:val="C-TableText"/>
              <w:rPr>
                <w:sz w:val="20"/>
              </w:rPr>
            </w:pPr>
            <w:r>
              <w:rPr>
                <w:sz w:val="20"/>
              </w:rPr>
              <w:t>39.5, 131.3</w:t>
            </w:r>
          </w:p>
        </w:tc>
        <w:tc>
          <w:tcPr>
            <w:tcW w:w="643" w:type="pct"/>
            <w:tcBorders>
              <w:top w:val="single" w:sz="4" w:space="0" w:color="auto"/>
              <w:left w:val="single" w:sz="4" w:space="0" w:color="auto"/>
              <w:bottom w:val="single" w:sz="4" w:space="0" w:color="auto"/>
              <w:right w:val="single" w:sz="4" w:space="0" w:color="auto"/>
            </w:tcBorders>
            <w:hideMark/>
          </w:tcPr>
          <w:p w14:paraId="081B1F48" w14:textId="77777777" w:rsidR="001A58D1" w:rsidRDefault="001A58D1">
            <w:pPr>
              <w:pStyle w:val="C-TableText"/>
              <w:rPr>
                <w:sz w:val="20"/>
              </w:rPr>
            </w:pPr>
            <w:r>
              <w:rPr>
                <w:sz w:val="20"/>
              </w:rPr>
              <w:t>39.5, 131.3</w:t>
            </w:r>
          </w:p>
        </w:tc>
      </w:tr>
      <w:tr w:rsidR="001A58D1" w14:paraId="254F3FB5" w14:textId="77777777" w:rsidTr="001A58D1">
        <w:trPr>
          <w:trHeight w:val="341"/>
        </w:trPr>
        <w:tc>
          <w:tcPr>
            <w:tcW w:w="5000" w:type="pct"/>
            <w:gridSpan w:val="7"/>
            <w:tcBorders>
              <w:top w:val="single" w:sz="4" w:space="0" w:color="auto"/>
              <w:left w:val="single" w:sz="4" w:space="0" w:color="auto"/>
              <w:bottom w:val="single" w:sz="4" w:space="0" w:color="auto"/>
              <w:right w:val="single" w:sz="4" w:space="0" w:color="auto"/>
            </w:tcBorders>
            <w:hideMark/>
          </w:tcPr>
          <w:p w14:paraId="71CECB04" w14:textId="77777777" w:rsidR="001A58D1" w:rsidRDefault="001A58D1">
            <w:pPr>
              <w:pStyle w:val="C-TableText"/>
              <w:rPr>
                <w:sz w:val="20"/>
              </w:rPr>
            </w:pPr>
            <w:r>
              <w:rPr>
                <w:b/>
                <w:sz w:val="20"/>
              </w:rPr>
              <w:t>BMI (kg/m</w:t>
            </w:r>
            <w:r>
              <w:rPr>
                <w:b/>
                <w:sz w:val="20"/>
                <w:vertAlign w:val="superscript"/>
              </w:rPr>
              <w:t>2</w:t>
            </w:r>
            <w:r>
              <w:rPr>
                <w:b/>
                <w:sz w:val="20"/>
              </w:rPr>
              <w:t>)</w:t>
            </w:r>
          </w:p>
        </w:tc>
      </w:tr>
      <w:tr w:rsidR="001A58D1" w14:paraId="7B0493AD"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6C4BC1EB" w14:textId="77777777" w:rsidR="001A58D1" w:rsidRDefault="001A58D1">
            <w:pPr>
              <w:pStyle w:val="C-TableText"/>
              <w:ind w:left="163"/>
              <w:rPr>
                <w:b/>
                <w:sz w:val="20"/>
              </w:rPr>
            </w:pPr>
            <w:r>
              <w:rPr>
                <w:sz w:val="20"/>
              </w:rPr>
              <w:t>Mean (SD)</w:t>
            </w:r>
          </w:p>
        </w:tc>
        <w:tc>
          <w:tcPr>
            <w:tcW w:w="673" w:type="pct"/>
            <w:tcBorders>
              <w:top w:val="single" w:sz="4" w:space="0" w:color="auto"/>
              <w:left w:val="single" w:sz="4" w:space="0" w:color="auto"/>
              <w:bottom w:val="single" w:sz="4" w:space="0" w:color="auto"/>
              <w:right w:val="single" w:sz="4" w:space="0" w:color="auto"/>
            </w:tcBorders>
            <w:hideMark/>
          </w:tcPr>
          <w:p w14:paraId="315B32EF" w14:textId="77777777" w:rsidR="001A58D1" w:rsidRDefault="001A58D1">
            <w:pPr>
              <w:pStyle w:val="C-TableText"/>
              <w:rPr>
                <w:sz w:val="20"/>
              </w:rPr>
            </w:pPr>
            <w:r>
              <w:rPr>
                <w:sz w:val="20"/>
              </w:rPr>
              <w:t>25.49 (6.38)</w:t>
            </w:r>
          </w:p>
        </w:tc>
        <w:tc>
          <w:tcPr>
            <w:tcW w:w="613" w:type="pct"/>
            <w:tcBorders>
              <w:top w:val="single" w:sz="4" w:space="0" w:color="auto"/>
              <w:left w:val="single" w:sz="4" w:space="0" w:color="auto"/>
              <w:bottom w:val="single" w:sz="4" w:space="0" w:color="auto"/>
              <w:right w:val="single" w:sz="4" w:space="0" w:color="auto"/>
            </w:tcBorders>
            <w:hideMark/>
          </w:tcPr>
          <w:p w14:paraId="12BDB74B" w14:textId="77777777" w:rsidR="001A58D1" w:rsidRDefault="001A58D1">
            <w:pPr>
              <w:pStyle w:val="C-TableText"/>
              <w:rPr>
                <w:sz w:val="20"/>
              </w:rPr>
            </w:pPr>
            <w:r>
              <w:rPr>
                <w:sz w:val="20"/>
              </w:rPr>
              <w:t>24.31 (5.15)</w:t>
            </w:r>
          </w:p>
        </w:tc>
        <w:tc>
          <w:tcPr>
            <w:tcW w:w="641" w:type="pct"/>
            <w:tcBorders>
              <w:top w:val="single" w:sz="4" w:space="0" w:color="auto"/>
              <w:left w:val="single" w:sz="4" w:space="0" w:color="auto"/>
              <w:bottom w:val="single" w:sz="4" w:space="0" w:color="auto"/>
              <w:right w:val="single" w:sz="12" w:space="0" w:color="auto"/>
            </w:tcBorders>
            <w:hideMark/>
          </w:tcPr>
          <w:p w14:paraId="132D8221" w14:textId="77777777" w:rsidR="001A58D1" w:rsidRDefault="001A58D1">
            <w:pPr>
              <w:pStyle w:val="C-TableText"/>
              <w:rPr>
                <w:sz w:val="20"/>
              </w:rPr>
            </w:pPr>
            <w:r>
              <w:rPr>
                <w:sz w:val="20"/>
              </w:rPr>
              <w:t>24.89 (5.78)</w:t>
            </w:r>
          </w:p>
        </w:tc>
        <w:tc>
          <w:tcPr>
            <w:tcW w:w="641" w:type="pct"/>
            <w:tcBorders>
              <w:top w:val="single" w:sz="4" w:space="0" w:color="auto"/>
              <w:left w:val="single" w:sz="12" w:space="0" w:color="auto"/>
              <w:bottom w:val="single" w:sz="4" w:space="0" w:color="auto"/>
              <w:right w:val="single" w:sz="4" w:space="0" w:color="auto"/>
            </w:tcBorders>
            <w:hideMark/>
          </w:tcPr>
          <w:p w14:paraId="53E5E336" w14:textId="77777777" w:rsidR="001A58D1" w:rsidRDefault="001A58D1">
            <w:pPr>
              <w:pStyle w:val="C-TableText"/>
              <w:rPr>
                <w:sz w:val="20"/>
              </w:rPr>
            </w:pPr>
            <w:r>
              <w:rPr>
                <w:sz w:val="20"/>
              </w:rPr>
              <w:t>25.66 (6.34)</w:t>
            </w:r>
          </w:p>
        </w:tc>
        <w:tc>
          <w:tcPr>
            <w:tcW w:w="642" w:type="pct"/>
            <w:tcBorders>
              <w:top w:val="single" w:sz="4" w:space="0" w:color="auto"/>
              <w:left w:val="single" w:sz="4" w:space="0" w:color="auto"/>
              <w:bottom w:val="single" w:sz="4" w:space="0" w:color="auto"/>
              <w:right w:val="single" w:sz="4" w:space="0" w:color="auto"/>
            </w:tcBorders>
            <w:hideMark/>
          </w:tcPr>
          <w:p w14:paraId="354A6370" w14:textId="77777777" w:rsidR="001A58D1" w:rsidRDefault="001A58D1">
            <w:pPr>
              <w:pStyle w:val="C-TableText"/>
              <w:rPr>
                <w:sz w:val="20"/>
              </w:rPr>
            </w:pPr>
            <w:r>
              <w:rPr>
                <w:sz w:val="20"/>
              </w:rPr>
              <w:t>24.27 (5.24)</w:t>
            </w:r>
          </w:p>
        </w:tc>
        <w:tc>
          <w:tcPr>
            <w:tcW w:w="643" w:type="pct"/>
            <w:tcBorders>
              <w:top w:val="single" w:sz="4" w:space="0" w:color="auto"/>
              <w:left w:val="single" w:sz="4" w:space="0" w:color="auto"/>
              <w:bottom w:val="single" w:sz="4" w:space="0" w:color="auto"/>
              <w:right w:val="single" w:sz="4" w:space="0" w:color="auto"/>
            </w:tcBorders>
            <w:hideMark/>
          </w:tcPr>
          <w:p w14:paraId="01D58AD8" w14:textId="77777777" w:rsidR="001A58D1" w:rsidRDefault="001A58D1">
            <w:pPr>
              <w:pStyle w:val="C-TableText"/>
              <w:rPr>
                <w:sz w:val="20"/>
              </w:rPr>
            </w:pPr>
            <w:r>
              <w:rPr>
                <w:sz w:val="20"/>
              </w:rPr>
              <w:t>24.94 (5.80)</w:t>
            </w:r>
          </w:p>
        </w:tc>
      </w:tr>
      <w:tr w:rsidR="001A58D1" w14:paraId="77AB514B"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39B2B04E" w14:textId="77777777" w:rsidR="001A58D1" w:rsidRDefault="001A58D1">
            <w:pPr>
              <w:pStyle w:val="C-TableText"/>
              <w:ind w:left="163"/>
              <w:rPr>
                <w:b/>
                <w:sz w:val="20"/>
              </w:rPr>
            </w:pPr>
            <w:r>
              <w:rPr>
                <w:sz w:val="20"/>
              </w:rPr>
              <w:t>Min, Max</w:t>
            </w:r>
          </w:p>
        </w:tc>
        <w:tc>
          <w:tcPr>
            <w:tcW w:w="673" w:type="pct"/>
            <w:tcBorders>
              <w:top w:val="single" w:sz="4" w:space="0" w:color="auto"/>
              <w:left w:val="single" w:sz="4" w:space="0" w:color="auto"/>
              <w:bottom w:val="single" w:sz="4" w:space="0" w:color="auto"/>
              <w:right w:val="single" w:sz="4" w:space="0" w:color="auto"/>
            </w:tcBorders>
            <w:hideMark/>
          </w:tcPr>
          <w:p w14:paraId="17226280" w14:textId="77777777" w:rsidR="001A58D1" w:rsidRDefault="001A58D1">
            <w:pPr>
              <w:pStyle w:val="C-TableText"/>
              <w:rPr>
                <w:sz w:val="20"/>
              </w:rPr>
            </w:pPr>
            <w:r>
              <w:rPr>
                <w:sz w:val="20"/>
              </w:rPr>
              <w:t>16.6, 49.7</w:t>
            </w:r>
          </w:p>
        </w:tc>
        <w:tc>
          <w:tcPr>
            <w:tcW w:w="613" w:type="pct"/>
            <w:tcBorders>
              <w:top w:val="single" w:sz="4" w:space="0" w:color="auto"/>
              <w:left w:val="single" w:sz="4" w:space="0" w:color="auto"/>
              <w:bottom w:val="single" w:sz="4" w:space="0" w:color="auto"/>
              <w:right w:val="single" w:sz="4" w:space="0" w:color="auto"/>
            </w:tcBorders>
            <w:hideMark/>
          </w:tcPr>
          <w:p w14:paraId="1D298AE4" w14:textId="77777777" w:rsidR="001A58D1" w:rsidRDefault="001A58D1">
            <w:pPr>
              <w:pStyle w:val="C-TableText"/>
              <w:rPr>
                <w:sz w:val="20"/>
              </w:rPr>
            </w:pPr>
            <w:r>
              <w:rPr>
                <w:sz w:val="20"/>
              </w:rPr>
              <w:t>16.4, 44.9</w:t>
            </w:r>
          </w:p>
        </w:tc>
        <w:tc>
          <w:tcPr>
            <w:tcW w:w="641" w:type="pct"/>
            <w:tcBorders>
              <w:top w:val="single" w:sz="4" w:space="0" w:color="auto"/>
              <w:left w:val="single" w:sz="4" w:space="0" w:color="auto"/>
              <w:bottom w:val="single" w:sz="4" w:space="0" w:color="auto"/>
              <w:right w:val="single" w:sz="12" w:space="0" w:color="auto"/>
            </w:tcBorders>
            <w:hideMark/>
          </w:tcPr>
          <w:p w14:paraId="5DC1FDC1" w14:textId="77777777" w:rsidR="001A58D1" w:rsidRDefault="001A58D1">
            <w:pPr>
              <w:pStyle w:val="C-TableText"/>
              <w:rPr>
                <w:sz w:val="20"/>
              </w:rPr>
            </w:pPr>
            <w:r>
              <w:rPr>
                <w:sz w:val="20"/>
              </w:rPr>
              <w:t>16.4, 49.7</w:t>
            </w:r>
          </w:p>
        </w:tc>
        <w:tc>
          <w:tcPr>
            <w:tcW w:w="641" w:type="pct"/>
            <w:tcBorders>
              <w:top w:val="single" w:sz="4" w:space="0" w:color="auto"/>
              <w:left w:val="single" w:sz="12" w:space="0" w:color="auto"/>
              <w:bottom w:val="single" w:sz="4" w:space="0" w:color="auto"/>
              <w:right w:val="single" w:sz="4" w:space="0" w:color="auto"/>
            </w:tcBorders>
            <w:hideMark/>
          </w:tcPr>
          <w:p w14:paraId="7630C667" w14:textId="77777777" w:rsidR="001A58D1" w:rsidRDefault="001A58D1">
            <w:pPr>
              <w:pStyle w:val="C-TableText"/>
              <w:rPr>
                <w:sz w:val="20"/>
              </w:rPr>
            </w:pPr>
            <w:r>
              <w:rPr>
                <w:sz w:val="20"/>
              </w:rPr>
              <w:t>17.8, 49.7</w:t>
            </w:r>
          </w:p>
        </w:tc>
        <w:tc>
          <w:tcPr>
            <w:tcW w:w="642" w:type="pct"/>
            <w:tcBorders>
              <w:top w:val="single" w:sz="4" w:space="0" w:color="auto"/>
              <w:left w:val="single" w:sz="4" w:space="0" w:color="auto"/>
              <w:bottom w:val="single" w:sz="4" w:space="0" w:color="auto"/>
              <w:right w:val="single" w:sz="4" w:space="0" w:color="auto"/>
            </w:tcBorders>
            <w:hideMark/>
          </w:tcPr>
          <w:p w14:paraId="48384FD5" w14:textId="77777777" w:rsidR="001A58D1" w:rsidRDefault="001A58D1">
            <w:pPr>
              <w:pStyle w:val="C-TableText"/>
              <w:rPr>
                <w:sz w:val="20"/>
              </w:rPr>
            </w:pPr>
            <w:r>
              <w:rPr>
                <w:sz w:val="20"/>
              </w:rPr>
              <w:t>16.4, 44.9</w:t>
            </w:r>
          </w:p>
        </w:tc>
        <w:tc>
          <w:tcPr>
            <w:tcW w:w="643" w:type="pct"/>
            <w:tcBorders>
              <w:top w:val="single" w:sz="4" w:space="0" w:color="auto"/>
              <w:left w:val="single" w:sz="4" w:space="0" w:color="auto"/>
              <w:bottom w:val="single" w:sz="4" w:space="0" w:color="auto"/>
              <w:right w:val="single" w:sz="4" w:space="0" w:color="auto"/>
            </w:tcBorders>
            <w:hideMark/>
          </w:tcPr>
          <w:p w14:paraId="335B864E" w14:textId="77777777" w:rsidR="001A58D1" w:rsidRDefault="001A58D1">
            <w:pPr>
              <w:pStyle w:val="C-TableText"/>
              <w:rPr>
                <w:sz w:val="20"/>
              </w:rPr>
            </w:pPr>
            <w:r>
              <w:rPr>
                <w:sz w:val="20"/>
              </w:rPr>
              <w:t>16.4, 49.7</w:t>
            </w:r>
          </w:p>
        </w:tc>
      </w:tr>
      <w:tr w:rsidR="001A58D1" w14:paraId="6F153AD0" w14:textId="77777777" w:rsidTr="001A58D1">
        <w:trPr>
          <w:trHeight w:val="341"/>
        </w:trPr>
        <w:tc>
          <w:tcPr>
            <w:tcW w:w="5000" w:type="pct"/>
            <w:gridSpan w:val="7"/>
            <w:tcBorders>
              <w:top w:val="single" w:sz="4" w:space="0" w:color="auto"/>
              <w:left w:val="single" w:sz="4" w:space="0" w:color="auto"/>
              <w:bottom w:val="single" w:sz="4" w:space="0" w:color="auto"/>
              <w:right w:val="single" w:sz="4" w:space="0" w:color="auto"/>
            </w:tcBorders>
            <w:hideMark/>
          </w:tcPr>
          <w:p w14:paraId="75E50C49" w14:textId="77777777" w:rsidR="001A58D1" w:rsidRDefault="001A58D1">
            <w:pPr>
              <w:pStyle w:val="C-TableText"/>
              <w:rPr>
                <w:sz w:val="20"/>
              </w:rPr>
            </w:pPr>
            <w:r>
              <w:rPr>
                <w:rFonts w:ascii="Times" w:hAnsi="Times" w:cs="Times"/>
                <w:b/>
                <w:sz w:val="20"/>
              </w:rPr>
              <w:t>Race, n (%)</w:t>
            </w:r>
          </w:p>
        </w:tc>
      </w:tr>
      <w:tr w:rsidR="001A58D1" w14:paraId="3E98091E"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1C7E25CA" w14:textId="77777777" w:rsidR="001A58D1" w:rsidRDefault="001A58D1">
            <w:pPr>
              <w:pStyle w:val="C-TableText"/>
              <w:ind w:left="150"/>
              <w:rPr>
                <w:sz w:val="20"/>
              </w:rPr>
            </w:pPr>
            <w:r>
              <w:rPr>
                <w:sz w:val="20"/>
              </w:rPr>
              <w:t>White</w:t>
            </w:r>
          </w:p>
        </w:tc>
        <w:tc>
          <w:tcPr>
            <w:tcW w:w="673" w:type="pct"/>
            <w:tcBorders>
              <w:top w:val="single" w:sz="4" w:space="0" w:color="auto"/>
              <w:left w:val="single" w:sz="4" w:space="0" w:color="auto"/>
              <w:bottom w:val="single" w:sz="4" w:space="0" w:color="auto"/>
              <w:right w:val="single" w:sz="4" w:space="0" w:color="auto"/>
            </w:tcBorders>
            <w:hideMark/>
          </w:tcPr>
          <w:p w14:paraId="2E7C8356" w14:textId="77777777" w:rsidR="001A58D1" w:rsidRDefault="001A58D1">
            <w:pPr>
              <w:pStyle w:val="C-TableText"/>
              <w:jc w:val="center"/>
              <w:rPr>
                <w:sz w:val="20"/>
              </w:rPr>
            </w:pPr>
            <w:r>
              <w:rPr>
                <w:sz w:val="20"/>
              </w:rPr>
              <w:t>34 (73.9)</w:t>
            </w:r>
          </w:p>
        </w:tc>
        <w:tc>
          <w:tcPr>
            <w:tcW w:w="613" w:type="pct"/>
            <w:tcBorders>
              <w:top w:val="single" w:sz="4" w:space="0" w:color="auto"/>
              <w:left w:val="single" w:sz="4" w:space="0" w:color="auto"/>
              <w:bottom w:val="single" w:sz="4" w:space="0" w:color="auto"/>
              <w:right w:val="single" w:sz="4" w:space="0" w:color="auto"/>
            </w:tcBorders>
            <w:hideMark/>
          </w:tcPr>
          <w:p w14:paraId="79C7429F" w14:textId="77777777" w:rsidR="001A58D1" w:rsidRDefault="001A58D1">
            <w:pPr>
              <w:pStyle w:val="C-TableText"/>
              <w:jc w:val="center"/>
              <w:rPr>
                <w:sz w:val="20"/>
              </w:rPr>
            </w:pPr>
            <w:r>
              <w:rPr>
                <w:sz w:val="20"/>
              </w:rPr>
              <w:t>39 (81.3)</w:t>
            </w:r>
          </w:p>
        </w:tc>
        <w:tc>
          <w:tcPr>
            <w:tcW w:w="641" w:type="pct"/>
            <w:tcBorders>
              <w:top w:val="single" w:sz="4" w:space="0" w:color="auto"/>
              <w:left w:val="single" w:sz="4" w:space="0" w:color="auto"/>
              <w:bottom w:val="single" w:sz="4" w:space="0" w:color="auto"/>
              <w:right w:val="single" w:sz="12" w:space="0" w:color="auto"/>
            </w:tcBorders>
            <w:hideMark/>
          </w:tcPr>
          <w:p w14:paraId="6C53B96E" w14:textId="77777777" w:rsidR="001A58D1" w:rsidRDefault="001A58D1">
            <w:pPr>
              <w:pStyle w:val="C-TableText"/>
              <w:jc w:val="center"/>
              <w:rPr>
                <w:sz w:val="20"/>
              </w:rPr>
            </w:pPr>
            <w:r>
              <w:rPr>
                <w:sz w:val="20"/>
              </w:rPr>
              <w:t>73 (77.7)</w:t>
            </w:r>
          </w:p>
        </w:tc>
        <w:tc>
          <w:tcPr>
            <w:tcW w:w="641" w:type="pct"/>
            <w:tcBorders>
              <w:top w:val="single" w:sz="4" w:space="0" w:color="auto"/>
              <w:left w:val="single" w:sz="12" w:space="0" w:color="auto"/>
              <w:bottom w:val="single" w:sz="4" w:space="0" w:color="auto"/>
              <w:right w:val="single" w:sz="4" w:space="0" w:color="auto"/>
            </w:tcBorders>
            <w:hideMark/>
          </w:tcPr>
          <w:p w14:paraId="62FDB1E9" w14:textId="77777777" w:rsidR="001A58D1" w:rsidRDefault="001A58D1">
            <w:pPr>
              <w:pStyle w:val="C-TableText"/>
              <w:jc w:val="center"/>
              <w:rPr>
                <w:sz w:val="20"/>
              </w:rPr>
            </w:pPr>
            <w:r>
              <w:rPr>
                <w:sz w:val="20"/>
              </w:rPr>
              <w:t>33 (76.7)</w:t>
            </w:r>
          </w:p>
        </w:tc>
        <w:tc>
          <w:tcPr>
            <w:tcW w:w="642" w:type="pct"/>
            <w:tcBorders>
              <w:top w:val="single" w:sz="4" w:space="0" w:color="auto"/>
              <w:left w:val="single" w:sz="4" w:space="0" w:color="auto"/>
              <w:bottom w:val="single" w:sz="4" w:space="0" w:color="auto"/>
              <w:right w:val="single" w:sz="4" w:space="0" w:color="auto"/>
            </w:tcBorders>
            <w:hideMark/>
          </w:tcPr>
          <w:p w14:paraId="399F28B6" w14:textId="77777777" w:rsidR="001A58D1" w:rsidRDefault="001A58D1">
            <w:pPr>
              <w:pStyle w:val="C-TableText"/>
              <w:jc w:val="center"/>
              <w:rPr>
                <w:sz w:val="20"/>
              </w:rPr>
            </w:pPr>
            <w:r>
              <w:rPr>
                <w:sz w:val="20"/>
              </w:rPr>
              <w:t>37 (80.4)</w:t>
            </w:r>
          </w:p>
        </w:tc>
        <w:tc>
          <w:tcPr>
            <w:tcW w:w="643" w:type="pct"/>
            <w:tcBorders>
              <w:top w:val="single" w:sz="4" w:space="0" w:color="auto"/>
              <w:left w:val="single" w:sz="4" w:space="0" w:color="auto"/>
              <w:bottom w:val="single" w:sz="4" w:space="0" w:color="auto"/>
              <w:right w:val="single" w:sz="4" w:space="0" w:color="auto"/>
            </w:tcBorders>
            <w:hideMark/>
          </w:tcPr>
          <w:p w14:paraId="29E9ABA1" w14:textId="77777777" w:rsidR="001A58D1" w:rsidRDefault="001A58D1">
            <w:pPr>
              <w:pStyle w:val="C-TableText"/>
              <w:jc w:val="center"/>
              <w:rPr>
                <w:sz w:val="20"/>
              </w:rPr>
            </w:pPr>
            <w:r>
              <w:rPr>
                <w:sz w:val="20"/>
              </w:rPr>
              <w:t>70 (78.7)</w:t>
            </w:r>
          </w:p>
        </w:tc>
      </w:tr>
      <w:tr w:rsidR="001A58D1" w14:paraId="79CF167B"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738E91E0" w14:textId="77777777" w:rsidR="001A58D1" w:rsidRDefault="001A58D1">
            <w:pPr>
              <w:pStyle w:val="C-TableText"/>
              <w:ind w:left="150"/>
              <w:rPr>
                <w:sz w:val="20"/>
              </w:rPr>
            </w:pPr>
            <w:r>
              <w:rPr>
                <w:bCs/>
                <w:sz w:val="20"/>
              </w:rPr>
              <w:lastRenderedPageBreak/>
              <w:t>Black or African American</w:t>
            </w:r>
          </w:p>
        </w:tc>
        <w:tc>
          <w:tcPr>
            <w:tcW w:w="673" w:type="pct"/>
            <w:tcBorders>
              <w:top w:val="single" w:sz="4" w:space="0" w:color="auto"/>
              <w:left w:val="single" w:sz="4" w:space="0" w:color="auto"/>
              <w:bottom w:val="single" w:sz="4" w:space="0" w:color="auto"/>
              <w:right w:val="single" w:sz="4" w:space="0" w:color="auto"/>
            </w:tcBorders>
            <w:hideMark/>
          </w:tcPr>
          <w:p w14:paraId="3F7F4552" w14:textId="77777777" w:rsidR="001A58D1" w:rsidRDefault="001A58D1">
            <w:pPr>
              <w:pStyle w:val="C-TableText"/>
              <w:jc w:val="center"/>
              <w:rPr>
                <w:sz w:val="20"/>
              </w:rPr>
            </w:pPr>
            <w:r>
              <w:rPr>
                <w:sz w:val="20"/>
              </w:rPr>
              <w:t>1 (2.2)</w:t>
            </w:r>
          </w:p>
        </w:tc>
        <w:tc>
          <w:tcPr>
            <w:tcW w:w="613" w:type="pct"/>
            <w:tcBorders>
              <w:top w:val="single" w:sz="4" w:space="0" w:color="auto"/>
              <w:left w:val="single" w:sz="4" w:space="0" w:color="auto"/>
              <w:bottom w:val="single" w:sz="4" w:space="0" w:color="auto"/>
              <w:right w:val="single" w:sz="4" w:space="0" w:color="auto"/>
            </w:tcBorders>
            <w:hideMark/>
          </w:tcPr>
          <w:p w14:paraId="109339E0" w14:textId="77777777" w:rsidR="001A58D1" w:rsidRDefault="001A58D1">
            <w:pPr>
              <w:pStyle w:val="C-TableText"/>
              <w:jc w:val="center"/>
              <w:rPr>
                <w:sz w:val="20"/>
              </w:rPr>
            </w:pPr>
            <w:r>
              <w:rPr>
                <w:sz w:val="20"/>
              </w:rPr>
              <w:t>0</w:t>
            </w:r>
          </w:p>
        </w:tc>
        <w:tc>
          <w:tcPr>
            <w:tcW w:w="641" w:type="pct"/>
            <w:tcBorders>
              <w:top w:val="single" w:sz="4" w:space="0" w:color="auto"/>
              <w:left w:val="single" w:sz="4" w:space="0" w:color="auto"/>
              <w:bottom w:val="single" w:sz="4" w:space="0" w:color="auto"/>
              <w:right w:val="single" w:sz="12" w:space="0" w:color="auto"/>
            </w:tcBorders>
            <w:hideMark/>
          </w:tcPr>
          <w:p w14:paraId="7B200D1B" w14:textId="77777777" w:rsidR="001A58D1" w:rsidRDefault="001A58D1">
            <w:pPr>
              <w:pStyle w:val="C-TableText"/>
              <w:jc w:val="center"/>
              <w:rPr>
                <w:sz w:val="20"/>
              </w:rPr>
            </w:pPr>
            <w:r>
              <w:rPr>
                <w:sz w:val="20"/>
              </w:rPr>
              <w:t>1 (1.1)</w:t>
            </w:r>
          </w:p>
        </w:tc>
        <w:tc>
          <w:tcPr>
            <w:tcW w:w="641" w:type="pct"/>
            <w:tcBorders>
              <w:top w:val="single" w:sz="4" w:space="0" w:color="auto"/>
              <w:left w:val="single" w:sz="12" w:space="0" w:color="auto"/>
              <w:bottom w:val="single" w:sz="4" w:space="0" w:color="auto"/>
              <w:right w:val="single" w:sz="4" w:space="0" w:color="auto"/>
            </w:tcBorders>
            <w:hideMark/>
          </w:tcPr>
          <w:p w14:paraId="17A3B0A2" w14:textId="77777777" w:rsidR="001A58D1" w:rsidRDefault="001A58D1">
            <w:pPr>
              <w:pStyle w:val="C-TableText"/>
              <w:jc w:val="center"/>
              <w:rPr>
                <w:sz w:val="20"/>
              </w:rPr>
            </w:pPr>
            <w:r>
              <w:rPr>
                <w:sz w:val="20"/>
              </w:rPr>
              <w:t>0</w:t>
            </w:r>
          </w:p>
        </w:tc>
        <w:tc>
          <w:tcPr>
            <w:tcW w:w="642" w:type="pct"/>
            <w:tcBorders>
              <w:top w:val="single" w:sz="4" w:space="0" w:color="auto"/>
              <w:left w:val="single" w:sz="4" w:space="0" w:color="auto"/>
              <w:bottom w:val="single" w:sz="4" w:space="0" w:color="auto"/>
              <w:right w:val="single" w:sz="4" w:space="0" w:color="auto"/>
            </w:tcBorders>
            <w:hideMark/>
          </w:tcPr>
          <w:p w14:paraId="7DBBF903" w14:textId="77777777" w:rsidR="001A58D1" w:rsidRDefault="001A58D1">
            <w:pPr>
              <w:pStyle w:val="C-TableText"/>
              <w:jc w:val="center"/>
              <w:rPr>
                <w:sz w:val="20"/>
              </w:rPr>
            </w:pPr>
            <w:r>
              <w:rPr>
                <w:sz w:val="20"/>
              </w:rPr>
              <w:t>0</w:t>
            </w:r>
          </w:p>
        </w:tc>
        <w:tc>
          <w:tcPr>
            <w:tcW w:w="643" w:type="pct"/>
            <w:tcBorders>
              <w:top w:val="single" w:sz="4" w:space="0" w:color="auto"/>
              <w:left w:val="single" w:sz="4" w:space="0" w:color="auto"/>
              <w:bottom w:val="single" w:sz="4" w:space="0" w:color="auto"/>
              <w:right w:val="single" w:sz="4" w:space="0" w:color="auto"/>
            </w:tcBorders>
            <w:hideMark/>
          </w:tcPr>
          <w:p w14:paraId="2F4CD0D7" w14:textId="77777777" w:rsidR="001A58D1" w:rsidRDefault="001A58D1">
            <w:pPr>
              <w:pStyle w:val="C-TableText"/>
              <w:jc w:val="center"/>
              <w:rPr>
                <w:sz w:val="20"/>
              </w:rPr>
            </w:pPr>
            <w:r>
              <w:rPr>
                <w:sz w:val="20"/>
              </w:rPr>
              <w:t>0</w:t>
            </w:r>
          </w:p>
        </w:tc>
      </w:tr>
      <w:tr w:rsidR="001A58D1" w14:paraId="5EBD2F12"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339996BA" w14:textId="77777777" w:rsidR="001A58D1" w:rsidRDefault="001A58D1">
            <w:pPr>
              <w:pStyle w:val="C-TableText"/>
              <w:ind w:left="150"/>
              <w:rPr>
                <w:sz w:val="20"/>
              </w:rPr>
            </w:pPr>
            <w:r>
              <w:rPr>
                <w:sz w:val="20"/>
              </w:rPr>
              <w:t>Asian</w:t>
            </w:r>
          </w:p>
        </w:tc>
        <w:tc>
          <w:tcPr>
            <w:tcW w:w="673" w:type="pct"/>
            <w:tcBorders>
              <w:top w:val="single" w:sz="4" w:space="0" w:color="auto"/>
              <w:left w:val="single" w:sz="4" w:space="0" w:color="auto"/>
              <w:bottom w:val="single" w:sz="4" w:space="0" w:color="auto"/>
              <w:right w:val="single" w:sz="4" w:space="0" w:color="auto"/>
            </w:tcBorders>
            <w:hideMark/>
          </w:tcPr>
          <w:p w14:paraId="26382162" w14:textId="77777777" w:rsidR="001A58D1" w:rsidRDefault="001A58D1">
            <w:pPr>
              <w:pStyle w:val="C-TableText"/>
              <w:jc w:val="center"/>
              <w:rPr>
                <w:sz w:val="20"/>
              </w:rPr>
            </w:pPr>
            <w:r>
              <w:rPr>
                <w:sz w:val="20"/>
              </w:rPr>
              <w:t>7 (15.2)</w:t>
            </w:r>
          </w:p>
        </w:tc>
        <w:tc>
          <w:tcPr>
            <w:tcW w:w="613" w:type="pct"/>
            <w:tcBorders>
              <w:top w:val="single" w:sz="4" w:space="0" w:color="auto"/>
              <w:left w:val="single" w:sz="4" w:space="0" w:color="auto"/>
              <w:bottom w:val="single" w:sz="4" w:space="0" w:color="auto"/>
              <w:right w:val="single" w:sz="4" w:space="0" w:color="auto"/>
            </w:tcBorders>
            <w:hideMark/>
          </w:tcPr>
          <w:p w14:paraId="52656ED6" w14:textId="77777777" w:rsidR="001A58D1" w:rsidRDefault="001A58D1">
            <w:pPr>
              <w:pStyle w:val="C-TableText"/>
              <w:jc w:val="center"/>
              <w:rPr>
                <w:sz w:val="20"/>
              </w:rPr>
            </w:pPr>
            <w:r>
              <w:rPr>
                <w:sz w:val="20"/>
              </w:rPr>
              <w:t>8 (16.7)</w:t>
            </w:r>
          </w:p>
        </w:tc>
        <w:tc>
          <w:tcPr>
            <w:tcW w:w="641" w:type="pct"/>
            <w:tcBorders>
              <w:top w:val="single" w:sz="4" w:space="0" w:color="auto"/>
              <w:left w:val="single" w:sz="4" w:space="0" w:color="auto"/>
              <w:bottom w:val="single" w:sz="4" w:space="0" w:color="auto"/>
              <w:right w:val="single" w:sz="12" w:space="0" w:color="auto"/>
            </w:tcBorders>
            <w:hideMark/>
          </w:tcPr>
          <w:p w14:paraId="1859F777" w14:textId="77777777" w:rsidR="001A58D1" w:rsidRDefault="001A58D1">
            <w:pPr>
              <w:pStyle w:val="C-TableText"/>
              <w:jc w:val="center"/>
              <w:rPr>
                <w:sz w:val="20"/>
              </w:rPr>
            </w:pPr>
            <w:r>
              <w:rPr>
                <w:sz w:val="20"/>
              </w:rPr>
              <w:t>15 (16.0)</w:t>
            </w:r>
          </w:p>
        </w:tc>
        <w:tc>
          <w:tcPr>
            <w:tcW w:w="641" w:type="pct"/>
            <w:tcBorders>
              <w:top w:val="single" w:sz="4" w:space="0" w:color="auto"/>
              <w:left w:val="single" w:sz="12" w:space="0" w:color="auto"/>
              <w:bottom w:val="single" w:sz="4" w:space="0" w:color="auto"/>
              <w:right w:val="single" w:sz="4" w:space="0" w:color="auto"/>
            </w:tcBorders>
            <w:hideMark/>
          </w:tcPr>
          <w:p w14:paraId="4E773D09" w14:textId="77777777" w:rsidR="001A58D1" w:rsidRDefault="001A58D1">
            <w:pPr>
              <w:pStyle w:val="C-TableText"/>
              <w:jc w:val="center"/>
              <w:rPr>
                <w:sz w:val="20"/>
              </w:rPr>
            </w:pPr>
            <w:r>
              <w:rPr>
                <w:sz w:val="20"/>
              </w:rPr>
              <w:t>6 (14.0)</w:t>
            </w:r>
          </w:p>
        </w:tc>
        <w:tc>
          <w:tcPr>
            <w:tcW w:w="642" w:type="pct"/>
            <w:tcBorders>
              <w:top w:val="single" w:sz="4" w:space="0" w:color="auto"/>
              <w:left w:val="single" w:sz="4" w:space="0" w:color="auto"/>
              <w:bottom w:val="single" w:sz="4" w:space="0" w:color="auto"/>
              <w:right w:val="single" w:sz="4" w:space="0" w:color="auto"/>
            </w:tcBorders>
            <w:hideMark/>
          </w:tcPr>
          <w:p w14:paraId="4F6D73EF" w14:textId="77777777" w:rsidR="001A58D1" w:rsidRDefault="001A58D1">
            <w:pPr>
              <w:pStyle w:val="C-TableText"/>
              <w:jc w:val="center"/>
              <w:rPr>
                <w:sz w:val="20"/>
              </w:rPr>
            </w:pPr>
            <w:r>
              <w:rPr>
                <w:sz w:val="20"/>
              </w:rPr>
              <w:t>8 (17.4)</w:t>
            </w:r>
          </w:p>
        </w:tc>
        <w:tc>
          <w:tcPr>
            <w:tcW w:w="643" w:type="pct"/>
            <w:tcBorders>
              <w:top w:val="single" w:sz="4" w:space="0" w:color="auto"/>
              <w:left w:val="single" w:sz="4" w:space="0" w:color="auto"/>
              <w:bottom w:val="single" w:sz="4" w:space="0" w:color="auto"/>
              <w:right w:val="single" w:sz="4" w:space="0" w:color="auto"/>
            </w:tcBorders>
            <w:hideMark/>
          </w:tcPr>
          <w:p w14:paraId="350586B8" w14:textId="77777777" w:rsidR="001A58D1" w:rsidRDefault="001A58D1">
            <w:pPr>
              <w:pStyle w:val="C-TableText"/>
              <w:jc w:val="center"/>
              <w:rPr>
                <w:sz w:val="20"/>
              </w:rPr>
            </w:pPr>
            <w:r>
              <w:rPr>
                <w:sz w:val="20"/>
              </w:rPr>
              <w:t>14 (15.7)</w:t>
            </w:r>
          </w:p>
        </w:tc>
      </w:tr>
      <w:tr w:rsidR="001A58D1" w14:paraId="65F74CE5" w14:textId="77777777" w:rsidTr="001A58D1">
        <w:trPr>
          <w:trHeight w:val="341"/>
        </w:trPr>
        <w:tc>
          <w:tcPr>
            <w:tcW w:w="5000" w:type="pct"/>
            <w:gridSpan w:val="7"/>
            <w:tcBorders>
              <w:top w:val="single" w:sz="4" w:space="0" w:color="auto"/>
              <w:left w:val="single" w:sz="4" w:space="0" w:color="auto"/>
              <w:bottom w:val="single" w:sz="4" w:space="0" w:color="auto"/>
              <w:right w:val="single" w:sz="4" w:space="0" w:color="auto"/>
            </w:tcBorders>
            <w:hideMark/>
          </w:tcPr>
          <w:p w14:paraId="272588A1" w14:textId="77777777" w:rsidR="001A58D1" w:rsidRDefault="001A58D1">
            <w:pPr>
              <w:pStyle w:val="C-TableText"/>
              <w:rPr>
                <w:sz w:val="20"/>
              </w:rPr>
            </w:pPr>
            <w:r>
              <w:rPr>
                <w:rFonts w:ascii="Times" w:hAnsi="Times" w:cs="Times"/>
                <w:b/>
                <w:sz w:val="20"/>
              </w:rPr>
              <w:t>Ethnicity, n (%)</w:t>
            </w:r>
          </w:p>
        </w:tc>
      </w:tr>
      <w:tr w:rsidR="001A58D1" w14:paraId="27D0EF59"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5B4DE72C" w14:textId="77777777" w:rsidR="001A58D1" w:rsidRDefault="001A58D1">
            <w:pPr>
              <w:pStyle w:val="C-TableText"/>
              <w:ind w:left="150"/>
              <w:rPr>
                <w:sz w:val="20"/>
              </w:rPr>
            </w:pPr>
            <w:r>
              <w:rPr>
                <w:sz w:val="20"/>
              </w:rPr>
              <w:t>Not Hispanic or Latino</w:t>
            </w:r>
          </w:p>
        </w:tc>
        <w:tc>
          <w:tcPr>
            <w:tcW w:w="673" w:type="pct"/>
            <w:tcBorders>
              <w:top w:val="single" w:sz="4" w:space="0" w:color="auto"/>
              <w:left w:val="single" w:sz="4" w:space="0" w:color="auto"/>
              <w:bottom w:val="single" w:sz="4" w:space="0" w:color="auto"/>
              <w:right w:val="single" w:sz="4" w:space="0" w:color="auto"/>
            </w:tcBorders>
            <w:hideMark/>
          </w:tcPr>
          <w:p w14:paraId="56AA7819" w14:textId="77777777" w:rsidR="001A58D1" w:rsidRDefault="001A58D1">
            <w:pPr>
              <w:pStyle w:val="C-TableText"/>
              <w:jc w:val="center"/>
              <w:rPr>
                <w:sz w:val="20"/>
              </w:rPr>
            </w:pPr>
            <w:r>
              <w:rPr>
                <w:sz w:val="20"/>
              </w:rPr>
              <w:t>42 (91.3)</w:t>
            </w:r>
          </w:p>
        </w:tc>
        <w:tc>
          <w:tcPr>
            <w:tcW w:w="613" w:type="pct"/>
            <w:tcBorders>
              <w:top w:val="single" w:sz="4" w:space="0" w:color="auto"/>
              <w:left w:val="single" w:sz="4" w:space="0" w:color="auto"/>
              <w:bottom w:val="single" w:sz="4" w:space="0" w:color="auto"/>
              <w:right w:val="single" w:sz="4" w:space="0" w:color="auto"/>
            </w:tcBorders>
            <w:hideMark/>
          </w:tcPr>
          <w:p w14:paraId="64CE2D3F" w14:textId="77777777" w:rsidR="001A58D1" w:rsidRDefault="001A58D1">
            <w:pPr>
              <w:pStyle w:val="C-TableText"/>
              <w:jc w:val="center"/>
              <w:rPr>
                <w:sz w:val="20"/>
              </w:rPr>
            </w:pPr>
            <w:r>
              <w:rPr>
                <w:sz w:val="20"/>
              </w:rPr>
              <w:t>42 (87.5)</w:t>
            </w:r>
          </w:p>
        </w:tc>
        <w:tc>
          <w:tcPr>
            <w:tcW w:w="641" w:type="pct"/>
            <w:tcBorders>
              <w:top w:val="single" w:sz="4" w:space="0" w:color="auto"/>
              <w:left w:val="single" w:sz="4" w:space="0" w:color="auto"/>
              <w:bottom w:val="single" w:sz="4" w:space="0" w:color="auto"/>
              <w:right w:val="single" w:sz="12" w:space="0" w:color="auto"/>
            </w:tcBorders>
            <w:hideMark/>
          </w:tcPr>
          <w:p w14:paraId="54AAC5BE" w14:textId="77777777" w:rsidR="001A58D1" w:rsidRDefault="001A58D1">
            <w:pPr>
              <w:pStyle w:val="C-TableText"/>
              <w:jc w:val="center"/>
              <w:rPr>
                <w:sz w:val="20"/>
              </w:rPr>
            </w:pPr>
            <w:r>
              <w:rPr>
                <w:sz w:val="20"/>
              </w:rPr>
              <w:t>84 (89.4)</w:t>
            </w:r>
          </w:p>
        </w:tc>
        <w:tc>
          <w:tcPr>
            <w:tcW w:w="641" w:type="pct"/>
            <w:tcBorders>
              <w:top w:val="single" w:sz="4" w:space="0" w:color="auto"/>
              <w:left w:val="single" w:sz="12" w:space="0" w:color="auto"/>
              <w:bottom w:val="single" w:sz="4" w:space="0" w:color="auto"/>
              <w:right w:val="single" w:sz="4" w:space="0" w:color="auto"/>
            </w:tcBorders>
            <w:hideMark/>
          </w:tcPr>
          <w:p w14:paraId="3670ED87" w14:textId="77777777" w:rsidR="001A58D1" w:rsidRDefault="001A58D1">
            <w:pPr>
              <w:pStyle w:val="C-TableText"/>
              <w:jc w:val="center"/>
              <w:rPr>
                <w:sz w:val="20"/>
              </w:rPr>
            </w:pPr>
            <w:r>
              <w:rPr>
                <w:sz w:val="20"/>
              </w:rPr>
              <w:t>40 (93.0)</w:t>
            </w:r>
          </w:p>
        </w:tc>
        <w:tc>
          <w:tcPr>
            <w:tcW w:w="642" w:type="pct"/>
            <w:tcBorders>
              <w:top w:val="single" w:sz="4" w:space="0" w:color="auto"/>
              <w:left w:val="single" w:sz="4" w:space="0" w:color="auto"/>
              <w:bottom w:val="single" w:sz="4" w:space="0" w:color="auto"/>
              <w:right w:val="single" w:sz="4" w:space="0" w:color="auto"/>
            </w:tcBorders>
            <w:hideMark/>
          </w:tcPr>
          <w:p w14:paraId="25553647" w14:textId="77777777" w:rsidR="001A58D1" w:rsidRDefault="001A58D1">
            <w:pPr>
              <w:pStyle w:val="C-TableText"/>
              <w:jc w:val="center"/>
              <w:rPr>
                <w:sz w:val="20"/>
              </w:rPr>
            </w:pPr>
            <w:r>
              <w:rPr>
                <w:sz w:val="20"/>
              </w:rPr>
              <w:t>40 (87.0)</w:t>
            </w:r>
          </w:p>
        </w:tc>
        <w:tc>
          <w:tcPr>
            <w:tcW w:w="643" w:type="pct"/>
            <w:tcBorders>
              <w:top w:val="single" w:sz="4" w:space="0" w:color="auto"/>
              <w:left w:val="single" w:sz="4" w:space="0" w:color="auto"/>
              <w:bottom w:val="single" w:sz="4" w:space="0" w:color="auto"/>
              <w:right w:val="single" w:sz="4" w:space="0" w:color="auto"/>
            </w:tcBorders>
            <w:hideMark/>
          </w:tcPr>
          <w:p w14:paraId="510FFA4A" w14:textId="77777777" w:rsidR="001A58D1" w:rsidRDefault="001A58D1">
            <w:pPr>
              <w:pStyle w:val="C-TableText"/>
              <w:jc w:val="center"/>
              <w:rPr>
                <w:sz w:val="20"/>
              </w:rPr>
            </w:pPr>
            <w:r>
              <w:rPr>
                <w:sz w:val="20"/>
              </w:rPr>
              <w:t>80 (89.9)</w:t>
            </w:r>
          </w:p>
        </w:tc>
      </w:tr>
      <w:tr w:rsidR="001A58D1" w14:paraId="255517B4"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7758C7B9" w14:textId="77777777" w:rsidR="001A58D1" w:rsidRDefault="001A58D1">
            <w:pPr>
              <w:pStyle w:val="C-TableText"/>
              <w:ind w:left="150"/>
              <w:rPr>
                <w:sz w:val="20"/>
              </w:rPr>
            </w:pPr>
            <w:r>
              <w:rPr>
                <w:sz w:val="20"/>
              </w:rPr>
              <w:t>Not reported</w:t>
            </w:r>
          </w:p>
        </w:tc>
        <w:tc>
          <w:tcPr>
            <w:tcW w:w="673" w:type="pct"/>
            <w:tcBorders>
              <w:top w:val="single" w:sz="4" w:space="0" w:color="auto"/>
              <w:left w:val="single" w:sz="4" w:space="0" w:color="auto"/>
              <w:bottom w:val="single" w:sz="4" w:space="0" w:color="auto"/>
              <w:right w:val="single" w:sz="4" w:space="0" w:color="auto"/>
            </w:tcBorders>
            <w:hideMark/>
          </w:tcPr>
          <w:p w14:paraId="23F2EB89" w14:textId="77777777" w:rsidR="001A58D1" w:rsidRDefault="001A58D1">
            <w:pPr>
              <w:pStyle w:val="C-TableText"/>
              <w:jc w:val="center"/>
              <w:rPr>
                <w:sz w:val="20"/>
              </w:rPr>
            </w:pPr>
            <w:r>
              <w:rPr>
                <w:sz w:val="20"/>
              </w:rPr>
              <w:t>1 (2.2)</w:t>
            </w:r>
          </w:p>
        </w:tc>
        <w:tc>
          <w:tcPr>
            <w:tcW w:w="613" w:type="pct"/>
            <w:tcBorders>
              <w:top w:val="single" w:sz="4" w:space="0" w:color="auto"/>
              <w:left w:val="single" w:sz="4" w:space="0" w:color="auto"/>
              <w:bottom w:val="single" w:sz="4" w:space="0" w:color="auto"/>
              <w:right w:val="single" w:sz="4" w:space="0" w:color="auto"/>
            </w:tcBorders>
            <w:hideMark/>
          </w:tcPr>
          <w:p w14:paraId="3942ACD4" w14:textId="77777777" w:rsidR="001A58D1" w:rsidRDefault="001A58D1">
            <w:pPr>
              <w:pStyle w:val="C-TableText"/>
              <w:jc w:val="center"/>
              <w:rPr>
                <w:sz w:val="20"/>
              </w:rPr>
            </w:pPr>
            <w:r>
              <w:rPr>
                <w:sz w:val="20"/>
              </w:rPr>
              <w:t>0</w:t>
            </w:r>
          </w:p>
        </w:tc>
        <w:tc>
          <w:tcPr>
            <w:tcW w:w="641" w:type="pct"/>
            <w:tcBorders>
              <w:top w:val="single" w:sz="4" w:space="0" w:color="auto"/>
              <w:left w:val="single" w:sz="4" w:space="0" w:color="auto"/>
              <w:bottom w:val="single" w:sz="4" w:space="0" w:color="auto"/>
              <w:right w:val="single" w:sz="12" w:space="0" w:color="auto"/>
            </w:tcBorders>
            <w:hideMark/>
          </w:tcPr>
          <w:p w14:paraId="4DED147C" w14:textId="77777777" w:rsidR="001A58D1" w:rsidRDefault="001A58D1">
            <w:pPr>
              <w:pStyle w:val="C-TableText"/>
              <w:jc w:val="center"/>
              <w:rPr>
                <w:sz w:val="20"/>
              </w:rPr>
            </w:pPr>
            <w:r>
              <w:rPr>
                <w:sz w:val="20"/>
              </w:rPr>
              <w:t>1 (1.1)</w:t>
            </w:r>
          </w:p>
        </w:tc>
        <w:tc>
          <w:tcPr>
            <w:tcW w:w="641" w:type="pct"/>
            <w:tcBorders>
              <w:top w:val="single" w:sz="4" w:space="0" w:color="auto"/>
              <w:left w:val="single" w:sz="12" w:space="0" w:color="auto"/>
              <w:bottom w:val="single" w:sz="4" w:space="0" w:color="auto"/>
              <w:right w:val="single" w:sz="4" w:space="0" w:color="auto"/>
            </w:tcBorders>
            <w:hideMark/>
          </w:tcPr>
          <w:p w14:paraId="1B37C03A" w14:textId="77777777" w:rsidR="001A58D1" w:rsidRDefault="001A58D1">
            <w:pPr>
              <w:pStyle w:val="C-TableText"/>
              <w:jc w:val="center"/>
              <w:rPr>
                <w:sz w:val="20"/>
              </w:rPr>
            </w:pPr>
            <w:r>
              <w:rPr>
                <w:sz w:val="20"/>
              </w:rPr>
              <w:t>1 (2.3)</w:t>
            </w:r>
          </w:p>
        </w:tc>
        <w:tc>
          <w:tcPr>
            <w:tcW w:w="642" w:type="pct"/>
            <w:tcBorders>
              <w:top w:val="single" w:sz="4" w:space="0" w:color="auto"/>
              <w:left w:val="single" w:sz="4" w:space="0" w:color="auto"/>
              <w:bottom w:val="single" w:sz="4" w:space="0" w:color="auto"/>
              <w:right w:val="single" w:sz="4" w:space="0" w:color="auto"/>
            </w:tcBorders>
            <w:hideMark/>
          </w:tcPr>
          <w:p w14:paraId="44D6291E" w14:textId="77777777" w:rsidR="001A58D1" w:rsidRDefault="001A58D1">
            <w:pPr>
              <w:pStyle w:val="C-TableText"/>
              <w:jc w:val="center"/>
              <w:rPr>
                <w:sz w:val="20"/>
              </w:rPr>
            </w:pPr>
            <w:r>
              <w:rPr>
                <w:sz w:val="20"/>
              </w:rPr>
              <w:t>0</w:t>
            </w:r>
          </w:p>
        </w:tc>
        <w:tc>
          <w:tcPr>
            <w:tcW w:w="643" w:type="pct"/>
            <w:tcBorders>
              <w:top w:val="single" w:sz="4" w:space="0" w:color="auto"/>
              <w:left w:val="single" w:sz="4" w:space="0" w:color="auto"/>
              <w:bottom w:val="single" w:sz="4" w:space="0" w:color="auto"/>
              <w:right w:val="single" w:sz="4" w:space="0" w:color="auto"/>
            </w:tcBorders>
            <w:hideMark/>
          </w:tcPr>
          <w:p w14:paraId="66F438A4" w14:textId="77777777" w:rsidR="001A58D1" w:rsidRDefault="001A58D1">
            <w:pPr>
              <w:pStyle w:val="C-TableText"/>
              <w:jc w:val="center"/>
              <w:rPr>
                <w:sz w:val="20"/>
              </w:rPr>
            </w:pPr>
            <w:r>
              <w:rPr>
                <w:sz w:val="20"/>
              </w:rPr>
              <w:t>1 (1.1)</w:t>
            </w:r>
          </w:p>
        </w:tc>
      </w:tr>
      <w:tr w:rsidR="001A58D1" w14:paraId="07AFCA82" w14:textId="77777777" w:rsidTr="001A58D1">
        <w:trPr>
          <w:trHeight w:val="341"/>
        </w:trPr>
        <w:tc>
          <w:tcPr>
            <w:tcW w:w="5000" w:type="pct"/>
            <w:gridSpan w:val="7"/>
            <w:tcBorders>
              <w:top w:val="single" w:sz="4" w:space="0" w:color="auto"/>
              <w:left w:val="single" w:sz="4" w:space="0" w:color="auto"/>
              <w:bottom w:val="single" w:sz="4" w:space="0" w:color="auto"/>
              <w:right w:val="single" w:sz="4" w:space="0" w:color="auto"/>
            </w:tcBorders>
            <w:hideMark/>
          </w:tcPr>
          <w:p w14:paraId="737C6EB3" w14:textId="77777777" w:rsidR="001A58D1" w:rsidRDefault="001A58D1">
            <w:pPr>
              <w:pStyle w:val="C-TableText"/>
              <w:rPr>
                <w:sz w:val="20"/>
                <w:highlight w:val="blue"/>
              </w:rPr>
            </w:pPr>
            <w:r>
              <w:rPr>
                <w:rFonts w:ascii="Times" w:hAnsi="Times" w:cs="Times"/>
                <w:b/>
                <w:bCs/>
                <w:sz w:val="20"/>
              </w:rPr>
              <w:t>Region, n (%)</w:t>
            </w:r>
          </w:p>
        </w:tc>
      </w:tr>
      <w:tr w:rsidR="001A58D1" w14:paraId="48375B90"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7DF88BE7" w14:textId="77777777" w:rsidR="001A58D1" w:rsidRDefault="001A58D1">
            <w:pPr>
              <w:pStyle w:val="C-TableText"/>
              <w:ind w:left="150"/>
              <w:rPr>
                <w:sz w:val="20"/>
              </w:rPr>
            </w:pPr>
            <w:r>
              <w:rPr>
                <w:sz w:val="20"/>
              </w:rPr>
              <w:t xml:space="preserve">North </w:t>
            </w:r>
            <w:proofErr w:type="spellStart"/>
            <w:r>
              <w:rPr>
                <w:sz w:val="20"/>
              </w:rPr>
              <w:t>America</w:t>
            </w:r>
            <w:r>
              <w:rPr>
                <w:sz w:val="20"/>
                <w:vertAlign w:val="superscript"/>
              </w:rPr>
              <w:t>a</w:t>
            </w:r>
            <w:proofErr w:type="spellEnd"/>
          </w:p>
        </w:tc>
        <w:tc>
          <w:tcPr>
            <w:tcW w:w="673" w:type="pct"/>
            <w:tcBorders>
              <w:top w:val="single" w:sz="4" w:space="0" w:color="auto"/>
              <w:left w:val="single" w:sz="4" w:space="0" w:color="auto"/>
              <w:bottom w:val="single" w:sz="4" w:space="0" w:color="auto"/>
              <w:right w:val="single" w:sz="4" w:space="0" w:color="auto"/>
            </w:tcBorders>
            <w:hideMark/>
          </w:tcPr>
          <w:p w14:paraId="431C2357" w14:textId="77777777" w:rsidR="001A58D1" w:rsidRDefault="001A58D1">
            <w:pPr>
              <w:pStyle w:val="C-TableText"/>
              <w:jc w:val="center"/>
              <w:rPr>
                <w:sz w:val="20"/>
              </w:rPr>
            </w:pPr>
            <w:r>
              <w:rPr>
                <w:sz w:val="20"/>
              </w:rPr>
              <w:t>18 (39.1)</w:t>
            </w:r>
          </w:p>
        </w:tc>
        <w:tc>
          <w:tcPr>
            <w:tcW w:w="613" w:type="pct"/>
            <w:tcBorders>
              <w:top w:val="single" w:sz="4" w:space="0" w:color="auto"/>
              <w:left w:val="single" w:sz="4" w:space="0" w:color="auto"/>
              <w:bottom w:val="single" w:sz="4" w:space="0" w:color="auto"/>
              <w:right w:val="single" w:sz="4" w:space="0" w:color="auto"/>
            </w:tcBorders>
            <w:hideMark/>
          </w:tcPr>
          <w:p w14:paraId="2984955A" w14:textId="77777777" w:rsidR="001A58D1" w:rsidRDefault="001A58D1">
            <w:pPr>
              <w:pStyle w:val="C-TableText"/>
              <w:jc w:val="center"/>
              <w:rPr>
                <w:sz w:val="20"/>
              </w:rPr>
            </w:pPr>
            <w:r>
              <w:rPr>
                <w:sz w:val="20"/>
              </w:rPr>
              <w:t>16 (33.3)</w:t>
            </w:r>
          </w:p>
        </w:tc>
        <w:tc>
          <w:tcPr>
            <w:tcW w:w="641" w:type="pct"/>
            <w:tcBorders>
              <w:top w:val="single" w:sz="4" w:space="0" w:color="auto"/>
              <w:left w:val="single" w:sz="4" w:space="0" w:color="auto"/>
              <w:bottom w:val="single" w:sz="4" w:space="0" w:color="auto"/>
              <w:right w:val="single" w:sz="12" w:space="0" w:color="auto"/>
            </w:tcBorders>
            <w:hideMark/>
          </w:tcPr>
          <w:p w14:paraId="5E6261E1" w14:textId="77777777" w:rsidR="001A58D1" w:rsidRDefault="001A58D1">
            <w:pPr>
              <w:pStyle w:val="C-TableText"/>
              <w:jc w:val="center"/>
              <w:rPr>
                <w:sz w:val="20"/>
              </w:rPr>
            </w:pPr>
            <w:r>
              <w:rPr>
                <w:sz w:val="20"/>
              </w:rPr>
              <w:t>34 (36.2)</w:t>
            </w:r>
          </w:p>
        </w:tc>
        <w:tc>
          <w:tcPr>
            <w:tcW w:w="641" w:type="pct"/>
            <w:tcBorders>
              <w:top w:val="single" w:sz="4" w:space="0" w:color="auto"/>
              <w:left w:val="single" w:sz="12" w:space="0" w:color="auto"/>
              <w:bottom w:val="single" w:sz="4" w:space="0" w:color="auto"/>
              <w:right w:val="single" w:sz="4" w:space="0" w:color="auto"/>
            </w:tcBorders>
            <w:hideMark/>
          </w:tcPr>
          <w:p w14:paraId="7F51D9D0" w14:textId="77777777" w:rsidR="001A58D1" w:rsidRDefault="001A58D1">
            <w:pPr>
              <w:pStyle w:val="C-TableText"/>
              <w:jc w:val="center"/>
              <w:rPr>
                <w:sz w:val="20"/>
              </w:rPr>
            </w:pPr>
            <w:r>
              <w:rPr>
                <w:sz w:val="20"/>
              </w:rPr>
              <w:t>17 (39.5)</w:t>
            </w:r>
          </w:p>
        </w:tc>
        <w:tc>
          <w:tcPr>
            <w:tcW w:w="642" w:type="pct"/>
            <w:tcBorders>
              <w:top w:val="single" w:sz="4" w:space="0" w:color="auto"/>
              <w:left w:val="single" w:sz="4" w:space="0" w:color="auto"/>
              <w:bottom w:val="single" w:sz="4" w:space="0" w:color="auto"/>
              <w:right w:val="single" w:sz="4" w:space="0" w:color="auto"/>
            </w:tcBorders>
            <w:hideMark/>
          </w:tcPr>
          <w:p w14:paraId="021E020B" w14:textId="77777777" w:rsidR="001A58D1" w:rsidRDefault="001A58D1">
            <w:pPr>
              <w:pStyle w:val="C-TableText"/>
              <w:jc w:val="center"/>
              <w:rPr>
                <w:sz w:val="20"/>
              </w:rPr>
            </w:pPr>
            <w:r>
              <w:rPr>
                <w:sz w:val="20"/>
              </w:rPr>
              <w:t>16 (34.8)</w:t>
            </w:r>
          </w:p>
        </w:tc>
        <w:tc>
          <w:tcPr>
            <w:tcW w:w="643" w:type="pct"/>
            <w:tcBorders>
              <w:top w:val="single" w:sz="4" w:space="0" w:color="auto"/>
              <w:left w:val="single" w:sz="4" w:space="0" w:color="auto"/>
              <w:bottom w:val="single" w:sz="4" w:space="0" w:color="auto"/>
              <w:right w:val="single" w:sz="4" w:space="0" w:color="auto"/>
            </w:tcBorders>
            <w:hideMark/>
          </w:tcPr>
          <w:p w14:paraId="54410EAD" w14:textId="77777777" w:rsidR="001A58D1" w:rsidRDefault="001A58D1">
            <w:pPr>
              <w:pStyle w:val="C-TableText"/>
              <w:jc w:val="center"/>
              <w:rPr>
                <w:sz w:val="20"/>
              </w:rPr>
            </w:pPr>
            <w:r>
              <w:rPr>
                <w:sz w:val="20"/>
              </w:rPr>
              <w:t>33 (37.1)</w:t>
            </w:r>
          </w:p>
        </w:tc>
      </w:tr>
      <w:tr w:rsidR="001A58D1" w14:paraId="27B4BD11"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5AF9C9E1" w14:textId="77777777" w:rsidR="001A58D1" w:rsidRDefault="001A58D1">
            <w:pPr>
              <w:pStyle w:val="C-TableText"/>
              <w:ind w:left="150"/>
              <w:rPr>
                <w:sz w:val="20"/>
              </w:rPr>
            </w:pPr>
            <w:r>
              <w:rPr>
                <w:bCs/>
                <w:sz w:val="20"/>
              </w:rPr>
              <w:t>Europe</w:t>
            </w:r>
          </w:p>
        </w:tc>
        <w:tc>
          <w:tcPr>
            <w:tcW w:w="673" w:type="pct"/>
            <w:tcBorders>
              <w:top w:val="single" w:sz="4" w:space="0" w:color="auto"/>
              <w:left w:val="single" w:sz="4" w:space="0" w:color="auto"/>
              <w:bottom w:val="single" w:sz="4" w:space="0" w:color="auto"/>
              <w:right w:val="single" w:sz="4" w:space="0" w:color="auto"/>
            </w:tcBorders>
            <w:hideMark/>
          </w:tcPr>
          <w:p w14:paraId="3BC29049" w14:textId="77777777" w:rsidR="001A58D1" w:rsidRDefault="001A58D1">
            <w:pPr>
              <w:pStyle w:val="C-TableText"/>
              <w:jc w:val="center"/>
              <w:rPr>
                <w:sz w:val="20"/>
              </w:rPr>
            </w:pPr>
            <w:r>
              <w:rPr>
                <w:sz w:val="20"/>
              </w:rPr>
              <w:t>19 (41.3)</w:t>
            </w:r>
          </w:p>
        </w:tc>
        <w:tc>
          <w:tcPr>
            <w:tcW w:w="613" w:type="pct"/>
            <w:tcBorders>
              <w:top w:val="single" w:sz="4" w:space="0" w:color="auto"/>
              <w:left w:val="single" w:sz="4" w:space="0" w:color="auto"/>
              <w:bottom w:val="single" w:sz="4" w:space="0" w:color="auto"/>
              <w:right w:val="single" w:sz="4" w:space="0" w:color="auto"/>
            </w:tcBorders>
            <w:hideMark/>
          </w:tcPr>
          <w:p w14:paraId="3226084D" w14:textId="77777777" w:rsidR="001A58D1" w:rsidRDefault="001A58D1">
            <w:pPr>
              <w:pStyle w:val="C-TableText"/>
              <w:jc w:val="center"/>
              <w:rPr>
                <w:sz w:val="20"/>
              </w:rPr>
            </w:pPr>
            <w:r>
              <w:rPr>
                <w:sz w:val="20"/>
              </w:rPr>
              <w:t>23 (47.9)</w:t>
            </w:r>
          </w:p>
        </w:tc>
        <w:tc>
          <w:tcPr>
            <w:tcW w:w="641" w:type="pct"/>
            <w:tcBorders>
              <w:top w:val="single" w:sz="4" w:space="0" w:color="auto"/>
              <w:left w:val="single" w:sz="4" w:space="0" w:color="auto"/>
              <w:bottom w:val="single" w:sz="4" w:space="0" w:color="auto"/>
              <w:right w:val="single" w:sz="12" w:space="0" w:color="auto"/>
            </w:tcBorders>
            <w:hideMark/>
          </w:tcPr>
          <w:p w14:paraId="78194C42" w14:textId="77777777" w:rsidR="001A58D1" w:rsidRDefault="001A58D1">
            <w:pPr>
              <w:pStyle w:val="C-TableText"/>
              <w:jc w:val="center"/>
              <w:rPr>
                <w:sz w:val="20"/>
              </w:rPr>
            </w:pPr>
            <w:r>
              <w:rPr>
                <w:sz w:val="20"/>
              </w:rPr>
              <w:t>42 (44.7)</w:t>
            </w:r>
          </w:p>
        </w:tc>
        <w:tc>
          <w:tcPr>
            <w:tcW w:w="641" w:type="pct"/>
            <w:tcBorders>
              <w:top w:val="single" w:sz="4" w:space="0" w:color="auto"/>
              <w:left w:val="single" w:sz="12" w:space="0" w:color="auto"/>
              <w:bottom w:val="single" w:sz="4" w:space="0" w:color="auto"/>
              <w:right w:val="single" w:sz="4" w:space="0" w:color="auto"/>
            </w:tcBorders>
            <w:hideMark/>
          </w:tcPr>
          <w:p w14:paraId="7D8F7B74" w14:textId="77777777" w:rsidR="001A58D1" w:rsidRDefault="001A58D1">
            <w:pPr>
              <w:pStyle w:val="C-TableText"/>
              <w:jc w:val="center"/>
              <w:rPr>
                <w:sz w:val="20"/>
              </w:rPr>
            </w:pPr>
            <w:r>
              <w:rPr>
                <w:sz w:val="20"/>
              </w:rPr>
              <w:t>18 (41.9)</w:t>
            </w:r>
          </w:p>
        </w:tc>
        <w:tc>
          <w:tcPr>
            <w:tcW w:w="642" w:type="pct"/>
            <w:tcBorders>
              <w:top w:val="single" w:sz="4" w:space="0" w:color="auto"/>
              <w:left w:val="single" w:sz="4" w:space="0" w:color="auto"/>
              <w:bottom w:val="single" w:sz="4" w:space="0" w:color="auto"/>
              <w:right w:val="single" w:sz="4" w:space="0" w:color="auto"/>
            </w:tcBorders>
            <w:hideMark/>
          </w:tcPr>
          <w:p w14:paraId="04801E89" w14:textId="77777777" w:rsidR="001A58D1" w:rsidRDefault="001A58D1">
            <w:pPr>
              <w:pStyle w:val="C-TableText"/>
              <w:jc w:val="center"/>
              <w:rPr>
                <w:sz w:val="20"/>
              </w:rPr>
            </w:pPr>
            <w:r>
              <w:rPr>
                <w:sz w:val="20"/>
              </w:rPr>
              <w:t>22 (47.8)</w:t>
            </w:r>
          </w:p>
        </w:tc>
        <w:tc>
          <w:tcPr>
            <w:tcW w:w="643" w:type="pct"/>
            <w:tcBorders>
              <w:top w:val="single" w:sz="4" w:space="0" w:color="auto"/>
              <w:left w:val="single" w:sz="4" w:space="0" w:color="auto"/>
              <w:bottom w:val="single" w:sz="4" w:space="0" w:color="auto"/>
              <w:right w:val="single" w:sz="4" w:space="0" w:color="auto"/>
            </w:tcBorders>
            <w:hideMark/>
          </w:tcPr>
          <w:p w14:paraId="422017F4" w14:textId="77777777" w:rsidR="001A58D1" w:rsidRDefault="001A58D1">
            <w:pPr>
              <w:pStyle w:val="C-TableText"/>
              <w:jc w:val="center"/>
              <w:rPr>
                <w:sz w:val="20"/>
              </w:rPr>
            </w:pPr>
            <w:r>
              <w:rPr>
                <w:sz w:val="20"/>
              </w:rPr>
              <w:t>40 (44.9)</w:t>
            </w:r>
          </w:p>
        </w:tc>
      </w:tr>
      <w:tr w:rsidR="001A58D1" w14:paraId="7FAF073B" w14:textId="77777777" w:rsidTr="001A58D1">
        <w:trPr>
          <w:trHeight w:val="341"/>
        </w:trPr>
        <w:tc>
          <w:tcPr>
            <w:tcW w:w="1147" w:type="pct"/>
            <w:tcBorders>
              <w:top w:val="single" w:sz="4" w:space="0" w:color="auto"/>
              <w:left w:val="single" w:sz="4" w:space="0" w:color="auto"/>
              <w:bottom w:val="single" w:sz="4" w:space="0" w:color="auto"/>
              <w:right w:val="single" w:sz="4" w:space="0" w:color="auto"/>
            </w:tcBorders>
            <w:hideMark/>
          </w:tcPr>
          <w:p w14:paraId="187FDFE6" w14:textId="77777777" w:rsidR="001A58D1" w:rsidRDefault="001A58D1">
            <w:pPr>
              <w:pStyle w:val="C-TableText"/>
              <w:ind w:left="150"/>
              <w:rPr>
                <w:sz w:val="20"/>
              </w:rPr>
            </w:pPr>
            <w:r>
              <w:rPr>
                <w:bCs/>
                <w:sz w:val="20"/>
              </w:rPr>
              <w:t>Other (Asia, Australia, Mexico)</w:t>
            </w:r>
          </w:p>
        </w:tc>
        <w:tc>
          <w:tcPr>
            <w:tcW w:w="673" w:type="pct"/>
            <w:tcBorders>
              <w:top w:val="single" w:sz="4" w:space="0" w:color="auto"/>
              <w:left w:val="single" w:sz="4" w:space="0" w:color="auto"/>
              <w:bottom w:val="single" w:sz="4" w:space="0" w:color="auto"/>
              <w:right w:val="single" w:sz="4" w:space="0" w:color="auto"/>
            </w:tcBorders>
            <w:hideMark/>
          </w:tcPr>
          <w:p w14:paraId="7CBD40AF" w14:textId="77777777" w:rsidR="001A58D1" w:rsidRDefault="001A58D1">
            <w:pPr>
              <w:pStyle w:val="C-TableText"/>
              <w:jc w:val="center"/>
              <w:rPr>
                <w:sz w:val="20"/>
              </w:rPr>
            </w:pPr>
            <w:r>
              <w:rPr>
                <w:sz w:val="20"/>
              </w:rPr>
              <w:t>9 (19.6)</w:t>
            </w:r>
          </w:p>
        </w:tc>
        <w:tc>
          <w:tcPr>
            <w:tcW w:w="613" w:type="pct"/>
            <w:tcBorders>
              <w:top w:val="single" w:sz="4" w:space="0" w:color="auto"/>
              <w:left w:val="single" w:sz="4" w:space="0" w:color="auto"/>
              <w:bottom w:val="single" w:sz="4" w:space="0" w:color="auto"/>
              <w:right w:val="single" w:sz="4" w:space="0" w:color="auto"/>
            </w:tcBorders>
            <w:hideMark/>
          </w:tcPr>
          <w:p w14:paraId="03677A61" w14:textId="77777777" w:rsidR="001A58D1" w:rsidRDefault="001A58D1">
            <w:pPr>
              <w:pStyle w:val="C-TableText"/>
              <w:jc w:val="center"/>
              <w:rPr>
                <w:sz w:val="20"/>
              </w:rPr>
            </w:pPr>
            <w:r>
              <w:rPr>
                <w:sz w:val="20"/>
              </w:rPr>
              <w:t>9 (18.8)</w:t>
            </w:r>
          </w:p>
        </w:tc>
        <w:tc>
          <w:tcPr>
            <w:tcW w:w="641" w:type="pct"/>
            <w:tcBorders>
              <w:top w:val="single" w:sz="4" w:space="0" w:color="auto"/>
              <w:left w:val="single" w:sz="4" w:space="0" w:color="auto"/>
              <w:bottom w:val="single" w:sz="4" w:space="0" w:color="auto"/>
              <w:right w:val="single" w:sz="12" w:space="0" w:color="auto"/>
            </w:tcBorders>
            <w:hideMark/>
          </w:tcPr>
          <w:p w14:paraId="33CE9802" w14:textId="77777777" w:rsidR="001A58D1" w:rsidRDefault="001A58D1">
            <w:pPr>
              <w:pStyle w:val="C-TableText"/>
              <w:jc w:val="center"/>
              <w:rPr>
                <w:sz w:val="20"/>
              </w:rPr>
            </w:pPr>
            <w:r>
              <w:rPr>
                <w:sz w:val="20"/>
              </w:rPr>
              <w:t>18 (19.1)</w:t>
            </w:r>
          </w:p>
        </w:tc>
        <w:tc>
          <w:tcPr>
            <w:tcW w:w="641" w:type="pct"/>
            <w:tcBorders>
              <w:top w:val="single" w:sz="4" w:space="0" w:color="auto"/>
              <w:left w:val="single" w:sz="12" w:space="0" w:color="auto"/>
              <w:bottom w:val="single" w:sz="4" w:space="0" w:color="auto"/>
              <w:right w:val="single" w:sz="4" w:space="0" w:color="auto"/>
            </w:tcBorders>
            <w:hideMark/>
          </w:tcPr>
          <w:p w14:paraId="17AA441E" w14:textId="77777777" w:rsidR="001A58D1" w:rsidRDefault="001A58D1">
            <w:pPr>
              <w:pStyle w:val="C-TableText"/>
              <w:jc w:val="center"/>
              <w:rPr>
                <w:sz w:val="20"/>
              </w:rPr>
            </w:pPr>
            <w:r>
              <w:rPr>
                <w:sz w:val="20"/>
              </w:rPr>
              <w:t>8 (18.6)</w:t>
            </w:r>
          </w:p>
        </w:tc>
        <w:tc>
          <w:tcPr>
            <w:tcW w:w="642" w:type="pct"/>
            <w:tcBorders>
              <w:top w:val="single" w:sz="4" w:space="0" w:color="auto"/>
              <w:left w:val="single" w:sz="4" w:space="0" w:color="auto"/>
              <w:bottom w:val="single" w:sz="4" w:space="0" w:color="auto"/>
              <w:right w:val="single" w:sz="4" w:space="0" w:color="auto"/>
            </w:tcBorders>
            <w:hideMark/>
          </w:tcPr>
          <w:p w14:paraId="7A03FFFF" w14:textId="77777777" w:rsidR="001A58D1" w:rsidRDefault="001A58D1">
            <w:pPr>
              <w:pStyle w:val="C-TableText"/>
              <w:jc w:val="center"/>
              <w:rPr>
                <w:sz w:val="20"/>
              </w:rPr>
            </w:pPr>
            <w:r>
              <w:rPr>
                <w:sz w:val="20"/>
              </w:rPr>
              <w:t>8 (17.4)</w:t>
            </w:r>
          </w:p>
        </w:tc>
        <w:tc>
          <w:tcPr>
            <w:tcW w:w="643" w:type="pct"/>
            <w:tcBorders>
              <w:top w:val="single" w:sz="4" w:space="0" w:color="auto"/>
              <w:left w:val="single" w:sz="4" w:space="0" w:color="auto"/>
              <w:bottom w:val="single" w:sz="4" w:space="0" w:color="auto"/>
              <w:right w:val="single" w:sz="4" w:space="0" w:color="auto"/>
            </w:tcBorders>
            <w:hideMark/>
          </w:tcPr>
          <w:p w14:paraId="0680D652" w14:textId="77777777" w:rsidR="001A58D1" w:rsidRDefault="001A58D1">
            <w:pPr>
              <w:pStyle w:val="C-TableText"/>
              <w:jc w:val="center"/>
              <w:rPr>
                <w:sz w:val="20"/>
              </w:rPr>
            </w:pPr>
            <w:r>
              <w:rPr>
                <w:sz w:val="20"/>
              </w:rPr>
              <w:t>16 (18.0)</w:t>
            </w:r>
          </w:p>
        </w:tc>
      </w:tr>
      <w:tr w:rsidR="001A58D1" w14:paraId="5EFB3C71" w14:textId="77777777" w:rsidTr="001A58D1">
        <w:trPr>
          <w:trHeight w:val="341"/>
        </w:trPr>
        <w:tc>
          <w:tcPr>
            <w:tcW w:w="5000" w:type="pct"/>
            <w:gridSpan w:val="7"/>
            <w:tcBorders>
              <w:top w:val="single" w:sz="4" w:space="0" w:color="auto"/>
              <w:left w:val="nil"/>
              <w:bottom w:val="nil"/>
              <w:right w:val="nil"/>
            </w:tcBorders>
            <w:hideMark/>
          </w:tcPr>
          <w:p w14:paraId="0D4EE0D3" w14:textId="1325D204" w:rsidR="001A58D1" w:rsidRDefault="001A58D1" w:rsidP="001A58D1">
            <w:pPr>
              <w:pStyle w:val="TableDescription"/>
              <w:rPr>
                <w:sz w:val="20"/>
              </w:rPr>
            </w:pPr>
            <w:r>
              <w:t>Abbreviations: AHP=acute hepatic porphyria; AIP=acute intermittent porphyria; BMI=body mass index; Max=maximum; Min=minimum; SD=standard deviation.</w:t>
            </w:r>
          </w:p>
          <w:p w14:paraId="5E041DE1" w14:textId="0D815DAF" w:rsidR="001A58D1" w:rsidRDefault="001A58D1" w:rsidP="001A58D1">
            <w:pPr>
              <w:pStyle w:val="TableDescription"/>
            </w:pPr>
            <w:r>
              <w:rPr>
                <w:vertAlign w:val="superscript"/>
              </w:rPr>
              <w:t>a</w:t>
            </w:r>
            <w:r>
              <w:t xml:space="preserve"> North America: United States, Canada</w:t>
            </w:r>
          </w:p>
        </w:tc>
      </w:tr>
    </w:tbl>
    <w:p w14:paraId="1A45EF2B" w14:textId="77777777" w:rsidR="001A58D1" w:rsidRDefault="001A58D1" w:rsidP="00F53170">
      <w:pPr>
        <w:ind w:left="720"/>
        <w:rPr>
          <w:sz w:val="20"/>
        </w:rPr>
      </w:pPr>
    </w:p>
    <w:p w14:paraId="36B56A87" w14:textId="6507F333" w:rsidR="00F53170" w:rsidRPr="00F53170" w:rsidRDefault="00F53170" w:rsidP="00553327">
      <w:r w:rsidRPr="00F53170">
        <w:t xml:space="preserve">The baseline disease characteristics were also well balanced between the groups with historical median AAR of 7 and 8 in the placebo and the </w:t>
      </w:r>
      <w:proofErr w:type="spellStart"/>
      <w:r w:rsidRPr="00F53170">
        <w:t>givosiran</w:t>
      </w:r>
      <w:proofErr w:type="spellEnd"/>
      <w:r w:rsidRPr="00F53170">
        <w:t xml:space="preserve"> group respectively. The number of patients with high (&gt;7) and low (&lt;7) AAR were around 1:1 within every treatment group.</w:t>
      </w:r>
    </w:p>
    <w:p w14:paraId="68C4801A" w14:textId="66220424" w:rsidR="00F53170" w:rsidRPr="00300ACC" w:rsidRDefault="00F53170" w:rsidP="00F16AF5">
      <w:r w:rsidRPr="00F53170">
        <w:t xml:space="preserve">Since allocation to the </w:t>
      </w:r>
      <w:r w:rsidR="00F1783E">
        <w:t>2</w:t>
      </w:r>
      <w:r w:rsidRPr="00F53170">
        <w:t xml:space="preserve"> doses (1.25 and 2.5</w:t>
      </w:r>
      <w:r w:rsidR="00F12306">
        <w:t> </w:t>
      </w:r>
      <w:r w:rsidRPr="00F53170">
        <w:t>mg/kg) in the OLE period was not randomi</w:t>
      </w:r>
      <w:r w:rsidR="00F1783E">
        <w:t>s</w:t>
      </w:r>
      <w:r w:rsidRPr="00F53170">
        <w:t xml:space="preserve">ed, </w:t>
      </w:r>
      <w:r w:rsidRPr="00300ACC">
        <w:t xml:space="preserve">patient baseline characteristics in </w:t>
      </w:r>
      <w:r w:rsidR="00F1783E">
        <w:t>2</w:t>
      </w:r>
      <w:r w:rsidRPr="00300ACC">
        <w:t xml:space="preserve"> groups in the OLE period were not balanced </w:t>
      </w:r>
      <w:r w:rsidR="00F12306" w:rsidRPr="00300ACC">
        <w:t>[</w:t>
      </w:r>
      <w:r w:rsidR="000C1BFE">
        <w:fldChar w:fldCharType="begin"/>
      </w:r>
      <w:r w:rsidR="000C1BFE">
        <w:instrText xml:space="preserve"> REF _Ref162261078 \h </w:instrText>
      </w:r>
      <w:r w:rsidR="000C1BFE">
        <w:fldChar w:fldCharType="separate"/>
      </w:r>
      <w:r w:rsidR="007C529A">
        <w:t xml:space="preserve">Table </w:t>
      </w:r>
      <w:r w:rsidR="007C529A">
        <w:rPr>
          <w:noProof/>
        </w:rPr>
        <w:t>5</w:t>
      </w:r>
      <w:r w:rsidR="000C1BFE">
        <w:fldChar w:fldCharType="end"/>
      </w:r>
      <w:r w:rsidR="00F12306" w:rsidRPr="00300ACC">
        <w:t>]</w:t>
      </w:r>
      <w:r w:rsidRPr="00300ACC">
        <w:t>.</w:t>
      </w:r>
    </w:p>
    <w:p w14:paraId="4B756E6E" w14:textId="39222866" w:rsidR="000C1BFE" w:rsidRPr="00F53170" w:rsidRDefault="000C1BFE" w:rsidP="00F16AF5">
      <w:pPr>
        <w:pStyle w:val="TableTitle"/>
        <w:rPr>
          <w:sz w:val="20"/>
        </w:rPr>
      </w:pPr>
      <w:bookmarkStart w:id="54" w:name="_Ref162261078"/>
      <w:bookmarkStart w:id="55" w:name="_Ref162261046"/>
      <w:r>
        <w:lastRenderedPageBreak/>
        <w:t xml:space="preserve">Table </w:t>
      </w:r>
      <w:fldSimple w:instr=" SEQ Table \* ARABIC ">
        <w:r w:rsidR="007C529A">
          <w:rPr>
            <w:noProof/>
          </w:rPr>
          <w:t>5</w:t>
        </w:r>
      </w:fldSimple>
      <w:bookmarkEnd w:id="54"/>
      <w:r>
        <w:t xml:space="preserve">: </w:t>
      </w:r>
      <w:r w:rsidRPr="003E1D26">
        <w:t xml:space="preserve">Study ALN-AS1-003 Demographics and baseline disease characteristics of AHP patients (all </w:t>
      </w:r>
      <w:proofErr w:type="spellStart"/>
      <w:r w:rsidRPr="003E1D26">
        <w:t>givosiran</w:t>
      </w:r>
      <w:proofErr w:type="spellEnd"/>
      <w:r w:rsidRPr="003E1D26">
        <w:t xml:space="preserve"> </w:t>
      </w:r>
      <w:r>
        <w:t>t</w:t>
      </w:r>
      <w:r w:rsidRPr="003E1D26">
        <w:t xml:space="preserve">reated </w:t>
      </w:r>
      <w:r>
        <w:t>s</w:t>
      </w:r>
      <w:r w:rsidRPr="003E1D26">
        <w:t>et)</w:t>
      </w:r>
      <w:bookmarkEnd w:id="55"/>
    </w:p>
    <w:p w14:paraId="17412133" w14:textId="618DA312" w:rsidR="00F53170" w:rsidRDefault="009B77FC" w:rsidP="00077D39">
      <w:pPr>
        <w:rPr>
          <w:sz w:val="20"/>
        </w:rPr>
      </w:pPr>
      <w:r>
        <w:rPr>
          <w:noProof/>
        </w:rPr>
        <w:drawing>
          <wp:inline distT="0" distB="0" distL="0" distR="0" wp14:anchorId="11B5DD02" wp14:editId="7ED1763E">
            <wp:extent cx="5759450" cy="6149975"/>
            <wp:effectExtent l="0" t="0" r="0" b="3175"/>
            <wp:docPr id="7" name="Picture 7" descr="Demographic characteristics include age, female, years since diagnosis, prior hemin prophylaxis, porphyria attacks in 6 months prior to randomisation, historic AAR, prior chronic symptoms, prior opioid use and other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mographic characteristics include age, female, years since diagnosis, prior hemin prophylaxis, porphyria attacks in 6 months prior to randomisation, historic AAR, prior chronic symptoms, prior opioid use and other factors."/>
                    <pic:cNvPicPr/>
                  </pic:nvPicPr>
                  <pic:blipFill>
                    <a:blip r:embed="rId25"/>
                    <a:stretch>
                      <a:fillRect/>
                    </a:stretch>
                  </pic:blipFill>
                  <pic:spPr>
                    <a:xfrm>
                      <a:off x="0" y="0"/>
                      <a:ext cx="5759450" cy="6149975"/>
                    </a:xfrm>
                    <a:prstGeom prst="rect">
                      <a:avLst/>
                    </a:prstGeom>
                  </pic:spPr>
                </pic:pic>
              </a:graphicData>
            </a:graphic>
          </wp:inline>
        </w:drawing>
      </w:r>
    </w:p>
    <w:p w14:paraId="6CAF0231" w14:textId="57B46C69" w:rsidR="00714F2A" w:rsidRDefault="00714F2A" w:rsidP="00714F2A">
      <w:pPr>
        <w:pStyle w:val="FigureDescription"/>
      </w:pPr>
      <w:r>
        <w:t>Abbreviations: AAR</w:t>
      </w:r>
      <w:r w:rsidR="00E27BFF">
        <w:t> </w:t>
      </w:r>
      <w:r>
        <w:t>=</w:t>
      </w:r>
      <w:r w:rsidR="00E27BFF">
        <w:t> </w:t>
      </w:r>
      <w:r>
        <w:t>annuali</w:t>
      </w:r>
      <w:r w:rsidR="00E27BFF">
        <w:t>s</w:t>
      </w:r>
      <w:r>
        <w:t>ed attack rate; AHP</w:t>
      </w:r>
      <w:r w:rsidR="00E27BFF">
        <w:t> </w:t>
      </w:r>
      <w:r>
        <w:t>=</w:t>
      </w:r>
      <w:r w:rsidR="00E27BFF">
        <w:t> </w:t>
      </w:r>
      <w:r>
        <w:t>acute hepatic porphyria; AKI</w:t>
      </w:r>
      <w:r w:rsidR="00E27BFF">
        <w:t> </w:t>
      </w:r>
      <w:r>
        <w:t>=</w:t>
      </w:r>
      <w:r w:rsidR="00E27BFF">
        <w:t> </w:t>
      </w:r>
      <w:r>
        <w:t>acute kidney injury; CKD</w:t>
      </w:r>
      <w:r w:rsidR="00E27BFF">
        <w:t> </w:t>
      </w:r>
      <w:r>
        <w:t>=</w:t>
      </w:r>
      <w:r w:rsidR="00E27BFF">
        <w:t> </w:t>
      </w:r>
      <w:r>
        <w:t xml:space="preserve">chronic kidney disease; </w:t>
      </w:r>
      <w:proofErr w:type="spellStart"/>
      <w:r>
        <w:t>givo</w:t>
      </w:r>
      <w:proofErr w:type="spellEnd"/>
      <w:r w:rsidR="00E27BFF">
        <w:t> </w:t>
      </w:r>
      <w:r>
        <w:t>=</w:t>
      </w:r>
      <w:r w:rsidR="00E27BFF">
        <w:t> </w:t>
      </w:r>
      <w:proofErr w:type="spellStart"/>
      <w:r>
        <w:t>givosiran</w:t>
      </w:r>
      <w:proofErr w:type="spellEnd"/>
      <w:r>
        <w:t>; HLT</w:t>
      </w:r>
      <w:r w:rsidR="00E27BFF">
        <w:t> </w:t>
      </w:r>
      <w:r>
        <w:t>=</w:t>
      </w:r>
      <w:r w:rsidR="00E27BFF">
        <w:t> </w:t>
      </w:r>
      <w:r>
        <w:t>high level term; max</w:t>
      </w:r>
      <w:r w:rsidR="00E27BFF">
        <w:t> </w:t>
      </w:r>
      <w:r>
        <w:t>=</w:t>
      </w:r>
      <w:r w:rsidR="00E27BFF">
        <w:t> </w:t>
      </w:r>
      <w:r>
        <w:t>maximum value; min</w:t>
      </w:r>
      <w:r w:rsidR="00E27BFF">
        <w:t> </w:t>
      </w:r>
      <w:r>
        <w:t>=</w:t>
      </w:r>
      <w:r w:rsidR="00E27BFF">
        <w:t> </w:t>
      </w:r>
      <w:r>
        <w:t xml:space="preserve">minimum value; </w:t>
      </w:r>
      <w:proofErr w:type="spellStart"/>
      <w:r>
        <w:t>Pbo</w:t>
      </w:r>
      <w:proofErr w:type="spellEnd"/>
      <w:r w:rsidR="00E27BFF">
        <w:t> </w:t>
      </w:r>
      <w:r>
        <w:t>=</w:t>
      </w:r>
      <w:r w:rsidR="00E27BFF">
        <w:t> </w:t>
      </w:r>
      <w:r>
        <w:t>placebo.</w:t>
      </w:r>
    </w:p>
    <w:p w14:paraId="02048D67" w14:textId="0187D2DA" w:rsidR="00714F2A" w:rsidRDefault="00714F2A" w:rsidP="00714F2A">
      <w:pPr>
        <w:pStyle w:val="FigureDescription"/>
      </w:pPr>
      <w:r w:rsidRPr="00714F2A">
        <w:rPr>
          <w:vertAlign w:val="superscript"/>
        </w:rPr>
        <w:t>a</w:t>
      </w:r>
      <w:r>
        <w:t xml:space="preserve"> Composite porphyria attacks are all attacks that require hospitali</w:t>
      </w:r>
      <w:r w:rsidR="00460C94">
        <w:t>s</w:t>
      </w:r>
      <w:r>
        <w:t>ation, urgent healthcare visit, or IV hemin use at home.</w:t>
      </w:r>
    </w:p>
    <w:p w14:paraId="063A608A" w14:textId="77777777" w:rsidR="00B310C1" w:rsidRPr="00B310C1" w:rsidRDefault="00B310C1" w:rsidP="00B310C1">
      <w:pPr>
        <w:pStyle w:val="Heading7"/>
      </w:pPr>
      <w:r w:rsidRPr="00B310C1">
        <w:t>Numbers analysed</w:t>
      </w:r>
    </w:p>
    <w:p w14:paraId="0896468F" w14:textId="0D556EB6" w:rsidR="00B310C1" w:rsidRPr="00B310C1" w:rsidRDefault="00B310C1" w:rsidP="00553327">
      <w:r w:rsidRPr="00300ACC">
        <w:t>Of the 94 AHP patients randomi</w:t>
      </w:r>
      <w:r w:rsidR="00F1783E">
        <w:t>s</w:t>
      </w:r>
      <w:r w:rsidRPr="00300ACC">
        <w:t xml:space="preserve">ed and treated, all were included in the FAS, Safety, PK, PD, and ‘all </w:t>
      </w:r>
      <w:proofErr w:type="spellStart"/>
      <w:r w:rsidRPr="00300ACC">
        <w:t>givosiran</w:t>
      </w:r>
      <w:proofErr w:type="spellEnd"/>
      <w:r w:rsidRPr="00300ACC">
        <w:t>’ treated analysis sets, and all 89 AIP patients randomi</w:t>
      </w:r>
      <w:r w:rsidR="00F1783E">
        <w:t>s</w:t>
      </w:r>
      <w:r w:rsidRPr="00300ACC">
        <w:t>ed and treated were included in the FAS</w:t>
      </w:r>
      <w:r w:rsidRPr="00A07E69">
        <w:rPr>
          <w:vertAlign w:val="subscript"/>
        </w:rPr>
        <w:t>AIP</w:t>
      </w:r>
      <w:r w:rsidRPr="00300ACC">
        <w:t xml:space="preserve"> analysis set. One patient in the placebo group was excluded from the per protocol</w:t>
      </w:r>
      <w:r w:rsidRPr="00B310C1">
        <w:t xml:space="preserve"> </w:t>
      </w:r>
      <w:r w:rsidRPr="00300ACC">
        <w:t>set (PPS) analysis because of the enrolment to the study despite not meeting the inclusion criteria</w:t>
      </w:r>
      <w:r w:rsidRPr="00B310C1">
        <w:t xml:space="preserve"> (patient had 0 attacks in the 6</w:t>
      </w:r>
      <w:r w:rsidR="00FA22C9">
        <w:t> </w:t>
      </w:r>
      <w:r w:rsidRPr="00B310C1">
        <w:t>months prior to the study).</w:t>
      </w:r>
    </w:p>
    <w:p w14:paraId="081D9DCE" w14:textId="61CF95FE" w:rsidR="00B310C1" w:rsidRPr="00B310C1" w:rsidRDefault="00B310C1" w:rsidP="00553327">
      <w:r w:rsidRPr="00EF1298">
        <w:t xml:space="preserve">The primary endpoint was analysed for the Full Analysis Set, which was defined in the </w:t>
      </w:r>
      <w:r w:rsidR="00EF1298" w:rsidRPr="00EF1298">
        <w:t xml:space="preserve">[statistical analysis plan] </w:t>
      </w:r>
      <w:r w:rsidRPr="00EF1298">
        <w:t xml:space="preserve">SAP: 43/43 in the placebo group and 46/46 in the </w:t>
      </w:r>
      <w:proofErr w:type="spellStart"/>
      <w:r w:rsidRPr="00EF1298">
        <w:t>givosiran</w:t>
      </w:r>
      <w:proofErr w:type="spellEnd"/>
      <w:r w:rsidRPr="00EF1298">
        <w:t xml:space="preserve"> group.</w:t>
      </w:r>
    </w:p>
    <w:p w14:paraId="733BA574" w14:textId="77777777" w:rsidR="00B310C1" w:rsidRPr="00B310C1" w:rsidRDefault="00B310C1" w:rsidP="00E87983">
      <w:pPr>
        <w:pStyle w:val="Heading7"/>
      </w:pPr>
      <w:r w:rsidRPr="00B310C1">
        <w:lastRenderedPageBreak/>
        <w:t>Outcomes and estimation</w:t>
      </w:r>
    </w:p>
    <w:p w14:paraId="5247403A" w14:textId="77777777" w:rsidR="00B310C1" w:rsidRPr="00B310C1" w:rsidRDefault="00B310C1" w:rsidP="00E87983">
      <w:pPr>
        <w:pStyle w:val="Heading8"/>
      </w:pPr>
      <w:r w:rsidRPr="00B310C1">
        <w:t>Primary endpoint</w:t>
      </w:r>
    </w:p>
    <w:p w14:paraId="1277CDC2" w14:textId="0C431C67" w:rsidR="00B310C1" w:rsidRPr="00B310C1" w:rsidRDefault="00B310C1" w:rsidP="00E87983">
      <w:pPr>
        <w:pStyle w:val="Heading9"/>
      </w:pPr>
      <w:r w:rsidRPr="00B310C1">
        <w:t>Annuali</w:t>
      </w:r>
      <w:r w:rsidR="00210F69">
        <w:t>s</w:t>
      </w:r>
      <w:r w:rsidRPr="00B310C1">
        <w:t>ed Rate of Porphyria Attack Composite Endpoint</w:t>
      </w:r>
    </w:p>
    <w:p w14:paraId="191D5968" w14:textId="2184FCA2" w:rsidR="00B310C1" w:rsidRPr="00B310C1" w:rsidRDefault="00B310C1" w:rsidP="00553327">
      <w:r w:rsidRPr="00B310C1">
        <w:t>Pivotal Study 003 met its primary endpoint, demonstrating that 2.5</w:t>
      </w:r>
      <w:r w:rsidR="00756DFD">
        <w:t> </w:t>
      </w:r>
      <w:r w:rsidRPr="00B310C1">
        <w:t xml:space="preserve">mg/kg once monthly </w:t>
      </w:r>
      <w:proofErr w:type="spellStart"/>
      <w:r w:rsidRPr="00B310C1">
        <w:t>givosiran</w:t>
      </w:r>
      <w:proofErr w:type="spellEnd"/>
      <w:r w:rsidRPr="00B310C1">
        <w:t xml:space="preserve"> treatment led to statistically significant and clinically meaningful reduction of 74% in the AAR of composite attacks compared to placebo in AIP patients (rate ratio</w:t>
      </w:r>
      <w:r w:rsidR="00756DFD">
        <w:t> </w:t>
      </w:r>
      <w:r w:rsidRPr="00B310C1">
        <w:t>=</w:t>
      </w:r>
      <w:r w:rsidR="00756DFD">
        <w:t> </w:t>
      </w:r>
      <w:r w:rsidRPr="00B310C1">
        <w:t>0.26, p</w:t>
      </w:r>
      <w:r w:rsidR="00756DFD">
        <w:t> </w:t>
      </w:r>
      <w:r w:rsidRPr="00B310C1">
        <w:t>&lt;</w:t>
      </w:r>
      <w:r w:rsidR="00756DFD">
        <w:t> </w:t>
      </w:r>
      <w:r w:rsidRPr="00B310C1">
        <w:t xml:space="preserve">0.0001). The results of all sensitivity analyses were consistent with the primary analysis. The proportion of attacks with median pain score &gt;7 was lower for </w:t>
      </w:r>
      <w:proofErr w:type="spellStart"/>
      <w:r w:rsidRPr="00B310C1">
        <w:t>givosiran</w:t>
      </w:r>
      <w:proofErr w:type="spellEnd"/>
      <w:r w:rsidRPr="00B310C1">
        <w:t xml:space="preserve"> patients (21.1%) compared to placebo patients (32.0%).</w:t>
      </w:r>
    </w:p>
    <w:p w14:paraId="56A8063B" w14:textId="444E11A1" w:rsidR="00BF5432" w:rsidRPr="00BF5432" w:rsidRDefault="00FE17B4" w:rsidP="006E3503">
      <w:pPr>
        <w:pStyle w:val="FigureTitle"/>
        <w:keepNext/>
      </w:pPr>
      <w:r w:rsidRPr="00BF5432">
        <w:t xml:space="preserve">Figure </w:t>
      </w:r>
      <w:fldSimple w:instr=" SEQ Figure \* ARABIC ">
        <w:r w:rsidR="007C529A">
          <w:rPr>
            <w:noProof/>
          </w:rPr>
          <w:t>3</w:t>
        </w:r>
      </w:fldSimple>
      <w:r w:rsidRPr="00BF5432">
        <w:t xml:space="preserve">: </w:t>
      </w:r>
      <w:r w:rsidR="00BF5432" w:rsidRPr="00BF5432">
        <w:t>Study ALN-AS1-003 Average number of attacks per patient per month during the double</w:t>
      </w:r>
      <w:r w:rsidR="00ED332F">
        <w:t>-</w:t>
      </w:r>
      <w:r w:rsidR="00BF5432" w:rsidRPr="00BF5432">
        <w:t>blin</w:t>
      </w:r>
      <w:r w:rsidR="00BF5432">
        <w:t>d</w:t>
      </w:r>
      <w:r w:rsidR="00BF5432" w:rsidRPr="00BF5432">
        <w:t xml:space="preserve"> and open label extension periods; </w:t>
      </w:r>
      <w:r w:rsidR="006E3503">
        <w:t>p</w:t>
      </w:r>
      <w:r w:rsidR="00BF5432" w:rsidRPr="00BF5432">
        <w:t xml:space="preserve">orphyria </w:t>
      </w:r>
      <w:r w:rsidR="006E3503">
        <w:t>a</w:t>
      </w:r>
      <w:r w:rsidR="00BF5432" w:rsidRPr="00BF5432">
        <w:t xml:space="preserve">ttack </w:t>
      </w:r>
      <w:r w:rsidR="006E3503">
        <w:t>c</w:t>
      </w:r>
      <w:r w:rsidR="00BF5432" w:rsidRPr="00BF5432">
        <w:t xml:space="preserve">omposite </w:t>
      </w:r>
      <w:r w:rsidR="006E3503">
        <w:t>e</w:t>
      </w:r>
      <w:r w:rsidR="00BF5432" w:rsidRPr="00BF5432">
        <w:t>ndpoint in AHP patients (</w:t>
      </w:r>
      <w:r w:rsidR="006E3503">
        <w:t>full analysis set</w:t>
      </w:r>
      <w:r w:rsidR="00BF5432" w:rsidRPr="00BF5432">
        <w:t>)</w:t>
      </w:r>
    </w:p>
    <w:p w14:paraId="58AB072F" w14:textId="0570CA26" w:rsidR="00B25F22" w:rsidRDefault="00222A4A" w:rsidP="00077D39">
      <w:r>
        <w:rPr>
          <w:noProof/>
        </w:rPr>
        <w:drawing>
          <wp:inline distT="0" distB="0" distL="0" distR="0" wp14:anchorId="5307B632" wp14:editId="5DA902E2">
            <wp:extent cx="5759450" cy="3328670"/>
            <wp:effectExtent l="0" t="0" r="0" b="5080"/>
            <wp:docPr id="8" name="Picture 8" descr="Graph. X axis shows double-blind period (0-6months) and open label extension (6-12 months). Y axis is average number of attacks per patient per month. Abbreviations and notes under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X axis shows double-blind period (0-6months) and open label extension (6-12 months). Y axis is average number of attacks per patient per month. Abbreviations and notes under the graph."/>
                    <pic:cNvPicPr/>
                  </pic:nvPicPr>
                  <pic:blipFill>
                    <a:blip r:embed="rId26"/>
                    <a:stretch>
                      <a:fillRect/>
                    </a:stretch>
                  </pic:blipFill>
                  <pic:spPr>
                    <a:xfrm>
                      <a:off x="0" y="0"/>
                      <a:ext cx="5759450" cy="3328670"/>
                    </a:xfrm>
                    <a:prstGeom prst="rect">
                      <a:avLst/>
                    </a:prstGeom>
                  </pic:spPr>
                </pic:pic>
              </a:graphicData>
            </a:graphic>
          </wp:inline>
        </w:drawing>
      </w:r>
    </w:p>
    <w:p w14:paraId="3B01D8B0" w14:textId="35FEF475" w:rsidR="00292139" w:rsidRPr="00292139" w:rsidRDefault="00292139" w:rsidP="00553327">
      <w:r w:rsidRPr="00292139">
        <w:t xml:space="preserve">The effect of </w:t>
      </w:r>
      <w:proofErr w:type="spellStart"/>
      <w:r w:rsidRPr="00292139">
        <w:t>givosiran</w:t>
      </w:r>
      <w:proofErr w:type="spellEnd"/>
      <w:r w:rsidRPr="00292139">
        <w:t xml:space="preserve"> was sustained in the OLE study: the composite AAR remained reduced for patients </w:t>
      </w:r>
      <w:proofErr w:type="gramStart"/>
      <w:r w:rsidRPr="00292139">
        <w:t>continuing on</w:t>
      </w:r>
      <w:proofErr w:type="gramEnd"/>
      <w:r w:rsidRPr="00292139">
        <w:t xml:space="preserve"> </w:t>
      </w:r>
      <w:proofErr w:type="spellStart"/>
      <w:r w:rsidRPr="00292139">
        <w:t>givosiran</w:t>
      </w:r>
      <w:proofErr w:type="spellEnd"/>
      <w:r w:rsidRPr="00292139">
        <w:t xml:space="preserve"> treatment and got reduced for patients switching from placebo to </w:t>
      </w:r>
      <w:proofErr w:type="spellStart"/>
      <w:r w:rsidRPr="00292139">
        <w:t>givosiran</w:t>
      </w:r>
      <w:proofErr w:type="spellEnd"/>
      <w:r w:rsidRPr="00292139">
        <w:t>. Specifically, placebo patients crossing to the 2.5</w:t>
      </w:r>
      <w:r w:rsidR="00E01BE1">
        <w:t> </w:t>
      </w:r>
      <w:r w:rsidRPr="00292139">
        <w:t xml:space="preserve">mg/kg QM </w:t>
      </w:r>
      <w:proofErr w:type="spellStart"/>
      <w:r w:rsidRPr="00292139">
        <w:t>givosiran</w:t>
      </w:r>
      <w:proofErr w:type="spellEnd"/>
      <w:r w:rsidRPr="00292139">
        <w:t xml:space="preserve"> dose during the OLE period demonstrated a trend towards a larger reduction in composite AAR: 88% reduction in AAR for placebo patients who crossed over to the 2.5</w:t>
      </w:r>
      <w:r w:rsidR="00237388">
        <w:t> </w:t>
      </w:r>
      <w:r w:rsidRPr="00292139">
        <w:t xml:space="preserve">mg/kg QM </w:t>
      </w:r>
      <w:proofErr w:type="spellStart"/>
      <w:r w:rsidRPr="00292139">
        <w:t>givosiran</w:t>
      </w:r>
      <w:proofErr w:type="spellEnd"/>
      <w:r w:rsidRPr="00292139">
        <w:t xml:space="preserve"> dose in the OLE and 76% reduction for placebo patients crossing over to the 1.25</w:t>
      </w:r>
      <w:r w:rsidR="00237388">
        <w:t> </w:t>
      </w:r>
      <w:r w:rsidRPr="00292139">
        <w:t xml:space="preserve">mg/kg QM dose group through Month 12 based on </w:t>
      </w:r>
      <w:proofErr w:type="spellStart"/>
      <w:r w:rsidRPr="00292139">
        <w:t>intrapatient</w:t>
      </w:r>
      <w:proofErr w:type="spellEnd"/>
      <w:r w:rsidRPr="00292139">
        <w:t xml:space="preserve"> comparisons. </w:t>
      </w:r>
      <w:proofErr w:type="gramStart"/>
      <w:r w:rsidRPr="00292139">
        <w:t>So</w:t>
      </w:r>
      <w:proofErr w:type="gramEnd"/>
      <w:r w:rsidRPr="00292139">
        <w:t xml:space="preserve"> a larger reduction in attack rate was seen in placebo patients crossing over to the 2.5</w:t>
      </w:r>
      <w:r w:rsidR="00237388">
        <w:t> </w:t>
      </w:r>
      <w:r w:rsidRPr="00292139">
        <w:t>mg/kg QM dose group. This group had more than twice the total number of attacks while on placebo treatment (206</w:t>
      </w:r>
      <w:r w:rsidR="00F641CD">
        <w:t> </w:t>
      </w:r>
      <w:r w:rsidRPr="00292139">
        <w:t>attacks) compared to the number of attacks during placebo treatment for patients who crossed over to the 1.25</w:t>
      </w:r>
      <w:r w:rsidR="00F641CD">
        <w:t> </w:t>
      </w:r>
      <w:r w:rsidRPr="00292139">
        <w:t>mg/kg QM dose group (91 attacks).</w:t>
      </w:r>
    </w:p>
    <w:p w14:paraId="50E2B67F" w14:textId="77777777" w:rsidR="00292139" w:rsidRPr="00292139" w:rsidRDefault="00292139" w:rsidP="00E87983">
      <w:pPr>
        <w:pStyle w:val="Heading8"/>
      </w:pPr>
      <w:r w:rsidRPr="00292139">
        <w:t>Secondary endpoints</w:t>
      </w:r>
    </w:p>
    <w:p w14:paraId="248008D2" w14:textId="77777777" w:rsidR="00292139" w:rsidRPr="00292139" w:rsidRDefault="00292139" w:rsidP="00E87983">
      <w:pPr>
        <w:pStyle w:val="Heading9"/>
      </w:pPr>
      <w:r w:rsidRPr="00292139">
        <w:t>Urinary ALA and PBG Levels</w:t>
      </w:r>
    </w:p>
    <w:p w14:paraId="5EDF1C3B" w14:textId="10F4EC59" w:rsidR="00292139" w:rsidRPr="00292139" w:rsidRDefault="00292139" w:rsidP="00553327">
      <w:r w:rsidRPr="00292139">
        <w:t>Givosiran produced a substantial decrease in these toxic metabolites in both DB and OLE period: the median reduction for ALA was 86 and 84% in the DB and OLE period respectively and the median reduction for PBG was 91 and 78% in the DB and OLE period respectively. Similar results were seen in the overall AHP population. The 1.25</w:t>
      </w:r>
      <w:r w:rsidR="00840E10">
        <w:t> </w:t>
      </w:r>
      <w:r w:rsidRPr="00292139">
        <w:t xml:space="preserve">mg/kg </w:t>
      </w:r>
      <w:proofErr w:type="spellStart"/>
      <w:r w:rsidRPr="00292139">
        <w:t>givosiran</w:t>
      </w:r>
      <w:proofErr w:type="spellEnd"/>
      <w:r w:rsidRPr="00292139">
        <w:t xml:space="preserve"> dose was shown to produce somewhat lesser reduction in ALA and PBG compared to the 2.5</w:t>
      </w:r>
      <w:r w:rsidR="006B56AC">
        <w:t> </w:t>
      </w:r>
      <w:r w:rsidRPr="00292139">
        <w:t>mg/kg dose.</w:t>
      </w:r>
    </w:p>
    <w:p w14:paraId="304AE943" w14:textId="77777777" w:rsidR="00292139" w:rsidRPr="00292139" w:rsidRDefault="00292139" w:rsidP="00E87983">
      <w:pPr>
        <w:pStyle w:val="Heading9"/>
      </w:pPr>
      <w:r w:rsidRPr="00292139">
        <w:lastRenderedPageBreak/>
        <w:t>Hemin Use</w:t>
      </w:r>
    </w:p>
    <w:p w14:paraId="44E38369" w14:textId="1F1BBC85" w:rsidR="00292139" w:rsidRPr="00292139" w:rsidRDefault="00292139" w:rsidP="00553327">
      <w:r w:rsidRPr="00292139">
        <w:t>Givosiran treatment led to a similar decrease in hemin use: 77% decrease in annuali</w:t>
      </w:r>
      <w:r w:rsidR="00F1783E">
        <w:t>s</w:t>
      </w:r>
      <w:r w:rsidRPr="00292139">
        <w:t>ed days of hemin use with around 50% of patients having no need to use hemin at all. In the placebo group, 23.3% of patients had 0</w:t>
      </w:r>
      <w:r w:rsidR="006B56AC">
        <w:t> </w:t>
      </w:r>
      <w:r w:rsidRPr="00292139">
        <w:t xml:space="preserve">days of hemin use. Continued treatment with </w:t>
      </w:r>
      <w:proofErr w:type="spellStart"/>
      <w:r w:rsidRPr="00292139">
        <w:t>givosiran</w:t>
      </w:r>
      <w:proofErr w:type="spellEnd"/>
      <w:r w:rsidRPr="00292139">
        <w:t xml:space="preserve"> in the 6</w:t>
      </w:r>
      <w:r w:rsidR="006B56AC">
        <w:noBreakHyphen/>
      </w:r>
      <w:r w:rsidRPr="00292139">
        <w:t>month DB and OLE</w:t>
      </w:r>
      <w:r w:rsidR="00DF5193">
        <w:t xml:space="preserve"> </w:t>
      </w:r>
      <w:r w:rsidRPr="00292139">
        <w:t>period (</w:t>
      </w:r>
      <w:proofErr w:type="spellStart"/>
      <w:r w:rsidRPr="00292139">
        <w:t>givosiran</w:t>
      </w:r>
      <w:proofErr w:type="spellEnd"/>
      <w:r w:rsidRPr="00292139">
        <w:t>/</w:t>
      </w:r>
      <w:proofErr w:type="spellStart"/>
      <w:r w:rsidRPr="00292139">
        <w:t>givosiran</w:t>
      </w:r>
      <w:proofErr w:type="spellEnd"/>
      <w:r w:rsidRPr="00292139">
        <w:t xml:space="preserve"> patients) led to a maintenance of the effect observed in the 6</w:t>
      </w:r>
      <w:r w:rsidR="00DF5193">
        <w:noBreakHyphen/>
      </w:r>
      <w:r w:rsidRPr="00292139">
        <w:t>month DB period. Placebo group patients who crossed over to the 2.5</w:t>
      </w:r>
      <w:r w:rsidR="00DF5193">
        <w:t> </w:t>
      </w:r>
      <w:r w:rsidRPr="00292139">
        <w:t xml:space="preserve">mg/kg QM </w:t>
      </w:r>
      <w:proofErr w:type="spellStart"/>
      <w:r w:rsidRPr="00292139">
        <w:t>givosiran</w:t>
      </w:r>
      <w:proofErr w:type="spellEnd"/>
      <w:r w:rsidRPr="00292139">
        <w:t xml:space="preserve"> dose in the OLE had a greater reduction in hemin use (&gt;99% reduction), compared with the 1.25</w:t>
      </w:r>
      <w:r w:rsidR="00DF5193">
        <w:t> </w:t>
      </w:r>
      <w:r w:rsidRPr="00292139">
        <w:t>mg/kg QM dose (54%) through Month</w:t>
      </w:r>
      <w:r w:rsidR="00DF5193">
        <w:t> </w:t>
      </w:r>
      <w:r w:rsidRPr="00292139">
        <w:t>12, based on intra</w:t>
      </w:r>
      <w:r w:rsidR="00DF5193">
        <w:noBreakHyphen/>
      </w:r>
      <w:r w:rsidRPr="00292139">
        <w:t>patient comparisons.</w:t>
      </w:r>
    </w:p>
    <w:p w14:paraId="67352557" w14:textId="77777777" w:rsidR="00292139" w:rsidRPr="00292139" w:rsidRDefault="00292139" w:rsidP="00E87983">
      <w:pPr>
        <w:pStyle w:val="Heading9"/>
      </w:pPr>
      <w:r w:rsidRPr="00292139">
        <w:t>Pain Numerical Rating Score</w:t>
      </w:r>
    </w:p>
    <w:p w14:paraId="7CE65E68" w14:textId="061BF7E9" w:rsidR="00292139" w:rsidRPr="00292139" w:rsidRDefault="00292139" w:rsidP="00553327">
      <w:r w:rsidRPr="00292139">
        <w:t xml:space="preserve">The study was not enriched for the baseline levels of pain. Therefore, the patients enrolled had mostly mild to moderate pain levels (with patients in the </w:t>
      </w:r>
      <w:proofErr w:type="spellStart"/>
      <w:r w:rsidRPr="00292139">
        <w:t>givosiran</w:t>
      </w:r>
      <w:proofErr w:type="spellEnd"/>
      <w:r w:rsidRPr="00292139">
        <w:t xml:space="preserve"> group having a somewhat lower score at baseline). Givosiran was shown to significantly reduce the pain levels and the treatment separation was greater for the patients with a baseline pain score </w:t>
      </w:r>
      <w:r w:rsidR="003E49D2">
        <w:t>≥</w:t>
      </w:r>
      <w:r w:rsidRPr="00292139">
        <w:t xml:space="preserve"> 2, with no difference between treatments for patients with a baseline pain level &lt;2.</w:t>
      </w:r>
    </w:p>
    <w:p w14:paraId="2CC0B9E3" w14:textId="18C656C6" w:rsidR="00292139" w:rsidRPr="00292139" w:rsidRDefault="00292139" w:rsidP="00553327">
      <w:r w:rsidRPr="00856996">
        <w:t xml:space="preserve">The treatment with </w:t>
      </w:r>
      <w:proofErr w:type="spellStart"/>
      <w:r w:rsidRPr="00856996">
        <w:t>givosiran</w:t>
      </w:r>
      <w:proofErr w:type="spellEnd"/>
      <w:r w:rsidRPr="00856996">
        <w:t xml:space="preserve"> led to a statistically significant difference in the AUC of change from</w:t>
      </w:r>
      <w:r w:rsidRPr="00292139">
        <w:t xml:space="preserve"> baseline in weekly mean score of daily worst pain and average change from baseline in weekly mean score in AIP patients compared with placebo (p</w:t>
      </w:r>
      <w:r w:rsidR="00D031D1">
        <w:t> </w:t>
      </w:r>
      <w:r w:rsidRPr="00292139">
        <w:t>=</w:t>
      </w:r>
      <w:r w:rsidR="00D031D1">
        <w:t> </w:t>
      </w:r>
      <w:r w:rsidRPr="00292139">
        <w:t>0.0455 and 0.0493 respectively as per post</w:t>
      </w:r>
      <w:r w:rsidR="00D031D1">
        <w:noBreakHyphen/>
      </w:r>
      <w:r w:rsidRPr="00292139">
        <w:t>hoc Wilcoxon analysis). The absolute difference change in the median pain score between the groups was 0.45.</w:t>
      </w:r>
    </w:p>
    <w:p w14:paraId="78A807E9" w14:textId="18E32866" w:rsidR="00292139" w:rsidRPr="00292139" w:rsidRDefault="00292139" w:rsidP="00553327">
      <w:r w:rsidRPr="00292139">
        <w:t>Patients in the placebo/</w:t>
      </w:r>
      <w:proofErr w:type="spellStart"/>
      <w:r w:rsidRPr="00292139">
        <w:t>givosiran</w:t>
      </w:r>
      <w:proofErr w:type="spellEnd"/>
      <w:r w:rsidRPr="00292139">
        <w:t xml:space="preserve"> group had a median weekly mean pain score of daily worst pain of 3.50 at baseline. Following 6</w:t>
      </w:r>
      <w:r w:rsidR="00926655">
        <w:t> </w:t>
      </w:r>
      <w:r w:rsidRPr="00292139">
        <w:t>months of placebo treatment, the median score increased by 0.1 of a point. At Month</w:t>
      </w:r>
      <w:r w:rsidR="00926655">
        <w:t> </w:t>
      </w:r>
      <w:r w:rsidRPr="00292139">
        <w:t>12 (after 6</w:t>
      </w:r>
      <w:r w:rsidR="00926655">
        <w:t> </w:t>
      </w:r>
      <w:r w:rsidRPr="00292139">
        <w:t xml:space="preserve">months of </w:t>
      </w:r>
      <w:proofErr w:type="spellStart"/>
      <w:r w:rsidRPr="00292139">
        <w:t>givosiran</w:t>
      </w:r>
      <w:proofErr w:type="spellEnd"/>
      <w:r w:rsidRPr="00292139">
        <w:t xml:space="preserve"> treatment), the median score dropped by 0.54 points, </w:t>
      </w:r>
      <w:proofErr w:type="gramStart"/>
      <w:r w:rsidRPr="00292139">
        <w:t>similar to</w:t>
      </w:r>
      <w:proofErr w:type="gramEnd"/>
      <w:r w:rsidRPr="00292139">
        <w:t xml:space="preserve"> the decrease in pain seen in patients who received </w:t>
      </w:r>
      <w:proofErr w:type="spellStart"/>
      <w:r w:rsidRPr="00292139">
        <w:t>givosiran</w:t>
      </w:r>
      <w:proofErr w:type="spellEnd"/>
      <w:r w:rsidRPr="00292139">
        <w:t xml:space="preserve"> initially in the 6</w:t>
      </w:r>
      <w:r w:rsidR="00B128AA">
        <w:noBreakHyphen/>
      </w:r>
      <w:r w:rsidRPr="00292139">
        <w:t>month DB period.</w:t>
      </w:r>
    </w:p>
    <w:p w14:paraId="61447CAA" w14:textId="332E803A" w:rsidR="00292139" w:rsidRPr="00292139" w:rsidRDefault="00292139" w:rsidP="00553327">
      <w:r w:rsidRPr="00292139">
        <w:t xml:space="preserve">The decreases in pain with </w:t>
      </w:r>
      <w:proofErr w:type="spellStart"/>
      <w:r w:rsidRPr="00292139">
        <w:t>givosiran</w:t>
      </w:r>
      <w:proofErr w:type="spellEnd"/>
      <w:r w:rsidRPr="00292139">
        <w:t xml:space="preserve"> treatment were also reported in the context of lower analgesic use (opioid and non</w:t>
      </w:r>
      <w:r w:rsidR="00B128AA">
        <w:noBreakHyphen/>
      </w:r>
      <w:r w:rsidRPr="00292139">
        <w:t>opioid) during and between attacks.</w:t>
      </w:r>
    </w:p>
    <w:p w14:paraId="1B6F6BE3" w14:textId="77777777" w:rsidR="00292139" w:rsidRPr="00292139" w:rsidRDefault="00292139" w:rsidP="00E87983">
      <w:pPr>
        <w:pStyle w:val="Heading9"/>
      </w:pPr>
      <w:r w:rsidRPr="00292139">
        <w:t>Fatigue and Nausea Numerical Rating Score</w:t>
      </w:r>
    </w:p>
    <w:p w14:paraId="1C8AAD0C" w14:textId="7A0264F5" w:rsidR="00292139" w:rsidRPr="00292139" w:rsidRDefault="00292139" w:rsidP="00553327">
      <w:r w:rsidRPr="00292139">
        <w:t>Givosiran treatment did not result in a significant change in the daily worst fatigue and daily worst nausea score.</w:t>
      </w:r>
    </w:p>
    <w:p w14:paraId="0F1D6713" w14:textId="647B3A9A" w:rsidR="00292139" w:rsidRPr="00292139" w:rsidRDefault="00292139" w:rsidP="00E87983">
      <w:pPr>
        <w:pStyle w:val="Heading9"/>
      </w:pPr>
      <w:r w:rsidRPr="00292139">
        <w:t>PCS of SF</w:t>
      </w:r>
      <w:r w:rsidR="0081188A">
        <w:noBreakHyphen/>
      </w:r>
      <w:r w:rsidRPr="00292139">
        <w:t>12</w:t>
      </w:r>
    </w:p>
    <w:p w14:paraId="760802D7" w14:textId="48E7F780" w:rsidR="00292139" w:rsidRPr="00292139" w:rsidRDefault="00292139" w:rsidP="00553327">
      <w:r w:rsidRPr="00292139">
        <w:t xml:space="preserve">PCS score of SF-12 was shown to be significantly improved in patients on </w:t>
      </w:r>
      <w:proofErr w:type="spellStart"/>
      <w:r w:rsidRPr="00292139">
        <w:t>givosiran</w:t>
      </w:r>
      <w:proofErr w:type="spellEnd"/>
      <w:r w:rsidRPr="00292139">
        <w:t xml:space="preserve"> treatment. Placebo crossover patients had similar improvements in PCS scores in the SF</w:t>
      </w:r>
      <w:r w:rsidR="0081188A">
        <w:noBreakHyphen/>
      </w:r>
      <w:r w:rsidRPr="00292139">
        <w:t>12 domain after 6</w:t>
      </w:r>
      <w:r w:rsidR="0081188A">
        <w:t> </w:t>
      </w:r>
      <w:r w:rsidRPr="00292139">
        <w:t xml:space="preserve">months of </w:t>
      </w:r>
      <w:proofErr w:type="spellStart"/>
      <w:r w:rsidRPr="00292139">
        <w:t>givosiran</w:t>
      </w:r>
      <w:proofErr w:type="spellEnd"/>
      <w:r w:rsidRPr="00292139">
        <w:t xml:space="preserve"> treatment in the OLE period as patients in the </w:t>
      </w:r>
      <w:proofErr w:type="spellStart"/>
      <w:r w:rsidRPr="00292139">
        <w:t>givosiran</w:t>
      </w:r>
      <w:proofErr w:type="spellEnd"/>
      <w:r w:rsidRPr="00292139">
        <w:t xml:space="preserve"> group had after 6</w:t>
      </w:r>
      <w:r w:rsidR="0081188A">
        <w:t> </w:t>
      </w:r>
      <w:r w:rsidRPr="00292139">
        <w:t xml:space="preserve">months in the DB period. Patients on </w:t>
      </w:r>
      <w:proofErr w:type="spellStart"/>
      <w:r w:rsidRPr="00292139">
        <w:t>givosiran</w:t>
      </w:r>
      <w:proofErr w:type="spellEnd"/>
      <w:r w:rsidRPr="00292139">
        <w:t xml:space="preserve"> 2.5</w:t>
      </w:r>
      <w:r w:rsidR="0081188A">
        <w:t> </w:t>
      </w:r>
      <w:r w:rsidRPr="00292139">
        <w:t>mg/kg QM treatment continuously through the Month</w:t>
      </w:r>
      <w:r w:rsidR="00A74C87">
        <w:t> </w:t>
      </w:r>
      <w:r w:rsidRPr="00292139">
        <w:t>12 data</w:t>
      </w:r>
      <w:r w:rsidR="00A74C87">
        <w:noBreakHyphen/>
      </w:r>
      <w:r w:rsidRPr="00292139">
        <w:t>cut, demonstrated maintenance of improvement in PCS score in the SF</w:t>
      </w:r>
      <w:r w:rsidR="00A74C87">
        <w:noBreakHyphen/>
      </w:r>
      <w:r w:rsidRPr="00292139">
        <w:t>12 domain at Month</w:t>
      </w:r>
      <w:r w:rsidR="00A74C87">
        <w:t> </w:t>
      </w:r>
      <w:r w:rsidRPr="00292139">
        <w:t>12.</w:t>
      </w:r>
    </w:p>
    <w:p w14:paraId="73D3FA74" w14:textId="77777777" w:rsidR="000C7F19" w:rsidRPr="000C7F19" w:rsidRDefault="000C7F19" w:rsidP="00E87983">
      <w:pPr>
        <w:pStyle w:val="Heading6"/>
      </w:pPr>
      <w:r w:rsidRPr="000C7F19">
        <w:lastRenderedPageBreak/>
        <w:t>Summary of main efficacy results</w:t>
      </w:r>
    </w:p>
    <w:p w14:paraId="3A81C1E4" w14:textId="31D68F13" w:rsidR="000C1BFE" w:rsidRPr="000C7F19" w:rsidRDefault="000C1BFE" w:rsidP="00F16AF5">
      <w:pPr>
        <w:pStyle w:val="TableTitle"/>
        <w:rPr>
          <w:sz w:val="20"/>
        </w:rPr>
      </w:pPr>
      <w:r>
        <w:t xml:space="preserve">Table </w:t>
      </w:r>
      <w:fldSimple w:instr=" SEQ Table \* ARABIC ">
        <w:r w:rsidR="007C529A">
          <w:rPr>
            <w:noProof/>
          </w:rPr>
          <w:t>6</w:t>
        </w:r>
      </w:fldSimple>
      <w:r>
        <w:t>: Study ALN-AS1-003 Summary of efficacy</w:t>
      </w:r>
    </w:p>
    <w:p w14:paraId="7A10688D" w14:textId="6ED38842" w:rsidR="00077D39" w:rsidRDefault="00092291" w:rsidP="00077D39">
      <w:pPr>
        <w:rPr>
          <w:sz w:val="20"/>
        </w:rPr>
      </w:pPr>
      <w:r>
        <w:rPr>
          <w:noProof/>
        </w:rPr>
        <w:drawing>
          <wp:inline distT="0" distB="0" distL="0" distR="0" wp14:anchorId="0C37CDAF" wp14:editId="13ED8EA5">
            <wp:extent cx="4951562" cy="6465830"/>
            <wp:effectExtent l="0" t="0" r="1905" b="0"/>
            <wp:docPr id="9" name="Picture 9" descr="First panel of multipanel and multipage summary o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rst panel of multipanel and multipage summary of efficacy."/>
                    <pic:cNvPicPr/>
                  </pic:nvPicPr>
                  <pic:blipFill>
                    <a:blip r:embed="rId27"/>
                    <a:stretch>
                      <a:fillRect/>
                    </a:stretch>
                  </pic:blipFill>
                  <pic:spPr>
                    <a:xfrm>
                      <a:off x="0" y="0"/>
                      <a:ext cx="4962578" cy="6480215"/>
                    </a:xfrm>
                    <a:prstGeom prst="rect">
                      <a:avLst/>
                    </a:prstGeom>
                  </pic:spPr>
                </pic:pic>
              </a:graphicData>
            </a:graphic>
          </wp:inline>
        </w:drawing>
      </w:r>
      <w:r w:rsidR="00077D39">
        <w:rPr>
          <w:noProof/>
        </w:rPr>
        <w:drawing>
          <wp:inline distT="0" distB="0" distL="0" distR="0" wp14:anchorId="441F3661" wp14:editId="02B3F367">
            <wp:extent cx="4951095" cy="1749444"/>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6427" cy="1758395"/>
                    </a:xfrm>
                    <a:prstGeom prst="rect">
                      <a:avLst/>
                    </a:prstGeom>
                  </pic:spPr>
                </pic:pic>
              </a:graphicData>
            </a:graphic>
          </wp:inline>
        </w:drawing>
      </w:r>
    </w:p>
    <w:p w14:paraId="4D85E81A" w14:textId="5925121F" w:rsidR="00A8195E" w:rsidRDefault="00A8195E" w:rsidP="00714F2A">
      <w:pPr>
        <w:pStyle w:val="FigureDescription"/>
        <w:rPr>
          <w:noProof/>
        </w:rPr>
      </w:pPr>
    </w:p>
    <w:p w14:paraId="535A7FBD" w14:textId="2BD02641" w:rsidR="00077D39" w:rsidRDefault="00077D39" w:rsidP="00714F2A">
      <w:pPr>
        <w:pStyle w:val="FigureDescription"/>
        <w:rPr>
          <w:sz w:val="20"/>
        </w:rPr>
      </w:pPr>
      <w:r>
        <w:rPr>
          <w:noProof/>
        </w:rPr>
        <w:lastRenderedPageBreak/>
        <w:drawing>
          <wp:inline distT="0" distB="0" distL="0" distR="0" wp14:anchorId="6B584634" wp14:editId="3B115E04">
            <wp:extent cx="5759450" cy="5336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5336540"/>
                    </a:xfrm>
                    <a:prstGeom prst="rect">
                      <a:avLst/>
                    </a:prstGeom>
                  </pic:spPr>
                </pic:pic>
              </a:graphicData>
            </a:graphic>
          </wp:inline>
        </w:drawing>
      </w:r>
    </w:p>
    <w:p w14:paraId="2D9E8207" w14:textId="13BBF987" w:rsidR="002E0EF8" w:rsidRDefault="002E0EF8" w:rsidP="00714F2A">
      <w:pPr>
        <w:pStyle w:val="FigureDescription"/>
        <w:rPr>
          <w:sz w:val="20"/>
        </w:rPr>
      </w:pPr>
      <w:r>
        <w:rPr>
          <w:noProof/>
        </w:rPr>
        <w:lastRenderedPageBreak/>
        <w:drawing>
          <wp:inline distT="0" distB="0" distL="0" distR="0" wp14:anchorId="2D606265" wp14:editId="1824A1CE">
            <wp:extent cx="5381625" cy="6924675"/>
            <wp:effectExtent l="0" t="0" r="9525" b="9525"/>
            <wp:docPr id="14" name="Picture 14" descr="Third panel of multipanel and multipage summary of efficacy.e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rd panel of multipanel and multipage summary of efficacy.ee above"/>
                    <pic:cNvPicPr/>
                  </pic:nvPicPr>
                  <pic:blipFill>
                    <a:blip r:embed="rId30"/>
                    <a:stretch>
                      <a:fillRect/>
                    </a:stretch>
                  </pic:blipFill>
                  <pic:spPr>
                    <a:xfrm>
                      <a:off x="0" y="0"/>
                      <a:ext cx="5381625" cy="6924675"/>
                    </a:xfrm>
                    <a:prstGeom prst="rect">
                      <a:avLst/>
                    </a:prstGeom>
                  </pic:spPr>
                </pic:pic>
              </a:graphicData>
            </a:graphic>
          </wp:inline>
        </w:drawing>
      </w:r>
    </w:p>
    <w:p w14:paraId="3AB40B79" w14:textId="6D787B87" w:rsidR="00B40412" w:rsidRDefault="00B40412" w:rsidP="00714F2A">
      <w:pPr>
        <w:pStyle w:val="FigureDescription"/>
        <w:rPr>
          <w:sz w:val="20"/>
        </w:rPr>
      </w:pPr>
      <w:r>
        <w:rPr>
          <w:noProof/>
        </w:rPr>
        <w:drawing>
          <wp:inline distT="0" distB="0" distL="0" distR="0" wp14:anchorId="4227E7B3" wp14:editId="3149C0F5">
            <wp:extent cx="5419725" cy="1228725"/>
            <wp:effectExtent l="0" t="0" r="9525" b="9525"/>
            <wp:docPr id="15" name="Picture 15" descr="Se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e above"/>
                    <pic:cNvPicPr/>
                  </pic:nvPicPr>
                  <pic:blipFill>
                    <a:blip r:embed="rId31"/>
                    <a:stretch>
                      <a:fillRect/>
                    </a:stretch>
                  </pic:blipFill>
                  <pic:spPr>
                    <a:xfrm>
                      <a:off x="0" y="0"/>
                      <a:ext cx="5419725" cy="1228725"/>
                    </a:xfrm>
                    <a:prstGeom prst="rect">
                      <a:avLst/>
                    </a:prstGeom>
                  </pic:spPr>
                </pic:pic>
              </a:graphicData>
            </a:graphic>
          </wp:inline>
        </w:drawing>
      </w:r>
    </w:p>
    <w:p w14:paraId="2233D400" w14:textId="62C96CC5" w:rsidR="00190E83" w:rsidRPr="00190E83" w:rsidRDefault="00190E83" w:rsidP="00077D39">
      <w:pPr>
        <w:pStyle w:val="Heading5"/>
        <w:pageBreakBefore/>
      </w:pPr>
      <w:r w:rsidRPr="00190E83">
        <w:lastRenderedPageBreak/>
        <w:t xml:space="preserve">Analysis performed across trials (pooled analyses </w:t>
      </w:r>
      <w:r w:rsidR="00B24201">
        <w:t>and</w:t>
      </w:r>
      <w:r w:rsidRPr="00190E83">
        <w:t xml:space="preserve"> meta-analysis)</w:t>
      </w:r>
    </w:p>
    <w:p w14:paraId="3958D11A" w14:textId="77777777" w:rsidR="00190E83" w:rsidRPr="00190E83" w:rsidRDefault="00190E83" w:rsidP="0014008C">
      <w:r w:rsidRPr="00190E83">
        <w:t>Not applicable</w:t>
      </w:r>
    </w:p>
    <w:p w14:paraId="1F5AA8C4" w14:textId="77777777" w:rsidR="00190E83" w:rsidRPr="00190E83" w:rsidRDefault="00190E83" w:rsidP="00E87983">
      <w:pPr>
        <w:pStyle w:val="Heading5"/>
      </w:pPr>
      <w:r w:rsidRPr="00190E83">
        <w:t>Clinical studies in special populations</w:t>
      </w:r>
    </w:p>
    <w:p w14:paraId="74092444" w14:textId="586E528D" w:rsidR="00190E83" w:rsidRPr="00190E83" w:rsidRDefault="00190E83" w:rsidP="00553327">
      <w:r w:rsidRPr="00190E83">
        <w:t xml:space="preserve">The maximum age of the patients included into the </w:t>
      </w:r>
      <w:proofErr w:type="spellStart"/>
      <w:r w:rsidRPr="00190E83">
        <w:t>givosiran</w:t>
      </w:r>
      <w:proofErr w:type="spellEnd"/>
      <w:r w:rsidRPr="00190E83">
        <w:t xml:space="preserve"> clinical program was 65 (one patient).</w:t>
      </w:r>
    </w:p>
    <w:p w14:paraId="1DC14655" w14:textId="14C8E2A7" w:rsidR="00190E83" w:rsidRPr="00190E83" w:rsidRDefault="00190E83" w:rsidP="00553327">
      <w:r w:rsidRPr="00190E83">
        <w:t xml:space="preserve">The influence of renal or hepatic impairment on </w:t>
      </w:r>
      <w:proofErr w:type="spellStart"/>
      <w:r w:rsidRPr="00190E83">
        <w:t>givosiran</w:t>
      </w:r>
      <w:proofErr w:type="spellEnd"/>
      <w:r w:rsidRPr="00190E83">
        <w:t xml:space="preserve"> PD was assessed across the studies. Only 5 patients with mild hepatic impairment and none with moderate or severe hepatic impairment were included in the study. Also, 25 patients with mild and 10 patients with moderate renal impairment were enrolled. Even though the results are variable due to the low number of patients in every group, the PD response of </w:t>
      </w:r>
      <w:proofErr w:type="spellStart"/>
      <w:r w:rsidRPr="00190E83">
        <w:t>givosiran</w:t>
      </w:r>
      <w:proofErr w:type="spellEnd"/>
      <w:r w:rsidRPr="00190E83">
        <w:t xml:space="preserve"> does not seem to be affected. The only 3 patients who were categori</w:t>
      </w:r>
      <w:r w:rsidR="00F1783E">
        <w:t>s</w:t>
      </w:r>
      <w:r w:rsidRPr="00190E83">
        <w:t>ed to severe renal impairment had moderate renal impairment at baseline and progressed during the study.</w:t>
      </w:r>
    </w:p>
    <w:p w14:paraId="1AB3E7A6" w14:textId="77777777" w:rsidR="00190E83" w:rsidRPr="00190E83" w:rsidRDefault="00190E83" w:rsidP="00E87983">
      <w:pPr>
        <w:pStyle w:val="Heading5"/>
      </w:pPr>
      <w:r w:rsidRPr="00190E83">
        <w:t>Supportive studies</w:t>
      </w:r>
    </w:p>
    <w:p w14:paraId="02CA8AB3" w14:textId="1B61D014" w:rsidR="00190E83" w:rsidRPr="00190E83" w:rsidRDefault="00190E83" w:rsidP="00553327">
      <w:r w:rsidRPr="00190E83">
        <w:t>Study 001C was a randomi</w:t>
      </w:r>
      <w:r w:rsidR="00F1783E">
        <w:t>s</w:t>
      </w:r>
      <w:r w:rsidRPr="00190E83">
        <w:t xml:space="preserve">ed, placebo-controlled study conducted in AIP patients testing </w:t>
      </w:r>
      <w:r w:rsidR="00630660">
        <w:t>4</w:t>
      </w:r>
      <w:r w:rsidRPr="00190E83">
        <w:t xml:space="preserve"> dose regiments: 2.5</w:t>
      </w:r>
      <w:r w:rsidR="005173D7">
        <w:t> </w:t>
      </w:r>
      <w:r w:rsidRPr="00190E83">
        <w:t xml:space="preserve">mg/kg </w:t>
      </w:r>
      <w:proofErr w:type="spellStart"/>
      <w:r w:rsidRPr="00190E83">
        <w:t>givosiran</w:t>
      </w:r>
      <w:proofErr w:type="spellEnd"/>
      <w:r w:rsidRPr="00190E83">
        <w:t xml:space="preserve"> once monthly, 2.5</w:t>
      </w:r>
      <w:r w:rsidR="005173D7">
        <w:t> </w:t>
      </w:r>
      <w:r w:rsidRPr="00190E83">
        <w:t xml:space="preserve">mg/kg </w:t>
      </w:r>
      <w:proofErr w:type="spellStart"/>
      <w:r w:rsidRPr="00190E83">
        <w:t>givosiran</w:t>
      </w:r>
      <w:proofErr w:type="spellEnd"/>
      <w:r w:rsidRPr="00190E83">
        <w:t xml:space="preserve"> once quarterly, 5</w:t>
      </w:r>
      <w:r w:rsidR="005173D7">
        <w:t> </w:t>
      </w:r>
      <w:r w:rsidRPr="00190E83">
        <w:t xml:space="preserve">mg/kg </w:t>
      </w:r>
      <w:proofErr w:type="spellStart"/>
      <w:r w:rsidRPr="00190E83">
        <w:t>givosiran</w:t>
      </w:r>
      <w:proofErr w:type="spellEnd"/>
      <w:r w:rsidRPr="00190E83">
        <w:t xml:space="preserve"> once monthly, and 5</w:t>
      </w:r>
      <w:r w:rsidR="005173D7">
        <w:t> </w:t>
      </w:r>
      <w:r w:rsidRPr="00190E83">
        <w:t xml:space="preserve">mg/kg </w:t>
      </w:r>
      <w:proofErr w:type="spellStart"/>
      <w:r w:rsidRPr="00190E83">
        <w:t>givosiran</w:t>
      </w:r>
      <w:proofErr w:type="spellEnd"/>
      <w:r w:rsidRPr="00190E83">
        <w:t xml:space="preserve"> once quarterly.</w:t>
      </w:r>
    </w:p>
    <w:p w14:paraId="2F379BC4" w14:textId="7C764E74" w:rsidR="00190E83" w:rsidRPr="00190E83" w:rsidRDefault="00190E83" w:rsidP="00553327">
      <w:r w:rsidRPr="00190E83">
        <w:t>Study 002 is an ongoing open</w:t>
      </w:r>
      <w:r w:rsidR="00E9652E">
        <w:noBreakHyphen/>
      </w:r>
      <w:r w:rsidRPr="00190E83">
        <w:t>label, long</w:t>
      </w:r>
      <w:r w:rsidR="00E9652E">
        <w:noBreakHyphen/>
      </w:r>
      <w:r w:rsidRPr="00190E83">
        <w:t xml:space="preserve">term extension study in AIP patients who have </w:t>
      </w:r>
      <w:r w:rsidRPr="0005192A">
        <w:t xml:space="preserve">completed Study 001C. After completion of the evaluation period in Study 001, eligible patients from Part C transitioned into this study to receive </w:t>
      </w:r>
      <w:proofErr w:type="spellStart"/>
      <w:r w:rsidRPr="0005192A">
        <w:t>givosiran</w:t>
      </w:r>
      <w:proofErr w:type="spellEnd"/>
      <w:r w:rsidRPr="0005192A">
        <w:t xml:space="preserve"> treatment for an additional 3</w:t>
      </w:r>
      <w:r w:rsidR="00E9652E" w:rsidRPr="0005192A">
        <w:t> </w:t>
      </w:r>
      <w:r w:rsidRPr="0005192A">
        <w:t>years.</w:t>
      </w:r>
      <w:r w:rsidR="0005192A" w:rsidRPr="0005192A">
        <w:rPr>
          <w:rStyle w:val="FootnoteReference"/>
          <w:sz w:val="20"/>
        </w:rPr>
        <w:footnoteReference w:id="12"/>
      </w:r>
    </w:p>
    <w:p w14:paraId="035F8487" w14:textId="63C7C816" w:rsidR="00190E83" w:rsidRPr="00190E83" w:rsidRDefault="00190E83" w:rsidP="00553327">
      <w:r w:rsidRPr="00190E83">
        <w:t>Both studies are small (16</w:t>
      </w:r>
      <w:r w:rsidR="00E9652E">
        <w:t xml:space="preserve"> or </w:t>
      </w:r>
      <w:r w:rsidRPr="00190E83">
        <w:t xml:space="preserve">17 patients), but they confirm the beneficial effects of </w:t>
      </w:r>
      <w:proofErr w:type="spellStart"/>
      <w:r w:rsidRPr="00190E83">
        <w:t>givosiran</w:t>
      </w:r>
      <w:proofErr w:type="spellEnd"/>
      <w:r w:rsidRPr="00190E83">
        <w:t xml:space="preserve"> on various clinical parameters, including AAR, ALA </w:t>
      </w:r>
      <w:r w:rsidR="001D38FB">
        <w:t>and</w:t>
      </w:r>
      <w:r w:rsidRPr="00190E83">
        <w:t xml:space="preserve"> PBG levels, hemin use or quality of life.</w:t>
      </w:r>
    </w:p>
    <w:p w14:paraId="026BDCC1" w14:textId="77777777" w:rsidR="00190E83" w:rsidRPr="00190E83" w:rsidRDefault="00190E83" w:rsidP="00E87983">
      <w:pPr>
        <w:pStyle w:val="Heading5"/>
      </w:pPr>
      <w:r w:rsidRPr="00190E83">
        <w:t>Efficacy data and additional analyses</w:t>
      </w:r>
    </w:p>
    <w:p w14:paraId="7F0083F1" w14:textId="1278557A" w:rsidR="00190E83" w:rsidRPr="00190E83" w:rsidRDefault="00190E83" w:rsidP="00553327">
      <w:r w:rsidRPr="00190E83">
        <w:t xml:space="preserve">The treatment with </w:t>
      </w:r>
      <w:proofErr w:type="spellStart"/>
      <w:r w:rsidRPr="00190E83">
        <w:t>givosiran</w:t>
      </w:r>
      <w:proofErr w:type="spellEnd"/>
      <w:r w:rsidRPr="00190E83">
        <w:t xml:space="preserve"> resulted in a rapid, clinically </w:t>
      </w:r>
      <w:proofErr w:type="gramStart"/>
      <w:r w:rsidRPr="00190E83">
        <w:t>meaningful</w:t>
      </w:r>
      <w:proofErr w:type="gramEnd"/>
      <w:r w:rsidRPr="00190E83">
        <w:t xml:space="preserve"> and statistically significant decrease (approximately 75%) in the composite AAR in both AIP and AHP populations, as </w:t>
      </w:r>
      <w:r w:rsidRPr="00856996">
        <w:t>indicated by the analysis of FAS</w:t>
      </w:r>
      <w:r w:rsidRPr="00A07E69">
        <w:rPr>
          <w:vertAlign w:val="subscript"/>
        </w:rPr>
        <w:t>AIP</w:t>
      </w:r>
      <w:r w:rsidRPr="00856996">
        <w:t xml:space="preserve"> and FAS</w:t>
      </w:r>
      <w:r w:rsidRPr="00A07E69">
        <w:rPr>
          <w:vertAlign w:val="subscript"/>
        </w:rPr>
        <w:t>AHP</w:t>
      </w:r>
      <w:r w:rsidRPr="00856996">
        <w:t xml:space="preserve">. Importantly, 50% of patients in the </w:t>
      </w:r>
      <w:proofErr w:type="spellStart"/>
      <w:r w:rsidRPr="00856996">
        <w:t>givosiran</w:t>
      </w:r>
      <w:proofErr w:type="spellEnd"/>
      <w:r w:rsidRPr="00190E83">
        <w:t xml:space="preserve"> group had 0 attacks. The number of non</w:t>
      </w:r>
      <w:r w:rsidR="007E562A">
        <w:noBreakHyphen/>
      </w:r>
      <w:r w:rsidRPr="00190E83">
        <w:t xml:space="preserve">AIP patients in the clinical development program is very low (5). Only </w:t>
      </w:r>
      <w:r w:rsidR="00630660">
        <w:t>5</w:t>
      </w:r>
      <w:r w:rsidRPr="00190E83">
        <w:t xml:space="preserve"> non</w:t>
      </w:r>
      <w:r w:rsidR="007E562A">
        <w:noBreakHyphen/>
      </w:r>
      <w:r w:rsidRPr="00190E83">
        <w:t xml:space="preserve">AIP patients received </w:t>
      </w:r>
      <w:proofErr w:type="spellStart"/>
      <w:r w:rsidRPr="00190E83">
        <w:t>givosiran</w:t>
      </w:r>
      <w:proofErr w:type="spellEnd"/>
      <w:r w:rsidRPr="00190E83">
        <w:t xml:space="preserve"> in the Study</w:t>
      </w:r>
      <w:r w:rsidR="00603193">
        <w:t> </w:t>
      </w:r>
      <w:r w:rsidRPr="00190E83">
        <w:t xml:space="preserve">003 and one patient was treated with </w:t>
      </w:r>
      <w:proofErr w:type="spellStart"/>
      <w:r w:rsidRPr="00190E83">
        <w:t>givosiran</w:t>
      </w:r>
      <w:proofErr w:type="spellEnd"/>
      <w:r w:rsidRPr="00190E83">
        <w:t xml:space="preserve"> in the Compassionate Use Program. One of these patients discontinued the dosing after the </w:t>
      </w:r>
      <w:r w:rsidR="00384A66">
        <w:t>third</w:t>
      </w:r>
      <w:r w:rsidRPr="00190E83">
        <w:t xml:space="preserve"> dose due to the ALT elevation 9.9</w:t>
      </w:r>
      <w:r w:rsidR="00384A66">
        <w:t> × </w:t>
      </w:r>
      <w:r w:rsidRPr="00190E83">
        <w:t xml:space="preserve">ULN and another one discontinued the study after the </w:t>
      </w:r>
      <w:r w:rsidR="00384A66">
        <w:t>second</w:t>
      </w:r>
      <w:r w:rsidRPr="00190E83">
        <w:t xml:space="preserve"> dose because the patient had no wish to participate in the study any longer. Givosiran seems to have a beneficial effect on the ALA/PBG levels, as well as AAR in this patient population as well, even though the data is considered very limited.</w:t>
      </w:r>
    </w:p>
    <w:p w14:paraId="51D2BEB8" w14:textId="00ACF52B" w:rsidR="00190E83" w:rsidRPr="00190E83" w:rsidRDefault="00190E83" w:rsidP="00553327">
      <w:r w:rsidRPr="00190E83">
        <w:t xml:space="preserve">The results of certain secondary endpoints conclusively support the primary endpoint results: </w:t>
      </w:r>
      <w:proofErr w:type="spellStart"/>
      <w:r w:rsidRPr="00190E83">
        <w:t>givosiran</w:t>
      </w:r>
      <w:proofErr w:type="spellEnd"/>
      <w:r w:rsidRPr="00190E83">
        <w:t xml:space="preserve"> was shown to produce a substantial decrease in ALA/PBG levels and hemin use. Also, </w:t>
      </w:r>
      <w:proofErr w:type="spellStart"/>
      <w:r w:rsidRPr="00190E83">
        <w:t>givosiran</w:t>
      </w:r>
      <w:proofErr w:type="spellEnd"/>
      <w:r w:rsidRPr="00190E83">
        <w:t xml:space="preserve"> resulted in a modest reduction in pain levels and a clear decrease in the use of opioid and non</w:t>
      </w:r>
      <w:r w:rsidR="00D53AD7">
        <w:noBreakHyphen/>
      </w:r>
      <w:r w:rsidRPr="00190E83">
        <w:t>opioid analgesics between and during the attacks. Also, the proportion of attacks with median pain scores</w:t>
      </w:r>
      <w:r w:rsidR="00196750">
        <w:t> </w:t>
      </w:r>
      <w:r w:rsidRPr="00190E83">
        <w:t>&gt;</w:t>
      </w:r>
      <w:r w:rsidR="00196750">
        <w:t> </w:t>
      </w:r>
      <w:r w:rsidRPr="00190E83">
        <w:t xml:space="preserve">7 was lower in the </w:t>
      </w:r>
      <w:proofErr w:type="spellStart"/>
      <w:r w:rsidRPr="00190E83">
        <w:t>givosiran</w:t>
      </w:r>
      <w:proofErr w:type="spellEnd"/>
      <w:r w:rsidRPr="00190E83">
        <w:t xml:space="preserve"> group compared to placebo. A significant effect on the daily worst fatigue and daily worst nausea levels was not observed. Even so, a PCS score of SF</w:t>
      </w:r>
      <w:r w:rsidR="00196750">
        <w:noBreakHyphen/>
      </w:r>
      <w:r w:rsidRPr="00190E83">
        <w:t xml:space="preserve">12 was shown to be significantly improved in patients on </w:t>
      </w:r>
      <w:proofErr w:type="spellStart"/>
      <w:r w:rsidRPr="00190E83">
        <w:t>givosiran</w:t>
      </w:r>
      <w:proofErr w:type="spellEnd"/>
      <w:r w:rsidRPr="00190E83">
        <w:t xml:space="preserve"> treatment. The data from the OLE study, including comparisons of patients who crossed from placebo to </w:t>
      </w:r>
      <w:proofErr w:type="spellStart"/>
      <w:r w:rsidRPr="00190E83">
        <w:lastRenderedPageBreak/>
        <w:t>givosiran</w:t>
      </w:r>
      <w:proofErr w:type="spellEnd"/>
      <w:r w:rsidRPr="00190E83">
        <w:t xml:space="preserve"> treatment, also support the favourable effects of </w:t>
      </w:r>
      <w:proofErr w:type="spellStart"/>
      <w:r w:rsidRPr="00190E83">
        <w:t>givosiran</w:t>
      </w:r>
      <w:proofErr w:type="spellEnd"/>
      <w:r w:rsidRPr="00190E83">
        <w:t xml:space="preserve"> on the pain and PCS of SF</w:t>
      </w:r>
      <w:r w:rsidR="008A44E3">
        <w:noBreakHyphen/>
      </w:r>
      <w:r w:rsidRPr="00190E83">
        <w:t>12 score.</w:t>
      </w:r>
    </w:p>
    <w:p w14:paraId="1CEB87AA" w14:textId="143E0B71" w:rsidR="00190E83" w:rsidRPr="00190E83" w:rsidRDefault="00190E83" w:rsidP="00553327">
      <w:r w:rsidRPr="00190E83">
        <w:t>No adolescent participated in the study. However, similar PD effect is expected between different body weight categories and therefore similar efficacy is expected in this population. Therefore, the indication for adolescents can be supported (see also section on safety for the discussion on the post-marketing measures).</w:t>
      </w:r>
    </w:p>
    <w:p w14:paraId="12C0510A" w14:textId="6159B792" w:rsidR="00190E83" w:rsidRPr="00190E83" w:rsidRDefault="00190E83" w:rsidP="00553327">
      <w:r w:rsidRPr="00190E83">
        <w:t>The effects of the proposed 2.5</w:t>
      </w:r>
      <w:r w:rsidR="00606B37">
        <w:t> </w:t>
      </w:r>
      <w:r w:rsidRPr="00190E83">
        <w:t>mg/kg dose are in general considered sufficiently described. The efficacy and safety data of the lower dose, 1.25</w:t>
      </w:r>
      <w:r w:rsidR="00606B37">
        <w:t> </w:t>
      </w:r>
      <w:r w:rsidRPr="00190E83">
        <w:t>mg/kg, is, however, very limited. The study design, small number of patients in every group, the non</w:t>
      </w:r>
      <w:r w:rsidR="00606B37">
        <w:noBreakHyphen/>
      </w:r>
      <w:r w:rsidRPr="00190E83">
        <w:t>randomi</w:t>
      </w:r>
      <w:r w:rsidR="00F1783E">
        <w:t>s</w:t>
      </w:r>
      <w:r w:rsidRPr="00190E83">
        <w:t xml:space="preserve">ed assignment of the patients to </w:t>
      </w:r>
      <w:r w:rsidR="00F1783E">
        <w:t>2</w:t>
      </w:r>
      <w:r w:rsidRPr="00190E83">
        <w:t xml:space="preserve"> doses in the OLE period and, as a result, imbalances in baseline characteristics between groups, do not allow for an adequate assessment of efficacy and safety of the 1.25</w:t>
      </w:r>
      <w:r w:rsidR="00351CFC">
        <w:t> </w:t>
      </w:r>
      <w:r w:rsidRPr="00190E83">
        <w:t xml:space="preserve">mg/kg dose, which is </w:t>
      </w:r>
      <w:r w:rsidRPr="00856996">
        <w:t>reflected in the SmPC.</w:t>
      </w:r>
    </w:p>
    <w:p w14:paraId="76F19CA9" w14:textId="77777777" w:rsidR="00190E83" w:rsidRPr="00190E83" w:rsidRDefault="00190E83" w:rsidP="00553327">
      <w:r w:rsidRPr="00190E83">
        <w:t xml:space="preserve">The subgroup analysis performed for the primary endpoint of composite AAR showed </w:t>
      </w:r>
      <w:r w:rsidRPr="00856996">
        <w:t xml:space="preserve">consistency in the efficacy of </w:t>
      </w:r>
      <w:proofErr w:type="spellStart"/>
      <w:r w:rsidRPr="00856996">
        <w:t>givosiran</w:t>
      </w:r>
      <w:proofErr w:type="spellEnd"/>
      <w:r w:rsidRPr="00856996">
        <w:t xml:space="preserve"> between different groups. Age, race, region, gender, </w:t>
      </w:r>
      <w:proofErr w:type="gramStart"/>
      <w:r w:rsidRPr="00856996">
        <w:t>BMI</w:t>
      </w:r>
      <w:proofErr w:type="gramEnd"/>
      <w:r w:rsidRPr="00856996">
        <w:t xml:space="preserve"> or</w:t>
      </w:r>
      <w:r w:rsidRPr="00190E83">
        <w:t xml:space="preserve"> medical history of the disease did not have an influence on the </w:t>
      </w:r>
      <w:proofErr w:type="spellStart"/>
      <w:r w:rsidRPr="00190E83">
        <w:t>givosiran</w:t>
      </w:r>
      <w:proofErr w:type="spellEnd"/>
      <w:r w:rsidRPr="00190E83">
        <w:t xml:space="preserve"> efficacy. The mild hepatic impairment or mild to moderate renal impairment does not seem to influence PD of </w:t>
      </w:r>
      <w:proofErr w:type="spellStart"/>
      <w:r w:rsidRPr="00190E83">
        <w:t>givosiran</w:t>
      </w:r>
      <w:proofErr w:type="spellEnd"/>
      <w:r w:rsidRPr="00190E83">
        <w:t xml:space="preserve">. The influence of moderate to severe hepatic impairment on </w:t>
      </w:r>
      <w:proofErr w:type="spellStart"/>
      <w:r w:rsidRPr="00190E83">
        <w:t>givosiran</w:t>
      </w:r>
      <w:proofErr w:type="spellEnd"/>
      <w:r w:rsidRPr="00190E83">
        <w:t xml:space="preserve"> effects was not assessed in the clinical program that brings some uncertainties to the safety of the product in this patient group. An appropriate warning is included in the SmPC indicating that the efficacy and safety of </w:t>
      </w:r>
      <w:proofErr w:type="spellStart"/>
      <w:r w:rsidRPr="00190E83">
        <w:t>givosiran</w:t>
      </w:r>
      <w:proofErr w:type="spellEnd"/>
      <w:r w:rsidRPr="00190E83">
        <w:t xml:space="preserve"> was not properly studied in the population with moderate or severe hepatic impairment. Since the data on patients with severe or end-stage renal disease is also extremely limited or absent. Additional efficacy and safety data in these patient populations should be collected post-marketing. Especially, the data on patients with more severe stages of hepatic and renal impairment, adolescent patients (≥12 to &lt;18 years of age) and pregnant women should be obtained.</w:t>
      </w:r>
    </w:p>
    <w:p w14:paraId="2E13E9CB" w14:textId="65497F35" w:rsidR="00190E83" w:rsidRPr="00190E83" w:rsidRDefault="00190E83" w:rsidP="00553327">
      <w:r w:rsidRPr="00190E83">
        <w:t xml:space="preserve">Even though the number of patients in the supportive studies 001 and 002 is small, they confirm the beneficial effects of </w:t>
      </w:r>
      <w:proofErr w:type="spellStart"/>
      <w:r w:rsidRPr="00190E83">
        <w:t>givosiran</w:t>
      </w:r>
      <w:proofErr w:type="spellEnd"/>
      <w:r w:rsidRPr="00190E83">
        <w:t xml:space="preserve"> on various clinical parameters, including AAR, ALA </w:t>
      </w:r>
      <w:r w:rsidR="00773BE3">
        <w:t>and</w:t>
      </w:r>
      <w:r w:rsidRPr="00190E83">
        <w:t xml:space="preserve"> PBG levels, hemin use or quality of life. These effects were also shown to be sustained in the OLE period of the Study 003.</w:t>
      </w:r>
    </w:p>
    <w:p w14:paraId="4CFCE7E3" w14:textId="77777777" w:rsidR="00190E83" w:rsidRPr="00190E83" w:rsidRDefault="00190E83" w:rsidP="00553327">
      <w:r w:rsidRPr="00190E83">
        <w:t xml:space="preserve">In general, the treatment meets a high medical need in AHP patients by significantly reducing the frequency of severe porphyria attacks. Moreover, the quality of life and patient experience measures that cover various aspects of daily activities also showed a clinically meaningful improvement on </w:t>
      </w:r>
      <w:proofErr w:type="spellStart"/>
      <w:r w:rsidRPr="00190E83">
        <w:t>givosiran</w:t>
      </w:r>
      <w:proofErr w:type="spellEnd"/>
      <w:r w:rsidRPr="00190E83">
        <w:t xml:space="preserve"> treatment.</w:t>
      </w:r>
    </w:p>
    <w:p w14:paraId="1D58D2D2" w14:textId="5BDB4D00" w:rsidR="00190E83" w:rsidRPr="00190E83" w:rsidRDefault="00190E83" w:rsidP="00E87983">
      <w:pPr>
        <w:pStyle w:val="Heading5"/>
      </w:pPr>
      <w:r w:rsidRPr="00190E83">
        <w:t>Conclusions on clinical efficacy</w:t>
      </w:r>
    </w:p>
    <w:p w14:paraId="739C9695" w14:textId="23147080" w:rsidR="00190E83" w:rsidRPr="00190E83" w:rsidRDefault="00190E83" w:rsidP="00553327">
      <w:r w:rsidRPr="00190E83">
        <w:t>Givosiran is an effective treatment option for patients with AHP. The authorisation of the proposed indication requires that the remaining outstanding issues in the List of Questions are answered satisfactorily by the applicant.</w:t>
      </w:r>
    </w:p>
    <w:p w14:paraId="5949B93B" w14:textId="372048B9" w:rsidR="00190E83" w:rsidRPr="00167C6D" w:rsidRDefault="003875AA" w:rsidP="00D93EFA">
      <w:r w:rsidRPr="00167C6D">
        <w:t xml:space="preserve">The TGA </w:t>
      </w:r>
      <w:r w:rsidR="00190E83" w:rsidRPr="00167C6D">
        <w:t>Delegate comment</w:t>
      </w:r>
      <w:r w:rsidRPr="00167C6D">
        <w:t xml:space="preserve">ed that </w:t>
      </w:r>
      <w:r w:rsidR="00190E83" w:rsidRPr="00167C6D">
        <w:t xml:space="preserve">these issues were resolved as </w:t>
      </w:r>
      <w:proofErr w:type="spellStart"/>
      <w:r w:rsidR="00D93EFA" w:rsidRPr="00167C6D">
        <w:t>givosiran</w:t>
      </w:r>
      <w:proofErr w:type="spellEnd"/>
      <w:r w:rsidR="00D93EFA" w:rsidRPr="00167C6D">
        <w:t xml:space="preserve"> is now </w:t>
      </w:r>
      <w:r w:rsidR="00190E83" w:rsidRPr="00167C6D">
        <w:t>authorised</w:t>
      </w:r>
      <w:r w:rsidR="00D93EFA" w:rsidRPr="00167C6D">
        <w:t xml:space="preserve"> in the EU</w:t>
      </w:r>
      <w:r w:rsidR="00190E83" w:rsidRPr="00167C6D">
        <w:t>.</w:t>
      </w:r>
    </w:p>
    <w:p w14:paraId="79747F08" w14:textId="3A5E23A3" w:rsidR="00006E53" w:rsidRDefault="00006E53" w:rsidP="00006E53">
      <w:pPr>
        <w:pStyle w:val="Heading4"/>
      </w:pPr>
      <w:bookmarkStart w:id="56" w:name="_Toc170980407"/>
      <w:r w:rsidRPr="00AA53F4">
        <w:t>Safety</w:t>
      </w:r>
      <w:r w:rsidR="00167C6D">
        <w:rPr>
          <w:rStyle w:val="FootnoteReference"/>
        </w:rPr>
        <w:footnoteReference w:id="13"/>
      </w:r>
      <w:bookmarkEnd w:id="56"/>
    </w:p>
    <w:p w14:paraId="053A494D" w14:textId="694C250E" w:rsidR="00006E53" w:rsidRPr="00006E53" w:rsidRDefault="00006E53" w:rsidP="00553327">
      <w:r w:rsidRPr="00006E53">
        <w:t xml:space="preserve">In total, the data for 111 unique patients with AHP are included in the overall pooled experience, including 17 patients from Studies 001C/002 as of the Study 002 cut-off date of 19 April 2019 </w:t>
      </w:r>
      <w:r w:rsidRPr="00006E53">
        <w:lastRenderedPageBreak/>
        <w:t>and 94 patients from the double</w:t>
      </w:r>
      <w:r w:rsidR="00E13209">
        <w:noBreakHyphen/>
      </w:r>
      <w:r w:rsidRPr="00006E53">
        <w:t>blind period of Study 003, of whom 93 (100% of eligible patients) entered the OLE period, as of the cut-off date of 23 July 2019.</w:t>
      </w:r>
    </w:p>
    <w:p w14:paraId="281AB7F6" w14:textId="77777777" w:rsidR="00006E53" w:rsidRPr="00006E53" w:rsidRDefault="00006E53" w:rsidP="002B1285">
      <w:pPr>
        <w:pStyle w:val="Heading5"/>
      </w:pPr>
      <w:r w:rsidRPr="00006E53">
        <w:t>Patient exposure</w:t>
      </w:r>
    </w:p>
    <w:p w14:paraId="2410198F" w14:textId="1E586781" w:rsidR="00006E53" w:rsidRPr="00ED332F" w:rsidRDefault="00006E53" w:rsidP="00553327">
      <w:pPr>
        <w:rPr>
          <w:szCs w:val="22"/>
        </w:rPr>
      </w:pPr>
      <w:r w:rsidRPr="00ED332F">
        <w:rPr>
          <w:szCs w:val="22"/>
        </w:rPr>
        <w:t xml:space="preserve">As </w:t>
      </w:r>
      <w:proofErr w:type="gramStart"/>
      <w:r w:rsidRPr="00ED332F">
        <w:rPr>
          <w:szCs w:val="22"/>
        </w:rPr>
        <w:t>the majority of</w:t>
      </w:r>
      <w:proofErr w:type="gramEnd"/>
      <w:r w:rsidRPr="00ED332F">
        <w:rPr>
          <w:szCs w:val="22"/>
        </w:rPr>
        <w:t xml:space="preserve"> the pooled data are in patients who received 2.5</w:t>
      </w:r>
      <w:r w:rsidR="00604891" w:rsidRPr="00ED332F">
        <w:rPr>
          <w:szCs w:val="22"/>
        </w:rPr>
        <w:t> </w:t>
      </w:r>
      <w:r w:rsidRPr="00ED332F">
        <w:rPr>
          <w:szCs w:val="22"/>
        </w:rPr>
        <w:t xml:space="preserve">mg/kg QM </w:t>
      </w:r>
      <w:proofErr w:type="spellStart"/>
      <w:r w:rsidRPr="00ED332F">
        <w:rPr>
          <w:szCs w:val="22"/>
        </w:rPr>
        <w:t>givosiran</w:t>
      </w:r>
      <w:proofErr w:type="spellEnd"/>
      <w:r w:rsidRPr="00ED332F">
        <w:rPr>
          <w:szCs w:val="22"/>
        </w:rPr>
        <w:t>, patients who are receiving 1.25</w:t>
      </w:r>
      <w:r w:rsidR="002A7D51" w:rsidRPr="00ED332F">
        <w:rPr>
          <w:szCs w:val="22"/>
        </w:rPr>
        <w:t> </w:t>
      </w:r>
      <w:r w:rsidRPr="00ED332F">
        <w:rPr>
          <w:szCs w:val="22"/>
        </w:rPr>
        <w:t xml:space="preserve">mg/kg QM </w:t>
      </w:r>
      <w:proofErr w:type="spellStart"/>
      <w:r w:rsidRPr="00ED332F">
        <w:rPr>
          <w:szCs w:val="22"/>
        </w:rPr>
        <w:t>givosiran</w:t>
      </w:r>
      <w:proofErr w:type="spellEnd"/>
      <w:r w:rsidRPr="00ED332F">
        <w:rPr>
          <w:szCs w:val="22"/>
        </w:rPr>
        <w:t xml:space="preserve"> in the OLE period are pooled with patients who are receiving the 2.5</w:t>
      </w:r>
      <w:r w:rsidR="002A7D51" w:rsidRPr="00ED332F">
        <w:rPr>
          <w:szCs w:val="22"/>
        </w:rPr>
        <w:t> </w:t>
      </w:r>
      <w:r w:rsidRPr="00ED332F">
        <w:rPr>
          <w:szCs w:val="22"/>
        </w:rPr>
        <w:t>mg/kg regimen. The median duration of exposure for patients on the 1.25</w:t>
      </w:r>
      <w:r w:rsidR="002A7D51" w:rsidRPr="00ED332F">
        <w:rPr>
          <w:szCs w:val="22"/>
        </w:rPr>
        <w:t> </w:t>
      </w:r>
      <w:r w:rsidRPr="00ED332F">
        <w:rPr>
          <w:szCs w:val="22"/>
        </w:rPr>
        <w:t>mg/kg regimen was 7.1 months [range 5.7 to 8.9] for patients who crossed over from placebo in the double-blind period and 12.4</w:t>
      </w:r>
      <w:r w:rsidR="002A7D51" w:rsidRPr="00ED332F">
        <w:rPr>
          <w:szCs w:val="22"/>
        </w:rPr>
        <w:t> </w:t>
      </w:r>
      <w:r w:rsidRPr="00ED332F">
        <w:rPr>
          <w:szCs w:val="22"/>
        </w:rPr>
        <w:t>months [range 11.2 to 15.4] in patients who crossed over from 2.5</w:t>
      </w:r>
      <w:r w:rsidR="002A7D51" w:rsidRPr="00ED332F">
        <w:rPr>
          <w:szCs w:val="22"/>
        </w:rPr>
        <w:t> </w:t>
      </w:r>
      <w:r w:rsidRPr="00ED332F">
        <w:rPr>
          <w:szCs w:val="22"/>
        </w:rPr>
        <w:t xml:space="preserve">mg/kg </w:t>
      </w:r>
      <w:proofErr w:type="spellStart"/>
      <w:r w:rsidRPr="00ED332F">
        <w:rPr>
          <w:szCs w:val="22"/>
        </w:rPr>
        <w:t>givosiran</w:t>
      </w:r>
      <w:proofErr w:type="spellEnd"/>
      <w:r w:rsidRPr="00ED332F">
        <w:rPr>
          <w:szCs w:val="22"/>
        </w:rPr>
        <w:t xml:space="preserve"> during the double</w:t>
      </w:r>
      <w:r w:rsidR="00ED332F">
        <w:rPr>
          <w:szCs w:val="22"/>
        </w:rPr>
        <w:t>-</w:t>
      </w:r>
      <w:r w:rsidRPr="00ED332F">
        <w:rPr>
          <w:szCs w:val="22"/>
        </w:rPr>
        <w:t>blind period.</w:t>
      </w:r>
    </w:p>
    <w:p w14:paraId="18B1377A" w14:textId="77777777" w:rsidR="00006E53" w:rsidRPr="00006E53" w:rsidRDefault="00006E53" w:rsidP="002B1285">
      <w:pPr>
        <w:pStyle w:val="Heading5"/>
      </w:pPr>
      <w:r w:rsidRPr="00006E53">
        <w:t>Adverse events</w:t>
      </w:r>
    </w:p>
    <w:p w14:paraId="61AA0375" w14:textId="2B78638C" w:rsidR="00006E53" w:rsidRPr="00006E53" w:rsidRDefault="00006E53" w:rsidP="00553327">
      <w:r w:rsidRPr="00006E53">
        <w:t xml:space="preserve">One case of anaphylactic reaction was reported following </w:t>
      </w:r>
      <w:proofErr w:type="spellStart"/>
      <w:r w:rsidRPr="00006E53">
        <w:t>givosiran</w:t>
      </w:r>
      <w:proofErr w:type="spellEnd"/>
      <w:r w:rsidRPr="00006E53">
        <w:t xml:space="preserve"> use. This patient had no ADA and had a history of various allergies and asthma. No other cases of anaphylactic reaction were reported over the course of the </w:t>
      </w:r>
      <w:proofErr w:type="spellStart"/>
      <w:r w:rsidRPr="00006E53">
        <w:t>givosiran</w:t>
      </w:r>
      <w:proofErr w:type="spellEnd"/>
      <w:r w:rsidRPr="00006E53">
        <w:t xml:space="preserve"> clinical development program. One fatal case of haemorrhagic pancreatitis was reported in the </w:t>
      </w:r>
      <w:proofErr w:type="spellStart"/>
      <w:r w:rsidRPr="00006E53">
        <w:t>givosiran</w:t>
      </w:r>
      <w:proofErr w:type="spellEnd"/>
      <w:r w:rsidRPr="00006E53">
        <w:t xml:space="preserve"> group.</w:t>
      </w:r>
    </w:p>
    <w:p w14:paraId="52538BED" w14:textId="1F58B076" w:rsidR="00006E53" w:rsidRPr="00006E53" w:rsidRDefault="00006E53" w:rsidP="00553327">
      <w:r w:rsidRPr="007D1B55">
        <w:t>In the Overall Pooled Experience, AEs were reported in 94.6% of patients. AEs reported in ≥15%</w:t>
      </w:r>
      <w:r w:rsidRPr="00006E53">
        <w:t xml:space="preserve"> </w:t>
      </w:r>
      <w:r w:rsidRPr="007D1B55">
        <w:t xml:space="preserve">of patients receiving </w:t>
      </w:r>
      <w:proofErr w:type="spellStart"/>
      <w:r w:rsidRPr="007D1B55">
        <w:t>givosiran</w:t>
      </w:r>
      <w:proofErr w:type="spellEnd"/>
      <w:r w:rsidRPr="007D1B55">
        <w:t xml:space="preserve"> included events coding to the PTs of nausea (32.4%),</w:t>
      </w:r>
      <w:r w:rsidR="007D1B55" w:rsidRPr="007D1B55">
        <w:rPr>
          <w:rStyle w:val="FootnoteReference"/>
          <w:sz w:val="20"/>
        </w:rPr>
        <w:footnoteReference w:id="14"/>
      </w:r>
      <w:r w:rsidR="002E1937" w:rsidRPr="007D1B55">
        <w:t xml:space="preserve"> ISR</w:t>
      </w:r>
      <w:r w:rsidRPr="00006E53">
        <w:t xml:space="preserve"> </w:t>
      </w:r>
      <w:r w:rsidR="002E1937">
        <w:t>[injection site reaction]</w:t>
      </w:r>
      <w:r w:rsidRPr="00006E53">
        <w:t xml:space="preserve"> (24.3%), fatigue (22.5%), nasopharyngitis (22.5%), headache (19.8%), and abdominal pain (18.0%). AEs considered related to </w:t>
      </w:r>
      <w:proofErr w:type="spellStart"/>
      <w:r w:rsidRPr="00006E53">
        <w:t>givosiran</w:t>
      </w:r>
      <w:proofErr w:type="spellEnd"/>
      <w:r w:rsidRPr="00006E53">
        <w:t xml:space="preserve"> treatment by the Investigator were reported in 65.8% of patients. Related AEs occurring in ≥5% of patients were: ISR (24.3%), </w:t>
      </w:r>
      <w:r w:rsidRPr="007D1B55">
        <w:t>nausea (18.0%), fatigue (9.9%), injection site erythema (7.2%), asthenia (6.3%), ALT increased (6.3%), AST increase (6.3%), and headache and vomiting (5.4% each). AEs over time in patients</w:t>
      </w:r>
      <w:r w:rsidRPr="00006E53">
        <w:t xml:space="preserve"> treated with </w:t>
      </w:r>
      <w:proofErr w:type="spellStart"/>
      <w:r w:rsidRPr="00006E53">
        <w:t>givosiran</w:t>
      </w:r>
      <w:proofErr w:type="spellEnd"/>
      <w:r w:rsidRPr="00006E53">
        <w:t xml:space="preserve"> in the Overall Pooled Experience tended to remain stable over the course of exposure.</w:t>
      </w:r>
    </w:p>
    <w:p w14:paraId="6A2BD691" w14:textId="77777777" w:rsidR="00006E53" w:rsidRPr="00006E53" w:rsidRDefault="00006E53" w:rsidP="00CF6CD1">
      <w:pPr>
        <w:pStyle w:val="Heading6"/>
      </w:pPr>
      <w:r w:rsidRPr="00006E53">
        <w:t>Serious adverse events and deaths</w:t>
      </w:r>
    </w:p>
    <w:p w14:paraId="2ED35FDA" w14:textId="77777777" w:rsidR="00006E53" w:rsidRPr="00006E53" w:rsidRDefault="00006E53" w:rsidP="00CF6CD1">
      <w:pPr>
        <w:pStyle w:val="Heading7"/>
      </w:pPr>
      <w:r w:rsidRPr="00006E53">
        <w:t>Death</w:t>
      </w:r>
    </w:p>
    <w:p w14:paraId="7E110C9A" w14:textId="448FBF1C" w:rsidR="00006E53" w:rsidRPr="00006E53" w:rsidRDefault="00006E53" w:rsidP="00553327">
      <w:r w:rsidRPr="00006E53">
        <w:t xml:space="preserve">The only fatal event during the </w:t>
      </w:r>
      <w:proofErr w:type="spellStart"/>
      <w:r w:rsidRPr="00006E53">
        <w:t>givosiran</w:t>
      </w:r>
      <w:proofErr w:type="spellEnd"/>
      <w:r w:rsidRPr="00006E53">
        <w:t xml:space="preserve"> treatment occurred in the Study 001 in a patient receiving a 5</w:t>
      </w:r>
      <w:r w:rsidR="008557B3">
        <w:t> </w:t>
      </w:r>
      <w:r w:rsidRPr="00006E53">
        <w:t>mg/kg monthly dose. The patient had a complex medical history and a gallbladder sludge at the time of presentation.</w:t>
      </w:r>
    </w:p>
    <w:p w14:paraId="6F1D6B0D" w14:textId="47CBD691" w:rsidR="00006E53" w:rsidRPr="00006E53" w:rsidRDefault="00006E53" w:rsidP="00CF6CD1">
      <w:pPr>
        <w:pStyle w:val="Heading7"/>
      </w:pPr>
      <w:r w:rsidRPr="00006E53">
        <w:t>S</w:t>
      </w:r>
      <w:r w:rsidR="00F4590F">
        <w:t>erious adverse events</w:t>
      </w:r>
    </w:p>
    <w:p w14:paraId="56A0BC58" w14:textId="0FCF9BD1" w:rsidR="00006E53" w:rsidRPr="00006E53" w:rsidRDefault="00006E53" w:rsidP="00553327">
      <w:r w:rsidRPr="007D1B55">
        <w:t xml:space="preserve">Overall, more patients in the </w:t>
      </w:r>
      <w:proofErr w:type="spellStart"/>
      <w:r w:rsidRPr="007D1B55">
        <w:t>givosiran</w:t>
      </w:r>
      <w:proofErr w:type="spellEnd"/>
      <w:r w:rsidRPr="007D1B55">
        <w:t xml:space="preserve"> group reported serious adverse events (SAE) compared to</w:t>
      </w:r>
      <w:r w:rsidRPr="00006E53">
        <w:t xml:space="preserve"> </w:t>
      </w:r>
      <w:r w:rsidRPr="007D1B55">
        <w:t xml:space="preserve">placebo </w:t>
      </w:r>
      <w:r w:rsidR="003446D7">
        <w:t>[</w:t>
      </w:r>
      <w:r w:rsidR="003446D7">
        <w:fldChar w:fldCharType="begin"/>
      </w:r>
      <w:r w:rsidR="003446D7">
        <w:instrText xml:space="preserve"> REF _Ref170480481 \h </w:instrText>
      </w:r>
      <w:r w:rsidR="003446D7">
        <w:fldChar w:fldCharType="separate"/>
      </w:r>
      <w:r w:rsidR="003446D7">
        <w:t xml:space="preserve">Table </w:t>
      </w:r>
      <w:r w:rsidR="003446D7">
        <w:rPr>
          <w:noProof/>
        </w:rPr>
        <w:t>7</w:t>
      </w:r>
      <w:r w:rsidR="003446D7">
        <w:fldChar w:fldCharType="end"/>
      </w:r>
      <w:r w:rsidR="003446D7">
        <w:t>]</w:t>
      </w:r>
      <w:r w:rsidR="007D1B55" w:rsidRPr="007D1B55">
        <w:t>.</w:t>
      </w:r>
      <w:r w:rsidRPr="007D1B55">
        <w:t xml:space="preserve"> Ten patients had SAEs that occurred during the Study 003 double</w:t>
      </w:r>
      <w:r w:rsidR="00537B01" w:rsidRPr="007D1B55">
        <w:noBreakHyphen/>
      </w:r>
      <w:r w:rsidRPr="007D1B55">
        <w:t>blind</w:t>
      </w:r>
      <w:r w:rsidRPr="00006E53">
        <w:t xml:space="preserve"> period in the </w:t>
      </w:r>
      <w:proofErr w:type="spellStart"/>
      <w:r w:rsidRPr="00006E53">
        <w:t>givosiran</w:t>
      </w:r>
      <w:proofErr w:type="spellEnd"/>
      <w:r w:rsidRPr="00006E53">
        <w:t xml:space="preserve"> group. Most SAEs occurred in 1 patient each. Serious AEs occurring in more than </w:t>
      </w:r>
      <w:r w:rsidRPr="007D1B55">
        <w:t>1 patient included pyrexia (2 [1.8%]), urinary tract infection (UTI) (2 [1.8%]), and CKD (2 [1.8%]).</w:t>
      </w:r>
    </w:p>
    <w:p w14:paraId="6F666816" w14:textId="77777777" w:rsidR="00006E53" w:rsidRDefault="00006E53" w:rsidP="00553327">
      <w:r w:rsidRPr="00006E53">
        <w:t>Most SAEs were resolved as of the data cut-off date.</w:t>
      </w:r>
    </w:p>
    <w:p w14:paraId="16127A27" w14:textId="25F58D3F" w:rsidR="005766B0" w:rsidRPr="00C73C8E" w:rsidRDefault="005766B0" w:rsidP="00553327">
      <w:r w:rsidRPr="00C73C8E">
        <w:t xml:space="preserve">In the Overall Pooled Experience, SAEs were reported in 28 (25.2%) patients treated with </w:t>
      </w:r>
      <w:proofErr w:type="spellStart"/>
      <w:r w:rsidRPr="00C73C8E">
        <w:t>givosiran</w:t>
      </w:r>
      <w:proofErr w:type="spellEnd"/>
      <w:r w:rsidRPr="00C73C8E">
        <w:t xml:space="preserve">. The SAEs reported in 2 or more patients were abdominal pain, pyrexia, influenza, UTI, and chronic kidney disease; these events occurred in 2 patients each (1.8%). There was a total of </w:t>
      </w:r>
      <w:r w:rsidRPr="007D1B55">
        <w:t>4 SAEs related to study drug (1 event of anaphylaxis, 1 event of LFT abnormal, 1 event of CKD,</w:t>
      </w:r>
      <w:r w:rsidRPr="00C73C8E">
        <w:t xml:space="preserve"> and 1 event of transaminases increased) in the pooled analysis of 111 AHP patients through the </w:t>
      </w:r>
      <w:r w:rsidRPr="00C73C8E">
        <w:lastRenderedPageBreak/>
        <w:t>Month</w:t>
      </w:r>
      <w:r w:rsidR="000B501F">
        <w:t> </w:t>
      </w:r>
      <w:r w:rsidRPr="00C73C8E">
        <w:t>12 cutoff of Study 003 and the Month</w:t>
      </w:r>
      <w:r w:rsidR="000B501F">
        <w:t> </w:t>
      </w:r>
      <w:r w:rsidRPr="00C73C8E">
        <w:t>18 cutoff of Study 002; all 4 occurred within the first 6</w:t>
      </w:r>
      <w:r w:rsidR="000B501F">
        <w:t> </w:t>
      </w:r>
      <w:r w:rsidRPr="00C73C8E">
        <w:t xml:space="preserve">months of </w:t>
      </w:r>
      <w:proofErr w:type="spellStart"/>
      <w:r w:rsidRPr="00C73C8E">
        <w:t>givosiran</w:t>
      </w:r>
      <w:proofErr w:type="spellEnd"/>
      <w:r w:rsidRPr="00C73C8E">
        <w:t xml:space="preserve"> treatment.</w:t>
      </w:r>
    </w:p>
    <w:p w14:paraId="569E5F90" w14:textId="69AF2D9E" w:rsidR="000C1BFE" w:rsidRDefault="000C1BFE" w:rsidP="00F16AF5">
      <w:pPr>
        <w:pStyle w:val="TableTitle"/>
      </w:pPr>
      <w:bookmarkStart w:id="57" w:name="_Ref170480481"/>
      <w:r>
        <w:t xml:space="preserve">Table </w:t>
      </w:r>
      <w:fldSimple w:instr=" SEQ Table \* ARABIC ">
        <w:r w:rsidR="007C529A">
          <w:rPr>
            <w:noProof/>
          </w:rPr>
          <w:t>7</w:t>
        </w:r>
      </w:fldSimple>
      <w:bookmarkEnd w:id="57"/>
      <w:r>
        <w:t>: Study 003 Serious adverse events during the 6</w:t>
      </w:r>
      <w:r>
        <w:noBreakHyphen/>
        <w:t>month double</w:t>
      </w:r>
      <w:r>
        <w:noBreakHyphen/>
        <w:t>blind period by System Organ Class and Preferred Term in AHP patients (safety analysis set)</w:t>
      </w:r>
    </w:p>
    <w:p w14:paraId="2EB7F165" w14:textId="287E5EF0" w:rsidR="009B0806" w:rsidRDefault="009B0806" w:rsidP="00D93EFA">
      <w:r>
        <w:rPr>
          <w:noProof/>
        </w:rPr>
        <w:drawing>
          <wp:inline distT="0" distB="0" distL="0" distR="0" wp14:anchorId="130CF3E2" wp14:editId="43EF5E71">
            <wp:extent cx="5391150" cy="5629275"/>
            <wp:effectExtent l="0" t="0" r="0" b="9525"/>
            <wp:docPr id="16" name="Picture 16" descr="Comparison of placebo (n=46) and givosiran (n=48) subjects for serious adverse events across various System Organ Class Preferred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parison of placebo (n=46) and givosiran (n=48) subjects for serious adverse events across various System Organ Class Preferred Terms"/>
                    <pic:cNvPicPr/>
                  </pic:nvPicPr>
                  <pic:blipFill>
                    <a:blip r:embed="rId32"/>
                    <a:stretch>
                      <a:fillRect/>
                    </a:stretch>
                  </pic:blipFill>
                  <pic:spPr>
                    <a:xfrm>
                      <a:off x="0" y="0"/>
                      <a:ext cx="5391150" cy="5629275"/>
                    </a:xfrm>
                    <a:prstGeom prst="rect">
                      <a:avLst/>
                    </a:prstGeom>
                  </pic:spPr>
                </pic:pic>
              </a:graphicData>
            </a:graphic>
          </wp:inline>
        </w:drawing>
      </w:r>
    </w:p>
    <w:p w14:paraId="2C631370" w14:textId="77777777" w:rsidR="002C36B9" w:rsidRPr="002C36B9" w:rsidRDefault="002C36B9" w:rsidP="00CF6CD1">
      <w:pPr>
        <w:pStyle w:val="Heading5"/>
      </w:pPr>
      <w:r w:rsidRPr="002C36B9">
        <w:t>Laboratory findings</w:t>
      </w:r>
    </w:p>
    <w:p w14:paraId="6FED6C60" w14:textId="779E45B4" w:rsidR="002C36B9" w:rsidRPr="002C36B9" w:rsidRDefault="002C36B9" w:rsidP="00553327">
      <w:r w:rsidRPr="002C36B9">
        <w:t xml:space="preserve">No significant changes in haematology or serum chemistry parameters were observed during the DB period of the Study 003. A higher proportion of patients in the placebo group reported lipase or amylase elevations compared to the </w:t>
      </w:r>
      <w:proofErr w:type="spellStart"/>
      <w:r w:rsidRPr="002C36B9">
        <w:t>givosiran</w:t>
      </w:r>
      <w:proofErr w:type="spellEnd"/>
      <w:r w:rsidRPr="002C36B9">
        <w:t xml:space="preserve"> group. On the other hand, more patients in the </w:t>
      </w:r>
      <w:proofErr w:type="spellStart"/>
      <w:r w:rsidRPr="002C36B9">
        <w:t>givosiran</w:t>
      </w:r>
      <w:proofErr w:type="spellEnd"/>
      <w:r w:rsidRPr="002C36B9">
        <w:t xml:space="preserve"> group experienced ALT/AST elevation, creatinine elevation and decrease in eGFR. Most of these elevations were transient and resolved during the study.</w:t>
      </w:r>
    </w:p>
    <w:p w14:paraId="0263A407" w14:textId="77777777" w:rsidR="002C36B9" w:rsidRPr="002C36B9" w:rsidRDefault="002C36B9" w:rsidP="00553327">
      <w:r w:rsidRPr="002C36B9">
        <w:t xml:space="preserve">A trend in a transient decrease in the diastolic blood pressure was observed on </w:t>
      </w:r>
      <w:proofErr w:type="spellStart"/>
      <w:r w:rsidRPr="002C36B9">
        <w:t>givosiran</w:t>
      </w:r>
      <w:proofErr w:type="spellEnd"/>
      <w:r w:rsidRPr="002C36B9">
        <w:t xml:space="preserve"> treatment, with no apparent change in the systolic blood pressure. Electrocardiograms did not reveal any abnormalities on </w:t>
      </w:r>
      <w:proofErr w:type="spellStart"/>
      <w:r w:rsidRPr="002C36B9">
        <w:t>givosiran</w:t>
      </w:r>
      <w:proofErr w:type="spellEnd"/>
      <w:r w:rsidRPr="002C36B9">
        <w:t xml:space="preserve"> treatment.</w:t>
      </w:r>
    </w:p>
    <w:p w14:paraId="43984B7A" w14:textId="77777777" w:rsidR="002C36B9" w:rsidRPr="002C36B9" w:rsidRDefault="002C36B9" w:rsidP="00CF6CD1">
      <w:pPr>
        <w:pStyle w:val="Heading5"/>
      </w:pPr>
      <w:r w:rsidRPr="002C36B9">
        <w:lastRenderedPageBreak/>
        <w:t>Safety in special populations</w:t>
      </w:r>
    </w:p>
    <w:p w14:paraId="4494643C" w14:textId="0DE51430" w:rsidR="002C36B9" w:rsidRPr="002C36B9" w:rsidRDefault="002C36B9" w:rsidP="00553327">
      <w:r w:rsidRPr="002C36B9">
        <w:t>Only one patient of 65 years old was included to the clinical development program. No patients above that age were studied.</w:t>
      </w:r>
    </w:p>
    <w:p w14:paraId="0BD62545" w14:textId="39D84F33" w:rsidR="002C36B9" w:rsidRPr="002C36B9" w:rsidRDefault="002C36B9" w:rsidP="00553327">
      <w:r w:rsidRPr="002C36B9">
        <w:t xml:space="preserve">No clear influence of gender, race, </w:t>
      </w:r>
      <w:proofErr w:type="gramStart"/>
      <w:r w:rsidRPr="002C36B9">
        <w:t>BMI</w:t>
      </w:r>
      <w:proofErr w:type="gramEnd"/>
      <w:r w:rsidRPr="002C36B9">
        <w:t xml:space="preserve"> or geographic region on the </w:t>
      </w:r>
      <w:proofErr w:type="spellStart"/>
      <w:r w:rsidRPr="002C36B9">
        <w:t>givosiran</w:t>
      </w:r>
      <w:proofErr w:type="spellEnd"/>
      <w:r w:rsidRPr="002C36B9">
        <w:t xml:space="preserve"> safety profile was observed. A somewhat higher frequency of AEs was reported in the older patient group (≥</w:t>
      </w:r>
      <w:r w:rsidR="006F207C">
        <w:t> </w:t>
      </w:r>
      <w:r w:rsidRPr="002C36B9">
        <w:t>38</w:t>
      </w:r>
      <w:r w:rsidR="006F207C">
        <w:t> </w:t>
      </w:r>
      <w:r w:rsidRPr="002C36B9">
        <w:t xml:space="preserve">years of age) in both placebo and </w:t>
      </w:r>
      <w:proofErr w:type="spellStart"/>
      <w:r w:rsidRPr="002C36B9">
        <w:t>givosiran</w:t>
      </w:r>
      <w:proofErr w:type="spellEnd"/>
      <w:r w:rsidRPr="002C36B9">
        <w:t xml:space="preserve"> treatment groups. More patients with prior hemin prophylaxis reported AEs (84.8%) compared to the patients with no prior hemin prophylaxis (76.9%). However, more patients with no prior hemin prophylaxis reported SAE (20%) compared to the patients with prior hemin prophylaxis (15.2%).</w:t>
      </w:r>
    </w:p>
    <w:p w14:paraId="316088E1" w14:textId="595FCF63" w:rsidR="002C36B9" w:rsidRPr="002C36B9" w:rsidRDefault="002C36B9" w:rsidP="00553327">
      <w:r w:rsidRPr="002C36B9">
        <w:t>The AEs associated with hepatic or renal events were usually reported in individuals with pre</w:t>
      </w:r>
      <w:r w:rsidR="008E0170">
        <w:noBreakHyphen/>
      </w:r>
      <w:r w:rsidRPr="002C36B9">
        <w:t>existing hepatic/renal condition. Three patients who had moderate renal function at baseline (eGFR ≥30 to &lt;60 ml/min/1.73 m</w:t>
      </w:r>
      <w:r w:rsidRPr="008E0170">
        <w:rPr>
          <w:vertAlign w:val="superscript"/>
        </w:rPr>
        <w:t>2</w:t>
      </w:r>
      <w:r w:rsidRPr="002C36B9">
        <w:t>) progressed to severe renal impairment during the study (eGFR &lt;30 ml/min/1.73 m</w:t>
      </w:r>
      <w:r w:rsidRPr="008E0170">
        <w:rPr>
          <w:vertAlign w:val="superscript"/>
        </w:rPr>
        <w:t>2</w:t>
      </w:r>
      <w:r w:rsidRPr="002C36B9">
        <w:t>).</w:t>
      </w:r>
    </w:p>
    <w:p w14:paraId="5F6FFE25" w14:textId="77777777" w:rsidR="002C36B9" w:rsidRPr="002C36B9" w:rsidRDefault="002C36B9" w:rsidP="00553327">
      <w:r w:rsidRPr="002C36B9">
        <w:t xml:space="preserve">No data is available on the use of </w:t>
      </w:r>
      <w:proofErr w:type="spellStart"/>
      <w:r w:rsidRPr="002C36B9">
        <w:t>givosiran</w:t>
      </w:r>
      <w:proofErr w:type="spellEnd"/>
      <w:r w:rsidRPr="002C36B9">
        <w:t xml:space="preserve"> in pregnant women and it is unknown whether </w:t>
      </w:r>
      <w:proofErr w:type="spellStart"/>
      <w:r w:rsidRPr="002C36B9">
        <w:t>givosiran</w:t>
      </w:r>
      <w:proofErr w:type="spellEnd"/>
      <w:r w:rsidRPr="002C36B9">
        <w:t xml:space="preserve"> is excreted in human milk.</w:t>
      </w:r>
    </w:p>
    <w:p w14:paraId="6675CC8C" w14:textId="77777777" w:rsidR="002C36B9" w:rsidRPr="002C36B9" w:rsidRDefault="002C36B9" w:rsidP="00CF6CD1">
      <w:pPr>
        <w:pStyle w:val="Heading5"/>
      </w:pPr>
      <w:r w:rsidRPr="002C36B9">
        <w:t>Immunological events</w:t>
      </w:r>
    </w:p>
    <w:p w14:paraId="50350168" w14:textId="1E7D9125" w:rsidR="002C36B9" w:rsidRPr="002C36B9" w:rsidRDefault="002C36B9" w:rsidP="00553327">
      <w:r w:rsidRPr="002C36B9">
        <w:t>Anti</w:t>
      </w:r>
      <w:r w:rsidR="00CB5911">
        <w:noBreakHyphen/>
      </w:r>
      <w:r w:rsidRPr="002C36B9">
        <w:t xml:space="preserve">drug antibodies were assessed over the course of each study. Overall, the incidence of treatment emergent ADA in </w:t>
      </w:r>
      <w:proofErr w:type="spellStart"/>
      <w:r w:rsidRPr="002C36B9">
        <w:t>givosiran</w:t>
      </w:r>
      <w:proofErr w:type="spellEnd"/>
      <w:r w:rsidR="00A53EB2">
        <w:noBreakHyphen/>
      </w:r>
      <w:r w:rsidRPr="002C36B9">
        <w:t xml:space="preserve">treated patients was low (one patient). The presence of ADA did not affect the safety profile of </w:t>
      </w:r>
      <w:proofErr w:type="spellStart"/>
      <w:r w:rsidRPr="002C36B9">
        <w:t>givosiran</w:t>
      </w:r>
      <w:proofErr w:type="spellEnd"/>
      <w:r w:rsidRPr="002C36B9">
        <w:t>.</w:t>
      </w:r>
    </w:p>
    <w:p w14:paraId="1C83D7DD" w14:textId="478492B1" w:rsidR="002C36B9" w:rsidRPr="00A53EB2" w:rsidRDefault="002C36B9" w:rsidP="00CF6CD1">
      <w:pPr>
        <w:pStyle w:val="Heading5"/>
      </w:pPr>
      <w:r w:rsidRPr="00A53EB2">
        <w:t>Safety related to drug</w:t>
      </w:r>
      <w:r w:rsidR="00A53EB2" w:rsidRPr="00A53EB2">
        <w:noBreakHyphen/>
      </w:r>
      <w:r w:rsidRPr="00A53EB2">
        <w:t>drug interactions and other interactions</w:t>
      </w:r>
    </w:p>
    <w:p w14:paraId="08FCEE0A" w14:textId="523605C4" w:rsidR="002C36B9" w:rsidRPr="002C36B9" w:rsidRDefault="002C36B9" w:rsidP="00553327">
      <w:r w:rsidRPr="002C36B9">
        <w:t xml:space="preserve">In the Study 004 </w:t>
      </w:r>
      <w:r w:rsidR="0055465A">
        <w:t>drug</w:t>
      </w:r>
      <w:r w:rsidR="0055465A">
        <w:noBreakHyphen/>
        <w:t>drug interaction</w:t>
      </w:r>
      <w:r w:rsidRPr="002C36B9">
        <w:t xml:space="preserve"> study with CHE patients, </w:t>
      </w:r>
      <w:proofErr w:type="spellStart"/>
      <w:r w:rsidRPr="002C36B9">
        <w:t>givosiran</w:t>
      </w:r>
      <w:proofErr w:type="spellEnd"/>
      <w:r w:rsidRPr="002C36B9">
        <w:t xml:space="preserve"> resulted in a moderate </w:t>
      </w:r>
      <w:r w:rsidRPr="007D1B55">
        <w:t>reduction (≤3.07</w:t>
      </w:r>
      <w:r w:rsidR="0055465A" w:rsidRPr="007D1B55">
        <w:noBreakHyphen/>
      </w:r>
      <w:r w:rsidRPr="007D1B55">
        <w:t>fold) in activity of cytochrome P450 (CYP) 1A2 and CYP2D6, weak reduction</w:t>
      </w:r>
      <w:r w:rsidRPr="002C36B9">
        <w:t xml:space="preserve"> (≤1.59</w:t>
      </w:r>
      <w:r w:rsidR="0055465A">
        <w:noBreakHyphen/>
      </w:r>
      <w:r w:rsidRPr="002C36B9">
        <w:t xml:space="preserve">fold) in activity of CYP3A4 and </w:t>
      </w:r>
      <w:proofErr w:type="gramStart"/>
      <w:r w:rsidRPr="002C36B9">
        <w:t>CYP2C19</w:t>
      </w:r>
      <w:r w:rsidR="0055465A">
        <w:t>,</w:t>
      </w:r>
      <w:r w:rsidRPr="002C36B9">
        <w:t xml:space="preserve"> and</w:t>
      </w:r>
      <w:proofErr w:type="gramEnd"/>
      <w:r w:rsidRPr="002C36B9">
        <w:t xml:space="preserve"> had no effect on CYP2C9 activity. No additional concerns were raised with respect to the safety of </w:t>
      </w:r>
      <w:proofErr w:type="spellStart"/>
      <w:r w:rsidRPr="002C36B9">
        <w:t>givosiran</w:t>
      </w:r>
      <w:proofErr w:type="spellEnd"/>
      <w:r w:rsidRPr="002C36B9">
        <w:t>.</w:t>
      </w:r>
    </w:p>
    <w:p w14:paraId="6A44A450" w14:textId="1A69606A" w:rsidR="002C36B9" w:rsidRPr="002C36B9" w:rsidRDefault="002C36B9" w:rsidP="00CF6CD1">
      <w:pPr>
        <w:pStyle w:val="Heading5"/>
      </w:pPr>
      <w:r w:rsidRPr="002C36B9">
        <w:t xml:space="preserve">Discontinuation due to </w:t>
      </w:r>
      <w:r w:rsidR="00E521F4">
        <w:t>adverse events</w:t>
      </w:r>
    </w:p>
    <w:p w14:paraId="6660711E" w14:textId="7D881B6C" w:rsidR="002C36B9" w:rsidRPr="002C36B9" w:rsidRDefault="002C36B9" w:rsidP="00553327">
      <w:r w:rsidRPr="002C36B9">
        <w:t xml:space="preserve">Overall, </w:t>
      </w:r>
      <w:r w:rsidR="00630660">
        <w:t>4</w:t>
      </w:r>
      <w:r w:rsidRPr="002C36B9">
        <w:t xml:space="preserve"> patients on </w:t>
      </w:r>
      <w:proofErr w:type="spellStart"/>
      <w:r w:rsidRPr="002C36B9">
        <w:t>givosiran</w:t>
      </w:r>
      <w:proofErr w:type="spellEnd"/>
      <w:r w:rsidRPr="002C36B9">
        <w:t xml:space="preserve"> discontinued the studies 001/002 or 003. Three of them discontinued due to the development of a SAE (ALT elevation, anaphylactic </w:t>
      </w:r>
      <w:proofErr w:type="gramStart"/>
      <w:r w:rsidRPr="002C36B9">
        <w:t>reaction</w:t>
      </w:r>
      <w:proofErr w:type="gramEnd"/>
      <w:r w:rsidRPr="002C36B9">
        <w:t xml:space="preserve"> or haemorrhagic pancreatitis) and one patient discontinued the OLE period of the Study 003 due to pregnancy.</w:t>
      </w:r>
    </w:p>
    <w:p w14:paraId="1CE086DC" w14:textId="77777777" w:rsidR="002C36B9" w:rsidRPr="002C36B9" w:rsidRDefault="002C36B9" w:rsidP="00553327">
      <w:r w:rsidRPr="002C36B9">
        <w:t xml:space="preserve">In the overall pooled </w:t>
      </w:r>
      <w:proofErr w:type="spellStart"/>
      <w:r w:rsidRPr="002C36B9">
        <w:t>givosiran</w:t>
      </w:r>
      <w:proofErr w:type="spellEnd"/>
      <w:r w:rsidRPr="002C36B9">
        <w:t xml:space="preserve"> experience, AEs leading to treatment interruption occurred in 8.1% of patients; of the patients with dose interruptions, 7 were in Study 003 and 2 occurred in Study 001C/002. AEs leading to dose interruption in more than 1 patient are CKD (2 patients) and ALT/AST elevations (2 patients).</w:t>
      </w:r>
    </w:p>
    <w:p w14:paraId="6CA25C2B" w14:textId="77777777" w:rsidR="002C36B9" w:rsidRPr="002C36B9" w:rsidRDefault="002C36B9" w:rsidP="002C36B9">
      <w:pPr>
        <w:pStyle w:val="Heading5"/>
      </w:pPr>
      <w:r w:rsidRPr="002C36B9">
        <w:t>Discussion on clinical safety</w:t>
      </w:r>
    </w:p>
    <w:p w14:paraId="2BB6CAF1" w14:textId="25CDFEFD" w:rsidR="002C36B9" w:rsidRPr="002C36B9" w:rsidRDefault="002C36B9" w:rsidP="00553327">
      <w:r w:rsidRPr="002C36B9">
        <w:t>The data from one pivotal study and two supportive studies compose the safety database. In general, the safety database is limited but can be acceptable, considering the rarity of the disease.</w:t>
      </w:r>
    </w:p>
    <w:p w14:paraId="1E9459FE" w14:textId="2D88A2DF" w:rsidR="002C36B9" w:rsidRPr="002C36B9" w:rsidRDefault="002C36B9" w:rsidP="00553327">
      <w:r w:rsidRPr="002C36B9">
        <w:t xml:space="preserve">In general, the trial population represents the target population rather well. Data on adolescents (≥ 12 year of age and ≤18) or patients &gt;65 years of age is, however, absent (due to their rarity) and the data on patients with various stages of renal or hepatic impairment is either absent or </w:t>
      </w:r>
      <w:r w:rsidRPr="0061172E">
        <w:t>limited. Therefore, further data will need to be collected post</w:t>
      </w:r>
      <w:r w:rsidR="00E30C67" w:rsidRPr="0061172E">
        <w:noBreakHyphen/>
      </w:r>
      <w:r w:rsidRPr="0061172E">
        <w:t>approval as part of the RMP.</w:t>
      </w:r>
    </w:p>
    <w:p w14:paraId="3C4D21F7" w14:textId="12A0474C" w:rsidR="002C36B9" w:rsidRPr="002C36B9" w:rsidRDefault="002C36B9" w:rsidP="00553327">
      <w:r w:rsidRPr="002C36B9">
        <w:t xml:space="preserve">The frequency of total adverse events and SAE related to the study drug was higher in the </w:t>
      </w:r>
      <w:proofErr w:type="spellStart"/>
      <w:r w:rsidRPr="002C36B9">
        <w:t>givosiran</w:t>
      </w:r>
      <w:proofErr w:type="spellEnd"/>
      <w:r w:rsidRPr="002C36B9">
        <w:t xml:space="preserve"> treatment group compared to placebo (45.8% vs 26.1% and 6.3% vs 0%) in the pivotal </w:t>
      </w:r>
      <w:r w:rsidRPr="002C36B9">
        <w:lastRenderedPageBreak/>
        <w:t>study. In the overall pooled experience, 65.8% patients experienced treatment</w:t>
      </w:r>
      <w:r w:rsidR="00FF0533">
        <w:noBreakHyphen/>
      </w:r>
      <w:r w:rsidRPr="002C36B9">
        <w:t xml:space="preserve">related AE and 3.6% experienced SAE. One death occurred in the </w:t>
      </w:r>
      <w:proofErr w:type="spellStart"/>
      <w:r w:rsidRPr="002C36B9">
        <w:t>givosiran</w:t>
      </w:r>
      <w:proofErr w:type="spellEnd"/>
      <w:r w:rsidRPr="002C36B9">
        <w:t xml:space="preserve"> treatment group (due to haemorrhagic pancreatitis). Three out of </w:t>
      </w:r>
      <w:r w:rsidR="00630660">
        <w:t>4</w:t>
      </w:r>
      <w:r w:rsidRPr="002C36B9">
        <w:t xml:space="preserve"> patients who discontinued the studies did it because of SAE, and </w:t>
      </w:r>
      <w:r w:rsidR="00630660">
        <w:t>9</w:t>
      </w:r>
      <w:r w:rsidRPr="002C36B9">
        <w:t xml:space="preserve"> patients had a dose interruption due to the AE.</w:t>
      </w:r>
    </w:p>
    <w:p w14:paraId="761CDF83" w14:textId="77777777" w:rsidR="002C36B9" w:rsidRPr="002C36B9" w:rsidRDefault="002C36B9" w:rsidP="00553327">
      <w:r w:rsidRPr="002C36B9">
        <w:t xml:space="preserve">Adverse events that were most frequently reported in the </w:t>
      </w:r>
      <w:proofErr w:type="spellStart"/>
      <w:r w:rsidRPr="002C36B9">
        <w:t>givosiran</w:t>
      </w:r>
      <w:proofErr w:type="spellEnd"/>
      <w:r w:rsidRPr="002C36B9">
        <w:t xml:space="preserve"> group are injection site reaction, nausea, fatigue, ALT elevation, rash, eGFR decrease and CKD. Most of the AEs were mild or moderate in severity and have resolved over the course of the study, </w:t>
      </w:r>
      <w:proofErr w:type="gramStart"/>
      <w:r w:rsidRPr="002C36B9">
        <w:t>with the exception of</w:t>
      </w:r>
      <w:proofErr w:type="gramEnd"/>
      <w:r w:rsidRPr="002C36B9">
        <w:t xml:space="preserve"> several events of CKD or fatigue. A recall phenomenon in the place of a previous injection brings some uncertainties to whether the drug might </w:t>
      </w:r>
      <w:proofErr w:type="gramStart"/>
      <w:r w:rsidRPr="002C36B9">
        <w:t>have an effect on</w:t>
      </w:r>
      <w:proofErr w:type="gramEnd"/>
      <w:r w:rsidRPr="002C36B9">
        <w:t xml:space="preserve"> the immune system systemically. Overall, the adverse events observed in the study are listed in the SmPC. One case of anaphylactic reaction was reported following </w:t>
      </w:r>
      <w:proofErr w:type="spellStart"/>
      <w:r w:rsidRPr="002C36B9">
        <w:t>givosiran</w:t>
      </w:r>
      <w:proofErr w:type="spellEnd"/>
      <w:r w:rsidRPr="002C36B9">
        <w:t xml:space="preserve"> use (in a patient with a history of various allergies and asthma).</w:t>
      </w:r>
    </w:p>
    <w:p w14:paraId="4CB79C2D" w14:textId="024B0E83" w:rsidR="002C36B9" w:rsidRPr="002C36B9" w:rsidRDefault="002C36B9" w:rsidP="00553327">
      <w:r w:rsidRPr="007D1B55">
        <w:t>The elevation in liver function test (LFT) is a known side effect of this type of compounds and is</w:t>
      </w:r>
      <w:r w:rsidRPr="002C36B9">
        <w:t xml:space="preserve"> consistent with the non</w:t>
      </w:r>
      <w:r w:rsidR="002B2711">
        <w:noBreakHyphen/>
      </w:r>
      <w:r w:rsidRPr="002C36B9">
        <w:t>clinical data. Currently, the SmPC includes a warning and recommendations on the monitoring of serum transaminases (ALT and AST) and total bilirubin. Moreover, a recommendation on the dose resumption after the treatment interruption due to the significant transaminase elevations is provided. However, it is not known whether the lower dose of 1.25</w:t>
      </w:r>
      <w:r w:rsidR="00CF085B">
        <w:t> </w:t>
      </w:r>
      <w:r w:rsidRPr="002C36B9">
        <w:t xml:space="preserve">mg/kg has a more favourable safety profile, as the data from the OLE period, where the efficacy and safety of this lower dose were evaluated, cannot be used to conclude on its better safety due to study design issues mentioned above (see discussion on efficacy). The transaminase elevations following </w:t>
      </w:r>
      <w:proofErr w:type="spellStart"/>
      <w:r w:rsidRPr="002C36B9">
        <w:t>givosiran</w:t>
      </w:r>
      <w:proofErr w:type="spellEnd"/>
      <w:r w:rsidRPr="002C36B9">
        <w:t xml:space="preserve"> treatment were more frequently reported in patients with a history of hepatic disorders or history of ALT elevations compared to patients with no history of hepatic disorders or ALT elevations. A similar situation was observed with AEs associated with renal events that were usually reported in individuals with preexisting CKD and reduced eGFR. Therefore, patients with the history of hepatic or renal disorders require additional safety warning in the SmPC to highlight an increased risk of </w:t>
      </w:r>
      <w:proofErr w:type="spellStart"/>
      <w:r w:rsidRPr="002C36B9">
        <w:t>givosiran</w:t>
      </w:r>
      <w:proofErr w:type="spellEnd"/>
      <w:r w:rsidRPr="002C36B9">
        <w:t xml:space="preserve"> side effects in these vulnerable patient populations.</w:t>
      </w:r>
    </w:p>
    <w:p w14:paraId="3AEF404B" w14:textId="77777777" w:rsidR="002C36B9" w:rsidRPr="002C36B9" w:rsidRDefault="002C36B9" w:rsidP="00553327">
      <w:r w:rsidRPr="002C36B9">
        <w:t xml:space="preserve">Givosiran does not seem to result in changes in haematology or serum chemistry parameters. No clear influence of intrinsic or extrinsic factors on the </w:t>
      </w:r>
      <w:proofErr w:type="spellStart"/>
      <w:r w:rsidRPr="002C36B9">
        <w:t>givosiran</w:t>
      </w:r>
      <w:proofErr w:type="spellEnd"/>
      <w:r w:rsidRPr="002C36B9">
        <w:t xml:space="preserve"> safety profile was observed, aside the renal or hepatic impairment. Due to the lack of data, </w:t>
      </w:r>
      <w:proofErr w:type="spellStart"/>
      <w:r w:rsidRPr="002C36B9">
        <w:t>givosiran</w:t>
      </w:r>
      <w:proofErr w:type="spellEnd"/>
      <w:r w:rsidRPr="002C36B9">
        <w:t xml:space="preserve"> should only be considered in pregnant or lactating women if the benefits for the mother outweigh the risks for the foetus.</w:t>
      </w:r>
    </w:p>
    <w:p w14:paraId="07823DD7" w14:textId="24B7A14A" w:rsidR="002C36B9" w:rsidRPr="002C36B9" w:rsidRDefault="002C36B9" w:rsidP="00553327">
      <w:r w:rsidRPr="002C36B9">
        <w:t xml:space="preserve">In general, the safety profile of </w:t>
      </w:r>
      <w:proofErr w:type="spellStart"/>
      <w:r w:rsidRPr="002C36B9">
        <w:t>givosiran</w:t>
      </w:r>
      <w:proofErr w:type="spellEnd"/>
      <w:r w:rsidRPr="002C36B9">
        <w:t xml:space="preserve"> is in accordance with that expected from non</w:t>
      </w:r>
      <w:r w:rsidR="00AA0689">
        <w:noBreakHyphen/>
      </w:r>
      <w:r w:rsidRPr="002C36B9">
        <w:t>clinical studies and known class effects of siRNA molecules targeted to the liver.</w:t>
      </w:r>
    </w:p>
    <w:p w14:paraId="2A8B0440" w14:textId="44AB0B89" w:rsidR="002C36B9" w:rsidRPr="002C36B9" w:rsidRDefault="002C36B9" w:rsidP="002C36B9">
      <w:pPr>
        <w:pStyle w:val="Heading5"/>
      </w:pPr>
      <w:r w:rsidRPr="002C36B9">
        <w:t>Conclusions on clinical safety</w:t>
      </w:r>
    </w:p>
    <w:p w14:paraId="322EC5FF" w14:textId="03AE53C2" w:rsidR="002C36B9" w:rsidRPr="002C36B9" w:rsidRDefault="002C36B9" w:rsidP="00553327">
      <w:r w:rsidRPr="002C36B9">
        <w:t xml:space="preserve">The safety data presented for the moment indicates that most of the (S)AE seems to be reversible and of mild or moderate nature. The safety profile is in general in accordance with known class effects of similar siRNA molecules targeted to the liver. Adverse events that were most frequently reported in the </w:t>
      </w:r>
      <w:proofErr w:type="spellStart"/>
      <w:r w:rsidRPr="002C36B9">
        <w:t>givosiran</w:t>
      </w:r>
      <w:proofErr w:type="spellEnd"/>
      <w:r w:rsidRPr="002C36B9">
        <w:t xml:space="preserve"> group are injection site reaction, nausea, fatigue, ALT elevation, rash, eGFR decrease and CKD. The safety of </w:t>
      </w:r>
      <w:proofErr w:type="spellStart"/>
      <w:r w:rsidRPr="002C36B9">
        <w:t>givosiran</w:t>
      </w:r>
      <w:proofErr w:type="spellEnd"/>
      <w:r w:rsidRPr="002C36B9">
        <w:t xml:space="preserve"> in some target sub-populations (</w:t>
      </w:r>
      <w:proofErr w:type="gramStart"/>
      <w:r w:rsidRPr="002C36B9">
        <w:t>e.g.</w:t>
      </w:r>
      <w:proofErr w:type="gramEnd"/>
      <w:r w:rsidRPr="002C36B9">
        <w:t xml:space="preserve"> adolescents, patients with hepatic or renal disease) will need to be further addressed by the applicant as part of the RMP. For now, it cannot be concluded that the lower 1.25</w:t>
      </w:r>
      <w:r w:rsidR="0028659A">
        <w:t> </w:t>
      </w:r>
      <w:r w:rsidRPr="002C36B9">
        <w:t>mg/kg dose has a better safety profile as compared to the 2.5</w:t>
      </w:r>
      <w:r w:rsidR="0028659A">
        <w:t> </w:t>
      </w:r>
      <w:r w:rsidRPr="002C36B9">
        <w:t>mg/kg dose.</w:t>
      </w:r>
    </w:p>
    <w:p w14:paraId="476E8AB3" w14:textId="77777777" w:rsidR="002C36B9" w:rsidRPr="002C36B9" w:rsidRDefault="002C36B9" w:rsidP="002C36B9">
      <w:pPr>
        <w:pStyle w:val="Heading5"/>
      </w:pPr>
      <w:r w:rsidRPr="002C36B9">
        <w:t>Post market experience</w:t>
      </w:r>
    </w:p>
    <w:p w14:paraId="76CBBE4E" w14:textId="4D01250F" w:rsidR="002C36B9" w:rsidRPr="002C36B9" w:rsidRDefault="00167C6D" w:rsidP="002C36B9">
      <w:r>
        <w:t>The TGA Delegate noted that t</w:t>
      </w:r>
      <w:r w:rsidR="002C36B9" w:rsidRPr="0061172E">
        <w:t xml:space="preserve">here have been </w:t>
      </w:r>
      <w:r w:rsidR="00FC4B21" w:rsidRPr="0061172E">
        <w:t>6</w:t>
      </w:r>
      <w:r w:rsidR="002C36B9" w:rsidRPr="0061172E">
        <w:t xml:space="preserve"> </w:t>
      </w:r>
      <w:r w:rsidR="00832F6F" w:rsidRPr="0061172E">
        <w:t>periodic benefit</w:t>
      </w:r>
      <w:r w:rsidR="00832F6F" w:rsidRPr="0061172E">
        <w:noBreakHyphen/>
        <w:t>risk evaluation reports (</w:t>
      </w:r>
      <w:r w:rsidR="002C36B9" w:rsidRPr="0061172E">
        <w:t>PBRER</w:t>
      </w:r>
      <w:r w:rsidR="00832F6F" w:rsidRPr="0061172E">
        <w:t>)</w:t>
      </w:r>
      <w:r w:rsidR="002C36B9" w:rsidRPr="0061172E">
        <w:t xml:space="preserve"> </w:t>
      </w:r>
      <w:r w:rsidR="00F7622E" w:rsidRPr="0061172E">
        <w:t>covering the period</w:t>
      </w:r>
      <w:r w:rsidR="00F7622E">
        <w:t xml:space="preserve"> 20</w:t>
      </w:r>
      <w:r w:rsidR="00832F6F">
        <w:t> </w:t>
      </w:r>
      <w:r w:rsidR="00F7622E">
        <w:t xml:space="preserve">November 2018 </w:t>
      </w:r>
      <w:r w:rsidR="002C36B9" w:rsidRPr="002C36B9">
        <w:t>to 19</w:t>
      </w:r>
      <w:r w:rsidR="00832F6F">
        <w:t> </w:t>
      </w:r>
      <w:r w:rsidR="002C36B9" w:rsidRPr="002C36B9">
        <w:t>November 2022 which have shown no new safety issues.</w:t>
      </w:r>
    </w:p>
    <w:p w14:paraId="0150A8E8" w14:textId="565BF5D8" w:rsidR="002C36B9" w:rsidRPr="002C36B9" w:rsidRDefault="002C36B9" w:rsidP="002C36B9">
      <w:pPr>
        <w:pStyle w:val="Heading5"/>
      </w:pPr>
      <w:r w:rsidRPr="002C36B9">
        <w:lastRenderedPageBreak/>
        <w:t>Other</w:t>
      </w:r>
    </w:p>
    <w:p w14:paraId="19CE08AC" w14:textId="3FF7838C" w:rsidR="007609BC" w:rsidRPr="002C36B9" w:rsidRDefault="00167C6D" w:rsidP="002C36B9">
      <w:r>
        <w:t>The TGA Delegate noted that r</w:t>
      </w:r>
      <w:r w:rsidR="000F47BE">
        <w:t>eal</w:t>
      </w:r>
      <w:r w:rsidR="000F47BE">
        <w:noBreakHyphen/>
        <w:t>world evidence/real</w:t>
      </w:r>
      <w:r w:rsidR="000F47BE">
        <w:noBreakHyphen/>
        <w:t>world data</w:t>
      </w:r>
      <w:r w:rsidR="002C36B9" w:rsidRPr="002C36B9">
        <w:t xml:space="preserve"> were included in the submission and were considered supportive for approval.</w:t>
      </w:r>
      <w:r w:rsidR="00C92672">
        <w:t xml:space="preserve"> </w:t>
      </w:r>
      <w:r w:rsidR="002C36B9" w:rsidRPr="002C36B9">
        <w:t xml:space="preserve">This evidence/data was </w:t>
      </w:r>
      <w:r w:rsidR="00C92672">
        <w:t>with</w:t>
      </w:r>
      <w:r w:rsidR="002C36B9" w:rsidRPr="002C36B9">
        <w:t>in the PBRER reports.</w:t>
      </w:r>
    </w:p>
    <w:p w14:paraId="2858B006" w14:textId="77777777" w:rsidR="00C22214" w:rsidRDefault="00C22214" w:rsidP="00C22214">
      <w:pPr>
        <w:pStyle w:val="Heading3"/>
        <w:rPr>
          <w:lang w:eastAsia="en-AU"/>
        </w:rPr>
      </w:pPr>
      <w:bookmarkStart w:id="58" w:name="_Toc314842514"/>
      <w:bookmarkStart w:id="59" w:name="_Toc103679298"/>
      <w:bookmarkStart w:id="60" w:name="_Toc170980408"/>
      <w:r>
        <w:rPr>
          <w:lang w:eastAsia="en-AU"/>
        </w:rPr>
        <w:t>Risk management plan</w:t>
      </w:r>
      <w:bookmarkEnd w:id="58"/>
      <w:bookmarkEnd w:id="59"/>
      <w:bookmarkEnd w:id="60"/>
    </w:p>
    <w:p w14:paraId="39F3CD1D" w14:textId="46C8005C" w:rsidR="0072003B" w:rsidRPr="00BD5DBD" w:rsidRDefault="00C22214" w:rsidP="00C22214">
      <w:pPr>
        <w:rPr>
          <w:szCs w:val="22"/>
        </w:rPr>
      </w:pPr>
      <w:bookmarkStart w:id="61" w:name="_Toc247691531"/>
      <w:bookmarkStart w:id="62" w:name="_Toc314842515"/>
      <w:r w:rsidRPr="00BD5DBD">
        <w:rPr>
          <w:szCs w:val="22"/>
        </w:rPr>
        <w:t xml:space="preserve">The summary of safety concerns and their associated risk monitoring and mitigation strategies </w:t>
      </w:r>
      <w:r w:rsidR="00B92292">
        <w:rPr>
          <w:szCs w:val="22"/>
        </w:rPr>
        <w:t>is presented</w:t>
      </w:r>
      <w:r w:rsidRPr="00BD5DBD">
        <w:rPr>
          <w:szCs w:val="22"/>
        </w:rPr>
        <w:t xml:space="preserve">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7C529A" w:rsidRPr="007C529A">
        <w:rPr>
          <w:szCs w:val="22"/>
        </w:rPr>
        <w:t xml:space="preserve">Table </w:t>
      </w:r>
      <w:r w:rsidR="007C529A" w:rsidRPr="007C529A">
        <w:rPr>
          <w:noProof/>
          <w:szCs w:val="22"/>
        </w:rPr>
        <w:t>8</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w:t>
      </w:r>
      <w:r w:rsidR="0061172E">
        <w:rPr>
          <w:szCs w:val="22"/>
        </w:rPr>
        <w:noBreakHyphen/>
      </w:r>
      <w:r w:rsidR="0072003B" w:rsidRPr="00BD5DBD">
        <w:rPr>
          <w:szCs w:val="22"/>
        </w:rPr>
        <w:t>cycle, during both the pre-approval and post-approval phases.</w:t>
      </w:r>
    </w:p>
    <w:p w14:paraId="56B51A93" w14:textId="5E7BEBD5" w:rsidR="006A277A" w:rsidRDefault="00C22214" w:rsidP="003D49AE">
      <w:pPr>
        <w:pStyle w:val="TableTitle"/>
      </w:pPr>
      <w:bookmarkStart w:id="63" w:name="_Ref97629131"/>
      <w:r>
        <w:t xml:space="preserve">Table </w:t>
      </w:r>
      <w:fldSimple w:instr=" SEQ Table \* ARABIC ">
        <w:r w:rsidR="007C529A">
          <w:rPr>
            <w:noProof/>
          </w:rPr>
          <w:t>8</w:t>
        </w:r>
      </w:fldSimple>
      <w:bookmarkEnd w:id="63"/>
      <w:r>
        <w:t>: Summary of safety concerns</w:t>
      </w:r>
    </w:p>
    <w:tbl>
      <w:tblPr>
        <w:tblStyle w:val="TableTGAblue2023"/>
        <w:tblW w:w="9067" w:type="dxa"/>
        <w:tblLayout w:type="fixed"/>
        <w:tblLook w:val="04A0" w:firstRow="1" w:lastRow="0" w:firstColumn="1" w:lastColumn="0" w:noHBand="0" w:noVBand="1"/>
      </w:tblPr>
      <w:tblGrid>
        <w:gridCol w:w="1555"/>
        <w:gridCol w:w="2409"/>
        <w:gridCol w:w="1134"/>
        <w:gridCol w:w="1418"/>
        <w:gridCol w:w="1134"/>
        <w:gridCol w:w="1417"/>
      </w:tblGrid>
      <w:tr w:rsidR="00127A74" w:rsidRPr="007A1992" w14:paraId="359A0C59" w14:textId="77777777" w:rsidTr="00E91F1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E91F11">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127A74" w:rsidRPr="007A1992" w14:paraId="05599231" w14:textId="77777777" w:rsidTr="003D49AE">
        <w:trPr>
          <w:trHeight w:val="137"/>
        </w:trPr>
        <w:tc>
          <w:tcPr>
            <w:cnfStyle w:val="001000000000" w:firstRow="0" w:lastRow="0" w:firstColumn="1" w:lastColumn="0" w:oddVBand="0" w:evenVBand="0" w:oddHBand="0" w:evenHBand="0" w:firstRowFirstColumn="0" w:firstRowLastColumn="0" w:lastRowFirstColumn="0" w:lastRowLastColumn="0"/>
            <w:tcW w:w="1555" w:type="dxa"/>
          </w:tcPr>
          <w:p w14:paraId="67382D75" w14:textId="77777777" w:rsidR="00127A74" w:rsidRPr="00127A74" w:rsidRDefault="00127A74" w:rsidP="00127A74">
            <w:pPr>
              <w:rPr>
                <w:b/>
                <w:bCs/>
              </w:rPr>
            </w:pPr>
            <w:r w:rsidRPr="00127A74">
              <w:rPr>
                <w:b/>
                <w:bCs/>
              </w:rPr>
              <w:t>Important identified risks</w:t>
            </w:r>
          </w:p>
        </w:tc>
        <w:tc>
          <w:tcPr>
            <w:tcW w:w="2409" w:type="dxa"/>
          </w:tcPr>
          <w:p w14:paraId="7134CBC0" w14:textId="5E93F71C" w:rsidR="00127A74" w:rsidRPr="00127A74" w:rsidRDefault="00B92292" w:rsidP="00127A74">
            <w:pPr>
              <w:cnfStyle w:val="000000000000" w:firstRow="0" w:lastRow="0" w:firstColumn="0" w:lastColumn="0" w:oddVBand="0" w:evenVBand="0" w:oddHBand="0" w:evenHBand="0" w:firstRowFirstColumn="0" w:firstRowLastColumn="0" w:lastRowFirstColumn="0" w:lastRowLastColumn="0"/>
            </w:pPr>
            <w:r>
              <w:t>Nil</w:t>
            </w:r>
          </w:p>
        </w:tc>
        <w:tc>
          <w:tcPr>
            <w:tcW w:w="1134" w:type="dxa"/>
          </w:tcPr>
          <w:p w14:paraId="11797452" w14:textId="3F6DD91A"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c>
          <w:tcPr>
            <w:tcW w:w="1418" w:type="dxa"/>
          </w:tcPr>
          <w:p w14:paraId="7B703318" w14:textId="1EA1C777"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c>
          <w:tcPr>
            <w:tcW w:w="1134" w:type="dxa"/>
          </w:tcPr>
          <w:p w14:paraId="1A652099" w14:textId="41100522"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c>
          <w:tcPr>
            <w:tcW w:w="1417" w:type="dxa"/>
          </w:tcPr>
          <w:p w14:paraId="34A0513E" w14:textId="488568BD"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r>
      <w:tr w:rsidR="003D49AE" w:rsidRPr="007A1992" w14:paraId="176B93B3" w14:textId="77777777" w:rsidTr="003D49AE">
        <w:trPr>
          <w:trHeight w:val="159"/>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77F0DB3E" w14:textId="77777777" w:rsidR="003D49AE" w:rsidRPr="00127A74" w:rsidRDefault="003D49AE" w:rsidP="003D49AE">
            <w:pPr>
              <w:rPr>
                <w:b/>
                <w:bCs/>
              </w:rPr>
            </w:pPr>
            <w:r w:rsidRPr="00127A74">
              <w:rPr>
                <w:b/>
                <w:bCs/>
              </w:rPr>
              <w:t>Important potential risks</w:t>
            </w:r>
          </w:p>
        </w:tc>
        <w:tc>
          <w:tcPr>
            <w:tcW w:w="2409" w:type="dxa"/>
          </w:tcPr>
          <w:p w14:paraId="6E17E14A" w14:textId="3201EAAC"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3D49AE">
              <w:t>Hepatic effects</w:t>
            </w:r>
          </w:p>
        </w:tc>
        <w:tc>
          <w:tcPr>
            <w:tcW w:w="1134" w:type="dxa"/>
          </w:tcPr>
          <w:p w14:paraId="252AD92F" w14:textId="2C831596"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sym w:font="Wingdings" w:char="F0FC"/>
            </w:r>
            <w:r>
              <w:t>∗</w:t>
            </w:r>
          </w:p>
        </w:tc>
        <w:tc>
          <w:tcPr>
            <w:tcW w:w="1418" w:type="dxa"/>
          </w:tcPr>
          <w:p w14:paraId="77DA98F1" w14:textId="1980334E"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3570C9">
              <w:sym w:font="Wingdings" w:char="F0FC"/>
            </w:r>
            <w:r>
              <w:t>†</w:t>
            </w:r>
          </w:p>
        </w:tc>
        <w:tc>
          <w:tcPr>
            <w:tcW w:w="1134" w:type="dxa"/>
          </w:tcPr>
          <w:p w14:paraId="182A5096" w14:textId="277FE05F"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997C4F">
              <w:sym w:font="Wingdings" w:char="F0FC"/>
            </w:r>
          </w:p>
        </w:tc>
        <w:tc>
          <w:tcPr>
            <w:tcW w:w="1417" w:type="dxa"/>
          </w:tcPr>
          <w:p w14:paraId="2A6247DC" w14:textId="6CDD2289"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t>−</w:t>
            </w:r>
          </w:p>
        </w:tc>
      </w:tr>
      <w:tr w:rsidR="003D49AE" w:rsidRPr="007A1992" w14:paraId="46F41607" w14:textId="77777777" w:rsidTr="003D49AE">
        <w:trPr>
          <w:trHeight w:val="122"/>
        </w:trPr>
        <w:tc>
          <w:tcPr>
            <w:cnfStyle w:val="001000000000" w:firstRow="0" w:lastRow="0" w:firstColumn="1" w:lastColumn="0" w:oddVBand="0" w:evenVBand="0" w:oddHBand="0" w:evenHBand="0" w:firstRowFirstColumn="0" w:firstRowLastColumn="0" w:lastRowFirstColumn="0" w:lastRowLastColumn="0"/>
            <w:tcW w:w="1555" w:type="dxa"/>
            <w:vMerge/>
          </w:tcPr>
          <w:p w14:paraId="6E3E4E92" w14:textId="77777777" w:rsidR="003D49AE" w:rsidRPr="00127A74" w:rsidRDefault="003D49AE" w:rsidP="003D49AE">
            <w:pPr>
              <w:rPr>
                <w:b/>
                <w:bCs/>
              </w:rPr>
            </w:pPr>
          </w:p>
        </w:tc>
        <w:tc>
          <w:tcPr>
            <w:tcW w:w="2409" w:type="dxa"/>
          </w:tcPr>
          <w:p w14:paraId="67592C3A" w14:textId="0E94A5D9"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3D49AE">
              <w:t>Renal effects</w:t>
            </w:r>
          </w:p>
        </w:tc>
        <w:tc>
          <w:tcPr>
            <w:tcW w:w="1134" w:type="dxa"/>
          </w:tcPr>
          <w:p w14:paraId="63028A34" w14:textId="5B9F25F9"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F606C">
              <w:sym w:font="Wingdings" w:char="F0FC"/>
            </w:r>
          </w:p>
        </w:tc>
        <w:tc>
          <w:tcPr>
            <w:tcW w:w="1418" w:type="dxa"/>
          </w:tcPr>
          <w:p w14:paraId="737CE4A0" w14:textId="4B991940"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35B8A">
              <w:sym w:font="Wingdings" w:char="F0FC"/>
            </w:r>
            <w:r w:rsidRPr="00A35B8A">
              <w:t>†</w:t>
            </w:r>
          </w:p>
        </w:tc>
        <w:tc>
          <w:tcPr>
            <w:tcW w:w="1134" w:type="dxa"/>
          </w:tcPr>
          <w:p w14:paraId="195BB202" w14:textId="6FCF5A2D"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997C4F">
              <w:sym w:font="Wingdings" w:char="F0FC"/>
            </w:r>
          </w:p>
        </w:tc>
        <w:tc>
          <w:tcPr>
            <w:tcW w:w="1417" w:type="dxa"/>
          </w:tcPr>
          <w:p w14:paraId="6DC8AF25" w14:textId="58755C2A"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FA23C6">
              <w:t>−</w:t>
            </w:r>
          </w:p>
        </w:tc>
      </w:tr>
      <w:tr w:rsidR="003D49AE" w:rsidRPr="007A1992" w14:paraId="1D3B7AB5" w14:textId="77777777" w:rsidTr="003D49AE">
        <w:trPr>
          <w:trHeight w:val="122"/>
        </w:trPr>
        <w:tc>
          <w:tcPr>
            <w:cnfStyle w:val="001000000000" w:firstRow="0" w:lastRow="0" w:firstColumn="1" w:lastColumn="0" w:oddVBand="0" w:evenVBand="0" w:oddHBand="0" w:evenHBand="0" w:firstRowFirstColumn="0" w:firstRowLastColumn="0" w:lastRowFirstColumn="0" w:lastRowLastColumn="0"/>
            <w:tcW w:w="1555" w:type="dxa"/>
            <w:vMerge/>
          </w:tcPr>
          <w:p w14:paraId="150DE62A" w14:textId="77777777" w:rsidR="003D49AE" w:rsidRPr="00127A74" w:rsidRDefault="003D49AE" w:rsidP="003D49AE">
            <w:pPr>
              <w:rPr>
                <w:b/>
                <w:bCs/>
              </w:rPr>
            </w:pPr>
          </w:p>
        </w:tc>
        <w:tc>
          <w:tcPr>
            <w:tcW w:w="2409" w:type="dxa"/>
          </w:tcPr>
          <w:p w14:paraId="51438C35" w14:textId="77AB35BE"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3D49AE">
              <w:t>Pancreatitis</w:t>
            </w:r>
          </w:p>
        </w:tc>
        <w:tc>
          <w:tcPr>
            <w:tcW w:w="1134" w:type="dxa"/>
          </w:tcPr>
          <w:p w14:paraId="2766BAE0" w14:textId="3BDFF329"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F606C">
              <w:sym w:font="Wingdings" w:char="F0FC"/>
            </w:r>
            <w:r>
              <w:t>∗</w:t>
            </w:r>
          </w:p>
        </w:tc>
        <w:tc>
          <w:tcPr>
            <w:tcW w:w="1418" w:type="dxa"/>
          </w:tcPr>
          <w:p w14:paraId="2B1BF340" w14:textId="4B6A83EA"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35B8A">
              <w:sym w:font="Wingdings" w:char="F0FC"/>
            </w:r>
            <w:r w:rsidRPr="00A35B8A">
              <w:t>†</w:t>
            </w:r>
          </w:p>
        </w:tc>
        <w:tc>
          <w:tcPr>
            <w:tcW w:w="1134" w:type="dxa"/>
          </w:tcPr>
          <w:p w14:paraId="6A4FA9DA" w14:textId="00C35CFF"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997C4F">
              <w:sym w:font="Wingdings" w:char="F0FC"/>
            </w:r>
          </w:p>
        </w:tc>
        <w:tc>
          <w:tcPr>
            <w:tcW w:w="1417" w:type="dxa"/>
          </w:tcPr>
          <w:p w14:paraId="0D33F49A" w14:textId="295D8FAD"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FA23C6">
              <w:t>−</w:t>
            </w:r>
          </w:p>
        </w:tc>
      </w:tr>
      <w:tr w:rsidR="003D49AE" w:rsidRPr="007A1992" w14:paraId="6879DD51" w14:textId="77777777" w:rsidTr="003D49AE">
        <w:trPr>
          <w:trHeight w:val="112"/>
        </w:trPr>
        <w:tc>
          <w:tcPr>
            <w:cnfStyle w:val="001000000000" w:firstRow="0" w:lastRow="0" w:firstColumn="1" w:lastColumn="0" w:oddVBand="0" w:evenVBand="0" w:oddHBand="0" w:evenHBand="0" w:firstRowFirstColumn="0" w:firstRowLastColumn="0" w:lastRowFirstColumn="0" w:lastRowLastColumn="0"/>
            <w:tcW w:w="1555" w:type="dxa"/>
            <w:vMerge/>
          </w:tcPr>
          <w:p w14:paraId="0DDF4587" w14:textId="77777777" w:rsidR="003D49AE" w:rsidRPr="00127A74" w:rsidRDefault="003D49AE" w:rsidP="003D49AE">
            <w:pPr>
              <w:rPr>
                <w:b/>
                <w:bCs/>
              </w:rPr>
            </w:pPr>
          </w:p>
        </w:tc>
        <w:tc>
          <w:tcPr>
            <w:tcW w:w="2409" w:type="dxa"/>
          </w:tcPr>
          <w:p w14:paraId="497B025E" w14:textId="025872B3" w:rsidR="003D49AE" w:rsidRPr="001C1800" w:rsidRDefault="003D49AE" w:rsidP="003D49AE">
            <w:pPr>
              <w:cnfStyle w:val="000000000000" w:firstRow="0" w:lastRow="0" w:firstColumn="0" w:lastColumn="0" w:oddVBand="0" w:evenVBand="0" w:oddHBand="0" w:evenHBand="0" w:firstRowFirstColumn="0" w:firstRowLastColumn="0" w:lastRowFirstColumn="0" w:lastRowLastColumn="0"/>
            </w:pPr>
            <w:r w:rsidRPr="001C1800">
              <w:t xml:space="preserve">Consequences of </w:t>
            </w:r>
            <w:r w:rsidR="00FB640F" w:rsidRPr="001C1800">
              <w:t>i</w:t>
            </w:r>
            <w:r w:rsidRPr="001C1800">
              <w:t xml:space="preserve">ncreased </w:t>
            </w:r>
            <w:r w:rsidR="00FB640F" w:rsidRPr="001C1800">
              <w:t>b</w:t>
            </w:r>
            <w:r w:rsidRPr="001C1800">
              <w:t xml:space="preserve">lood </w:t>
            </w:r>
            <w:r w:rsidR="001C1800" w:rsidRPr="001C1800">
              <w:t>h</w:t>
            </w:r>
            <w:r w:rsidRPr="001C1800">
              <w:t xml:space="preserve">omocysteine </w:t>
            </w:r>
            <w:r w:rsidR="001C1800" w:rsidRPr="001C1800">
              <w:t>l</w:t>
            </w:r>
            <w:r w:rsidRPr="001C1800">
              <w:t xml:space="preserve">evels </w:t>
            </w:r>
            <w:r w:rsidR="00FB640F" w:rsidRPr="001C1800">
              <w:rPr>
                <w:rFonts w:cs="TimesNewRomanPSMT"/>
              </w:rPr>
              <w:t>‡</w:t>
            </w:r>
          </w:p>
        </w:tc>
        <w:tc>
          <w:tcPr>
            <w:tcW w:w="1134" w:type="dxa"/>
          </w:tcPr>
          <w:p w14:paraId="0F169E14" w14:textId="781D40EA" w:rsidR="003D49AE" w:rsidRPr="001C1800" w:rsidRDefault="003D49AE" w:rsidP="003D49AE">
            <w:pPr>
              <w:cnfStyle w:val="000000000000" w:firstRow="0" w:lastRow="0" w:firstColumn="0" w:lastColumn="0" w:oddVBand="0" w:evenVBand="0" w:oddHBand="0" w:evenHBand="0" w:firstRowFirstColumn="0" w:firstRowLastColumn="0" w:lastRowFirstColumn="0" w:lastRowLastColumn="0"/>
            </w:pPr>
            <w:r w:rsidRPr="001C1800">
              <w:sym w:font="Wingdings" w:char="F0FC"/>
            </w:r>
          </w:p>
        </w:tc>
        <w:tc>
          <w:tcPr>
            <w:tcW w:w="1418" w:type="dxa"/>
          </w:tcPr>
          <w:p w14:paraId="71BB1524" w14:textId="505395C7"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35B8A">
              <w:sym w:font="Wingdings" w:char="F0FC"/>
            </w:r>
            <w:r w:rsidRPr="00A35B8A">
              <w:t>†</w:t>
            </w:r>
          </w:p>
        </w:tc>
        <w:tc>
          <w:tcPr>
            <w:tcW w:w="1134" w:type="dxa"/>
          </w:tcPr>
          <w:p w14:paraId="312708E7" w14:textId="61D364CC"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997C4F">
              <w:sym w:font="Wingdings" w:char="F0FC"/>
            </w:r>
          </w:p>
        </w:tc>
        <w:tc>
          <w:tcPr>
            <w:tcW w:w="1417" w:type="dxa"/>
          </w:tcPr>
          <w:p w14:paraId="418D6574" w14:textId="055DA037"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FA23C6">
              <w:t>−</w:t>
            </w:r>
          </w:p>
        </w:tc>
      </w:tr>
      <w:tr w:rsidR="003D49AE" w:rsidRPr="007A1992" w14:paraId="74C5E610" w14:textId="77777777" w:rsidTr="003D49AE">
        <w:trPr>
          <w:trHeight w:val="178"/>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262C65E3" w14:textId="77777777" w:rsidR="003D49AE" w:rsidRPr="00127A74" w:rsidRDefault="003D49AE" w:rsidP="003D49AE">
            <w:pPr>
              <w:rPr>
                <w:b/>
                <w:bCs/>
              </w:rPr>
            </w:pPr>
            <w:r w:rsidRPr="00127A74">
              <w:rPr>
                <w:b/>
                <w:bCs/>
              </w:rPr>
              <w:t>Missing information</w:t>
            </w:r>
          </w:p>
        </w:tc>
        <w:tc>
          <w:tcPr>
            <w:tcW w:w="2409" w:type="dxa"/>
          </w:tcPr>
          <w:p w14:paraId="104D79CD" w14:textId="0826D473"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3D49AE">
              <w:t>Longer-term safety (</w:t>
            </w:r>
            <w:r>
              <w:t xml:space="preserve">more than </w:t>
            </w:r>
            <w:r w:rsidRPr="003D49AE">
              <w:t>3 years)</w:t>
            </w:r>
          </w:p>
        </w:tc>
        <w:tc>
          <w:tcPr>
            <w:tcW w:w="1134" w:type="dxa"/>
          </w:tcPr>
          <w:p w14:paraId="07467A21" w14:textId="155058B5"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F606C">
              <w:sym w:font="Wingdings" w:char="F0FC"/>
            </w:r>
          </w:p>
        </w:tc>
        <w:tc>
          <w:tcPr>
            <w:tcW w:w="1418" w:type="dxa"/>
          </w:tcPr>
          <w:p w14:paraId="35C7F07F" w14:textId="31A5D11B"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35B8A">
              <w:sym w:font="Wingdings" w:char="F0FC"/>
            </w:r>
            <w:r w:rsidRPr="00A35B8A">
              <w:t>†</w:t>
            </w:r>
          </w:p>
        </w:tc>
        <w:tc>
          <w:tcPr>
            <w:tcW w:w="1134" w:type="dxa"/>
          </w:tcPr>
          <w:p w14:paraId="52620DEE" w14:textId="05CECEDD"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997C4F">
              <w:sym w:font="Wingdings" w:char="F0FC"/>
            </w:r>
          </w:p>
        </w:tc>
        <w:tc>
          <w:tcPr>
            <w:tcW w:w="1417" w:type="dxa"/>
          </w:tcPr>
          <w:p w14:paraId="16BD3C7B" w14:textId="73D81294"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FA23C6">
              <w:t>−</w:t>
            </w:r>
          </w:p>
        </w:tc>
      </w:tr>
      <w:tr w:rsidR="003D49AE" w:rsidRPr="007A1992" w14:paraId="4F7E669B" w14:textId="77777777" w:rsidTr="003D49AE">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08E3CDA9" w14:textId="77777777" w:rsidR="003D49AE" w:rsidRPr="00127A74" w:rsidRDefault="003D49AE" w:rsidP="003D49AE"/>
        </w:tc>
        <w:tc>
          <w:tcPr>
            <w:tcW w:w="2409" w:type="dxa"/>
          </w:tcPr>
          <w:p w14:paraId="26557156" w14:textId="1DA4AC75"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3D49AE">
              <w:t>Use in patients with moderate or severe hepatic impairment</w:t>
            </w:r>
          </w:p>
        </w:tc>
        <w:tc>
          <w:tcPr>
            <w:tcW w:w="1134" w:type="dxa"/>
          </w:tcPr>
          <w:p w14:paraId="36E9B8C6" w14:textId="4667C96E"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F606C">
              <w:sym w:font="Wingdings" w:char="F0FC"/>
            </w:r>
          </w:p>
        </w:tc>
        <w:tc>
          <w:tcPr>
            <w:tcW w:w="1418" w:type="dxa"/>
          </w:tcPr>
          <w:p w14:paraId="3F62572D" w14:textId="4153BC2B"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35B8A">
              <w:sym w:font="Wingdings" w:char="F0FC"/>
            </w:r>
            <w:r w:rsidRPr="00A35B8A">
              <w:t>†</w:t>
            </w:r>
          </w:p>
        </w:tc>
        <w:tc>
          <w:tcPr>
            <w:tcW w:w="1134" w:type="dxa"/>
          </w:tcPr>
          <w:p w14:paraId="3AB72B9F" w14:textId="69E2B0AD"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997C4F">
              <w:sym w:font="Wingdings" w:char="F0FC"/>
            </w:r>
          </w:p>
        </w:tc>
        <w:tc>
          <w:tcPr>
            <w:tcW w:w="1417" w:type="dxa"/>
          </w:tcPr>
          <w:p w14:paraId="2011372C" w14:textId="434DA53C"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FA23C6">
              <w:t>−</w:t>
            </w:r>
          </w:p>
        </w:tc>
      </w:tr>
      <w:tr w:rsidR="003D49AE" w:rsidRPr="007A1992" w14:paraId="0E5AEFE4" w14:textId="77777777" w:rsidTr="003D49AE">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6717FA88" w14:textId="77777777" w:rsidR="003D49AE" w:rsidRPr="00127A74" w:rsidRDefault="003D49AE" w:rsidP="003D49AE"/>
        </w:tc>
        <w:tc>
          <w:tcPr>
            <w:tcW w:w="2409" w:type="dxa"/>
          </w:tcPr>
          <w:p w14:paraId="1DF32407" w14:textId="57F7E522"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3D49AE">
              <w:t>Use in patients with end stage renal disease or on dialysis</w:t>
            </w:r>
          </w:p>
        </w:tc>
        <w:tc>
          <w:tcPr>
            <w:tcW w:w="1134" w:type="dxa"/>
          </w:tcPr>
          <w:p w14:paraId="13B9D43F" w14:textId="16A76B36"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F606C">
              <w:sym w:font="Wingdings" w:char="F0FC"/>
            </w:r>
          </w:p>
        </w:tc>
        <w:tc>
          <w:tcPr>
            <w:tcW w:w="1418" w:type="dxa"/>
          </w:tcPr>
          <w:p w14:paraId="5B103519" w14:textId="4466A2C6"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35B8A">
              <w:sym w:font="Wingdings" w:char="F0FC"/>
            </w:r>
            <w:r w:rsidRPr="00A35B8A">
              <w:t>†</w:t>
            </w:r>
          </w:p>
        </w:tc>
        <w:tc>
          <w:tcPr>
            <w:tcW w:w="1134" w:type="dxa"/>
          </w:tcPr>
          <w:p w14:paraId="17D1F379" w14:textId="38A0C61F"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997C4F">
              <w:sym w:font="Wingdings" w:char="F0FC"/>
            </w:r>
          </w:p>
        </w:tc>
        <w:tc>
          <w:tcPr>
            <w:tcW w:w="1417" w:type="dxa"/>
          </w:tcPr>
          <w:p w14:paraId="6C76384E" w14:textId="14C8D72D"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FA23C6">
              <w:t>−</w:t>
            </w:r>
          </w:p>
        </w:tc>
      </w:tr>
      <w:tr w:rsidR="003D49AE" w:rsidRPr="007A1992" w14:paraId="7D0EBB55" w14:textId="77777777" w:rsidTr="003D49AE">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51B1B281" w14:textId="77777777" w:rsidR="003D49AE" w:rsidRPr="00127A74" w:rsidRDefault="003D49AE" w:rsidP="003D49AE"/>
        </w:tc>
        <w:tc>
          <w:tcPr>
            <w:tcW w:w="2409" w:type="dxa"/>
          </w:tcPr>
          <w:p w14:paraId="2919CCF1" w14:textId="0B608AC4"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3D49AE">
              <w:t>Use in pregnant or lactating women and effects on pregnancy outcomes</w:t>
            </w:r>
          </w:p>
        </w:tc>
        <w:tc>
          <w:tcPr>
            <w:tcW w:w="1134" w:type="dxa"/>
          </w:tcPr>
          <w:p w14:paraId="5DD7F75D" w14:textId="2FC8BFD3"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F606C">
              <w:sym w:font="Wingdings" w:char="F0FC"/>
            </w:r>
          </w:p>
        </w:tc>
        <w:tc>
          <w:tcPr>
            <w:tcW w:w="1418" w:type="dxa"/>
          </w:tcPr>
          <w:p w14:paraId="4139A55E" w14:textId="307F6803"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A35B8A">
              <w:sym w:font="Wingdings" w:char="F0FC"/>
            </w:r>
            <w:r w:rsidRPr="00A35B8A">
              <w:t>†</w:t>
            </w:r>
          </w:p>
        </w:tc>
        <w:tc>
          <w:tcPr>
            <w:tcW w:w="1134" w:type="dxa"/>
          </w:tcPr>
          <w:p w14:paraId="5B89E748" w14:textId="0ADD74F9"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997C4F">
              <w:sym w:font="Wingdings" w:char="F0FC"/>
            </w:r>
          </w:p>
        </w:tc>
        <w:tc>
          <w:tcPr>
            <w:tcW w:w="1417" w:type="dxa"/>
          </w:tcPr>
          <w:p w14:paraId="547A90B8" w14:textId="77F38DCB" w:rsidR="003D49AE" w:rsidRPr="00127A74" w:rsidRDefault="003D49AE" w:rsidP="003D49AE">
            <w:pPr>
              <w:cnfStyle w:val="000000000000" w:firstRow="0" w:lastRow="0" w:firstColumn="0" w:lastColumn="0" w:oddVBand="0" w:evenVBand="0" w:oddHBand="0" w:evenHBand="0" w:firstRowFirstColumn="0" w:firstRowLastColumn="0" w:lastRowFirstColumn="0" w:lastRowLastColumn="0"/>
            </w:pPr>
            <w:r w:rsidRPr="00FA23C6">
              <w:t>−</w:t>
            </w:r>
          </w:p>
        </w:tc>
      </w:tr>
    </w:tbl>
    <w:p w14:paraId="34F9668B" w14:textId="06730A19" w:rsidR="003D49AE" w:rsidRPr="00893592" w:rsidRDefault="003D49AE" w:rsidP="00E343EC">
      <w:pPr>
        <w:pStyle w:val="TableDescription"/>
      </w:pPr>
      <w:r>
        <w:t>∗</w:t>
      </w:r>
      <w:r w:rsidRPr="00893592">
        <w:t>Specific targeted follow-up questionnaire</w:t>
      </w:r>
      <w:r>
        <w:t>s</w:t>
      </w:r>
    </w:p>
    <w:p w14:paraId="5EDFA003" w14:textId="30D1D050" w:rsidR="003D49AE" w:rsidRDefault="003D49AE" w:rsidP="00E343EC">
      <w:pPr>
        <w:pStyle w:val="TableDescription"/>
        <w:rPr>
          <w:rFonts w:cs="TimesNewRomanPSMT"/>
        </w:rPr>
      </w:pPr>
      <w:r>
        <w:rPr>
          <w:rFonts w:cstheme="majorHAnsi"/>
        </w:rPr>
        <w:t>†</w:t>
      </w:r>
      <w:r w:rsidRPr="00893592">
        <w:rPr>
          <w:rFonts w:cs="TimesNewRomanPSMT"/>
        </w:rPr>
        <w:t>Post-authorization observational study</w:t>
      </w:r>
    </w:p>
    <w:p w14:paraId="48E55E12" w14:textId="2333EEBA" w:rsidR="003D49AE" w:rsidRDefault="003D49AE" w:rsidP="00E343EC">
      <w:pPr>
        <w:pStyle w:val="TableDescription"/>
      </w:pPr>
      <w:r w:rsidRPr="001C1800">
        <w:rPr>
          <w:rFonts w:cs="TimesNewRomanPSMT"/>
        </w:rPr>
        <w:t>‡</w:t>
      </w:r>
      <w:r w:rsidRPr="001C1800">
        <w:t xml:space="preserve">Includes reference to ‘thromboembolic events’, that is, </w:t>
      </w:r>
      <w:r w:rsidRPr="001C1800">
        <w:rPr>
          <w:i/>
          <w:iCs/>
        </w:rPr>
        <w:t>‘Clinical consequences of increased blood homocysteine levels, in particular thromboembolic events’</w:t>
      </w:r>
      <w:r w:rsidRPr="001C1800">
        <w:t xml:space="preserve"> in EU RMP.</w:t>
      </w:r>
    </w:p>
    <w:p w14:paraId="16E5DFAA" w14:textId="53D4B97D" w:rsidR="00032A0F" w:rsidRPr="0061172E" w:rsidRDefault="00032A0F" w:rsidP="003B149C">
      <w:pPr>
        <w:rPr>
          <w:rFonts w:eastAsia="Cambria" w:cs="Times New Roman"/>
          <w:i/>
          <w:szCs w:val="22"/>
        </w:rPr>
      </w:pPr>
      <w:r w:rsidRPr="0061172E">
        <w:t>The RMP evaluation recommended conditions of registration relating to the versions of the risk management plan, requirement for periodic safety update reports, and inclusion of the medicine in the Black Triangle Scheme.</w:t>
      </w:r>
    </w:p>
    <w:p w14:paraId="74A4F87F" w14:textId="77777777" w:rsidR="00C22214" w:rsidRDefault="00C22214" w:rsidP="00C22214">
      <w:pPr>
        <w:pStyle w:val="Heading3"/>
      </w:pPr>
      <w:bookmarkStart w:id="64" w:name="_Toc103679299"/>
      <w:bookmarkStart w:id="65" w:name="_Toc170980409"/>
      <w:r>
        <w:lastRenderedPageBreak/>
        <w:t>Risk-benefit analysis</w:t>
      </w:r>
      <w:bookmarkEnd w:id="61"/>
      <w:bookmarkEnd w:id="62"/>
      <w:bookmarkEnd w:id="64"/>
      <w:bookmarkEnd w:id="65"/>
    </w:p>
    <w:p w14:paraId="77DE2655" w14:textId="6A18B78B" w:rsidR="00C22214" w:rsidRDefault="00802F81" w:rsidP="00C22214">
      <w:pPr>
        <w:pStyle w:val="Heading4"/>
      </w:pPr>
      <w:bookmarkStart w:id="66" w:name="_Toc98931932"/>
      <w:bookmarkStart w:id="67" w:name="_Toc170980410"/>
      <w:r>
        <w:t xml:space="preserve">European </w:t>
      </w:r>
      <w:r w:rsidR="00CF6CD1">
        <w:t>assessment</w:t>
      </w:r>
      <w:bookmarkEnd w:id="66"/>
      <w:r w:rsidR="00167C6D">
        <w:rPr>
          <w:rStyle w:val="FootnoteReference"/>
        </w:rPr>
        <w:footnoteReference w:id="15"/>
      </w:r>
      <w:bookmarkEnd w:id="67"/>
    </w:p>
    <w:p w14:paraId="06D69B6C" w14:textId="1B3386E5" w:rsidR="002B3110" w:rsidRPr="00802F81" w:rsidRDefault="002B3110" w:rsidP="00651115">
      <w:pPr>
        <w:pStyle w:val="Heading5"/>
        <w:rPr>
          <w:rFonts w:eastAsiaTheme="minorHAnsi"/>
        </w:rPr>
      </w:pPr>
      <w:r w:rsidRPr="00802F81">
        <w:rPr>
          <w:rFonts w:eastAsiaTheme="minorHAnsi"/>
        </w:rPr>
        <w:t xml:space="preserve">Therapeutic </w:t>
      </w:r>
      <w:r w:rsidR="00077D39">
        <w:rPr>
          <w:rFonts w:eastAsiaTheme="minorHAnsi"/>
        </w:rPr>
        <w:t>c</w:t>
      </w:r>
      <w:r w:rsidRPr="00802F81">
        <w:rPr>
          <w:rFonts w:eastAsiaTheme="minorHAnsi"/>
        </w:rPr>
        <w:t>ontext</w:t>
      </w:r>
    </w:p>
    <w:p w14:paraId="721535E7" w14:textId="5095F930" w:rsidR="002B3110" w:rsidRPr="00802F81" w:rsidRDefault="002B3110" w:rsidP="00651115">
      <w:pPr>
        <w:pStyle w:val="Heading6"/>
        <w:rPr>
          <w:rFonts w:eastAsiaTheme="minorHAnsi"/>
        </w:rPr>
      </w:pPr>
      <w:r w:rsidRPr="00802F81">
        <w:rPr>
          <w:rFonts w:eastAsiaTheme="minorHAnsi"/>
        </w:rPr>
        <w:t>Disease or condition</w:t>
      </w:r>
    </w:p>
    <w:p w14:paraId="3C1E0EBB" w14:textId="7E3E3FE5" w:rsidR="002B3110" w:rsidRPr="00802F81" w:rsidRDefault="002B3110" w:rsidP="00553327">
      <w:r w:rsidRPr="00802F81">
        <w:t xml:space="preserve">Acute hepatic porphyria (AHP) is a family of rare, serious, and severely debilitating genetic disorders of liver heme synthesis. Symptoms arise due to accumulation of the toxic heme intermediates </w:t>
      </w:r>
      <w:proofErr w:type="spellStart"/>
      <w:r w:rsidRPr="00802F81">
        <w:t>aminolevulinic</w:t>
      </w:r>
      <w:proofErr w:type="spellEnd"/>
      <w:r w:rsidRPr="00802F81">
        <w:t xml:space="preserve"> acid (ALA) and porphobilinogen (PBG) due to induced expression of </w:t>
      </w:r>
      <w:proofErr w:type="spellStart"/>
      <w:r w:rsidRPr="00802F81">
        <w:t>deltaaminolevulinate</w:t>
      </w:r>
      <w:proofErr w:type="spellEnd"/>
      <w:r w:rsidRPr="00802F81">
        <w:t xml:space="preserve"> synthase 1 (ALAS1) in the presence of a pathogenic loss of function gene mutation in a downstream heme synthesis enzyme. There are 4 subtypes of AHP, each involving a defect in a distinct heme pathway enzyme, with </w:t>
      </w:r>
      <w:r w:rsidR="00014EC2">
        <w:t>AIP</w:t>
      </w:r>
      <w:r w:rsidRPr="00802F81">
        <w:t xml:space="preserve"> being the most common AHP subtype representing approximately 80% of all AHP cases. All AHP subtypes share a common pathophysiologic basis of disease, which is accumulation of ALA and PBG causing injury primarily to the nervous system and other organs, resulting in acute painful neurovisceral attacks as well as in chronic symptoms and disability.</w:t>
      </w:r>
    </w:p>
    <w:p w14:paraId="5DA27A68" w14:textId="3C12C9AD" w:rsidR="002B3110" w:rsidRPr="00802F81" w:rsidRDefault="002B3110" w:rsidP="00553327">
      <w:r w:rsidRPr="00802F81">
        <w:t xml:space="preserve">Givosiran is a ribonucleic acid interference (RNAi) therapeutic that inhibits ALAS1 mRNA in the liver, decreasing the production of liver ALAS1 protein. The therapeutic hypothesis of </w:t>
      </w:r>
      <w:proofErr w:type="spellStart"/>
      <w:r w:rsidRPr="00802F81">
        <w:t>givosiran</w:t>
      </w:r>
      <w:proofErr w:type="spellEnd"/>
      <w:r w:rsidRPr="00802F81">
        <w:t xml:space="preserve"> is that this RNAi</w:t>
      </w:r>
      <w:r w:rsidR="00774953">
        <w:noBreakHyphen/>
      </w:r>
      <w:r w:rsidRPr="00802F81">
        <w:t>mediated reduction of induced liver ALAS1 mRNA levels leads to the sustained lowering of the elevated toxic heme intermediates ALA and PBG, thereby preventing or reducing neurovisceral attacks and ongoing symptoms in all AHP disease subtypes.</w:t>
      </w:r>
    </w:p>
    <w:p w14:paraId="2C125CE0" w14:textId="5D3C2944" w:rsidR="002B3110" w:rsidRPr="00802F81" w:rsidRDefault="002B3110" w:rsidP="00ED7653">
      <w:pPr>
        <w:pStyle w:val="Heading6"/>
        <w:rPr>
          <w:rFonts w:eastAsiaTheme="minorHAnsi"/>
        </w:rPr>
      </w:pPr>
      <w:r w:rsidRPr="00802F81">
        <w:rPr>
          <w:rFonts w:eastAsiaTheme="minorHAnsi"/>
        </w:rPr>
        <w:t>Available therapies and unmet medical need</w:t>
      </w:r>
    </w:p>
    <w:p w14:paraId="2789B46D" w14:textId="352628EE" w:rsidR="002B3110" w:rsidRPr="00802F81" w:rsidRDefault="002B3110" w:rsidP="00553327">
      <w:r w:rsidRPr="00802F81">
        <w:t>Most severe AHP patients (5-10%) have recurrent attacks (≥ 4 per year). Each porphyria attack is</w:t>
      </w:r>
      <w:r w:rsidR="00ED7653">
        <w:t xml:space="preserve"> </w:t>
      </w:r>
      <w:r w:rsidRPr="00802F81">
        <w:t xml:space="preserve">serious, highly morbid, and carries potential for permanent disability, and where specific </w:t>
      </w:r>
      <w:r w:rsidRPr="00F13036">
        <w:t>treatment is delayed or not available, attacks can be life-threatening.</w:t>
      </w:r>
      <w:r w:rsidR="00C471B8" w:rsidRPr="00F13036">
        <w:rPr>
          <w:rStyle w:val="FootnoteReference"/>
          <w:sz w:val="20"/>
        </w:rPr>
        <w:footnoteReference w:id="16"/>
      </w:r>
      <w:r w:rsidRPr="00F13036">
        <w:t xml:space="preserve"> Due to unpredictability and</w:t>
      </w:r>
      <w:r w:rsidRPr="00802F81">
        <w:t xml:space="preserve"> severity of porphyria disease manifestations, many patients are unable to work or attend school, have decreased socialization, and increased rates of depression and anxiety.</w:t>
      </w:r>
    </w:p>
    <w:p w14:paraId="48E5362E" w14:textId="04262E81" w:rsidR="002B3110" w:rsidRPr="00802F81" w:rsidRDefault="002B3110" w:rsidP="00553327">
      <w:r w:rsidRPr="00802F81">
        <w:t xml:space="preserve">Current treatment options for AHP are limited. Patients are initially treated with supportive care </w:t>
      </w:r>
      <w:r w:rsidRPr="00F94EA3">
        <w:t>during the attacks such as intravenous (IV) glucose, typically large doses of IV opioid analgesics,</w:t>
      </w:r>
      <w:r w:rsidRPr="00802F81">
        <w:t xml:space="preserve"> and antiemetics along with the removal of known precipitating triggers, such as certain medications or fasting</w:t>
      </w:r>
      <w:r w:rsidR="004B76FC">
        <w:t>.</w:t>
      </w:r>
      <w:r w:rsidR="004B76FC">
        <w:rPr>
          <w:rStyle w:val="FootnoteReference"/>
          <w:sz w:val="20"/>
        </w:rPr>
        <w:footnoteReference w:id="17"/>
      </w:r>
      <w:r w:rsidRPr="00802F81">
        <w:t xml:space="preserve"> Intravenous hemin is the only therapy currently approved for the </w:t>
      </w:r>
      <w:r w:rsidRPr="00802F81">
        <w:lastRenderedPageBreak/>
        <w:t>treatment of acute attacks; hemin is not approved as a chronic treatment to prevent attacks,</w:t>
      </w:r>
      <w:r w:rsidR="00D46458">
        <w:rPr>
          <w:rStyle w:val="FootnoteReference"/>
          <w:sz w:val="20"/>
        </w:rPr>
        <w:footnoteReference w:id="18"/>
      </w:r>
      <w:r w:rsidRPr="00802F81">
        <w:t xml:space="preserve"> however it is used off</w:t>
      </w:r>
      <w:r w:rsidR="00A64072">
        <w:noBreakHyphen/>
      </w:r>
      <w:r w:rsidRPr="00802F81">
        <w:t>label. While hemin infusion temporarily reduces production of ALA and PBG through feedback inhibition of ALAS1 messenger ribonucleic acid (mRNA) expression, it has a short duration of action (elimination half-life of approximately 11</w:t>
      </w:r>
      <w:r w:rsidR="00A64072">
        <w:t> </w:t>
      </w:r>
      <w:r w:rsidRPr="00802F81">
        <w:t>hours), which limits its effectiveness and permits residual attack activity when used prophylactically. Moreover, they are a big burden for AHP patients as they carry the risk of morbidity, such as iron overload or infections due to the catheter lines. The repeated use of hemin commonly causes venous access problems in AHP patients.</w:t>
      </w:r>
    </w:p>
    <w:p w14:paraId="0EC24ABB" w14:textId="2AC1B189" w:rsidR="002B3110" w:rsidRPr="00802F81" w:rsidRDefault="002B3110" w:rsidP="00553327">
      <w:r w:rsidRPr="00802F81">
        <w:t>Additional treatments for AHP include chemically induced menopause with hormonal suppression therapy (</w:t>
      </w:r>
      <w:r w:rsidR="009B07C4">
        <w:t xml:space="preserve">for example, </w:t>
      </w:r>
      <w:r w:rsidRPr="00802F81">
        <w:t>gonadotropin releasing hormone agonists)</w:t>
      </w:r>
      <w:r w:rsidR="00A27F48">
        <w:rPr>
          <w:rStyle w:val="FootnoteReference"/>
          <w:sz w:val="20"/>
        </w:rPr>
        <w:footnoteReference w:id="19"/>
      </w:r>
      <w:r w:rsidRPr="00802F81">
        <w:t xml:space="preserve"> and liver</w:t>
      </w:r>
      <w:r w:rsidR="00A27F48">
        <w:t xml:space="preserve"> </w:t>
      </w:r>
      <w:r w:rsidRPr="00802F81">
        <w:t>transplantation for patients with refractory disease or those who no longer have adequate venous access</w:t>
      </w:r>
      <w:r w:rsidR="00A27F48">
        <w:t>.</w:t>
      </w:r>
      <w:r w:rsidR="00A27F48">
        <w:rPr>
          <w:rStyle w:val="FootnoteReference"/>
          <w:sz w:val="20"/>
        </w:rPr>
        <w:footnoteReference w:id="20"/>
      </w:r>
    </w:p>
    <w:p w14:paraId="42329551" w14:textId="0CB37311" w:rsidR="002B3110" w:rsidRPr="00802F81" w:rsidRDefault="002B3110" w:rsidP="00553327">
      <w:r w:rsidRPr="00802F81">
        <w:t>Consequently, there is a clear unmet need for therapies that durably decrease the frequency of</w:t>
      </w:r>
      <w:r w:rsidR="00A27F48">
        <w:t xml:space="preserve"> </w:t>
      </w:r>
      <w:r w:rsidRPr="00802F81">
        <w:t>debilitating attacks, diminish chronic symptoms, and improve patients’ physical functioning and quality of life. In addition, therapeutics that reduce the need for opioid analgesics or drugs requiring chronic indwelling central venous catheters would reduce morbidity associated with these interventions.</w:t>
      </w:r>
    </w:p>
    <w:p w14:paraId="299714FA" w14:textId="79A4E61F" w:rsidR="002B3110" w:rsidRPr="00802F81" w:rsidRDefault="002B3110" w:rsidP="00820947">
      <w:pPr>
        <w:pStyle w:val="Heading6"/>
        <w:rPr>
          <w:rFonts w:eastAsiaTheme="minorHAnsi"/>
        </w:rPr>
      </w:pPr>
      <w:r w:rsidRPr="00802F81">
        <w:rPr>
          <w:rFonts w:eastAsiaTheme="minorHAnsi"/>
        </w:rPr>
        <w:t>Main clinical studies</w:t>
      </w:r>
    </w:p>
    <w:p w14:paraId="0D7439D3" w14:textId="4A33DA2B" w:rsidR="002B3110" w:rsidRPr="00802F81" w:rsidRDefault="002B3110" w:rsidP="00553327">
      <w:r w:rsidRPr="00802F81">
        <w:t>The main evidence of efficacy submitted is a single</w:t>
      </w:r>
      <w:r w:rsidR="00F1783E">
        <w:t>,</w:t>
      </w:r>
      <w:r w:rsidRPr="00802F81">
        <w:t xml:space="preserve"> </w:t>
      </w:r>
      <w:r w:rsidR="00F1783E">
        <w:t>P</w:t>
      </w:r>
      <w:r w:rsidRPr="00802F81">
        <w:t>hase III</w:t>
      </w:r>
      <w:r w:rsidR="00F1783E">
        <w:t>,</w:t>
      </w:r>
      <w:r w:rsidRPr="00802F81">
        <w:t xml:space="preserve"> randomi</w:t>
      </w:r>
      <w:r w:rsidR="00F1783E">
        <w:t>s</w:t>
      </w:r>
      <w:r w:rsidRPr="00802F81">
        <w:t>ed</w:t>
      </w:r>
      <w:r w:rsidR="00F1783E">
        <w:t>,</w:t>
      </w:r>
      <w:r w:rsidRPr="00802F81">
        <w:t xml:space="preserve"> double</w:t>
      </w:r>
      <w:r w:rsidR="00820947">
        <w:noBreakHyphen/>
      </w:r>
      <w:r w:rsidRPr="00802F81">
        <w:t>blind, placebo</w:t>
      </w:r>
      <w:r w:rsidR="00F1783E">
        <w:noBreakHyphen/>
      </w:r>
      <w:r w:rsidRPr="00802F81">
        <w:t>controlled</w:t>
      </w:r>
      <w:r w:rsidR="00F1783E">
        <w:t>,</w:t>
      </w:r>
      <w:r w:rsidRPr="00802F81">
        <w:t xml:space="preserve"> multicentre study with an open</w:t>
      </w:r>
      <w:r w:rsidR="00820947">
        <w:noBreakHyphen/>
      </w:r>
      <w:r w:rsidRPr="00802F81">
        <w:t>label extension to evaluate the efficacy and safety of</w:t>
      </w:r>
      <w:r w:rsidR="00820947">
        <w:t xml:space="preserve"> </w:t>
      </w:r>
      <w:proofErr w:type="spellStart"/>
      <w:r w:rsidRPr="00802F81">
        <w:t>givosiran</w:t>
      </w:r>
      <w:proofErr w:type="spellEnd"/>
      <w:r w:rsidRPr="00802F81">
        <w:t xml:space="preserve"> in patients with AHP who experienced at least 2</w:t>
      </w:r>
      <w:r w:rsidR="00820947">
        <w:t> </w:t>
      </w:r>
      <w:r w:rsidRPr="00802F81">
        <w:t>attacks in the past 6</w:t>
      </w:r>
      <w:r w:rsidR="00820947">
        <w:t> </w:t>
      </w:r>
      <w:r w:rsidRPr="00802F81">
        <w:t>months (n</w:t>
      </w:r>
      <w:r w:rsidR="00820947">
        <w:t> </w:t>
      </w:r>
      <w:r w:rsidRPr="00802F81">
        <w:t>=</w:t>
      </w:r>
      <w:r w:rsidR="00820947">
        <w:t> </w:t>
      </w:r>
      <w:r w:rsidRPr="00802F81">
        <w:t>94). The 6</w:t>
      </w:r>
      <w:r w:rsidR="00820947">
        <w:noBreakHyphen/>
      </w:r>
      <w:r w:rsidRPr="00802F81">
        <w:t>month double-blind (DB) period of this study, in which patients received 2.5</w:t>
      </w:r>
      <w:r w:rsidR="00C74B3C">
        <w:t> </w:t>
      </w:r>
      <w:r w:rsidRPr="00802F81">
        <w:t xml:space="preserve">mg/kg </w:t>
      </w:r>
      <w:proofErr w:type="spellStart"/>
      <w:r w:rsidRPr="00802F81">
        <w:t>givosiran</w:t>
      </w:r>
      <w:proofErr w:type="spellEnd"/>
      <w:r w:rsidRPr="00802F81">
        <w:t xml:space="preserve"> or placebo SC once monthly, forms the primary demonstration of efficacy of </w:t>
      </w:r>
      <w:proofErr w:type="spellStart"/>
      <w:r w:rsidRPr="00802F81">
        <w:t>givosiran</w:t>
      </w:r>
      <w:proofErr w:type="spellEnd"/>
      <w:r w:rsidRPr="00802F81">
        <w:t>. The primary endpoint was the reduction of the composite annuali</w:t>
      </w:r>
      <w:r w:rsidR="00F1783E">
        <w:t>s</w:t>
      </w:r>
      <w:r w:rsidRPr="00802F81">
        <w:t>ed attack rate (AAR) in AIP patients, with secondary endpoints for PD biomarkers and patient reported outcomes. The ongoing OLE period, in which patients receive 2.5 or 1.25</w:t>
      </w:r>
      <w:r w:rsidR="00C74B3C">
        <w:t> </w:t>
      </w:r>
      <w:r w:rsidRPr="00802F81">
        <w:t xml:space="preserve">mg/kg </w:t>
      </w:r>
      <w:proofErr w:type="spellStart"/>
      <w:r w:rsidRPr="00802F81">
        <w:t>givosiran</w:t>
      </w:r>
      <w:proofErr w:type="spellEnd"/>
      <w:r w:rsidRPr="00802F81">
        <w:t xml:space="preserve"> SC once monthly, will provide additional information on efficacy and safety of </w:t>
      </w:r>
      <w:proofErr w:type="spellStart"/>
      <w:r w:rsidRPr="00802F81">
        <w:t>givosiran</w:t>
      </w:r>
      <w:proofErr w:type="spellEnd"/>
      <w:r w:rsidRPr="00802F81">
        <w:t xml:space="preserve"> and will continue for up to 29</w:t>
      </w:r>
      <w:r w:rsidR="00C74B3C">
        <w:t> </w:t>
      </w:r>
      <w:r w:rsidRPr="00802F81">
        <w:t>months. Two supportive studies (double</w:t>
      </w:r>
      <w:r w:rsidR="00525DD0">
        <w:noBreakHyphen/>
      </w:r>
      <w:r w:rsidRPr="00802F81">
        <w:t>blind placebo</w:t>
      </w:r>
      <w:r w:rsidR="00525DD0">
        <w:noBreakHyphen/>
      </w:r>
      <w:r w:rsidRPr="00802F81">
        <w:t>controlled Study 001 and its open-label extension Study 002) were also presented.</w:t>
      </w:r>
    </w:p>
    <w:p w14:paraId="76790E74" w14:textId="69C415AC" w:rsidR="002B3110" w:rsidRPr="00802F81" w:rsidRDefault="002B3110" w:rsidP="00525DD0">
      <w:pPr>
        <w:pStyle w:val="Heading5"/>
        <w:rPr>
          <w:rFonts w:eastAsiaTheme="minorHAnsi"/>
        </w:rPr>
      </w:pPr>
      <w:r w:rsidRPr="00802F81">
        <w:rPr>
          <w:rFonts w:eastAsiaTheme="minorHAnsi"/>
        </w:rPr>
        <w:t>Favourable effects</w:t>
      </w:r>
    </w:p>
    <w:p w14:paraId="1D2C8190" w14:textId="42458B3F" w:rsidR="002B3110" w:rsidRPr="00802F81" w:rsidRDefault="002B3110" w:rsidP="00553327">
      <w:r w:rsidRPr="00802F81">
        <w:t xml:space="preserve">The treatment with </w:t>
      </w:r>
      <w:proofErr w:type="spellStart"/>
      <w:r w:rsidRPr="00802F81">
        <w:t>givosiran</w:t>
      </w:r>
      <w:proofErr w:type="spellEnd"/>
      <w:r w:rsidRPr="00802F81">
        <w:t xml:space="preserve"> 2.5</w:t>
      </w:r>
      <w:r w:rsidR="009A59FE">
        <w:t> </w:t>
      </w:r>
      <w:r w:rsidRPr="00802F81">
        <w:t>mg/kg dose monthly resulted in a rapid and statistically significant decrease (approximately 75%) in the AAR in the AIP population (primary endpoint): rate ratio 0.26 (95%CI: 0.16, 0.41</w:t>
      </w:r>
      <w:r w:rsidR="009A59FE">
        <w:t>;</w:t>
      </w:r>
      <w:r w:rsidRPr="00802F81">
        <w:t xml:space="preserve"> p&lt;0.001) in favour of </w:t>
      </w:r>
      <w:proofErr w:type="spellStart"/>
      <w:r w:rsidRPr="00802F81">
        <w:t>givosiran</w:t>
      </w:r>
      <w:proofErr w:type="spellEnd"/>
      <w:r w:rsidRPr="00802F81">
        <w:t xml:space="preserve">. In total, 50% of patients in the </w:t>
      </w:r>
      <w:proofErr w:type="spellStart"/>
      <w:r w:rsidRPr="00802F81">
        <w:t>givosiran</w:t>
      </w:r>
      <w:proofErr w:type="spellEnd"/>
      <w:r w:rsidRPr="00802F81">
        <w:t xml:space="preserve"> group and 17.4% of patients in placebo group had 0 attacks.</w:t>
      </w:r>
    </w:p>
    <w:p w14:paraId="68CFB20A" w14:textId="6943E77A" w:rsidR="002B3110" w:rsidRPr="00802F81" w:rsidRDefault="002B3110" w:rsidP="00553327">
      <w:r w:rsidRPr="00802F81">
        <w:lastRenderedPageBreak/>
        <w:t xml:space="preserve">The results of certain secondary endpoints were in line with the primary endpoint: </w:t>
      </w:r>
      <w:proofErr w:type="spellStart"/>
      <w:r w:rsidRPr="00802F81">
        <w:t>givosiran</w:t>
      </w:r>
      <w:proofErr w:type="spellEnd"/>
      <w:r w:rsidR="00E47581">
        <w:t xml:space="preserve"> </w:t>
      </w:r>
      <w:r w:rsidRPr="00802F81">
        <w:t xml:space="preserve">decreased ALA (86% from the baseline) and PBG (91% from the baseline) levels in AIP patients, while ALA and PBG levels in the placebo group remained relatively stable and elevated well above </w:t>
      </w:r>
      <w:r w:rsidRPr="0061172E">
        <w:t xml:space="preserve">normal. The difference in LS Mean between </w:t>
      </w:r>
      <w:proofErr w:type="spellStart"/>
      <w:r w:rsidRPr="0061172E">
        <w:t>givosiran</w:t>
      </w:r>
      <w:proofErr w:type="spellEnd"/>
      <w:r w:rsidRPr="0061172E">
        <w:t xml:space="preserve"> and placebo was </w:t>
      </w:r>
      <w:r w:rsidR="00AF7A51" w:rsidRPr="0061172E">
        <w:t>−</w:t>
      </w:r>
      <w:r w:rsidRPr="0061172E">
        <w:t>18.2 mmol/mol Cr (95%</w:t>
      </w:r>
      <w:r w:rsidR="00AF7A51" w:rsidRPr="0061172E">
        <w:t> </w:t>
      </w:r>
      <w:r w:rsidRPr="0061172E">
        <w:t xml:space="preserve">CI: </w:t>
      </w:r>
      <w:r w:rsidR="00AF7A51" w:rsidRPr="0061172E">
        <w:t>−</w:t>
      </w:r>
      <w:r w:rsidRPr="0061172E">
        <w:t xml:space="preserve">17.97, </w:t>
      </w:r>
      <w:r w:rsidR="00AF7A51" w:rsidRPr="0061172E">
        <w:t>−</w:t>
      </w:r>
      <w:r w:rsidRPr="0061172E">
        <w:t>9.63</w:t>
      </w:r>
      <w:r w:rsidR="005F2406" w:rsidRPr="0061172E">
        <w:t>;</w:t>
      </w:r>
      <w:r w:rsidRPr="0061172E">
        <w:t xml:space="preserve"> p&lt;0.001) for ALA and </w:t>
      </w:r>
      <w:r w:rsidR="00AF7A51" w:rsidRPr="0061172E">
        <w:t>−</w:t>
      </w:r>
      <w:r w:rsidRPr="0061172E">
        <w:t xml:space="preserve">27.48 mmol/mol Cr (95% CI: </w:t>
      </w:r>
      <w:r w:rsidR="00AF7A51" w:rsidRPr="0061172E">
        <w:t>−</w:t>
      </w:r>
      <w:r w:rsidRPr="0061172E">
        <w:t xml:space="preserve">34.04, </w:t>
      </w:r>
      <w:r w:rsidR="00AF7A51" w:rsidRPr="0061172E">
        <w:t>−</w:t>
      </w:r>
      <w:r w:rsidRPr="0061172E">
        <w:t>20.99</w:t>
      </w:r>
      <w:r w:rsidR="005F2406" w:rsidRPr="0061172E">
        <w:t>;</w:t>
      </w:r>
      <w:r w:rsidRPr="0061172E">
        <w:t xml:space="preserve"> p&lt;0.001) for PBG. Also, the number of days of hemin use significantly decreased following </w:t>
      </w:r>
      <w:proofErr w:type="spellStart"/>
      <w:r w:rsidRPr="0061172E">
        <w:t>givosiran</w:t>
      </w:r>
      <w:proofErr w:type="spellEnd"/>
      <w:r w:rsidRPr="0061172E">
        <w:t xml:space="preserve"> treatment with </w:t>
      </w:r>
      <w:r w:rsidR="00E676A9">
        <w:t xml:space="preserve">[rate ratio] </w:t>
      </w:r>
      <w:r w:rsidRPr="0061172E">
        <w:t>RR 0.23 (95% CI: 0.11 0.45</w:t>
      </w:r>
      <w:r w:rsidR="005F2406" w:rsidRPr="0061172E">
        <w:t>;</w:t>
      </w:r>
      <w:r w:rsidRPr="0061172E">
        <w:t xml:space="preserve"> p&lt;0.001).</w:t>
      </w:r>
    </w:p>
    <w:p w14:paraId="021BD2B5" w14:textId="365F6A43" w:rsidR="002B3110" w:rsidRPr="00802F81" w:rsidRDefault="002B3110" w:rsidP="00553327">
      <w:r w:rsidRPr="00802F81">
        <w:t xml:space="preserve">Treatment with </w:t>
      </w:r>
      <w:proofErr w:type="spellStart"/>
      <w:r w:rsidRPr="00802F81">
        <w:t>givosiran</w:t>
      </w:r>
      <w:proofErr w:type="spellEnd"/>
      <w:r w:rsidRPr="00802F81">
        <w:t xml:space="preserve"> reduced the weekly mean score of daily worst pain compared with placebo in AIP patients (measured as mean change from baseline in the AUC) with median of </w:t>
      </w:r>
      <w:r w:rsidRPr="0061172E">
        <w:t>treatment difference 0.5 (p=0.0455) on a 10</w:t>
      </w:r>
      <w:r w:rsidR="00614A94" w:rsidRPr="0061172E">
        <w:noBreakHyphen/>
      </w:r>
      <w:r w:rsidRPr="0061172E">
        <w:t xml:space="preserve">point VAS. Moreover, </w:t>
      </w:r>
      <w:proofErr w:type="spellStart"/>
      <w:r w:rsidRPr="0061172E">
        <w:t>givosiran</w:t>
      </w:r>
      <w:proofErr w:type="spellEnd"/>
      <w:r w:rsidRPr="0061172E">
        <w:t xml:space="preserve"> treatment led to the</w:t>
      </w:r>
      <w:r w:rsidRPr="00802F81">
        <w:t xml:space="preserve"> decrease in opioid and non</w:t>
      </w:r>
      <w:r w:rsidR="00614A94">
        <w:noBreakHyphen/>
      </w:r>
      <w:r w:rsidRPr="00802F81">
        <w:t>opioid analgesics use during and between attacks.</w:t>
      </w:r>
    </w:p>
    <w:p w14:paraId="4EF1E1E9" w14:textId="54AB2200" w:rsidR="002B3110" w:rsidRPr="00A07E69" w:rsidRDefault="002B3110" w:rsidP="00553327">
      <w:r w:rsidRPr="00802F81">
        <w:t xml:space="preserve">A </w:t>
      </w:r>
      <w:r w:rsidR="00077D39" w:rsidRPr="00802F81">
        <w:t>quality-of-life</w:t>
      </w:r>
      <w:r w:rsidRPr="00802F81">
        <w:t xml:space="preserve"> measure (physical component score (PCS) of the SF</w:t>
      </w:r>
      <w:r w:rsidR="00D20FA1">
        <w:noBreakHyphen/>
      </w:r>
      <w:r w:rsidRPr="00802F81">
        <w:t>12) was included as a</w:t>
      </w:r>
      <w:r w:rsidR="00D20FA1">
        <w:t xml:space="preserve"> </w:t>
      </w:r>
      <w:r w:rsidRPr="00802F81">
        <w:t xml:space="preserve">secondary </w:t>
      </w:r>
      <w:proofErr w:type="gramStart"/>
      <w:r w:rsidRPr="00802F81">
        <w:t>endpoint, and</w:t>
      </w:r>
      <w:proofErr w:type="gramEnd"/>
      <w:r w:rsidRPr="00802F81">
        <w:t xml:space="preserve"> showed improvement on </w:t>
      </w:r>
      <w:proofErr w:type="spellStart"/>
      <w:r w:rsidRPr="00802F81">
        <w:t>givosiran</w:t>
      </w:r>
      <w:proofErr w:type="spellEnd"/>
      <w:r w:rsidRPr="00802F81">
        <w:t xml:space="preserve"> treatment with the mean change </w:t>
      </w:r>
      <w:r w:rsidRPr="00D857F9">
        <w:t>from</w:t>
      </w:r>
      <w:r w:rsidR="00D20FA1" w:rsidRPr="00D857F9">
        <w:t xml:space="preserve"> </w:t>
      </w:r>
      <w:r w:rsidRPr="00D857F9">
        <w:t xml:space="preserve">baseline in </w:t>
      </w:r>
      <w:r w:rsidR="00212273" w:rsidRPr="00D857F9">
        <w:t>[PCS of the SF</w:t>
      </w:r>
      <w:r w:rsidR="00212273" w:rsidRPr="00D857F9">
        <w:noBreakHyphen/>
        <w:t xml:space="preserve"> 12 at 6 months of</w:t>
      </w:r>
      <w:r w:rsidR="002414FF" w:rsidRPr="00D857F9">
        <w:t xml:space="preserve">] </w:t>
      </w:r>
      <w:r w:rsidRPr="00D857F9">
        <w:t>3.939</w:t>
      </w:r>
      <w:r w:rsidR="002414FF" w:rsidRPr="00D857F9">
        <w:t xml:space="preserve"> (</w:t>
      </w:r>
      <w:r w:rsidRPr="00D857F9">
        <w:t>nominal p=0.0216). Consistently the EQ VAS score (exploratory endpoint:</w:t>
      </w:r>
      <w:r w:rsidR="00A70308" w:rsidRPr="00D857F9">
        <w:t xml:space="preserve"> </w:t>
      </w:r>
      <w:r w:rsidRPr="00D857F9">
        <w:t>increase of 14.3 from baseline at Month 6 compared with placebo in AIP patients). Also, a larger</w:t>
      </w:r>
      <w:r w:rsidR="00862011" w:rsidRPr="00D857F9">
        <w:t xml:space="preserve"> </w:t>
      </w:r>
      <w:r w:rsidRPr="00D857F9">
        <w:t xml:space="preserve">proportion of </w:t>
      </w:r>
      <w:proofErr w:type="spellStart"/>
      <w:r w:rsidRPr="00D857F9">
        <w:t>givosiran</w:t>
      </w:r>
      <w:proofErr w:type="spellEnd"/>
      <w:r w:rsidRPr="00D857F9">
        <w:t xml:space="preserve"> AIP patients rated themselves as</w:t>
      </w:r>
      <w:r w:rsidRPr="00802F81">
        <w:t xml:space="preserve"> </w:t>
      </w:r>
      <w:r w:rsidR="00862011">
        <w:t>‘</w:t>
      </w:r>
      <w:r w:rsidRPr="00802F81">
        <w:t>very much improved</w:t>
      </w:r>
      <w:r w:rsidR="00862011">
        <w:t>’</w:t>
      </w:r>
      <w:r w:rsidRPr="00802F81">
        <w:t xml:space="preserve"> or </w:t>
      </w:r>
      <w:r w:rsidR="00862011">
        <w:t>‘</w:t>
      </w:r>
      <w:r w:rsidRPr="00802F81">
        <w:t>much improved</w:t>
      </w:r>
      <w:r w:rsidR="00862011">
        <w:t>’</w:t>
      </w:r>
      <w:r w:rsidRPr="00802F81">
        <w:t xml:space="preserve"> since the start of the study at Month</w:t>
      </w:r>
      <w:r w:rsidR="00862011">
        <w:t> </w:t>
      </w:r>
      <w:r w:rsidRPr="00802F81">
        <w:t xml:space="preserve">6 compared with </w:t>
      </w:r>
      <w:r w:rsidRPr="0061172E">
        <w:t>placebo (61.1% and 20.0%, respectively) on the Patient global impression of change (PGIC) and</w:t>
      </w:r>
      <w:r w:rsidRPr="00802F81">
        <w:t xml:space="preserve"> </w:t>
      </w:r>
      <w:r w:rsidRPr="00A07E69">
        <w:t xml:space="preserve">more patients rates their experience as </w:t>
      </w:r>
      <w:r w:rsidR="00902A68" w:rsidRPr="00A07E69">
        <w:t>‘</w:t>
      </w:r>
      <w:r w:rsidRPr="00A07E69">
        <w:t>much better</w:t>
      </w:r>
      <w:r w:rsidR="00902A68" w:rsidRPr="00A07E69">
        <w:t>’</w:t>
      </w:r>
      <w:r w:rsidRPr="00A07E69">
        <w:t xml:space="preserve"> on functional impacts, activities of daily living, and treatment satisfaction on the </w:t>
      </w:r>
      <w:r w:rsidR="00A07E69" w:rsidRPr="00A07E69">
        <w:t xml:space="preserve">[porphyria patient experience questionnaire] </w:t>
      </w:r>
      <w:r w:rsidRPr="00A07E69">
        <w:t xml:space="preserve">PPEQ in AIP patients in </w:t>
      </w:r>
      <w:proofErr w:type="spellStart"/>
      <w:r w:rsidRPr="00A07E69">
        <w:t>givosiran</w:t>
      </w:r>
      <w:proofErr w:type="spellEnd"/>
      <w:r w:rsidRPr="00A07E69">
        <w:t xml:space="preserve"> group compared to placebo. Further, the number of missed </w:t>
      </w:r>
      <w:proofErr w:type="gramStart"/>
      <w:r w:rsidRPr="00A07E69">
        <w:t>work days</w:t>
      </w:r>
      <w:proofErr w:type="gramEnd"/>
      <w:r w:rsidRPr="00A07E69">
        <w:t xml:space="preserve"> was lower for </w:t>
      </w:r>
      <w:proofErr w:type="spellStart"/>
      <w:r w:rsidRPr="00A07E69">
        <w:t>givosiran</w:t>
      </w:r>
      <w:proofErr w:type="spellEnd"/>
      <w:r w:rsidRPr="00A07E69">
        <w:t xml:space="preserve"> compared to placebo.</w:t>
      </w:r>
    </w:p>
    <w:p w14:paraId="02C8CA81" w14:textId="77777777" w:rsidR="002B3110" w:rsidRPr="00802F81" w:rsidRDefault="002B3110" w:rsidP="00553327">
      <w:r w:rsidRPr="00802F81">
        <w:t xml:space="preserve">Subgroup analyses were performed for the primary endpoint of the composite AAR based on age, race, region, gender, </w:t>
      </w:r>
      <w:proofErr w:type="gramStart"/>
      <w:r w:rsidRPr="00802F81">
        <w:t>BMI</w:t>
      </w:r>
      <w:proofErr w:type="gramEnd"/>
      <w:r w:rsidRPr="00802F81">
        <w:t xml:space="preserve"> and medical history of the disease. These factors did not have an influence on </w:t>
      </w:r>
      <w:proofErr w:type="spellStart"/>
      <w:r w:rsidRPr="00802F81">
        <w:t>givosiran</w:t>
      </w:r>
      <w:proofErr w:type="spellEnd"/>
      <w:r w:rsidRPr="00802F81">
        <w:t xml:space="preserve"> efficacy. Mild hepatic impairment and mild to moderate renal impairment also did not seem to influence PD or efficacy (AAR) of </w:t>
      </w:r>
      <w:proofErr w:type="spellStart"/>
      <w:r w:rsidRPr="00802F81">
        <w:t>givosiran</w:t>
      </w:r>
      <w:proofErr w:type="spellEnd"/>
      <w:r w:rsidRPr="00802F81">
        <w:t>.</w:t>
      </w:r>
    </w:p>
    <w:p w14:paraId="6FEE53DA" w14:textId="04A6336C" w:rsidR="002B3110" w:rsidRPr="00802F81" w:rsidRDefault="002B3110" w:rsidP="00553327">
      <w:r w:rsidRPr="00802F81">
        <w:t xml:space="preserve">Consistent results were observed in </w:t>
      </w:r>
      <w:r w:rsidR="00F1783E">
        <w:t>2</w:t>
      </w:r>
      <w:r w:rsidRPr="00802F81">
        <w:t xml:space="preserve"> small supportive studies with </w:t>
      </w:r>
      <w:proofErr w:type="spellStart"/>
      <w:r w:rsidRPr="00802F81">
        <w:t>givosiran</w:t>
      </w:r>
      <w:proofErr w:type="spellEnd"/>
      <w:r w:rsidRPr="00802F81">
        <w:t>, where beneficial</w:t>
      </w:r>
      <w:r w:rsidR="00E32736">
        <w:t xml:space="preserve"> </w:t>
      </w:r>
      <w:r w:rsidRPr="00802F81">
        <w:t xml:space="preserve">effects of </w:t>
      </w:r>
      <w:proofErr w:type="spellStart"/>
      <w:r w:rsidRPr="00802F81">
        <w:t>givosiran</w:t>
      </w:r>
      <w:proofErr w:type="spellEnd"/>
      <w:r w:rsidRPr="00802F81">
        <w:t xml:space="preserve"> on various clinical parameters, including AAR, ALA </w:t>
      </w:r>
      <w:r w:rsidR="001C01B9">
        <w:t>and</w:t>
      </w:r>
      <w:r w:rsidRPr="00802F81">
        <w:t xml:space="preserve"> PBG levels, hemin </w:t>
      </w:r>
      <w:r w:rsidR="005351FD" w:rsidRPr="00802F81">
        <w:t>use,</w:t>
      </w:r>
      <w:r w:rsidRPr="00802F81">
        <w:t xml:space="preserve"> or</w:t>
      </w:r>
      <w:r w:rsidR="001C01B9">
        <w:t xml:space="preserve"> </w:t>
      </w:r>
      <w:r w:rsidRPr="00802F81">
        <w:t xml:space="preserve">quality of life were observed. These effects were also shown to be sustained in the OLE period of the Study 003, where patients who received placebo in the DB period also switched to the </w:t>
      </w:r>
      <w:proofErr w:type="spellStart"/>
      <w:r w:rsidRPr="00802F81">
        <w:t>givosiran</w:t>
      </w:r>
      <w:proofErr w:type="spellEnd"/>
      <w:r w:rsidRPr="00802F81">
        <w:t xml:space="preserve"> treatment.</w:t>
      </w:r>
    </w:p>
    <w:p w14:paraId="02E8F6E9" w14:textId="624C0FC9" w:rsidR="002B3110" w:rsidRPr="00802F81" w:rsidRDefault="002B3110" w:rsidP="00966EC1">
      <w:pPr>
        <w:pStyle w:val="Heading5"/>
        <w:rPr>
          <w:rFonts w:eastAsiaTheme="minorHAnsi"/>
        </w:rPr>
      </w:pPr>
      <w:r w:rsidRPr="00802F81">
        <w:rPr>
          <w:rFonts w:eastAsiaTheme="minorHAnsi"/>
        </w:rPr>
        <w:t>Uncertainties and limitations about favourable effects</w:t>
      </w:r>
    </w:p>
    <w:p w14:paraId="3E550423" w14:textId="19D96349" w:rsidR="002B3110" w:rsidRPr="00802F81" w:rsidRDefault="002B3110" w:rsidP="00553327">
      <w:r w:rsidRPr="00802F81">
        <w:t>Several uncertainties can be identified with respect to the results presented.</w:t>
      </w:r>
    </w:p>
    <w:p w14:paraId="5240BD84" w14:textId="0B22408C" w:rsidR="002B3110" w:rsidRPr="00802F81" w:rsidRDefault="002B3110" w:rsidP="00553327">
      <w:proofErr w:type="gramStart"/>
      <w:r w:rsidRPr="00802F81">
        <w:t>First of all</w:t>
      </w:r>
      <w:proofErr w:type="gramEnd"/>
      <w:r w:rsidRPr="00802F81">
        <w:t>, the applicant is seeking a general indication for the total AHP population. However, data on non</w:t>
      </w:r>
      <w:r w:rsidR="00910298">
        <w:noBreakHyphen/>
      </w:r>
      <w:r w:rsidRPr="00802F81">
        <w:t>AIP patients is very limited. In total, only 5 non</w:t>
      </w:r>
      <w:r w:rsidR="00910298">
        <w:noBreakHyphen/>
      </w:r>
      <w:r w:rsidRPr="00802F81">
        <w:t xml:space="preserve">AIP patients participated in the </w:t>
      </w:r>
      <w:proofErr w:type="spellStart"/>
      <w:r w:rsidRPr="00D857F9">
        <w:t>givosiran</w:t>
      </w:r>
      <w:proofErr w:type="spellEnd"/>
      <w:r w:rsidRPr="00D857F9">
        <w:t xml:space="preserve"> clinical </w:t>
      </w:r>
      <w:proofErr w:type="gramStart"/>
      <w:r w:rsidRPr="00D857F9">
        <w:t>trials</w:t>
      </w:r>
      <w:proofErr w:type="gramEnd"/>
      <w:r w:rsidRPr="00D857F9">
        <w:t xml:space="preserve"> and 1 patient participated in the Compassionate Use Program (CUP). Two</w:t>
      </w:r>
      <w:r w:rsidRPr="00802F81">
        <w:t xml:space="preserve"> of these patients discontinued the treatment: one discontinued the dosing after the </w:t>
      </w:r>
      <w:r w:rsidR="00910298">
        <w:t>third</w:t>
      </w:r>
      <w:r w:rsidRPr="00802F81">
        <w:t xml:space="preserve"> dose due to the ALT elevation 9.9</w:t>
      </w:r>
      <w:r w:rsidR="00910298">
        <w:t> × </w:t>
      </w:r>
      <w:r w:rsidRPr="00802F81">
        <w:t xml:space="preserve">ULN and the second patient, who received placebo in the DB period, discontinued the treatment after the </w:t>
      </w:r>
      <w:r w:rsidR="00910298">
        <w:t>second</w:t>
      </w:r>
      <w:r w:rsidRPr="00802F81">
        <w:t xml:space="preserve"> dose of </w:t>
      </w:r>
      <w:proofErr w:type="spellStart"/>
      <w:r w:rsidRPr="00802F81">
        <w:t>givosiran</w:t>
      </w:r>
      <w:proofErr w:type="spellEnd"/>
      <w:r w:rsidRPr="00802F81">
        <w:t xml:space="preserve"> in the OLE study because the patient no longer wished to participate in the study.</w:t>
      </w:r>
    </w:p>
    <w:p w14:paraId="6E8446F1" w14:textId="425B21B1" w:rsidR="002B3110" w:rsidRPr="00802F81" w:rsidRDefault="002B3110" w:rsidP="00553327">
      <w:r w:rsidRPr="00802F81">
        <w:t>Data on patients with hepatic or renal impairment are limited. Patients with moderate/severe</w:t>
      </w:r>
      <w:r w:rsidR="00EF3185">
        <w:t xml:space="preserve"> </w:t>
      </w:r>
      <w:r w:rsidRPr="00802F81">
        <w:t>hepatic impairment or severe renal impairment were excluded from the study. Also, no adolescent or elderly patients &gt;65 years of age were enrolled to the study. The efficacy in these groups is therefore largely extrapolated from the adult population.</w:t>
      </w:r>
    </w:p>
    <w:p w14:paraId="06B7D795" w14:textId="748BFD9C" w:rsidR="002B3110" w:rsidRDefault="002B3110" w:rsidP="00553327">
      <w:r w:rsidRPr="00802F81">
        <w:t>Secondly, the data on the 1.25</w:t>
      </w:r>
      <w:r w:rsidR="00EF3185">
        <w:t> </w:t>
      </w:r>
      <w:r w:rsidRPr="00802F81">
        <w:t>mg/kg dose is limited, which does not allow to characteri</w:t>
      </w:r>
      <w:r w:rsidR="00F1783E">
        <w:t>s</w:t>
      </w:r>
      <w:r w:rsidRPr="00802F81">
        <w:t>e and</w:t>
      </w:r>
      <w:r w:rsidR="00EF3185">
        <w:t xml:space="preserve"> </w:t>
      </w:r>
      <w:r w:rsidRPr="00802F81">
        <w:t>conclude on its efficacy. The totality of the data supports the 2.5</w:t>
      </w:r>
      <w:r w:rsidR="00EF3185">
        <w:t> </w:t>
      </w:r>
      <w:r w:rsidRPr="00802F81">
        <w:t>mg/kg monthly dose, but also gives an indication that the lower doses might be less efficient in controlling AAR.</w:t>
      </w:r>
    </w:p>
    <w:p w14:paraId="11623859" w14:textId="638335DD" w:rsidR="002B3110" w:rsidRPr="00802F81" w:rsidRDefault="002B3110" w:rsidP="00553327">
      <w:r w:rsidRPr="00802F81">
        <w:lastRenderedPageBreak/>
        <w:t>Fourthly</w:t>
      </w:r>
      <w:r w:rsidR="005F19FA">
        <w:t xml:space="preserve"> [sic]</w:t>
      </w:r>
      <w:r w:rsidRPr="00802F81">
        <w:t>, a re</w:t>
      </w:r>
      <w:r w:rsidR="006D46E7">
        <w:noBreakHyphen/>
      </w:r>
      <w:r w:rsidRPr="00802F81">
        <w:t xml:space="preserve">analysis of secondary endpoints ALA, PGB, pain and nausea </w:t>
      </w:r>
      <w:proofErr w:type="gramStart"/>
      <w:r w:rsidRPr="00802F81">
        <w:t>was</w:t>
      </w:r>
      <w:proofErr w:type="gramEnd"/>
      <w:r w:rsidRPr="00802F81">
        <w:t xml:space="preserve"> performed using a non</w:t>
      </w:r>
      <w:r w:rsidR="0069202B">
        <w:noBreakHyphen/>
      </w:r>
      <w:r w:rsidRPr="00802F81">
        <w:t>parametric Wilcoxon test, after the observation of violating normality. Although the methods proposed are relatively standard, they were introduced post</w:t>
      </w:r>
      <w:r w:rsidR="00F8296D">
        <w:noBreakHyphen/>
      </w:r>
      <w:r w:rsidRPr="00802F81">
        <w:t>hoc. The non</w:t>
      </w:r>
      <w:r w:rsidR="00F8296D">
        <w:noBreakHyphen/>
      </w:r>
      <w:r w:rsidRPr="00802F81">
        <w:t>parametric analysis did not result in significant differences for the ALA/PBG as well as nausea analysis compared to the parametric analysis. The pain score results, however, switched from non</w:t>
      </w:r>
      <w:r w:rsidR="00F8296D">
        <w:noBreakHyphen/>
      </w:r>
      <w:r w:rsidRPr="00802F81">
        <w:t>significant (p-value slightly above 0.05) to significant (p-value slightly below 0.05).</w:t>
      </w:r>
    </w:p>
    <w:p w14:paraId="57BB75D8" w14:textId="1A9B8570" w:rsidR="002B3110" w:rsidRPr="00802F81" w:rsidRDefault="002B3110" w:rsidP="00553327">
      <w:r w:rsidRPr="00802F81">
        <w:t>Further, the number of patients in every subgroup (with respect to gender, race, hepatic or renal</w:t>
      </w:r>
      <w:r w:rsidR="00F8296D">
        <w:t xml:space="preserve"> </w:t>
      </w:r>
      <w:r w:rsidRPr="00802F81">
        <w:t xml:space="preserve">impairment) is small, which brings uncertainties to the conclusions drawn by the applicant that no </w:t>
      </w:r>
      <w:proofErr w:type="gramStart"/>
      <w:r w:rsidRPr="00802F81">
        <w:t>particular differences</w:t>
      </w:r>
      <w:proofErr w:type="gramEnd"/>
      <w:r w:rsidRPr="00802F81">
        <w:t xml:space="preserve"> are observed or to be expected in the efficacy of </w:t>
      </w:r>
      <w:proofErr w:type="spellStart"/>
      <w:r w:rsidRPr="00802F81">
        <w:t>givosiran</w:t>
      </w:r>
      <w:proofErr w:type="spellEnd"/>
      <w:r w:rsidRPr="00802F81">
        <w:t xml:space="preserve"> between the different sub-groups.</w:t>
      </w:r>
    </w:p>
    <w:p w14:paraId="44E9EBE9" w14:textId="4AD34BA2" w:rsidR="002B3110" w:rsidRPr="00802F81" w:rsidRDefault="002B3110" w:rsidP="00553327">
      <w:r w:rsidRPr="00802F81">
        <w:t>Finally, the study duration is rather short (median duration of treatment is 11.7</w:t>
      </w:r>
      <w:r w:rsidR="001414E6">
        <w:t> </w:t>
      </w:r>
      <w:r w:rsidRPr="00802F81">
        <w:t xml:space="preserve">months), which does not allow for a reliable assessment of the long-term effects of </w:t>
      </w:r>
      <w:proofErr w:type="spellStart"/>
      <w:r w:rsidRPr="00802F81">
        <w:t>givosiran</w:t>
      </w:r>
      <w:proofErr w:type="spellEnd"/>
      <w:r w:rsidRPr="00802F81">
        <w:t>.</w:t>
      </w:r>
    </w:p>
    <w:p w14:paraId="3885DD84" w14:textId="2DB21B2A" w:rsidR="002B3110" w:rsidRPr="00802F81" w:rsidRDefault="002B3110" w:rsidP="001414E6">
      <w:pPr>
        <w:pStyle w:val="Heading5"/>
        <w:rPr>
          <w:rFonts w:eastAsiaTheme="minorHAnsi"/>
        </w:rPr>
      </w:pPr>
      <w:r w:rsidRPr="00802F81">
        <w:rPr>
          <w:rFonts w:eastAsiaTheme="minorHAnsi"/>
        </w:rPr>
        <w:t>Unfavourable effects</w:t>
      </w:r>
    </w:p>
    <w:p w14:paraId="028FF403" w14:textId="6CEFD443" w:rsidR="002B3110" w:rsidRPr="00802F81" w:rsidRDefault="002B3110" w:rsidP="00553327">
      <w:r w:rsidRPr="00802F81">
        <w:t xml:space="preserve">The frequency of total adverse events (AE) and serious adverse events (SAE) related to the study drug was higher in the </w:t>
      </w:r>
      <w:proofErr w:type="spellStart"/>
      <w:r w:rsidRPr="00802F81">
        <w:t>givosiran</w:t>
      </w:r>
      <w:proofErr w:type="spellEnd"/>
      <w:r w:rsidRPr="00802F81">
        <w:t xml:space="preserve"> treatment group compared to placebo (45.8% vs 26.1% and 6.3% vs 0%) in the pivotal study. One death occurred in the </w:t>
      </w:r>
      <w:proofErr w:type="spellStart"/>
      <w:r w:rsidRPr="00802F81">
        <w:t>givosiran</w:t>
      </w:r>
      <w:proofErr w:type="spellEnd"/>
      <w:r w:rsidRPr="00802F81">
        <w:t xml:space="preserve"> treatment group in the supportive OLE Study 002 (due to haemorrhagic pancreatitis). Three out of </w:t>
      </w:r>
      <w:r w:rsidR="00630660">
        <w:t>4</w:t>
      </w:r>
      <w:r w:rsidRPr="00802F81">
        <w:t xml:space="preserve"> patients who discontinued the studies did so because of an SAE (2.7%), and </w:t>
      </w:r>
      <w:r w:rsidR="00630660">
        <w:t>9</w:t>
      </w:r>
      <w:r w:rsidRPr="00802F81">
        <w:t xml:space="preserve"> patients had a dose interruption due to the AE (8.1%).</w:t>
      </w:r>
    </w:p>
    <w:p w14:paraId="319C4730" w14:textId="4F907A04" w:rsidR="002B3110" w:rsidRPr="00802F81" w:rsidRDefault="002B3110" w:rsidP="00553327">
      <w:r w:rsidRPr="00802F81">
        <w:t xml:space="preserve">Adverse events that were most frequently reported in the </w:t>
      </w:r>
      <w:proofErr w:type="spellStart"/>
      <w:r w:rsidRPr="00802F81">
        <w:t>givosiran</w:t>
      </w:r>
      <w:proofErr w:type="spellEnd"/>
      <w:r w:rsidRPr="00802F81">
        <w:t xml:space="preserve"> group compared to placebo are</w:t>
      </w:r>
      <w:r w:rsidR="001229DE">
        <w:t xml:space="preserve"> </w:t>
      </w:r>
      <w:r w:rsidRPr="00802F81">
        <w:t>injection site reaction (25% vs 0%), nausea (27.1% vs 10.9%), fatigue (10.4% vs 4.3%), ALT</w:t>
      </w:r>
      <w:r w:rsidR="001229DE">
        <w:t xml:space="preserve"> </w:t>
      </w:r>
      <w:r w:rsidRPr="00802F81">
        <w:t>elevation (8.3% vs 2.2%), rash (6.3% vs 0%), eGFR decrease (6.3% vs 0%) and CKD (10.4% vs</w:t>
      </w:r>
      <w:r w:rsidR="001229DE">
        <w:t xml:space="preserve"> </w:t>
      </w:r>
      <w:r w:rsidRPr="00802F81">
        <w:t>0%). Most of the AEs were mild or moderate in severity and have resolved over the course of the</w:t>
      </w:r>
      <w:r w:rsidR="001229DE">
        <w:t xml:space="preserve"> </w:t>
      </w:r>
      <w:r w:rsidRPr="00802F81">
        <w:t xml:space="preserve">study, </w:t>
      </w:r>
      <w:proofErr w:type="gramStart"/>
      <w:r w:rsidRPr="00802F81">
        <w:t>with the exception of</w:t>
      </w:r>
      <w:proofErr w:type="gramEnd"/>
      <w:r w:rsidRPr="00802F81">
        <w:t xml:space="preserve"> several events of CKD or fatigue. A recall phenomenon in the place of a previous injection was described in </w:t>
      </w:r>
      <w:r w:rsidR="00F1783E">
        <w:t>3</w:t>
      </w:r>
      <w:r w:rsidRPr="00802F81">
        <w:t xml:space="preserve"> patients during the study.</w:t>
      </w:r>
    </w:p>
    <w:p w14:paraId="38CCABB5" w14:textId="77777777" w:rsidR="002B3110" w:rsidRPr="00802F81" w:rsidRDefault="002B3110" w:rsidP="00553327">
      <w:r w:rsidRPr="00802F81">
        <w:t xml:space="preserve">Several other single cases of SAE were reported during the studies: one case of anaphylactic reaction was reported following </w:t>
      </w:r>
      <w:proofErr w:type="spellStart"/>
      <w:r w:rsidRPr="00802F81">
        <w:t>givosiran</w:t>
      </w:r>
      <w:proofErr w:type="spellEnd"/>
      <w:r w:rsidRPr="00802F81">
        <w:t xml:space="preserve"> use (in a patient with a history of various allergies and asthma), one fatal case of haemorrhagic pancreatitis and one case of obstructive pancreatitis (in patients with a complex medical history).</w:t>
      </w:r>
    </w:p>
    <w:p w14:paraId="021F49CE" w14:textId="23FB836F" w:rsidR="002B3110" w:rsidRPr="00802F81" w:rsidRDefault="002B3110" w:rsidP="00553327">
      <w:r w:rsidRPr="00802F81">
        <w:t>The elevation in LFT is a known dose-dependent side effect of this type of siRNA compounds that</w:t>
      </w:r>
      <w:r w:rsidR="00F314AC">
        <w:t xml:space="preserve"> </w:t>
      </w:r>
      <w:r w:rsidRPr="00802F81">
        <w:t xml:space="preserve">targets the </w:t>
      </w:r>
      <w:r w:rsidR="005351FD" w:rsidRPr="00802F81">
        <w:t>liver and</w:t>
      </w:r>
      <w:r w:rsidRPr="00802F81">
        <w:t xml:space="preserve"> is consistent with the non-clinical data. The data from the pivotal study suggest that LFT elevations following </w:t>
      </w:r>
      <w:proofErr w:type="spellStart"/>
      <w:r w:rsidRPr="00802F81">
        <w:t>givosiran</w:t>
      </w:r>
      <w:proofErr w:type="spellEnd"/>
      <w:r w:rsidRPr="00802F81">
        <w:t xml:space="preserve"> treatment were more frequently observed in patients with a history of hepatic disorders or history of ALT elevations compared to patients with no history of hepatic disorders or ALT elevations. A similar situation was observed with AEs associated with renal events that were usually reported in individuals with pre</w:t>
      </w:r>
      <w:r w:rsidR="0095064E">
        <w:noBreakHyphen/>
      </w:r>
      <w:r w:rsidRPr="00802F81">
        <w:t xml:space="preserve">existing CKD and reduced eGFR. No clear influence of other intrinsic or extrinsic factors on the </w:t>
      </w:r>
      <w:proofErr w:type="spellStart"/>
      <w:r w:rsidRPr="00802F81">
        <w:t>givosiran</w:t>
      </w:r>
      <w:proofErr w:type="spellEnd"/>
      <w:r w:rsidRPr="00802F81">
        <w:t xml:space="preserve"> safety profile was observed. Further, </w:t>
      </w:r>
      <w:proofErr w:type="spellStart"/>
      <w:r w:rsidRPr="00802F81">
        <w:t>givosiran</w:t>
      </w:r>
      <w:proofErr w:type="spellEnd"/>
      <w:r w:rsidRPr="00802F81">
        <w:t xml:space="preserve"> does not seem to result in significant changes in haematology or serum chemistry parameters.</w:t>
      </w:r>
    </w:p>
    <w:p w14:paraId="2E6CAE73" w14:textId="2F40F3ED" w:rsidR="002B3110" w:rsidRPr="00802F81" w:rsidRDefault="002B3110" w:rsidP="00F314AC">
      <w:pPr>
        <w:pStyle w:val="Heading5"/>
        <w:rPr>
          <w:rFonts w:eastAsiaTheme="minorHAnsi"/>
        </w:rPr>
      </w:pPr>
      <w:r w:rsidRPr="00802F81">
        <w:rPr>
          <w:rFonts w:eastAsiaTheme="minorHAnsi"/>
        </w:rPr>
        <w:t>Uncertainties and limitations about unfavourable effects</w:t>
      </w:r>
    </w:p>
    <w:p w14:paraId="7E91950C" w14:textId="7398EAF8" w:rsidR="002B3110" w:rsidRPr="00802F81" w:rsidRDefault="002B3110" w:rsidP="00553327">
      <w:r w:rsidRPr="00802F81">
        <w:t>The biggest limitation of the current safety database is the low number of patients in the clinical</w:t>
      </w:r>
      <w:r w:rsidR="00E1022B">
        <w:t xml:space="preserve"> </w:t>
      </w:r>
      <w:r w:rsidRPr="00802F81">
        <w:t>program due to the rarity of the disease and the short duration of exposure - the median exposure</w:t>
      </w:r>
      <w:r w:rsidR="00E1022B">
        <w:t xml:space="preserve"> </w:t>
      </w:r>
      <w:r w:rsidRPr="00802F81">
        <w:t>time across the studies is 11.7</w:t>
      </w:r>
      <w:r w:rsidR="00E1022B">
        <w:t> </w:t>
      </w:r>
      <w:r w:rsidRPr="00802F81">
        <w:t>months. This rather short follow-up and small sample size bring some uncertainties to whether all the potential side effects of the treatment are captured within the study and if any of the adverse effects might re</w:t>
      </w:r>
      <w:r w:rsidR="00E1022B">
        <w:noBreakHyphen/>
      </w:r>
      <w:r w:rsidRPr="00802F81">
        <w:t xml:space="preserve">occur or persist for a longer </w:t>
      </w:r>
      <w:proofErr w:type="gramStart"/>
      <w:r w:rsidRPr="00802F81">
        <w:t>period of time</w:t>
      </w:r>
      <w:proofErr w:type="gramEnd"/>
      <w:r w:rsidRPr="00802F81">
        <w:t>.</w:t>
      </w:r>
    </w:p>
    <w:p w14:paraId="3A69F165" w14:textId="300C8119" w:rsidR="002B3110" w:rsidRPr="00802F81" w:rsidRDefault="002B3110" w:rsidP="00553327">
      <w:r w:rsidRPr="00802F81">
        <w:lastRenderedPageBreak/>
        <w:t>Data on adolescents (12-18 years old) or patients &gt;65 years of age is absent (due to the rarity of</w:t>
      </w:r>
      <w:r w:rsidR="00BD21B9">
        <w:t xml:space="preserve"> </w:t>
      </w:r>
      <w:r w:rsidRPr="00802F81">
        <w:t xml:space="preserve">these patients) and the data on patients with various stages of renal or hepatic impairment is either absent or very limited. Therefore, this brings uncertainties to the safety of </w:t>
      </w:r>
      <w:proofErr w:type="spellStart"/>
      <w:r w:rsidRPr="00802F81">
        <w:t>givosiran</w:t>
      </w:r>
      <w:proofErr w:type="spellEnd"/>
      <w:r w:rsidRPr="00802F81">
        <w:t xml:space="preserve"> in these subpopulations and the data will need to be collected post</w:t>
      </w:r>
      <w:r w:rsidR="00BD21B9">
        <w:noBreakHyphen/>
      </w:r>
      <w:r w:rsidRPr="00802F81">
        <w:t>approval as part of the RMP. Currently, the SmPC includes a warning and recommendations on the monitoring of serum transaminases (ALT and AST) and total bilirubin. Moreover, a recommendation on the dose resumption after the treatment interruption due to the significant transaminase elevations is provided. However, it is unclear if the lower dose of 1.25</w:t>
      </w:r>
      <w:r w:rsidR="007E6151">
        <w:t> </w:t>
      </w:r>
      <w:r w:rsidRPr="00802F81">
        <w:t>mg/kg has a more favourable safety profile. The patient who experienced ALT elevation by 9.9</w:t>
      </w:r>
      <w:r w:rsidR="007E6151">
        <w:t> × </w:t>
      </w:r>
      <w:r w:rsidRPr="00802F81">
        <w:t>ULN was a non</w:t>
      </w:r>
      <w:r w:rsidR="007E6151">
        <w:noBreakHyphen/>
      </w:r>
      <w:r w:rsidRPr="00802F81">
        <w:t xml:space="preserve">AIP patient, which raises questions on whether the type of AHP can influence the safety of </w:t>
      </w:r>
      <w:proofErr w:type="spellStart"/>
      <w:r w:rsidRPr="00802F81">
        <w:t>givosiran</w:t>
      </w:r>
      <w:proofErr w:type="spellEnd"/>
      <w:r w:rsidRPr="00802F81">
        <w:t>. This information will be (if feasible) collected post</w:t>
      </w:r>
      <w:r w:rsidR="00951A7C">
        <w:noBreakHyphen/>
      </w:r>
      <w:r w:rsidRPr="00802F81">
        <w:t xml:space="preserve">marketing. A role of </w:t>
      </w:r>
      <w:proofErr w:type="spellStart"/>
      <w:r w:rsidRPr="00802F81">
        <w:t>givosiran</w:t>
      </w:r>
      <w:proofErr w:type="spellEnd"/>
      <w:r w:rsidRPr="00802F81">
        <w:t xml:space="preserve"> in the worsening of renal function in some patients with severe to moderate renal impairment cannot be excluded. An appropriate warning should be added to the SmPC to address this uncertainty.</w:t>
      </w:r>
    </w:p>
    <w:p w14:paraId="7E677CBB" w14:textId="6F76ABB8" w:rsidR="002B3110" w:rsidRPr="00802F81" w:rsidRDefault="002B3110" w:rsidP="00553327">
      <w:r w:rsidRPr="00802F81">
        <w:t xml:space="preserve">In addition, a recall phenomenon at the site of a previous injection observed in </w:t>
      </w:r>
      <w:r w:rsidR="00F1783E">
        <w:t>3</w:t>
      </w:r>
      <w:r w:rsidRPr="00802F81">
        <w:t xml:space="preserve"> patients brings some uncertainties to whether the drug might </w:t>
      </w:r>
      <w:proofErr w:type="gramStart"/>
      <w:r w:rsidRPr="00802F81">
        <w:t>have an effect on</w:t>
      </w:r>
      <w:proofErr w:type="gramEnd"/>
      <w:r w:rsidRPr="00802F81">
        <w:t xml:space="preserve"> the immune system systemically.</w:t>
      </w:r>
    </w:p>
    <w:p w14:paraId="38D4E408" w14:textId="6713F374" w:rsidR="002B3110" w:rsidRDefault="002B3110" w:rsidP="00553327">
      <w:r w:rsidRPr="00802F81">
        <w:t>Carcinogenicity non</w:t>
      </w:r>
      <w:r w:rsidR="00951A7C">
        <w:noBreakHyphen/>
      </w:r>
      <w:r w:rsidRPr="00802F81">
        <w:t xml:space="preserve">clinical studies are currently </w:t>
      </w:r>
      <w:proofErr w:type="gramStart"/>
      <w:r w:rsidRPr="00802F81">
        <w:t>ongoing</w:t>
      </w:r>
      <w:proofErr w:type="gramEnd"/>
      <w:r w:rsidRPr="00802F81">
        <w:t xml:space="preserve"> and no data are available yet. However, the lack of these studies is acceptable based on unmet medical need and the nature of the product.</w:t>
      </w:r>
    </w:p>
    <w:p w14:paraId="3AC60B13" w14:textId="49E73ACA" w:rsidR="008C5F80" w:rsidRDefault="008C5F80" w:rsidP="008C5F80">
      <w:pPr>
        <w:pStyle w:val="Heading5"/>
      </w:pPr>
      <w:r>
        <w:lastRenderedPageBreak/>
        <w:t>Effects table</w:t>
      </w:r>
    </w:p>
    <w:p w14:paraId="14BFC963" w14:textId="49C91F7B" w:rsidR="000C1BFE" w:rsidRDefault="00553327" w:rsidP="00F16AF5">
      <w:pPr>
        <w:pStyle w:val="TableTitle"/>
      </w:pPr>
      <w:r>
        <w:t xml:space="preserve">Table </w:t>
      </w:r>
      <w:fldSimple w:instr=" SEQ Table \* ARABIC ">
        <w:r w:rsidR="007C529A">
          <w:rPr>
            <w:noProof/>
          </w:rPr>
          <w:t>9</w:t>
        </w:r>
      </w:fldSimple>
      <w:r>
        <w:t>: Effects Table for Givlaari for the treatment of acute hepatic porphyria (AHP) in adults and adolescents aged 12 years and older (data cut-off 31 January 2019)</w:t>
      </w:r>
    </w:p>
    <w:p w14:paraId="1DE17992" w14:textId="2392E223" w:rsidR="00EA4BAE" w:rsidRPr="00024507" w:rsidRDefault="00EC34EE" w:rsidP="00024507">
      <w:r>
        <w:rPr>
          <w:noProof/>
        </w:rPr>
        <w:drawing>
          <wp:inline distT="0" distB="0" distL="0" distR="0" wp14:anchorId="54FA2657" wp14:editId="53261506">
            <wp:extent cx="5362575" cy="6457950"/>
            <wp:effectExtent l="0" t="0" r="9525" b="0"/>
            <wp:docPr id="22" name="Picture 22" descr="Summary of effects such as porphyria attack rate and nausea, and the uncertainties and strength of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ummary of effects such as porphyria attack rate and nausea, and the uncertainties and strength of evidence."/>
                    <pic:cNvPicPr/>
                  </pic:nvPicPr>
                  <pic:blipFill>
                    <a:blip r:embed="rId33"/>
                    <a:stretch>
                      <a:fillRect/>
                    </a:stretch>
                  </pic:blipFill>
                  <pic:spPr>
                    <a:xfrm>
                      <a:off x="0" y="0"/>
                      <a:ext cx="5362575" cy="6457950"/>
                    </a:xfrm>
                    <a:prstGeom prst="rect">
                      <a:avLst/>
                    </a:prstGeom>
                  </pic:spPr>
                </pic:pic>
              </a:graphicData>
            </a:graphic>
          </wp:inline>
        </w:drawing>
      </w:r>
    </w:p>
    <w:p w14:paraId="3E40965D" w14:textId="06FAC5C1" w:rsidR="00113153" w:rsidRPr="00113153" w:rsidRDefault="00113153" w:rsidP="00113153">
      <w:pPr>
        <w:pStyle w:val="Heading5"/>
      </w:pPr>
      <w:r w:rsidRPr="00113153">
        <w:t>Benefit-risk assessment and discussion</w:t>
      </w:r>
    </w:p>
    <w:p w14:paraId="4ED53EC8" w14:textId="66D2BF11" w:rsidR="00113153" w:rsidRPr="00113153" w:rsidRDefault="00113153" w:rsidP="00252414">
      <w:pPr>
        <w:pStyle w:val="Heading6"/>
      </w:pPr>
      <w:r w:rsidRPr="00113153">
        <w:t>Importance of favourable and unfavourable effects</w:t>
      </w:r>
    </w:p>
    <w:p w14:paraId="65D6660E" w14:textId="4DC704FB" w:rsidR="00113153" w:rsidRPr="00113153" w:rsidRDefault="00113153" w:rsidP="00553327">
      <w:r w:rsidRPr="00113153">
        <w:t xml:space="preserve">Treatment with </w:t>
      </w:r>
      <w:proofErr w:type="spellStart"/>
      <w:r w:rsidRPr="00113153">
        <w:t>givosiran</w:t>
      </w:r>
      <w:proofErr w:type="spellEnd"/>
      <w:r w:rsidRPr="00113153">
        <w:t xml:space="preserve"> resulted in a rapid statistically significant decrease in the primary endpoint AAR of approximately 75%. Importantly, half of the patients receiving </w:t>
      </w:r>
      <w:proofErr w:type="spellStart"/>
      <w:r w:rsidRPr="00113153">
        <w:t>givosiran</w:t>
      </w:r>
      <w:proofErr w:type="spellEnd"/>
      <w:r w:rsidRPr="00113153">
        <w:t xml:space="preserve"> did not experience any attack during the 6</w:t>
      </w:r>
      <w:r w:rsidR="00153D95">
        <w:t> </w:t>
      </w:r>
      <w:r w:rsidRPr="00113153">
        <w:t>months period. The decrease in the AAR was accompanied by decreases in ALA and PBG levels which is consistent with the hypothesis of a crucial role of ALA and PBG in the attack development. The annuali</w:t>
      </w:r>
      <w:r w:rsidR="00F1783E">
        <w:t>s</w:t>
      </w:r>
      <w:r w:rsidRPr="00113153">
        <w:t xml:space="preserve">ed days of hemin use was reduced by approximately 79%. The porphyria attacks are mostly very severe, with extreme </w:t>
      </w:r>
      <w:r w:rsidRPr="00113153">
        <w:lastRenderedPageBreak/>
        <w:t xml:space="preserve">pain and require hospitalisation or urgent health care visit. Hemin infusions used for treatment of attacks are a big burden for AHP patients as they carry the risk of morbidity, such as iron overload or infections due to the catheter lines. Therefore, the observed pronounced decrease in the attack rate and the reduction in need of hemin infusions following </w:t>
      </w:r>
      <w:proofErr w:type="spellStart"/>
      <w:r w:rsidRPr="00113153">
        <w:t>givosiran</w:t>
      </w:r>
      <w:proofErr w:type="spellEnd"/>
      <w:r w:rsidRPr="00113153">
        <w:t xml:space="preserve"> treatment are considered clinically meaningful and of high benefit not only for the patient, but also for the healthcare system in general. The results were consistent across statistical analyses, different </w:t>
      </w:r>
      <w:proofErr w:type="gramStart"/>
      <w:r w:rsidRPr="00113153">
        <w:t>subgroups</w:t>
      </w:r>
      <w:proofErr w:type="gramEnd"/>
      <w:r w:rsidRPr="00113153">
        <w:t xml:space="preserve"> and studies. Even though the number of male patients was low in the pivotal study, the pathophysiology of attacks (ALA/PBG accumulation) is similar in both genders and no apparent differences in response to </w:t>
      </w:r>
      <w:proofErr w:type="spellStart"/>
      <w:r w:rsidRPr="00113153">
        <w:t>givosiran</w:t>
      </w:r>
      <w:proofErr w:type="spellEnd"/>
      <w:r w:rsidRPr="00113153">
        <w:t xml:space="preserve"> were observed between males and females.</w:t>
      </w:r>
    </w:p>
    <w:p w14:paraId="690BACE9" w14:textId="63C4AA7C" w:rsidR="00113153" w:rsidRPr="00113153" w:rsidRDefault="00113153" w:rsidP="00553327">
      <w:r w:rsidRPr="00113153">
        <w:t>On the indication, while the subgroup of adolescents was allowed to be enrolled in the study, such</w:t>
      </w:r>
      <w:r w:rsidR="00123715">
        <w:t xml:space="preserve"> </w:t>
      </w:r>
      <w:r w:rsidRPr="00113153">
        <w:t>patients have not been studied. However, as the pathophysiology of the disease is similar between</w:t>
      </w:r>
      <w:r w:rsidR="00123715">
        <w:t xml:space="preserve"> </w:t>
      </w:r>
      <w:r w:rsidRPr="00113153">
        <w:t>adults and adolescents, the proposed posology is weight-based and no differences on PD and efficacy (AAR) were apparent between different body weight categories (40</w:t>
      </w:r>
      <w:r w:rsidR="00E50324">
        <w:t xml:space="preserve"> to </w:t>
      </w:r>
      <w:r w:rsidRPr="00113153">
        <w:t>131</w:t>
      </w:r>
      <w:r w:rsidR="00E50324">
        <w:t> </w:t>
      </w:r>
      <w:r w:rsidRPr="00113153">
        <w:t>kg), which includes the bodyweight range of adolescents, the inclusion of this subgroup in the indication is supported. Adolescent patients (together with other relevant subgroups) should be further studied post</w:t>
      </w:r>
      <w:r w:rsidR="009B07C4">
        <w:t>-</w:t>
      </w:r>
      <w:r w:rsidRPr="00113153">
        <w:t>marketing.</w:t>
      </w:r>
    </w:p>
    <w:p w14:paraId="7FE87002" w14:textId="02E22ECC" w:rsidR="00113153" w:rsidRPr="00113153" w:rsidRDefault="00113153" w:rsidP="00553327">
      <w:r w:rsidRPr="00113153">
        <w:t>The majority of the AHP population comprises of patients with AIP. The data on the non</w:t>
      </w:r>
      <w:r w:rsidR="00311A23">
        <w:noBreakHyphen/>
      </w:r>
      <w:r w:rsidRPr="00113153">
        <w:t xml:space="preserve">AIP patients (with even rarer variants of this disease family) are very limited and therefore uncertain. However, a broad AHP indication can be supported considering: 1) the strong biological rationale behind the disease pathophysiology in all AHP types and </w:t>
      </w:r>
      <w:proofErr w:type="spellStart"/>
      <w:r w:rsidRPr="00113153">
        <w:t>givosiran</w:t>
      </w:r>
      <w:proofErr w:type="spellEnd"/>
      <w:r w:rsidRPr="00113153">
        <w:t xml:space="preserve"> mechanism of action; 2) the expected similar PK/PD and safety profile in different AHP subtypes; 3) the positive efficacy results from a few non</w:t>
      </w:r>
      <w:r w:rsidR="00311A23">
        <w:noBreakHyphen/>
      </w:r>
      <w:r w:rsidRPr="00113153">
        <w:t xml:space="preserve">AIP patients studied in the Study003 and the CUP program. Yet, the uncertainties on the efficacy and safety of </w:t>
      </w:r>
      <w:proofErr w:type="spellStart"/>
      <w:r w:rsidRPr="00113153">
        <w:t>givosiran</w:t>
      </w:r>
      <w:proofErr w:type="spellEnd"/>
      <w:r w:rsidRPr="00113153">
        <w:t xml:space="preserve"> in non</w:t>
      </w:r>
      <w:r w:rsidR="0010085A">
        <w:noBreakHyphen/>
      </w:r>
      <w:r w:rsidRPr="00113153">
        <w:t>AIP patients is reflected in the SmPC and this patient population should be further studied in the post-marketing setting.</w:t>
      </w:r>
    </w:p>
    <w:p w14:paraId="02996FE6" w14:textId="588A8027" w:rsidR="00113153" w:rsidRPr="00113153" w:rsidRDefault="00113153" w:rsidP="00553327">
      <w:r w:rsidRPr="00113153">
        <w:t xml:space="preserve">The short study duration as well as the data collection approach does not allow for a full appreciation of the </w:t>
      </w:r>
      <w:proofErr w:type="spellStart"/>
      <w:r w:rsidRPr="00113153">
        <w:t>givosiran</w:t>
      </w:r>
      <w:proofErr w:type="spellEnd"/>
      <w:r w:rsidRPr="00113153">
        <w:t xml:space="preserve"> effects on all the studied chronic symptoms and patient reported outcomes. However, the data presented by the Applicant suggests that: 1) </w:t>
      </w:r>
      <w:proofErr w:type="spellStart"/>
      <w:r w:rsidRPr="00113153">
        <w:t>givosiran</w:t>
      </w:r>
      <w:proofErr w:type="spellEnd"/>
      <w:r w:rsidRPr="00113153">
        <w:t xml:space="preserve"> positively affects not only attack frequency, but also severity (based on pain scores and analgesics use during the attacks); 2) </w:t>
      </w:r>
      <w:proofErr w:type="spellStart"/>
      <w:r w:rsidRPr="00113153">
        <w:t>givosiran</w:t>
      </w:r>
      <w:proofErr w:type="spellEnd"/>
      <w:r w:rsidRPr="00113153">
        <w:t xml:space="preserve"> has a positive effect on pain and analgesics use also between the attacks; and 3) the quality of life as well as patient social engagement improves substantially on </w:t>
      </w:r>
      <w:proofErr w:type="spellStart"/>
      <w:r w:rsidRPr="00113153">
        <w:t>givosiran</w:t>
      </w:r>
      <w:proofErr w:type="spellEnd"/>
      <w:r w:rsidRPr="00113153">
        <w:t xml:space="preserve"> treatment. Therefore, the indication </w:t>
      </w:r>
      <w:r w:rsidR="00867DEB">
        <w:t>‘</w:t>
      </w:r>
      <w:r w:rsidRPr="00113153">
        <w:t>treatment of AHP</w:t>
      </w:r>
      <w:r w:rsidR="00867DEB">
        <w:t>’</w:t>
      </w:r>
      <w:r w:rsidRPr="00113153">
        <w:t xml:space="preserve"> can be supported.</w:t>
      </w:r>
    </w:p>
    <w:p w14:paraId="1DD86C44" w14:textId="77777777" w:rsidR="00113153" w:rsidRPr="00113153" w:rsidRDefault="00113153" w:rsidP="00553327">
      <w:r w:rsidRPr="00113153">
        <w:t xml:space="preserve">Adverse events were more frequently reported in the </w:t>
      </w:r>
      <w:proofErr w:type="spellStart"/>
      <w:r w:rsidRPr="00113153">
        <w:t>givosiran</w:t>
      </w:r>
      <w:proofErr w:type="spellEnd"/>
      <w:r w:rsidRPr="00113153">
        <w:t xml:space="preserve"> treatment group compared to placebo. However, most of the adverse events were mild or moderate in severity and most of them resolved within the study duration. Only few (S)AE led to the treatment discontinuation or dose interruption. Considering the severity of the disease, this can be acceptable. One case of anaphylactic reaction was reported in the clinical development program in a patient who had a complex history of allergies and asthma. No ADA were present in this patient and no other cases of anaphylaxis were reported. Considering the totality of the data and the specificity of the given case, the risks for anaphylaxis can be considered low.</w:t>
      </w:r>
    </w:p>
    <w:p w14:paraId="508F4AE0" w14:textId="1EDA1A97" w:rsidR="00113153" w:rsidRPr="00113153" w:rsidRDefault="00113153" w:rsidP="00553327">
      <w:r w:rsidRPr="00113153">
        <w:t xml:space="preserve">Hepatic events are an important </w:t>
      </w:r>
      <w:proofErr w:type="gramStart"/>
      <w:r w:rsidRPr="00113153">
        <w:t>risk, and</w:t>
      </w:r>
      <w:proofErr w:type="gramEnd"/>
      <w:r w:rsidRPr="00113153">
        <w:t xml:space="preserve"> may be a class effect of liver-targeting siRNA products. A</w:t>
      </w:r>
      <w:r w:rsidR="00A4473A">
        <w:t xml:space="preserve"> </w:t>
      </w:r>
      <w:r w:rsidRPr="00113153">
        <w:t>warning and dose recommendations are provided in the SmPC to cover these risks. The efficacy and safety of the proposed lower 1.25</w:t>
      </w:r>
      <w:r w:rsidR="00AE5AF0">
        <w:t> </w:t>
      </w:r>
      <w:r w:rsidRPr="00113153">
        <w:t>mg/kg dose, however, cannot be currently determined due to the inconclusiveness of the data. This is reflected in the SmPC. This concern does not impact the</w:t>
      </w:r>
      <w:r w:rsidR="00AE5AF0">
        <w:t xml:space="preserve"> </w:t>
      </w:r>
      <w:r w:rsidRPr="00113153">
        <w:t>benefit/risk assessment of the 2.5</w:t>
      </w:r>
      <w:r w:rsidR="00AE5AF0">
        <w:t> </w:t>
      </w:r>
      <w:r w:rsidRPr="00113153">
        <w:t>mg/kg dose.</w:t>
      </w:r>
    </w:p>
    <w:p w14:paraId="2BF99BCC" w14:textId="53ACA7D4" w:rsidR="00113153" w:rsidRPr="00113153" w:rsidRDefault="00113153" w:rsidP="00553327">
      <w:r w:rsidRPr="00113153">
        <w:t xml:space="preserve">There are uncertainties on the efficacy and especially safety of </w:t>
      </w:r>
      <w:proofErr w:type="spellStart"/>
      <w:r w:rsidRPr="00113153">
        <w:t>givosiran</w:t>
      </w:r>
      <w:proofErr w:type="spellEnd"/>
      <w:r w:rsidRPr="00113153">
        <w:t xml:space="preserve"> in patients with renal or</w:t>
      </w:r>
      <w:r w:rsidR="00AE5AF0">
        <w:t xml:space="preserve"> </w:t>
      </w:r>
      <w:r w:rsidRPr="00113153">
        <w:t>hepatic impairment due to the limited or absent data. These concerns, however, cannot be resolved</w:t>
      </w:r>
      <w:r w:rsidR="00AE5AF0">
        <w:t xml:space="preserve"> </w:t>
      </w:r>
      <w:r w:rsidRPr="00113153">
        <w:t>within the current application and will need to be addressed post-marketing.</w:t>
      </w:r>
      <w:r w:rsidR="004151C4">
        <w:t>”</w:t>
      </w:r>
    </w:p>
    <w:p w14:paraId="53554E3A" w14:textId="0D3CD2E4" w:rsidR="001A4808" w:rsidRDefault="00CF6CD1" w:rsidP="001A4808">
      <w:pPr>
        <w:pStyle w:val="Heading4"/>
      </w:pPr>
      <w:bookmarkStart w:id="68" w:name="_Toc170980411"/>
      <w:r>
        <w:lastRenderedPageBreak/>
        <w:t xml:space="preserve">TGA </w:t>
      </w:r>
      <w:r w:rsidR="001A4808">
        <w:t>Delegate’s considerations</w:t>
      </w:r>
      <w:bookmarkEnd w:id="68"/>
    </w:p>
    <w:p w14:paraId="1DC06A06" w14:textId="2CA6B486" w:rsidR="001A4808" w:rsidRPr="004151C4" w:rsidRDefault="001A4808" w:rsidP="001A4808">
      <w:pPr>
        <w:rPr>
          <w:iCs/>
          <w:szCs w:val="22"/>
        </w:rPr>
      </w:pPr>
      <w:r w:rsidRPr="004151C4">
        <w:rPr>
          <w:iCs/>
          <w:szCs w:val="22"/>
        </w:rPr>
        <w:t xml:space="preserve">Treatment with </w:t>
      </w:r>
      <w:proofErr w:type="spellStart"/>
      <w:r w:rsidRPr="004151C4">
        <w:rPr>
          <w:iCs/>
          <w:szCs w:val="22"/>
        </w:rPr>
        <w:t>givosiran</w:t>
      </w:r>
      <w:proofErr w:type="spellEnd"/>
      <w:r w:rsidRPr="004151C4">
        <w:rPr>
          <w:iCs/>
          <w:szCs w:val="22"/>
        </w:rPr>
        <w:t xml:space="preserve"> resulted in a rapid, clinically meaningful, and statistically significant decrease (approximately 75%) in the </w:t>
      </w:r>
      <w:r w:rsidR="00441327">
        <w:rPr>
          <w:iCs/>
          <w:szCs w:val="22"/>
        </w:rPr>
        <w:t xml:space="preserve">primary endpoint </w:t>
      </w:r>
      <w:r w:rsidRPr="004151C4">
        <w:rPr>
          <w:iCs/>
          <w:szCs w:val="22"/>
        </w:rPr>
        <w:t>composite AAR in both AIP and AHP populations, as indicated by the analysis of FAS</w:t>
      </w:r>
      <w:r w:rsidRPr="004151C4">
        <w:rPr>
          <w:iCs/>
          <w:szCs w:val="22"/>
          <w:vertAlign w:val="subscript"/>
        </w:rPr>
        <w:t>AIP</w:t>
      </w:r>
      <w:r w:rsidRPr="004151C4">
        <w:rPr>
          <w:iCs/>
          <w:szCs w:val="22"/>
        </w:rPr>
        <w:t xml:space="preserve"> and FAS</w:t>
      </w:r>
      <w:r w:rsidRPr="004151C4">
        <w:rPr>
          <w:iCs/>
          <w:szCs w:val="22"/>
          <w:vertAlign w:val="subscript"/>
        </w:rPr>
        <w:t>AHP</w:t>
      </w:r>
      <w:r w:rsidRPr="004151C4">
        <w:rPr>
          <w:iCs/>
          <w:szCs w:val="22"/>
        </w:rPr>
        <w:t xml:space="preserve">. </w:t>
      </w:r>
      <w:r w:rsidR="00663958" w:rsidRPr="004151C4">
        <w:rPr>
          <w:iCs/>
          <w:szCs w:val="22"/>
        </w:rPr>
        <w:t xml:space="preserve">Half </w:t>
      </w:r>
      <w:r w:rsidRPr="004151C4">
        <w:rPr>
          <w:iCs/>
          <w:szCs w:val="22"/>
        </w:rPr>
        <w:t xml:space="preserve">of patients in the </w:t>
      </w:r>
      <w:proofErr w:type="spellStart"/>
      <w:r w:rsidRPr="004151C4">
        <w:rPr>
          <w:iCs/>
          <w:szCs w:val="22"/>
        </w:rPr>
        <w:t>givosiran</w:t>
      </w:r>
      <w:proofErr w:type="spellEnd"/>
      <w:r w:rsidRPr="004151C4">
        <w:rPr>
          <w:iCs/>
          <w:szCs w:val="22"/>
        </w:rPr>
        <w:t xml:space="preserve"> group had </w:t>
      </w:r>
      <w:r w:rsidR="00663958" w:rsidRPr="004151C4">
        <w:rPr>
          <w:iCs/>
          <w:szCs w:val="22"/>
        </w:rPr>
        <w:t>nil</w:t>
      </w:r>
      <w:r w:rsidRPr="004151C4">
        <w:rPr>
          <w:iCs/>
          <w:szCs w:val="22"/>
        </w:rPr>
        <w:t xml:space="preserve"> attacks.</w:t>
      </w:r>
    </w:p>
    <w:p w14:paraId="79B02F0F" w14:textId="1ADB4254" w:rsidR="001A4808" w:rsidRPr="004151C4" w:rsidRDefault="001A4808" w:rsidP="001A4808">
      <w:pPr>
        <w:rPr>
          <w:iCs/>
          <w:szCs w:val="22"/>
        </w:rPr>
      </w:pPr>
      <w:r w:rsidRPr="004151C4">
        <w:rPr>
          <w:iCs/>
          <w:szCs w:val="22"/>
          <w:lang w:eastAsia="en-AU"/>
        </w:rPr>
        <w:t>The effects of the proposed 2.5</w:t>
      </w:r>
      <w:r w:rsidR="00663958" w:rsidRPr="004151C4">
        <w:rPr>
          <w:iCs/>
          <w:szCs w:val="22"/>
          <w:lang w:eastAsia="en-AU"/>
        </w:rPr>
        <w:t> </w:t>
      </w:r>
      <w:r w:rsidRPr="004151C4">
        <w:rPr>
          <w:iCs/>
          <w:szCs w:val="22"/>
          <w:lang w:eastAsia="en-AU"/>
        </w:rPr>
        <w:t>mg/kg dose are in general considered sufficiently described. The efficacy and safety data of the lower dose, 1.25</w:t>
      </w:r>
      <w:r w:rsidR="006E3CFC" w:rsidRPr="004151C4">
        <w:rPr>
          <w:iCs/>
          <w:szCs w:val="22"/>
          <w:lang w:eastAsia="en-AU"/>
        </w:rPr>
        <w:t> </w:t>
      </w:r>
      <w:r w:rsidRPr="004151C4">
        <w:rPr>
          <w:iCs/>
          <w:szCs w:val="22"/>
          <w:lang w:eastAsia="en-AU"/>
        </w:rPr>
        <w:t>mg/kg, is very limited</w:t>
      </w:r>
      <w:r w:rsidR="006E3CFC" w:rsidRPr="004151C4">
        <w:rPr>
          <w:iCs/>
          <w:szCs w:val="22"/>
          <w:lang w:eastAsia="en-AU"/>
        </w:rPr>
        <w:t>.</w:t>
      </w:r>
    </w:p>
    <w:p w14:paraId="557BE236" w14:textId="599B0A79" w:rsidR="00B53190" w:rsidRPr="004151C4" w:rsidRDefault="001A4808" w:rsidP="001A4808">
      <w:pPr>
        <w:rPr>
          <w:iCs/>
          <w:szCs w:val="22"/>
        </w:rPr>
      </w:pPr>
      <w:r w:rsidRPr="004151C4">
        <w:rPr>
          <w:iCs/>
          <w:szCs w:val="22"/>
        </w:rPr>
        <w:t xml:space="preserve">The safety data presented for the moment indicates that most of the (S)AE seems to be reversible and of mild or moderate nature. The safety profile is in general in accordance with known class effects of similar siRNA molecules targeted to the liver. Adverse events that were most frequently reported in the </w:t>
      </w:r>
      <w:proofErr w:type="spellStart"/>
      <w:r w:rsidRPr="004151C4">
        <w:rPr>
          <w:iCs/>
          <w:szCs w:val="22"/>
        </w:rPr>
        <w:t>givosiran</w:t>
      </w:r>
      <w:proofErr w:type="spellEnd"/>
      <w:r w:rsidRPr="004151C4">
        <w:rPr>
          <w:iCs/>
          <w:szCs w:val="22"/>
        </w:rPr>
        <w:t xml:space="preserve"> group are injection site reaction, nausea, fatigue, ALT elevation, rash, eGFR decrease and CKD. The safety of </w:t>
      </w:r>
      <w:proofErr w:type="spellStart"/>
      <w:r w:rsidRPr="004151C4">
        <w:rPr>
          <w:iCs/>
          <w:szCs w:val="22"/>
        </w:rPr>
        <w:t>givosiran</w:t>
      </w:r>
      <w:proofErr w:type="spellEnd"/>
      <w:r w:rsidRPr="004151C4">
        <w:rPr>
          <w:iCs/>
          <w:szCs w:val="22"/>
        </w:rPr>
        <w:t xml:space="preserve"> in some target sub-populations (</w:t>
      </w:r>
      <w:r w:rsidR="007C5DE3" w:rsidRPr="004151C4">
        <w:rPr>
          <w:iCs/>
          <w:szCs w:val="22"/>
        </w:rPr>
        <w:t xml:space="preserve">for example, </w:t>
      </w:r>
      <w:r w:rsidRPr="004151C4">
        <w:rPr>
          <w:iCs/>
          <w:szCs w:val="22"/>
        </w:rPr>
        <w:t>adolescents, patients with hepatic or renal disease) will need to be further addressed by the applicant as part of the RMP. For now, it cannot be concluded that the lower 1.25</w:t>
      </w:r>
      <w:r w:rsidR="00715E9A" w:rsidRPr="004151C4">
        <w:rPr>
          <w:iCs/>
          <w:szCs w:val="22"/>
        </w:rPr>
        <w:t> </w:t>
      </w:r>
      <w:r w:rsidRPr="004151C4">
        <w:rPr>
          <w:iCs/>
          <w:szCs w:val="22"/>
        </w:rPr>
        <w:t>mg/kg dose has a better safety profile as compared to the 2.5</w:t>
      </w:r>
      <w:r w:rsidR="00715E9A" w:rsidRPr="004151C4">
        <w:rPr>
          <w:iCs/>
          <w:szCs w:val="22"/>
        </w:rPr>
        <w:t> </w:t>
      </w:r>
      <w:r w:rsidRPr="004151C4">
        <w:rPr>
          <w:iCs/>
          <w:szCs w:val="22"/>
        </w:rPr>
        <w:t>mg/kg dose.</w:t>
      </w:r>
    </w:p>
    <w:p w14:paraId="65D7C766" w14:textId="1DBF48CF" w:rsidR="00E610D0" w:rsidRPr="004151C4" w:rsidRDefault="00E610D0" w:rsidP="00E610D0">
      <w:pPr>
        <w:rPr>
          <w:szCs w:val="22"/>
        </w:rPr>
      </w:pPr>
      <w:r w:rsidRPr="004151C4">
        <w:rPr>
          <w:szCs w:val="22"/>
        </w:rPr>
        <w:t>There is no change to the benefit</w:t>
      </w:r>
      <w:r w:rsidR="0029311C" w:rsidRPr="004151C4">
        <w:rPr>
          <w:szCs w:val="22"/>
        </w:rPr>
        <w:noBreakHyphen/>
      </w:r>
      <w:r w:rsidRPr="004151C4">
        <w:rPr>
          <w:szCs w:val="22"/>
        </w:rPr>
        <w:t>risk arising from the post</w:t>
      </w:r>
      <w:r w:rsidR="0029311C" w:rsidRPr="004151C4">
        <w:rPr>
          <w:szCs w:val="22"/>
        </w:rPr>
        <w:noBreakHyphen/>
      </w:r>
      <w:r w:rsidRPr="004151C4">
        <w:rPr>
          <w:szCs w:val="22"/>
        </w:rPr>
        <w:t>market reports.</w:t>
      </w:r>
    </w:p>
    <w:p w14:paraId="795C89CF" w14:textId="4256FD40" w:rsidR="0029311C" w:rsidRPr="004151C4" w:rsidRDefault="0029311C" w:rsidP="0029311C">
      <w:pPr>
        <w:pStyle w:val="Instructions"/>
        <w:rPr>
          <w:i w:val="0"/>
          <w:iCs/>
          <w:color w:val="auto"/>
        </w:rPr>
      </w:pPr>
      <w:r w:rsidRPr="004151C4">
        <w:rPr>
          <w:i w:val="0"/>
          <w:iCs/>
          <w:color w:val="auto"/>
        </w:rPr>
        <w:t>The overall benefit</w:t>
      </w:r>
      <w:r w:rsidRPr="004151C4">
        <w:rPr>
          <w:i w:val="0"/>
          <w:iCs/>
          <w:color w:val="auto"/>
        </w:rPr>
        <w:noBreakHyphen/>
        <w:t xml:space="preserve">risk of </w:t>
      </w:r>
      <w:proofErr w:type="spellStart"/>
      <w:r w:rsidRPr="004151C4">
        <w:rPr>
          <w:i w:val="0"/>
          <w:iCs/>
          <w:color w:val="auto"/>
        </w:rPr>
        <w:t>givosiran</w:t>
      </w:r>
      <w:proofErr w:type="spellEnd"/>
      <w:r w:rsidRPr="004151C4">
        <w:rPr>
          <w:i w:val="0"/>
          <w:iCs/>
          <w:color w:val="auto"/>
        </w:rPr>
        <w:t xml:space="preserve"> is positive.</w:t>
      </w:r>
    </w:p>
    <w:p w14:paraId="3916F296" w14:textId="77777777" w:rsidR="00C22214" w:rsidRDefault="00C22214" w:rsidP="00C22214">
      <w:pPr>
        <w:pStyle w:val="Heading4"/>
      </w:pPr>
      <w:bookmarkStart w:id="69" w:name="_Toc98931933"/>
      <w:bookmarkStart w:id="70" w:name="_Toc170980412"/>
      <w:r w:rsidRPr="00D23139">
        <w:t>Proposed action</w:t>
      </w:r>
      <w:bookmarkEnd w:id="69"/>
      <w:bookmarkEnd w:id="70"/>
    </w:p>
    <w:p w14:paraId="308404FF" w14:textId="637B7A9F" w:rsidR="006A6EB1" w:rsidRPr="006A6EB1" w:rsidRDefault="006A6EB1" w:rsidP="006A784F">
      <w:r>
        <w:t xml:space="preserve">The Delegate </w:t>
      </w:r>
      <w:r w:rsidRPr="00AD635A">
        <w:t>propose</w:t>
      </w:r>
      <w:r>
        <w:t>d</w:t>
      </w:r>
      <w:r w:rsidRPr="00AD635A">
        <w:t xml:space="preserve"> </w:t>
      </w:r>
      <w:r w:rsidRPr="00CE3ABB">
        <w:t>to approve the registration of the product</w:t>
      </w:r>
      <w:r>
        <w:t xml:space="preserve"> </w:t>
      </w:r>
      <w:r w:rsidRPr="00FF355A">
        <w:t>G</w:t>
      </w:r>
      <w:r w:rsidR="003B5D0E">
        <w:t>i</w:t>
      </w:r>
      <w:r w:rsidR="009B07C4">
        <w:t>v</w:t>
      </w:r>
      <w:r w:rsidR="003B5D0E">
        <w:t>laari</w:t>
      </w:r>
      <w:r w:rsidRPr="00FF355A">
        <w:rPr>
          <w:i/>
          <w:color w:val="007099"/>
        </w:rPr>
        <w:t xml:space="preserve"> </w:t>
      </w:r>
      <w:r w:rsidRPr="00FF355A">
        <w:t>and to impose the conditions of registration</w:t>
      </w:r>
      <w:r w:rsidR="003B5D0E">
        <w:t xml:space="preserve"> as </w:t>
      </w:r>
      <w:r>
        <w:t>described in RMP Evaluation Report</w:t>
      </w:r>
      <w:r w:rsidR="00142FC9">
        <w:t>.</w:t>
      </w:r>
    </w:p>
    <w:p w14:paraId="318CFABC" w14:textId="77777777" w:rsidR="00C22214" w:rsidRPr="00F73346" w:rsidRDefault="00C22214" w:rsidP="00C22214">
      <w:pPr>
        <w:pStyle w:val="Heading4"/>
      </w:pPr>
      <w:bookmarkStart w:id="71" w:name="_Toc98931936"/>
      <w:bookmarkStart w:id="72" w:name="_Toc247691532"/>
      <w:bookmarkStart w:id="73" w:name="_Toc314842516"/>
      <w:bookmarkStart w:id="74" w:name="_Toc170980413"/>
      <w:r w:rsidRPr="00F73346">
        <w:t>Advisory Committee considerations</w:t>
      </w:r>
      <w:bookmarkEnd w:id="71"/>
      <w:bookmarkEnd w:id="74"/>
    </w:p>
    <w:p w14:paraId="15E2951C" w14:textId="497F389F" w:rsidR="00C22214" w:rsidRDefault="00C22214" w:rsidP="00C22214">
      <w:pPr>
        <w:rPr>
          <w:szCs w:val="22"/>
        </w:rPr>
      </w:pPr>
      <w:r w:rsidRPr="00BD5DBD">
        <w:rPr>
          <w:szCs w:val="22"/>
        </w:rPr>
        <w:t>The Delegate did not refer this submission to the Advisory Committee on Medicines</w:t>
      </w:r>
      <w:r w:rsidR="007220C4">
        <w:rPr>
          <w:szCs w:val="22"/>
        </w:rPr>
        <w:t xml:space="preserve"> </w:t>
      </w:r>
      <w:r w:rsidRPr="00BD5DBD">
        <w:rPr>
          <w:szCs w:val="22"/>
        </w:rPr>
        <w:t>for advice.</w:t>
      </w:r>
    </w:p>
    <w:p w14:paraId="307F236C" w14:textId="77777777" w:rsidR="00C22214" w:rsidRPr="002E238E" w:rsidRDefault="00C22214" w:rsidP="00C22214">
      <w:pPr>
        <w:pStyle w:val="Heading2"/>
      </w:pPr>
      <w:bookmarkStart w:id="75" w:name="_Toc103679300"/>
      <w:bookmarkStart w:id="76" w:name="_Toc170980414"/>
      <w:r>
        <w:t>Outcome</w:t>
      </w:r>
      <w:bookmarkEnd w:id="72"/>
      <w:bookmarkEnd w:id="73"/>
      <w:bookmarkEnd w:id="75"/>
      <w:bookmarkEnd w:id="76"/>
    </w:p>
    <w:p w14:paraId="4EF22939" w14:textId="7D5F96A6"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D857F9">
        <w:t>Givlaa</w:t>
      </w:r>
      <w:r w:rsidR="00F1783E">
        <w:t>ri</w:t>
      </w:r>
      <w:r w:rsidR="00D857F9" w:rsidRPr="00065839">
        <w:t xml:space="preserve"> (</w:t>
      </w:r>
      <w:proofErr w:type="spellStart"/>
      <w:r w:rsidR="00D857F9">
        <w:t>givosiran</w:t>
      </w:r>
      <w:proofErr w:type="spellEnd"/>
      <w:r w:rsidR="00D857F9" w:rsidRPr="00065839">
        <w:t xml:space="preserve">) </w:t>
      </w:r>
      <w:r w:rsidR="00D857F9">
        <w:t xml:space="preserve">189 mg/mL solution for injection in vials. </w:t>
      </w:r>
      <w:r w:rsidRPr="0017005C">
        <w:t>indicated for:</w:t>
      </w:r>
    </w:p>
    <w:p w14:paraId="3B245AB5" w14:textId="6F88BD80" w:rsidR="00C22214" w:rsidRPr="00BD5DBD" w:rsidRDefault="007B40EA" w:rsidP="00605C05">
      <w:pPr>
        <w:pStyle w:val="Indication"/>
      </w:pPr>
      <w:r w:rsidRPr="00483773">
        <w:rPr>
          <w:szCs w:val="22"/>
        </w:rPr>
        <w:t>Givlaari is indicated for the treatment of acute hepatic porphyria (AHP) in adults and</w:t>
      </w:r>
      <w:r>
        <w:rPr>
          <w:szCs w:val="22"/>
        </w:rPr>
        <w:t xml:space="preserve"> </w:t>
      </w:r>
      <w:r w:rsidRPr="00483773">
        <w:rPr>
          <w:szCs w:val="22"/>
        </w:rPr>
        <w:t>adolescents aged 12 years and older.</w:t>
      </w:r>
    </w:p>
    <w:p w14:paraId="0D732DA4" w14:textId="77777777" w:rsidR="00854D98" w:rsidRPr="00D23139" w:rsidRDefault="00854D98" w:rsidP="00854D98">
      <w:pPr>
        <w:pStyle w:val="Heading3"/>
      </w:pPr>
      <w:bookmarkStart w:id="77" w:name="_Toc103679301"/>
      <w:bookmarkStart w:id="78" w:name="_Toc170980415"/>
      <w:r w:rsidRPr="00D23139">
        <w:t>Specific conditions of registration applying to these goods</w:t>
      </w:r>
      <w:bookmarkEnd w:id="77"/>
      <w:bookmarkEnd w:id="78"/>
    </w:p>
    <w:p w14:paraId="1EC88029" w14:textId="2905BCFD" w:rsidR="005F6D8A" w:rsidRDefault="00F1783E" w:rsidP="00E10434">
      <w:pPr>
        <w:pStyle w:val="ListBullet"/>
      </w:pPr>
      <w:r>
        <w:t>Givlaari</w:t>
      </w:r>
      <w:r w:rsidR="005F6D8A">
        <w:t xml:space="preserve"> (</w:t>
      </w:r>
      <w:proofErr w:type="spellStart"/>
      <w:r w:rsidR="005F6D8A">
        <w:t>givosiran</w:t>
      </w:r>
      <w:proofErr w:type="spellEnd"/>
      <w:r w:rsidR="005F6D8A">
        <w:t>) is to be included in the Black Triangle Scheme. The PI and CMI for G</w:t>
      </w:r>
      <w:r w:rsidR="00D11738">
        <w:t>ivlaari</w:t>
      </w:r>
      <w:r w:rsidR="005F6D8A">
        <w:t xml:space="preserve"> must include the black triangle symbol and mandatory accompanying text for </w:t>
      </w:r>
      <w:r w:rsidR="00E10434">
        <w:t>5 </w:t>
      </w:r>
      <w:r w:rsidR="005F6D8A">
        <w:t>years, which starts from the date that the sponsor notifies the TGA of supply of the product.</w:t>
      </w:r>
    </w:p>
    <w:p w14:paraId="7C9A7A90" w14:textId="023167AE" w:rsidR="005F6D8A" w:rsidRDefault="005F6D8A" w:rsidP="00E10434">
      <w:pPr>
        <w:pStyle w:val="ListBullet"/>
      </w:pPr>
      <w:r>
        <w:t>The G</w:t>
      </w:r>
      <w:r w:rsidR="007B40EA">
        <w:t>ivlaari</w:t>
      </w:r>
      <w:r>
        <w:t xml:space="preserve"> EU-Risk Management Plan (version 2.0, dated 5 May 2022; DLP 19 November 2020), with Australia</w:t>
      </w:r>
      <w:r w:rsidR="007B40EA">
        <w:noBreakHyphen/>
        <w:t>s</w:t>
      </w:r>
      <w:r>
        <w:t xml:space="preserve">pecific </w:t>
      </w:r>
      <w:r w:rsidR="007B40EA">
        <w:t>a</w:t>
      </w:r>
      <w:r>
        <w:t>nnex (version 0.2, dated 20 June 2023), included with submission PM-2022-05371-1-6, and any subsequent revisions, as agreed with the TGA will be implemented in Australia.</w:t>
      </w:r>
    </w:p>
    <w:p w14:paraId="742BF75A" w14:textId="54FB977B" w:rsidR="005F6D8A" w:rsidRDefault="005F6D8A" w:rsidP="00E10434">
      <w:pPr>
        <w:ind w:left="360"/>
      </w:pPr>
      <w:r>
        <w:t>An obligatory component of risk management plans is routine pharmacovigilance. Routine pharmacovigilance includes the submission of periodic safety update reports (PSURs).</w:t>
      </w:r>
    </w:p>
    <w:p w14:paraId="08F5CAA2" w14:textId="02E7D126" w:rsidR="005F6D8A" w:rsidRDefault="005F6D8A" w:rsidP="00E10434">
      <w:pPr>
        <w:ind w:left="360"/>
      </w:pPr>
      <w:r>
        <w:lastRenderedPageBreak/>
        <w:t xml:space="preserve">Reports are to be provided in line with the current published list of EU reference dates and frequency of submission of PSURs until the period covered by such reports is not less than </w:t>
      </w:r>
      <w:r w:rsidR="00E10434">
        <w:t>3 </w:t>
      </w:r>
      <w:r>
        <w:t>years from the date of th</w:t>
      </w:r>
      <w:r w:rsidR="00E10434">
        <w:t>e</w:t>
      </w:r>
      <w:r>
        <w:t xml:space="preserve"> approval letter.</w:t>
      </w:r>
    </w:p>
    <w:p w14:paraId="6587CC98" w14:textId="3727C4CB" w:rsidR="005F6D8A" w:rsidRPr="005F6D8A" w:rsidRDefault="005F6D8A" w:rsidP="00E10434">
      <w:pPr>
        <w:ind w:left="360"/>
      </w:pPr>
      <w:r>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w:t>
      </w:r>
      <w:r w:rsidR="00B92292">
        <w:t>90</w:t>
      </w:r>
      <w:r>
        <w:t xml:space="preserve"> calendar days of the data lock point for that report.</w:t>
      </w:r>
    </w:p>
    <w:p w14:paraId="451DC3FC" w14:textId="2D1EC6E2" w:rsidR="00C22214" w:rsidRDefault="00C22214" w:rsidP="00C22214">
      <w:pPr>
        <w:pStyle w:val="Heading2"/>
      </w:pPr>
      <w:bookmarkStart w:id="79" w:name="_Toc103679303"/>
      <w:bookmarkStart w:id="80" w:name="_Toc170980416"/>
      <w:r>
        <w:t>Attachment 1. Product Information</w:t>
      </w:r>
      <w:bookmarkEnd w:id="79"/>
      <w:bookmarkEnd w:id="80"/>
    </w:p>
    <w:p w14:paraId="74F59983" w14:textId="23085E93" w:rsidR="00675F81" w:rsidRPr="00BD5DBD" w:rsidRDefault="00675F81" w:rsidP="00675F81">
      <w:pPr>
        <w:rPr>
          <w:szCs w:val="22"/>
        </w:rPr>
      </w:pPr>
      <w:r w:rsidRPr="00BD5DBD">
        <w:rPr>
          <w:szCs w:val="22"/>
        </w:rPr>
        <w:t xml:space="preserve">The </w:t>
      </w:r>
      <w:hyperlink r:id="rId34" w:history="1">
        <w:r w:rsidRPr="00BD5DBD">
          <w:rPr>
            <w:rStyle w:val="Hyperlink"/>
            <w:szCs w:val="22"/>
          </w:rPr>
          <w:t>Product Information</w:t>
        </w:r>
      </w:hyperlink>
      <w:r w:rsidRPr="00BD5DBD">
        <w:rPr>
          <w:szCs w:val="22"/>
        </w:rPr>
        <w:t xml:space="preserve"> (</w:t>
      </w:r>
      <w:hyperlink r:id="rId35"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4151C4">
        <w:rPr>
          <w:szCs w:val="22"/>
        </w:rPr>
        <w:t>Givlaari</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36" w:history="1">
        <w:r w:rsidRPr="00BD5DBD">
          <w:rPr>
            <w:rStyle w:val="Hyperlink"/>
            <w:szCs w:val="22"/>
          </w:rPr>
          <w:t>Consumer Medicines Information</w:t>
        </w:r>
      </w:hyperlink>
      <w:r w:rsidRPr="00BD5DBD">
        <w:rPr>
          <w:szCs w:val="22"/>
        </w:rPr>
        <w:t xml:space="preserve"> (CMI), please refer to the TGA </w:t>
      </w:r>
      <w:hyperlink r:id="rId37"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FB19B2">
          <w:headerReference w:type="default" r:id="rId38"/>
          <w:footerReference w:type="default" r:id="rId3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7608AB67" w:rsidR="00F02AEC" w:rsidRDefault="00F02AEC">
            <w:pPr>
              <w:pStyle w:val="Address"/>
              <w:jc w:val="center"/>
              <w:rPr>
                <w:sz w:val="22"/>
                <w:szCs w:val="22"/>
              </w:rPr>
            </w:pPr>
            <w:r w:rsidRPr="00215D48">
              <w:t xml:space="preserve">Email: </w:t>
            </w:r>
            <w:hyperlink r:id="rId40"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53AA2AD3" w:rsidR="00F02AEC" w:rsidRPr="00215D48" w:rsidRDefault="00F966C9">
            <w:pPr>
              <w:pStyle w:val="Address"/>
              <w:jc w:val="center"/>
              <w:rPr>
                <w:rStyle w:val="Hyperlink"/>
                <w:b/>
                <w:color w:val="auto"/>
                <w:sz w:val="22"/>
              </w:rPr>
            </w:pPr>
            <w:hyperlink r:id="rId41"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FB19B2">
      <w:headerReference w:type="first" r:id="rId42"/>
      <w:footerReference w:type="first" r:id="rId4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45D96" w14:textId="77777777" w:rsidR="00E81C02" w:rsidRDefault="00E81C02" w:rsidP="00F02AEC">
      <w:pPr>
        <w:spacing w:after="0" w:line="240" w:lineRule="auto"/>
      </w:pPr>
      <w:r>
        <w:separator/>
      </w:r>
    </w:p>
  </w:endnote>
  <w:endnote w:type="continuationSeparator" w:id="0">
    <w:p w14:paraId="3A19F31D" w14:textId="77777777" w:rsidR="00E81C02" w:rsidRDefault="00E81C02" w:rsidP="00F02AEC">
      <w:pPr>
        <w:spacing w:after="0" w:line="240" w:lineRule="auto"/>
      </w:pPr>
      <w:r>
        <w:continuationSeparator/>
      </w:r>
    </w:p>
  </w:endnote>
  <w:endnote w:type="continuationNotice" w:id="1">
    <w:p w14:paraId="11D22672" w14:textId="77777777" w:rsidR="00E81C02" w:rsidRDefault="00E81C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NewRoman">
    <w:altName w:val="Yu Gothic"/>
    <w:panose1 w:val="00000000000000000000"/>
    <w:charset w:val="00"/>
    <w:family w:val="roman"/>
    <w:notTrueType/>
    <w:pitch w:val="default"/>
    <w:sig w:usb0="00000003" w:usb1="08070000" w:usb2="00000010" w:usb3="00000000" w:csb0="00020001" w:csb1="00000000"/>
  </w:font>
  <w:font w:name="TimesNewRomanPSMT">
    <w:altName w:val="Klee On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B15A7EC" w:rsidR="007452E8" w:rsidRPr="004A3084" w:rsidRDefault="007452E8" w:rsidP="007452E8">
          <w:pPr>
            <w:pStyle w:val="Footer"/>
          </w:pPr>
          <w:r w:rsidRPr="00487162">
            <w:t>AusPA</w:t>
          </w:r>
          <w:r>
            <w:t xml:space="preserve">R - </w:t>
          </w:r>
          <w:r w:rsidR="005F6D8A">
            <w:t>GIVLAARI</w:t>
          </w:r>
          <w:r>
            <w:t xml:space="preserve"> -</w:t>
          </w:r>
          <w:r w:rsidRPr="00460036">
            <w:t xml:space="preserve"> </w:t>
          </w:r>
          <w:proofErr w:type="spellStart"/>
          <w:r w:rsidR="005F6D8A">
            <w:t>givosiran</w:t>
          </w:r>
          <w:proofErr w:type="spellEnd"/>
          <w:r w:rsidRPr="00460036">
            <w:t xml:space="preserve"> </w:t>
          </w:r>
          <w:r w:rsidR="005F6D8A">
            <w:t>–</w:t>
          </w:r>
          <w:r>
            <w:t xml:space="preserve"> </w:t>
          </w:r>
          <w:r w:rsidR="00305887">
            <w:t>Medison Pharma</w:t>
          </w:r>
          <w:r w:rsidR="005F6D8A">
            <w:t xml:space="preserve"> Australia Pty Ltd -</w:t>
          </w:r>
          <w:r>
            <w:t xml:space="preserve"> PM-202</w:t>
          </w:r>
          <w:r w:rsidR="005F6D8A">
            <w:t>2</w:t>
          </w:r>
          <w:r w:rsidRPr="00487162">
            <w:t>-</w:t>
          </w:r>
          <w:r w:rsidR="005F6D8A">
            <w:t>05371-1-6</w:t>
          </w:r>
          <w:r>
            <w:br/>
          </w:r>
          <w:r w:rsidR="00621B6B">
            <w:t>Final 28 June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F24E5" w14:textId="77777777" w:rsidR="00E81C02" w:rsidRDefault="00E81C02" w:rsidP="00F02AEC">
      <w:pPr>
        <w:spacing w:after="0" w:line="240" w:lineRule="auto"/>
      </w:pPr>
      <w:r>
        <w:separator/>
      </w:r>
    </w:p>
  </w:footnote>
  <w:footnote w:type="continuationSeparator" w:id="0">
    <w:p w14:paraId="1E353B8E" w14:textId="77777777" w:rsidR="00E81C02" w:rsidRDefault="00E81C02" w:rsidP="00F02AEC">
      <w:pPr>
        <w:spacing w:after="0" w:line="240" w:lineRule="auto"/>
      </w:pPr>
      <w:r>
        <w:continuationSeparator/>
      </w:r>
    </w:p>
  </w:footnote>
  <w:footnote w:type="continuationNotice" w:id="1">
    <w:p w14:paraId="0B00D99E" w14:textId="77777777" w:rsidR="00E81C02" w:rsidRDefault="00E81C02">
      <w:pPr>
        <w:spacing w:after="0" w:line="240" w:lineRule="auto"/>
      </w:pPr>
    </w:p>
  </w:footnote>
  <w:footnote w:id="2">
    <w:p w14:paraId="4EE7D8A5" w14:textId="13B6E4C7" w:rsidR="00A1091A" w:rsidRDefault="006049F9" w:rsidP="00B14059">
      <w:pPr>
        <w:pStyle w:val="FootnoteText"/>
      </w:pPr>
      <w:r>
        <w:rPr>
          <w:rStyle w:val="FootnoteReference"/>
        </w:rPr>
        <w:footnoteRef/>
      </w:r>
      <w:r>
        <w:t xml:space="preserve"> </w:t>
      </w:r>
      <w:r w:rsidR="00B14059">
        <w:t xml:space="preserve">Anderson KE, Bloomer JR, </w:t>
      </w:r>
      <w:proofErr w:type="spellStart"/>
      <w:r w:rsidR="00B14059">
        <w:t>Bonkovsky</w:t>
      </w:r>
      <w:proofErr w:type="spellEnd"/>
      <w:r w:rsidR="00B14059">
        <w:t xml:space="preserve"> HL, Kushner JP, </w:t>
      </w:r>
      <w:proofErr w:type="spellStart"/>
      <w:r w:rsidR="00B14059">
        <w:t>Pierach</w:t>
      </w:r>
      <w:proofErr w:type="spellEnd"/>
      <w:r w:rsidR="00B14059">
        <w:t xml:space="preserve"> CA, </w:t>
      </w:r>
      <w:proofErr w:type="spellStart"/>
      <w:r w:rsidR="00B14059">
        <w:t>Pimstone</w:t>
      </w:r>
      <w:proofErr w:type="spellEnd"/>
      <w:r w:rsidR="00B14059">
        <w:t xml:space="preserve"> NR, et al. Recommendations for the Diagnosis and Treatment of the Acute </w:t>
      </w:r>
      <w:proofErr w:type="spellStart"/>
      <w:r w:rsidR="00B14059">
        <w:t>Porphyrias</w:t>
      </w:r>
      <w:proofErr w:type="spellEnd"/>
      <w:r w:rsidR="00B14059">
        <w:t xml:space="preserve">. </w:t>
      </w:r>
      <w:r w:rsidR="00B14059" w:rsidRPr="00CD2F2C">
        <w:rPr>
          <w:i/>
          <w:iCs/>
        </w:rPr>
        <w:t>Ann Intern Med</w:t>
      </w:r>
      <w:r w:rsidR="00B14059">
        <w:t xml:space="preserve">. </w:t>
      </w:r>
      <w:proofErr w:type="gramStart"/>
      <w:r w:rsidR="00B14059">
        <w:t>2005;142:439</w:t>
      </w:r>
      <w:proofErr w:type="gramEnd"/>
      <w:r w:rsidR="00B14059">
        <w:t>-450.</w:t>
      </w:r>
      <w:r w:rsidR="00CD2F2C">
        <w:t xml:space="preserve"> </w:t>
      </w:r>
      <w:proofErr w:type="spellStart"/>
      <w:r w:rsidR="00CD2F2C" w:rsidRPr="00CD2F2C">
        <w:t>doi</w:t>
      </w:r>
      <w:proofErr w:type="spellEnd"/>
      <w:r w:rsidR="00CD2F2C" w:rsidRPr="00CD2F2C">
        <w:t>:</w:t>
      </w:r>
      <w:r w:rsidR="00CD2F2C">
        <w:t> </w:t>
      </w:r>
      <w:r w:rsidR="00CD2F2C" w:rsidRPr="00CD2F2C">
        <w:t>10.7326/0003-4819-142-6-200503150-00010.</w:t>
      </w:r>
    </w:p>
    <w:p w14:paraId="3D74AB90" w14:textId="6E8CD558" w:rsidR="006049F9" w:rsidRDefault="006D3E78" w:rsidP="006D3E78">
      <w:pPr>
        <w:pStyle w:val="FootnoteText"/>
      </w:pPr>
      <w:r>
        <w:t xml:space="preserve">Bissell DM, Wang B. Acute Hepatic Porphyria. </w:t>
      </w:r>
      <w:r w:rsidRPr="006D3E78">
        <w:rPr>
          <w:i/>
          <w:iCs/>
        </w:rPr>
        <w:t xml:space="preserve">J Clin </w:t>
      </w:r>
      <w:proofErr w:type="spellStart"/>
      <w:r w:rsidRPr="006D3E78">
        <w:rPr>
          <w:i/>
          <w:iCs/>
        </w:rPr>
        <w:t>Transl</w:t>
      </w:r>
      <w:proofErr w:type="spellEnd"/>
      <w:r w:rsidRPr="006D3E78">
        <w:rPr>
          <w:i/>
          <w:iCs/>
        </w:rPr>
        <w:t xml:space="preserve"> Hepatol</w:t>
      </w:r>
      <w:r>
        <w:t xml:space="preserve"> </w:t>
      </w:r>
      <w:proofErr w:type="gramStart"/>
      <w:r>
        <w:t>2015;3:17</w:t>
      </w:r>
      <w:proofErr w:type="gramEnd"/>
      <w:r>
        <w:t xml:space="preserve">–26. </w:t>
      </w:r>
      <w:proofErr w:type="spellStart"/>
      <w:r>
        <w:t>doi</w:t>
      </w:r>
      <w:proofErr w:type="spellEnd"/>
      <w:r>
        <w:t>: 10.14218/JCTH.2014.00039.</w:t>
      </w:r>
    </w:p>
  </w:footnote>
  <w:footnote w:id="3">
    <w:p w14:paraId="7BFEC55D" w14:textId="6260ED15" w:rsidR="005875CA" w:rsidRDefault="005875CA">
      <w:pPr>
        <w:pStyle w:val="FootnoteText"/>
      </w:pPr>
      <w:r>
        <w:rPr>
          <w:rStyle w:val="FootnoteReference"/>
        </w:rPr>
        <w:footnoteRef/>
      </w:r>
      <w:r>
        <w:t xml:space="preserve"> </w:t>
      </w:r>
      <w:r w:rsidR="00FD0F24">
        <w:t xml:space="preserve">Bissell DM, Wang B. Acute Hepatic Porphyria. </w:t>
      </w:r>
      <w:r w:rsidR="00FD0F24" w:rsidRPr="006D3E78">
        <w:rPr>
          <w:i/>
          <w:iCs/>
        </w:rPr>
        <w:t xml:space="preserve">J Clin </w:t>
      </w:r>
      <w:proofErr w:type="spellStart"/>
      <w:r w:rsidR="00FD0F24" w:rsidRPr="006D3E78">
        <w:rPr>
          <w:i/>
          <w:iCs/>
        </w:rPr>
        <w:t>Transl</w:t>
      </w:r>
      <w:proofErr w:type="spellEnd"/>
      <w:r w:rsidR="00FD0F24" w:rsidRPr="006D3E78">
        <w:rPr>
          <w:i/>
          <w:iCs/>
        </w:rPr>
        <w:t xml:space="preserve"> Hepatol</w:t>
      </w:r>
      <w:r w:rsidR="00FD0F24">
        <w:t xml:space="preserve"> </w:t>
      </w:r>
      <w:proofErr w:type="gramStart"/>
      <w:r w:rsidR="00FD0F24">
        <w:t>2015;3:17</w:t>
      </w:r>
      <w:proofErr w:type="gramEnd"/>
      <w:r w:rsidR="00FD0F24">
        <w:t xml:space="preserve">–26. </w:t>
      </w:r>
      <w:proofErr w:type="spellStart"/>
      <w:r w:rsidR="00FD0F24">
        <w:t>doi</w:t>
      </w:r>
      <w:proofErr w:type="spellEnd"/>
      <w:r w:rsidR="00FD0F24">
        <w:t>: 10.14218/JCTH.2014.00039.</w:t>
      </w:r>
    </w:p>
  </w:footnote>
  <w:footnote w:id="4">
    <w:p w14:paraId="4FD1AC2A" w14:textId="48A6E0E8" w:rsidR="00B92292" w:rsidRDefault="00B92292" w:rsidP="00B92292">
      <w:pPr>
        <w:pStyle w:val="FootnoteText"/>
      </w:pPr>
      <w:r>
        <w:rPr>
          <w:rStyle w:val="FootnoteReference"/>
        </w:rPr>
        <w:footnoteRef/>
      </w:r>
      <w:r w:rsidRPr="00AD0111">
        <w:t xml:space="preserve"> </w:t>
      </w:r>
      <w:r>
        <w:t>In this report the ‘</w:t>
      </w:r>
      <w:r w:rsidRPr="00C133A3">
        <w:t>Delegate</w:t>
      </w:r>
      <w:r>
        <w:t>’</w:t>
      </w:r>
      <w:r w:rsidRPr="00C133A3">
        <w:t xml:space="preserve"> </w:t>
      </w:r>
      <w:r>
        <w:t xml:space="preserve">is the </w:t>
      </w:r>
      <w:r w:rsidRPr="00C133A3">
        <w:t xml:space="preserve">Delegate of the Secretary of the Department of Health and Aged Care who </w:t>
      </w:r>
      <w:r>
        <w:t>decided the submission</w:t>
      </w:r>
      <w:r w:rsidRPr="00C133A3">
        <w:t xml:space="preserve"> under section 25 of the Act.</w:t>
      </w:r>
    </w:p>
  </w:footnote>
  <w:footnote w:id="5">
    <w:p w14:paraId="73641632" w14:textId="5531535B" w:rsidR="00A43D46" w:rsidRDefault="00A43D46">
      <w:pPr>
        <w:pStyle w:val="FootnoteText"/>
      </w:pPr>
      <w:r>
        <w:rPr>
          <w:rStyle w:val="FootnoteReference"/>
        </w:rPr>
        <w:footnoteRef/>
      </w:r>
      <w:r>
        <w:t xml:space="preserve"> European Medicines Agency. ICH guideline M3(R2) on non-clinical safety studies for the conduct of human clinical trials and marketing authorisation for pharmaceuticals. EMA/CPMP/ICH/286/1995.</w:t>
      </w:r>
    </w:p>
  </w:footnote>
  <w:footnote w:id="6">
    <w:p w14:paraId="7EF8C457" w14:textId="77777777" w:rsidR="001A2FA5" w:rsidRPr="00586FAE" w:rsidRDefault="001A2FA5" w:rsidP="001A2FA5">
      <w:pPr>
        <w:pStyle w:val="FootnoteText"/>
      </w:pPr>
      <w:r w:rsidRPr="00586FAE">
        <w:rPr>
          <w:rStyle w:val="FootnoteReference"/>
        </w:rPr>
        <w:footnoteRef/>
      </w:r>
      <w:r w:rsidRPr="00586FAE">
        <w:t xml:space="preserve"> Australian category B3 for prescribing medicines in pregnancy: Drugs which have been taken by only a limited number of pregnant women and women of childbearing age, without an increase in the frequency of malformation or other direct or indirect harmful effects on the human </w:t>
      </w:r>
      <w:proofErr w:type="spellStart"/>
      <w:r w:rsidRPr="00586FAE">
        <w:t>fetus</w:t>
      </w:r>
      <w:proofErr w:type="spellEnd"/>
      <w:r w:rsidRPr="00586FAE">
        <w:t xml:space="preserve"> having been observed. Studies in animals have shown evidence of an increased occurrence of fetal damage, the significance of which is considered uncertain in humans.</w:t>
      </w:r>
    </w:p>
  </w:footnote>
  <w:footnote w:id="7">
    <w:p w14:paraId="084A117E" w14:textId="52446DCA" w:rsidR="001F7420" w:rsidRDefault="001F7420">
      <w:pPr>
        <w:pStyle w:val="FootnoteText"/>
      </w:pPr>
      <w:r>
        <w:rPr>
          <w:rStyle w:val="FootnoteReference"/>
        </w:rPr>
        <w:footnoteRef/>
      </w:r>
      <w:r>
        <w:t xml:space="preserve"> </w:t>
      </w:r>
      <w:r w:rsidR="000022E0">
        <w:t xml:space="preserve">The </w:t>
      </w:r>
      <w:r w:rsidR="0091381C">
        <w:t>C</w:t>
      </w:r>
      <w:r w:rsidR="00E676A9">
        <w:t xml:space="preserve">linical and </w:t>
      </w:r>
      <w:r w:rsidR="0091381C">
        <w:t>R</w:t>
      </w:r>
      <w:r w:rsidR="00E676A9">
        <w:t xml:space="preserve">isk-benefit </w:t>
      </w:r>
      <w:r w:rsidR="0091381C">
        <w:t xml:space="preserve">analysis </w:t>
      </w:r>
      <w:r w:rsidR="00E676A9">
        <w:t xml:space="preserve">sections </w:t>
      </w:r>
      <w:r w:rsidR="0091381C">
        <w:t xml:space="preserve">of this AusPAR </w:t>
      </w:r>
      <w:r w:rsidR="00E676A9">
        <w:t xml:space="preserve">include </w:t>
      </w:r>
      <w:r w:rsidR="007E377A">
        <w:t xml:space="preserve">lengthy </w:t>
      </w:r>
      <w:r w:rsidR="000022E0">
        <w:t xml:space="preserve">quotes </w:t>
      </w:r>
      <w:r w:rsidR="00E676A9">
        <w:t xml:space="preserve">from </w:t>
      </w:r>
      <w:r w:rsidR="0091381C">
        <w:t xml:space="preserve">documents of </w:t>
      </w:r>
      <w:r w:rsidR="00E676A9">
        <w:t xml:space="preserve">the European </w:t>
      </w:r>
      <w:r w:rsidR="0091381C">
        <w:t>regulator</w:t>
      </w:r>
      <w:r w:rsidR="00E676A9">
        <w:t xml:space="preserve">. </w:t>
      </w:r>
      <w:r w:rsidR="00406A65">
        <w:t xml:space="preserve">References to </w:t>
      </w:r>
      <w:proofErr w:type="gramStart"/>
      <w:r w:rsidR="009D3607">
        <w:t>particular source</w:t>
      </w:r>
      <w:proofErr w:type="gramEnd"/>
      <w:r w:rsidR="009D3607">
        <w:t xml:space="preserve"> documents</w:t>
      </w:r>
      <w:r w:rsidR="00406A65">
        <w:t xml:space="preserve"> are not provided</w:t>
      </w:r>
      <w:r w:rsidR="009D3607">
        <w:t>. Table numbering within the quote</w:t>
      </w:r>
      <w:r w:rsidR="00406A65">
        <w:t>d materials</w:t>
      </w:r>
      <w:r w:rsidR="009D3607">
        <w:t xml:space="preserve"> ha</w:t>
      </w:r>
      <w:r w:rsidR="00DD7EF5">
        <w:t>s</w:t>
      </w:r>
      <w:r w:rsidR="009D3607">
        <w:t xml:space="preserve"> been adjusted to </w:t>
      </w:r>
      <w:r w:rsidR="00E638DE">
        <w:t xml:space="preserve">Table or </w:t>
      </w:r>
      <w:r w:rsidR="009D3607">
        <w:t xml:space="preserve">Figure numbering for this AusPAR. </w:t>
      </w:r>
      <w:r w:rsidR="007E377A">
        <w:t xml:space="preserve">Definitions for abbreviated terms are included </w:t>
      </w:r>
      <w:r w:rsidR="00E676A9">
        <w:t>where appropriate</w:t>
      </w:r>
      <w:r w:rsidR="007E377A">
        <w:t>.</w:t>
      </w:r>
    </w:p>
  </w:footnote>
  <w:footnote w:id="8">
    <w:p w14:paraId="7B8E23BB" w14:textId="02655377" w:rsidR="00CB56D9" w:rsidRDefault="00CB56D9">
      <w:pPr>
        <w:pStyle w:val="FootnoteText"/>
      </w:pPr>
      <w:r>
        <w:rPr>
          <w:rStyle w:val="FootnoteReference"/>
        </w:rPr>
        <w:footnoteRef/>
      </w:r>
      <w:r>
        <w:t xml:space="preserve"> All the material in this subsection is quoted from documents of the European regulator.</w:t>
      </w:r>
    </w:p>
  </w:footnote>
  <w:footnote w:id="9">
    <w:p w14:paraId="435E8841" w14:textId="3025B718" w:rsidR="00683A86" w:rsidRDefault="00683A86">
      <w:pPr>
        <w:pStyle w:val="FootnoteText"/>
      </w:pPr>
      <w:r>
        <w:rPr>
          <w:rStyle w:val="FootnoteReference"/>
        </w:rPr>
        <w:footnoteRef/>
      </w:r>
      <w:r>
        <w:t xml:space="preserve"> Sponsor’s explanation: CHE subjects carry a genetic mutation associated with AHP but do not have active neurovisceral attacks; these patients have elevated ALA and PBG levels, though generally lower than levels observed in patients with AHP. CHE subjects were studied in the initial clinical pharmacology</w:t>
      </w:r>
      <w:r w:rsidR="00B42A21">
        <w:t xml:space="preserve"> </w:t>
      </w:r>
      <w:r>
        <w:t xml:space="preserve">studies instead of healthy volunteers because they had relevant genetic defects that resulted in stably elevated ALA and PBG levels, which better enabled evaluation of </w:t>
      </w:r>
      <w:proofErr w:type="spellStart"/>
      <w:r>
        <w:t>givosiran</w:t>
      </w:r>
      <w:proofErr w:type="spellEnd"/>
      <w:r>
        <w:t xml:space="preserve"> PD without the complex natural history associated with clinically active disease.</w:t>
      </w:r>
    </w:p>
  </w:footnote>
  <w:footnote w:id="10">
    <w:p w14:paraId="4E498145" w14:textId="7AFAFAAA" w:rsidR="00167C6D" w:rsidRDefault="00167C6D">
      <w:pPr>
        <w:pStyle w:val="FootnoteText"/>
      </w:pPr>
      <w:r>
        <w:rPr>
          <w:rStyle w:val="FootnoteReference"/>
        </w:rPr>
        <w:footnoteRef/>
      </w:r>
      <w:r>
        <w:t xml:space="preserve"> All the material in this subsection is quoted from documents of the European regulator, other than in 2 places commencing ‘The TGA Delegate …’.</w:t>
      </w:r>
    </w:p>
  </w:footnote>
  <w:footnote w:id="11">
    <w:p w14:paraId="7BD239B7" w14:textId="121434CD" w:rsidR="00237085" w:rsidRPr="00237085" w:rsidRDefault="00237085">
      <w:pPr>
        <w:pStyle w:val="FootnoteText"/>
      </w:pPr>
      <w:r>
        <w:rPr>
          <w:rStyle w:val="FootnoteReference"/>
        </w:rPr>
        <w:footnoteRef/>
      </w:r>
      <w:r>
        <w:t xml:space="preserve"> </w:t>
      </w:r>
      <w:r w:rsidR="0005192A">
        <w:t xml:space="preserve">Ongoing as </w:t>
      </w:r>
      <w:proofErr w:type="gramStart"/>
      <w:r w:rsidR="0005192A">
        <w:t>at</w:t>
      </w:r>
      <w:proofErr w:type="gramEnd"/>
      <w:r w:rsidR="0005192A">
        <w:t xml:space="preserve"> January 2020, when the final study report on the open</w:t>
      </w:r>
      <w:r w:rsidR="0005192A">
        <w:noBreakHyphen/>
        <w:t>label extension was planned for September 2021.</w:t>
      </w:r>
    </w:p>
  </w:footnote>
  <w:footnote w:id="12">
    <w:p w14:paraId="61ACB5A5" w14:textId="3B3D43FF" w:rsidR="0005192A" w:rsidRDefault="0005192A">
      <w:pPr>
        <w:pStyle w:val="FootnoteText"/>
      </w:pPr>
      <w:r>
        <w:rPr>
          <w:rStyle w:val="FootnoteReference"/>
        </w:rPr>
        <w:footnoteRef/>
      </w:r>
      <w:r>
        <w:t xml:space="preserve"> Ongoing as </w:t>
      </w:r>
      <w:proofErr w:type="gramStart"/>
      <w:r>
        <w:t>at</w:t>
      </w:r>
      <w:proofErr w:type="gramEnd"/>
      <w:r>
        <w:t xml:space="preserve"> January 2020, when the final study report on Study 002 was planned for February 2022.</w:t>
      </w:r>
    </w:p>
  </w:footnote>
  <w:footnote w:id="13">
    <w:p w14:paraId="488A0685" w14:textId="475C0628" w:rsidR="00167C6D" w:rsidRDefault="00167C6D">
      <w:pPr>
        <w:pStyle w:val="FootnoteText"/>
      </w:pPr>
      <w:r>
        <w:rPr>
          <w:rStyle w:val="FootnoteReference"/>
        </w:rPr>
        <w:footnoteRef/>
      </w:r>
      <w:r>
        <w:t xml:space="preserve"> All the material in this subsection is quoted from documents of the European regulator, other than in 2 places commencing ‘The TGA Delegate …’</w:t>
      </w:r>
    </w:p>
  </w:footnote>
  <w:footnote w:id="14">
    <w:p w14:paraId="287665E7" w14:textId="0E7AFC45" w:rsidR="007D1B55" w:rsidRDefault="007D1B55" w:rsidP="007D1B55">
      <w:pPr>
        <w:pStyle w:val="FootnoteText"/>
      </w:pPr>
      <w:r>
        <w:rPr>
          <w:rStyle w:val="FootnoteReference"/>
        </w:rPr>
        <w:footnoteRef/>
      </w:r>
      <w:r>
        <w:t xml:space="preserve"> </w:t>
      </w:r>
      <w:r w:rsidRPr="00920E08">
        <w:t>The Medical</w:t>
      </w:r>
      <w:r w:rsidRPr="00246538">
        <w:t xml:space="preserve"> Dictionary for Regulatory Activities (MedDRA) is an internationally used set of terms relating to medical conditions, </w:t>
      </w:r>
      <w:proofErr w:type="gramStart"/>
      <w:r w:rsidRPr="00246538">
        <w:t>medicines</w:t>
      </w:r>
      <w:proofErr w:type="gramEnd"/>
      <w:r w:rsidRPr="00246538">
        <w:t xml:space="preserve"> and medical devices.</w:t>
      </w:r>
      <w:r>
        <w:t xml:space="preserve"> </w:t>
      </w:r>
      <w:r w:rsidRPr="000526FB">
        <w:t>In MedDRA, p</w:t>
      </w:r>
      <w:r w:rsidRPr="000526FB">
        <w:rPr>
          <w:rFonts w:eastAsia="TimesNewRoman" w:cs="TimesNewRoman"/>
          <w:lang w:val="en-GB"/>
        </w:rPr>
        <w:t>referred terms (PT) are single concepts for symptoms, signs, disease diagnosis, therapeutic indications,</w:t>
      </w:r>
      <w:r>
        <w:rPr>
          <w:rFonts w:eastAsia="TimesNewRoman" w:cs="TimesNewRoman"/>
          <w:lang w:val="en-GB"/>
        </w:rPr>
        <w:t xml:space="preserve"> investigations, procedures, and characteristics. There are over 20,000 preferred terms.</w:t>
      </w:r>
    </w:p>
  </w:footnote>
  <w:footnote w:id="15">
    <w:p w14:paraId="5146449C" w14:textId="1D20EF98" w:rsidR="00167C6D" w:rsidRDefault="00167C6D">
      <w:pPr>
        <w:pStyle w:val="FootnoteText"/>
      </w:pPr>
      <w:r>
        <w:rPr>
          <w:rStyle w:val="FootnoteReference"/>
        </w:rPr>
        <w:footnoteRef/>
      </w:r>
      <w:r>
        <w:t xml:space="preserve"> All the material in this subsection is quoted from documents of the European regulator.</w:t>
      </w:r>
    </w:p>
  </w:footnote>
  <w:footnote w:id="16">
    <w:p w14:paraId="4B51CC8B" w14:textId="71ECA1EE" w:rsidR="00724FB5" w:rsidRPr="00EA2D97" w:rsidRDefault="00C471B8" w:rsidP="0015134B">
      <w:pPr>
        <w:pStyle w:val="FootnoteText"/>
        <w:rPr>
          <w:szCs w:val="17"/>
          <w:highlight w:val="cyan"/>
        </w:rPr>
      </w:pPr>
      <w:r>
        <w:rPr>
          <w:rStyle w:val="FootnoteReference"/>
        </w:rPr>
        <w:footnoteRef/>
      </w:r>
      <w:r>
        <w:t xml:space="preserve"> </w:t>
      </w:r>
      <w:r w:rsidR="0015134B" w:rsidRPr="00EA2D97">
        <w:rPr>
          <w:szCs w:val="17"/>
        </w:rPr>
        <w:t>Bissell DM, Lai JC, Meister RK, Blanc PD. Role of Delta-</w:t>
      </w:r>
      <w:proofErr w:type="spellStart"/>
      <w:r w:rsidR="0015134B" w:rsidRPr="00EA2D97">
        <w:rPr>
          <w:szCs w:val="17"/>
        </w:rPr>
        <w:t>aminolevulinic</w:t>
      </w:r>
      <w:proofErr w:type="spellEnd"/>
      <w:r w:rsidR="0015134B" w:rsidRPr="00EA2D97">
        <w:rPr>
          <w:szCs w:val="17"/>
        </w:rPr>
        <w:t xml:space="preserve"> Acid in the Symptoms of Acute Porphyria. </w:t>
      </w:r>
      <w:r w:rsidR="0015134B" w:rsidRPr="00EA2D97">
        <w:rPr>
          <w:i/>
          <w:iCs/>
          <w:szCs w:val="17"/>
        </w:rPr>
        <w:t>Am J Med</w:t>
      </w:r>
      <w:r w:rsidR="0015134B" w:rsidRPr="00EA2D97">
        <w:rPr>
          <w:szCs w:val="17"/>
        </w:rPr>
        <w:t xml:space="preserve"> 2015; 128:313-317. </w:t>
      </w:r>
      <w:proofErr w:type="spellStart"/>
      <w:r w:rsidR="0015134B" w:rsidRPr="00EA2D97">
        <w:rPr>
          <w:szCs w:val="17"/>
        </w:rPr>
        <w:t>doi</w:t>
      </w:r>
      <w:proofErr w:type="spellEnd"/>
      <w:r w:rsidR="0015134B" w:rsidRPr="00EA2D97">
        <w:rPr>
          <w:szCs w:val="17"/>
        </w:rPr>
        <w:t>: 10.1016/j.amjmed.2014.10.026.</w:t>
      </w:r>
    </w:p>
    <w:p w14:paraId="323868D2" w14:textId="71EE81F1" w:rsidR="00724FB5" w:rsidRPr="00EA2D97" w:rsidRDefault="005627FA" w:rsidP="005627FA">
      <w:pPr>
        <w:pStyle w:val="FootnoteText"/>
        <w:rPr>
          <w:szCs w:val="17"/>
          <w:highlight w:val="cyan"/>
        </w:rPr>
      </w:pPr>
      <w:r w:rsidRPr="00EA2D97">
        <w:rPr>
          <w:szCs w:val="17"/>
        </w:rPr>
        <w:t xml:space="preserve">Jaramillo-Calle DA, Aguirre Acevedo DC. Acute Hepatic </w:t>
      </w:r>
      <w:proofErr w:type="spellStart"/>
      <w:r w:rsidRPr="00EA2D97">
        <w:rPr>
          <w:szCs w:val="17"/>
        </w:rPr>
        <w:t>Porphyrias</w:t>
      </w:r>
      <w:proofErr w:type="spellEnd"/>
      <w:r w:rsidRPr="00EA2D97">
        <w:rPr>
          <w:szCs w:val="17"/>
        </w:rPr>
        <w:t xml:space="preserve"> in Colombia: An Analysis of 101 Patients. </w:t>
      </w:r>
      <w:r w:rsidRPr="00EA2D97">
        <w:rPr>
          <w:i/>
          <w:iCs/>
          <w:szCs w:val="17"/>
        </w:rPr>
        <w:t>JIMD Rep</w:t>
      </w:r>
      <w:r w:rsidRPr="00EA2D97">
        <w:rPr>
          <w:szCs w:val="17"/>
        </w:rPr>
        <w:t xml:space="preserve"> 2019:44:65-72. </w:t>
      </w:r>
      <w:proofErr w:type="spellStart"/>
      <w:r w:rsidRPr="00EA2D97">
        <w:rPr>
          <w:szCs w:val="17"/>
        </w:rPr>
        <w:t>doi</w:t>
      </w:r>
      <w:proofErr w:type="spellEnd"/>
      <w:r w:rsidRPr="00EA2D97">
        <w:rPr>
          <w:szCs w:val="17"/>
        </w:rPr>
        <w:t>: 10.1007/8904_2018_125.</w:t>
      </w:r>
    </w:p>
    <w:p w14:paraId="35448562" w14:textId="48F96343" w:rsidR="00724FB5" w:rsidRPr="00EA2D97" w:rsidRDefault="00A04A8A" w:rsidP="00A04A8A">
      <w:pPr>
        <w:pStyle w:val="FootnoteText"/>
        <w:rPr>
          <w:szCs w:val="17"/>
        </w:rPr>
      </w:pPr>
      <w:r w:rsidRPr="00EA2D97">
        <w:rPr>
          <w:szCs w:val="17"/>
        </w:rPr>
        <w:t xml:space="preserve">Jeans JB, </w:t>
      </w:r>
      <w:proofErr w:type="spellStart"/>
      <w:r w:rsidRPr="00EA2D97">
        <w:rPr>
          <w:szCs w:val="17"/>
        </w:rPr>
        <w:t>Savik</w:t>
      </w:r>
      <w:proofErr w:type="spellEnd"/>
      <w:r w:rsidRPr="00EA2D97">
        <w:rPr>
          <w:szCs w:val="17"/>
        </w:rPr>
        <w:t xml:space="preserve"> K, Gross CR, Weimer MK, </w:t>
      </w:r>
      <w:proofErr w:type="spellStart"/>
      <w:r w:rsidRPr="00EA2D97">
        <w:rPr>
          <w:szCs w:val="17"/>
        </w:rPr>
        <w:t>Bossenmaier</w:t>
      </w:r>
      <w:proofErr w:type="spellEnd"/>
      <w:r w:rsidRPr="00EA2D97">
        <w:rPr>
          <w:szCs w:val="17"/>
        </w:rPr>
        <w:t xml:space="preserve"> IC, </w:t>
      </w:r>
      <w:proofErr w:type="spellStart"/>
      <w:r w:rsidRPr="00EA2D97">
        <w:rPr>
          <w:szCs w:val="17"/>
        </w:rPr>
        <w:t>Pierach</w:t>
      </w:r>
      <w:proofErr w:type="spellEnd"/>
      <w:r w:rsidRPr="00EA2D97">
        <w:rPr>
          <w:szCs w:val="17"/>
        </w:rPr>
        <w:t xml:space="preserve"> CA, et al. Mortality in Patients </w:t>
      </w:r>
      <w:proofErr w:type="gramStart"/>
      <w:r w:rsidRPr="00EA2D97">
        <w:rPr>
          <w:szCs w:val="17"/>
        </w:rPr>
        <w:t>With</w:t>
      </w:r>
      <w:proofErr w:type="gramEnd"/>
      <w:r w:rsidRPr="00EA2D97">
        <w:rPr>
          <w:szCs w:val="17"/>
        </w:rPr>
        <w:t xml:space="preserve"> Acute Intermittent Porphyria Requiring Hospitalization: A United States Case Series. </w:t>
      </w:r>
      <w:r w:rsidRPr="00EA2D97">
        <w:rPr>
          <w:i/>
          <w:iCs/>
          <w:szCs w:val="17"/>
        </w:rPr>
        <w:t>Am J Med Genet</w:t>
      </w:r>
      <w:r w:rsidRPr="00EA2D97">
        <w:rPr>
          <w:szCs w:val="17"/>
        </w:rPr>
        <w:t xml:space="preserve"> 1996; 65:269-273.</w:t>
      </w:r>
      <w:r w:rsidR="00B973BF" w:rsidRPr="00EA2D97">
        <w:rPr>
          <w:szCs w:val="17"/>
        </w:rPr>
        <w:t xml:space="preserve"> </w:t>
      </w:r>
      <w:proofErr w:type="spellStart"/>
      <w:r w:rsidR="00B973BF" w:rsidRPr="00EA2D97">
        <w:rPr>
          <w:szCs w:val="17"/>
        </w:rPr>
        <w:t>doi</w:t>
      </w:r>
      <w:proofErr w:type="spellEnd"/>
      <w:r w:rsidR="00B973BF" w:rsidRPr="00EA2D97">
        <w:rPr>
          <w:szCs w:val="17"/>
        </w:rPr>
        <w:t>: 10.1002/(SICI)1096-8628(19961111)65:4&lt;</w:t>
      </w:r>
      <w:proofErr w:type="gramStart"/>
      <w:r w:rsidR="00B973BF" w:rsidRPr="00EA2D97">
        <w:rPr>
          <w:szCs w:val="17"/>
        </w:rPr>
        <w:t>269::</w:t>
      </w:r>
      <w:proofErr w:type="gramEnd"/>
      <w:r w:rsidR="00B973BF" w:rsidRPr="00EA2D97">
        <w:rPr>
          <w:szCs w:val="17"/>
        </w:rPr>
        <w:t>AID-AJMG4&gt;3.0.CO;2-K.</w:t>
      </w:r>
    </w:p>
    <w:p w14:paraId="0F6FF8E9" w14:textId="73DCAF2C" w:rsidR="00C471B8" w:rsidRPr="00EA2D97" w:rsidRDefault="004447A4" w:rsidP="004447A4">
      <w:pPr>
        <w:pStyle w:val="FootnoteText"/>
        <w:rPr>
          <w:szCs w:val="17"/>
        </w:rPr>
      </w:pPr>
      <w:proofErr w:type="spellStart"/>
      <w:r w:rsidRPr="00EA2D97">
        <w:rPr>
          <w:szCs w:val="17"/>
        </w:rPr>
        <w:t>Pischik</w:t>
      </w:r>
      <w:proofErr w:type="spellEnd"/>
      <w:r w:rsidRPr="00EA2D97">
        <w:rPr>
          <w:szCs w:val="17"/>
        </w:rPr>
        <w:t xml:space="preserve"> E, </w:t>
      </w:r>
      <w:proofErr w:type="spellStart"/>
      <w:r w:rsidRPr="00EA2D97">
        <w:rPr>
          <w:szCs w:val="17"/>
        </w:rPr>
        <w:t>Kauppinen</w:t>
      </w:r>
      <w:proofErr w:type="spellEnd"/>
      <w:r w:rsidRPr="00EA2D97">
        <w:rPr>
          <w:szCs w:val="17"/>
        </w:rPr>
        <w:t xml:space="preserve"> R. An update of clinical management of acute intermittent porphyria. </w:t>
      </w:r>
      <w:r w:rsidRPr="00EA2D97">
        <w:rPr>
          <w:i/>
          <w:iCs/>
          <w:szCs w:val="17"/>
        </w:rPr>
        <w:t>Appl Clin Genet</w:t>
      </w:r>
      <w:r w:rsidRPr="00EA2D97">
        <w:rPr>
          <w:szCs w:val="17"/>
        </w:rPr>
        <w:t xml:space="preserve"> 2015; 8:201–214.</w:t>
      </w:r>
      <w:r w:rsidR="003B0B38" w:rsidRPr="00EA2D97">
        <w:rPr>
          <w:szCs w:val="17"/>
        </w:rPr>
        <w:t xml:space="preserve"> </w:t>
      </w:r>
      <w:proofErr w:type="spellStart"/>
      <w:r w:rsidR="003B0B38" w:rsidRPr="00EA2D97">
        <w:rPr>
          <w:szCs w:val="17"/>
        </w:rPr>
        <w:t>doi</w:t>
      </w:r>
      <w:proofErr w:type="spellEnd"/>
      <w:r w:rsidR="003B0B38" w:rsidRPr="00EA2D97">
        <w:rPr>
          <w:szCs w:val="17"/>
        </w:rPr>
        <w:t>: 10.2147/TACG.S48605.</w:t>
      </w:r>
    </w:p>
  </w:footnote>
  <w:footnote w:id="17">
    <w:p w14:paraId="2DBDF115" w14:textId="0ABBC238" w:rsidR="00724FB5" w:rsidRPr="00EA2D97" w:rsidRDefault="004B76FC">
      <w:pPr>
        <w:pStyle w:val="FootnoteText"/>
        <w:rPr>
          <w:szCs w:val="17"/>
        </w:rPr>
      </w:pPr>
      <w:r w:rsidRPr="00EA2D97">
        <w:rPr>
          <w:rStyle w:val="FootnoteReference"/>
          <w:szCs w:val="17"/>
        </w:rPr>
        <w:footnoteRef/>
      </w:r>
      <w:r w:rsidRPr="00EA2D97">
        <w:rPr>
          <w:szCs w:val="17"/>
        </w:rPr>
        <w:t xml:space="preserve"> </w:t>
      </w:r>
      <w:r w:rsidR="0078590B" w:rsidRPr="00EA2D97">
        <w:rPr>
          <w:szCs w:val="17"/>
        </w:rPr>
        <w:t xml:space="preserve">Bissell DM, Anderson KE, </w:t>
      </w:r>
      <w:proofErr w:type="spellStart"/>
      <w:r w:rsidR="0078590B" w:rsidRPr="00EA2D97">
        <w:rPr>
          <w:szCs w:val="17"/>
        </w:rPr>
        <w:t>Bonkovsky</w:t>
      </w:r>
      <w:proofErr w:type="spellEnd"/>
      <w:r w:rsidR="0078590B" w:rsidRPr="00EA2D97">
        <w:rPr>
          <w:szCs w:val="17"/>
        </w:rPr>
        <w:t xml:space="preserve"> HL. Porphyria. </w:t>
      </w:r>
      <w:r w:rsidR="0078590B" w:rsidRPr="00EA2D97">
        <w:rPr>
          <w:i/>
          <w:iCs/>
          <w:szCs w:val="17"/>
        </w:rPr>
        <w:t>N Engl J Med</w:t>
      </w:r>
      <w:r w:rsidR="0078590B" w:rsidRPr="00EA2D97">
        <w:rPr>
          <w:szCs w:val="17"/>
        </w:rPr>
        <w:t xml:space="preserve"> 2017; 377:862-872. </w:t>
      </w:r>
      <w:proofErr w:type="spellStart"/>
      <w:r w:rsidR="0078590B" w:rsidRPr="00EA2D97">
        <w:rPr>
          <w:szCs w:val="17"/>
        </w:rPr>
        <w:t>doi</w:t>
      </w:r>
      <w:proofErr w:type="spellEnd"/>
      <w:r w:rsidR="0078590B" w:rsidRPr="00EA2D97">
        <w:rPr>
          <w:szCs w:val="17"/>
        </w:rPr>
        <w:t>: 10.1056/NEJMra1608634.</w:t>
      </w:r>
    </w:p>
    <w:p w14:paraId="70BCD33B" w14:textId="0CB09DBC" w:rsidR="00724FB5" w:rsidRPr="00EA2D97" w:rsidRDefault="007A66FD" w:rsidP="007A66FD">
      <w:pPr>
        <w:pStyle w:val="FootnoteText"/>
        <w:rPr>
          <w:szCs w:val="17"/>
        </w:rPr>
      </w:pPr>
      <w:proofErr w:type="spellStart"/>
      <w:r w:rsidRPr="00EA2D97">
        <w:rPr>
          <w:szCs w:val="17"/>
        </w:rPr>
        <w:t>Bonkovsky</w:t>
      </w:r>
      <w:proofErr w:type="spellEnd"/>
      <w:r w:rsidRPr="00EA2D97">
        <w:rPr>
          <w:szCs w:val="17"/>
        </w:rPr>
        <w:t xml:space="preserve"> HL, Guo J-T, Hou W, Li T, Narang T, Thapar M. Porphyrin and Heme Metabolism and the </w:t>
      </w:r>
      <w:proofErr w:type="spellStart"/>
      <w:r w:rsidRPr="00EA2D97">
        <w:rPr>
          <w:szCs w:val="17"/>
        </w:rPr>
        <w:t>Porphyrias</w:t>
      </w:r>
      <w:proofErr w:type="spellEnd"/>
      <w:r w:rsidRPr="00EA2D97">
        <w:rPr>
          <w:szCs w:val="17"/>
        </w:rPr>
        <w:t xml:space="preserve">. </w:t>
      </w:r>
      <w:proofErr w:type="spellStart"/>
      <w:r w:rsidRPr="00EA2D97">
        <w:rPr>
          <w:i/>
          <w:iCs/>
          <w:szCs w:val="17"/>
        </w:rPr>
        <w:t>Compr</w:t>
      </w:r>
      <w:proofErr w:type="spellEnd"/>
      <w:r w:rsidRPr="00EA2D97">
        <w:rPr>
          <w:i/>
          <w:iCs/>
          <w:szCs w:val="17"/>
        </w:rPr>
        <w:t xml:space="preserve"> </w:t>
      </w:r>
      <w:proofErr w:type="spellStart"/>
      <w:r w:rsidRPr="00EA2D97">
        <w:rPr>
          <w:i/>
          <w:iCs/>
          <w:szCs w:val="17"/>
        </w:rPr>
        <w:t>Physiol</w:t>
      </w:r>
      <w:proofErr w:type="spellEnd"/>
      <w:r w:rsidRPr="00EA2D97">
        <w:rPr>
          <w:szCs w:val="17"/>
        </w:rPr>
        <w:t xml:space="preserve"> 2013; 3:365-401. </w:t>
      </w:r>
      <w:proofErr w:type="spellStart"/>
      <w:r w:rsidRPr="00EA2D97">
        <w:rPr>
          <w:szCs w:val="17"/>
        </w:rPr>
        <w:t>doi</w:t>
      </w:r>
      <w:proofErr w:type="spellEnd"/>
      <w:r w:rsidRPr="00EA2D97">
        <w:rPr>
          <w:szCs w:val="17"/>
        </w:rPr>
        <w:t>: 10.1002/cphy.c120006.</w:t>
      </w:r>
    </w:p>
    <w:p w14:paraId="132429EB" w14:textId="0914A903" w:rsidR="004B76FC" w:rsidRPr="0078590B" w:rsidRDefault="000669CF">
      <w:pPr>
        <w:pStyle w:val="FootnoteText"/>
      </w:pPr>
      <w:r w:rsidRPr="00EA2D97">
        <w:rPr>
          <w:szCs w:val="17"/>
        </w:rPr>
        <w:t xml:space="preserve">Stein P, Badminton M, Barth J, Rees D, Stewart MF. Best practice guidelines on clinical management of acute attacks of porphyria and their complications. </w:t>
      </w:r>
      <w:r w:rsidRPr="00EA2D97">
        <w:rPr>
          <w:i/>
          <w:iCs/>
          <w:szCs w:val="17"/>
        </w:rPr>
        <w:t xml:space="preserve">Ann Clin </w:t>
      </w:r>
      <w:proofErr w:type="spellStart"/>
      <w:r w:rsidRPr="00EA2D97">
        <w:rPr>
          <w:i/>
          <w:iCs/>
          <w:szCs w:val="17"/>
        </w:rPr>
        <w:t>Biochem</w:t>
      </w:r>
      <w:proofErr w:type="spellEnd"/>
      <w:r w:rsidRPr="00EA2D97">
        <w:rPr>
          <w:szCs w:val="17"/>
        </w:rPr>
        <w:t xml:space="preserve"> 2013; 50:217-223. </w:t>
      </w:r>
      <w:proofErr w:type="spellStart"/>
      <w:r w:rsidRPr="00EA2D97">
        <w:rPr>
          <w:szCs w:val="17"/>
        </w:rPr>
        <w:t>doi</w:t>
      </w:r>
      <w:proofErr w:type="spellEnd"/>
      <w:r w:rsidRPr="00EA2D97">
        <w:rPr>
          <w:szCs w:val="17"/>
        </w:rPr>
        <w:t>: 10.1177/0004563212474555.</w:t>
      </w:r>
    </w:p>
  </w:footnote>
  <w:footnote w:id="18">
    <w:p w14:paraId="7E56509C" w14:textId="5A6267BD" w:rsidR="00D46458" w:rsidRPr="00EA2D97" w:rsidRDefault="00D46458" w:rsidP="002221DD">
      <w:pPr>
        <w:pStyle w:val="FootnoteText"/>
        <w:rPr>
          <w:szCs w:val="17"/>
        </w:rPr>
      </w:pPr>
      <w:r w:rsidRPr="0078590B">
        <w:rPr>
          <w:rStyle w:val="FootnoteReference"/>
        </w:rPr>
        <w:footnoteRef/>
      </w:r>
      <w:r w:rsidRPr="0078590B">
        <w:t xml:space="preserve"> </w:t>
      </w:r>
      <w:r w:rsidR="002221DD" w:rsidRPr="00EA2D97">
        <w:rPr>
          <w:szCs w:val="17"/>
        </w:rPr>
        <w:t>Bissell DM, Lai JC, Meister RK, Blanc PD. Role of Delta-</w:t>
      </w:r>
      <w:proofErr w:type="spellStart"/>
      <w:r w:rsidR="002221DD" w:rsidRPr="00EA2D97">
        <w:rPr>
          <w:szCs w:val="17"/>
        </w:rPr>
        <w:t>aminolevulinic</w:t>
      </w:r>
      <w:proofErr w:type="spellEnd"/>
      <w:r w:rsidR="002221DD" w:rsidRPr="00EA2D97">
        <w:rPr>
          <w:szCs w:val="17"/>
        </w:rPr>
        <w:t xml:space="preserve"> Acid in the Symptoms of Acute Porphyria. </w:t>
      </w:r>
      <w:r w:rsidR="002221DD" w:rsidRPr="00EA2D97">
        <w:rPr>
          <w:i/>
          <w:iCs/>
          <w:szCs w:val="17"/>
        </w:rPr>
        <w:t>Am J Med</w:t>
      </w:r>
      <w:r w:rsidR="002221DD" w:rsidRPr="00EA2D97">
        <w:rPr>
          <w:szCs w:val="17"/>
        </w:rPr>
        <w:t xml:space="preserve"> 2015; 128:313-317. </w:t>
      </w:r>
      <w:proofErr w:type="spellStart"/>
      <w:r w:rsidR="002221DD" w:rsidRPr="00EA2D97">
        <w:rPr>
          <w:szCs w:val="17"/>
        </w:rPr>
        <w:t>doi</w:t>
      </w:r>
      <w:proofErr w:type="spellEnd"/>
      <w:r w:rsidR="002221DD" w:rsidRPr="00EA2D97">
        <w:rPr>
          <w:szCs w:val="17"/>
        </w:rPr>
        <w:t>: 10.1016/j.amjmed.2014.10.026.</w:t>
      </w:r>
    </w:p>
  </w:footnote>
  <w:footnote w:id="19">
    <w:p w14:paraId="42477540" w14:textId="2B3789D7" w:rsidR="00724FB5" w:rsidRPr="00EA2D97" w:rsidRDefault="00A27F48" w:rsidP="00E6078E">
      <w:pPr>
        <w:pStyle w:val="FootnoteText"/>
        <w:rPr>
          <w:szCs w:val="17"/>
        </w:rPr>
      </w:pPr>
      <w:r w:rsidRPr="00EA2D97">
        <w:rPr>
          <w:rStyle w:val="FootnoteReference"/>
          <w:szCs w:val="17"/>
        </w:rPr>
        <w:footnoteRef/>
      </w:r>
      <w:r w:rsidRPr="00EA2D97">
        <w:rPr>
          <w:szCs w:val="17"/>
        </w:rPr>
        <w:t xml:space="preserve"> </w:t>
      </w:r>
      <w:r w:rsidR="00E6078E" w:rsidRPr="00EA2D97">
        <w:rPr>
          <w:szCs w:val="17"/>
        </w:rPr>
        <w:t xml:space="preserve">Andersson C, </w:t>
      </w:r>
      <w:proofErr w:type="spellStart"/>
      <w:r w:rsidR="00E6078E" w:rsidRPr="00EA2D97">
        <w:rPr>
          <w:szCs w:val="17"/>
        </w:rPr>
        <w:t>Innala</w:t>
      </w:r>
      <w:proofErr w:type="spellEnd"/>
      <w:r w:rsidR="00E6078E" w:rsidRPr="00EA2D97">
        <w:rPr>
          <w:szCs w:val="17"/>
        </w:rPr>
        <w:t xml:space="preserve"> E, Backstrom T. Acute intermittent porphyria in women: clinical expression, use and experience of exogenous sex hormones. A population-based study in northern Sweden. </w:t>
      </w:r>
      <w:r w:rsidR="00E6078E" w:rsidRPr="00EA2D97">
        <w:rPr>
          <w:i/>
          <w:iCs/>
          <w:szCs w:val="17"/>
        </w:rPr>
        <w:t>J Intern Med</w:t>
      </w:r>
      <w:r w:rsidR="00E6078E" w:rsidRPr="00EA2D97">
        <w:rPr>
          <w:szCs w:val="17"/>
        </w:rPr>
        <w:t xml:space="preserve"> 2003; 254:176–183</w:t>
      </w:r>
      <w:r w:rsidR="00AA612B" w:rsidRPr="00EA2D97">
        <w:rPr>
          <w:szCs w:val="17"/>
        </w:rPr>
        <w:t xml:space="preserve">. </w:t>
      </w:r>
      <w:proofErr w:type="spellStart"/>
      <w:r w:rsidR="00AA612B" w:rsidRPr="00EA2D97">
        <w:rPr>
          <w:szCs w:val="17"/>
        </w:rPr>
        <w:t>doi</w:t>
      </w:r>
      <w:proofErr w:type="spellEnd"/>
      <w:r w:rsidR="00AA612B" w:rsidRPr="00EA2D97">
        <w:rPr>
          <w:szCs w:val="17"/>
        </w:rPr>
        <w:t>: 10.1046/j.1365-2796.2003.</w:t>
      </w:r>
      <w:proofErr w:type="gramStart"/>
      <w:r w:rsidR="00AA612B" w:rsidRPr="00EA2D97">
        <w:rPr>
          <w:szCs w:val="17"/>
        </w:rPr>
        <w:t>01172.x.</w:t>
      </w:r>
      <w:proofErr w:type="gramEnd"/>
    </w:p>
    <w:p w14:paraId="55B88BFD" w14:textId="6ADD9BAA" w:rsidR="00A27F48" w:rsidRPr="00EA2D97" w:rsidRDefault="00930404" w:rsidP="00930404">
      <w:pPr>
        <w:pStyle w:val="FootnoteText"/>
        <w:rPr>
          <w:szCs w:val="17"/>
        </w:rPr>
      </w:pPr>
      <w:proofErr w:type="spellStart"/>
      <w:r w:rsidRPr="00EA2D97">
        <w:rPr>
          <w:szCs w:val="17"/>
        </w:rPr>
        <w:t>Innala</w:t>
      </w:r>
      <w:proofErr w:type="spellEnd"/>
      <w:r w:rsidRPr="00EA2D97">
        <w:rPr>
          <w:szCs w:val="17"/>
        </w:rPr>
        <w:t xml:space="preserve"> E, Backstrom T, </w:t>
      </w:r>
      <w:proofErr w:type="spellStart"/>
      <w:r w:rsidRPr="00EA2D97">
        <w:rPr>
          <w:szCs w:val="17"/>
        </w:rPr>
        <w:t>Bixo</w:t>
      </w:r>
      <w:proofErr w:type="spellEnd"/>
      <w:r w:rsidRPr="00EA2D97">
        <w:rPr>
          <w:szCs w:val="17"/>
        </w:rPr>
        <w:t xml:space="preserve"> M, Andersson C. Evaluation of gonadotropin-releasing hormone agonist treatment for prevention of menstrual-related attacks in acute porphyria. </w:t>
      </w:r>
      <w:r w:rsidRPr="00EA2D97">
        <w:rPr>
          <w:i/>
          <w:iCs/>
          <w:szCs w:val="17"/>
        </w:rPr>
        <w:t xml:space="preserve">Acta </w:t>
      </w:r>
      <w:proofErr w:type="spellStart"/>
      <w:r w:rsidRPr="00EA2D97">
        <w:rPr>
          <w:i/>
          <w:iCs/>
          <w:szCs w:val="17"/>
        </w:rPr>
        <w:t>Obstet</w:t>
      </w:r>
      <w:proofErr w:type="spellEnd"/>
      <w:r w:rsidRPr="00EA2D97">
        <w:rPr>
          <w:i/>
          <w:iCs/>
          <w:szCs w:val="17"/>
        </w:rPr>
        <w:t xml:space="preserve"> </w:t>
      </w:r>
      <w:proofErr w:type="spellStart"/>
      <w:r w:rsidRPr="00EA2D97">
        <w:rPr>
          <w:i/>
          <w:iCs/>
          <w:szCs w:val="17"/>
        </w:rPr>
        <w:t>Gynecol</w:t>
      </w:r>
      <w:proofErr w:type="spellEnd"/>
      <w:r w:rsidR="001C6C34" w:rsidRPr="00EA2D97">
        <w:rPr>
          <w:i/>
          <w:iCs/>
          <w:szCs w:val="17"/>
        </w:rPr>
        <w:t xml:space="preserve"> </w:t>
      </w:r>
      <w:proofErr w:type="spellStart"/>
      <w:r w:rsidR="001C6C34" w:rsidRPr="00EA2D97">
        <w:rPr>
          <w:i/>
          <w:iCs/>
          <w:szCs w:val="17"/>
        </w:rPr>
        <w:t>Scand</w:t>
      </w:r>
      <w:proofErr w:type="spellEnd"/>
      <w:r w:rsidRPr="00EA2D97">
        <w:rPr>
          <w:szCs w:val="17"/>
        </w:rPr>
        <w:t xml:space="preserve"> 2010; 89: 95–100</w:t>
      </w:r>
      <w:r w:rsidR="001C6C34" w:rsidRPr="00EA2D97">
        <w:rPr>
          <w:szCs w:val="17"/>
        </w:rPr>
        <w:t>.</w:t>
      </w:r>
      <w:r w:rsidR="00D23122" w:rsidRPr="00EA2D97">
        <w:rPr>
          <w:szCs w:val="17"/>
        </w:rPr>
        <w:t xml:space="preserve"> </w:t>
      </w:r>
      <w:proofErr w:type="spellStart"/>
      <w:r w:rsidR="00D23122" w:rsidRPr="00EA2D97">
        <w:rPr>
          <w:szCs w:val="17"/>
        </w:rPr>
        <w:t>doi</w:t>
      </w:r>
      <w:proofErr w:type="spellEnd"/>
      <w:r w:rsidR="00D23122" w:rsidRPr="00EA2D97">
        <w:rPr>
          <w:szCs w:val="17"/>
        </w:rPr>
        <w:t>: 10.3109/00016340903390729.</w:t>
      </w:r>
    </w:p>
  </w:footnote>
  <w:footnote w:id="20">
    <w:p w14:paraId="03568324" w14:textId="7ABCB754" w:rsidR="00724FB5" w:rsidRPr="00EA2D97" w:rsidRDefault="00A27F48" w:rsidP="00F17390">
      <w:pPr>
        <w:pStyle w:val="FootnoteText"/>
        <w:rPr>
          <w:szCs w:val="17"/>
        </w:rPr>
      </w:pPr>
      <w:r w:rsidRPr="00EA2D97">
        <w:rPr>
          <w:rStyle w:val="FootnoteReference"/>
          <w:szCs w:val="17"/>
        </w:rPr>
        <w:footnoteRef/>
      </w:r>
      <w:r w:rsidRPr="00EA2D97">
        <w:rPr>
          <w:szCs w:val="17"/>
        </w:rPr>
        <w:t xml:space="preserve"> </w:t>
      </w:r>
      <w:proofErr w:type="spellStart"/>
      <w:r w:rsidR="00F17390" w:rsidRPr="00EA2D97">
        <w:rPr>
          <w:szCs w:val="17"/>
        </w:rPr>
        <w:t>Soonawalla</w:t>
      </w:r>
      <w:proofErr w:type="spellEnd"/>
      <w:r w:rsidR="00F17390" w:rsidRPr="00EA2D97">
        <w:rPr>
          <w:szCs w:val="17"/>
        </w:rPr>
        <w:t xml:space="preserve"> ZF, </w:t>
      </w:r>
      <w:proofErr w:type="spellStart"/>
      <w:r w:rsidR="00F17390" w:rsidRPr="00EA2D97">
        <w:rPr>
          <w:szCs w:val="17"/>
        </w:rPr>
        <w:t>Orug</w:t>
      </w:r>
      <w:proofErr w:type="spellEnd"/>
      <w:r w:rsidR="00F17390" w:rsidRPr="00EA2D97">
        <w:rPr>
          <w:szCs w:val="17"/>
        </w:rPr>
        <w:t xml:space="preserve"> T, Badminton MN, Elder GH, Rhodes JM, Bramhall SR, et al. Liver transplantation as a cure for acute intermittent porphyria</w:t>
      </w:r>
      <w:r w:rsidR="00F17390" w:rsidRPr="00EA2D97">
        <w:rPr>
          <w:i/>
          <w:iCs/>
          <w:szCs w:val="17"/>
        </w:rPr>
        <w:t>. Lancet</w:t>
      </w:r>
      <w:r w:rsidR="00F17390" w:rsidRPr="00EA2D97">
        <w:rPr>
          <w:szCs w:val="17"/>
        </w:rPr>
        <w:t xml:space="preserve"> 2004; 363:705–706.</w:t>
      </w:r>
      <w:r w:rsidR="006B4D16" w:rsidRPr="00EA2D97">
        <w:rPr>
          <w:szCs w:val="17"/>
        </w:rPr>
        <w:t xml:space="preserve"> </w:t>
      </w:r>
      <w:proofErr w:type="spellStart"/>
      <w:r w:rsidR="006B4D16" w:rsidRPr="00EA2D97">
        <w:rPr>
          <w:szCs w:val="17"/>
        </w:rPr>
        <w:t>doi</w:t>
      </w:r>
      <w:proofErr w:type="spellEnd"/>
      <w:r w:rsidR="006B4D16" w:rsidRPr="00EA2D97">
        <w:rPr>
          <w:szCs w:val="17"/>
        </w:rPr>
        <w:t>: 10.1016/S0140-6736(04)15646-8.</w:t>
      </w:r>
    </w:p>
    <w:p w14:paraId="5F34624B" w14:textId="50688D64" w:rsidR="00724FB5" w:rsidRPr="00EA2D97" w:rsidRDefault="000669CF" w:rsidP="000669CF">
      <w:pPr>
        <w:pStyle w:val="FootnoteText"/>
        <w:rPr>
          <w:szCs w:val="17"/>
        </w:rPr>
      </w:pPr>
      <w:r w:rsidRPr="00EA2D97">
        <w:rPr>
          <w:szCs w:val="17"/>
        </w:rPr>
        <w:t xml:space="preserve">Stein P, Badminton M, Barth J, Rees D, Stewart MF. Best practice guidelines on clinical management of acute attacks of porphyria and their complications. </w:t>
      </w:r>
      <w:r w:rsidRPr="00EA2D97">
        <w:rPr>
          <w:i/>
          <w:iCs/>
          <w:szCs w:val="17"/>
        </w:rPr>
        <w:t xml:space="preserve">Ann Clin </w:t>
      </w:r>
      <w:proofErr w:type="spellStart"/>
      <w:r w:rsidRPr="00EA2D97">
        <w:rPr>
          <w:i/>
          <w:iCs/>
          <w:szCs w:val="17"/>
        </w:rPr>
        <w:t>Biochem</w:t>
      </w:r>
      <w:proofErr w:type="spellEnd"/>
      <w:r w:rsidRPr="00EA2D97">
        <w:rPr>
          <w:szCs w:val="17"/>
        </w:rPr>
        <w:t xml:space="preserve"> 2013; 50:217-223. </w:t>
      </w:r>
      <w:proofErr w:type="spellStart"/>
      <w:r w:rsidRPr="00EA2D97">
        <w:rPr>
          <w:szCs w:val="17"/>
        </w:rPr>
        <w:t>doi</w:t>
      </w:r>
      <w:proofErr w:type="spellEnd"/>
      <w:r w:rsidRPr="00EA2D97">
        <w:rPr>
          <w:szCs w:val="17"/>
        </w:rPr>
        <w:t>: 10.1177/0004563212474555.</w:t>
      </w:r>
    </w:p>
    <w:p w14:paraId="6199CC9F" w14:textId="7320B0D2" w:rsidR="00A27F48" w:rsidRPr="00EA2D97" w:rsidRDefault="007A2233" w:rsidP="007A2233">
      <w:pPr>
        <w:pStyle w:val="FootnoteText"/>
        <w:rPr>
          <w:szCs w:val="17"/>
        </w:rPr>
      </w:pPr>
      <w:r w:rsidRPr="00EA2D97">
        <w:rPr>
          <w:szCs w:val="17"/>
        </w:rPr>
        <w:t xml:space="preserve">Yasuda M, Erwin AL, Liu LU, Balwani M, Chen B, </w:t>
      </w:r>
      <w:proofErr w:type="spellStart"/>
      <w:r w:rsidRPr="00EA2D97">
        <w:rPr>
          <w:szCs w:val="17"/>
        </w:rPr>
        <w:t>Kadirvel</w:t>
      </w:r>
      <w:proofErr w:type="spellEnd"/>
      <w:r w:rsidRPr="00EA2D97">
        <w:rPr>
          <w:szCs w:val="17"/>
        </w:rPr>
        <w:t xml:space="preserve"> S, et al. Liver Transplantation for Acute Intermittent Porphyria: Biochemical and Pathologic Studies of the Explanted Liver. </w:t>
      </w:r>
      <w:r w:rsidRPr="00EA2D97">
        <w:rPr>
          <w:i/>
          <w:iCs/>
          <w:szCs w:val="17"/>
        </w:rPr>
        <w:t>Mol Med</w:t>
      </w:r>
      <w:r w:rsidRPr="00EA2D97">
        <w:rPr>
          <w:szCs w:val="17"/>
        </w:rPr>
        <w:t xml:space="preserve"> 2015; 21:487-495. </w:t>
      </w:r>
      <w:proofErr w:type="spellStart"/>
      <w:r w:rsidRPr="00EA2D97">
        <w:rPr>
          <w:szCs w:val="17"/>
        </w:rPr>
        <w:t>doi</w:t>
      </w:r>
      <w:proofErr w:type="spellEnd"/>
      <w:r w:rsidRPr="00EA2D97">
        <w:rPr>
          <w:szCs w:val="17"/>
        </w:rPr>
        <w:t>: 10.2119/molmed.2015.00099.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F966C9"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91D2A1E"/>
    <w:multiLevelType w:val="hybridMultilevel"/>
    <w:tmpl w:val="C4EE8DD6"/>
    <w:lvl w:ilvl="0" w:tplc="FE88539A">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2" w15:restartNumberingAfterBreak="0">
    <w:nsid w:val="62E1248D"/>
    <w:multiLevelType w:val="hybridMultilevel"/>
    <w:tmpl w:val="4AECA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0"/>
  </w:num>
  <w:num w:numId="5" w16cid:durableId="1652950129">
    <w:abstractNumId w:val="5"/>
  </w:num>
  <w:num w:numId="6" w16cid:durableId="1053193207">
    <w:abstractNumId w:val="8"/>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9"/>
  </w:num>
  <w:num w:numId="9" w16cid:durableId="173421270">
    <w:abstractNumId w:val="1"/>
  </w:num>
  <w:num w:numId="10" w16cid:durableId="2108043357">
    <w:abstractNumId w:val="4"/>
  </w:num>
  <w:num w:numId="11" w16cid:durableId="1725904230">
    <w:abstractNumId w:val="6"/>
  </w:num>
  <w:num w:numId="12" w16cid:durableId="141579354">
    <w:abstractNumId w:val="11"/>
  </w:num>
  <w:num w:numId="13" w16cid:durableId="283735081">
    <w:abstractNumId w:val="13"/>
  </w:num>
  <w:num w:numId="14" w16cid:durableId="717362451">
    <w:abstractNumId w:val="7"/>
  </w:num>
  <w:num w:numId="15" w16cid:durableId="19651186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22E0"/>
    <w:rsid w:val="00004431"/>
    <w:rsid w:val="00005062"/>
    <w:rsid w:val="00006E53"/>
    <w:rsid w:val="0001064C"/>
    <w:rsid w:val="0001384A"/>
    <w:rsid w:val="00014EC2"/>
    <w:rsid w:val="00020FF2"/>
    <w:rsid w:val="000214DD"/>
    <w:rsid w:val="00024507"/>
    <w:rsid w:val="00032A0F"/>
    <w:rsid w:val="000362A3"/>
    <w:rsid w:val="00040D8D"/>
    <w:rsid w:val="000414E7"/>
    <w:rsid w:val="00043D6D"/>
    <w:rsid w:val="0004478F"/>
    <w:rsid w:val="00046423"/>
    <w:rsid w:val="0005192A"/>
    <w:rsid w:val="0006104E"/>
    <w:rsid w:val="000640BD"/>
    <w:rsid w:val="00064FDA"/>
    <w:rsid w:val="00065839"/>
    <w:rsid w:val="00065FDF"/>
    <w:rsid w:val="000669CF"/>
    <w:rsid w:val="00077844"/>
    <w:rsid w:val="00077D39"/>
    <w:rsid w:val="00080C76"/>
    <w:rsid w:val="000832F1"/>
    <w:rsid w:val="0008494B"/>
    <w:rsid w:val="00085DFF"/>
    <w:rsid w:val="00087FE5"/>
    <w:rsid w:val="00090510"/>
    <w:rsid w:val="000917AE"/>
    <w:rsid w:val="00092291"/>
    <w:rsid w:val="00094B81"/>
    <w:rsid w:val="000975AA"/>
    <w:rsid w:val="000A5C12"/>
    <w:rsid w:val="000B396E"/>
    <w:rsid w:val="000B501F"/>
    <w:rsid w:val="000B6B15"/>
    <w:rsid w:val="000C1BFE"/>
    <w:rsid w:val="000C25A7"/>
    <w:rsid w:val="000C3DD5"/>
    <w:rsid w:val="000C7F19"/>
    <w:rsid w:val="000D1726"/>
    <w:rsid w:val="000D78EC"/>
    <w:rsid w:val="000D7934"/>
    <w:rsid w:val="000E2597"/>
    <w:rsid w:val="000E6746"/>
    <w:rsid w:val="000E7808"/>
    <w:rsid w:val="000F0C87"/>
    <w:rsid w:val="000F2387"/>
    <w:rsid w:val="000F47BE"/>
    <w:rsid w:val="000F7B51"/>
    <w:rsid w:val="0010085A"/>
    <w:rsid w:val="00101BEE"/>
    <w:rsid w:val="00101CE6"/>
    <w:rsid w:val="00101FB1"/>
    <w:rsid w:val="0010346E"/>
    <w:rsid w:val="0010558A"/>
    <w:rsid w:val="001101FF"/>
    <w:rsid w:val="00113153"/>
    <w:rsid w:val="00115F61"/>
    <w:rsid w:val="00121C9B"/>
    <w:rsid w:val="001229DE"/>
    <w:rsid w:val="00123715"/>
    <w:rsid w:val="0012473C"/>
    <w:rsid w:val="00126F3F"/>
    <w:rsid w:val="00127A74"/>
    <w:rsid w:val="0013132F"/>
    <w:rsid w:val="0013306D"/>
    <w:rsid w:val="0013528C"/>
    <w:rsid w:val="0014008C"/>
    <w:rsid w:val="001414E6"/>
    <w:rsid w:val="00142FC9"/>
    <w:rsid w:val="001442A2"/>
    <w:rsid w:val="001468CA"/>
    <w:rsid w:val="001500A8"/>
    <w:rsid w:val="0015134B"/>
    <w:rsid w:val="00153D95"/>
    <w:rsid w:val="00155D85"/>
    <w:rsid w:val="00157438"/>
    <w:rsid w:val="00162853"/>
    <w:rsid w:val="00165D28"/>
    <w:rsid w:val="00167C6D"/>
    <w:rsid w:val="0017005C"/>
    <w:rsid w:val="00175CD8"/>
    <w:rsid w:val="001809BB"/>
    <w:rsid w:val="00182BD8"/>
    <w:rsid w:val="0018666E"/>
    <w:rsid w:val="00190E83"/>
    <w:rsid w:val="00195135"/>
    <w:rsid w:val="00196750"/>
    <w:rsid w:val="001A2601"/>
    <w:rsid w:val="001A2FA5"/>
    <w:rsid w:val="001A4808"/>
    <w:rsid w:val="001A52BC"/>
    <w:rsid w:val="001A58D1"/>
    <w:rsid w:val="001A6C91"/>
    <w:rsid w:val="001A76F9"/>
    <w:rsid w:val="001B06FF"/>
    <w:rsid w:val="001B1703"/>
    <w:rsid w:val="001C01B9"/>
    <w:rsid w:val="001C1800"/>
    <w:rsid w:val="001C1C2E"/>
    <w:rsid w:val="001C31A1"/>
    <w:rsid w:val="001C3FA2"/>
    <w:rsid w:val="001C5EE2"/>
    <w:rsid w:val="001C6C34"/>
    <w:rsid w:val="001C7A58"/>
    <w:rsid w:val="001D0077"/>
    <w:rsid w:val="001D38FB"/>
    <w:rsid w:val="001E2021"/>
    <w:rsid w:val="001E2277"/>
    <w:rsid w:val="001E407B"/>
    <w:rsid w:val="001E7FC6"/>
    <w:rsid w:val="001F2502"/>
    <w:rsid w:val="001F70A5"/>
    <w:rsid w:val="001F7420"/>
    <w:rsid w:val="00201FFA"/>
    <w:rsid w:val="0020235D"/>
    <w:rsid w:val="00203296"/>
    <w:rsid w:val="0020369B"/>
    <w:rsid w:val="00204ABB"/>
    <w:rsid w:val="002051FC"/>
    <w:rsid w:val="00207B4D"/>
    <w:rsid w:val="00210F69"/>
    <w:rsid w:val="002117B1"/>
    <w:rsid w:val="00212273"/>
    <w:rsid w:val="002136A2"/>
    <w:rsid w:val="00215666"/>
    <w:rsid w:val="00217CCE"/>
    <w:rsid w:val="002203B1"/>
    <w:rsid w:val="002221DD"/>
    <w:rsid w:val="00222A4A"/>
    <w:rsid w:val="002231FC"/>
    <w:rsid w:val="002253AF"/>
    <w:rsid w:val="00226F39"/>
    <w:rsid w:val="0023227C"/>
    <w:rsid w:val="002334AD"/>
    <w:rsid w:val="00234ECA"/>
    <w:rsid w:val="00237085"/>
    <w:rsid w:val="00237388"/>
    <w:rsid w:val="002414FF"/>
    <w:rsid w:val="00241B60"/>
    <w:rsid w:val="00252414"/>
    <w:rsid w:val="0025785B"/>
    <w:rsid w:val="00257969"/>
    <w:rsid w:val="002737CC"/>
    <w:rsid w:val="00276126"/>
    <w:rsid w:val="00276F71"/>
    <w:rsid w:val="00280048"/>
    <w:rsid w:val="00281D5A"/>
    <w:rsid w:val="0028489E"/>
    <w:rsid w:val="002848DE"/>
    <w:rsid w:val="0028659A"/>
    <w:rsid w:val="0028794E"/>
    <w:rsid w:val="00290D75"/>
    <w:rsid w:val="00291FDB"/>
    <w:rsid w:val="00292139"/>
    <w:rsid w:val="00292E61"/>
    <w:rsid w:val="0029311C"/>
    <w:rsid w:val="00294B35"/>
    <w:rsid w:val="002A0C3E"/>
    <w:rsid w:val="002A5841"/>
    <w:rsid w:val="002A7D51"/>
    <w:rsid w:val="002B1285"/>
    <w:rsid w:val="002B1E19"/>
    <w:rsid w:val="002B1EDF"/>
    <w:rsid w:val="002B2061"/>
    <w:rsid w:val="002B2711"/>
    <w:rsid w:val="002B3110"/>
    <w:rsid w:val="002C1232"/>
    <w:rsid w:val="002C17E5"/>
    <w:rsid w:val="002C1E44"/>
    <w:rsid w:val="002C36B9"/>
    <w:rsid w:val="002C3EEC"/>
    <w:rsid w:val="002C5400"/>
    <w:rsid w:val="002C5705"/>
    <w:rsid w:val="002C57A4"/>
    <w:rsid w:val="002C5C92"/>
    <w:rsid w:val="002C5E29"/>
    <w:rsid w:val="002D0478"/>
    <w:rsid w:val="002D468E"/>
    <w:rsid w:val="002D7127"/>
    <w:rsid w:val="002D7C11"/>
    <w:rsid w:val="002E0297"/>
    <w:rsid w:val="002E0EF8"/>
    <w:rsid w:val="002E1937"/>
    <w:rsid w:val="002F0C65"/>
    <w:rsid w:val="002F3B29"/>
    <w:rsid w:val="002F599E"/>
    <w:rsid w:val="003008D8"/>
    <w:rsid w:val="00300ACC"/>
    <w:rsid w:val="00301D9A"/>
    <w:rsid w:val="00303959"/>
    <w:rsid w:val="00305887"/>
    <w:rsid w:val="00306E72"/>
    <w:rsid w:val="00306EAE"/>
    <w:rsid w:val="00311A23"/>
    <w:rsid w:val="00311A46"/>
    <w:rsid w:val="0031210A"/>
    <w:rsid w:val="00312AC3"/>
    <w:rsid w:val="00314430"/>
    <w:rsid w:val="0031635B"/>
    <w:rsid w:val="003163BC"/>
    <w:rsid w:val="0032114C"/>
    <w:rsid w:val="0032351A"/>
    <w:rsid w:val="00324B33"/>
    <w:rsid w:val="00325098"/>
    <w:rsid w:val="003256F4"/>
    <w:rsid w:val="00327488"/>
    <w:rsid w:val="00332132"/>
    <w:rsid w:val="00334B8A"/>
    <w:rsid w:val="00336FE1"/>
    <w:rsid w:val="00340FB8"/>
    <w:rsid w:val="0034123C"/>
    <w:rsid w:val="00342D56"/>
    <w:rsid w:val="003437A4"/>
    <w:rsid w:val="003446D7"/>
    <w:rsid w:val="00344A35"/>
    <w:rsid w:val="003456E7"/>
    <w:rsid w:val="00346EC2"/>
    <w:rsid w:val="003477F9"/>
    <w:rsid w:val="00351CFC"/>
    <w:rsid w:val="0035444D"/>
    <w:rsid w:val="00356D62"/>
    <w:rsid w:val="0035793C"/>
    <w:rsid w:val="0036001D"/>
    <w:rsid w:val="0036284C"/>
    <w:rsid w:val="00363B4D"/>
    <w:rsid w:val="00363EE3"/>
    <w:rsid w:val="00363F24"/>
    <w:rsid w:val="003735F3"/>
    <w:rsid w:val="00374729"/>
    <w:rsid w:val="00384A66"/>
    <w:rsid w:val="00387298"/>
    <w:rsid w:val="003875AA"/>
    <w:rsid w:val="00387984"/>
    <w:rsid w:val="00395140"/>
    <w:rsid w:val="0039789A"/>
    <w:rsid w:val="003A2422"/>
    <w:rsid w:val="003A4C64"/>
    <w:rsid w:val="003B0B38"/>
    <w:rsid w:val="003B149C"/>
    <w:rsid w:val="003B4A6C"/>
    <w:rsid w:val="003B5D0E"/>
    <w:rsid w:val="003B7C8B"/>
    <w:rsid w:val="003C0FDB"/>
    <w:rsid w:val="003C1192"/>
    <w:rsid w:val="003C55E2"/>
    <w:rsid w:val="003C63D5"/>
    <w:rsid w:val="003C7AA8"/>
    <w:rsid w:val="003D2960"/>
    <w:rsid w:val="003D49AE"/>
    <w:rsid w:val="003D6B5C"/>
    <w:rsid w:val="003D71A1"/>
    <w:rsid w:val="003E0746"/>
    <w:rsid w:val="003E1D26"/>
    <w:rsid w:val="003E49D2"/>
    <w:rsid w:val="003F64B3"/>
    <w:rsid w:val="00406A65"/>
    <w:rsid w:val="00407249"/>
    <w:rsid w:val="00413A6B"/>
    <w:rsid w:val="00413FE3"/>
    <w:rsid w:val="004151C4"/>
    <w:rsid w:val="00415750"/>
    <w:rsid w:val="0041688F"/>
    <w:rsid w:val="0042376F"/>
    <w:rsid w:val="00424072"/>
    <w:rsid w:val="004246B8"/>
    <w:rsid w:val="004248F1"/>
    <w:rsid w:val="0042590F"/>
    <w:rsid w:val="00433318"/>
    <w:rsid w:val="004348EB"/>
    <w:rsid w:val="00437B1B"/>
    <w:rsid w:val="00441327"/>
    <w:rsid w:val="00442A56"/>
    <w:rsid w:val="004444B0"/>
    <w:rsid w:val="004447A4"/>
    <w:rsid w:val="00447DEF"/>
    <w:rsid w:val="0045060B"/>
    <w:rsid w:val="004514E5"/>
    <w:rsid w:val="00454A0A"/>
    <w:rsid w:val="00460C94"/>
    <w:rsid w:val="004626FF"/>
    <w:rsid w:val="00470543"/>
    <w:rsid w:val="00470A52"/>
    <w:rsid w:val="00471BD5"/>
    <w:rsid w:val="00477C4E"/>
    <w:rsid w:val="00477F07"/>
    <w:rsid w:val="0048139C"/>
    <w:rsid w:val="00481503"/>
    <w:rsid w:val="00481D12"/>
    <w:rsid w:val="00483773"/>
    <w:rsid w:val="004854A6"/>
    <w:rsid w:val="00490F4A"/>
    <w:rsid w:val="00491A55"/>
    <w:rsid w:val="00493B7F"/>
    <w:rsid w:val="00494762"/>
    <w:rsid w:val="00494C3E"/>
    <w:rsid w:val="00496C1C"/>
    <w:rsid w:val="00497DF1"/>
    <w:rsid w:val="004A06E2"/>
    <w:rsid w:val="004A1B6D"/>
    <w:rsid w:val="004A318E"/>
    <w:rsid w:val="004A3889"/>
    <w:rsid w:val="004A57E8"/>
    <w:rsid w:val="004B3081"/>
    <w:rsid w:val="004B4A09"/>
    <w:rsid w:val="004B6DC9"/>
    <w:rsid w:val="004B76FC"/>
    <w:rsid w:val="004C12C1"/>
    <w:rsid w:val="004C1693"/>
    <w:rsid w:val="004C27B3"/>
    <w:rsid w:val="004C41CE"/>
    <w:rsid w:val="004C45C9"/>
    <w:rsid w:val="004C631B"/>
    <w:rsid w:val="004C7CB5"/>
    <w:rsid w:val="004D06B8"/>
    <w:rsid w:val="004D2F00"/>
    <w:rsid w:val="004D31D8"/>
    <w:rsid w:val="004D5388"/>
    <w:rsid w:val="004E7F16"/>
    <w:rsid w:val="004F18EC"/>
    <w:rsid w:val="004F613C"/>
    <w:rsid w:val="00500D68"/>
    <w:rsid w:val="00502481"/>
    <w:rsid w:val="0050520F"/>
    <w:rsid w:val="00510599"/>
    <w:rsid w:val="00516064"/>
    <w:rsid w:val="005173D7"/>
    <w:rsid w:val="00525DD0"/>
    <w:rsid w:val="005309E5"/>
    <w:rsid w:val="00530DDD"/>
    <w:rsid w:val="00532EB3"/>
    <w:rsid w:val="0053377D"/>
    <w:rsid w:val="00534BD6"/>
    <w:rsid w:val="005351FD"/>
    <w:rsid w:val="00535DFE"/>
    <w:rsid w:val="005373B5"/>
    <w:rsid w:val="00537AB7"/>
    <w:rsid w:val="00537B01"/>
    <w:rsid w:val="0054669B"/>
    <w:rsid w:val="005471D0"/>
    <w:rsid w:val="00552EC4"/>
    <w:rsid w:val="00553327"/>
    <w:rsid w:val="0055465A"/>
    <w:rsid w:val="005610D1"/>
    <w:rsid w:val="00561195"/>
    <w:rsid w:val="005621D6"/>
    <w:rsid w:val="005627FA"/>
    <w:rsid w:val="00562F42"/>
    <w:rsid w:val="00564395"/>
    <w:rsid w:val="00565739"/>
    <w:rsid w:val="0056766D"/>
    <w:rsid w:val="0057354D"/>
    <w:rsid w:val="00575215"/>
    <w:rsid w:val="005766B0"/>
    <w:rsid w:val="00576E33"/>
    <w:rsid w:val="0058307E"/>
    <w:rsid w:val="005849AA"/>
    <w:rsid w:val="0058575E"/>
    <w:rsid w:val="00586FAE"/>
    <w:rsid w:val="00587385"/>
    <w:rsid w:val="005874B5"/>
    <w:rsid w:val="005875CA"/>
    <w:rsid w:val="0058783C"/>
    <w:rsid w:val="005911AE"/>
    <w:rsid w:val="005926E2"/>
    <w:rsid w:val="0059313A"/>
    <w:rsid w:val="00594641"/>
    <w:rsid w:val="0059489A"/>
    <w:rsid w:val="00594F53"/>
    <w:rsid w:val="005A0FFF"/>
    <w:rsid w:val="005A2AED"/>
    <w:rsid w:val="005A54EA"/>
    <w:rsid w:val="005A738D"/>
    <w:rsid w:val="005B023F"/>
    <w:rsid w:val="005B02A2"/>
    <w:rsid w:val="005B092E"/>
    <w:rsid w:val="005B1417"/>
    <w:rsid w:val="005B35CC"/>
    <w:rsid w:val="005B69CF"/>
    <w:rsid w:val="005C3F07"/>
    <w:rsid w:val="005C4B46"/>
    <w:rsid w:val="005C4E2E"/>
    <w:rsid w:val="005C5DC5"/>
    <w:rsid w:val="005D2089"/>
    <w:rsid w:val="005D7514"/>
    <w:rsid w:val="005E0FC6"/>
    <w:rsid w:val="005E1A7B"/>
    <w:rsid w:val="005E231F"/>
    <w:rsid w:val="005E24A4"/>
    <w:rsid w:val="005E38BC"/>
    <w:rsid w:val="005F19FA"/>
    <w:rsid w:val="005F1FE2"/>
    <w:rsid w:val="005F2406"/>
    <w:rsid w:val="005F6D8A"/>
    <w:rsid w:val="00602D6E"/>
    <w:rsid w:val="00603193"/>
    <w:rsid w:val="00604891"/>
    <w:rsid w:val="006049F9"/>
    <w:rsid w:val="00605C05"/>
    <w:rsid w:val="00606B37"/>
    <w:rsid w:val="00611351"/>
    <w:rsid w:val="0061140C"/>
    <w:rsid w:val="0061172E"/>
    <w:rsid w:val="0061217D"/>
    <w:rsid w:val="0061267F"/>
    <w:rsid w:val="00614A94"/>
    <w:rsid w:val="00621B6B"/>
    <w:rsid w:val="00624A19"/>
    <w:rsid w:val="00627379"/>
    <w:rsid w:val="006277A1"/>
    <w:rsid w:val="00630660"/>
    <w:rsid w:val="00633BD7"/>
    <w:rsid w:val="00634580"/>
    <w:rsid w:val="00634884"/>
    <w:rsid w:val="00634A77"/>
    <w:rsid w:val="006351D9"/>
    <w:rsid w:val="00637130"/>
    <w:rsid w:val="00637F0E"/>
    <w:rsid w:val="00640D1C"/>
    <w:rsid w:val="006423F2"/>
    <w:rsid w:val="00645FC7"/>
    <w:rsid w:val="00650234"/>
    <w:rsid w:val="00651115"/>
    <w:rsid w:val="00654CA9"/>
    <w:rsid w:val="0066044B"/>
    <w:rsid w:val="006630AA"/>
    <w:rsid w:val="00663544"/>
    <w:rsid w:val="00663958"/>
    <w:rsid w:val="00666539"/>
    <w:rsid w:val="00666911"/>
    <w:rsid w:val="00671E29"/>
    <w:rsid w:val="00675C84"/>
    <w:rsid w:val="00675F81"/>
    <w:rsid w:val="00677365"/>
    <w:rsid w:val="0068143E"/>
    <w:rsid w:val="00683858"/>
    <w:rsid w:val="00683A86"/>
    <w:rsid w:val="0068507D"/>
    <w:rsid w:val="00691AF2"/>
    <w:rsid w:val="0069202B"/>
    <w:rsid w:val="00692B80"/>
    <w:rsid w:val="00692CCD"/>
    <w:rsid w:val="00692D51"/>
    <w:rsid w:val="0069391C"/>
    <w:rsid w:val="00694DD7"/>
    <w:rsid w:val="00695ACC"/>
    <w:rsid w:val="0069636B"/>
    <w:rsid w:val="006A0DCC"/>
    <w:rsid w:val="006A1762"/>
    <w:rsid w:val="006A1F0B"/>
    <w:rsid w:val="006A277A"/>
    <w:rsid w:val="006A5973"/>
    <w:rsid w:val="006A6EB1"/>
    <w:rsid w:val="006A784F"/>
    <w:rsid w:val="006B4D16"/>
    <w:rsid w:val="006B56AC"/>
    <w:rsid w:val="006B7126"/>
    <w:rsid w:val="006C2108"/>
    <w:rsid w:val="006C283C"/>
    <w:rsid w:val="006C6B86"/>
    <w:rsid w:val="006D3631"/>
    <w:rsid w:val="006D3E78"/>
    <w:rsid w:val="006D4553"/>
    <w:rsid w:val="006D46E7"/>
    <w:rsid w:val="006D4A35"/>
    <w:rsid w:val="006D6B44"/>
    <w:rsid w:val="006E27FE"/>
    <w:rsid w:val="006E3503"/>
    <w:rsid w:val="006E3CFC"/>
    <w:rsid w:val="006E5F92"/>
    <w:rsid w:val="006E6FBF"/>
    <w:rsid w:val="006F0685"/>
    <w:rsid w:val="006F0704"/>
    <w:rsid w:val="006F207C"/>
    <w:rsid w:val="006F2E6F"/>
    <w:rsid w:val="00701110"/>
    <w:rsid w:val="00702E91"/>
    <w:rsid w:val="0070330F"/>
    <w:rsid w:val="00703624"/>
    <w:rsid w:val="00703B24"/>
    <w:rsid w:val="007046ED"/>
    <w:rsid w:val="007072A1"/>
    <w:rsid w:val="00710BC5"/>
    <w:rsid w:val="007121CA"/>
    <w:rsid w:val="00714F2A"/>
    <w:rsid w:val="00715E9A"/>
    <w:rsid w:val="0072003B"/>
    <w:rsid w:val="00721059"/>
    <w:rsid w:val="007211E6"/>
    <w:rsid w:val="007214DC"/>
    <w:rsid w:val="007220C4"/>
    <w:rsid w:val="00724FB5"/>
    <w:rsid w:val="007269F6"/>
    <w:rsid w:val="0072760C"/>
    <w:rsid w:val="00732361"/>
    <w:rsid w:val="00733EED"/>
    <w:rsid w:val="0073519E"/>
    <w:rsid w:val="007357B9"/>
    <w:rsid w:val="00741AB9"/>
    <w:rsid w:val="00742181"/>
    <w:rsid w:val="00742D03"/>
    <w:rsid w:val="00743EF3"/>
    <w:rsid w:val="00744216"/>
    <w:rsid w:val="007452E8"/>
    <w:rsid w:val="00746990"/>
    <w:rsid w:val="00747093"/>
    <w:rsid w:val="00750D70"/>
    <w:rsid w:val="00755924"/>
    <w:rsid w:val="00755F66"/>
    <w:rsid w:val="00756DFD"/>
    <w:rsid w:val="007575D0"/>
    <w:rsid w:val="007609BC"/>
    <w:rsid w:val="00761338"/>
    <w:rsid w:val="007662E0"/>
    <w:rsid w:val="00773BE3"/>
    <w:rsid w:val="00773BE8"/>
    <w:rsid w:val="00774953"/>
    <w:rsid w:val="00776E9C"/>
    <w:rsid w:val="007808B0"/>
    <w:rsid w:val="007816D8"/>
    <w:rsid w:val="00784150"/>
    <w:rsid w:val="0078590B"/>
    <w:rsid w:val="00787ED6"/>
    <w:rsid w:val="00793272"/>
    <w:rsid w:val="00794B64"/>
    <w:rsid w:val="007967C3"/>
    <w:rsid w:val="007A0A33"/>
    <w:rsid w:val="007A13FF"/>
    <w:rsid w:val="007A2233"/>
    <w:rsid w:val="007A66FD"/>
    <w:rsid w:val="007B04DE"/>
    <w:rsid w:val="007B0AE6"/>
    <w:rsid w:val="007B40EA"/>
    <w:rsid w:val="007B5E0F"/>
    <w:rsid w:val="007C0F0B"/>
    <w:rsid w:val="007C22C3"/>
    <w:rsid w:val="007C529A"/>
    <w:rsid w:val="007C57BC"/>
    <w:rsid w:val="007C5DE3"/>
    <w:rsid w:val="007C65EF"/>
    <w:rsid w:val="007D04CA"/>
    <w:rsid w:val="007D0A2B"/>
    <w:rsid w:val="007D12A1"/>
    <w:rsid w:val="007D1B55"/>
    <w:rsid w:val="007D40E5"/>
    <w:rsid w:val="007D4138"/>
    <w:rsid w:val="007D5C3B"/>
    <w:rsid w:val="007D70CD"/>
    <w:rsid w:val="007E0009"/>
    <w:rsid w:val="007E377A"/>
    <w:rsid w:val="007E4178"/>
    <w:rsid w:val="007E562A"/>
    <w:rsid w:val="007E6151"/>
    <w:rsid w:val="007F0A77"/>
    <w:rsid w:val="007F50D3"/>
    <w:rsid w:val="007F6B1F"/>
    <w:rsid w:val="00802F81"/>
    <w:rsid w:val="00803147"/>
    <w:rsid w:val="00804897"/>
    <w:rsid w:val="0081188A"/>
    <w:rsid w:val="00813B61"/>
    <w:rsid w:val="00820947"/>
    <w:rsid w:val="00820DAA"/>
    <w:rsid w:val="00826DB3"/>
    <w:rsid w:val="008329DB"/>
    <w:rsid w:val="00832F6F"/>
    <w:rsid w:val="00834273"/>
    <w:rsid w:val="00834D81"/>
    <w:rsid w:val="008355C8"/>
    <w:rsid w:val="008361C5"/>
    <w:rsid w:val="0083628F"/>
    <w:rsid w:val="00837AB9"/>
    <w:rsid w:val="00840708"/>
    <w:rsid w:val="00840E10"/>
    <w:rsid w:val="00845CFE"/>
    <w:rsid w:val="00850637"/>
    <w:rsid w:val="00854D98"/>
    <w:rsid w:val="008557B3"/>
    <w:rsid w:val="00856996"/>
    <w:rsid w:val="00856EE3"/>
    <w:rsid w:val="0085751E"/>
    <w:rsid w:val="00860B29"/>
    <w:rsid w:val="00862011"/>
    <w:rsid w:val="008622E8"/>
    <w:rsid w:val="008645EE"/>
    <w:rsid w:val="00867DEB"/>
    <w:rsid w:val="00870144"/>
    <w:rsid w:val="00873D7A"/>
    <w:rsid w:val="008747CB"/>
    <w:rsid w:val="00877CB3"/>
    <w:rsid w:val="008804CF"/>
    <w:rsid w:val="00881E98"/>
    <w:rsid w:val="00882D58"/>
    <w:rsid w:val="00882F19"/>
    <w:rsid w:val="00883D35"/>
    <w:rsid w:val="00884569"/>
    <w:rsid w:val="00887A51"/>
    <w:rsid w:val="00890D9B"/>
    <w:rsid w:val="00891C6C"/>
    <w:rsid w:val="00893CCD"/>
    <w:rsid w:val="00894654"/>
    <w:rsid w:val="008964B3"/>
    <w:rsid w:val="008A208B"/>
    <w:rsid w:val="008A44E3"/>
    <w:rsid w:val="008A6FCF"/>
    <w:rsid w:val="008B0F67"/>
    <w:rsid w:val="008B1CB5"/>
    <w:rsid w:val="008B7523"/>
    <w:rsid w:val="008C2D69"/>
    <w:rsid w:val="008C491C"/>
    <w:rsid w:val="008C49C6"/>
    <w:rsid w:val="008C5F80"/>
    <w:rsid w:val="008C754C"/>
    <w:rsid w:val="008C7B41"/>
    <w:rsid w:val="008D007B"/>
    <w:rsid w:val="008D56C9"/>
    <w:rsid w:val="008D6A54"/>
    <w:rsid w:val="008E0170"/>
    <w:rsid w:val="008E2585"/>
    <w:rsid w:val="008E2D7A"/>
    <w:rsid w:val="008F3215"/>
    <w:rsid w:val="008F4A62"/>
    <w:rsid w:val="008F7256"/>
    <w:rsid w:val="00902A68"/>
    <w:rsid w:val="0090424C"/>
    <w:rsid w:val="0090605E"/>
    <w:rsid w:val="00910298"/>
    <w:rsid w:val="009108CE"/>
    <w:rsid w:val="00910CE9"/>
    <w:rsid w:val="0091381C"/>
    <w:rsid w:val="00915A9F"/>
    <w:rsid w:val="00917CCA"/>
    <w:rsid w:val="00925C46"/>
    <w:rsid w:val="00926655"/>
    <w:rsid w:val="00926F31"/>
    <w:rsid w:val="00930404"/>
    <w:rsid w:val="00930D58"/>
    <w:rsid w:val="00935AAA"/>
    <w:rsid w:val="00946EC2"/>
    <w:rsid w:val="0095031E"/>
    <w:rsid w:val="0095064E"/>
    <w:rsid w:val="00951A7C"/>
    <w:rsid w:val="00954297"/>
    <w:rsid w:val="00960A56"/>
    <w:rsid w:val="00962B7F"/>
    <w:rsid w:val="00964776"/>
    <w:rsid w:val="00966EC1"/>
    <w:rsid w:val="00966EF1"/>
    <w:rsid w:val="00967223"/>
    <w:rsid w:val="009751F7"/>
    <w:rsid w:val="009757EB"/>
    <w:rsid w:val="009820C9"/>
    <w:rsid w:val="0098350E"/>
    <w:rsid w:val="009857EB"/>
    <w:rsid w:val="00991F7C"/>
    <w:rsid w:val="0099253B"/>
    <w:rsid w:val="0099404F"/>
    <w:rsid w:val="00996FA5"/>
    <w:rsid w:val="00996FA9"/>
    <w:rsid w:val="009A59FE"/>
    <w:rsid w:val="009A5C0F"/>
    <w:rsid w:val="009B07C4"/>
    <w:rsid w:val="009B0806"/>
    <w:rsid w:val="009B3A36"/>
    <w:rsid w:val="009B4022"/>
    <w:rsid w:val="009B5662"/>
    <w:rsid w:val="009B5897"/>
    <w:rsid w:val="009B77FC"/>
    <w:rsid w:val="009C2211"/>
    <w:rsid w:val="009C40E8"/>
    <w:rsid w:val="009C45C5"/>
    <w:rsid w:val="009D0497"/>
    <w:rsid w:val="009D1936"/>
    <w:rsid w:val="009D3607"/>
    <w:rsid w:val="009D7679"/>
    <w:rsid w:val="009E2E2F"/>
    <w:rsid w:val="009E4E16"/>
    <w:rsid w:val="009E6858"/>
    <w:rsid w:val="009E6F8C"/>
    <w:rsid w:val="009F087D"/>
    <w:rsid w:val="009F405F"/>
    <w:rsid w:val="009F7788"/>
    <w:rsid w:val="00A01C56"/>
    <w:rsid w:val="00A04A8A"/>
    <w:rsid w:val="00A07E69"/>
    <w:rsid w:val="00A10644"/>
    <w:rsid w:val="00A1091A"/>
    <w:rsid w:val="00A109BF"/>
    <w:rsid w:val="00A15EDB"/>
    <w:rsid w:val="00A27F48"/>
    <w:rsid w:val="00A32C50"/>
    <w:rsid w:val="00A358E7"/>
    <w:rsid w:val="00A4380B"/>
    <w:rsid w:val="00A43D46"/>
    <w:rsid w:val="00A4473A"/>
    <w:rsid w:val="00A518EF"/>
    <w:rsid w:val="00A51A2D"/>
    <w:rsid w:val="00A529FC"/>
    <w:rsid w:val="00A53484"/>
    <w:rsid w:val="00A53EB2"/>
    <w:rsid w:val="00A5596B"/>
    <w:rsid w:val="00A56351"/>
    <w:rsid w:val="00A56E79"/>
    <w:rsid w:val="00A57701"/>
    <w:rsid w:val="00A6268F"/>
    <w:rsid w:val="00A63C07"/>
    <w:rsid w:val="00A63D9B"/>
    <w:rsid w:val="00A64072"/>
    <w:rsid w:val="00A67D9F"/>
    <w:rsid w:val="00A70308"/>
    <w:rsid w:val="00A704DC"/>
    <w:rsid w:val="00A70CA2"/>
    <w:rsid w:val="00A72359"/>
    <w:rsid w:val="00A72CE0"/>
    <w:rsid w:val="00A74C87"/>
    <w:rsid w:val="00A77882"/>
    <w:rsid w:val="00A8195E"/>
    <w:rsid w:val="00A8365D"/>
    <w:rsid w:val="00A853E2"/>
    <w:rsid w:val="00A87A75"/>
    <w:rsid w:val="00A93DC6"/>
    <w:rsid w:val="00A9411A"/>
    <w:rsid w:val="00AA0689"/>
    <w:rsid w:val="00AA4A4B"/>
    <w:rsid w:val="00AA612B"/>
    <w:rsid w:val="00AA6682"/>
    <w:rsid w:val="00AB0A16"/>
    <w:rsid w:val="00AB33A2"/>
    <w:rsid w:val="00AB5E53"/>
    <w:rsid w:val="00AB7C5C"/>
    <w:rsid w:val="00AB7CBF"/>
    <w:rsid w:val="00AC0B21"/>
    <w:rsid w:val="00AC2AEF"/>
    <w:rsid w:val="00AC7BD8"/>
    <w:rsid w:val="00AD0111"/>
    <w:rsid w:val="00AD4C72"/>
    <w:rsid w:val="00AD5451"/>
    <w:rsid w:val="00AD6887"/>
    <w:rsid w:val="00AE1947"/>
    <w:rsid w:val="00AE2966"/>
    <w:rsid w:val="00AE5AF0"/>
    <w:rsid w:val="00AE69B2"/>
    <w:rsid w:val="00AF00D4"/>
    <w:rsid w:val="00AF1C8B"/>
    <w:rsid w:val="00AF299B"/>
    <w:rsid w:val="00AF7A51"/>
    <w:rsid w:val="00AF7E43"/>
    <w:rsid w:val="00B009AC"/>
    <w:rsid w:val="00B02AE0"/>
    <w:rsid w:val="00B05326"/>
    <w:rsid w:val="00B11F6F"/>
    <w:rsid w:val="00B128AA"/>
    <w:rsid w:val="00B12FB3"/>
    <w:rsid w:val="00B14059"/>
    <w:rsid w:val="00B14545"/>
    <w:rsid w:val="00B14E60"/>
    <w:rsid w:val="00B17BA2"/>
    <w:rsid w:val="00B22F7A"/>
    <w:rsid w:val="00B24201"/>
    <w:rsid w:val="00B25F22"/>
    <w:rsid w:val="00B26DC3"/>
    <w:rsid w:val="00B30B9D"/>
    <w:rsid w:val="00B30F8A"/>
    <w:rsid w:val="00B310C1"/>
    <w:rsid w:val="00B40412"/>
    <w:rsid w:val="00B42A21"/>
    <w:rsid w:val="00B4574D"/>
    <w:rsid w:val="00B468E1"/>
    <w:rsid w:val="00B46BC0"/>
    <w:rsid w:val="00B46DFB"/>
    <w:rsid w:val="00B5141B"/>
    <w:rsid w:val="00B53190"/>
    <w:rsid w:val="00B55681"/>
    <w:rsid w:val="00B57AAD"/>
    <w:rsid w:val="00B72A83"/>
    <w:rsid w:val="00B72B16"/>
    <w:rsid w:val="00B7643C"/>
    <w:rsid w:val="00B80408"/>
    <w:rsid w:val="00B81397"/>
    <w:rsid w:val="00B92292"/>
    <w:rsid w:val="00B925DB"/>
    <w:rsid w:val="00B927B6"/>
    <w:rsid w:val="00B967FF"/>
    <w:rsid w:val="00B973BF"/>
    <w:rsid w:val="00B974B9"/>
    <w:rsid w:val="00BA281B"/>
    <w:rsid w:val="00BA3E10"/>
    <w:rsid w:val="00BA3F6D"/>
    <w:rsid w:val="00BA4BE6"/>
    <w:rsid w:val="00BA4FC0"/>
    <w:rsid w:val="00BA61E0"/>
    <w:rsid w:val="00BA7F7D"/>
    <w:rsid w:val="00BB1C14"/>
    <w:rsid w:val="00BB5063"/>
    <w:rsid w:val="00BB6847"/>
    <w:rsid w:val="00BB7F8F"/>
    <w:rsid w:val="00BC1468"/>
    <w:rsid w:val="00BC716A"/>
    <w:rsid w:val="00BC7963"/>
    <w:rsid w:val="00BD07DF"/>
    <w:rsid w:val="00BD21B9"/>
    <w:rsid w:val="00BD26F4"/>
    <w:rsid w:val="00BD5DBD"/>
    <w:rsid w:val="00BD5DF6"/>
    <w:rsid w:val="00BE0041"/>
    <w:rsid w:val="00BE04BA"/>
    <w:rsid w:val="00BE640F"/>
    <w:rsid w:val="00BF2961"/>
    <w:rsid w:val="00BF4638"/>
    <w:rsid w:val="00BF5432"/>
    <w:rsid w:val="00C018DE"/>
    <w:rsid w:val="00C0597A"/>
    <w:rsid w:val="00C059D0"/>
    <w:rsid w:val="00C063DB"/>
    <w:rsid w:val="00C07551"/>
    <w:rsid w:val="00C1109F"/>
    <w:rsid w:val="00C12D65"/>
    <w:rsid w:val="00C133AB"/>
    <w:rsid w:val="00C13878"/>
    <w:rsid w:val="00C16A2E"/>
    <w:rsid w:val="00C17212"/>
    <w:rsid w:val="00C20B56"/>
    <w:rsid w:val="00C2207F"/>
    <w:rsid w:val="00C22214"/>
    <w:rsid w:val="00C26F72"/>
    <w:rsid w:val="00C309A7"/>
    <w:rsid w:val="00C32780"/>
    <w:rsid w:val="00C335AB"/>
    <w:rsid w:val="00C37EC6"/>
    <w:rsid w:val="00C40256"/>
    <w:rsid w:val="00C407AB"/>
    <w:rsid w:val="00C471B8"/>
    <w:rsid w:val="00C47232"/>
    <w:rsid w:val="00C528B7"/>
    <w:rsid w:val="00C52B7B"/>
    <w:rsid w:val="00C546BC"/>
    <w:rsid w:val="00C547CD"/>
    <w:rsid w:val="00C55EA5"/>
    <w:rsid w:val="00C570FF"/>
    <w:rsid w:val="00C57CEA"/>
    <w:rsid w:val="00C60FEC"/>
    <w:rsid w:val="00C62DE3"/>
    <w:rsid w:val="00C6574E"/>
    <w:rsid w:val="00C67785"/>
    <w:rsid w:val="00C707FD"/>
    <w:rsid w:val="00C70CB9"/>
    <w:rsid w:val="00C71148"/>
    <w:rsid w:val="00C72722"/>
    <w:rsid w:val="00C73C8E"/>
    <w:rsid w:val="00C747E3"/>
    <w:rsid w:val="00C74B3C"/>
    <w:rsid w:val="00C75DB8"/>
    <w:rsid w:val="00C76DEB"/>
    <w:rsid w:val="00C816C6"/>
    <w:rsid w:val="00C863A7"/>
    <w:rsid w:val="00C90965"/>
    <w:rsid w:val="00C912F4"/>
    <w:rsid w:val="00C9156F"/>
    <w:rsid w:val="00C92672"/>
    <w:rsid w:val="00C9581A"/>
    <w:rsid w:val="00C97C67"/>
    <w:rsid w:val="00C97D29"/>
    <w:rsid w:val="00CB0550"/>
    <w:rsid w:val="00CB56D9"/>
    <w:rsid w:val="00CB5911"/>
    <w:rsid w:val="00CB6813"/>
    <w:rsid w:val="00CC23EA"/>
    <w:rsid w:val="00CC4D31"/>
    <w:rsid w:val="00CD2F2C"/>
    <w:rsid w:val="00CE5D90"/>
    <w:rsid w:val="00CF085B"/>
    <w:rsid w:val="00CF268C"/>
    <w:rsid w:val="00CF42D9"/>
    <w:rsid w:val="00CF6A55"/>
    <w:rsid w:val="00CF6CD1"/>
    <w:rsid w:val="00CF6DC6"/>
    <w:rsid w:val="00CF6DCF"/>
    <w:rsid w:val="00D01DDB"/>
    <w:rsid w:val="00D02FA8"/>
    <w:rsid w:val="00D031D1"/>
    <w:rsid w:val="00D04E3F"/>
    <w:rsid w:val="00D05644"/>
    <w:rsid w:val="00D078BE"/>
    <w:rsid w:val="00D10355"/>
    <w:rsid w:val="00D11738"/>
    <w:rsid w:val="00D13F8A"/>
    <w:rsid w:val="00D14D76"/>
    <w:rsid w:val="00D16F60"/>
    <w:rsid w:val="00D20742"/>
    <w:rsid w:val="00D20FA1"/>
    <w:rsid w:val="00D22981"/>
    <w:rsid w:val="00D23122"/>
    <w:rsid w:val="00D24307"/>
    <w:rsid w:val="00D269AB"/>
    <w:rsid w:val="00D3349B"/>
    <w:rsid w:val="00D424A8"/>
    <w:rsid w:val="00D42B4C"/>
    <w:rsid w:val="00D44297"/>
    <w:rsid w:val="00D46458"/>
    <w:rsid w:val="00D53AD7"/>
    <w:rsid w:val="00D6036F"/>
    <w:rsid w:val="00D606FC"/>
    <w:rsid w:val="00D62877"/>
    <w:rsid w:val="00D63760"/>
    <w:rsid w:val="00D6390D"/>
    <w:rsid w:val="00D651B3"/>
    <w:rsid w:val="00D6703F"/>
    <w:rsid w:val="00D70316"/>
    <w:rsid w:val="00D734EB"/>
    <w:rsid w:val="00D82713"/>
    <w:rsid w:val="00D857F9"/>
    <w:rsid w:val="00D8672B"/>
    <w:rsid w:val="00D86F00"/>
    <w:rsid w:val="00D918D5"/>
    <w:rsid w:val="00D93EFA"/>
    <w:rsid w:val="00D94C8E"/>
    <w:rsid w:val="00DA0830"/>
    <w:rsid w:val="00DA327D"/>
    <w:rsid w:val="00DA799E"/>
    <w:rsid w:val="00DB1372"/>
    <w:rsid w:val="00DB192C"/>
    <w:rsid w:val="00DB1CF3"/>
    <w:rsid w:val="00DB5425"/>
    <w:rsid w:val="00DB572B"/>
    <w:rsid w:val="00DB72A6"/>
    <w:rsid w:val="00DC4999"/>
    <w:rsid w:val="00DC6611"/>
    <w:rsid w:val="00DD7EF5"/>
    <w:rsid w:val="00DE1344"/>
    <w:rsid w:val="00DE2DA0"/>
    <w:rsid w:val="00DF5193"/>
    <w:rsid w:val="00DF5BFE"/>
    <w:rsid w:val="00E00B9F"/>
    <w:rsid w:val="00E01BE1"/>
    <w:rsid w:val="00E01E1E"/>
    <w:rsid w:val="00E0523F"/>
    <w:rsid w:val="00E1022B"/>
    <w:rsid w:val="00E10434"/>
    <w:rsid w:val="00E129DC"/>
    <w:rsid w:val="00E13209"/>
    <w:rsid w:val="00E23E50"/>
    <w:rsid w:val="00E25B2F"/>
    <w:rsid w:val="00E26213"/>
    <w:rsid w:val="00E274DF"/>
    <w:rsid w:val="00E27BFF"/>
    <w:rsid w:val="00E30945"/>
    <w:rsid w:val="00E30C67"/>
    <w:rsid w:val="00E32736"/>
    <w:rsid w:val="00E343EC"/>
    <w:rsid w:val="00E34D66"/>
    <w:rsid w:val="00E362C4"/>
    <w:rsid w:val="00E455E4"/>
    <w:rsid w:val="00E46828"/>
    <w:rsid w:val="00E46CC2"/>
    <w:rsid w:val="00E47581"/>
    <w:rsid w:val="00E47E0C"/>
    <w:rsid w:val="00E50324"/>
    <w:rsid w:val="00E51813"/>
    <w:rsid w:val="00E521F4"/>
    <w:rsid w:val="00E52C0B"/>
    <w:rsid w:val="00E53D3F"/>
    <w:rsid w:val="00E5579B"/>
    <w:rsid w:val="00E560E3"/>
    <w:rsid w:val="00E57FF4"/>
    <w:rsid w:val="00E6078E"/>
    <w:rsid w:val="00E610D0"/>
    <w:rsid w:val="00E62CE4"/>
    <w:rsid w:val="00E638DE"/>
    <w:rsid w:val="00E676A9"/>
    <w:rsid w:val="00E679D1"/>
    <w:rsid w:val="00E67C1C"/>
    <w:rsid w:val="00E722D7"/>
    <w:rsid w:val="00E81C02"/>
    <w:rsid w:val="00E87983"/>
    <w:rsid w:val="00E91F11"/>
    <w:rsid w:val="00E9652E"/>
    <w:rsid w:val="00E9706D"/>
    <w:rsid w:val="00EA2A17"/>
    <w:rsid w:val="00EA2D97"/>
    <w:rsid w:val="00EA3AF4"/>
    <w:rsid w:val="00EA464D"/>
    <w:rsid w:val="00EA4B65"/>
    <w:rsid w:val="00EA4BAE"/>
    <w:rsid w:val="00EB5EB3"/>
    <w:rsid w:val="00EB6FEE"/>
    <w:rsid w:val="00EC2633"/>
    <w:rsid w:val="00EC34EE"/>
    <w:rsid w:val="00EC4690"/>
    <w:rsid w:val="00EC47A0"/>
    <w:rsid w:val="00ED332F"/>
    <w:rsid w:val="00ED7653"/>
    <w:rsid w:val="00EE4105"/>
    <w:rsid w:val="00EF1298"/>
    <w:rsid w:val="00EF3185"/>
    <w:rsid w:val="00EF3251"/>
    <w:rsid w:val="00EF3F0B"/>
    <w:rsid w:val="00EF5583"/>
    <w:rsid w:val="00EF69E3"/>
    <w:rsid w:val="00F02630"/>
    <w:rsid w:val="00F0289D"/>
    <w:rsid w:val="00F02AEC"/>
    <w:rsid w:val="00F07572"/>
    <w:rsid w:val="00F12306"/>
    <w:rsid w:val="00F13036"/>
    <w:rsid w:val="00F157FC"/>
    <w:rsid w:val="00F15A94"/>
    <w:rsid w:val="00F16AF5"/>
    <w:rsid w:val="00F17390"/>
    <w:rsid w:val="00F1783E"/>
    <w:rsid w:val="00F30AF3"/>
    <w:rsid w:val="00F314AC"/>
    <w:rsid w:val="00F34C4C"/>
    <w:rsid w:val="00F35AF2"/>
    <w:rsid w:val="00F35C00"/>
    <w:rsid w:val="00F43CD1"/>
    <w:rsid w:val="00F4590F"/>
    <w:rsid w:val="00F45AE0"/>
    <w:rsid w:val="00F53170"/>
    <w:rsid w:val="00F556BC"/>
    <w:rsid w:val="00F60CF2"/>
    <w:rsid w:val="00F641CD"/>
    <w:rsid w:val="00F657B4"/>
    <w:rsid w:val="00F66818"/>
    <w:rsid w:val="00F70D6B"/>
    <w:rsid w:val="00F7622E"/>
    <w:rsid w:val="00F7649F"/>
    <w:rsid w:val="00F8083B"/>
    <w:rsid w:val="00F80E00"/>
    <w:rsid w:val="00F8296D"/>
    <w:rsid w:val="00F865A7"/>
    <w:rsid w:val="00F931AC"/>
    <w:rsid w:val="00F94AED"/>
    <w:rsid w:val="00F94EA3"/>
    <w:rsid w:val="00F95603"/>
    <w:rsid w:val="00F966C9"/>
    <w:rsid w:val="00FA0754"/>
    <w:rsid w:val="00FA1BC9"/>
    <w:rsid w:val="00FA22C9"/>
    <w:rsid w:val="00FA49C3"/>
    <w:rsid w:val="00FB19B2"/>
    <w:rsid w:val="00FB236E"/>
    <w:rsid w:val="00FB3F7B"/>
    <w:rsid w:val="00FB450A"/>
    <w:rsid w:val="00FB4C2A"/>
    <w:rsid w:val="00FB640F"/>
    <w:rsid w:val="00FC030E"/>
    <w:rsid w:val="00FC2107"/>
    <w:rsid w:val="00FC48FE"/>
    <w:rsid w:val="00FC4B21"/>
    <w:rsid w:val="00FC5CAB"/>
    <w:rsid w:val="00FC5E90"/>
    <w:rsid w:val="00FC6387"/>
    <w:rsid w:val="00FC6F56"/>
    <w:rsid w:val="00FC74B0"/>
    <w:rsid w:val="00FD0F24"/>
    <w:rsid w:val="00FD48A2"/>
    <w:rsid w:val="00FD67A7"/>
    <w:rsid w:val="00FD6A7A"/>
    <w:rsid w:val="00FD7485"/>
    <w:rsid w:val="00FE087C"/>
    <w:rsid w:val="00FE12EA"/>
    <w:rsid w:val="00FE17B4"/>
    <w:rsid w:val="00FE1A3F"/>
    <w:rsid w:val="00FE50B4"/>
    <w:rsid w:val="00FE6F02"/>
    <w:rsid w:val="00FE79A0"/>
    <w:rsid w:val="00FF0533"/>
    <w:rsid w:val="00FF0939"/>
    <w:rsid w:val="00FF7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BA3E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89465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447DE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47DE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aliases w:val="Table Grid No Line"/>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FC6F56"/>
    <w:rPr>
      <w:b/>
    </w:rPr>
  </w:style>
  <w:style w:type="paragraph" w:styleId="Caption">
    <w:name w:val="caption"/>
    <w:aliases w:val="Caption_m,Caption 3,c,appendix,- H17,Caption 1,appendix Cha,Caption Char1 Char Char,Caption Char Char Char Char,Char Char Char Char Char,Caption Char Char1,Char,Caption Char1 Char,Caption Char Char Char,Caption Table..."/>
    <w:basedOn w:val="Normal"/>
    <w:next w:val="Normal"/>
    <w:link w:val="CaptionChar"/>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Standard">
    <w:name w:val="Standard"/>
    <w:basedOn w:val="Normal"/>
    <w:link w:val="StandardChar"/>
    <w:qFormat/>
    <w:rsid w:val="003D49AE"/>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3D49AE"/>
    <w:rPr>
      <w:rFonts w:ascii="Cambria" w:eastAsia="Times New Roman" w:hAnsi="Cambria" w:cs="Times New Roman"/>
      <w:snapToGrid w:val="0"/>
      <w:kern w:val="16"/>
      <w:sz w:val="23"/>
      <w:szCs w:val="24"/>
    </w:rPr>
  </w:style>
  <w:style w:type="character" w:customStyle="1" w:styleId="Heading1Char">
    <w:name w:val="Heading 1 Char"/>
    <w:basedOn w:val="DefaultParagraphFont"/>
    <w:link w:val="Heading1"/>
    <w:uiPriority w:val="9"/>
    <w:rsid w:val="00BA3E10"/>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rsid w:val="00894654"/>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447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47DE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CF268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BodyText">
    <w:name w:val="C-Body Text"/>
    <w:rsid w:val="00A57701"/>
    <w:pPr>
      <w:spacing w:before="120" w:line="280" w:lineRule="atLeast"/>
    </w:pPr>
    <w:rPr>
      <w:rFonts w:ascii="Times New Roman" w:eastAsia="Times New Roman" w:hAnsi="Times New Roman" w:cs="Times New Roman"/>
      <w:sz w:val="24"/>
      <w:lang w:val="en-US"/>
    </w:rPr>
  </w:style>
  <w:style w:type="character" w:customStyle="1" w:styleId="CaptionChar">
    <w:name w:val="Caption Char"/>
    <w:aliases w:val="Caption_m Char,Caption 3 Char,c Char,appendix Char,- H17 Char,Caption 1 Char,appendix Cha Char,Caption Char1 Char Char Char,Caption Char Char Char Char Char,Char Char Char Char Char Char,Caption Char Char1 Char,Char Char"/>
    <w:basedOn w:val="DefaultParagraphFont"/>
    <w:link w:val="Caption"/>
    <w:locked/>
    <w:rsid w:val="001A58D1"/>
    <w:rPr>
      <w:rFonts w:ascii="Cambria" w:hAnsi="Cambria"/>
      <w:i/>
      <w:iCs/>
      <w:color w:val="44546A" w:themeColor="text2"/>
      <w:sz w:val="18"/>
      <w:szCs w:val="18"/>
    </w:rPr>
  </w:style>
  <w:style w:type="paragraph" w:customStyle="1" w:styleId="C-TableText">
    <w:name w:val="C-Table Text"/>
    <w:link w:val="C-TableTextChar"/>
    <w:rsid w:val="001A58D1"/>
    <w:pPr>
      <w:spacing w:before="60" w:after="60" w:line="240" w:lineRule="auto"/>
    </w:pPr>
    <w:rPr>
      <w:rFonts w:ascii="Times New Roman" w:eastAsia="Times New Roman" w:hAnsi="Times New Roman" w:cs="Times New Roman"/>
      <w:sz w:val="22"/>
      <w:lang w:val="en-US"/>
    </w:rPr>
  </w:style>
  <w:style w:type="paragraph" w:customStyle="1" w:styleId="C-TableHeader">
    <w:name w:val="C-Table Header"/>
    <w:next w:val="C-TableText"/>
    <w:rsid w:val="001A58D1"/>
    <w:pPr>
      <w:keepNext/>
      <w:spacing w:before="60" w:after="60" w:line="240" w:lineRule="auto"/>
    </w:pPr>
    <w:rPr>
      <w:rFonts w:ascii="Times New Roman" w:eastAsia="Times New Roman" w:hAnsi="Times New Roman" w:cs="Times New Roman"/>
      <w:b/>
      <w:sz w:val="22"/>
      <w:lang w:val="en-US"/>
    </w:rPr>
  </w:style>
  <w:style w:type="character" w:customStyle="1" w:styleId="C-TableTextChar">
    <w:name w:val="C-Table Text Char"/>
    <w:link w:val="C-TableText"/>
    <w:locked/>
    <w:rsid w:val="001A58D1"/>
    <w:rPr>
      <w:rFonts w:ascii="Times New Roman" w:eastAsia="Times New Roman" w:hAnsi="Times New Roman" w:cs="Times New Roman"/>
      <w:sz w:val="22"/>
      <w:lang w:val="en-US"/>
    </w:rPr>
  </w:style>
  <w:style w:type="paragraph" w:customStyle="1" w:styleId="C-Footnote">
    <w:name w:val="C-Footnote"/>
    <w:basedOn w:val="Normal"/>
    <w:qFormat/>
    <w:rsid w:val="001A58D1"/>
    <w:pPr>
      <w:tabs>
        <w:tab w:val="left" w:pos="144"/>
      </w:tabs>
      <w:spacing w:after="0" w:line="240" w:lineRule="auto"/>
    </w:pPr>
    <w:rPr>
      <w:rFonts w:ascii="Times New Roman" w:eastAsia="Times New Roman" w:hAnsi="Times New Roman" w:cs="Arial"/>
      <w:sz w:val="20"/>
      <w:lang w:val="en-US"/>
    </w:rPr>
  </w:style>
  <w:style w:type="table" w:customStyle="1" w:styleId="C-Table">
    <w:name w:val="C-Table"/>
    <w:basedOn w:val="TableNormal"/>
    <w:rsid w:val="001A58D1"/>
    <w:pPr>
      <w:spacing w:after="0" w:line="240" w:lineRule="auto"/>
    </w:pPr>
    <w:rPr>
      <w:rFonts w:ascii="Times New Roman" w:eastAsia="Times New Roman" w:hAnsi="Times New Roman" w:cs="Times New Roman"/>
      <w:lang w:val="en-US"/>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70433">
      <w:bodyDiv w:val="1"/>
      <w:marLeft w:val="0"/>
      <w:marRight w:val="0"/>
      <w:marTop w:val="0"/>
      <w:marBottom w:val="0"/>
      <w:divBdr>
        <w:top w:val="none" w:sz="0" w:space="0" w:color="auto"/>
        <w:left w:val="none" w:sz="0" w:space="0" w:color="auto"/>
        <w:bottom w:val="none" w:sz="0" w:space="0" w:color="auto"/>
        <w:right w:val="none" w:sz="0" w:space="0" w:color="auto"/>
      </w:divBdr>
    </w:div>
    <w:div w:id="428737497">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16382722">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64949650">
      <w:bodyDiv w:val="1"/>
      <w:marLeft w:val="0"/>
      <w:marRight w:val="0"/>
      <w:marTop w:val="0"/>
      <w:marBottom w:val="0"/>
      <w:divBdr>
        <w:top w:val="none" w:sz="0" w:space="0" w:color="auto"/>
        <w:left w:val="none" w:sz="0" w:space="0" w:color="auto"/>
        <w:bottom w:val="none" w:sz="0" w:space="0" w:color="auto"/>
        <w:right w:val="none" w:sz="0" w:space="0" w:color="auto"/>
      </w:divBdr>
    </w:div>
    <w:div w:id="212129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tga.gov.au/products/medicines/find-information-about-medicine/prescribing-medicines-pregnancy-database" TargetMode="External"/><Relationship Id="rId26" Type="http://schemas.openxmlformats.org/officeDocument/2006/relationships/image" Target="media/image7.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tga.gov.au/comparable-overseas-regulators-cors-timeframes-and-milestones" TargetMode="External"/><Relationship Id="rId34" Type="http://schemas.openxmlformats.org/officeDocument/2006/relationships/hyperlink" Target="https://www.tga.gov.au/products/australian-register-therapeutic-goods-artg/product-information-one" TargetMode="External"/><Relationship Id="rId42"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tga.gov.au/black-triangle-scheme"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tga.copyright@tga.gov.au" TargetMode="Externa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www.tga.gov.au/picmi-search-facility" TargetMode="External"/><Relationship Id="rId40" Type="http://schemas.openxmlformats.org/officeDocument/2006/relationships/hyperlink" Target="mailto:info@tga.gov.au"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tga.gov.au/australian-public-assessment-report-auspar-guidance" TargetMode="External"/><Relationship Id="rId23" Type="http://schemas.openxmlformats.org/officeDocument/2006/relationships/hyperlink" Target="https://www.tga.gov.au/resources/resource/guidance/orphan-drug-designation" TargetMode="External"/><Relationship Id="rId28" Type="http://schemas.openxmlformats.org/officeDocument/2006/relationships/image" Target="media/image9.png"/><Relationship Id="rId36" Type="http://schemas.openxmlformats.org/officeDocument/2006/relationships/hyperlink" Target="https://www.tga.gov.au/products/australian-register-therapeutic-goods-artg/consumer-medicines-information-cmi" TargetMode="External"/><Relationship Id="rId10" Type="http://schemas.openxmlformats.org/officeDocument/2006/relationships/header" Target="header1.xml"/><Relationship Id="rId19" Type="http://schemas.openxmlformats.org/officeDocument/2006/relationships/hyperlink" Target="https://www.tga.gov.au/obstetric-drug-information-services"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ga.gov.au/" TargetMode="Externa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tga.gov.au/products/australian-register-therapeutic-goods-artg/product-information-one" TargetMode="External"/><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5958BF7BEDF34996582875E28D2857" ma:contentTypeVersion="4" ma:contentTypeDescription="Create a new document." ma:contentTypeScope="" ma:versionID="e0438cd16b5ed30b7c6fd91fc1bf4e04">
  <xsd:schema xmlns:xsd="http://www.w3.org/2001/XMLSchema" xmlns:xs="http://www.w3.org/2001/XMLSchema" xmlns:p="http://schemas.microsoft.com/office/2006/metadata/properties" xmlns:ns2="7555f4f1-9e4b-47f1-aac3-d69452b7fa1c" targetNamespace="http://schemas.microsoft.com/office/2006/metadata/properties" ma:root="true" ma:fieldsID="064c17caa41c35c2f912324ebad34603" ns2:_="">
    <xsd:import namespace="7555f4f1-9e4b-47f1-aac3-d69452b7fa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5f4f1-9e4b-47f1-aac3-d69452b7fa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D6D8A89F-1869-4BAC-AFDF-330E74F29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5f4f1-9e4b-47f1-aac3-d69452b7f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A24D70-193D-4D30-B17E-C9FD619B3C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13406</Words>
  <Characters>76416</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Givlaari</dc:title>
  <dc:subject>Prescription medicines</dc:subject>
  <dc:creator>Therapeutic Goods Administration</dc:creator>
  <cp:keywords/>
  <dc:description/>
  <cp:lastModifiedBy>LACK, Janet</cp:lastModifiedBy>
  <cp:revision>3</cp:revision>
  <dcterms:created xsi:type="dcterms:W3CDTF">2024-07-04T00:11:00Z</dcterms:created>
  <dcterms:modified xsi:type="dcterms:W3CDTF">2024-07-04T00:13:00Z</dcterms:modified>
</cp:coreProperties>
</file>