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D3FD3" w14:textId="77777777" w:rsidR="00EB0B28" w:rsidRDefault="00470B2C">
      <w:pPr>
        <w:tabs>
          <w:tab w:val="left" w:pos="284"/>
        </w:tabs>
        <w:spacing w:after="480" w:line="240" w:lineRule="auto"/>
        <w:rPr>
          <w:rFonts w:asciiTheme="majorHAnsi" w:hAnsiTheme="majorHAnsi"/>
        </w:rPr>
      </w:pPr>
      <w:r>
        <w:rPr>
          <w:noProof/>
          <w:lang w:eastAsia="en-AU"/>
        </w:rPr>
        <mc:AlternateContent>
          <mc:Choice Requires="wps">
            <w:drawing>
              <wp:inline distT="0" distB="0" distL="0" distR="0" wp14:anchorId="1C6918C6" wp14:editId="06E81D67">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16574" w14:textId="77777777" w:rsidR="00EB0B28" w:rsidRDefault="00470B2C">
                            <w:pPr>
                              <w:spacing w:after="0"/>
                              <w:rPr>
                                <w:rFonts w:ascii="Wingdings 3" w:hAnsi="Wingdings 3" w:hint="eastAsia"/>
                                <w:sz w:val="24"/>
                              </w:rPr>
                            </w:pPr>
                            <w:r>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1C6918C6"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7BC16574" w14:textId="77777777" w:rsidR="00EB0B28" w:rsidRDefault="00470B2C">
                      <w:pPr>
                        <w:spacing w:after="0"/>
                        <w:rPr>
                          <w:rFonts w:ascii="Wingdings 3" w:hAnsi="Wingdings 3" w:hint="eastAsia"/>
                          <w:sz w:val="24"/>
                        </w:rPr>
                      </w:pPr>
                      <w:r>
                        <w:rPr>
                          <w:rFonts w:ascii="SimSun" w:eastAsia="SimSun" w:hAnsi="SimSun" w:cs="Arial" w:hint="eastAsia"/>
                          <w:sz w:val="40"/>
                        </w:rPr>
                        <w:t>▼</w:t>
                      </w:r>
                    </w:p>
                  </w:txbxContent>
                </v:textbox>
                <w10:anchorlock/>
              </v:shape>
            </w:pict>
          </mc:Fallback>
        </mc:AlternateContent>
      </w:r>
      <w:r>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11" w:history="1">
        <w:r>
          <w:rPr>
            <w:rStyle w:val="Hyperlink"/>
            <w:rFonts w:asciiTheme="majorHAnsi" w:hAnsiTheme="majorHAnsi"/>
          </w:rPr>
          <w:t>www.tga.gov.au/reporting-problems</w:t>
        </w:r>
      </w:hyperlink>
      <w:r>
        <w:rPr>
          <w:rFonts w:asciiTheme="majorHAnsi" w:hAnsiTheme="majorHAnsi"/>
        </w:rPr>
        <w:t>.</w:t>
      </w:r>
    </w:p>
    <w:p w14:paraId="27966C47" w14:textId="38E7BB45" w:rsidR="00EB0B28" w:rsidRDefault="00470B2C">
      <w:pPr>
        <w:pStyle w:val="Heading1"/>
        <w:numPr>
          <w:ilvl w:val="0"/>
          <w:numId w:val="0"/>
        </w:numPr>
        <w:spacing w:after="240"/>
        <w:rPr>
          <w:rFonts w:eastAsia="SimSun"/>
        </w:rPr>
      </w:pPr>
      <w:r>
        <w:rPr>
          <w:rFonts w:eastAsia="SimSun"/>
        </w:rPr>
        <w:t>Australian Product Information – givlaari</w:t>
      </w:r>
      <w:r>
        <w:rPr>
          <w:rStyle w:val="Heading1Char"/>
          <w:vertAlign w:val="superscript"/>
        </w:rPr>
        <w:t>®</w:t>
      </w:r>
      <w:r>
        <w:rPr>
          <w:rFonts w:eastAsia="SimSun"/>
        </w:rPr>
        <w:t xml:space="preserve"> (givosiran) solution for injection</w:t>
      </w:r>
    </w:p>
    <w:p w14:paraId="50C4A57A" w14:textId="0D385DE9" w:rsidR="00EB0B28" w:rsidRDefault="00470B2C">
      <w:pPr>
        <w:pStyle w:val="Heading1"/>
        <w:spacing w:before="0" w:after="120"/>
      </w:pPr>
      <w:r>
        <w:t>Name of the medicine</w:t>
      </w:r>
    </w:p>
    <w:p w14:paraId="40609BD2" w14:textId="75E8F3CF" w:rsidR="00EB0B28" w:rsidRDefault="00470B2C">
      <w:pPr>
        <w:rPr>
          <w:rFonts w:asciiTheme="majorHAnsi" w:hAnsiTheme="majorHAnsi"/>
        </w:rPr>
      </w:pPr>
      <w:r>
        <w:rPr>
          <w:rFonts w:asciiTheme="majorHAnsi" w:hAnsiTheme="majorHAnsi"/>
        </w:rPr>
        <w:t>Givosiran</w:t>
      </w:r>
    </w:p>
    <w:p w14:paraId="230D1050" w14:textId="77777777" w:rsidR="00EB0B28" w:rsidRDefault="00470B2C">
      <w:pPr>
        <w:pStyle w:val="Heading1"/>
        <w:spacing w:before="0" w:after="120"/>
      </w:pPr>
      <w:r>
        <w:t>Qualitative and quantitative composition</w:t>
      </w:r>
    </w:p>
    <w:p w14:paraId="2815CB69" w14:textId="77777777" w:rsidR="00EB0B28" w:rsidRDefault="00470B2C">
      <w:pPr>
        <w:rPr>
          <w:rFonts w:asciiTheme="majorHAnsi" w:hAnsiTheme="majorHAnsi" w:cstheme="minorHAnsi"/>
          <w:lang w:val="en"/>
        </w:rPr>
      </w:pPr>
      <w:r>
        <w:rPr>
          <w:rFonts w:asciiTheme="majorHAnsi" w:hAnsiTheme="majorHAnsi" w:cstheme="minorHAnsi"/>
          <w:lang w:val="en"/>
        </w:rPr>
        <w:t>Each mL of solution contains givosiran sodium equivalent to 189 mg givosiran.</w:t>
      </w:r>
    </w:p>
    <w:p w14:paraId="3286B495" w14:textId="77777777" w:rsidR="00EB0B28" w:rsidRDefault="00470B2C">
      <w:pPr>
        <w:rPr>
          <w:rFonts w:asciiTheme="majorHAnsi" w:hAnsiTheme="majorHAnsi" w:cstheme="minorHAnsi"/>
          <w:lang w:val="en"/>
        </w:rPr>
      </w:pPr>
      <w:r>
        <w:rPr>
          <w:rFonts w:asciiTheme="majorHAnsi" w:hAnsiTheme="majorHAnsi" w:cstheme="minorHAnsi"/>
          <w:lang w:val="en"/>
        </w:rPr>
        <w:t>Each vial contains 189 mg givosiran.</w:t>
      </w:r>
    </w:p>
    <w:p w14:paraId="4737A27B" w14:textId="3CA982E3" w:rsidR="00EB0B28" w:rsidRDefault="00470B2C">
      <w:pPr>
        <w:rPr>
          <w:rFonts w:asciiTheme="majorHAnsi" w:hAnsiTheme="majorHAnsi" w:cstheme="minorHAnsi"/>
        </w:rPr>
      </w:pPr>
      <w:r>
        <w:rPr>
          <w:rFonts w:asciiTheme="majorHAnsi" w:hAnsiTheme="majorHAnsi" w:cstheme="minorHAnsi"/>
          <w:lang w:val="en"/>
        </w:rPr>
        <w:t xml:space="preserve">For the full list of excipients, see </w:t>
      </w:r>
      <w:hyperlink w:anchor="_List_of_excipients" w:history="1">
        <w:r>
          <w:rPr>
            <w:rStyle w:val="Hyperlink"/>
            <w:rFonts w:asciiTheme="majorHAnsi" w:hAnsiTheme="majorHAnsi" w:cstheme="minorHAnsi"/>
            <w:lang w:val="en"/>
          </w:rPr>
          <w:t>Section 6.1 List of excipients</w:t>
        </w:r>
      </w:hyperlink>
      <w:r>
        <w:rPr>
          <w:rFonts w:asciiTheme="majorHAnsi" w:hAnsiTheme="majorHAnsi" w:cstheme="minorHAnsi"/>
          <w:lang w:val="en"/>
        </w:rPr>
        <w:t xml:space="preserve">. </w:t>
      </w:r>
    </w:p>
    <w:p w14:paraId="3C612538" w14:textId="5561EE23" w:rsidR="00EB0B28" w:rsidRDefault="00470B2C">
      <w:pPr>
        <w:pStyle w:val="Heading1"/>
        <w:spacing w:before="0" w:after="120"/>
      </w:pPr>
      <w:r>
        <w:t>Pharmaceutical form</w:t>
      </w:r>
    </w:p>
    <w:p w14:paraId="0A2E79F7" w14:textId="77777777" w:rsidR="00EB0B28" w:rsidRDefault="00470B2C">
      <w:pPr>
        <w:rPr>
          <w:rFonts w:asciiTheme="majorHAnsi" w:hAnsiTheme="majorHAnsi"/>
        </w:rPr>
      </w:pPr>
      <w:r>
        <w:rPr>
          <w:rFonts w:asciiTheme="majorHAnsi" w:hAnsiTheme="majorHAnsi"/>
        </w:rPr>
        <w:t>Solution for injection.</w:t>
      </w:r>
    </w:p>
    <w:p w14:paraId="28F99C1E" w14:textId="498CB42E" w:rsidR="00EB0B28" w:rsidRDefault="00470B2C">
      <w:pPr>
        <w:rPr>
          <w:rFonts w:asciiTheme="majorHAnsi" w:hAnsiTheme="majorHAnsi"/>
        </w:rPr>
      </w:pPr>
      <w:r>
        <w:rPr>
          <w:rFonts w:asciiTheme="majorHAnsi" w:hAnsiTheme="majorHAnsi"/>
        </w:rPr>
        <w:t>Clear, colourless to yellow solution, essentially free of particles (pH of approximately 7.0;</w:t>
      </w:r>
      <w:r>
        <w:rPr>
          <w:rFonts w:asciiTheme="majorHAnsi" w:hAnsiTheme="majorHAnsi"/>
          <w:highlight w:val="yellow"/>
        </w:rPr>
        <w:t xml:space="preserve"> </w:t>
      </w:r>
      <w:r w:rsidR="006B67EF" w:rsidRPr="00561DC6">
        <w:rPr>
          <w:rFonts w:asciiTheme="majorHAnsi" w:hAnsiTheme="majorHAnsi"/>
        </w:rPr>
        <w:t>osmolality: 275 –</w:t>
      </w:r>
      <w:r w:rsidR="006B67EF">
        <w:rPr>
          <w:rFonts w:asciiTheme="majorHAnsi" w:hAnsiTheme="majorHAnsi"/>
        </w:rPr>
        <w:t xml:space="preserve"> </w:t>
      </w:r>
      <w:r w:rsidR="006B67EF" w:rsidRPr="007301D6">
        <w:rPr>
          <w:rFonts w:asciiTheme="majorHAnsi" w:hAnsiTheme="majorHAnsi"/>
        </w:rPr>
        <w:t xml:space="preserve">295 </w:t>
      </w:r>
      <w:proofErr w:type="spellStart"/>
      <w:r w:rsidR="006B67EF" w:rsidRPr="007301D6">
        <w:rPr>
          <w:rFonts w:asciiTheme="majorHAnsi" w:hAnsiTheme="majorHAnsi"/>
        </w:rPr>
        <w:t>mOsm</w:t>
      </w:r>
      <w:proofErr w:type="spellEnd"/>
      <w:r w:rsidR="006B67EF" w:rsidRPr="007301D6">
        <w:rPr>
          <w:rFonts w:asciiTheme="majorHAnsi" w:hAnsiTheme="majorHAnsi"/>
        </w:rPr>
        <w:t>/kg)</w:t>
      </w:r>
      <w:r w:rsidR="006B67EF" w:rsidRPr="00561DC6">
        <w:rPr>
          <w:rFonts w:asciiTheme="majorHAnsi" w:hAnsiTheme="majorHAnsi"/>
        </w:rPr>
        <w:t>.</w:t>
      </w:r>
    </w:p>
    <w:p w14:paraId="75DDBBB1" w14:textId="77777777" w:rsidR="00EB0B28" w:rsidRDefault="00470B2C">
      <w:pPr>
        <w:pStyle w:val="Heading1"/>
        <w:spacing w:before="0" w:after="120"/>
      </w:pPr>
      <w:r>
        <w:t>Clinical particulars</w:t>
      </w:r>
    </w:p>
    <w:p w14:paraId="56767A26" w14:textId="4E1F2365" w:rsidR="00EB0B28" w:rsidRDefault="00470B2C">
      <w:pPr>
        <w:pStyle w:val="Heading2"/>
        <w:spacing w:before="0" w:after="120"/>
      </w:pPr>
      <w:r>
        <w:t>Therapeutic indications</w:t>
      </w:r>
    </w:p>
    <w:p w14:paraId="1314BBFA" w14:textId="53FB02FB" w:rsidR="00EB0B28" w:rsidRDefault="00470B2C">
      <w:pPr>
        <w:rPr>
          <w:rFonts w:asciiTheme="majorHAnsi" w:hAnsiTheme="majorHAnsi"/>
        </w:rPr>
      </w:pPr>
      <w:r>
        <w:rPr>
          <w:rFonts w:asciiTheme="majorHAnsi" w:hAnsiTheme="majorHAnsi"/>
        </w:rPr>
        <w:t>Givlaari is indicated for the treatment of acute hepatic porphyria (AHP) in adults and adolescents aged 12 years and older.</w:t>
      </w:r>
    </w:p>
    <w:p w14:paraId="1A38DF98" w14:textId="327DA3B3" w:rsidR="00EB0B28" w:rsidRDefault="00470B2C">
      <w:pPr>
        <w:pStyle w:val="Heading2"/>
        <w:spacing w:before="0" w:after="120"/>
      </w:pPr>
      <w:bookmarkStart w:id="0" w:name="_Dose_and_method"/>
      <w:bookmarkEnd w:id="0"/>
      <w:r>
        <w:t xml:space="preserve"> Dose and method of administration</w:t>
      </w:r>
    </w:p>
    <w:p w14:paraId="04E15ABF" w14:textId="77777777" w:rsidR="00EB0B28" w:rsidRDefault="00470B2C">
      <w:pPr>
        <w:rPr>
          <w:rFonts w:asciiTheme="majorHAnsi" w:hAnsiTheme="majorHAnsi"/>
        </w:rPr>
      </w:pPr>
      <w:r>
        <w:rPr>
          <w:rFonts w:asciiTheme="majorHAnsi" w:hAnsiTheme="majorHAnsi"/>
        </w:rPr>
        <w:t>Therapy should be initiated under the supervision of a healthcare professional experienced in the management of porphyria.</w:t>
      </w:r>
    </w:p>
    <w:p w14:paraId="773F92A0" w14:textId="002A6F58" w:rsidR="00EB0B28" w:rsidRDefault="00470B2C">
      <w:pPr>
        <w:rPr>
          <w:rFonts w:asciiTheme="majorHAnsi" w:hAnsiTheme="majorHAnsi"/>
          <w:b/>
          <w:bCs/>
        </w:rPr>
      </w:pPr>
      <w:r>
        <w:rPr>
          <w:rFonts w:asciiTheme="majorHAnsi" w:hAnsiTheme="majorHAnsi"/>
          <w:b/>
          <w:bCs/>
        </w:rPr>
        <w:t>Dosage</w:t>
      </w:r>
    </w:p>
    <w:p w14:paraId="7001F729" w14:textId="77777777" w:rsidR="00EB0B28" w:rsidRDefault="00470B2C">
      <w:pPr>
        <w:rPr>
          <w:rFonts w:asciiTheme="majorHAnsi" w:hAnsiTheme="majorHAnsi"/>
        </w:rPr>
      </w:pPr>
      <w:r>
        <w:rPr>
          <w:rFonts w:asciiTheme="majorHAnsi" w:hAnsiTheme="majorHAnsi"/>
        </w:rPr>
        <w:t>The recommended dose of Givlaari is 2.5 mg/kg once monthly, administered via subcutaneous injection. Dosing is based on actual body weight.</w:t>
      </w:r>
    </w:p>
    <w:p w14:paraId="739D311A" w14:textId="77777777" w:rsidR="00EB0B28" w:rsidRDefault="00470B2C">
      <w:pPr>
        <w:rPr>
          <w:rFonts w:asciiTheme="majorHAnsi" w:hAnsiTheme="majorHAnsi"/>
        </w:rPr>
      </w:pPr>
      <w:r>
        <w:rPr>
          <w:rFonts w:asciiTheme="majorHAnsi" w:hAnsiTheme="majorHAnsi"/>
        </w:rPr>
        <w:t>The patient dose (in mg) and volume (in mL) should be calculated as follows:</w:t>
      </w:r>
    </w:p>
    <w:p w14:paraId="0FE53774" w14:textId="0354734D" w:rsidR="00EB0B28" w:rsidRDefault="00470B2C">
      <w:pPr>
        <w:rPr>
          <w:rFonts w:asciiTheme="majorHAnsi" w:hAnsiTheme="majorHAnsi"/>
        </w:rPr>
      </w:pPr>
      <w:r>
        <w:rPr>
          <w:rFonts w:asciiTheme="majorHAnsi" w:hAnsiTheme="majorHAnsi"/>
        </w:rPr>
        <w:t>Patient body weight (kg) × dose (2.5 mg/kg) = total amount (mg) of medicinal product to be administered. Total amount (mg) divided by vial concentration (189 mg/mL) = total volume of medicinal product (mL) to be injected.</w:t>
      </w:r>
    </w:p>
    <w:p w14:paraId="678D16D5" w14:textId="77777777" w:rsidR="00EB0B28" w:rsidRDefault="00EB0B28">
      <w:pPr>
        <w:rPr>
          <w:rFonts w:asciiTheme="majorHAnsi" w:hAnsiTheme="majorHAnsi"/>
        </w:rPr>
      </w:pPr>
    </w:p>
    <w:p w14:paraId="2AB1E456" w14:textId="77777777" w:rsidR="00EB0B28" w:rsidRDefault="00470B2C">
      <w:pPr>
        <w:keepNext/>
        <w:rPr>
          <w:rFonts w:asciiTheme="majorHAnsi" w:hAnsiTheme="majorHAnsi"/>
          <w:i/>
          <w:iCs/>
        </w:rPr>
      </w:pPr>
      <w:r>
        <w:rPr>
          <w:rFonts w:asciiTheme="majorHAnsi" w:hAnsiTheme="majorHAnsi"/>
          <w:i/>
          <w:iCs/>
        </w:rPr>
        <w:lastRenderedPageBreak/>
        <w:t>Missed dose</w:t>
      </w:r>
    </w:p>
    <w:p w14:paraId="059193DC" w14:textId="77777777" w:rsidR="00EB0B28" w:rsidRDefault="00470B2C">
      <w:pPr>
        <w:keepNext/>
        <w:rPr>
          <w:rFonts w:asciiTheme="majorHAnsi" w:hAnsiTheme="majorHAnsi"/>
        </w:rPr>
      </w:pPr>
      <w:r>
        <w:rPr>
          <w:rFonts w:asciiTheme="majorHAnsi" w:hAnsiTheme="majorHAnsi"/>
        </w:rPr>
        <w:t>If a dose is missed, treatment should be administered as soon as possible. Dosing should be resumed at monthly intervals following administration of the missed dose.</w:t>
      </w:r>
    </w:p>
    <w:p w14:paraId="45144551" w14:textId="77777777" w:rsidR="00EB0B28" w:rsidRDefault="00470B2C">
      <w:pPr>
        <w:rPr>
          <w:rFonts w:asciiTheme="majorHAnsi" w:hAnsiTheme="majorHAnsi"/>
          <w:i/>
          <w:iCs/>
        </w:rPr>
      </w:pPr>
      <w:r>
        <w:rPr>
          <w:rFonts w:asciiTheme="majorHAnsi" w:hAnsiTheme="majorHAnsi"/>
          <w:i/>
          <w:iCs/>
        </w:rPr>
        <w:t>Dose modification for adverse reactions</w:t>
      </w:r>
    </w:p>
    <w:p w14:paraId="03DF0AFD" w14:textId="1A6A82C9" w:rsidR="00EB0B28" w:rsidRDefault="00470B2C">
      <w:pPr>
        <w:rPr>
          <w:rFonts w:asciiTheme="majorHAnsi" w:hAnsiTheme="majorHAnsi"/>
        </w:rPr>
      </w:pPr>
      <w:r>
        <w:rPr>
          <w:rFonts w:asciiTheme="majorHAnsi" w:hAnsiTheme="majorHAnsi" w:cs="Calibri"/>
        </w:rPr>
        <w:t xml:space="preserve">In patients with clinically relevant transaminase elevations, who have dose interruption and subsequent improvement in transaminase levels, a dose resumption at 1.25 mg/kg once monthly could be considered [see </w:t>
      </w:r>
      <w:hyperlink w:anchor="_Special_warnings_and" w:history="1">
        <w:r>
          <w:rPr>
            <w:rStyle w:val="Hyperlink"/>
            <w:rFonts w:asciiTheme="majorHAnsi" w:hAnsiTheme="majorHAnsi"/>
          </w:rPr>
          <w:t xml:space="preserve">Section </w:t>
        </w:r>
        <w:bookmarkStart w:id="1" w:name="_Hlk112424231"/>
        <w:r>
          <w:rPr>
            <w:rStyle w:val="Hyperlink"/>
            <w:rFonts w:asciiTheme="majorHAnsi" w:hAnsiTheme="majorHAnsi"/>
          </w:rPr>
          <w:t>4.4 Special Warning and Precautions for Use</w:t>
        </w:r>
        <w:bookmarkEnd w:id="1"/>
      </w:hyperlink>
      <w:r>
        <w:rPr>
          <w:rFonts w:asciiTheme="majorHAnsi" w:hAnsiTheme="majorHAnsi" w:cs="Calibri"/>
        </w:rPr>
        <w:t xml:space="preserve"> and </w:t>
      </w:r>
      <w:hyperlink w:anchor="_Adverse_effects_(Undesirable" w:history="1">
        <w:r>
          <w:rPr>
            <w:rStyle w:val="Hyperlink"/>
            <w:rFonts w:asciiTheme="majorHAnsi" w:hAnsiTheme="majorHAnsi"/>
          </w:rPr>
          <w:t>Section 4.8 Adverse Effects (Undesirable Effects)</w:t>
        </w:r>
      </w:hyperlink>
      <w:r>
        <w:rPr>
          <w:rFonts w:asciiTheme="majorHAnsi" w:hAnsiTheme="majorHAnsi" w:cs="Calibri"/>
          <w:sz w:val="26"/>
          <w:szCs w:val="26"/>
        </w:rPr>
        <w:t>]</w:t>
      </w:r>
      <w:r>
        <w:rPr>
          <w:rFonts w:asciiTheme="majorHAnsi" w:hAnsiTheme="majorHAnsi" w:cs="Calibri"/>
        </w:rPr>
        <w:t>.</w:t>
      </w:r>
    </w:p>
    <w:p w14:paraId="53B85CFC" w14:textId="77777777" w:rsidR="00EB0B28" w:rsidRDefault="00470B2C">
      <w:pPr>
        <w:rPr>
          <w:rFonts w:asciiTheme="majorHAnsi" w:hAnsiTheme="majorHAnsi"/>
          <w:b/>
          <w:bCs/>
        </w:rPr>
      </w:pPr>
      <w:r>
        <w:rPr>
          <w:rFonts w:asciiTheme="majorHAnsi" w:hAnsiTheme="majorHAnsi"/>
          <w:b/>
          <w:bCs/>
        </w:rPr>
        <w:t>Special populations</w:t>
      </w:r>
    </w:p>
    <w:p w14:paraId="7B6A8D48" w14:textId="77777777" w:rsidR="00EB0B28" w:rsidRDefault="00470B2C">
      <w:pPr>
        <w:rPr>
          <w:rFonts w:asciiTheme="majorHAnsi" w:hAnsiTheme="majorHAnsi"/>
          <w:i/>
          <w:iCs/>
        </w:rPr>
      </w:pPr>
      <w:r>
        <w:rPr>
          <w:rFonts w:asciiTheme="majorHAnsi" w:hAnsiTheme="majorHAnsi"/>
          <w:i/>
          <w:iCs/>
        </w:rPr>
        <w:t>Elderly</w:t>
      </w:r>
    </w:p>
    <w:p w14:paraId="41BAF127" w14:textId="7219BC9D" w:rsidR="00EB0B28" w:rsidRDefault="00470B2C">
      <w:pPr>
        <w:rPr>
          <w:rFonts w:asciiTheme="majorHAnsi" w:hAnsiTheme="majorHAnsi"/>
        </w:rPr>
      </w:pPr>
      <w:r>
        <w:rPr>
          <w:rFonts w:asciiTheme="majorHAnsi" w:hAnsiTheme="majorHAnsi"/>
        </w:rPr>
        <w:t xml:space="preserve">No dose adjustment is required in patients aged &gt; 65 years of age (see </w:t>
      </w:r>
      <w:hyperlink w:anchor="_Pharmacokinetic_properties" w:history="1">
        <w:r>
          <w:rPr>
            <w:rStyle w:val="Hyperlink"/>
            <w:rFonts w:asciiTheme="majorHAnsi" w:hAnsiTheme="majorHAnsi"/>
          </w:rPr>
          <w:t>Section 5.2</w:t>
        </w:r>
        <w:r>
          <w:rPr>
            <w:rStyle w:val="Hyperlink"/>
          </w:rPr>
          <w:t xml:space="preserve"> </w:t>
        </w:r>
        <w:r>
          <w:rPr>
            <w:rStyle w:val="Hyperlink"/>
            <w:rFonts w:asciiTheme="majorHAnsi" w:hAnsiTheme="majorHAnsi"/>
          </w:rPr>
          <w:t>Pharmacokinetic properties</w:t>
        </w:r>
      </w:hyperlink>
      <w:r>
        <w:rPr>
          <w:rFonts w:asciiTheme="majorHAnsi" w:hAnsiTheme="majorHAnsi"/>
        </w:rPr>
        <w:t>).</w:t>
      </w:r>
    </w:p>
    <w:p w14:paraId="23F298AE" w14:textId="77777777" w:rsidR="00EB0B28" w:rsidRDefault="00470B2C">
      <w:pPr>
        <w:rPr>
          <w:rFonts w:asciiTheme="majorHAnsi" w:hAnsiTheme="majorHAnsi"/>
          <w:i/>
          <w:iCs/>
        </w:rPr>
      </w:pPr>
      <w:r>
        <w:rPr>
          <w:rFonts w:asciiTheme="majorHAnsi" w:hAnsiTheme="majorHAnsi"/>
          <w:i/>
          <w:iCs/>
        </w:rPr>
        <w:t>Hepatic impairment</w:t>
      </w:r>
    </w:p>
    <w:p w14:paraId="2CD80B20" w14:textId="432F2A56" w:rsidR="00EB0B28" w:rsidRDefault="00470B2C">
      <w:pPr>
        <w:rPr>
          <w:rFonts w:asciiTheme="majorHAnsi" w:hAnsiTheme="majorHAnsi"/>
        </w:rPr>
      </w:pPr>
      <w:r>
        <w:rPr>
          <w:rFonts w:asciiTheme="majorHAnsi" w:hAnsiTheme="majorHAnsi"/>
        </w:rPr>
        <w:t>No dose adjustment is necessary in patients with mild hepatic impairment (bilirubin ≤ 1× the upper limit of normal (ULN) and aspartate aminotransferase (AST) &gt; 1×ULN, or bilirubin &gt; 1×ULN to 1.5×ULN). Givlaari has not been studied in patients with moderate or severe hepatic impairment.</w:t>
      </w:r>
    </w:p>
    <w:p w14:paraId="796C1EE9" w14:textId="77777777" w:rsidR="00EB0B28" w:rsidRDefault="00470B2C">
      <w:pPr>
        <w:rPr>
          <w:rFonts w:asciiTheme="majorHAnsi" w:hAnsiTheme="majorHAnsi"/>
          <w:i/>
          <w:iCs/>
        </w:rPr>
      </w:pPr>
      <w:r>
        <w:rPr>
          <w:rFonts w:asciiTheme="majorHAnsi" w:hAnsiTheme="majorHAnsi"/>
          <w:i/>
          <w:iCs/>
        </w:rPr>
        <w:t>Renal impairment</w:t>
      </w:r>
    </w:p>
    <w:p w14:paraId="43EAB6C6" w14:textId="495096FE" w:rsidR="00EB0B28" w:rsidRDefault="00470B2C">
      <w:pPr>
        <w:rPr>
          <w:rFonts w:asciiTheme="majorHAnsi" w:hAnsiTheme="majorHAnsi"/>
        </w:rPr>
      </w:pPr>
      <w:r>
        <w:rPr>
          <w:rFonts w:asciiTheme="majorHAnsi" w:hAnsiTheme="majorHAnsi"/>
        </w:rPr>
        <w:t xml:space="preserve">No dose adjustment is necessary in patients with mild, </w:t>
      </w:r>
      <w:proofErr w:type="gramStart"/>
      <w:r>
        <w:rPr>
          <w:rFonts w:asciiTheme="majorHAnsi" w:hAnsiTheme="majorHAnsi"/>
        </w:rPr>
        <w:t>moderate</w:t>
      </w:r>
      <w:proofErr w:type="gramEnd"/>
      <w:r>
        <w:rPr>
          <w:rFonts w:asciiTheme="majorHAnsi" w:hAnsiTheme="majorHAnsi"/>
        </w:rPr>
        <w:t xml:space="preserve"> or severe renal impairment (estimated glomerular filtration rate [eGFR] ≥ 15 to &lt; 90 mL/min/1.73 m²). Givlaari has not been studied in patients with end-stage renal disease or patients on dialysis (see </w:t>
      </w:r>
      <w:hyperlink w:anchor="_Special_warnings_and" w:history="1">
        <w:r>
          <w:rPr>
            <w:rStyle w:val="Hyperlink"/>
            <w:rFonts w:asciiTheme="majorHAnsi" w:hAnsiTheme="majorHAnsi"/>
          </w:rPr>
          <w:t>Section 4.4</w:t>
        </w:r>
        <w:r>
          <w:rPr>
            <w:rStyle w:val="Hyperlink"/>
          </w:rPr>
          <w:t xml:space="preserve"> </w:t>
        </w:r>
        <w:r>
          <w:rPr>
            <w:rStyle w:val="Hyperlink"/>
            <w:rFonts w:asciiTheme="majorHAnsi" w:hAnsiTheme="majorHAnsi"/>
          </w:rPr>
          <w:t>Special Warning and Precautions for Use</w:t>
        </w:r>
      </w:hyperlink>
      <w:r>
        <w:rPr>
          <w:rFonts w:asciiTheme="majorHAnsi" w:hAnsiTheme="majorHAnsi"/>
        </w:rPr>
        <w:t>).</w:t>
      </w:r>
    </w:p>
    <w:p w14:paraId="2C94AA2D" w14:textId="77777777" w:rsidR="00EB0B28" w:rsidRDefault="00470B2C">
      <w:pPr>
        <w:rPr>
          <w:rFonts w:asciiTheme="majorHAnsi" w:hAnsiTheme="majorHAnsi"/>
          <w:i/>
          <w:iCs/>
        </w:rPr>
      </w:pPr>
      <w:r>
        <w:rPr>
          <w:rFonts w:asciiTheme="majorHAnsi" w:hAnsiTheme="majorHAnsi"/>
          <w:i/>
          <w:iCs/>
        </w:rPr>
        <w:t>Paediatric population</w:t>
      </w:r>
    </w:p>
    <w:p w14:paraId="5E513B2A" w14:textId="488E666F" w:rsidR="00EB0B28" w:rsidRDefault="00470B2C">
      <w:pPr>
        <w:rPr>
          <w:rFonts w:asciiTheme="majorHAnsi" w:hAnsiTheme="majorHAnsi"/>
        </w:rPr>
      </w:pPr>
      <w:r>
        <w:rPr>
          <w:rFonts w:asciiTheme="majorHAnsi" w:hAnsiTheme="majorHAnsi"/>
        </w:rPr>
        <w:t xml:space="preserve">No dose adjustment is required for patients aged ≥ 12 to &lt; 18 years of age (see </w:t>
      </w:r>
      <w:hyperlink w:anchor="_Pharmacokinetic_properties" w:history="1">
        <w:r>
          <w:rPr>
            <w:rStyle w:val="Hyperlink"/>
            <w:rFonts w:asciiTheme="majorHAnsi" w:hAnsiTheme="majorHAnsi"/>
          </w:rPr>
          <w:t>Section 5.2 Pharmacokinetic properties</w:t>
        </w:r>
      </w:hyperlink>
      <w:r>
        <w:rPr>
          <w:rFonts w:asciiTheme="majorHAnsi" w:hAnsiTheme="majorHAnsi"/>
        </w:rPr>
        <w:t xml:space="preserve">). </w:t>
      </w:r>
      <w:bookmarkStart w:id="2" w:name="_Hlk112429162"/>
      <w:r>
        <w:rPr>
          <w:rFonts w:asciiTheme="majorHAnsi" w:hAnsiTheme="majorHAnsi"/>
        </w:rPr>
        <w:t>The safety and efficacy of Givlaari in children aged &lt; 12 years of age has not been established. No data are available.</w:t>
      </w:r>
      <w:bookmarkEnd w:id="2"/>
    </w:p>
    <w:p w14:paraId="573A8DD3" w14:textId="77777777" w:rsidR="00EB0B28" w:rsidRDefault="00470B2C">
      <w:pPr>
        <w:rPr>
          <w:rFonts w:asciiTheme="majorHAnsi" w:hAnsiTheme="majorHAnsi"/>
          <w:b/>
          <w:bCs/>
        </w:rPr>
      </w:pPr>
      <w:r>
        <w:rPr>
          <w:rFonts w:asciiTheme="majorHAnsi" w:hAnsiTheme="majorHAnsi"/>
          <w:b/>
          <w:bCs/>
        </w:rPr>
        <w:t>Method of administration</w:t>
      </w:r>
    </w:p>
    <w:p w14:paraId="01EED4FF" w14:textId="77777777" w:rsidR="00EB0B28" w:rsidRDefault="00470B2C">
      <w:pPr>
        <w:rPr>
          <w:rFonts w:asciiTheme="majorHAnsi" w:hAnsiTheme="majorHAnsi"/>
        </w:rPr>
      </w:pPr>
      <w:r>
        <w:rPr>
          <w:rFonts w:asciiTheme="majorHAnsi" w:hAnsiTheme="majorHAnsi"/>
        </w:rPr>
        <w:t>For subcutaneous use only.</w:t>
      </w:r>
    </w:p>
    <w:p w14:paraId="0DBF26F0" w14:textId="77777777" w:rsidR="00EB0B28" w:rsidRDefault="00470B2C">
      <w:pPr>
        <w:rPr>
          <w:rFonts w:asciiTheme="majorHAnsi" w:hAnsiTheme="majorHAnsi"/>
        </w:rPr>
      </w:pPr>
      <w:r>
        <w:rPr>
          <w:rFonts w:asciiTheme="majorHAnsi" w:hAnsiTheme="majorHAnsi"/>
        </w:rPr>
        <w:t>This medicinal product is provided as a ready-to-use solution in a single use vial.</w:t>
      </w:r>
    </w:p>
    <w:p w14:paraId="48AE5E93" w14:textId="77777777" w:rsidR="00EB0B28" w:rsidRDefault="00470B2C">
      <w:pPr>
        <w:pStyle w:val="ListParagraph"/>
        <w:numPr>
          <w:ilvl w:val="0"/>
          <w:numId w:val="11"/>
        </w:numPr>
        <w:rPr>
          <w:rFonts w:asciiTheme="majorHAnsi" w:hAnsiTheme="majorHAnsi"/>
        </w:rPr>
      </w:pPr>
      <w:r>
        <w:rPr>
          <w:rFonts w:asciiTheme="majorHAnsi" w:hAnsiTheme="majorHAnsi"/>
        </w:rPr>
        <w:t>The required volume of Givlaari should be calculated based on the recommended weight-based dose.</w:t>
      </w:r>
    </w:p>
    <w:p w14:paraId="0B1401F0" w14:textId="77777777" w:rsidR="00EB0B28" w:rsidRDefault="00470B2C">
      <w:pPr>
        <w:pStyle w:val="ListParagraph"/>
        <w:numPr>
          <w:ilvl w:val="0"/>
          <w:numId w:val="11"/>
        </w:numPr>
        <w:rPr>
          <w:rFonts w:asciiTheme="majorHAnsi" w:hAnsiTheme="majorHAnsi"/>
        </w:rPr>
      </w:pPr>
      <w:r>
        <w:rPr>
          <w:rFonts w:asciiTheme="majorHAnsi" w:hAnsiTheme="majorHAnsi"/>
        </w:rPr>
        <w:t>The maximum acceptable single injection volume is 1.5 mL. If the dose is more than 1 mL, more than one vial will be needed.</w:t>
      </w:r>
    </w:p>
    <w:p w14:paraId="1CA68FD2" w14:textId="77777777" w:rsidR="00EB0B28" w:rsidRDefault="00470B2C">
      <w:pPr>
        <w:pStyle w:val="ListParagraph"/>
        <w:numPr>
          <w:ilvl w:val="0"/>
          <w:numId w:val="11"/>
        </w:numPr>
        <w:rPr>
          <w:rFonts w:asciiTheme="majorHAnsi" w:hAnsiTheme="majorHAnsi"/>
        </w:rPr>
      </w:pPr>
      <w:r>
        <w:rPr>
          <w:rFonts w:asciiTheme="majorHAnsi" w:hAnsiTheme="majorHAnsi"/>
        </w:rPr>
        <w:lastRenderedPageBreak/>
        <w:t>Doses requiring more than 1.5 mL should be administered as multiple injections (the total monthly dose divided equally between syringes with each injection containing approximately the same volume) to minimise potential injection site discomfort due to injection volume.</w:t>
      </w:r>
    </w:p>
    <w:p w14:paraId="39D233FC" w14:textId="77777777" w:rsidR="00EB0B28" w:rsidRDefault="00470B2C">
      <w:pPr>
        <w:pStyle w:val="ListParagraph"/>
        <w:numPr>
          <w:ilvl w:val="0"/>
          <w:numId w:val="11"/>
        </w:numPr>
        <w:rPr>
          <w:rFonts w:asciiTheme="majorHAnsi" w:hAnsiTheme="majorHAnsi"/>
        </w:rPr>
      </w:pPr>
      <w:r>
        <w:rPr>
          <w:rFonts w:asciiTheme="majorHAnsi" w:hAnsiTheme="majorHAnsi"/>
        </w:rPr>
        <w:t>This medicinal product should be injected subcutaneously into the abdomen; alternative injection sites include the thigh or upper arm.</w:t>
      </w:r>
    </w:p>
    <w:p w14:paraId="59C87C21" w14:textId="77777777" w:rsidR="00EB0B28" w:rsidRDefault="00470B2C">
      <w:pPr>
        <w:pStyle w:val="ListParagraph"/>
        <w:numPr>
          <w:ilvl w:val="0"/>
          <w:numId w:val="11"/>
        </w:numPr>
        <w:rPr>
          <w:rFonts w:asciiTheme="majorHAnsi" w:hAnsiTheme="majorHAnsi"/>
        </w:rPr>
      </w:pPr>
      <w:r>
        <w:rPr>
          <w:rFonts w:asciiTheme="majorHAnsi" w:hAnsiTheme="majorHAnsi"/>
        </w:rPr>
        <w:t>For subsequent injections or doses, rotating the injection site is recommended.</w:t>
      </w:r>
    </w:p>
    <w:p w14:paraId="399E3937" w14:textId="79AF6BD3" w:rsidR="00EB0B28" w:rsidRDefault="00470B2C">
      <w:pPr>
        <w:pStyle w:val="ListParagraph"/>
        <w:numPr>
          <w:ilvl w:val="0"/>
          <w:numId w:val="11"/>
        </w:numPr>
        <w:rPr>
          <w:rFonts w:asciiTheme="majorHAnsi" w:hAnsiTheme="majorHAnsi"/>
        </w:rPr>
      </w:pPr>
      <w:r>
        <w:rPr>
          <w:rFonts w:asciiTheme="majorHAnsi" w:hAnsiTheme="majorHAnsi"/>
        </w:rPr>
        <w:t>This medicinal product should not be administered into scar tissue or areas that are reddened, inflamed, or swollen.</w:t>
      </w:r>
    </w:p>
    <w:p w14:paraId="12E69141" w14:textId="77777777" w:rsidR="00EB0B28" w:rsidRDefault="00470B2C">
      <w:pPr>
        <w:pStyle w:val="Heading2"/>
        <w:spacing w:before="0" w:after="120"/>
      </w:pPr>
      <w:r>
        <w:t>Contraindications</w:t>
      </w:r>
    </w:p>
    <w:p w14:paraId="1A6A6E7E" w14:textId="43C0FF69" w:rsidR="00EB0B28" w:rsidRDefault="00470B2C">
      <w:pPr>
        <w:rPr>
          <w:rFonts w:asciiTheme="majorHAnsi" w:hAnsiTheme="majorHAnsi"/>
        </w:rPr>
      </w:pPr>
      <w:r>
        <w:rPr>
          <w:rFonts w:asciiTheme="majorHAnsi" w:hAnsiTheme="majorHAnsi"/>
        </w:rPr>
        <w:t>Severe hypersensitivity (</w:t>
      </w:r>
      <w:proofErr w:type="gramStart"/>
      <w:r>
        <w:rPr>
          <w:rFonts w:asciiTheme="majorHAnsi" w:hAnsiTheme="majorHAnsi"/>
        </w:rPr>
        <w:t>e.g.</w:t>
      </w:r>
      <w:proofErr w:type="gramEnd"/>
      <w:r>
        <w:rPr>
          <w:rFonts w:asciiTheme="majorHAnsi" w:hAnsiTheme="majorHAnsi"/>
        </w:rPr>
        <w:t xml:space="preserve"> anaphylaxis) to the active substance or to any excipients listed in </w:t>
      </w:r>
      <w:hyperlink w:anchor="_List_of_excipients" w:history="1">
        <w:r>
          <w:rPr>
            <w:rStyle w:val="Hyperlink"/>
            <w:rFonts w:asciiTheme="majorHAnsi" w:hAnsiTheme="majorHAnsi"/>
          </w:rPr>
          <w:t>Section 6.1. List of Excipients</w:t>
        </w:r>
      </w:hyperlink>
      <w:r>
        <w:rPr>
          <w:rFonts w:asciiTheme="majorHAnsi" w:hAnsiTheme="majorHAnsi"/>
        </w:rPr>
        <w:t>.</w:t>
      </w:r>
    </w:p>
    <w:p w14:paraId="325F2595" w14:textId="77777777" w:rsidR="00EB0B28" w:rsidRDefault="00470B2C">
      <w:pPr>
        <w:pStyle w:val="Heading2"/>
        <w:spacing w:before="0" w:after="120"/>
      </w:pPr>
      <w:bookmarkStart w:id="3" w:name="_Special_warnings_and"/>
      <w:bookmarkEnd w:id="3"/>
      <w:r>
        <w:t>Special warnings and precautions for use</w:t>
      </w:r>
    </w:p>
    <w:p w14:paraId="07319D19" w14:textId="2070202B" w:rsidR="00EB0B28" w:rsidRDefault="00470B2C">
      <w:pPr>
        <w:pStyle w:val="Heading3"/>
        <w:spacing w:before="0" w:after="120"/>
        <w:rPr>
          <w:bCs w:val="0"/>
        </w:rPr>
      </w:pPr>
      <w:r>
        <w:rPr>
          <w:bCs w:val="0"/>
        </w:rPr>
        <w:t>Patients with AHP subtypes other than acute intermittent porphyria (AIP)</w:t>
      </w:r>
    </w:p>
    <w:p w14:paraId="611358DF" w14:textId="238BF979" w:rsidR="00EB0B28" w:rsidRDefault="00470B2C">
      <w:pPr>
        <w:rPr>
          <w:rFonts w:asciiTheme="majorHAnsi" w:hAnsiTheme="majorHAnsi"/>
        </w:rPr>
      </w:pPr>
      <w:r>
        <w:rPr>
          <w:rFonts w:asciiTheme="majorHAnsi" w:hAnsiTheme="majorHAnsi"/>
        </w:rPr>
        <w:t xml:space="preserve">The efficacy and safety data in patients with AHP subtypes other than AIP (hereditary coproporphyria (HCP), variegate porphyria (VP) and ALA dehydratase-deficient porphyria (ADP)) are limited (see </w:t>
      </w:r>
      <w:hyperlink w:anchor="_Pharmacodynamic_properties" w:history="1">
        <w:r>
          <w:rPr>
            <w:rStyle w:val="Hyperlink"/>
            <w:rFonts w:asciiTheme="majorHAnsi" w:hAnsiTheme="majorHAnsi"/>
          </w:rPr>
          <w:t>Section 5.1</w:t>
        </w:r>
        <w:r>
          <w:rPr>
            <w:rStyle w:val="Hyperlink"/>
          </w:rPr>
          <w:t xml:space="preserve"> </w:t>
        </w:r>
        <w:r>
          <w:rPr>
            <w:rStyle w:val="Hyperlink"/>
            <w:rFonts w:asciiTheme="majorHAnsi" w:hAnsiTheme="majorHAnsi"/>
          </w:rPr>
          <w:t>Pharmacodynamic Properties</w:t>
        </w:r>
      </w:hyperlink>
      <w:r>
        <w:rPr>
          <w:rFonts w:asciiTheme="majorHAnsi" w:hAnsiTheme="majorHAnsi"/>
        </w:rPr>
        <w:t>). This should be taken into consideration when assessing the individual benefit-risk in these rare AHP subtypes.</w:t>
      </w:r>
    </w:p>
    <w:p w14:paraId="40208BCD" w14:textId="6C1D805F" w:rsidR="00EB0B28" w:rsidRDefault="00470B2C">
      <w:pPr>
        <w:pStyle w:val="Heading3"/>
        <w:spacing w:before="0" w:after="120"/>
      </w:pPr>
      <w:r>
        <w:t>Anaphylactic reaction</w:t>
      </w:r>
    </w:p>
    <w:p w14:paraId="417A764E" w14:textId="3C365A15" w:rsidR="00EB0B28" w:rsidRDefault="00470B2C">
      <w:pPr>
        <w:rPr>
          <w:rFonts w:asciiTheme="majorHAnsi" w:hAnsiTheme="majorHAnsi"/>
        </w:rPr>
      </w:pPr>
      <w:r>
        <w:rPr>
          <w:rFonts w:asciiTheme="majorHAnsi" w:hAnsiTheme="majorHAnsi"/>
        </w:rPr>
        <w:t xml:space="preserve">In clinical studies, anaphylaxis occurred in one patient who had a history of allergic asthma and atopy [see </w:t>
      </w:r>
      <w:hyperlink w:anchor="_Adverse_effects_(Undesirable" w:history="1">
        <w:r>
          <w:rPr>
            <w:rStyle w:val="Hyperlink"/>
            <w:rFonts w:asciiTheme="majorHAnsi" w:hAnsiTheme="majorHAnsi"/>
          </w:rPr>
          <w:t>Section 4.8</w:t>
        </w:r>
        <w:r>
          <w:rPr>
            <w:rStyle w:val="Hyperlink"/>
          </w:rPr>
          <w:t xml:space="preserve"> </w:t>
        </w:r>
        <w:r>
          <w:rPr>
            <w:rStyle w:val="Hyperlink"/>
            <w:rFonts w:asciiTheme="majorHAnsi" w:hAnsiTheme="majorHAnsi"/>
          </w:rPr>
          <w:t>Adverse Effects (Undesirable Effects)</w:t>
        </w:r>
      </w:hyperlink>
      <w:r>
        <w:rPr>
          <w:rFonts w:asciiTheme="majorHAnsi" w:hAnsiTheme="majorHAnsi"/>
        </w:rPr>
        <w:t>]. Signs and symptoms of anaphylaxis should be monitored. If anaphylaxis occurs, administration of this medicinal product should be immediately discontinued, and appropriate medical treatment should be instituted.</w:t>
      </w:r>
    </w:p>
    <w:p w14:paraId="78CEF425" w14:textId="77777777" w:rsidR="00EB0B28" w:rsidRDefault="00470B2C">
      <w:pPr>
        <w:pStyle w:val="Heading3"/>
        <w:spacing w:before="0" w:after="120"/>
      </w:pPr>
      <w:r>
        <w:t>Effects on laboratory tests</w:t>
      </w:r>
    </w:p>
    <w:p w14:paraId="36792993" w14:textId="77777777" w:rsidR="00EB0B28" w:rsidRDefault="00470B2C">
      <w:pPr>
        <w:rPr>
          <w:rFonts w:asciiTheme="majorHAnsi" w:hAnsiTheme="majorHAnsi"/>
          <w:u w:val="single"/>
        </w:rPr>
      </w:pPr>
      <w:r>
        <w:rPr>
          <w:rFonts w:asciiTheme="majorHAnsi" w:hAnsiTheme="majorHAnsi"/>
          <w:u w:val="single"/>
        </w:rPr>
        <w:t>Transaminase elevations</w:t>
      </w:r>
    </w:p>
    <w:p w14:paraId="613CC93D" w14:textId="5EE64EC0" w:rsidR="00EB0B28" w:rsidRDefault="00470B2C">
      <w:pPr>
        <w:rPr>
          <w:rFonts w:asciiTheme="majorHAnsi" w:hAnsiTheme="majorHAnsi"/>
        </w:rPr>
      </w:pPr>
      <w:r>
        <w:rPr>
          <w:rFonts w:asciiTheme="majorHAnsi" w:hAnsiTheme="majorHAnsi"/>
        </w:rPr>
        <w:t xml:space="preserve">Transaminase elevations have been observed in patients treated with givosiran. Transaminase elevations primarily occurred between 3 to 5 months following initiation of treatment [see </w:t>
      </w:r>
      <w:hyperlink w:anchor="_Adverse_effects_(Undesirable" w:history="1">
        <w:r>
          <w:rPr>
            <w:rStyle w:val="Hyperlink"/>
            <w:rFonts w:asciiTheme="majorHAnsi" w:hAnsiTheme="majorHAnsi"/>
          </w:rPr>
          <w:t>Section 4.8</w:t>
        </w:r>
        <w:r>
          <w:rPr>
            <w:rStyle w:val="Hyperlink"/>
          </w:rPr>
          <w:t xml:space="preserve"> </w:t>
        </w:r>
        <w:r>
          <w:rPr>
            <w:rStyle w:val="Hyperlink"/>
            <w:rFonts w:asciiTheme="majorHAnsi" w:hAnsiTheme="majorHAnsi"/>
          </w:rPr>
          <w:t>Adverse Effects (Undesirable Effects)</w:t>
        </w:r>
      </w:hyperlink>
      <w:r>
        <w:rPr>
          <w:rFonts w:asciiTheme="majorHAnsi" w:hAnsiTheme="majorHAnsi"/>
        </w:rPr>
        <w:t>].</w:t>
      </w:r>
    </w:p>
    <w:p w14:paraId="74010505" w14:textId="32325A8B" w:rsidR="00EB0B28" w:rsidRDefault="00470B2C">
      <w:pPr>
        <w:rPr>
          <w:rFonts w:asciiTheme="majorHAnsi" w:hAnsiTheme="majorHAnsi"/>
        </w:rPr>
      </w:pPr>
      <w:r>
        <w:rPr>
          <w:rFonts w:asciiTheme="majorHAnsi" w:hAnsiTheme="majorHAnsi"/>
        </w:rPr>
        <w:t xml:space="preserve">Liver function tests should be performed prior to initiating treatment. These tests should be repeated monthly during the first 6 months of treatment, and as clinically indicated thereafter. Interrupting or discontinuing treatment should be considered for clinically relevant transaminase elevations. In case of subsequent improvement in transaminase levels, resumption of treatment at a 1.25 mg/kg dose after interruption could be considered (see </w:t>
      </w:r>
      <w:hyperlink w:anchor="_Dose_and_method" w:history="1">
        <w:r>
          <w:rPr>
            <w:rStyle w:val="Hyperlink"/>
            <w:rFonts w:asciiTheme="majorHAnsi" w:hAnsiTheme="majorHAnsi"/>
          </w:rPr>
          <w:t>Section 4.2 Dose and Method of Administration</w:t>
        </w:r>
      </w:hyperlink>
      <w:r>
        <w:rPr>
          <w:rFonts w:asciiTheme="majorHAnsi" w:hAnsiTheme="majorHAnsi"/>
        </w:rPr>
        <w:t xml:space="preserve">). There are limited data on efficacy and safety of the lower dose, particularly in patients who previously experienced transaminase elevations. There are no data on sequentially increasing the 1.25 mg/kg dose to the 2.5 mg/kg dose after </w:t>
      </w:r>
      <w:r>
        <w:rPr>
          <w:rFonts w:asciiTheme="majorHAnsi" w:hAnsiTheme="majorHAnsi"/>
        </w:rPr>
        <w:lastRenderedPageBreak/>
        <w:t xml:space="preserve">dose interruption for transaminase elevations [see </w:t>
      </w:r>
      <w:hyperlink w:anchor="_Adverse_effects_(Undesirable" w:history="1">
        <w:r>
          <w:rPr>
            <w:rStyle w:val="Hyperlink"/>
            <w:rFonts w:asciiTheme="majorHAnsi" w:hAnsiTheme="majorHAnsi"/>
          </w:rPr>
          <w:t>Section 4.8 Adverse Effects (Undesirable Effects)</w:t>
        </w:r>
      </w:hyperlink>
      <w:r>
        <w:rPr>
          <w:rFonts w:asciiTheme="majorHAnsi" w:hAnsiTheme="majorHAnsi"/>
        </w:rPr>
        <w:t>].</w:t>
      </w:r>
    </w:p>
    <w:p w14:paraId="49C6B558" w14:textId="4F954BF6" w:rsidR="00EB0B28" w:rsidRDefault="00470B2C">
      <w:pPr>
        <w:keepNext/>
        <w:keepLines/>
        <w:rPr>
          <w:rFonts w:asciiTheme="majorHAnsi" w:hAnsiTheme="majorHAnsi"/>
          <w:u w:val="single"/>
        </w:rPr>
      </w:pPr>
      <w:r>
        <w:rPr>
          <w:rFonts w:asciiTheme="majorHAnsi" w:hAnsiTheme="majorHAnsi"/>
          <w:u w:val="single"/>
        </w:rPr>
        <w:t>Blood homocysteine increased</w:t>
      </w:r>
    </w:p>
    <w:p w14:paraId="6727CFD3" w14:textId="0E9439BE" w:rsidR="00EB0B28" w:rsidRDefault="00470B2C">
      <w:pPr>
        <w:keepNext/>
        <w:keepLines/>
        <w:rPr>
          <w:rFonts w:asciiTheme="majorHAnsi" w:hAnsiTheme="majorHAnsi"/>
        </w:rPr>
      </w:pPr>
      <w:r>
        <w:rPr>
          <w:rFonts w:asciiTheme="majorHAnsi" w:hAnsiTheme="majorHAnsi"/>
        </w:rPr>
        <w:t xml:space="preserve">Blood homocysteine levels may be increased in patients with AHP, vitamin deficiencies, or chronic kidney disease. During treatment with Givlaari, increases in blood homocysteine levels have been observed compared to levels before treatment [see </w:t>
      </w:r>
      <w:hyperlink w:anchor="_Adverse_effects_(Undesirable" w:history="1">
        <w:r>
          <w:rPr>
            <w:rStyle w:val="Hyperlink"/>
            <w:rFonts w:asciiTheme="majorHAnsi" w:hAnsiTheme="majorHAnsi"/>
          </w:rPr>
          <w:t>Section 4.8</w:t>
        </w:r>
        <w:r>
          <w:rPr>
            <w:rStyle w:val="Hyperlink"/>
          </w:rPr>
          <w:t xml:space="preserve"> </w:t>
        </w:r>
        <w:r>
          <w:rPr>
            <w:rStyle w:val="Hyperlink"/>
            <w:rFonts w:asciiTheme="majorHAnsi" w:hAnsiTheme="majorHAnsi"/>
          </w:rPr>
          <w:t>Adverse Effects (Undesirable Effects)</w:t>
        </w:r>
      </w:hyperlink>
      <w:r>
        <w:rPr>
          <w:rFonts w:asciiTheme="majorHAnsi" w:hAnsiTheme="majorHAnsi"/>
        </w:rPr>
        <w:t xml:space="preserve">]. The clinical relevance of the elevations in blood homocysteine during treatment with Givlaari is unknown. </w:t>
      </w:r>
    </w:p>
    <w:p w14:paraId="28D7DB73" w14:textId="31186351" w:rsidR="00EB0B28" w:rsidRDefault="00470B2C">
      <w:pPr>
        <w:rPr>
          <w:rFonts w:asciiTheme="majorHAnsi" w:hAnsiTheme="majorHAnsi"/>
          <w:sz w:val="24"/>
          <w:szCs w:val="24"/>
        </w:rPr>
      </w:pPr>
      <w:r>
        <w:rPr>
          <w:rFonts w:asciiTheme="majorHAnsi" w:hAnsiTheme="majorHAnsi" w:cs="Calibri"/>
        </w:rPr>
        <w:t>Measurement of blood homocysteine levels prior to initiating treatment and monitoring for changes during treatment with Givlaari is recommended. In patients with elevated homocysteine levels, consider supplementation with vitamin B6.</w:t>
      </w:r>
    </w:p>
    <w:p w14:paraId="4C4F1E53" w14:textId="3F2849E1" w:rsidR="00EB0B28" w:rsidRDefault="00470B2C">
      <w:pPr>
        <w:pStyle w:val="Heading3"/>
        <w:spacing w:before="0" w:after="120"/>
        <w:rPr>
          <w:b w:val="0"/>
        </w:rPr>
      </w:pPr>
      <w:bookmarkStart w:id="4" w:name="_Hlk112428562"/>
      <w:r>
        <w:t>Use in renal impairment</w:t>
      </w:r>
    </w:p>
    <w:bookmarkEnd w:id="4"/>
    <w:p w14:paraId="69A8ED5B" w14:textId="77777777" w:rsidR="00EB0B28" w:rsidRDefault="00470B2C">
      <w:pPr>
        <w:rPr>
          <w:rFonts w:asciiTheme="majorHAnsi" w:hAnsiTheme="majorHAnsi"/>
        </w:rPr>
      </w:pPr>
      <w:r>
        <w:rPr>
          <w:rFonts w:asciiTheme="majorHAnsi" w:hAnsiTheme="majorHAnsi"/>
        </w:rPr>
        <w:t>Increases in serum creatinine levels and decreases in eGFR have been reported during treatment with givosiran. In the placebo-controlled study, the median increase in creatinine at month 3 was 6.5 µmol/L (0.07 mg/dL) and resolved or stabilised by month 6 with continued monthly treatment with 2.5 mg/kg givosiran.</w:t>
      </w:r>
    </w:p>
    <w:p w14:paraId="6D677693" w14:textId="69DE2F60" w:rsidR="00EB0B28" w:rsidRDefault="00470B2C">
      <w:pPr>
        <w:rPr>
          <w:rFonts w:asciiTheme="majorHAnsi" w:hAnsiTheme="majorHAnsi"/>
        </w:rPr>
      </w:pPr>
      <w:r>
        <w:rPr>
          <w:rFonts w:asciiTheme="majorHAnsi" w:hAnsiTheme="majorHAnsi"/>
        </w:rPr>
        <w:t>Progression of renal impairment has been observed in some patients with pre-existing renal disease. Careful monitoring of renal function during treatment is required in such cases.</w:t>
      </w:r>
    </w:p>
    <w:p w14:paraId="124B4161" w14:textId="77777777" w:rsidR="00EB0B28" w:rsidRDefault="00470B2C">
      <w:pPr>
        <w:pStyle w:val="Heading3"/>
        <w:spacing w:before="0" w:after="120"/>
      </w:pPr>
      <w:r>
        <w:t>Use in the elderly</w:t>
      </w:r>
    </w:p>
    <w:p w14:paraId="187937D1" w14:textId="51304C16" w:rsidR="00EB0B28" w:rsidRDefault="00470B2C">
      <w:r>
        <w:rPr>
          <w:rFonts w:asciiTheme="majorHAnsi" w:hAnsiTheme="majorHAnsi"/>
        </w:rPr>
        <w:t>There are no special precautions for the use of Givlaari in the elderly.</w:t>
      </w:r>
    </w:p>
    <w:p w14:paraId="6C17D6F0" w14:textId="77777777" w:rsidR="00EB0B28" w:rsidRDefault="00470B2C">
      <w:pPr>
        <w:pStyle w:val="Heading3"/>
        <w:spacing w:before="0" w:after="120"/>
      </w:pPr>
      <w:r>
        <w:t>Paediatric use</w:t>
      </w:r>
    </w:p>
    <w:p w14:paraId="0094BAEC" w14:textId="77777777" w:rsidR="00EB0B28" w:rsidRDefault="00470B2C">
      <w:pPr>
        <w:rPr>
          <w:rFonts w:asciiTheme="majorHAnsi" w:hAnsiTheme="majorHAnsi"/>
        </w:rPr>
      </w:pPr>
      <w:r>
        <w:rPr>
          <w:rFonts w:asciiTheme="majorHAnsi" w:hAnsiTheme="majorHAnsi"/>
        </w:rPr>
        <w:t>The safety and efficacy of Givlaari in children aged &lt; 12 years of age has not been established. No data are available.</w:t>
      </w:r>
    </w:p>
    <w:p w14:paraId="62A64AAD" w14:textId="77777777" w:rsidR="00EB0B28" w:rsidRDefault="00470B2C">
      <w:pPr>
        <w:pStyle w:val="Heading2"/>
        <w:keepNext/>
        <w:keepLines/>
        <w:spacing w:before="0" w:after="120"/>
      </w:pPr>
      <w:r>
        <w:t>Interactions with other medicines and other forms of interactions</w:t>
      </w:r>
    </w:p>
    <w:p w14:paraId="0988B5E3" w14:textId="7B1B4FC8" w:rsidR="00EB0B28" w:rsidRDefault="00FB3C91" w:rsidP="006E7DBB">
      <w:pPr>
        <w:autoSpaceDE w:val="0"/>
        <w:autoSpaceDN w:val="0"/>
        <w:adjustRightInd w:val="0"/>
        <w:snapToGrid w:val="0"/>
        <w:spacing w:after="0" w:line="240" w:lineRule="auto"/>
        <w:rPr>
          <w:rFonts w:asciiTheme="majorHAnsi" w:hAnsiTheme="majorHAnsi"/>
        </w:rPr>
      </w:pPr>
      <w:r w:rsidRPr="00FB3C91">
        <w:rPr>
          <w:rFonts w:ascii="Cambria" w:eastAsia="Times New Roman" w:hAnsi="Cambria" w:cs="Cambria"/>
          <w:color w:val="000000"/>
          <w:szCs w:val="24"/>
          <w:lang w:val="x-none"/>
        </w:rPr>
        <w:t>In vitro studies indicated that givosiran does not directly inhibit or induce CYP isozymes;</w:t>
      </w:r>
      <w:r w:rsidR="006E7DBB">
        <w:rPr>
          <w:rFonts w:ascii="Cambria" w:eastAsia="Times New Roman" w:hAnsi="Cambria" w:cs="Cambria"/>
          <w:color w:val="000000"/>
          <w:szCs w:val="24"/>
          <w:lang w:val="en-GB"/>
        </w:rPr>
        <w:t xml:space="preserve"> </w:t>
      </w:r>
      <w:r w:rsidRPr="00FB3C91">
        <w:rPr>
          <w:rFonts w:ascii="Cambria" w:eastAsia="Times New Roman" w:hAnsi="Cambria" w:cs="Cambria"/>
          <w:color w:val="000000"/>
          <w:szCs w:val="24"/>
          <w:lang w:val="x-none"/>
        </w:rPr>
        <w:t>however, due to its pharmacological effects on the hepatic heme biosynthesis pathway,</w:t>
      </w:r>
      <w:r w:rsidR="006E7DBB">
        <w:rPr>
          <w:rFonts w:ascii="Cambria" w:eastAsia="Times New Roman" w:hAnsi="Cambria" w:cs="Cambria"/>
          <w:color w:val="000000"/>
          <w:szCs w:val="24"/>
          <w:lang w:val="en-GB"/>
        </w:rPr>
        <w:t xml:space="preserve"> </w:t>
      </w:r>
      <w:proofErr w:type="spellStart"/>
      <w:r w:rsidRPr="00FB3C91">
        <w:rPr>
          <w:rFonts w:ascii="Cambria" w:eastAsia="Times New Roman" w:hAnsi="Cambria" w:cs="Cambria"/>
          <w:color w:val="000000"/>
          <w:szCs w:val="24"/>
          <w:lang w:val="x-none"/>
        </w:rPr>
        <w:t>givosiran</w:t>
      </w:r>
      <w:proofErr w:type="spellEnd"/>
      <w:r w:rsidRPr="00FB3C91">
        <w:rPr>
          <w:rFonts w:ascii="Cambria" w:eastAsia="Times New Roman" w:hAnsi="Cambria" w:cs="Cambria"/>
          <w:color w:val="000000"/>
          <w:szCs w:val="24"/>
          <w:lang w:val="x-none"/>
        </w:rPr>
        <w:t xml:space="preserve"> has the potential to reduce the activity of CYP450 enzymes in the liver</w:t>
      </w:r>
      <w:r w:rsidR="006E7DBB">
        <w:rPr>
          <w:rFonts w:ascii="Cambria" w:eastAsia="Times New Roman" w:hAnsi="Cambria" w:cs="Cambria"/>
          <w:color w:val="000000"/>
          <w:szCs w:val="24"/>
          <w:lang w:val="en-GB"/>
        </w:rPr>
        <w:t>.</w:t>
      </w:r>
      <w:r w:rsidR="008C1F90">
        <w:rPr>
          <w:rFonts w:ascii="Cambria" w:eastAsia="Times New Roman" w:hAnsi="Cambria" w:cs="Cambria"/>
          <w:color w:val="000000"/>
          <w:szCs w:val="24"/>
          <w:lang w:val="en-GB"/>
        </w:rPr>
        <w:t xml:space="preserve"> </w:t>
      </w:r>
      <w:r w:rsidR="00470B2C">
        <w:rPr>
          <w:rFonts w:asciiTheme="majorHAnsi" w:hAnsiTheme="majorHAnsi"/>
        </w:rPr>
        <w:t>In a clinical drug-drug interaction study, givosiran resulted in a weak to moderate reduction in activity of certain CYP450 enzymes in the liver thereby increasing plasma exposures:</w:t>
      </w:r>
    </w:p>
    <w:p w14:paraId="646F05A6" w14:textId="77777777" w:rsidR="006E7DBB" w:rsidRDefault="006E7DBB" w:rsidP="006E7DBB">
      <w:pPr>
        <w:autoSpaceDE w:val="0"/>
        <w:autoSpaceDN w:val="0"/>
        <w:adjustRightInd w:val="0"/>
        <w:snapToGrid w:val="0"/>
        <w:spacing w:after="0" w:line="240" w:lineRule="auto"/>
        <w:rPr>
          <w:rFonts w:asciiTheme="majorHAnsi" w:hAnsiTheme="majorHAnsi"/>
        </w:rPr>
      </w:pPr>
    </w:p>
    <w:p w14:paraId="5CB68740" w14:textId="25C34A3D" w:rsidR="00EB0B28" w:rsidRDefault="00470B2C">
      <w:pPr>
        <w:pStyle w:val="ListParagraph"/>
        <w:numPr>
          <w:ilvl w:val="0"/>
          <w:numId w:val="12"/>
        </w:numPr>
        <w:rPr>
          <w:rFonts w:asciiTheme="majorHAnsi" w:hAnsiTheme="majorHAnsi"/>
        </w:rPr>
      </w:pPr>
      <w:r>
        <w:rPr>
          <w:rFonts w:asciiTheme="majorHAnsi" w:hAnsiTheme="majorHAnsi"/>
        </w:rPr>
        <w:t xml:space="preserve">CYP1A2: </w:t>
      </w:r>
      <w:proofErr w:type="gramStart"/>
      <w:r>
        <w:rPr>
          <w:rFonts w:asciiTheme="majorHAnsi" w:hAnsiTheme="majorHAnsi"/>
        </w:rPr>
        <w:t>1.3 fold</w:t>
      </w:r>
      <w:proofErr w:type="gramEnd"/>
      <w:r>
        <w:rPr>
          <w:rFonts w:asciiTheme="majorHAnsi" w:hAnsiTheme="majorHAnsi"/>
        </w:rPr>
        <w:t xml:space="preserve"> increase in C</w:t>
      </w:r>
      <w:r>
        <w:rPr>
          <w:rFonts w:asciiTheme="majorHAnsi" w:hAnsiTheme="majorHAnsi"/>
          <w:vertAlign w:val="subscript"/>
        </w:rPr>
        <w:t>max</w:t>
      </w:r>
      <w:r>
        <w:rPr>
          <w:rFonts w:asciiTheme="majorHAnsi" w:hAnsiTheme="majorHAnsi"/>
        </w:rPr>
        <w:t xml:space="preserve"> and 3.1 fold increase in AUC</w:t>
      </w:r>
      <w:r w:rsidRPr="00561DC6">
        <w:rPr>
          <w:rFonts w:asciiTheme="majorHAnsi" w:hAnsiTheme="majorHAnsi"/>
          <w:vertAlign w:val="subscript"/>
        </w:rPr>
        <w:t>0</w:t>
      </w:r>
      <w:r w:rsidRPr="00561DC6">
        <w:rPr>
          <w:rFonts w:asciiTheme="majorHAnsi" w:hAnsiTheme="majorHAnsi" w:hint="eastAsia"/>
          <w:vertAlign w:val="subscript"/>
        </w:rPr>
        <w:t>–∞</w:t>
      </w:r>
      <w:r>
        <w:rPr>
          <w:rFonts w:asciiTheme="majorHAnsi" w:hAnsiTheme="majorHAnsi"/>
        </w:rPr>
        <w:t xml:space="preserve"> of caffeine</w:t>
      </w:r>
    </w:p>
    <w:p w14:paraId="2A5104B7" w14:textId="77777777" w:rsidR="00EB0B28" w:rsidRDefault="00470B2C">
      <w:pPr>
        <w:pStyle w:val="ListParagraph"/>
        <w:numPr>
          <w:ilvl w:val="0"/>
          <w:numId w:val="12"/>
        </w:numPr>
        <w:rPr>
          <w:rFonts w:asciiTheme="majorHAnsi" w:hAnsiTheme="majorHAnsi"/>
        </w:rPr>
      </w:pPr>
      <w:r>
        <w:rPr>
          <w:rFonts w:asciiTheme="majorHAnsi" w:hAnsiTheme="majorHAnsi"/>
        </w:rPr>
        <w:t xml:space="preserve">CYP2D6: </w:t>
      </w:r>
      <w:proofErr w:type="gramStart"/>
      <w:r>
        <w:rPr>
          <w:rFonts w:asciiTheme="majorHAnsi" w:hAnsiTheme="majorHAnsi"/>
        </w:rPr>
        <w:t>2.0 fold</w:t>
      </w:r>
      <w:proofErr w:type="gramEnd"/>
      <w:r>
        <w:rPr>
          <w:rFonts w:asciiTheme="majorHAnsi" w:hAnsiTheme="majorHAnsi"/>
        </w:rPr>
        <w:t xml:space="preserve"> increase in C</w:t>
      </w:r>
      <w:r>
        <w:rPr>
          <w:rFonts w:asciiTheme="majorHAnsi" w:hAnsiTheme="majorHAnsi"/>
          <w:vertAlign w:val="subscript"/>
        </w:rPr>
        <w:t>max</w:t>
      </w:r>
      <w:r>
        <w:rPr>
          <w:rFonts w:asciiTheme="majorHAnsi" w:hAnsiTheme="majorHAnsi"/>
        </w:rPr>
        <w:t xml:space="preserve"> and 2.4 fold increase in AUC</w:t>
      </w:r>
      <w:r w:rsidRPr="00561DC6">
        <w:rPr>
          <w:rFonts w:asciiTheme="majorHAnsi" w:hAnsiTheme="majorHAnsi"/>
          <w:vertAlign w:val="subscript"/>
        </w:rPr>
        <w:t>0</w:t>
      </w:r>
      <w:r w:rsidRPr="00561DC6">
        <w:rPr>
          <w:rFonts w:asciiTheme="majorHAnsi" w:hAnsiTheme="majorHAnsi" w:hint="eastAsia"/>
          <w:vertAlign w:val="subscript"/>
        </w:rPr>
        <w:t>–∞</w:t>
      </w:r>
      <w:r>
        <w:rPr>
          <w:rFonts w:asciiTheme="majorHAnsi" w:hAnsiTheme="majorHAnsi"/>
        </w:rPr>
        <w:t xml:space="preserve"> of dextromethorphan</w:t>
      </w:r>
    </w:p>
    <w:p w14:paraId="724CBF35" w14:textId="77777777" w:rsidR="00EB0B28" w:rsidRDefault="00470B2C">
      <w:pPr>
        <w:pStyle w:val="ListParagraph"/>
        <w:numPr>
          <w:ilvl w:val="0"/>
          <w:numId w:val="12"/>
        </w:numPr>
        <w:rPr>
          <w:rFonts w:asciiTheme="majorHAnsi" w:hAnsiTheme="majorHAnsi"/>
        </w:rPr>
      </w:pPr>
      <w:r>
        <w:rPr>
          <w:rFonts w:asciiTheme="majorHAnsi" w:hAnsiTheme="majorHAnsi"/>
        </w:rPr>
        <w:t xml:space="preserve">CYP2C19: </w:t>
      </w:r>
      <w:proofErr w:type="gramStart"/>
      <w:r>
        <w:rPr>
          <w:rFonts w:asciiTheme="majorHAnsi" w:hAnsiTheme="majorHAnsi"/>
        </w:rPr>
        <w:t>1.1 fold</w:t>
      </w:r>
      <w:proofErr w:type="gramEnd"/>
      <w:r>
        <w:rPr>
          <w:rFonts w:asciiTheme="majorHAnsi" w:hAnsiTheme="majorHAnsi"/>
        </w:rPr>
        <w:t xml:space="preserve"> increase in C</w:t>
      </w:r>
      <w:r>
        <w:rPr>
          <w:rFonts w:asciiTheme="majorHAnsi" w:hAnsiTheme="majorHAnsi"/>
          <w:vertAlign w:val="subscript"/>
        </w:rPr>
        <w:t>max</w:t>
      </w:r>
      <w:r>
        <w:rPr>
          <w:rFonts w:asciiTheme="majorHAnsi" w:hAnsiTheme="majorHAnsi"/>
        </w:rPr>
        <w:t xml:space="preserve"> and 1.6 fold increase in AUC</w:t>
      </w:r>
      <w:r w:rsidRPr="00561DC6">
        <w:rPr>
          <w:rFonts w:asciiTheme="majorHAnsi" w:hAnsiTheme="majorHAnsi"/>
          <w:vertAlign w:val="subscript"/>
        </w:rPr>
        <w:t>0</w:t>
      </w:r>
      <w:r w:rsidRPr="00561DC6">
        <w:rPr>
          <w:rFonts w:asciiTheme="majorHAnsi" w:hAnsiTheme="majorHAnsi" w:hint="eastAsia"/>
          <w:vertAlign w:val="subscript"/>
        </w:rPr>
        <w:t>–∞</w:t>
      </w:r>
      <w:r>
        <w:rPr>
          <w:rFonts w:asciiTheme="majorHAnsi" w:hAnsiTheme="majorHAnsi"/>
        </w:rPr>
        <w:t xml:space="preserve"> of omeprazole</w:t>
      </w:r>
    </w:p>
    <w:p w14:paraId="3621336F" w14:textId="77777777" w:rsidR="00EB0B28" w:rsidRDefault="00470B2C">
      <w:pPr>
        <w:pStyle w:val="ListParagraph"/>
        <w:numPr>
          <w:ilvl w:val="0"/>
          <w:numId w:val="12"/>
        </w:numPr>
        <w:rPr>
          <w:rFonts w:asciiTheme="majorHAnsi" w:hAnsiTheme="majorHAnsi"/>
        </w:rPr>
      </w:pPr>
      <w:r>
        <w:rPr>
          <w:rFonts w:asciiTheme="majorHAnsi" w:hAnsiTheme="majorHAnsi"/>
        </w:rPr>
        <w:t xml:space="preserve">CYP3A4: </w:t>
      </w:r>
      <w:proofErr w:type="gramStart"/>
      <w:r>
        <w:rPr>
          <w:rFonts w:asciiTheme="majorHAnsi" w:hAnsiTheme="majorHAnsi"/>
        </w:rPr>
        <w:t>1.2 fold</w:t>
      </w:r>
      <w:proofErr w:type="gramEnd"/>
      <w:r>
        <w:rPr>
          <w:rFonts w:asciiTheme="majorHAnsi" w:hAnsiTheme="majorHAnsi"/>
        </w:rPr>
        <w:t xml:space="preserve"> increase in C</w:t>
      </w:r>
      <w:r>
        <w:rPr>
          <w:rFonts w:asciiTheme="majorHAnsi" w:hAnsiTheme="majorHAnsi"/>
          <w:vertAlign w:val="subscript"/>
        </w:rPr>
        <w:t>max</w:t>
      </w:r>
      <w:r>
        <w:rPr>
          <w:rFonts w:asciiTheme="majorHAnsi" w:hAnsiTheme="majorHAnsi"/>
        </w:rPr>
        <w:t xml:space="preserve"> and 1.5 fold increase in AUC</w:t>
      </w:r>
      <w:r w:rsidRPr="00561DC6">
        <w:rPr>
          <w:rFonts w:asciiTheme="majorHAnsi" w:hAnsiTheme="majorHAnsi"/>
          <w:vertAlign w:val="subscript"/>
        </w:rPr>
        <w:t>0</w:t>
      </w:r>
      <w:r w:rsidRPr="00561DC6">
        <w:rPr>
          <w:rFonts w:asciiTheme="majorHAnsi" w:hAnsiTheme="majorHAnsi" w:hint="eastAsia"/>
          <w:vertAlign w:val="subscript"/>
        </w:rPr>
        <w:t>–∞</w:t>
      </w:r>
      <w:r>
        <w:rPr>
          <w:rFonts w:asciiTheme="majorHAnsi" w:hAnsiTheme="majorHAnsi"/>
        </w:rPr>
        <w:t xml:space="preserve"> of midazolam</w:t>
      </w:r>
    </w:p>
    <w:p w14:paraId="5C96B1EE" w14:textId="7E58F7A3" w:rsidR="00EB0B28" w:rsidRDefault="00470B2C">
      <w:pPr>
        <w:pStyle w:val="ListParagraph"/>
        <w:numPr>
          <w:ilvl w:val="0"/>
          <w:numId w:val="12"/>
        </w:numPr>
        <w:rPr>
          <w:rFonts w:asciiTheme="majorHAnsi" w:hAnsiTheme="majorHAnsi"/>
        </w:rPr>
      </w:pPr>
      <w:r>
        <w:rPr>
          <w:rFonts w:asciiTheme="majorHAnsi" w:hAnsiTheme="majorHAnsi"/>
        </w:rPr>
        <w:t>CYP2C9: no effect on the exposure of losartan</w:t>
      </w:r>
    </w:p>
    <w:p w14:paraId="2F309C26" w14:textId="31990549" w:rsidR="00EB0B28" w:rsidRDefault="00470B2C">
      <w:pPr>
        <w:rPr>
          <w:rFonts w:asciiTheme="majorHAnsi" w:hAnsiTheme="majorHAnsi"/>
        </w:rPr>
      </w:pPr>
      <w:r>
        <w:rPr>
          <w:rFonts w:asciiTheme="majorHAnsi" w:hAnsiTheme="majorHAnsi"/>
        </w:rPr>
        <w:t xml:space="preserve">Caution is recommended during the use of medicinal products that are substrates of CYP1A2 or CYP2D6 while on treatment with Givlaari as this medicinal product may increase or prolong </w:t>
      </w:r>
      <w:r>
        <w:rPr>
          <w:rFonts w:asciiTheme="majorHAnsi" w:hAnsiTheme="majorHAnsi"/>
        </w:rPr>
        <w:lastRenderedPageBreak/>
        <w:t xml:space="preserve">their therapeutic </w:t>
      </w:r>
      <w:proofErr w:type="gramStart"/>
      <w:r>
        <w:rPr>
          <w:rFonts w:asciiTheme="majorHAnsi" w:hAnsiTheme="majorHAnsi"/>
        </w:rPr>
        <w:t>effect, or</w:t>
      </w:r>
      <w:proofErr w:type="gramEnd"/>
      <w:r>
        <w:rPr>
          <w:rFonts w:asciiTheme="majorHAnsi" w:hAnsiTheme="majorHAnsi"/>
        </w:rPr>
        <w:t xml:space="preserve"> alter their adverse event profiles. Consider decreasing the CYP1A2 or CYP2D6 substrate dosage in accordance with the approved product labelling.</w:t>
      </w:r>
    </w:p>
    <w:p w14:paraId="208BBC8B" w14:textId="7D4F1D97" w:rsidR="00EB0B28" w:rsidRDefault="00470B2C">
      <w:pPr>
        <w:pStyle w:val="Heading2"/>
        <w:spacing w:before="0" w:after="120"/>
      </w:pPr>
      <w:r>
        <w:t>Fertility, pregnancy and lactation</w:t>
      </w:r>
    </w:p>
    <w:p w14:paraId="2BCCF757" w14:textId="77777777" w:rsidR="00EB0B28" w:rsidRDefault="00470B2C">
      <w:pPr>
        <w:pStyle w:val="Heading3"/>
        <w:spacing w:before="0" w:after="120"/>
      </w:pPr>
      <w:r>
        <w:t>Effects on fertility</w:t>
      </w:r>
    </w:p>
    <w:p w14:paraId="19B2C480" w14:textId="5A40F972" w:rsidR="001E5711" w:rsidRDefault="00470B2C" w:rsidP="001E5711">
      <w:pPr>
        <w:autoSpaceDE w:val="0"/>
        <w:autoSpaceDN w:val="0"/>
        <w:adjustRightInd w:val="0"/>
        <w:snapToGrid w:val="0"/>
        <w:spacing w:after="0" w:line="240" w:lineRule="auto"/>
        <w:rPr>
          <w:rFonts w:ascii="Cambria" w:eastAsia="Times New Roman" w:hAnsi="Cambria" w:cs="Cambria"/>
          <w:color w:val="000000"/>
          <w:szCs w:val="24"/>
          <w:lang w:val="x-none"/>
        </w:rPr>
      </w:pPr>
      <w:r>
        <w:rPr>
          <w:rFonts w:asciiTheme="majorHAnsi" w:hAnsiTheme="majorHAnsi"/>
        </w:rPr>
        <w:t xml:space="preserve">There are no data available on the effects of givosiran on human fertility. </w:t>
      </w:r>
      <w:r w:rsidR="001E5711">
        <w:rPr>
          <w:rFonts w:ascii="Cambria" w:eastAsia="Times New Roman" w:hAnsi="Cambria" w:cs="Cambria"/>
          <w:color w:val="000000"/>
          <w:szCs w:val="24"/>
          <w:lang w:val="x-none"/>
        </w:rPr>
        <w:t>No adverse effects on male or female fertility were observed with givosiran in rats at subcutaneous doses up to 30 mg/kg/week (</w:t>
      </w:r>
      <w:r w:rsidR="001E5711" w:rsidRPr="006E7DBB">
        <w:rPr>
          <w:rFonts w:ascii="Cambria" w:eastAsia="Times New Roman" w:hAnsi="Cambria" w:cs="Cambria"/>
          <w:color w:val="000000"/>
          <w:szCs w:val="24"/>
          <w:lang w:val="x-none"/>
        </w:rPr>
        <w:t>9</w:t>
      </w:r>
      <w:r w:rsidR="006E7DBB" w:rsidRPr="006E7DBB">
        <w:rPr>
          <w:rFonts w:ascii="Cambria" w:eastAsia="Times New Roman" w:hAnsi="Cambria" w:cs="Cambria"/>
          <w:color w:val="000000"/>
          <w:szCs w:val="24"/>
          <w:lang w:val="en-GB"/>
        </w:rPr>
        <w:t xml:space="preserve"> </w:t>
      </w:r>
      <w:r w:rsidR="001E5711">
        <w:rPr>
          <w:rFonts w:ascii="Cambria" w:eastAsia="Times New Roman" w:hAnsi="Cambria" w:cs="Cambria"/>
          <w:color w:val="000000"/>
          <w:szCs w:val="24"/>
          <w:lang w:val="x-none"/>
        </w:rPr>
        <w:t>times the recommended clinical dose adjusted for body surface area and dosing</w:t>
      </w:r>
    </w:p>
    <w:p w14:paraId="7A292B1A" w14:textId="77777777" w:rsidR="001E5711" w:rsidRDefault="001E5711" w:rsidP="001E5711">
      <w:pPr>
        <w:autoSpaceDE w:val="0"/>
        <w:autoSpaceDN w:val="0"/>
        <w:adjustRightInd w:val="0"/>
        <w:snapToGrid w:val="0"/>
        <w:spacing w:after="0" w:line="240" w:lineRule="auto"/>
        <w:rPr>
          <w:rFonts w:ascii="Cambria" w:eastAsia="Times New Roman" w:hAnsi="Cambria" w:cs="Cambria"/>
          <w:color w:val="000000"/>
          <w:szCs w:val="24"/>
          <w:lang w:val="x-none"/>
        </w:rPr>
      </w:pPr>
      <w:r>
        <w:rPr>
          <w:rFonts w:ascii="Cambria" w:eastAsia="Times New Roman" w:hAnsi="Cambria" w:cs="Cambria"/>
          <w:color w:val="000000"/>
          <w:szCs w:val="24"/>
          <w:lang w:val="x-none"/>
        </w:rPr>
        <w:t>frequency).</w:t>
      </w:r>
    </w:p>
    <w:p w14:paraId="023BAAA5" w14:textId="77777777" w:rsidR="001E5711" w:rsidRDefault="001E5711" w:rsidP="001E5711">
      <w:pPr>
        <w:autoSpaceDE w:val="0"/>
        <w:autoSpaceDN w:val="0"/>
        <w:adjustRightInd w:val="0"/>
        <w:snapToGrid w:val="0"/>
        <w:spacing w:after="0" w:line="240" w:lineRule="auto"/>
        <w:rPr>
          <w:rFonts w:ascii="Cambria" w:eastAsia="Times New Roman" w:hAnsi="Cambria" w:cs="Cambria"/>
          <w:color w:val="000000"/>
          <w:szCs w:val="24"/>
          <w:lang w:val="x-none"/>
        </w:rPr>
      </w:pPr>
    </w:p>
    <w:p w14:paraId="0EBB44F2" w14:textId="031748A9" w:rsidR="00EB0B28" w:rsidRDefault="00470B2C">
      <w:pPr>
        <w:pStyle w:val="Heading3"/>
        <w:spacing w:before="0" w:after="120"/>
        <w:rPr>
          <w:rFonts w:cstheme="minorHAnsi"/>
        </w:rPr>
      </w:pPr>
      <w:r>
        <w:t xml:space="preserve">Use in pregnancy </w:t>
      </w:r>
    </w:p>
    <w:p w14:paraId="4BFF576A" w14:textId="087F09DD" w:rsidR="00EB0B28" w:rsidRDefault="00470B2C">
      <w:pPr>
        <w:rPr>
          <w:rFonts w:asciiTheme="majorHAnsi" w:hAnsiTheme="majorHAnsi"/>
        </w:rPr>
      </w:pPr>
      <w:r>
        <w:rPr>
          <w:rFonts w:asciiTheme="majorHAnsi" w:hAnsiTheme="majorHAnsi"/>
          <w:b/>
          <w:bCs/>
        </w:rPr>
        <w:t>Category B</w:t>
      </w:r>
      <w:r w:rsidR="007F7E71">
        <w:rPr>
          <w:rFonts w:asciiTheme="majorHAnsi" w:hAnsiTheme="majorHAnsi"/>
          <w:b/>
          <w:bCs/>
        </w:rPr>
        <w:t>3</w:t>
      </w:r>
    </w:p>
    <w:p w14:paraId="1A8C78A9" w14:textId="0CAA1A49" w:rsidR="00EB0B28" w:rsidRDefault="00470B2C">
      <w:pPr>
        <w:rPr>
          <w:rFonts w:asciiTheme="majorHAnsi" w:hAnsiTheme="majorHAnsi"/>
        </w:rPr>
      </w:pPr>
      <w:r>
        <w:rPr>
          <w:rFonts w:asciiTheme="majorHAnsi" w:hAnsiTheme="majorHAnsi"/>
        </w:rPr>
        <w:t xml:space="preserve">There are no or limited amount of data from the use of givosiran in pregnant women. Studies in animals have shown reproductive toxicity in the presence of maternal toxicity. The use of this medicinal product could be considered during pregnancy </w:t>
      </w:r>
      <w:proofErr w:type="gramStart"/>
      <w:r>
        <w:rPr>
          <w:rFonts w:asciiTheme="majorHAnsi" w:hAnsiTheme="majorHAnsi"/>
        </w:rPr>
        <w:t>taking into account</w:t>
      </w:r>
      <w:proofErr w:type="gramEnd"/>
      <w:r>
        <w:rPr>
          <w:rFonts w:asciiTheme="majorHAnsi" w:hAnsiTheme="majorHAnsi"/>
        </w:rPr>
        <w:t xml:space="preserve"> the expected health benefit for the woman and potential risks to the fetus.</w:t>
      </w:r>
    </w:p>
    <w:p w14:paraId="38F5D7E4" w14:textId="45DA8449" w:rsidR="00EB0B28" w:rsidRDefault="00470B2C" w:rsidP="00337076">
      <w:pPr>
        <w:rPr>
          <w:rFonts w:asciiTheme="majorHAnsi" w:hAnsiTheme="majorHAnsi"/>
        </w:rPr>
      </w:pPr>
      <w:r>
        <w:rPr>
          <w:rFonts w:asciiTheme="majorHAnsi" w:hAnsiTheme="majorHAnsi"/>
        </w:rPr>
        <w:t>Embryofetal development studies have been performed</w:t>
      </w:r>
      <w:r w:rsidR="00AF14A0">
        <w:rPr>
          <w:rFonts w:asciiTheme="majorHAnsi" w:hAnsiTheme="majorHAnsi"/>
        </w:rPr>
        <w:t xml:space="preserve"> with givosiran</w:t>
      </w:r>
      <w:r>
        <w:rPr>
          <w:rFonts w:asciiTheme="majorHAnsi" w:hAnsiTheme="majorHAnsi"/>
        </w:rPr>
        <w:t xml:space="preserve"> in rats and </w:t>
      </w:r>
      <w:proofErr w:type="gramStart"/>
      <w:r>
        <w:rPr>
          <w:rFonts w:asciiTheme="majorHAnsi" w:hAnsiTheme="majorHAnsi"/>
        </w:rPr>
        <w:t>rabbits</w:t>
      </w:r>
      <w:r w:rsidR="000A122F">
        <w:rPr>
          <w:rFonts w:asciiTheme="majorHAnsi" w:hAnsiTheme="majorHAnsi"/>
        </w:rPr>
        <w:t>, and</w:t>
      </w:r>
      <w:proofErr w:type="gramEnd"/>
      <w:r w:rsidR="000A122F">
        <w:rPr>
          <w:rFonts w:asciiTheme="majorHAnsi" w:hAnsiTheme="majorHAnsi"/>
        </w:rPr>
        <w:t xml:space="preserve"> involved subcutaneous administration</w:t>
      </w:r>
      <w:r>
        <w:rPr>
          <w:rFonts w:asciiTheme="majorHAnsi" w:hAnsiTheme="majorHAnsi"/>
        </w:rPr>
        <w:t xml:space="preserve"> during organogenesis</w:t>
      </w:r>
      <w:r w:rsidR="00337076">
        <w:rPr>
          <w:rFonts w:asciiTheme="majorHAnsi" w:hAnsiTheme="majorHAnsi"/>
        </w:rPr>
        <w:t xml:space="preserve"> </w:t>
      </w:r>
      <w:r w:rsidR="00337076" w:rsidRPr="00337076">
        <w:rPr>
          <w:rFonts w:asciiTheme="majorHAnsi" w:hAnsiTheme="majorHAnsi"/>
        </w:rPr>
        <w:t>up to</w:t>
      </w:r>
      <w:r w:rsidR="00337076">
        <w:rPr>
          <w:rFonts w:asciiTheme="majorHAnsi" w:hAnsiTheme="majorHAnsi"/>
        </w:rPr>
        <w:t xml:space="preserve"> </w:t>
      </w:r>
      <w:r w:rsidR="00337076" w:rsidRPr="00337076">
        <w:rPr>
          <w:rFonts w:asciiTheme="majorHAnsi" w:hAnsiTheme="majorHAnsi"/>
        </w:rPr>
        <w:t>maternotoxic dose levels</w:t>
      </w:r>
      <w:r>
        <w:rPr>
          <w:rFonts w:asciiTheme="majorHAnsi" w:hAnsiTheme="majorHAnsi"/>
        </w:rPr>
        <w:t xml:space="preserve">. </w:t>
      </w:r>
    </w:p>
    <w:p w14:paraId="18B711CA" w14:textId="77777777" w:rsidR="00217050" w:rsidRDefault="00217050" w:rsidP="00561DC6">
      <w:pPr>
        <w:autoSpaceDE w:val="0"/>
        <w:autoSpaceDN w:val="0"/>
        <w:adjustRightInd w:val="0"/>
        <w:snapToGrid w:val="0"/>
        <w:spacing w:after="0"/>
        <w:rPr>
          <w:rFonts w:ascii="Cambria" w:eastAsia="Times New Roman" w:hAnsi="Cambria" w:cs="Cambria"/>
          <w:color w:val="000000"/>
          <w:szCs w:val="24"/>
          <w:lang w:val="x-none"/>
        </w:rPr>
      </w:pPr>
      <w:r>
        <w:rPr>
          <w:rFonts w:ascii="Cambria" w:eastAsia="Times New Roman" w:hAnsi="Cambria" w:cs="Cambria"/>
          <w:color w:val="000000"/>
          <w:szCs w:val="24"/>
          <w:lang w:val="x-none"/>
        </w:rPr>
        <w:t>No adverse effects on embryofetal development were observed in rats at doses up to</w:t>
      </w:r>
    </w:p>
    <w:p w14:paraId="423228A2" w14:textId="295809F1" w:rsidR="00217050" w:rsidRDefault="00217050" w:rsidP="00561DC6">
      <w:pPr>
        <w:autoSpaceDE w:val="0"/>
        <w:autoSpaceDN w:val="0"/>
        <w:adjustRightInd w:val="0"/>
        <w:snapToGrid w:val="0"/>
        <w:spacing w:after="0"/>
        <w:rPr>
          <w:rFonts w:ascii="Cambria" w:eastAsia="Times New Roman" w:hAnsi="Cambria" w:cs="Cambria"/>
          <w:color w:val="000000"/>
          <w:szCs w:val="24"/>
          <w:lang w:val="x-none"/>
        </w:rPr>
      </w:pPr>
      <w:r w:rsidRPr="002D4E74">
        <w:rPr>
          <w:rFonts w:ascii="Cambria" w:eastAsia="Times New Roman" w:hAnsi="Cambria" w:cs="Cambria"/>
          <w:color w:val="000000"/>
          <w:szCs w:val="24"/>
          <w:lang w:val="x-none"/>
        </w:rPr>
        <w:t>5</w:t>
      </w:r>
      <w:r w:rsidR="002D4E74">
        <w:rPr>
          <w:rFonts w:ascii="Cambria" w:eastAsia="Times New Roman" w:hAnsi="Cambria" w:cs="Cambria"/>
          <w:color w:val="000000"/>
          <w:szCs w:val="24"/>
          <w:lang w:val="en-GB"/>
        </w:rPr>
        <w:t xml:space="preserve"> </w:t>
      </w:r>
      <w:r w:rsidRPr="002D4E74">
        <w:rPr>
          <w:rFonts w:ascii="Cambria" w:eastAsia="Times New Roman" w:hAnsi="Cambria" w:cs="Cambria"/>
          <w:color w:val="000000"/>
          <w:szCs w:val="24"/>
          <w:lang w:val="x-none"/>
        </w:rPr>
        <w:t>mg</w:t>
      </w:r>
      <w:r>
        <w:rPr>
          <w:rFonts w:ascii="Cambria" w:eastAsia="Times New Roman" w:hAnsi="Cambria" w:cs="Cambria"/>
          <w:color w:val="000000"/>
          <w:szCs w:val="24"/>
          <w:lang w:val="x-none"/>
        </w:rPr>
        <w:t>/kg/day (10 times the recommended clinical dose adjusted for body surface area</w:t>
      </w:r>
    </w:p>
    <w:p w14:paraId="5A0ECBF5" w14:textId="29BAD774" w:rsidR="00217050" w:rsidRDefault="00217050" w:rsidP="001B4386">
      <w:pPr>
        <w:autoSpaceDE w:val="0"/>
        <w:autoSpaceDN w:val="0"/>
        <w:adjustRightInd w:val="0"/>
        <w:snapToGrid w:val="0"/>
        <w:spacing w:after="0"/>
        <w:rPr>
          <w:rFonts w:ascii="Cambria" w:eastAsia="Times New Roman" w:hAnsi="Cambria" w:cs="Cambria"/>
          <w:color w:val="000000"/>
          <w:szCs w:val="24"/>
          <w:lang w:val="x-none"/>
        </w:rPr>
      </w:pPr>
      <w:r>
        <w:rPr>
          <w:rFonts w:ascii="Cambria" w:eastAsia="Times New Roman" w:hAnsi="Cambria" w:cs="Cambria"/>
          <w:color w:val="000000"/>
          <w:szCs w:val="24"/>
          <w:lang w:val="x-none"/>
        </w:rPr>
        <w:t>and dosing frequency). Increased post-implantation loss as a result of increased early resorptions was observed in rabbits at ≥1.5</w:t>
      </w:r>
      <w:r w:rsidR="00C94791">
        <w:rPr>
          <w:rFonts w:ascii="Cambria" w:eastAsia="Times New Roman" w:hAnsi="Cambria" w:cs="Cambria"/>
          <w:color w:val="000000"/>
          <w:szCs w:val="24"/>
          <w:lang w:val="en-GB"/>
        </w:rPr>
        <w:t xml:space="preserve"> </w:t>
      </w:r>
      <w:r>
        <w:rPr>
          <w:rFonts w:ascii="Cambria" w:eastAsia="Times New Roman" w:hAnsi="Cambria" w:cs="Cambria"/>
          <w:color w:val="000000"/>
          <w:szCs w:val="24"/>
          <w:lang w:val="x-none"/>
        </w:rPr>
        <w:t>mg/kg/day (6 times the normalised clinical dose), and abortions occurred at higher doses (5</w:t>
      </w:r>
      <w:r w:rsidR="002D4E74">
        <w:rPr>
          <w:rFonts w:ascii="Cambria" w:eastAsia="Times New Roman" w:hAnsi="Cambria" w:cs="Cambria"/>
          <w:color w:val="000000"/>
          <w:szCs w:val="24"/>
          <w:lang w:val="en-GB"/>
        </w:rPr>
        <w:t xml:space="preserve"> </w:t>
      </w:r>
      <w:r>
        <w:rPr>
          <w:rFonts w:ascii="Cambria" w:eastAsia="Times New Roman" w:hAnsi="Cambria" w:cs="Cambria"/>
          <w:color w:val="000000"/>
          <w:szCs w:val="24"/>
          <w:lang w:val="x-none"/>
        </w:rPr>
        <w:t>mg/kg/day or after a single 20</w:t>
      </w:r>
      <w:r w:rsidR="002D4E74">
        <w:rPr>
          <w:rFonts w:ascii="Cambria" w:eastAsia="Times New Roman" w:hAnsi="Cambria" w:cs="Cambria"/>
          <w:color w:val="000000"/>
          <w:szCs w:val="24"/>
          <w:lang w:val="en-GB"/>
        </w:rPr>
        <w:t xml:space="preserve"> </w:t>
      </w:r>
      <w:r>
        <w:rPr>
          <w:rFonts w:ascii="Cambria" w:eastAsia="Times New Roman" w:hAnsi="Cambria" w:cs="Cambria"/>
          <w:color w:val="000000"/>
          <w:szCs w:val="24"/>
          <w:lang w:val="x-none"/>
        </w:rPr>
        <w:t xml:space="preserve">mg/kg dose). An increased incidence of skeletal variations of the </w:t>
      </w:r>
      <w:proofErr w:type="spellStart"/>
      <w:r>
        <w:rPr>
          <w:rFonts w:ascii="Cambria" w:eastAsia="Times New Roman" w:hAnsi="Cambria" w:cs="Cambria"/>
          <w:color w:val="000000"/>
          <w:szCs w:val="24"/>
          <w:lang w:val="x-none"/>
        </w:rPr>
        <w:t>sternebrae</w:t>
      </w:r>
      <w:proofErr w:type="spellEnd"/>
      <w:r>
        <w:rPr>
          <w:rFonts w:ascii="Cambria" w:eastAsia="Times New Roman" w:hAnsi="Cambria" w:cs="Cambria"/>
          <w:color w:val="000000"/>
          <w:szCs w:val="24"/>
          <w:lang w:val="x-none"/>
        </w:rPr>
        <w:t xml:space="preserve"> was seen at 20</w:t>
      </w:r>
      <w:r w:rsidR="006E7DBB" w:rsidRPr="006E7DBB">
        <w:rPr>
          <w:rFonts w:ascii="Cambria" w:eastAsia="Times New Roman" w:hAnsi="Cambria" w:cs="Cambria"/>
          <w:color w:val="000000"/>
          <w:szCs w:val="24"/>
          <w:lang w:val="en-GB"/>
        </w:rPr>
        <w:t xml:space="preserve"> </w:t>
      </w:r>
      <w:r>
        <w:rPr>
          <w:rFonts w:ascii="Cambria" w:eastAsia="Times New Roman" w:hAnsi="Cambria" w:cs="Cambria"/>
          <w:color w:val="000000"/>
          <w:szCs w:val="24"/>
          <w:lang w:val="x-none"/>
        </w:rPr>
        <w:t>mg/kg. Malformations were not observed. The adverse effects on embryofetal development in the rabbit are considered to be secondary to marked maternal toxicity, and not to reflect a direct effect of givosiran on the developing embryo or fetus.</w:t>
      </w:r>
    </w:p>
    <w:p w14:paraId="5727347C" w14:textId="77777777" w:rsidR="009756EA" w:rsidRPr="00561DC6" w:rsidRDefault="009756EA" w:rsidP="00561DC6">
      <w:pPr>
        <w:autoSpaceDE w:val="0"/>
        <w:autoSpaceDN w:val="0"/>
        <w:adjustRightInd w:val="0"/>
        <w:snapToGrid w:val="0"/>
        <w:spacing w:after="0"/>
        <w:rPr>
          <w:rFonts w:ascii="Cambria" w:eastAsia="Times New Roman" w:hAnsi="Cambria" w:cs="Cambria"/>
          <w:color w:val="000000"/>
          <w:szCs w:val="24"/>
          <w:lang w:val="x-none"/>
        </w:rPr>
      </w:pPr>
    </w:p>
    <w:p w14:paraId="4A682AC2" w14:textId="0A5A9C8B" w:rsidR="00EB0B28" w:rsidRDefault="00470B2C" w:rsidP="00104888">
      <w:pPr>
        <w:rPr>
          <w:rFonts w:asciiTheme="majorHAnsi" w:hAnsiTheme="majorHAnsi"/>
        </w:rPr>
      </w:pPr>
      <w:r>
        <w:rPr>
          <w:rFonts w:asciiTheme="majorHAnsi" w:hAnsiTheme="majorHAnsi"/>
        </w:rPr>
        <w:t xml:space="preserve">In a </w:t>
      </w:r>
      <w:r w:rsidR="00217050">
        <w:rPr>
          <w:rFonts w:asciiTheme="majorHAnsi" w:hAnsiTheme="majorHAnsi"/>
        </w:rPr>
        <w:t>pre-</w:t>
      </w:r>
      <w:r w:rsidR="00104888">
        <w:rPr>
          <w:rFonts w:asciiTheme="majorHAnsi" w:hAnsiTheme="majorHAnsi"/>
        </w:rPr>
        <w:t>/</w:t>
      </w:r>
      <w:r>
        <w:rPr>
          <w:rFonts w:asciiTheme="majorHAnsi" w:hAnsiTheme="majorHAnsi"/>
        </w:rPr>
        <w:t xml:space="preserve">postnatal development study in rats, </w:t>
      </w:r>
      <w:r w:rsidR="00104888" w:rsidRPr="00104888">
        <w:rPr>
          <w:rFonts w:asciiTheme="majorHAnsi" w:hAnsiTheme="majorHAnsi"/>
        </w:rPr>
        <w:t>maternal administration at</w:t>
      </w:r>
      <w:r w:rsidR="00104888">
        <w:rPr>
          <w:rFonts w:asciiTheme="majorHAnsi" w:hAnsiTheme="majorHAnsi"/>
        </w:rPr>
        <w:t xml:space="preserve"> </w:t>
      </w:r>
      <w:r w:rsidR="00104888" w:rsidRPr="00104888">
        <w:rPr>
          <w:rFonts w:asciiTheme="majorHAnsi" w:hAnsiTheme="majorHAnsi"/>
        </w:rPr>
        <w:t>≤30 mg/kg every 6 days during gestation and lactation had</w:t>
      </w:r>
      <w:r>
        <w:rPr>
          <w:rFonts w:asciiTheme="majorHAnsi" w:hAnsiTheme="majorHAnsi"/>
        </w:rPr>
        <w:t xml:space="preserve"> no effect on growth and development of the offspring.</w:t>
      </w:r>
    </w:p>
    <w:p w14:paraId="47C00CC5" w14:textId="0D2B36E6" w:rsidR="00EB0B28" w:rsidRDefault="00470B2C">
      <w:pPr>
        <w:pStyle w:val="Heading3"/>
        <w:spacing w:before="0" w:after="120"/>
      </w:pPr>
      <w:r>
        <w:t>Use in lactation</w:t>
      </w:r>
    </w:p>
    <w:p w14:paraId="1C2E05D0" w14:textId="74EF52D7" w:rsidR="00EB0B28" w:rsidRDefault="00470B2C">
      <w:pPr>
        <w:rPr>
          <w:rFonts w:asciiTheme="majorHAnsi" w:hAnsiTheme="majorHAnsi"/>
        </w:rPr>
      </w:pPr>
      <w:r>
        <w:rPr>
          <w:rFonts w:asciiTheme="majorHAnsi" w:hAnsiTheme="majorHAnsi"/>
        </w:rPr>
        <w:t xml:space="preserve">It is unknown whether givosiran is excreted in human milk. A risk to the newborns/infants cannot be excluded. </w:t>
      </w:r>
      <w:r w:rsidR="00712DF4">
        <w:rPr>
          <w:rFonts w:ascii="Cambria" w:eastAsia="Times New Roman" w:hAnsi="Cambria" w:cs="Cambria"/>
          <w:color w:val="000000"/>
          <w:szCs w:val="24"/>
          <w:lang w:val="x-none"/>
        </w:rPr>
        <w:t xml:space="preserve">Excretion of givosiran in milk has been demonstrated in rats. </w:t>
      </w:r>
      <w:r>
        <w:rPr>
          <w:rFonts w:asciiTheme="majorHAnsi" w:hAnsiTheme="majorHAnsi"/>
        </w:rPr>
        <w:t xml:space="preserve">A decision must be made whether to discontinue breast-feeding or to discontinue/abstain from Givlaari therapy </w:t>
      </w:r>
      <w:proofErr w:type="gramStart"/>
      <w:r>
        <w:rPr>
          <w:rFonts w:asciiTheme="majorHAnsi" w:hAnsiTheme="majorHAnsi"/>
        </w:rPr>
        <w:t>taking into account</w:t>
      </w:r>
      <w:proofErr w:type="gramEnd"/>
      <w:r>
        <w:rPr>
          <w:rFonts w:asciiTheme="majorHAnsi" w:hAnsiTheme="majorHAnsi"/>
        </w:rPr>
        <w:t xml:space="preserve"> the benefit of breast feeding for the child and the benefit of therapy for the woman.</w:t>
      </w:r>
    </w:p>
    <w:p w14:paraId="2DB6C73F" w14:textId="445B7315" w:rsidR="00EB0B28" w:rsidRDefault="00470B2C">
      <w:pPr>
        <w:pStyle w:val="Heading2"/>
        <w:spacing w:before="0" w:after="120"/>
      </w:pPr>
      <w:r>
        <w:t>Effects on ability to drive and use machines</w:t>
      </w:r>
    </w:p>
    <w:p w14:paraId="58068205" w14:textId="51394371" w:rsidR="00EB0B28" w:rsidRDefault="00470B2C">
      <w:pPr>
        <w:rPr>
          <w:rFonts w:asciiTheme="majorHAnsi" w:hAnsiTheme="majorHAnsi"/>
        </w:rPr>
      </w:pPr>
      <w:r>
        <w:rPr>
          <w:rFonts w:asciiTheme="majorHAnsi" w:hAnsiTheme="majorHAnsi"/>
        </w:rPr>
        <w:t>Givlaari has no or negligible influence on the ability to drive and use machines.</w:t>
      </w:r>
    </w:p>
    <w:p w14:paraId="0CB6D442" w14:textId="77777777" w:rsidR="00EB0B28" w:rsidRDefault="00470B2C">
      <w:pPr>
        <w:pStyle w:val="Heading2"/>
        <w:keepNext/>
        <w:keepLines/>
        <w:spacing w:before="0" w:after="120"/>
      </w:pPr>
      <w:bookmarkStart w:id="5" w:name="_Adverse_effects_(Undesirable"/>
      <w:bookmarkStart w:id="6" w:name="_Hlk112423849"/>
      <w:bookmarkEnd w:id="5"/>
      <w:r>
        <w:lastRenderedPageBreak/>
        <w:t>Adverse effects (Undesirable effects)</w:t>
      </w:r>
    </w:p>
    <w:bookmarkEnd w:id="6"/>
    <w:p w14:paraId="513565AC" w14:textId="77777777" w:rsidR="00EB0B28" w:rsidRDefault="00470B2C">
      <w:pPr>
        <w:rPr>
          <w:rFonts w:asciiTheme="majorHAnsi" w:hAnsiTheme="majorHAnsi"/>
          <w:u w:val="single"/>
        </w:rPr>
      </w:pPr>
      <w:r>
        <w:rPr>
          <w:rFonts w:asciiTheme="majorHAnsi" w:hAnsiTheme="majorHAnsi"/>
          <w:u w:val="single"/>
        </w:rPr>
        <w:t>Summary of the safety profile</w:t>
      </w:r>
    </w:p>
    <w:p w14:paraId="3E786227" w14:textId="77777777" w:rsidR="00EB0B28" w:rsidRDefault="00470B2C">
      <w:pPr>
        <w:rPr>
          <w:rFonts w:asciiTheme="majorHAnsi" w:hAnsiTheme="majorHAnsi"/>
        </w:rPr>
      </w:pPr>
      <w:r>
        <w:rPr>
          <w:rFonts w:asciiTheme="majorHAnsi" w:hAnsiTheme="majorHAnsi"/>
        </w:rPr>
        <w:t>The most frequently occurring adverse reactions reported in patients treated with givosiran are injection site reactions (ISRs) (36 %), nausea (32.4 %) and fatigue (22.5 %). The adverse reactions resulting in discontinuation of treatment were elevated transaminases (0.9 %) and anaphylactic reaction (0.9 %).</w:t>
      </w:r>
    </w:p>
    <w:p w14:paraId="3F095E18" w14:textId="77777777" w:rsidR="00EB0B28" w:rsidRDefault="00470B2C">
      <w:pPr>
        <w:keepNext/>
        <w:keepLines/>
        <w:rPr>
          <w:rFonts w:asciiTheme="majorHAnsi" w:hAnsiTheme="majorHAnsi"/>
          <w:u w:val="single"/>
        </w:rPr>
      </w:pPr>
      <w:r>
        <w:rPr>
          <w:rFonts w:asciiTheme="majorHAnsi" w:hAnsiTheme="majorHAnsi"/>
          <w:u w:val="single"/>
        </w:rPr>
        <w:t>Tabulated list of adverse reactions</w:t>
      </w:r>
    </w:p>
    <w:p w14:paraId="69B1CFAC" w14:textId="77777777" w:rsidR="00EB0B28" w:rsidRDefault="00470B2C">
      <w:pPr>
        <w:keepNext/>
        <w:keepLines/>
        <w:rPr>
          <w:rFonts w:asciiTheme="majorHAnsi" w:hAnsiTheme="majorHAnsi"/>
        </w:rPr>
      </w:pPr>
      <w:r>
        <w:rPr>
          <w:rFonts w:asciiTheme="majorHAnsi" w:hAnsiTheme="majorHAnsi"/>
        </w:rPr>
        <w:t>The adverse reactions are presented as MedDRA preferred terms under the MedDRA system organ class (SOC) by frequency. Within each frequency grouping, adverse reactions are presented in order of decreasing seriousness. The frequency of the adverse reactions is expressed according to the following categories:</w:t>
      </w:r>
    </w:p>
    <w:p w14:paraId="161B1848" w14:textId="77777777" w:rsidR="00EB0B28" w:rsidRDefault="00470B2C">
      <w:pPr>
        <w:pStyle w:val="ListParagraph"/>
        <w:keepNext/>
        <w:keepLines/>
        <w:numPr>
          <w:ilvl w:val="0"/>
          <w:numId w:val="13"/>
        </w:numPr>
        <w:rPr>
          <w:rFonts w:asciiTheme="majorHAnsi" w:hAnsiTheme="majorHAnsi"/>
        </w:rPr>
      </w:pPr>
      <w:r>
        <w:rPr>
          <w:rFonts w:asciiTheme="majorHAnsi" w:hAnsiTheme="majorHAnsi"/>
        </w:rPr>
        <w:t>Very common (≥ 1/10)</w:t>
      </w:r>
    </w:p>
    <w:p w14:paraId="54997E93" w14:textId="77777777" w:rsidR="00EB0B28" w:rsidRDefault="00470B2C">
      <w:pPr>
        <w:pStyle w:val="ListParagraph"/>
        <w:keepNext/>
        <w:keepLines/>
        <w:numPr>
          <w:ilvl w:val="0"/>
          <w:numId w:val="13"/>
        </w:numPr>
        <w:rPr>
          <w:rFonts w:asciiTheme="majorHAnsi" w:hAnsiTheme="majorHAnsi"/>
        </w:rPr>
      </w:pPr>
      <w:r>
        <w:rPr>
          <w:rFonts w:asciiTheme="majorHAnsi" w:hAnsiTheme="majorHAnsi"/>
        </w:rPr>
        <w:t>Common (≥ 1/100 to &lt; 1/10)</w:t>
      </w:r>
    </w:p>
    <w:p w14:paraId="2810E9D0" w14:textId="12474E74" w:rsidR="00EB0B28" w:rsidRDefault="00470B2C">
      <w:pPr>
        <w:pStyle w:val="ListParagraph"/>
        <w:numPr>
          <w:ilvl w:val="0"/>
          <w:numId w:val="13"/>
        </w:numPr>
        <w:rPr>
          <w:rFonts w:asciiTheme="majorHAnsi" w:hAnsiTheme="majorHAnsi"/>
        </w:rPr>
      </w:pPr>
      <w:r>
        <w:rPr>
          <w:rFonts w:asciiTheme="majorHAnsi" w:hAnsiTheme="majorHAnsi"/>
        </w:rPr>
        <w:t>Uncommon (≥ 1/1,000 to &lt; 1/100)</w:t>
      </w:r>
    </w:p>
    <w:p w14:paraId="05CAFF31" w14:textId="77777777" w:rsidR="00EB0B28" w:rsidRDefault="00470B2C">
      <w:pPr>
        <w:pStyle w:val="HeadingStrong"/>
        <w:rPr>
          <w:rFonts w:asciiTheme="majorHAnsi" w:hAnsiTheme="majorHAnsi"/>
        </w:rPr>
      </w:pPr>
      <w:r>
        <w:rPr>
          <w:rFonts w:asciiTheme="majorHAnsi" w:hAnsiTheme="majorHAnsi"/>
        </w:rPr>
        <w:t>Table </w:t>
      </w:r>
      <w:r>
        <w:rPr>
          <w:rFonts w:asciiTheme="majorHAnsi" w:hAnsiTheme="majorHAnsi"/>
        </w:rPr>
        <w:fldChar w:fldCharType="begin"/>
      </w:r>
      <w:r>
        <w:rPr>
          <w:rFonts w:asciiTheme="majorHAnsi" w:hAnsiTheme="majorHAnsi"/>
        </w:rPr>
        <w:instrText xml:space="preserve"> SEQ Table \* ARABIC </w:instrText>
      </w:r>
      <w:r>
        <w:rPr>
          <w:rFonts w:asciiTheme="majorHAnsi" w:hAnsiTheme="majorHAnsi"/>
        </w:rPr>
        <w:fldChar w:fldCharType="separate"/>
      </w:r>
      <w:r>
        <w:rPr>
          <w:rFonts w:asciiTheme="majorHAnsi" w:hAnsiTheme="majorHAnsi"/>
        </w:rPr>
        <w:t>1</w:t>
      </w:r>
      <w:r>
        <w:rPr>
          <w:rFonts w:asciiTheme="majorHAnsi" w:hAnsiTheme="majorHAnsi"/>
        </w:rPr>
        <w:fldChar w:fldCharType="end"/>
      </w:r>
      <w:r>
        <w:rPr>
          <w:rFonts w:asciiTheme="majorHAnsi" w:hAnsiTheme="majorHAnsi"/>
        </w:rPr>
        <w:t>: Adverse reactions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3" w:type="dxa"/>
          <w:right w:w="113" w:type="dxa"/>
        </w:tblCellMar>
        <w:tblLook w:val="04A0" w:firstRow="1" w:lastRow="0" w:firstColumn="1" w:lastColumn="0" w:noHBand="0" w:noVBand="1"/>
      </w:tblPr>
      <w:tblGrid>
        <w:gridCol w:w="3385"/>
        <w:gridCol w:w="3395"/>
        <w:gridCol w:w="2226"/>
      </w:tblGrid>
      <w:tr w:rsidR="00EB0B28" w14:paraId="32A6E7E9" w14:textId="77777777">
        <w:trPr>
          <w:cantSplit/>
          <w:tblHeader/>
        </w:trPr>
        <w:tc>
          <w:tcPr>
            <w:tcW w:w="3385" w:type="dxa"/>
            <w:shd w:val="clear" w:color="auto" w:fill="auto"/>
            <w:vAlign w:val="center"/>
          </w:tcPr>
          <w:p w14:paraId="57ACA150" w14:textId="77777777" w:rsidR="00EB0B28" w:rsidRDefault="00470B2C">
            <w:pPr>
              <w:pStyle w:val="HeadingStrongCentred"/>
              <w:rPr>
                <w:rFonts w:asciiTheme="majorHAnsi" w:hAnsiTheme="majorHAnsi"/>
                <w:sz w:val="20"/>
                <w:szCs w:val="20"/>
              </w:rPr>
            </w:pPr>
            <w:r>
              <w:rPr>
                <w:rFonts w:asciiTheme="majorHAnsi" w:hAnsiTheme="majorHAnsi"/>
                <w:sz w:val="20"/>
                <w:szCs w:val="20"/>
              </w:rPr>
              <w:t>System organ class</w:t>
            </w:r>
          </w:p>
        </w:tc>
        <w:tc>
          <w:tcPr>
            <w:tcW w:w="3395" w:type="dxa"/>
            <w:shd w:val="clear" w:color="auto" w:fill="auto"/>
            <w:vAlign w:val="center"/>
          </w:tcPr>
          <w:p w14:paraId="14B561D7" w14:textId="77777777" w:rsidR="00EB0B28" w:rsidRDefault="00470B2C">
            <w:pPr>
              <w:pStyle w:val="HeadingStrongCentred"/>
              <w:rPr>
                <w:rFonts w:asciiTheme="majorHAnsi" w:hAnsiTheme="majorHAnsi"/>
                <w:sz w:val="20"/>
                <w:szCs w:val="20"/>
              </w:rPr>
            </w:pPr>
            <w:r>
              <w:rPr>
                <w:rFonts w:asciiTheme="majorHAnsi" w:hAnsiTheme="majorHAnsi"/>
                <w:sz w:val="20"/>
                <w:szCs w:val="20"/>
              </w:rPr>
              <w:t>Adverse reaction</w:t>
            </w:r>
          </w:p>
        </w:tc>
        <w:tc>
          <w:tcPr>
            <w:tcW w:w="2226" w:type="dxa"/>
            <w:shd w:val="clear" w:color="auto" w:fill="auto"/>
            <w:vAlign w:val="center"/>
          </w:tcPr>
          <w:p w14:paraId="0D773E8A" w14:textId="77777777" w:rsidR="00EB0B28" w:rsidRDefault="00470B2C">
            <w:pPr>
              <w:pStyle w:val="HeadingStrongCentred"/>
              <w:rPr>
                <w:rFonts w:asciiTheme="majorHAnsi" w:hAnsiTheme="majorHAnsi"/>
                <w:sz w:val="20"/>
                <w:szCs w:val="20"/>
              </w:rPr>
            </w:pPr>
            <w:r>
              <w:rPr>
                <w:rFonts w:asciiTheme="majorHAnsi" w:hAnsiTheme="majorHAnsi"/>
                <w:sz w:val="20"/>
                <w:szCs w:val="20"/>
              </w:rPr>
              <w:t>Frequency</w:t>
            </w:r>
          </w:p>
        </w:tc>
      </w:tr>
      <w:tr w:rsidR="00EB0B28" w14:paraId="1DCA8689" w14:textId="77777777">
        <w:trPr>
          <w:cantSplit/>
        </w:trPr>
        <w:tc>
          <w:tcPr>
            <w:tcW w:w="3385" w:type="dxa"/>
            <w:vMerge w:val="restart"/>
            <w:shd w:val="clear" w:color="auto" w:fill="auto"/>
            <w:vAlign w:val="center"/>
          </w:tcPr>
          <w:p w14:paraId="481B9CD4" w14:textId="77777777" w:rsidR="00EB0B28" w:rsidRDefault="00470B2C">
            <w:pPr>
              <w:pStyle w:val="NormalKeep"/>
              <w:rPr>
                <w:rFonts w:asciiTheme="majorHAnsi" w:hAnsiTheme="majorHAnsi"/>
                <w:sz w:val="20"/>
                <w:szCs w:val="20"/>
              </w:rPr>
            </w:pPr>
            <w:r>
              <w:rPr>
                <w:rFonts w:asciiTheme="majorHAnsi" w:hAnsiTheme="majorHAnsi"/>
                <w:sz w:val="20"/>
                <w:szCs w:val="20"/>
              </w:rPr>
              <w:t>Immune system disorders</w:t>
            </w:r>
          </w:p>
        </w:tc>
        <w:tc>
          <w:tcPr>
            <w:tcW w:w="3395" w:type="dxa"/>
            <w:shd w:val="clear" w:color="auto" w:fill="auto"/>
            <w:vAlign w:val="center"/>
          </w:tcPr>
          <w:p w14:paraId="665C39EB" w14:textId="77777777" w:rsidR="00EB0B28" w:rsidRDefault="00470B2C">
            <w:pPr>
              <w:pStyle w:val="NormalCentred"/>
              <w:rPr>
                <w:rFonts w:asciiTheme="majorHAnsi" w:hAnsiTheme="majorHAnsi"/>
                <w:sz w:val="20"/>
                <w:szCs w:val="20"/>
              </w:rPr>
            </w:pPr>
            <w:r>
              <w:rPr>
                <w:rFonts w:asciiTheme="majorHAnsi" w:hAnsiTheme="majorHAnsi"/>
                <w:sz w:val="20"/>
                <w:szCs w:val="20"/>
              </w:rPr>
              <w:t>Anaphylactic reaction</w:t>
            </w:r>
          </w:p>
        </w:tc>
        <w:tc>
          <w:tcPr>
            <w:tcW w:w="2226" w:type="dxa"/>
            <w:shd w:val="clear" w:color="auto" w:fill="auto"/>
            <w:vAlign w:val="center"/>
          </w:tcPr>
          <w:p w14:paraId="7B26E274" w14:textId="77777777" w:rsidR="00EB0B28" w:rsidRDefault="00470B2C">
            <w:pPr>
              <w:pStyle w:val="NormalCentred"/>
              <w:rPr>
                <w:rFonts w:asciiTheme="majorHAnsi" w:hAnsiTheme="majorHAnsi"/>
                <w:sz w:val="20"/>
                <w:szCs w:val="20"/>
              </w:rPr>
            </w:pPr>
            <w:r>
              <w:rPr>
                <w:rFonts w:asciiTheme="majorHAnsi" w:hAnsiTheme="majorHAnsi"/>
                <w:sz w:val="20"/>
                <w:szCs w:val="20"/>
              </w:rPr>
              <w:t>Uncommon</w:t>
            </w:r>
          </w:p>
        </w:tc>
      </w:tr>
      <w:tr w:rsidR="00EB0B28" w14:paraId="6A6FB4AB" w14:textId="77777777">
        <w:trPr>
          <w:cantSplit/>
          <w:trHeight w:val="317"/>
        </w:trPr>
        <w:tc>
          <w:tcPr>
            <w:tcW w:w="3385" w:type="dxa"/>
            <w:vMerge/>
            <w:vAlign w:val="center"/>
          </w:tcPr>
          <w:p w14:paraId="7D97FC20" w14:textId="77777777" w:rsidR="00EB0B28" w:rsidRDefault="00EB0B28">
            <w:pPr>
              <w:pStyle w:val="NormalKeep"/>
              <w:rPr>
                <w:rFonts w:asciiTheme="majorHAnsi" w:hAnsiTheme="majorHAnsi"/>
                <w:sz w:val="20"/>
                <w:szCs w:val="20"/>
              </w:rPr>
            </w:pPr>
          </w:p>
        </w:tc>
        <w:tc>
          <w:tcPr>
            <w:tcW w:w="3395" w:type="dxa"/>
            <w:shd w:val="clear" w:color="auto" w:fill="auto"/>
            <w:vAlign w:val="center"/>
          </w:tcPr>
          <w:p w14:paraId="4AB046F8" w14:textId="77777777" w:rsidR="00EB0B28" w:rsidRDefault="00470B2C">
            <w:pPr>
              <w:pStyle w:val="NormalCentred"/>
              <w:rPr>
                <w:rFonts w:asciiTheme="majorHAnsi" w:hAnsiTheme="majorHAnsi"/>
                <w:sz w:val="20"/>
                <w:szCs w:val="20"/>
              </w:rPr>
            </w:pPr>
            <w:r>
              <w:rPr>
                <w:rFonts w:asciiTheme="majorHAnsi" w:hAnsiTheme="majorHAnsi"/>
                <w:sz w:val="20"/>
                <w:szCs w:val="20"/>
              </w:rPr>
              <w:t>Hypersensitivity</w:t>
            </w:r>
          </w:p>
        </w:tc>
        <w:tc>
          <w:tcPr>
            <w:tcW w:w="2226" w:type="dxa"/>
            <w:shd w:val="clear" w:color="auto" w:fill="auto"/>
            <w:vAlign w:val="center"/>
          </w:tcPr>
          <w:p w14:paraId="679F6EEF" w14:textId="77777777" w:rsidR="00EB0B28" w:rsidRDefault="00470B2C">
            <w:pPr>
              <w:pStyle w:val="NormalCentred"/>
              <w:rPr>
                <w:rFonts w:asciiTheme="majorHAnsi" w:hAnsiTheme="majorHAnsi"/>
                <w:sz w:val="20"/>
                <w:szCs w:val="20"/>
              </w:rPr>
            </w:pPr>
            <w:r>
              <w:rPr>
                <w:rFonts w:asciiTheme="majorHAnsi" w:hAnsiTheme="majorHAnsi"/>
                <w:sz w:val="20"/>
                <w:szCs w:val="20"/>
              </w:rPr>
              <w:t>Common</w:t>
            </w:r>
          </w:p>
        </w:tc>
      </w:tr>
      <w:tr w:rsidR="00EB0B28" w14:paraId="2652C8A7" w14:textId="77777777">
        <w:trPr>
          <w:cantSplit/>
        </w:trPr>
        <w:tc>
          <w:tcPr>
            <w:tcW w:w="3385" w:type="dxa"/>
            <w:shd w:val="clear" w:color="auto" w:fill="auto"/>
            <w:vAlign w:val="center"/>
          </w:tcPr>
          <w:p w14:paraId="7DFFBAFC" w14:textId="5609D53E" w:rsidR="00EB0B28" w:rsidRDefault="00470B2C">
            <w:pPr>
              <w:pStyle w:val="NormalKeep"/>
              <w:rPr>
                <w:rFonts w:asciiTheme="majorHAnsi" w:hAnsiTheme="majorHAnsi"/>
                <w:sz w:val="20"/>
                <w:szCs w:val="20"/>
              </w:rPr>
            </w:pPr>
            <w:r>
              <w:rPr>
                <w:rFonts w:asciiTheme="majorHAnsi" w:hAnsiTheme="majorHAnsi"/>
                <w:sz w:val="20"/>
                <w:szCs w:val="20"/>
              </w:rPr>
              <w:t>Gastrointestinal disorders</w:t>
            </w:r>
          </w:p>
        </w:tc>
        <w:tc>
          <w:tcPr>
            <w:tcW w:w="3395" w:type="dxa"/>
            <w:shd w:val="clear" w:color="auto" w:fill="auto"/>
            <w:vAlign w:val="center"/>
          </w:tcPr>
          <w:p w14:paraId="56B552E7" w14:textId="6306B3DF" w:rsidR="00EB0B28" w:rsidRDefault="00470B2C">
            <w:pPr>
              <w:pStyle w:val="NormalCentred"/>
              <w:rPr>
                <w:rFonts w:asciiTheme="majorHAnsi" w:hAnsiTheme="majorHAnsi"/>
                <w:sz w:val="20"/>
                <w:szCs w:val="20"/>
              </w:rPr>
            </w:pPr>
            <w:r>
              <w:rPr>
                <w:rFonts w:asciiTheme="majorHAnsi" w:hAnsiTheme="majorHAnsi"/>
                <w:sz w:val="20"/>
                <w:szCs w:val="20"/>
              </w:rPr>
              <w:t>Nausea</w:t>
            </w:r>
          </w:p>
        </w:tc>
        <w:tc>
          <w:tcPr>
            <w:tcW w:w="2226" w:type="dxa"/>
            <w:shd w:val="clear" w:color="auto" w:fill="auto"/>
            <w:vAlign w:val="center"/>
          </w:tcPr>
          <w:p w14:paraId="053A3D6A" w14:textId="1E240FE3" w:rsidR="00EB0B28" w:rsidRDefault="00470B2C">
            <w:pPr>
              <w:pStyle w:val="NormalCentred"/>
              <w:rPr>
                <w:rFonts w:asciiTheme="majorHAnsi" w:hAnsiTheme="majorHAnsi"/>
                <w:sz w:val="20"/>
                <w:szCs w:val="20"/>
              </w:rPr>
            </w:pPr>
            <w:r>
              <w:rPr>
                <w:rFonts w:asciiTheme="majorHAnsi" w:hAnsiTheme="majorHAnsi"/>
                <w:sz w:val="20"/>
                <w:szCs w:val="20"/>
              </w:rPr>
              <w:t>Very common</w:t>
            </w:r>
          </w:p>
        </w:tc>
      </w:tr>
      <w:tr w:rsidR="00EB0B28" w14:paraId="3E7D6DF7" w14:textId="77777777">
        <w:trPr>
          <w:cantSplit/>
        </w:trPr>
        <w:tc>
          <w:tcPr>
            <w:tcW w:w="3385" w:type="dxa"/>
            <w:shd w:val="clear" w:color="auto" w:fill="auto"/>
            <w:vAlign w:val="center"/>
          </w:tcPr>
          <w:p w14:paraId="2252A95C" w14:textId="77777777" w:rsidR="00EB0B28" w:rsidRDefault="00470B2C">
            <w:pPr>
              <w:pStyle w:val="NormalKeep"/>
              <w:rPr>
                <w:rFonts w:asciiTheme="majorHAnsi" w:hAnsiTheme="majorHAnsi"/>
                <w:sz w:val="20"/>
                <w:szCs w:val="20"/>
              </w:rPr>
            </w:pPr>
            <w:r>
              <w:rPr>
                <w:rFonts w:asciiTheme="majorHAnsi" w:hAnsiTheme="majorHAnsi"/>
                <w:sz w:val="20"/>
                <w:szCs w:val="20"/>
              </w:rPr>
              <w:t>Hepatobiliary disorders</w:t>
            </w:r>
          </w:p>
        </w:tc>
        <w:tc>
          <w:tcPr>
            <w:tcW w:w="3395" w:type="dxa"/>
            <w:shd w:val="clear" w:color="auto" w:fill="auto"/>
            <w:vAlign w:val="center"/>
          </w:tcPr>
          <w:p w14:paraId="5837E917" w14:textId="77777777" w:rsidR="00EB0B28" w:rsidRDefault="00470B2C">
            <w:pPr>
              <w:pStyle w:val="NormalCentred"/>
              <w:rPr>
                <w:rFonts w:asciiTheme="majorHAnsi" w:hAnsiTheme="majorHAnsi"/>
                <w:sz w:val="20"/>
                <w:szCs w:val="20"/>
              </w:rPr>
            </w:pPr>
            <w:r>
              <w:rPr>
                <w:rFonts w:asciiTheme="majorHAnsi" w:hAnsiTheme="majorHAnsi"/>
                <w:sz w:val="20"/>
                <w:szCs w:val="20"/>
              </w:rPr>
              <w:t>Transaminase elevations</w:t>
            </w:r>
          </w:p>
        </w:tc>
        <w:tc>
          <w:tcPr>
            <w:tcW w:w="2226" w:type="dxa"/>
            <w:shd w:val="clear" w:color="auto" w:fill="auto"/>
            <w:vAlign w:val="center"/>
          </w:tcPr>
          <w:p w14:paraId="73F5F9CF" w14:textId="77777777" w:rsidR="00EB0B28" w:rsidRDefault="00470B2C">
            <w:pPr>
              <w:pStyle w:val="NormalCentred"/>
              <w:rPr>
                <w:rFonts w:asciiTheme="majorHAnsi" w:hAnsiTheme="majorHAnsi"/>
                <w:sz w:val="20"/>
                <w:szCs w:val="20"/>
              </w:rPr>
            </w:pPr>
            <w:r>
              <w:rPr>
                <w:rFonts w:asciiTheme="majorHAnsi" w:hAnsiTheme="majorHAnsi"/>
                <w:sz w:val="20"/>
                <w:szCs w:val="20"/>
              </w:rPr>
              <w:t>Very common</w:t>
            </w:r>
          </w:p>
        </w:tc>
      </w:tr>
      <w:tr w:rsidR="00EB0B28" w14:paraId="006556BE" w14:textId="77777777">
        <w:trPr>
          <w:cantSplit/>
        </w:trPr>
        <w:tc>
          <w:tcPr>
            <w:tcW w:w="3385" w:type="dxa"/>
            <w:shd w:val="clear" w:color="auto" w:fill="auto"/>
            <w:vAlign w:val="center"/>
          </w:tcPr>
          <w:p w14:paraId="6CF068A1" w14:textId="77777777" w:rsidR="00EB0B28" w:rsidRDefault="00470B2C">
            <w:pPr>
              <w:pStyle w:val="NormalKeep"/>
              <w:rPr>
                <w:rFonts w:asciiTheme="majorHAnsi" w:hAnsiTheme="majorHAnsi"/>
                <w:sz w:val="20"/>
                <w:szCs w:val="20"/>
              </w:rPr>
            </w:pPr>
            <w:r>
              <w:rPr>
                <w:rFonts w:asciiTheme="majorHAnsi" w:hAnsiTheme="majorHAnsi"/>
                <w:sz w:val="20"/>
                <w:szCs w:val="20"/>
              </w:rPr>
              <w:t>Skin and subcutaneous tissue disorders</w:t>
            </w:r>
          </w:p>
        </w:tc>
        <w:tc>
          <w:tcPr>
            <w:tcW w:w="3395" w:type="dxa"/>
            <w:shd w:val="clear" w:color="auto" w:fill="auto"/>
            <w:vAlign w:val="center"/>
          </w:tcPr>
          <w:p w14:paraId="5DEAE8C4" w14:textId="77777777" w:rsidR="00EB0B28" w:rsidRDefault="00470B2C">
            <w:pPr>
              <w:pStyle w:val="NormalCentred"/>
              <w:rPr>
                <w:rFonts w:asciiTheme="majorHAnsi" w:hAnsiTheme="majorHAnsi"/>
                <w:sz w:val="20"/>
                <w:szCs w:val="20"/>
              </w:rPr>
            </w:pPr>
            <w:r>
              <w:rPr>
                <w:rFonts w:asciiTheme="majorHAnsi" w:hAnsiTheme="majorHAnsi"/>
                <w:sz w:val="20"/>
                <w:szCs w:val="20"/>
              </w:rPr>
              <w:t>Rash</w:t>
            </w:r>
            <w:r>
              <w:rPr>
                <w:rStyle w:val="Superscript"/>
                <w:rFonts w:asciiTheme="majorHAnsi" w:hAnsiTheme="majorHAnsi"/>
                <w:sz w:val="20"/>
                <w:szCs w:val="20"/>
              </w:rPr>
              <w:t>a</w:t>
            </w:r>
          </w:p>
        </w:tc>
        <w:tc>
          <w:tcPr>
            <w:tcW w:w="2226" w:type="dxa"/>
            <w:shd w:val="clear" w:color="auto" w:fill="auto"/>
            <w:vAlign w:val="center"/>
          </w:tcPr>
          <w:p w14:paraId="17F07FD9" w14:textId="77777777" w:rsidR="00EB0B28" w:rsidRDefault="00470B2C">
            <w:pPr>
              <w:pStyle w:val="NormalCentred"/>
              <w:rPr>
                <w:rFonts w:asciiTheme="majorHAnsi" w:hAnsiTheme="majorHAnsi"/>
                <w:sz w:val="20"/>
                <w:szCs w:val="20"/>
              </w:rPr>
            </w:pPr>
            <w:r>
              <w:rPr>
                <w:rFonts w:asciiTheme="majorHAnsi" w:hAnsiTheme="majorHAnsi"/>
                <w:sz w:val="20"/>
                <w:szCs w:val="20"/>
              </w:rPr>
              <w:t>Very common</w:t>
            </w:r>
          </w:p>
        </w:tc>
      </w:tr>
      <w:tr w:rsidR="00EB0B28" w14:paraId="220538DB" w14:textId="77777777">
        <w:trPr>
          <w:cantSplit/>
        </w:trPr>
        <w:tc>
          <w:tcPr>
            <w:tcW w:w="3385" w:type="dxa"/>
            <w:shd w:val="clear" w:color="auto" w:fill="auto"/>
            <w:vAlign w:val="center"/>
          </w:tcPr>
          <w:p w14:paraId="4ABD5F42" w14:textId="77777777" w:rsidR="00EB0B28" w:rsidRDefault="00470B2C">
            <w:pPr>
              <w:pStyle w:val="NormalKeep"/>
              <w:rPr>
                <w:rFonts w:asciiTheme="majorHAnsi" w:hAnsiTheme="majorHAnsi"/>
                <w:sz w:val="20"/>
                <w:szCs w:val="20"/>
              </w:rPr>
            </w:pPr>
            <w:r>
              <w:rPr>
                <w:rFonts w:asciiTheme="majorHAnsi" w:hAnsiTheme="majorHAnsi"/>
                <w:sz w:val="20"/>
                <w:szCs w:val="20"/>
              </w:rPr>
              <w:t>Renal and urinary disorders</w:t>
            </w:r>
          </w:p>
        </w:tc>
        <w:tc>
          <w:tcPr>
            <w:tcW w:w="3395" w:type="dxa"/>
            <w:shd w:val="clear" w:color="auto" w:fill="auto"/>
            <w:vAlign w:val="center"/>
          </w:tcPr>
          <w:p w14:paraId="5DFC5592" w14:textId="77777777" w:rsidR="00EB0B28" w:rsidRDefault="00470B2C">
            <w:pPr>
              <w:pStyle w:val="NormalCentred"/>
              <w:rPr>
                <w:rFonts w:asciiTheme="majorHAnsi" w:hAnsiTheme="majorHAnsi"/>
                <w:sz w:val="20"/>
                <w:szCs w:val="20"/>
              </w:rPr>
            </w:pPr>
            <w:r>
              <w:rPr>
                <w:rFonts w:asciiTheme="majorHAnsi" w:hAnsiTheme="majorHAnsi"/>
                <w:sz w:val="20"/>
                <w:szCs w:val="20"/>
              </w:rPr>
              <w:t xml:space="preserve">Glomerular filtration rate </w:t>
            </w:r>
            <w:proofErr w:type="spellStart"/>
            <w:r>
              <w:rPr>
                <w:rFonts w:asciiTheme="majorHAnsi" w:hAnsiTheme="majorHAnsi"/>
                <w:sz w:val="20"/>
                <w:szCs w:val="20"/>
              </w:rPr>
              <w:t>decreased</w:t>
            </w:r>
            <w:r>
              <w:rPr>
                <w:rStyle w:val="Superscript"/>
                <w:rFonts w:asciiTheme="majorHAnsi" w:hAnsiTheme="majorHAnsi"/>
                <w:sz w:val="20"/>
                <w:szCs w:val="20"/>
              </w:rPr>
              <w:t>b</w:t>
            </w:r>
            <w:proofErr w:type="spellEnd"/>
          </w:p>
        </w:tc>
        <w:tc>
          <w:tcPr>
            <w:tcW w:w="2226" w:type="dxa"/>
            <w:shd w:val="clear" w:color="auto" w:fill="auto"/>
            <w:vAlign w:val="center"/>
          </w:tcPr>
          <w:p w14:paraId="346BAE29" w14:textId="77777777" w:rsidR="00EB0B28" w:rsidRDefault="00470B2C">
            <w:pPr>
              <w:pStyle w:val="NormalCentred"/>
              <w:rPr>
                <w:rFonts w:asciiTheme="majorHAnsi" w:hAnsiTheme="majorHAnsi"/>
                <w:sz w:val="20"/>
                <w:szCs w:val="20"/>
              </w:rPr>
            </w:pPr>
            <w:r>
              <w:rPr>
                <w:rFonts w:asciiTheme="majorHAnsi" w:hAnsiTheme="majorHAnsi"/>
                <w:sz w:val="20"/>
                <w:szCs w:val="20"/>
              </w:rPr>
              <w:t>Very common</w:t>
            </w:r>
          </w:p>
        </w:tc>
      </w:tr>
      <w:tr w:rsidR="00EB0B28" w14:paraId="00DA457B" w14:textId="77777777">
        <w:trPr>
          <w:cantSplit/>
        </w:trPr>
        <w:tc>
          <w:tcPr>
            <w:tcW w:w="3385" w:type="dxa"/>
            <w:vMerge w:val="restart"/>
            <w:shd w:val="clear" w:color="auto" w:fill="auto"/>
            <w:vAlign w:val="center"/>
          </w:tcPr>
          <w:p w14:paraId="3D62FADB" w14:textId="77777777" w:rsidR="00EB0B28" w:rsidRDefault="00470B2C">
            <w:pPr>
              <w:pStyle w:val="NormalKeep"/>
              <w:rPr>
                <w:rFonts w:asciiTheme="majorHAnsi" w:hAnsiTheme="majorHAnsi"/>
                <w:sz w:val="20"/>
                <w:szCs w:val="20"/>
              </w:rPr>
            </w:pPr>
            <w:r>
              <w:rPr>
                <w:rFonts w:asciiTheme="majorHAnsi" w:hAnsiTheme="majorHAnsi"/>
                <w:sz w:val="20"/>
                <w:szCs w:val="20"/>
              </w:rPr>
              <w:t>General disorders and administration site conditions</w:t>
            </w:r>
          </w:p>
        </w:tc>
        <w:tc>
          <w:tcPr>
            <w:tcW w:w="3395" w:type="dxa"/>
            <w:shd w:val="clear" w:color="auto" w:fill="auto"/>
            <w:vAlign w:val="center"/>
          </w:tcPr>
          <w:p w14:paraId="193E8079" w14:textId="77777777" w:rsidR="00EB0B28" w:rsidRDefault="00470B2C">
            <w:pPr>
              <w:pStyle w:val="NormalCentred"/>
              <w:keepNext/>
              <w:rPr>
                <w:rFonts w:asciiTheme="majorHAnsi" w:hAnsiTheme="majorHAnsi"/>
                <w:sz w:val="20"/>
                <w:szCs w:val="20"/>
              </w:rPr>
            </w:pPr>
            <w:r>
              <w:rPr>
                <w:rFonts w:asciiTheme="majorHAnsi" w:hAnsiTheme="majorHAnsi"/>
                <w:sz w:val="20"/>
                <w:szCs w:val="20"/>
              </w:rPr>
              <w:t>Injection site reactions</w:t>
            </w:r>
          </w:p>
        </w:tc>
        <w:tc>
          <w:tcPr>
            <w:tcW w:w="2226" w:type="dxa"/>
            <w:shd w:val="clear" w:color="auto" w:fill="auto"/>
            <w:vAlign w:val="center"/>
          </w:tcPr>
          <w:p w14:paraId="0DD35E6D" w14:textId="77777777" w:rsidR="00EB0B28" w:rsidRDefault="00470B2C">
            <w:pPr>
              <w:pStyle w:val="NormalCentred"/>
              <w:keepNext/>
              <w:rPr>
                <w:rFonts w:asciiTheme="majorHAnsi" w:hAnsiTheme="majorHAnsi"/>
                <w:sz w:val="20"/>
                <w:szCs w:val="20"/>
              </w:rPr>
            </w:pPr>
            <w:r>
              <w:rPr>
                <w:rFonts w:asciiTheme="majorHAnsi" w:hAnsiTheme="majorHAnsi"/>
                <w:sz w:val="20"/>
                <w:szCs w:val="20"/>
              </w:rPr>
              <w:t>Very common</w:t>
            </w:r>
          </w:p>
        </w:tc>
      </w:tr>
      <w:tr w:rsidR="00EB0B28" w14:paraId="0ED8B9C1" w14:textId="77777777">
        <w:trPr>
          <w:cantSplit/>
        </w:trPr>
        <w:tc>
          <w:tcPr>
            <w:tcW w:w="3385" w:type="dxa"/>
            <w:vMerge/>
            <w:vAlign w:val="center"/>
          </w:tcPr>
          <w:p w14:paraId="50A836E8" w14:textId="77777777" w:rsidR="00EB0B28" w:rsidRDefault="00EB0B28">
            <w:pPr>
              <w:pStyle w:val="NormalKeep"/>
              <w:rPr>
                <w:rFonts w:asciiTheme="majorHAnsi" w:hAnsiTheme="majorHAnsi"/>
                <w:sz w:val="20"/>
                <w:szCs w:val="20"/>
              </w:rPr>
            </w:pPr>
          </w:p>
        </w:tc>
        <w:tc>
          <w:tcPr>
            <w:tcW w:w="3395" w:type="dxa"/>
            <w:shd w:val="clear" w:color="auto" w:fill="auto"/>
            <w:vAlign w:val="center"/>
          </w:tcPr>
          <w:p w14:paraId="604F3719" w14:textId="77777777" w:rsidR="00EB0B28" w:rsidRDefault="00470B2C">
            <w:pPr>
              <w:pStyle w:val="NormalCentred"/>
              <w:rPr>
                <w:rFonts w:asciiTheme="majorHAnsi" w:hAnsiTheme="majorHAnsi"/>
                <w:sz w:val="20"/>
                <w:szCs w:val="20"/>
              </w:rPr>
            </w:pPr>
            <w:r>
              <w:rPr>
                <w:rFonts w:asciiTheme="majorHAnsi" w:hAnsiTheme="majorHAnsi"/>
                <w:sz w:val="20"/>
                <w:szCs w:val="20"/>
              </w:rPr>
              <w:t>Fatigue</w:t>
            </w:r>
          </w:p>
        </w:tc>
        <w:tc>
          <w:tcPr>
            <w:tcW w:w="2226" w:type="dxa"/>
            <w:shd w:val="clear" w:color="auto" w:fill="auto"/>
            <w:vAlign w:val="center"/>
          </w:tcPr>
          <w:p w14:paraId="5A01B710" w14:textId="77777777" w:rsidR="00EB0B28" w:rsidRDefault="00470B2C">
            <w:pPr>
              <w:pStyle w:val="NormalCentred"/>
              <w:rPr>
                <w:rFonts w:asciiTheme="majorHAnsi" w:hAnsiTheme="majorHAnsi"/>
                <w:sz w:val="20"/>
                <w:szCs w:val="20"/>
              </w:rPr>
            </w:pPr>
            <w:r>
              <w:rPr>
                <w:rFonts w:asciiTheme="majorHAnsi" w:hAnsiTheme="majorHAnsi"/>
                <w:sz w:val="20"/>
                <w:szCs w:val="20"/>
              </w:rPr>
              <w:t>Very common</w:t>
            </w:r>
          </w:p>
        </w:tc>
      </w:tr>
      <w:tr w:rsidR="00EB0B28" w14:paraId="7333C99B" w14:textId="77777777">
        <w:trPr>
          <w:cantSplit/>
        </w:trPr>
        <w:tc>
          <w:tcPr>
            <w:tcW w:w="3385" w:type="dxa"/>
            <w:shd w:val="clear" w:color="auto" w:fill="auto"/>
            <w:vAlign w:val="center"/>
          </w:tcPr>
          <w:p w14:paraId="2B5AEBE5" w14:textId="77777777" w:rsidR="00EB0B28" w:rsidRDefault="00470B2C">
            <w:pPr>
              <w:pStyle w:val="NormalKeep"/>
              <w:rPr>
                <w:rFonts w:asciiTheme="majorHAnsi" w:hAnsiTheme="majorHAnsi"/>
                <w:sz w:val="20"/>
                <w:szCs w:val="20"/>
              </w:rPr>
            </w:pPr>
            <w:r>
              <w:rPr>
                <w:rFonts w:asciiTheme="majorHAnsi" w:hAnsiTheme="majorHAnsi"/>
                <w:sz w:val="20"/>
                <w:szCs w:val="20"/>
              </w:rPr>
              <w:t>Investigations</w:t>
            </w:r>
          </w:p>
        </w:tc>
        <w:tc>
          <w:tcPr>
            <w:tcW w:w="3395" w:type="dxa"/>
            <w:shd w:val="clear" w:color="auto" w:fill="auto"/>
            <w:vAlign w:val="center"/>
          </w:tcPr>
          <w:p w14:paraId="5A186E4E" w14:textId="77777777" w:rsidR="00EB0B28" w:rsidRDefault="00470B2C">
            <w:pPr>
              <w:pStyle w:val="NormalCentred"/>
              <w:rPr>
                <w:rFonts w:asciiTheme="majorHAnsi" w:hAnsiTheme="majorHAnsi"/>
                <w:sz w:val="20"/>
                <w:szCs w:val="20"/>
              </w:rPr>
            </w:pPr>
            <w:r>
              <w:rPr>
                <w:rFonts w:asciiTheme="majorHAnsi" w:hAnsiTheme="majorHAnsi"/>
                <w:sz w:val="20"/>
                <w:szCs w:val="20"/>
              </w:rPr>
              <w:t xml:space="preserve">Blood homocysteine </w:t>
            </w:r>
            <w:proofErr w:type="spellStart"/>
            <w:r>
              <w:rPr>
                <w:rFonts w:asciiTheme="majorHAnsi" w:hAnsiTheme="majorHAnsi"/>
                <w:sz w:val="20"/>
                <w:szCs w:val="20"/>
              </w:rPr>
              <w:t>increased</w:t>
            </w:r>
            <w:r>
              <w:rPr>
                <w:rStyle w:val="Superscript"/>
                <w:rFonts w:asciiTheme="majorHAnsi" w:hAnsiTheme="majorHAnsi"/>
                <w:sz w:val="20"/>
                <w:szCs w:val="20"/>
              </w:rPr>
              <w:t>c</w:t>
            </w:r>
            <w:proofErr w:type="spellEnd"/>
          </w:p>
        </w:tc>
        <w:tc>
          <w:tcPr>
            <w:tcW w:w="2226" w:type="dxa"/>
            <w:shd w:val="clear" w:color="auto" w:fill="auto"/>
            <w:vAlign w:val="center"/>
          </w:tcPr>
          <w:p w14:paraId="764C966D" w14:textId="77777777" w:rsidR="00EB0B28" w:rsidRDefault="00470B2C">
            <w:pPr>
              <w:pStyle w:val="NormalCentred"/>
              <w:rPr>
                <w:rFonts w:asciiTheme="majorHAnsi" w:hAnsiTheme="majorHAnsi"/>
                <w:sz w:val="20"/>
                <w:szCs w:val="20"/>
              </w:rPr>
            </w:pPr>
            <w:r>
              <w:rPr>
                <w:rFonts w:asciiTheme="majorHAnsi" w:hAnsiTheme="majorHAnsi"/>
                <w:bCs/>
                <w:sz w:val="20"/>
                <w:szCs w:val="20"/>
              </w:rPr>
              <w:t>C</w:t>
            </w:r>
            <w:r>
              <w:rPr>
                <w:rFonts w:asciiTheme="majorHAnsi" w:hAnsiTheme="majorHAnsi"/>
                <w:sz w:val="20"/>
                <w:szCs w:val="20"/>
              </w:rPr>
              <w:t>ommon</w:t>
            </w:r>
          </w:p>
        </w:tc>
      </w:tr>
    </w:tbl>
    <w:p w14:paraId="24CA42CF" w14:textId="77777777" w:rsidR="00EB0B28" w:rsidRDefault="00470B2C">
      <w:pPr>
        <w:pStyle w:val="TableFootnote"/>
        <w:keepNext/>
        <w:rPr>
          <w:rFonts w:asciiTheme="majorHAnsi" w:hAnsiTheme="majorHAnsi"/>
          <w:sz w:val="18"/>
          <w:szCs w:val="18"/>
        </w:rPr>
      </w:pPr>
      <w:r>
        <w:rPr>
          <w:rStyle w:val="Superscript"/>
          <w:rFonts w:asciiTheme="majorHAnsi" w:hAnsiTheme="majorHAnsi"/>
          <w:sz w:val="18"/>
          <w:szCs w:val="18"/>
        </w:rPr>
        <w:t>a</w:t>
      </w:r>
      <w:r>
        <w:rPr>
          <w:rFonts w:asciiTheme="majorHAnsi" w:hAnsiTheme="majorHAnsi"/>
          <w:sz w:val="18"/>
          <w:szCs w:val="18"/>
        </w:rPr>
        <w:tab/>
        <w:t>Includes pruritus, eczema, erythema, rash, rash pruritic, urticaria.</w:t>
      </w:r>
    </w:p>
    <w:p w14:paraId="7E71D0A5" w14:textId="77777777" w:rsidR="00EB0B28" w:rsidRDefault="00470B2C">
      <w:pPr>
        <w:pStyle w:val="TableFootnote"/>
        <w:rPr>
          <w:rFonts w:asciiTheme="majorHAnsi" w:hAnsiTheme="majorHAnsi"/>
          <w:sz w:val="18"/>
          <w:szCs w:val="18"/>
        </w:rPr>
      </w:pPr>
      <w:r>
        <w:rPr>
          <w:rStyle w:val="Superscript"/>
          <w:rFonts w:asciiTheme="majorHAnsi" w:hAnsiTheme="majorHAnsi"/>
          <w:sz w:val="18"/>
          <w:szCs w:val="18"/>
        </w:rPr>
        <w:t>b</w:t>
      </w:r>
      <w:r>
        <w:rPr>
          <w:rFonts w:asciiTheme="majorHAnsi" w:hAnsiTheme="majorHAnsi"/>
          <w:sz w:val="18"/>
          <w:szCs w:val="18"/>
        </w:rPr>
        <w:tab/>
        <w:t>Includes blood creatinine increased, glomerular filtration rate decreased, chronic kidney disease (decreased eGFR), renal impairment.</w:t>
      </w:r>
    </w:p>
    <w:p w14:paraId="6F5E34C9" w14:textId="77777777" w:rsidR="00EB0B28" w:rsidRDefault="00470B2C">
      <w:pPr>
        <w:pStyle w:val="TableFootnote"/>
        <w:rPr>
          <w:rFonts w:asciiTheme="majorHAnsi" w:hAnsiTheme="majorHAnsi"/>
          <w:sz w:val="18"/>
          <w:szCs w:val="18"/>
        </w:rPr>
      </w:pPr>
      <w:r>
        <w:rPr>
          <w:rStyle w:val="Superscript"/>
          <w:rFonts w:asciiTheme="majorHAnsi" w:hAnsiTheme="majorHAnsi"/>
          <w:sz w:val="18"/>
          <w:szCs w:val="18"/>
        </w:rPr>
        <w:t>c</w:t>
      </w:r>
      <w:r>
        <w:rPr>
          <w:rFonts w:asciiTheme="majorHAnsi" w:hAnsiTheme="majorHAnsi"/>
          <w:sz w:val="18"/>
          <w:szCs w:val="18"/>
        </w:rPr>
        <w:tab/>
        <w:t>Includes blood homocysteine abnormal, hyperhomocysteinemia, blood homocysteine increased.</w:t>
      </w:r>
    </w:p>
    <w:p w14:paraId="2BE698DF" w14:textId="77777777" w:rsidR="00EB0B28" w:rsidRDefault="00EB0B28"/>
    <w:p w14:paraId="4F71C3AE" w14:textId="77777777" w:rsidR="00EB0B28" w:rsidRDefault="00470B2C">
      <w:pPr>
        <w:rPr>
          <w:rFonts w:asciiTheme="majorHAnsi" w:hAnsiTheme="majorHAnsi"/>
          <w:u w:val="single"/>
        </w:rPr>
      </w:pPr>
      <w:r>
        <w:rPr>
          <w:rFonts w:asciiTheme="majorHAnsi" w:hAnsiTheme="majorHAnsi"/>
          <w:u w:val="single"/>
        </w:rPr>
        <w:t>Description of selected adverse reactions</w:t>
      </w:r>
    </w:p>
    <w:p w14:paraId="17E0ECF6" w14:textId="77777777" w:rsidR="00EB0B28" w:rsidRDefault="00470B2C">
      <w:pPr>
        <w:rPr>
          <w:rFonts w:asciiTheme="majorHAnsi" w:hAnsiTheme="majorHAnsi"/>
          <w:i/>
          <w:iCs/>
        </w:rPr>
      </w:pPr>
      <w:r>
        <w:rPr>
          <w:rFonts w:asciiTheme="majorHAnsi" w:hAnsiTheme="majorHAnsi"/>
          <w:i/>
          <w:iCs/>
        </w:rPr>
        <w:t>Liver function tests</w:t>
      </w:r>
    </w:p>
    <w:p w14:paraId="2AEF4F78" w14:textId="77777777" w:rsidR="00EB0B28" w:rsidRDefault="00470B2C">
      <w:pPr>
        <w:rPr>
          <w:rFonts w:asciiTheme="majorHAnsi" w:hAnsiTheme="majorHAnsi"/>
        </w:rPr>
      </w:pPr>
      <w:r>
        <w:rPr>
          <w:rFonts w:asciiTheme="majorHAnsi" w:hAnsiTheme="majorHAnsi"/>
        </w:rPr>
        <w:t xml:space="preserve">In the placebo-controlled study, 7 (14.6 %) patients treated with </w:t>
      </w:r>
      <w:proofErr w:type="gramStart"/>
      <w:r>
        <w:rPr>
          <w:rFonts w:asciiTheme="majorHAnsi" w:hAnsiTheme="majorHAnsi"/>
        </w:rPr>
        <w:t>givosiran</w:t>
      </w:r>
      <w:proofErr w:type="gramEnd"/>
      <w:r>
        <w:rPr>
          <w:rFonts w:asciiTheme="majorHAnsi" w:hAnsiTheme="majorHAnsi"/>
        </w:rPr>
        <w:t xml:space="preserve"> and one (2.2 %) patient treated with placebo had an increased alanine aminotransferase (ALT) more than 3 times the ULN. In 5 patients treated with givosiran the transaminase elevations resolved with ongoing dosing at 2.5 mg/kg. Per protocol, one patient (with variegate porphyria) with ALT more than 8 times the ULN discontinued treatment and one patient with ALT more than 5 times the ULN interrupted treatment and resumed dosing at 1.25 mg/kg. ALT elevations in both patients resolved.</w:t>
      </w:r>
    </w:p>
    <w:p w14:paraId="583BD4A4" w14:textId="77777777" w:rsidR="00EB0B28" w:rsidRDefault="00470B2C">
      <w:pPr>
        <w:rPr>
          <w:rFonts w:asciiTheme="majorHAnsi" w:hAnsiTheme="majorHAnsi"/>
          <w:i/>
          <w:iCs/>
        </w:rPr>
      </w:pPr>
      <w:r>
        <w:rPr>
          <w:rFonts w:asciiTheme="majorHAnsi" w:hAnsiTheme="majorHAnsi"/>
          <w:i/>
          <w:iCs/>
        </w:rPr>
        <w:t>Injection site reactions</w:t>
      </w:r>
    </w:p>
    <w:p w14:paraId="0A5972EB" w14:textId="77777777" w:rsidR="00EB0B28" w:rsidRDefault="00470B2C">
      <w:pPr>
        <w:rPr>
          <w:rFonts w:asciiTheme="majorHAnsi" w:hAnsiTheme="majorHAnsi"/>
        </w:rPr>
      </w:pPr>
      <w:r>
        <w:rPr>
          <w:rFonts w:asciiTheme="majorHAnsi" w:hAnsiTheme="majorHAnsi"/>
        </w:rPr>
        <w:lastRenderedPageBreak/>
        <w:t xml:space="preserve">In placebo-controlled and open-label clinical studies, injection site reactions have been reported in 36 % of patients and generally have been mild or moderate in severity, mostly transient and resolved without treatment. The </w:t>
      </w:r>
      <w:proofErr w:type="gramStart"/>
      <w:r>
        <w:rPr>
          <w:rFonts w:asciiTheme="majorHAnsi" w:hAnsiTheme="majorHAnsi"/>
        </w:rPr>
        <w:t>most commonly reported</w:t>
      </w:r>
      <w:proofErr w:type="gramEnd"/>
      <w:r>
        <w:rPr>
          <w:rFonts w:asciiTheme="majorHAnsi" w:hAnsiTheme="majorHAnsi"/>
        </w:rPr>
        <w:t xml:space="preserve"> symptoms included erythema, pain, and pruritus. Injection-site reactions occurred in 7.8 % of injections and did not result in discontinuation of treatment. Three patients (2.7 %) experienced single, transient, recall reactions of erythema at a prior injection site with a subsequent dose administration.</w:t>
      </w:r>
    </w:p>
    <w:p w14:paraId="521FDEB3" w14:textId="77777777" w:rsidR="00EB0B28" w:rsidRDefault="00470B2C">
      <w:pPr>
        <w:keepNext/>
        <w:rPr>
          <w:rFonts w:asciiTheme="majorHAnsi" w:hAnsiTheme="majorHAnsi"/>
          <w:i/>
          <w:iCs/>
        </w:rPr>
      </w:pPr>
      <w:r>
        <w:rPr>
          <w:rFonts w:asciiTheme="majorHAnsi" w:hAnsiTheme="majorHAnsi"/>
          <w:i/>
          <w:iCs/>
        </w:rPr>
        <w:t>Immunogenicity</w:t>
      </w:r>
    </w:p>
    <w:p w14:paraId="2BAF4EBF" w14:textId="77777777" w:rsidR="00EB0B28" w:rsidRDefault="00470B2C">
      <w:pPr>
        <w:keepNext/>
        <w:rPr>
          <w:rFonts w:asciiTheme="majorHAnsi" w:hAnsiTheme="majorHAnsi"/>
        </w:rPr>
      </w:pPr>
      <w:r>
        <w:rPr>
          <w:rFonts w:asciiTheme="majorHAnsi" w:hAnsiTheme="majorHAnsi"/>
        </w:rPr>
        <w:t>In placebo-controlled and open-label clinical studies, 1 of 111 patients with AHP (0.9 %), developed treatment emergent anti-drug antibodies (ADA) during treatment with givosiran. ADA titres were low and transient with no evidence of an effect on clinical efficacy, safety, pharmacokinetic or pharmacodynamic profiles of the medicinal product.</w:t>
      </w:r>
    </w:p>
    <w:p w14:paraId="39518AD9" w14:textId="5C02E15A" w:rsidR="00EB0B28" w:rsidRDefault="00470B2C">
      <w:pPr>
        <w:pStyle w:val="Heading3"/>
      </w:pPr>
      <w:r>
        <w:t>Reporting suspected adverse effects</w:t>
      </w:r>
    </w:p>
    <w:p w14:paraId="657E3D53" w14:textId="77777777" w:rsidR="00EB0B28" w:rsidRDefault="00470B2C">
      <w:r>
        <w:rPr>
          <w:rFonts w:asciiTheme="majorHAnsi" w:hAnsiTheme="majorHAnsi"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Pr>
            <w:rStyle w:val="Hyperlink"/>
            <w:rFonts w:asciiTheme="majorHAnsi" w:hAnsiTheme="majorHAnsi" w:cstheme="minorHAnsi"/>
            <w:lang w:val="en"/>
          </w:rPr>
          <w:t>www.tga.gov.au/reporting-problems</w:t>
        </w:r>
      </w:hyperlink>
      <w:r>
        <w:rPr>
          <w:rFonts w:asciiTheme="majorHAnsi" w:hAnsiTheme="majorHAnsi" w:cstheme="minorHAnsi"/>
          <w:lang w:val="en"/>
        </w:rPr>
        <w:t>.</w:t>
      </w:r>
    </w:p>
    <w:p w14:paraId="58F51F81" w14:textId="77777777" w:rsidR="00EB0B28" w:rsidRDefault="00470B2C">
      <w:pPr>
        <w:pStyle w:val="Heading2"/>
        <w:keepNext/>
        <w:keepLines/>
        <w:spacing w:before="0" w:after="120"/>
      </w:pPr>
      <w:r>
        <w:t>Overdose</w:t>
      </w:r>
    </w:p>
    <w:p w14:paraId="36A4C15A" w14:textId="7D7A7A3A" w:rsidR="00EB0B28" w:rsidRDefault="00470B2C">
      <w:pPr>
        <w:rPr>
          <w:rFonts w:asciiTheme="majorHAnsi" w:hAnsiTheme="majorHAnsi" w:cstheme="minorHAnsi"/>
          <w:lang w:val="en"/>
        </w:rPr>
      </w:pPr>
      <w:r>
        <w:rPr>
          <w:rFonts w:asciiTheme="majorHAnsi" w:hAnsiTheme="majorHAnsi" w:cstheme="minorHAnsi"/>
          <w:lang w:val="en"/>
        </w:rPr>
        <w:t>No case of overdose has been reported. In case of overdose, it is recommended that the patient be monitored for any signs or symptoms of adverse reactions and appropriate symptomatic treatment be instituted.</w:t>
      </w:r>
    </w:p>
    <w:p w14:paraId="686E4B58" w14:textId="2248C857" w:rsidR="00EB0B28" w:rsidRDefault="00470B2C">
      <w:r>
        <w:rPr>
          <w:rFonts w:asciiTheme="majorHAnsi" w:hAnsiTheme="majorHAnsi" w:cstheme="minorHAnsi"/>
          <w:lang w:val="en"/>
        </w:rPr>
        <w:t>For information on the management of overdose, contact the Poisons Information Centre on 13 11 26 (Australia).</w:t>
      </w:r>
    </w:p>
    <w:p w14:paraId="2D6F5ECA" w14:textId="77777777" w:rsidR="00EB0B28" w:rsidRDefault="00470B2C">
      <w:pPr>
        <w:pStyle w:val="Heading1"/>
        <w:spacing w:before="0" w:after="120"/>
        <w:rPr>
          <w:lang w:val="en-US"/>
        </w:rPr>
      </w:pPr>
      <w:r>
        <w:rPr>
          <w:lang w:val="en-US"/>
        </w:rPr>
        <w:t>Pharmacological properties</w:t>
      </w:r>
    </w:p>
    <w:p w14:paraId="249434E4" w14:textId="40E804BF" w:rsidR="00EB0B28" w:rsidRDefault="00470B2C">
      <w:pPr>
        <w:pStyle w:val="Heading2"/>
        <w:spacing w:before="0" w:after="120"/>
        <w:rPr>
          <w:lang w:val="en-US"/>
        </w:rPr>
      </w:pPr>
      <w:bookmarkStart w:id="7" w:name="_Pharmacodynamic_properties"/>
      <w:bookmarkEnd w:id="7"/>
      <w:r>
        <w:rPr>
          <w:lang w:val="en-US"/>
        </w:rPr>
        <w:t>Pharmacodynamic properties</w:t>
      </w:r>
    </w:p>
    <w:p w14:paraId="4ED81B59" w14:textId="5B69FCF5" w:rsidR="00EB0B28" w:rsidRDefault="00470B2C">
      <w:pPr>
        <w:rPr>
          <w:rFonts w:asciiTheme="majorHAnsi" w:hAnsiTheme="majorHAnsi"/>
          <w:lang w:val="en-US"/>
        </w:rPr>
      </w:pPr>
      <w:r>
        <w:rPr>
          <w:rFonts w:asciiTheme="majorHAnsi" w:hAnsiTheme="majorHAnsi"/>
          <w:lang w:val="en-US"/>
        </w:rPr>
        <w:t>Pharmacotherapeutic group: Various alimentary tract and metabolism products, ATC code: A16AX16.</w:t>
      </w:r>
    </w:p>
    <w:p w14:paraId="64BDC992" w14:textId="77777777" w:rsidR="00EB0B28" w:rsidRDefault="00470B2C">
      <w:pPr>
        <w:pStyle w:val="Heading3"/>
        <w:spacing w:before="0" w:after="120"/>
      </w:pPr>
      <w:r>
        <w:t>Mechanism of action</w:t>
      </w:r>
    </w:p>
    <w:p w14:paraId="26048D39" w14:textId="57C97704" w:rsidR="00EB0B28" w:rsidRDefault="00470B2C">
      <w:pPr>
        <w:rPr>
          <w:rFonts w:asciiTheme="majorHAnsi" w:hAnsiTheme="majorHAnsi"/>
        </w:rPr>
      </w:pPr>
      <w:r>
        <w:rPr>
          <w:rFonts w:asciiTheme="majorHAnsi" w:hAnsiTheme="majorHAnsi"/>
        </w:rPr>
        <w:t>Givosiran is a double-stranded small interfering ribonucleic acid (siRNA) that causes degradation of aminolevulinic acid synthase 1 (</w:t>
      </w:r>
      <w:r>
        <w:rPr>
          <w:rStyle w:val="Emphasis"/>
          <w:rFonts w:asciiTheme="majorHAnsi" w:hAnsiTheme="majorHAnsi"/>
        </w:rPr>
        <w:t>ALAS1</w:t>
      </w:r>
      <w:r>
        <w:rPr>
          <w:rFonts w:asciiTheme="majorHAnsi" w:hAnsiTheme="majorHAnsi"/>
        </w:rPr>
        <w:t>) messenger ribonucleic acid (mRNA) in hepatocytes through RNA interference</w:t>
      </w:r>
      <w:r w:rsidR="00225EA7">
        <w:rPr>
          <w:rFonts w:asciiTheme="majorHAnsi" w:hAnsiTheme="majorHAnsi"/>
        </w:rPr>
        <w:t xml:space="preserve">. </w:t>
      </w:r>
      <w:r w:rsidR="00002902">
        <w:rPr>
          <w:rFonts w:ascii="Cambria" w:eastAsia="Times New Roman" w:hAnsi="Cambria" w:cs="Cambria"/>
          <w:color w:val="000000"/>
          <w:szCs w:val="24"/>
          <w:lang w:val="x-none"/>
        </w:rPr>
        <w:t xml:space="preserve">ALAS1 is the first and rate-limiting enzyme of heme synthesis in the liver. Its expression is induced in AHP due to a loss-of-function gene mutation in a downstream heme synthesis enzyme. Givosiran acts to reduce elevated levels of liver </w:t>
      </w:r>
      <w:r w:rsidR="00002902">
        <w:rPr>
          <w:rFonts w:ascii="Cambria" w:eastAsia="Times New Roman" w:hAnsi="Cambria" w:cs="Cambria"/>
          <w:i/>
          <w:color w:val="000000"/>
          <w:szCs w:val="24"/>
          <w:lang w:val="x-none"/>
        </w:rPr>
        <w:t xml:space="preserve">ALAS1 </w:t>
      </w:r>
      <w:r w:rsidR="00002902">
        <w:rPr>
          <w:rFonts w:ascii="Cambria" w:eastAsia="Times New Roman" w:hAnsi="Cambria" w:cs="Cambria"/>
          <w:color w:val="000000"/>
          <w:szCs w:val="24"/>
          <w:lang w:val="x-none"/>
        </w:rPr>
        <w:t xml:space="preserve">mRNA. </w:t>
      </w:r>
      <w:r>
        <w:rPr>
          <w:rFonts w:asciiTheme="majorHAnsi" w:hAnsiTheme="majorHAnsi"/>
        </w:rPr>
        <w:t>This leads to reduced circulating levels of neurotoxic</w:t>
      </w:r>
      <w:r w:rsidR="00B452E4">
        <w:rPr>
          <w:rFonts w:asciiTheme="majorHAnsi" w:hAnsiTheme="majorHAnsi"/>
        </w:rPr>
        <w:t xml:space="preserve"> heme</w:t>
      </w:r>
      <w:r>
        <w:rPr>
          <w:rFonts w:asciiTheme="majorHAnsi" w:hAnsiTheme="majorHAnsi"/>
        </w:rPr>
        <w:t xml:space="preserve"> intermediates aminolevulinic acid (ALA) and porphobilinogen (PBG), the key causal factors of attacks and other disease manifestations of AHP.</w:t>
      </w:r>
    </w:p>
    <w:p w14:paraId="5FEACF76" w14:textId="3C675820" w:rsidR="00EB0B28" w:rsidRDefault="00470B2C">
      <w:pPr>
        <w:pStyle w:val="Heading3"/>
        <w:spacing w:before="0" w:after="120"/>
      </w:pPr>
      <w:r>
        <w:lastRenderedPageBreak/>
        <w:t>Pharmacodynamic effects</w:t>
      </w:r>
    </w:p>
    <w:p w14:paraId="3B746E1A" w14:textId="77777777" w:rsidR="00EB0B28" w:rsidRDefault="00470B2C">
      <w:pPr>
        <w:rPr>
          <w:rFonts w:asciiTheme="majorHAnsi" w:hAnsiTheme="majorHAnsi"/>
        </w:rPr>
      </w:pPr>
      <w:r>
        <w:rPr>
          <w:rFonts w:asciiTheme="majorHAnsi" w:hAnsiTheme="majorHAnsi"/>
        </w:rPr>
        <w:t xml:space="preserve">In the placebo-controlled study in patients with AHP receiving givosiran 2.5 mg/kg once monthly (ENVISION), median reductions from baseline in urinary ALA and PBG of 83.7 % and 75.1 %, respectively, were observed 14 days after the first dose. Maximal reductions in ALA and PBG levels were achieved around month 3 with median reductions from baseline of 93.8 % for ALA and 94.5 % for </w:t>
      </w:r>
      <w:proofErr w:type="gramStart"/>
      <w:r>
        <w:rPr>
          <w:rFonts w:asciiTheme="majorHAnsi" w:hAnsiTheme="majorHAnsi"/>
        </w:rPr>
        <w:t>PBG, and</w:t>
      </w:r>
      <w:proofErr w:type="gramEnd"/>
      <w:r>
        <w:rPr>
          <w:rFonts w:asciiTheme="majorHAnsi" w:hAnsiTheme="majorHAnsi"/>
        </w:rPr>
        <w:t xml:space="preserve"> were sustained with repeated once monthly dosing.</w:t>
      </w:r>
    </w:p>
    <w:p w14:paraId="7016306B" w14:textId="202D99F4" w:rsidR="00EB0B28" w:rsidRDefault="00470B2C">
      <w:pPr>
        <w:rPr>
          <w:rFonts w:asciiTheme="majorHAnsi" w:hAnsiTheme="majorHAnsi"/>
        </w:rPr>
      </w:pPr>
      <w:r>
        <w:rPr>
          <w:rFonts w:asciiTheme="majorHAnsi" w:hAnsiTheme="majorHAnsi"/>
        </w:rPr>
        <w:t>Observed data and modelling demonstrated that once monthly dosing with 2.5 mg/kg givosiran resulted in a greater reduction and less fluctuation in ALA levels compared with doses less than 2.5 mg/kg or dosing once every 3 months.</w:t>
      </w:r>
    </w:p>
    <w:p w14:paraId="075F36D8" w14:textId="77777777" w:rsidR="00EB0B28" w:rsidRDefault="00470B2C">
      <w:pPr>
        <w:pStyle w:val="Heading3"/>
        <w:spacing w:before="0" w:after="120"/>
        <w:rPr>
          <w:lang w:val="en-US"/>
        </w:rPr>
      </w:pPr>
      <w:r>
        <w:t>Clinical</w:t>
      </w:r>
      <w:r>
        <w:rPr>
          <w:lang w:val="en-US"/>
        </w:rPr>
        <w:t xml:space="preserve"> trials</w:t>
      </w:r>
    </w:p>
    <w:p w14:paraId="39F2309D" w14:textId="77777777" w:rsidR="00EB0B28" w:rsidRDefault="00470B2C">
      <w:pPr>
        <w:rPr>
          <w:rFonts w:asciiTheme="majorHAnsi" w:hAnsiTheme="majorHAnsi"/>
          <w:lang w:val="en-US"/>
        </w:rPr>
      </w:pPr>
      <w:r>
        <w:rPr>
          <w:rFonts w:asciiTheme="majorHAnsi" w:hAnsiTheme="majorHAnsi"/>
          <w:lang w:val="en-US"/>
        </w:rPr>
        <w:t>The efficacy of givosiran was evaluated in a randomised, double-blind, placebo-controlled, multinational study (ENVISION).</w:t>
      </w:r>
    </w:p>
    <w:p w14:paraId="7A56D1E1" w14:textId="77777777" w:rsidR="00EB0B28" w:rsidRDefault="00470B2C">
      <w:pPr>
        <w:rPr>
          <w:rFonts w:asciiTheme="majorHAnsi" w:hAnsiTheme="majorHAnsi"/>
          <w:i/>
          <w:iCs/>
          <w:lang w:val="en-US"/>
        </w:rPr>
      </w:pPr>
      <w:r>
        <w:rPr>
          <w:rFonts w:asciiTheme="majorHAnsi" w:hAnsiTheme="majorHAnsi"/>
          <w:i/>
          <w:iCs/>
          <w:lang w:val="en-US"/>
        </w:rPr>
        <w:t>ENVISION</w:t>
      </w:r>
    </w:p>
    <w:p w14:paraId="6FBEA5C3" w14:textId="77777777" w:rsidR="00EB0B28" w:rsidRDefault="00470B2C">
      <w:pPr>
        <w:rPr>
          <w:rFonts w:asciiTheme="majorHAnsi" w:hAnsiTheme="majorHAnsi"/>
          <w:lang w:val="en-US"/>
        </w:rPr>
      </w:pPr>
      <w:r>
        <w:rPr>
          <w:rFonts w:asciiTheme="majorHAnsi" w:hAnsiTheme="majorHAnsi"/>
          <w:lang w:val="en-US"/>
        </w:rPr>
        <w:t xml:space="preserve">A total number of 94 patients with AHP (89 patients with acute intermittent porphyria (AIP), 2 patients with variegate porphyria (VP), 1 patient with hereditary coproporphyria (HCP), and 2 patients with no identified mutation in a porphyria-related gene) were randomised 1:1 to receive once monthly subcutaneous injections of givosiran 2.5 mg/kg or placebo during the </w:t>
      </w:r>
      <w:proofErr w:type="gramStart"/>
      <w:r>
        <w:rPr>
          <w:rFonts w:asciiTheme="majorHAnsi" w:hAnsiTheme="majorHAnsi"/>
          <w:lang w:val="en-US"/>
        </w:rPr>
        <w:t>6 month</w:t>
      </w:r>
      <w:proofErr w:type="gramEnd"/>
      <w:r>
        <w:rPr>
          <w:rFonts w:asciiTheme="majorHAnsi" w:hAnsiTheme="majorHAnsi"/>
          <w:lang w:val="en-US"/>
        </w:rPr>
        <w:t xml:space="preserve"> double-blind period. Patients randomised to givosiran included 46 patients with AIP, 1 patient with VP, and 1 patient with HCP. In this study, inclusion criteria specified a minimum of 2 porphyria attacks requiring hospitalisation, urgent healthcare visit, or intravenous (IV) hemin administration at home in the 6 months prior to study entry. Hemin use during the study was permitted for the treatment of acute porphyria attacks. The median age of patients in the ENVISION study was 37.5 years (range 19 to 65 years); 89.4 % of patients were female, and 77.7 % were white. The treatment arms were balanced with respect to historical annualised porphyria attack rate (overall median baseline rate of 8 per year), prior hemin prophylaxis, use of opioid medicinal products, and patient-reported measures of chronic symptoms between attacks.</w:t>
      </w:r>
    </w:p>
    <w:p w14:paraId="542547B6" w14:textId="77777777" w:rsidR="00EB0B28" w:rsidRDefault="00470B2C">
      <w:pPr>
        <w:rPr>
          <w:lang w:val="en-US"/>
        </w:rPr>
      </w:pPr>
      <w:r>
        <w:rPr>
          <w:rFonts w:asciiTheme="majorHAnsi" w:hAnsiTheme="majorHAnsi"/>
          <w:lang w:val="en-US"/>
        </w:rPr>
        <w:t xml:space="preserve">The major efficacy measure was the annualised attack rate (AAR) of composite porphyria attacks during the </w:t>
      </w:r>
      <w:proofErr w:type="gramStart"/>
      <w:r>
        <w:rPr>
          <w:rFonts w:asciiTheme="majorHAnsi" w:hAnsiTheme="majorHAnsi"/>
          <w:lang w:val="en-US"/>
        </w:rPr>
        <w:t>6 month</w:t>
      </w:r>
      <w:proofErr w:type="gramEnd"/>
      <w:r>
        <w:rPr>
          <w:rFonts w:asciiTheme="majorHAnsi" w:hAnsiTheme="majorHAnsi"/>
          <w:lang w:val="en-US"/>
        </w:rPr>
        <w:t xml:space="preserve"> double-blind period and consisted of three components: attacks requiring hospitalisation, urgent healthcare visit, or IV hemin administration at home. This composite efficacy measure was evaluated as the primary endpoint in patients with AIP, and as a secondary endpoint in the overall population of patients with AHP. Treatment with this medicinal product resulted in a significant reduction of the AAR of composite porphyria attacks, compared with placebo, of 74 % in patients with AIP (Table 2). Comparable results were seen in patients with AHP, with a reduction of 73 %. Consistent results were observed for each of the 3 components of the composite porphyria attack endpoint.</w:t>
      </w:r>
    </w:p>
    <w:p w14:paraId="15714F46" w14:textId="77777777" w:rsidR="00EB0B28" w:rsidRDefault="00470B2C">
      <w:pPr>
        <w:rPr>
          <w:rFonts w:asciiTheme="majorHAnsi" w:hAnsiTheme="majorHAnsi"/>
          <w:lang w:val="en-US"/>
        </w:rPr>
      </w:pPr>
      <w:r>
        <w:rPr>
          <w:rFonts w:asciiTheme="majorHAnsi" w:hAnsiTheme="majorHAnsi"/>
          <w:lang w:val="en-US"/>
        </w:rPr>
        <w:t>The results observed over 6 months were maintained through Month 12, with a median AAR (Q1, Q3) of 0.0 (0.0, 3.5) observed for patients with continued dosing with the medicinal product during the open-label extension period.</w:t>
      </w:r>
    </w:p>
    <w:p w14:paraId="523CAA7F" w14:textId="77777777" w:rsidR="00EB0B28" w:rsidRDefault="00470B2C">
      <w:pPr>
        <w:rPr>
          <w:rFonts w:asciiTheme="majorHAnsi" w:hAnsiTheme="majorHAnsi"/>
          <w:lang w:val="en-US"/>
        </w:rPr>
      </w:pPr>
      <w:r>
        <w:rPr>
          <w:rFonts w:asciiTheme="majorHAnsi" w:hAnsiTheme="majorHAnsi"/>
          <w:lang w:val="en-US"/>
        </w:rPr>
        <w:lastRenderedPageBreak/>
        <w:t>Givosiran reduced porphyria attacks compared to placebo in patients with AHP across all pre-specified subgroups, including age, sex, race, region, baseline body mass index (BMI), prior hemin prophylaxis use, historical attack rate, prior chronic opioid use when not having attacks, and the presence of prior chronic symptoms when not having attacks.</w:t>
      </w:r>
    </w:p>
    <w:p w14:paraId="11622B50" w14:textId="6202E2FB" w:rsidR="00EB0B28" w:rsidRDefault="00470B2C">
      <w:pPr>
        <w:rPr>
          <w:rFonts w:asciiTheme="majorHAnsi" w:hAnsiTheme="majorHAnsi"/>
          <w:lang w:val="en-US"/>
        </w:rPr>
      </w:pPr>
      <w:r>
        <w:rPr>
          <w:rFonts w:asciiTheme="majorHAnsi" w:hAnsiTheme="majorHAnsi"/>
          <w:lang w:val="en-US"/>
        </w:rPr>
        <w:t>Additional clinical efficacy endpoints were studied in AIP patients and are summarised in Table 2.</w:t>
      </w:r>
    </w:p>
    <w:p w14:paraId="5DE8D060" w14:textId="6699C03C" w:rsidR="00EB0B28" w:rsidRDefault="00470B2C">
      <w:pPr>
        <w:pStyle w:val="HeadingStrong"/>
        <w:rPr>
          <w:rFonts w:asciiTheme="majorHAnsi" w:hAnsiTheme="majorHAnsi"/>
        </w:rPr>
      </w:pPr>
      <w:bookmarkStart w:id="8" w:name="_Ref24470083"/>
      <w:r>
        <w:rPr>
          <w:rFonts w:asciiTheme="majorHAnsi" w:hAnsiTheme="majorHAnsi"/>
        </w:rPr>
        <w:t>Table </w:t>
      </w:r>
      <w:r>
        <w:rPr>
          <w:rFonts w:asciiTheme="majorHAnsi" w:hAnsiTheme="majorHAnsi"/>
        </w:rPr>
        <w:fldChar w:fldCharType="begin"/>
      </w:r>
      <w:r>
        <w:rPr>
          <w:rFonts w:asciiTheme="majorHAnsi" w:hAnsiTheme="majorHAnsi"/>
        </w:rPr>
        <w:instrText xml:space="preserve"> SEQ Table \* ARABIC </w:instrText>
      </w:r>
      <w:r>
        <w:rPr>
          <w:rFonts w:asciiTheme="majorHAnsi" w:hAnsiTheme="majorHAnsi"/>
        </w:rPr>
        <w:fldChar w:fldCharType="separate"/>
      </w:r>
      <w:r>
        <w:rPr>
          <w:rFonts w:asciiTheme="majorHAnsi" w:hAnsiTheme="majorHAnsi"/>
        </w:rPr>
        <w:t>2</w:t>
      </w:r>
      <w:r>
        <w:rPr>
          <w:rFonts w:asciiTheme="majorHAnsi" w:hAnsiTheme="majorHAnsi"/>
        </w:rPr>
        <w:fldChar w:fldCharType="end"/>
      </w:r>
      <w:bookmarkEnd w:id="8"/>
      <w:r>
        <w:rPr>
          <w:rFonts w:asciiTheme="majorHAnsi" w:hAnsiTheme="majorHAnsi"/>
        </w:rPr>
        <w:t>: Clinical Efficacy Results in Patients with AIP during the 6</w:t>
      </w:r>
      <w:r>
        <w:rPr>
          <w:rFonts w:asciiTheme="majorHAnsi" w:hAnsiTheme="majorHAnsi"/>
        </w:rPr>
        <w:noBreakHyphen/>
        <w:t>Month Double-Blind Period of the ENVISION Study</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4460"/>
        <w:gridCol w:w="2323"/>
        <w:gridCol w:w="2223"/>
      </w:tblGrid>
      <w:tr w:rsidR="00EB0B28" w14:paraId="46B07CF6" w14:textId="77777777">
        <w:trPr>
          <w:cantSplit/>
          <w:tblHeader/>
        </w:trPr>
        <w:tc>
          <w:tcPr>
            <w:tcW w:w="4490" w:type="dxa"/>
            <w:vMerge w:val="restart"/>
            <w:shd w:val="clear" w:color="auto" w:fill="auto"/>
            <w:vAlign w:val="center"/>
          </w:tcPr>
          <w:p w14:paraId="478EE212" w14:textId="77777777" w:rsidR="00EB0B28" w:rsidRDefault="00470B2C">
            <w:pPr>
              <w:pStyle w:val="HeadingStrong"/>
              <w:rPr>
                <w:rFonts w:asciiTheme="majorHAnsi" w:hAnsiTheme="majorHAnsi"/>
                <w:sz w:val="20"/>
                <w:szCs w:val="20"/>
                <w:lang w:val="pt-PT"/>
              </w:rPr>
            </w:pPr>
            <w:r>
              <w:rPr>
                <w:rFonts w:asciiTheme="majorHAnsi" w:hAnsiTheme="majorHAnsi"/>
                <w:sz w:val="20"/>
                <w:szCs w:val="20"/>
                <w:lang w:val="pt-PT"/>
              </w:rPr>
              <w:t>Endpoint</w:t>
            </w:r>
          </w:p>
        </w:tc>
        <w:tc>
          <w:tcPr>
            <w:tcW w:w="2340" w:type="dxa"/>
            <w:tcBorders>
              <w:bottom w:val="nil"/>
            </w:tcBorders>
            <w:shd w:val="clear" w:color="auto" w:fill="auto"/>
            <w:vAlign w:val="center"/>
          </w:tcPr>
          <w:p w14:paraId="4F83954B" w14:textId="77777777" w:rsidR="00EB0B28" w:rsidRDefault="00470B2C">
            <w:pPr>
              <w:pStyle w:val="HeadingStrong"/>
              <w:rPr>
                <w:rFonts w:asciiTheme="majorHAnsi" w:hAnsiTheme="majorHAnsi"/>
                <w:sz w:val="20"/>
                <w:szCs w:val="20"/>
                <w:lang w:val="pt-PT"/>
              </w:rPr>
            </w:pPr>
            <w:r>
              <w:rPr>
                <w:rFonts w:asciiTheme="majorHAnsi" w:hAnsiTheme="majorHAnsi"/>
                <w:sz w:val="20"/>
                <w:szCs w:val="20"/>
                <w:lang w:val="pt-PT"/>
              </w:rPr>
              <w:t>Placebo</w:t>
            </w:r>
          </w:p>
        </w:tc>
        <w:tc>
          <w:tcPr>
            <w:tcW w:w="2237" w:type="dxa"/>
            <w:tcBorders>
              <w:bottom w:val="nil"/>
            </w:tcBorders>
            <w:shd w:val="clear" w:color="auto" w:fill="auto"/>
            <w:vAlign w:val="center"/>
          </w:tcPr>
          <w:p w14:paraId="06034666" w14:textId="77777777" w:rsidR="00EB0B28" w:rsidRDefault="00470B2C">
            <w:pPr>
              <w:pStyle w:val="HeadingStrong"/>
              <w:rPr>
                <w:rFonts w:asciiTheme="majorHAnsi" w:hAnsiTheme="majorHAnsi"/>
                <w:sz w:val="20"/>
                <w:szCs w:val="20"/>
                <w:lang w:val="pt-PT"/>
              </w:rPr>
            </w:pPr>
            <w:r>
              <w:rPr>
                <w:rFonts w:asciiTheme="majorHAnsi" w:hAnsiTheme="majorHAnsi"/>
                <w:sz w:val="20"/>
                <w:szCs w:val="20"/>
                <w:lang w:val="pt-PT"/>
              </w:rPr>
              <w:t>Givosiran</w:t>
            </w:r>
          </w:p>
        </w:tc>
      </w:tr>
      <w:tr w:rsidR="00EB0B28" w14:paraId="04C9D460" w14:textId="77777777">
        <w:trPr>
          <w:cantSplit/>
          <w:tblHeader/>
        </w:trPr>
        <w:tc>
          <w:tcPr>
            <w:tcW w:w="4490" w:type="dxa"/>
            <w:vMerge/>
            <w:shd w:val="clear" w:color="auto" w:fill="auto"/>
            <w:vAlign w:val="center"/>
          </w:tcPr>
          <w:p w14:paraId="7BB6D543" w14:textId="77777777" w:rsidR="00EB0B28" w:rsidRDefault="00EB0B28">
            <w:pPr>
              <w:pStyle w:val="HeadingStrong"/>
              <w:rPr>
                <w:rFonts w:asciiTheme="majorHAnsi" w:hAnsiTheme="majorHAnsi"/>
                <w:sz w:val="20"/>
                <w:szCs w:val="20"/>
                <w:lang w:val="pt-PT"/>
              </w:rPr>
            </w:pPr>
          </w:p>
        </w:tc>
        <w:tc>
          <w:tcPr>
            <w:tcW w:w="2340" w:type="dxa"/>
            <w:tcBorders>
              <w:top w:val="nil"/>
            </w:tcBorders>
            <w:shd w:val="clear" w:color="auto" w:fill="auto"/>
            <w:vAlign w:val="center"/>
          </w:tcPr>
          <w:p w14:paraId="30205AC2" w14:textId="77777777" w:rsidR="00EB0B28" w:rsidRDefault="00470B2C">
            <w:pPr>
              <w:pStyle w:val="HeadingStrong"/>
              <w:rPr>
                <w:rFonts w:asciiTheme="majorHAnsi" w:hAnsiTheme="majorHAnsi"/>
                <w:sz w:val="20"/>
                <w:szCs w:val="20"/>
                <w:lang w:val="pt-PT"/>
              </w:rPr>
            </w:pPr>
            <w:r>
              <w:rPr>
                <w:rFonts w:asciiTheme="majorHAnsi" w:hAnsiTheme="majorHAnsi"/>
                <w:sz w:val="20"/>
                <w:szCs w:val="20"/>
                <w:lang w:val="pt-PT"/>
              </w:rPr>
              <w:t>(N=43)</w:t>
            </w:r>
          </w:p>
        </w:tc>
        <w:tc>
          <w:tcPr>
            <w:tcW w:w="2237" w:type="dxa"/>
            <w:tcBorders>
              <w:top w:val="nil"/>
            </w:tcBorders>
            <w:shd w:val="clear" w:color="auto" w:fill="auto"/>
            <w:vAlign w:val="center"/>
          </w:tcPr>
          <w:p w14:paraId="6446A236" w14:textId="77777777" w:rsidR="00EB0B28" w:rsidRDefault="00470B2C">
            <w:pPr>
              <w:pStyle w:val="HeadingStrong"/>
              <w:rPr>
                <w:rFonts w:asciiTheme="majorHAnsi" w:hAnsiTheme="majorHAnsi"/>
                <w:sz w:val="20"/>
                <w:szCs w:val="20"/>
                <w:lang w:val="pt-PT"/>
              </w:rPr>
            </w:pPr>
            <w:r>
              <w:rPr>
                <w:rFonts w:asciiTheme="majorHAnsi" w:hAnsiTheme="majorHAnsi"/>
                <w:sz w:val="20"/>
                <w:szCs w:val="20"/>
                <w:lang w:val="pt-PT"/>
              </w:rPr>
              <w:t>(N=46)</w:t>
            </w:r>
          </w:p>
        </w:tc>
      </w:tr>
      <w:tr w:rsidR="00EB0B28" w14:paraId="6B80E5B9" w14:textId="77777777">
        <w:trPr>
          <w:cantSplit/>
        </w:trPr>
        <w:tc>
          <w:tcPr>
            <w:tcW w:w="9067" w:type="dxa"/>
            <w:gridSpan w:val="3"/>
            <w:shd w:val="clear" w:color="auto" w:fill="auto"/>
            <w:vAlign w:val="center"/>
          </w:tcPr>
          <w:p w14:paraId="4DE529C9" w14:textId="77777777" w:rsidR="00EB0B28" w:rsidRDefault="00470B2C">
            <w:pPr>
              <w:pStyle w:val="HeadingStrong"/>
              <w:rPr>
                <w:rFonts w:asciiTheme="majorHAnsi" w:hAnsiTheme="majorHAnsi"/>
                <w:sz w:val="20"/>
                <w:szCs w:val="20"/>
              </w:rPr>
            </w:pPr>
            <w:r>
              <w:rPr>
                <w:rFonts w:asciiTheme="majorHAnsi" w:hAnsiTheme="majorHAnsi"/>
                <w:sz w:val="20"/>
                <w:szCs w:val="20"/>
              </w:rPr>
              <w:t xml:space="preserve">Annualised attack rate of composite porphyria </w:t>
            </w:r>
            <w:proofErr w:type="spellStart"/>
            <w:r>
              <w:rPr>
                <w:rFonts w:asciiTheme="majorHAnsi" w:hAnsiTheme="majorHAnsi"/>
                <w:sz w:val="20"/>
                <w:szCs w:val="20"/>
              </w:rPr>
              <w:t>attacks</w:t>
            </w:r>
            <w:r>
              <w:rPr>
                <w:rStyle w:val="Superscript"/>
                <w:rFonts w:asciiTheme="majorHAnsi" w:hAnsiTheme="majorHAnsi"/>
                <w:sz w:val="20"/>
                <w:szCs w:val="20"/>
              </w:rPr>
              <w:t>a</w:t>
            </w:r>
            <w:proofErr w:type="spellEnd"/>
          </w:p>
        </w:tc>
      </w:tr>
      <w:tr w:rsidR="00EB0B28" w14:paraId="2D8BB318" w14:textId="77777777">
        <w:trPr>
          <w:cantSplit/>
        </w:trPr>
        <w:tc>
          <w:tcPr>
            <w:tcW w:w="4490" w:type="dxa"/>
            <w:shd w:val="clear" w:color="auto" w:fill="auto"/>
            <w:vAlign w:val="center"/>
          </w:tcPr>
          <w:p w14:paraId="4AF9E504" w14:textId="77777777" w:rsidR="00EB0B28" w:rsidRDefault="00470B2C">
            <w:pPr>
              <w:pStyle w:val="NormalKeep"/>
              <w:rPr>
                <w:rFonts w:asciiTheme="majorHAnsi" w:hAnsiTheme="majorHAnsi"/>
                <w:sz w:val="20"/>
                <w:szCs w:val="20"/>
              </w:rPr>
            </w:pPr>
            <w:r>
              <w:rPr>
                <w:rFonts w:asciiTheme="majorHAnsi" w:hAnsiTheme="majorHAnsi"/>
                <w:sz w:val="20"/>
                <w:szCs w:val="20"/>
              </w:rPr>
              <w:t xml:space="preserve">Mean AAR (95 % </w:t>
            </w:r>
            <w:proofErr w:type="gramStart"/>
            <w:r>
              <w:rPr>
                <w:rFonts w:asciiTheme="majorHAnsi" w:hAnsiTheme="majorHAnsi"/>
                <w:sz w:val="20"/>
                <w:szCs w:val="20"/>
              </w:rPr>
              <w:t>CI)</w:t>
            </w:r>
            <w:r>
              <w:rPr>
                <w:rStyle w:val="Superscript"/>
                <w:rFonts w:asciiTheme="majorHAnsi" w:hAnsiTheme="majorHAnsi"/>
                <w:sz w:val="20"/>
                <w:szCs w:val="20"/>
              </w:rPr>
              <w:t>b</w:t>
            </w:r>
            <w:proofErr w:type="gramEnd"/>
          </w:p>
        </w:tc>
        <w:tc>
          <w:tcPr>
            <w:tcW w:w="2340" w:type="dxa"/>
            <w:shd w:val="clear" w:color="auto" w:fill="auto"/>
            <w:vAlign w:val="center"/>
          </w:tcPr>
          <w:p w14:paraId="6FD39933" w14:textId="77777777" w:rsidR="00EB0B28" w:rsidRDefault="00470B2C">
            <w:pPr>
              <w:spacing w:line="240" w:lineRule="auto"/>
              <w:rPr>
                <w:rFonts w:asciiTheme="majorHAnsi" w:hAnsiTheme="majorHAnsi"/>
                <w:sz w:val="20"/>
                <w:szCs w:val="20"/>
              </w:rPr>
            </w:pPr>
            <w:r>
              <w:rPr>
                <w:rFonts w:asciiTheme="majorHAnsi" w:hAnsiTheme="majorHAnsi"/>
                <w:sz w:val="20"/>
                <w:szCs w:val="20"/>
              </w:rPr>
              <w:t>12.5 (9.4, 16.8)</w:t>
            </w:r>
          </w:p>
        </w:tc>
        <w:tc>
          <w:tcPr>
            <w:tcW w:w="2237" w:type="dxa"/>
            <w:shd w:val="clear" w:color="auto" w:fill="auto"/>
            <w:vAlign w:val="center"/>
          </w:tcPr>
          <w:p w14:paraId="23A9360F" w14:textId="77777777" w:rsidR="00EB0B28" w:rsidRDefault="00470B2C">
            <w:pPr>
              <w:spacing w:line="240" w:lineRule="auto"/>
              <w:rPr>
                <w:rFonts w:asciiTheme="majorHAnsi" w:hAnsiTheme="majorHAnsi"/>
                <w:sz w:val="20"/>
                <w:szCs w:val="20"/>
              </w:rPr>
            </w:pPr>
            <w:r>
              <w:rPr>
                <w:rFonts w:asciiTheme="majorHAnsi" w:hAnsiTheme="majorHAnsi"/>
                <w:sz w:val="20"/>
                <w:szCs w:val="20"/>
              </w:rPr>
              <w:t>3.2 (2.3, 4.6)</w:t>
            </w:r>
          </w:p>
        </w:tc>
      </w:tr>
      <w:tr w:rsidR="00EB0B28" w14:paraId="326614B1" w14:textId="77777777">
        <w:trPr>
          <w:cantSplit/>
        </w:trPr>
        <w:tc>
          <w:tcPr>
            <w:tcW w:w="4490" w:type="dxa"/>
            <w:shd w:val="clear" w:color="auto" w:fill="auto"/>
            <w:vAlign w:val="center"/>
          </w:tcPr>
          <w:p w14:paraId="63626ACC" w14:textId="77777777" w:rsidR="00EB0B28" w:rsidRDefault="00470B2C">
            <w:pPr>
              <w:pStyle w:val="NormalKeep"/>
              <w:rPr>
                <w:rFonts w:asciiTheme="majorHAnsi" w:hAnsiTheme="majorHAnsi"/>
                <w:sz w:val="20"/>
                <w:szCs w:val="20"/>
              </w:rPr>
            </w:pPr>
            <w:r>
              <w:rPr>
                <w:rFonts w:asciiTheme="majorHAnsi" w:hAnsiTheme="majorHAnsi"/>
                <w:sz w:val="20"/>
                <w:szCs w:val="20"/>
              </w:rPr>
              <w:t xml:space="preserve">Rate ratio (95 % </w:t>
            </w:r>
            <w:proofErr w:type="gramStart"/>
            <w:r>
              <w:rPr>
                <w:rFonts w:asciiTheme="majorHAnsi" w:hAnsiTheme="majorHAnsi"/>
                <w:sz w:val="20"/>
                <w:szCs w:val="20"/>
              </w:rPr>
              <w:t>CI)</w:t>
            </w:r>
            <w:r>
              <w:rPr>
                <w:rStyle w:val="Superscript"/>
                <w:rFonts w:asciiTheme="majorHAnsi" w:hAnsiTheme="majorHAnsi"/>
                <w:sz w:val="20"/>
                <w:szCs w:val="20"/>
              </w:rPr>
              <w:t>b</w:t>
            </w:r>
            <w:proofErr w:type="gramEnd"/>
            <w:r>
              <w:rPr>
                <w:rFonts w:asciiTheme="majorHAnsi" w:hAnsiTheme="majorHAnsi"/>
                <w:sz w:val="20"/>
                <w:szCs w:val="20"/>
              </w:rPr>
              <w:t xml:space="preserve"> (givosiran/placebo)</w:t>
            </w:r>
          </w:p>
        </w:tc>
        <w:tc>
          <w:tcPr>
            <w:tcW w:w="4577" w:type="dxa"/>
            <w:gridSpan w:val="2"/>
            <w:shd w:val="clear" w:color="auto" w:fill="auto"/>
            <w:vAlign w:val="center"/>
          </w:tcPr>
          <w:p w14:paraId="51A7EE19" w14:textId="77777777" w:rsidR="00EB0B28" w:rsidRDefault="00470B2C">
            <w:pPr>
              <w:spacing w:line="240" w:lineRule="auto"/>
              <w:rPr>
                <w:rFonts w:asciiTheme="majorHAnsi" w:hAnsiTheme="majorHAnsi"/>
                <w:sz w:val="20"/>
                <w:szCs w:val="20"/>
              </w:rPr>
            </w:pPr>
            <w:r>
              <w:rPr>
                <w:rFonts w:asciiTheme="majorHAnsi" w:hAnsiTheme="majorHAnsi"/>
                <w:sz w:val="20"/>
                <w:szCs w:val="20"/>
              </w:rPr>
              <w:t>0.26 (0.16, 0.41)</w:t>
            </w:r>
          </w:p>
        </w:tc>
      </w:tr>
      <w:tr w:rsidR="00EB0B28" w14:paraId="684C05D2" w14:textId="77777777">
        <w:trPr>
          <w:cantSplit/>
        </w:trPr>
        <w:tc>
          <w:tcPr>
            <w:tcW w:w="4490" w:type="dxa"/>
            <w:shd w:val="clear" w:color="auto" w:fill="auto"/>
            <w:vAlign w:val="center"/>
          </w:tcPr>
          <w:p w14:paraId="11349B74" w14:textId="77777777" w:rsidR="00EB0B28" w:rsidRDefault="00470B2C">
            <w:pPr>
              <w:pStyle w:val="NormalKeep"/>
              <w:rPr>
                <w:rFonts w:asciiTheme="majorHAnsi" w:hAnsiTheme="majorHAnsi"/>
                <w:sz w:val="20"/>
                <w:szCs w:val="20"/>
              </w:rPr>
            </w:pPr>
            <w:r>
              <w:rPr>
                <w:rFonts w:asciiTheme="majorHAnsi" w:hAnsiTheme="majorHAnsi"/>
                <w:sz w:val="20"/>
                <w:szCs w:val="20"/>
              </w:rPr>
              <w:t>P</w:t>
            </w:r>
            <w:r>
              <w:rPr>
                <w:rFonts w:asciiTheme="majorHAnsi" w:hAnsiTheme="majorHAnsi"/>
                <w:sz w:val="20"/>
                <w:szCs w:val="20"/>
              </w:rPr>
              <w:noBreakHyphen/>
            </w:r>
            <w:proofErr w:type="spellStart"/>
            <w:r>
              <w:rPr>
                <w:rFonts w:asciiTheme="majorHAnsi" w:hAnsiTheme="majorHAnsi"/>
                <w:sz w:val="20"/>
                <w:szCs w:val="20"/>
              </w:rPr>
              <w:t>value</w:t>
            </w:r>
            <w:r>
              <w:rPr>
                <w:rStyle w:val="Superscript"/>
                <w:rFonts w:asciiTheme="majorHAnsi" w:hAnsiTheme="majorHAnsi"/>
                <w:sz w:val="20"/>
                <w:szCs w:val="20"/>
              </w:rPr>
              <w:t>b</w:t>
            </w:r>
            <w:proofErr w:type="spellEnd"/>
          </w:p>
        </w:tc>
        <w:tc>
          <w:tcPr>
            <w:tcW w:w="4577" w:type="dxa"/>
            <w:gridSpan w:val="2"/>
            <w:shd w:val="clear" w:color="auto" w:fill="auto"/>
            <w:vAlign w:val="center"/>
          </w:tcPr>
          <w:p w14:paraId="2A3C59C1" w14:textId="77777777" w:rsidR="00EB0B28" w:rsidRDefault="00470B2C">
            <w:pPr>
              <w:spacing w:line="240" w:lineRule="auto"/>
              <w:rPr>
                <w:rFonts w:asciiTheme="majorHAnsi" w:hAnsiTheme="majorHAnsi"/>
                <w:sz w:val="20"/>
                <w:szCs w:val="20"/>
              </w:rPr>
            </w:pPr>
            <w:r>
              <w:rPr>
                <w:rFonts w:asciiTheme="majorHAnsi" w:hAnsiTheme="majorHAnsi"/>
                <w:sz w:val="20"/>
                <w:szCs w:val="20"/>
              </w:rPr>
              <w:t>&lt; 0.001</w:t>
            </w:r>
          </w:p>
        </w:tc>
      </w:tr>
      <w:tr w:rsidR="00EB0B28" w14:paraId="50A13DD8" w14:textId="77777777">
        <w:trPr>
          <w:cantSplit/>
        </w:trPr>
        <w:tc>
          <w:tcPr>
            <w:tcW w:w="4490" w:type="dxa"/>
            <w:shd w:val="clear" w:color="auto" w:fill="auto"/>
            <w:vAlign w:val="center"/>
          </w:tcPr>
          <w:p w14:paraId="478838C8" w14:textId="77777777" w:rsidR="00EB0B28" w:rsidRDefault="00470B2C">
            <w:pPr>
              <w:pStyle w:val="NormalKeep"/>
              <w:rPr>
                <w:rFonts w:asciiTheme="majorHAnsi" w:hAnsiTheme="majorHAnsi"/>
                <w:sz w:val="20"/>
                <w:szCs w:val="20"/>
              </w:rPr>
            </w:pPr>
            <w:r>
              <w:rPr>
                <w:rFonts w:asciiTheme="majorHAnsi" w:hAnsiTheme="majorHAnsi"/>
                <w:sz w:val="20"/>
                <w:szCs w:val="20"/>
              </w:rPr>
              <w:t>Median AAR, (Q1, Q3)</w:t>
            </w:r>
          </w:p>
        </w:tc>
        <w:tc>
          <w:tcPr>
            <w:tcW w:w="2340" w:type="dxa"/>
            <w:shd w:val="clear" w:color="auto" w:fill="auto"/>
            <w:vAlign w:val="center"/>
          </w:tcPr>
          <w:p w14:paraId="4FF73549" w14:textId="77777777" w:rsidR="00EB0B28" w:rsidRDefault="00470B2C">
            <w:pPr>
              <w:spacing w:line="240" w:lineRule="auto"/>
              <w:rPr>
                <w:rFonts w:asciiTheme="majorHAnsi" w:hAnsiTheme="majorHAnsi"/>
                <w:sz w:val="20"/>
                <w:szCs w:val="20"/>
              </w:rPr>
            </w:pPr>
            <w:r>
              <w:rPr>
                <w:rFonts w:asciiTheme="majorHAnsi" w:hAnsiTheme="majorHAnsi"/>
                <w:sz w:val="20"/>
                <w:szCs w:val="20"/>
              </w:rPr>
              <w:t>10.7 (2.2, 26.1)</w:t>
            </w:r>
          </w:p>
        </w:tc>
        <w:tc>
          <w:tcPr>
            <w:tcW w:w="2237" w:type="dxa"/>
            <w:shd w:val="clear" w:color="auto" w:fill="auto"/>
            <w:vAlign w:val="center"/>
          </w:tcPr>
          <w:p w14:paraId="59C4092F" w14:textId="77777777" w:rsidR="00EB0B28" w:rsidRDefault="00470B2C">
            <w:pPr>
              <w:spacing w:line="240" w:lineRule="auto"/>
              <w:rPr>
                <w:rFonts w:asciiTheme="majorHAnsi" w:hAnsiTheme="majorHAnsi"/>
                <w:sz w:val="20"/>
                <w:szCs w:val="20"/>
              </w:rPr>
            </w:pPr>
            <w:r>
              <w:rPr>
                <w:rFonts w:asciiTheme="majorHAnsi" w:hAnsiTheme="majorHAnsi"/>
                <w:sz w:val="20"/>
                <w:szCs w:val="20"/>
              </w:rPr>
              <w:t>1.0 (0.0, 6.2)</w:t>
            </w:r>
          </w:p>
        </w:tc>
      </w:tr>
      <w:tr w:rsidR="00EB0B28" w14:paraId="512474E4" w14:textId="77777777">
        <w:trPr>
          <w:cantSplit/>
        </w:trPr>
        <w:tc>
          <w:tcPr>
            <w:tcW w:w="4490" w:type="dxa"/>
            <w:shd w:val="clear" w:color="auto" w:fill="auto"/>
            <w:vAlign w:val="center"/>
          </w:tcPr>
          <w:p w14:paraId="54CE6547" w14:textId="77777777" w:rsidR="00EB0B28" w:rsidRDefault="00470B2C">
            <w:pPr>
              <w:pStyle w:val="NormalKeep"/>
              <w:rPr>
                <w:rFonts w:asciiTheme="majorHAnsi" w:hAnsiTheme="majorHAnsi"/>
                <w:sz w:val="20"/>
                <w:szCs w:val="20"/>
              </w:rPr>
            </w:pPr>
            <w:r>
              <w:rPr>
                <w:rFonts w:asciiTheme="majorHAnsi" w:hAnsiTheme="majorHAnsi"/>
                <w:sz w:val="20"/>
                <w:szCs w:val="20"/>
              </w:rPr>
              <w:t>Number of patients with 0 attacks (%)</w:t>
            </w:r>
          </w:p>
        </w:tc>
        <w:tc>
          <w:tcPr>
            <w:tcW w:w="2340" w:type="dxa"/>
            <w:shd w:val="clear" w:color="auto" w:fill="auto"/>
            <w:vAlign w:val="center"/>
          </w:tcPr>
          <w:p w14:paraId="0D103E85" w14:textId="77777777" w:rsidR="00EB0B28" w:rsidRDefault="00470B2C">
            <w:pPr>
              <w:spacing w:line="240" w:lineRule="auto"/>
              <w:rPr>
                <w:rFonts w:asciiTheme="majorHAnsi" w:hAnsiTheme="majorHAnsi"/>
                <w:sz w:val="20"/>
                <w:szCs w:val="20"/>
              </w:rPr>
            </w:pPr>
            <w:r>
              <w:rPr>
                <w:rFonts w:asciiTheme="majorHAnsi" w:hAnsiTheme="majorHAnsi"/>
                <w:sz w:val="20"/>
                <w:szCs w:val="20"/>
              </w:rPr>
              <w:t>7 (16.3)</w:t>
            </w:r>
          </w:p>
        </w:tc>
        <w:tc>
          <w:tcPr>
            <w:tcW w:w="2237" w:type="dxa"/>
            <w:shd w:val="clear" w:color="auto" w:fill="auto"/>
            <w:vAlign w:val="center"/>
          </w:tcPr>
          <w:p w14:paraId="433B331B" w14:textId="77777777" w:rsidR="00EB0B28" w:rsidRDefault="00470B2C">
            <w:pPr>
              <w:spacing w:line="240" w:lineRule="auto"/>
              <w:rPr>
                <w:rFonts w:asciiTheme="majorHAnsi" w:hAnsiTheme="majorHAnsi"/>
                <w:sz w:val="20"/>
                <w:szCs w:val="20"/>
              </w:rPr>
            </w:pPr>
            <w:r>
              <w:rPr>
                <w:rFonts w:asciiTheme="majorHAnsi" w:hAnsiTheme="majorHAnsi"/>
                <w:sz w:val="20"/>
                <w:szCs w:val="20"/>
              </w:rPr>
              <w:t>23 (50.0)</w:t>
            </w:r>
          </w:p>
        </w:tc>
      </w:tr>
      <w:tr w:rsidR="00EB0B28" w14:paraId="1FBFE92F" w14:textId="77777777">
        <w:trPr>
          <w:cantSplit/>
        </w:trPr>
        <w:tc>
          <w:tcPr>
            <w:tcW w:w="9067" w:type="dxa"/>
            <w:gridSpan w:val="3"/>
            <w:shd w:val="clear" w:color="auto" w:fill="auto"/>
            <w:vAlign w:val="center"/>
          </w:tcPr>
          <w:p w14:paraId="7EA51FBF" w14:textId="77777777" w:rsidR="00EB0B28" w:rsidRDefault="00470B2C">
            <w:pPr>
              <w:pStyle w:val="HeadingStrong"/>
              <w:rPr>
                <w:rFonts w:asciiTheme="majorHAnsi" w:hAnsiTheme="majorHAnsi"/>
                <w:sz w:val="20"/>
                <w:szCs w:val="20"/>
              </w:rPr>
            </w:pPr>
            <w:r>
              <w:rPr>
                <w:rFonts w:asciiTheme="majorHAnsi" w:hAnsiTheme="majorHAnsi"/>
                <w:sz w:val="20"/>
                <w:szCs w:val="20"/>
              </w:rPr>
              <w:t>Annualised days of hemin use</w:t>
            </w:r>
          </w:p>
        </w:tc>
      </w:tr>
      <w:tr w:rsidR="00EB0B28" w14:paraId="511D65A6" w14:textId="77777777">
        <w:trPr>
          <w:cantSplit/>
        </w:trPr>
        <w:tc>
          <w:tcPr>
            <w:tcW w:w="4490" w:type="dxa"/>
            <w:shd w:val="clear" w:color="auto" w:fill="auto"/>
            <w:vAlign w:val="center"/>
          </w:tcPr>
          <w:p w14:paraId="20618139" w14:textId="77777777" w:rsidR="00EB0B28" w:rsidRDefault="00470B2C">
            <w:pPr>
              <w:pStyle w:val="NormalKeep"/>
              <w:rPr>
                <w:rFonts w:asciiTheme="majorHAnsi" w:hAnsiTheme="majorHAnsi"/>
                <w:sz w:val="20"/>
                <w:szCs w:val="20"/>
              </w:rPr>
            </w:pPr>
            <w:r>
              <w:rPr>
                <w:rFonts w:asciiTheme="majorHAnsi" w:hAnsiTheme="majorHAnsi"/>
                <w:sz w:val="20"/>
                <w:szCs w:val="20"/>
              </w:rPr>
              <w:t xml:space="preserve">Mean (95 % </w:t>
            </w:r>
            <w:proofErr w:type="gramStart"/>
            <w:r>
              <w:rPr>
                <w:rFonts w:asciiTheme="majorHAnsi" w:hAnsiTheme="majorHAnsi"/>
                <w:sz w:val="20"/>
                <w:szCs w:val="20"/>
              </w:rPr>
              <w:t>CI)</w:t>
            </w:r>
            <w:r>
              <w:rPr>
                <w:rStyle w:val="Superscript"/>
                <w:rFonts w:asciiTheme="majorHAnsi" w:hAnsiTheme="majorHAnsi"/>
                <w:sz w:val="20"/>
                <w:szCs w:val="20"/>
              </w:rPr>
              <w:t>b</w:t>
            </w:r>
            <w:proofErr w:type="gramEnd"/>
          </w:p>
        </w:tc>
        <w:tc>
          <w:tcPr>
            <w:tcW w:w="2340" w:type="dxa"/>
            <w:shd w:val="clear" w:color="auto" w:fill="auto"/>
            <w:vAlign w:val="center"/>
          </w:tcPr>
          <w:p w14:paraId="57A736AE" w14:textId="77777777" w:rsidR="00EB0B28" w:rsidRDefault="00470B2C">
            <w:pPr>
              <w:spacing w:line="240" w:lineRule="auto"/>
              <w:rPr>
                <w:rFonts w:asciiTheme="majorHAnsi" w:hAnsiTheme="majorHAnsi"/>
                <w:sz w:val="20"/>
                <w:szCs w:val="20"/>
              </w:rPr>
            </w:pPr>
            <w:r>
              <w:rPr>
                <w:rFonts w:asciiTheme="majorHAnsi" w:hAnsiTheme="majorHAnsi"/>
                <w:sz w:val="20"/>
                <w:szCs w:val="20"/>
              </w:rPr>
              <w:t>29.7 (18.4, 47.9)</w:t>
            </w:r>
          </w:p>
        </w:tc>
        <w:tc>
          <w:tcPr>
            <w:tcW w:w="2237" w:type="dxa"/>
            <w:shd w:val="clear" w:color="auto" w:fill="auto"/>
            <w:vAlign w:val="center"/>
          </w:tcPr>
          <w:p w14:paraId="44E99C49" w14:textId="77777777" w:rsidR="00EB0B28" w:rsidRDefault="00470B2C">
            <w:pPr>
              <w:spacing w:line="240" w:lineRule="auto"/>
              <w:rPr>
                <w:rFonts w:asciiTheme="majorHAnsi" w:hAnsiTheme="majorHAnsi"/>
                <w:sz w:val="20"/>
                <w:szCs w:val="20"/>
              </w:rPr>
            </w:pPr>
            <w:r>
              <w:rPr>
                <w:rFonts w:asciiTheme="majorHAnsi" w:hAnsiTheme="majorHAnsi"/>
                <w:sz w:val="20"/>
                <w:szCs w:val="20"/>
              </w:rPr>
              <w:t>6.8 (4.2, 10.9)</w:t>
            </w:r>
          </w:p>
        </w:tc>
      </w:tr>
      <w:tr w:rsidR="00EB0B28" w14:paraId="6E928E54" w14:textId="77777777">
        <w:trPr>
          <w:cantSplit/>
        </w:trPr>
        <w:tc>
          <w:tcPr>
            <w:tcW w:w="4490" w:type="dxa"/>
            <w:shd w:val="clear" w:color="auto" w:fill="auto"/>
            <w:vAlign w:val="center"/>
          </w:tcPr>
          <w:p w14:paraId="6FD175EE" w14:textId="77777777" w:rsidR="00EB0B28" w:rsidRDefault="00470B2C">
            <w:pPr>
              <w:pStyle w:val="NormalKeep"/>
              <w:rPr>
                <w:rFonts w:asciiTheme="majorHAnsi" w:hAnsiTheme="majorHAnsi"/>
                <w:sz w:val="20"/>
                <w:szCs w:val="20"/>
              </w:rPr>
            </w:pPr>
            <w:r>
              <w:rPr>
                <w:rFonts w:asciiTheme="majorHAnsi" w:hAnsiTheme="majorHAnsi"/>
                <w:sz w:val="20"/>
                <w:szCs w:val="20"/>
              </w:rPr>
              <w:t xml:space="preserve">Ratio (95 % </w:t>
            </w:r>
            <w:proofErr w:type="gramStart"/>
            <w:r>
              <w:rPr>
                <w:rFonts w:asciiTheme="majorHAnsi" w:hAnsiTheme="majorHAnsi"/>
                <w:sz w:val="20"/>
                <w:szCs w:val="20"/>
              </w:rPr>
              <w:t>CI)</w:t>
            </w:r>
            <w:r>
              <w:rPr>
                <w:rStyle w:val="Superscript"/>
                <w:rFonts w:asciiTheme="majorHAnsi" w:hAnsiTheme="majorHAnsi"/>
                <w:sz w:val="20"/>
                <w:szCs w:val="20"/>
              </w:rPr>
              <w:t>b</w:t>
            </w:r>
            <w:proofErr w:type="gramEnd"/>
            <w:r>
              <w:rPr>
                <w:rFonts w:asciiTheme="majorHAnsi" w:hAnsiTheme="majorHAnsi"/>
                <w:sz w:val="20"/>
                <w:szCs w:val="20"/>
              </w:rPr>
              <w:t xml:space="preserve"> (givosiran/placebo)</w:t>
            </w:r>
          </w:p>
        </w:tc>
        <w:tc>
          <w:tcPr>
            <w:tcW w:w="4577" w:type="dxa"/>
            <w:gridSpan w:val="2"/>
            <w:shd w:val="clear" w:color="auto" w:fill="auto"/>
            <w:vAlign w:val="center"/>
          </w:tcPr>
          <w:p w14:paraId="51A6297D" w14:textId="77777777" w:rsidR="00EB0B28" w:rsidRDefault="00470B2C">
            <w:pPr>
              <w:spacing w:line="240" w:lineRule="auto"/>
              <w:rPr>
                <w:rFonts w:asciiTheme="majorHAnsi" w:hAnsiTheme="majorHAnsi"/>
                <w:sz w:val="20"/>
                <w:szCs w:val="20"/>
              </w:rPr>
            </w:pPr>
            <w:r>
              <w:rPr>
                <w:rFonts w:asciiTheme="majorHAnsi" w:hAnsiTheme="majorHAnsi"/>
                <w:sz w:val="20"/>
                <w:szCs w:val="20"/>
              </w:rPr>
              <w:t>0.23 (0.11, 0.45)</w:t>
            </w:r>
          </w:p>
        </w:tc>
      </w:tr>
      <w:tr w:rsidR="00EB0B28" w14:paraId="253554EF" w14:textId="77777777">
        <w:trPr>
          <w:cantSplit/>
        </w:trPr>
        <w:tc>
          <w:tcPr>
            <w:tcW w:w="4490" w:type="dxa"/>
            <w:shd w:val="clear" w:color="auto" w:fill="auto"/>
            <w:vAlign w:val="center"/>
          </w:tcPr>
          <w:p w14:paraId="076B1844" w14:textId="77777777" w:rsidR="00EB0B28" w:rsidRDefault="00470B2C">
            <w:pPr>
              <w:pStyle w:val="NormalKeep"/>
              <w:rPr>
                <w:rFonts w:asciiTheme="majorHAnsi" w:hAnsiTheme="majorHAnsi"/>
                <w:sz w:val="20"/>
                <w:szCs w:val="20"/>
              </w:rPr>
            </w:pPr>
            <w:r>
              <w:rPr>
                <w:rFonts w:asciiTheme="majorHAnsi" w:hAnsiTheme="majorHAnsi"/>
                <w:sz w:val="20"/>
                <w:szCs w:val="20"/>
              </w:rPr>
              <w:t>P</w:t>
            </w:r>
            <w:r>
              <w:rPr>
                <w:rFonts w:asciiTheme="majorHAnsi" w:hAnsiTheme="majorHAnsi"/>
                <w:sz w:val="20"/>
                <w:szCs w:val="20"/>
              </w:rPr>
              <w:noBreakHyphen/>
            </w:r>
            <w:proofErr w:type="spellStart"/>
            <w:r>
              <w:rPr>
                <w:rFonts w:asciiTheme="majorHAnsi" w:hAnsiTheme="majorHAnsi"/>
                <w:sz w:val="20"/>
                <w:szCs w:val="20"/>
              </w:rPr>
              <w:t>value</w:t>
            </w:r>
            <w:r>
              <w:rPr>
                <w:rStyle w:val="Superscript"/>
                <w:rFonts w:asciiTheme="majorHAnsi" w:hAnsiTheme="majorHAnsi"/>
                <w:sz w:val="20"/>
                <w:szCs w:val="20"/>
              </w:rPr>
              <w:t>b</w:t>
            </w:r>
            <w:proofErr w:type="spellEnd"/>
          </w:p>
        </w:tc>
        <w:tc>
          <w:tcPr>
            <w:tcW w:w="4577" w:type="dxa"/>
            <w:gridSpan w:val="2"/>
            <w:shd w:val="clear" w:color="auto" w:fill="auto"/>
            <w:vAlign w:val="center"/>
          </w:tcPr>
          <w:p w14:paraId="328EA3F9" w14:textId="77777777" w:rsidR="00EB0B28" w:rsidRDefault="00470B2C">
            <w:pPr>
              <w:spacing w:line="240" w:lineRule="auto"/>
              <w:rPr>
                <w:rFonts w:asciiTheme="majorHAnsi" w:hAnsiTheme="majorHAnsi"/>
                <w:sz w:val="20"/>
                <w:szCs w:val="20"/>
              </w:rPr>
            </w:pPr>
            <w:r>
              <w:rPr>
                <w:rFonts w:asciiTheme="majorHAnsi" w:hAnsiTheme="majorHAnsi"/>
                <w:sz w:val="20"/>
                <w:szCs w:val="20"/>
              </w:rPr>
              <w:t>&lt; 0.001</w:t>
            </w:r>
          </w:p>
        </w:tc>
      </w:tr>
      <w:tr w:rsidR="00EB0B28" w14:paraId="75E4CD95" w14:textId="77777777">
        <w:trPr>
          <w:cantSplit/>
        </w:trPr>
        <w:tc>
          <w:tcPr>
            <w:tcW w:w="9067" w:type="dxa"/>
            <w:gridSpan w:val="3"/>
            <w:shd w:val="clear" w:color="auto" w:fill="auto"/>
            <w:vAlign w:val="center"/>
          </w:tcPr>
          <w:p w14:paraId="0A0827A0" w14:textId="77777777" w:rsidR="00EB0B28" w:rsidRDefault="00470B2C">
            <w:pPr>
              <w:pStyle w:val="HeadingStrong"/>
              <w:rPr>
                <w:rFonts w:asciiTheme="majorHAnsi" w:hAnsiTheme="majorHAnsi"/>
                <w:sz w:val="20"/>
                <w:szCs w:val="20"/>
              </w:rPr>
            </w:pPr>
            <w:r>
              <w:rPr>
                <w:rFonts w:asciiTheme="majorHAnsi" w:hAnsiTheme="majorHAnsi"/>
                <w:sz w:val="20"/>
                <w:szCs w:val="20"/>
              </w:rPr>
              <w:t xml:space="preserve">Daily worst pain </w:t>
            </w:r>
            <w:proofErr w:type="spellStart"/>
            <w:r>
              <w:rPr>
                <w:rFonts w:asciiTheme="majorHAnsi" w:hAnsiTheme="majorHAnsi"/>
                <w:sz w:val="20"/>
                <w:szCs w:val="20"/>
              </w:rPr>
              <w:t>score</w:t>
            </w:r>
            <w:r>
              <w:rPr>
                <w:rStyle w:val="Superscript"/>
                <w:rFonts w:asciiTheme="majorHAnsi" w:hAnsiTheme="majorHAnsi"/>
                <w:sz w:val="20"/>
                <w:szCs w:val="20"/>
              </w:rPr>
              <w:t>c</w:t>
            </w:r>
            <w:proofErr w:type="spellEnd"/>
          </w:p>
        </w:tc>
      </w:tr>
      <w:tr w:rsidR="00EB0B28" w14:paraId="6379D912" w14:textId="77777777">
        <w:trPr>
          <w:cantSplit/>
        </w:trPr>
        <w:tc>
          <w:tcPr>
            <w:tcW w:w="4490" w:type="dxa"/>
            <w:shd w:val="clear" w:color="auto" w:fill="auto"/>
            <w:vAlign w:val="center"/>
          </w:tcPr>
          <w:p w14:paraId="65AFD0A0" w14:textId="77777777" w:rsidR="00EB0B28" w:rsidRDefault="00470B2C">
            <w:pPr>
              <w:pStyle w:val="NormalKeep"/>
              <w:rPr>
                <w:rFonts w:asciiTheme="majorHAnsi" w:hAnsiTheme="majorHAnsi"/>
                <w:sz w:val="20"/>
                <w:szCs w:val="20"/>
              </w:rPr>
            </w:pPr>
            <w:r>
              <w:rPr>
                <w:rFonts w:asciiTheme="majorHAnsi" w:hAnsiTheme="majorHAnsi"/>
                <w:sz w:val="20"/>
                <w:szCs w:val="20"/>
              </w:rPr>
              <w:t>Baseline, median (Q1, Q3)</w:t>
            </w:r>
          </w:p>
        </w:tc>
        <w:tc>
          <w:tcPr>
            <w:tcW w:w="2340" w:type="dxa"/>
            <w:shd w:val="clear" w:color="auto" w:fill="auto"/>
            <w:vAlign w:val="center"/>
          </w:tcPr>
          <w:p w14:paraId="24E381F0" w14:textId="77777777" w:rsidR="00EB0B28" w:rsidRDefault="00470B2C">
            <w:pPr>
              <w:spacing w:line="240" w:lineRule="auto"/>
              <w:rPr>
                <w:rFonts w:asciiTheme="majorHAnsi" w:hAnsiTheme="majorHAnsi"/>
                <w:sz w:val="20"/>
                <w:szCs w:val="20"/>
              </w:rPr>
            </w:pPr>
            <w:r>
              <w:rPr>
                <w:rFonts w:asciiTheme="majorHAnsi" w:hAnsiTheme="majorHAnsi"/>
                <w:sz w:val="20"/>
                <w:szCs w:val="20"/>
              </w:rPr>
              <w:t>3.3 (1.9, 5.6)</w:t>
            </w:r>
          </w:p>
        </w:tc>
        <w:tc>
          <w:tcPr>
            <w:tcW w:w="2237" w:type="dxa"/>
            <w:shd w:val="clear" w:color="auto" w:fill="auto"/>
            <w:vAlign w:val="center"/>
          </w:tcPr>
          <w:p w14:paraId="46FC98AC" w14:textId="77777777" w:rsidR="00EB0B28" w:rsidRDefault="00470B2C">
            <w:pPr>
              <w:spacing w:line="240" w:lineRule="auto"/>
              <w:rPr>
                <w:rFonts w:asciiTheme="majorHAnsi" w:hAnsiTheme="majorHAnsi"/>
                <w:sz w:val="20"/>
                <w:szCs w:val="20"/>
              </w:rPr>
            </w:pPr>
            <w:r>
              <w:rPr>
                <w:rFonts w:asciiTheme="majorHAnsi" w:hAnsiTheme="majorHAnsi"/>
                <w:sz w:val="20"/>
                <w:szCs w:val="20"/>
              </w:rPr>
              <w:t>2.2 (1.2, 4.5)</w:t>
            </w:r>
          </w:p>
        </w:tc>
      </w:tr>
      <w:tr w:rsidR="00EB0B28" w14:paraId="49F36F40" w14:textId="77777777">
        <w:trPr>
          <w:cantSplit/>
        </w:trPr>
        <w:tc>
          <w:tcPr>
            <w:tcW w:w="4490" w:type="dxa"/>
            <w:shd w:val="clear" w:color="auto" w:fill="auto"/>
            <w:vAlign w:val="center"/>
          </w:tcPr>
          <w:p w14:paraId="54897888" w14:textId="77777777" w:rsidR="00EB0B28" w:rsidRDefault="00470B2C">
            <w:pPr>
              <w:pStyle w:val="NormalKeep"/>
              <w:rPr>
                <w:rFonts w:asciiTheme="majorHAnsi" w:hAnsiTheme="majorHAnsi"/>
                <w:sz w:val="20"/>
                <w:szCs w:val="20"/>
              </w:rPr>
            </w:pPr>
            <w:r>
              <w:rPr>
                <w:rFonts w:asciiTheme="majorHAnsi" w:hAnsiTheme="majorHAnsi"/>
                <w:sz w:val="20"/>
                <w:szCs w:val="20"/>
              </w:rPr>
              <w:t>Median of treatment difference (95 %) (givosiran-placebo)</w:t>
            </w:r>
          </w:p>
        </w:tc>
        <w:tc>
          <w:tcPr>
            <w:tcW w:w="4577" w:type="dxa"/>
            <w:gridSpan w:val="2"/>
            <w:shd w:val="clear" w:color="auto" w:fill="auto"/>
            <w:vAlign w:val="center"/>
          </w:tcPr>
          <w:p w14:paraId="38E1CFF3" w14:textId="77777777" w:rsidR="00EB0B28" w:rsidRDefault="00470B2C">
            <w:pPr>
              <w:spacing w:line="240" w:lineRule="auto"/>
              <w:rPr>
                <w:rFonts w:asciiTheme="majorHAnsi" w:hAnsiTheme="majorHAnsi"/>
                <w:sz w:val="20"/>
                <w:szCs w:val="20"/>
              </w:rPr>
            </w:pPr>
            <w:r>
              <w:rPr>
                <w:rFonts w:asciiTheme="majorHAnsi" w:hAnsiTheme="majorHAnsi"/>
                <w:sz w:val="20"/>
                <w:szCs w:val="20"/>
              </w:rPr>
              <w:t>−10.1 (−22.8, 0.9)</w:t>
            </w:r>
          </w:p>
        </w:tc>
      </w:tr>
      <w:tr w:rsidR="00EB0B28" w14:paraId="386B19E5" w14:textId="77777777">
        <w:trPr>
          <w:cantSplit/>
        </w:trPr>
        <w:tc>
          <w:tcPr>
            <w:tcW w:w="4490" w:type="dxa"/>
            <w:shd w:val="clear" w:color="auto" w:fill="auto"/>
            <w:vAlign w:val="center"/>
          </w:tcPr>
          <w:p w14:paraId="1AFFB927" w14:textId="77777777" w:rsidR="00EB0B28" w:rsidRDefault="00470B2C">
            <w:pPr>
              <w:pStyle w:val="NormalKeep"/>
              <w:rPr>
                <w:rFonts w:asciiTheme="majorHAnsi" w:hAnsiTheme="majorHAnsi"/>
                <w:sz w:val="20"/>
                <w:szCs w:val="20"/>
              </w:rPr>
            </w:pPr>
            <w:r>
              <w:rPr>
                <w:rFonts w:asciiTheme="majorHAnsi" w:hAnsiTheme="majorHAnsi"/>
                <w:sz w:val="20"/>
                <w:szCs w:val="20"/>
              </w:rPr>
              <w:t>P</w:t>
            </w:r>
            <w:r>
              <w:rPr>
                <w:rFonts w:asciiTheme="majorHAnsi" w:hAnsiTheme="majorHAnsi"/>
                <w:sz w:val="20"/>
                <w:szCs w:val="20"/>
              </w:rPr>
              <w:noBreakHyphen/>
              <w:t>value</w:t>
            </w:r>
          </w:p>
        </w:tc>
        <w:tc>
          <w:tcPr>
            <w:tcW w:w="4577" w:type="dxa"/>
            <w:gridSpan w:val="2"/>
            <w:shd w:val="clear" w:color="auto" w:fill="auto"/>
            <w:vAlign w:val="center"/>
          </w:tcPr>
          <w:p w14:paraId="5F6ECAE8" w14:textId="77777777" w:rsidR="00EB0B28" w:rsidRDefault="00470B2C">
            <w:pPr>
              <w:spacing w:line="240" w:lineRule="auto"/>
              <w:rPr>
                <w:rFonts w:asciiTheme="majorHAnsi" w:hAnsiTheme="majorHAnsi"/>
                <w:sz w:val="20"/>
                <w:szCs w:val="20"/>
              </w:rPr>
            </w:pPr>
            <w:r>
              <w:rPr>
                <w:rFonts w:asciiTheme="majorHAnsi" w:hAnsiTheme="majorHAnsi"/>
                <w:sz w:val="20"/>
                <w:szCs w:val="20"/>
              </w:rPr>
              <w:t>&lt; 0.05</w:t>
            </w:r>
          </w:p>
        </w:tc>
      </w:tr>
      <w:tr w:rsidR="00EB0B28" w14:paraId="01ADD29B" w14:textId="77777777">
        <w:trPr>
          <w:cantSplit/>
        </w:trPr>
        <w:tc>
          <w:tcPr>
            <w:tcW w:w="9067" w:type="dxa"/>
            <w:gridSpan w:val="3"/>
            <w:shd w:val="clear" w:color="auto" w:fill="auto"/>
            <w:vAlign w:val="center"/>
          </w:tcPr>
          <w:p w14:paraId="7FCD4A71" w14:textId="77777777" w:rsidR="00EB0B28" w:rsidRDefault="00470B2C">
            <w:pPr>
              <w:pStyle w:val="HeadingStrong"/>
              <w:rPr>
                <w:rFonts w:asciiTheme="majorHAnsi" w:hAnsiTheme="majorHAnsi"/>
                <w:sz w:val="20"/>
                <w:szCs w:val="20"/>
              </w:rPr>
            </w:pPr>
            <w:r>
              <w:rPr>
                <w:rFonts w:asciiTheme="majorHAnsi" w:hAnsiTheme="majorHAnsi"/>
                <w:sz w:val="20"/>
                <w:szCs w:val="20"/>
              </w:rPr>
              <w:t>PCS of SF</w:t>
            </w:r>
            <w:r>
              <w:rPr>
                <w:rFonts w:asciiTheme="majorHAnsi" w:hAnsiTheme="majorHAnsi"/>
                <w:sz w:val="20"/>
                <w:szCs w:val="20"/>
              </w:rPr>
              <w:noBreakHyphen/>
              <w:t>12</w:t>
            </w:r>
            <w:r>
              <w:rPr>
                <w:rStyle w:val="Superscript"/>
                <w:rFonts w:asciiTheme="majorHAnsi" w:hAnsiTheme="majorHAnsi"/>
                <w:sz w:val="20"/>
                <w:szCs w:val="20"/>
              </w:rPr>
              <w:t>d</w:t>
            </w:r>
          </w:p>
        </w:tc>
      </w:tr>
      <w:tr w:rsidR="00EB0B28" w14:paraId="4D1ADCEE" w14:textId="77777777">
        <w:trPr>
          <w:cantSplit/>
        </w:trPr>
        <w:tc>
          <w:tcPr>
            <w:tcW w:w="4490" w:type="dxa"/>
            <w:shd w:val="clear" w:color="auto" w:fill="auto"/>
            <w:vAlign w:val="center"/>
          </w:tcPr>
          <w:p w14:paraId="04753A09" w14:textId="77777777" w:rsidR="00EB0B28" w:rsidRDefault="00470B2C">
            <w:pPr>
              <w:pStyle w:val="NormalKeep"/>
              <w:rPr>
                <w:rFonts w:asciiTheme="majorHAnsi" w:hAnsiTheme="majorHAnsi"/>
                <w:sz w:val="20"/>
                <w:szCs w:val="20"/>
              </w:rPr>
            </w:pPr>
            <w:r>
              <w:rPr>
                <w:rFonts w:asciiTheme="majorHAnsi" w:hAnsiTheme="majorHAnsi"/>
                <w:sz w:val="20"/>
                <w:szCs w:val="20"/>
              </w:rPr>
              <w:t>Baseline, mean (SD)</w:t>
            </w:r>
          </w:p>
        </w:tc>
        <w:tc>
          <w:tcPr>
            <w:tcW w:w="2340" w:type="dxa"/>
            <w:shd w:val="clear" w:color="auto" w:fill="auto"/>
            <w:vAlign w:val="center"/>
          </w:tcPr>
          <w:p w14:paraId="204027D1" w14:textId="77777777" w:rsidR="00EB0B28" w:rsidRDefault="00470B2C">
            <w:pPr>
              <w:spacing w:line="240" w:lineRule="auto"/>
              <w:rPr>
                <w:rFonts w:asciiTheme="majorHAnsi" w:hAnsiTheme="majorHAnsi"/>
                <w:sz w:val="20"/>
                <w:szCs w:val="20"/>
              </w:rPr>
            </w:pPr>
            <w:r>
              <w:rPr>
                <w:rFonts w:asciiTheme="majorHAnsi" w:hAnsiTheme="majorHAnsi"/>
                <w:sz w:val="20"/>
                <w:szCs w:val="20"/>
              </w:rPr>
              <w:t>38.4 (9.4)</w:t>
            </w:r>
          </w:p>
        </w:tc>
        <w:tc>
          <w:tcPr>
            <w:tcW w:w="2237" w:type="dxa"/>
            <w:shd w:val="clear" w:color="auto" w:fill="auto"/>
            <w:vAlign w:val="center"/>
          </w:tcPr>
          <w:p w14:paraId="58443E67" w14:textId="77777777" w:rsidR="00EB0B28" w:rsidRDefault="00470B2C">
            <w:pPr>
              <w:spacing w:line="240" w:lineRule="auto"/>
              <w:rPr>
                <w:rFonts w:asciiTheme="majorHAnsi" w:hAnsiTheme="majorHAnsi"/>
                <w:sz w:val="20"/>
                <w:szCs w:val="20"/>
              </w:rPr>
            </w:pPr>
            <w:r>
              <w:rPr>
                <w:rFonts w:asciiTheme="majorHAnsi" w:hAnsiTheme="majorHAnsi"/>
                <w:sz w:val="20"/>
                <w:szCs w:val="20"/>
              </w:rPr>
              <w:t>39.4 (9.6)</w:t>
            </w:r>
          </w:p>
        </w:tc>
      </w:tr>
      <w:tr w:rsidR="00EB0B28" w14:paraId="0DDE7253" w14:textId="77777777">
        <w:trPr>
          <w:cantSplit/>
        </w:trPr>
        <w:tc>
          <w:tcPr>
            <w:tcW w:w="4490" w:type="dxa"/>
            <w:shd w:val="clear" w:color="auto" w:fill="auto"/>
            <w:vAlign w:val="center"/>
          </w:tcPr>
          <w:p w14:paraId="1A9A8103" w14:textId="77777777" w:rsidR="00EB0B28" w:rsidRDefault="00470B2C">
            <w:pPr>
              <w:pStyle w:val="NormalKeep"/>
              <w:rPr>
                <w:rFonts w:asciiTheme="majorHAnsi" w:hAnsiTheme="majorHAnsi"/>
                <w:sz w:val="20"/>
                <w:szCs w:val="20"/>
              </w:rPr>
            </w:pPr>
            <w:r>
              <w:rPr>
                <w:rFonts w:asciiTheme="majorHAnsi" w:hAnsiTheme="majorHAnsi"/>
                <w:sz w:val="20"/>
                <w:szCs w:val="20"/>
              </w:rPr>
              <w:t>Change from baseline at Month 6, LS mean (95 % CI)</w:t>
            </w:r>
          </w:p>
        </w:tc>
        <w:tc>
          <w:tcPr>
            <w:tcW w:w="2340" w:type="dxa"/>
            <w:shd w:val="clear" w:color="auto" w:fill="auto"/>
            <w:vAlign w:val="center"/>
          </w:tcPr>
          <w:p w14:paraId="34540ECE" w14:textId="77777777" w:rsidR="00EB0B28" w:rsidRDefault="00470B2C">
            <w:pPr>
              <w:spacing w:line="240" w:lineRule="auto"/>
              <w:rPr>
                <w:rFonts w:asciiTheme="majorHAnsi" w:hAnsiTheme="majorHAnsi"/>
                <w:sz w:val="20"/>
                <w:szCs w:val="20"/>
              </w:rPr>
            </w:pPr>
            <w:r>
              <w:rPr>
                <w:rFonts w:asciiTheme="majorHAnsi" w:hAnsiTheme="majorHAnsi"/>
                <w:sz w:val="20"/>
                <w:szCs w:val="20"/>
              </w:rPr>
              <w:t>1.4 (−1.0, 3.9)</w:t>
            </w:r>
          </w:p>
        </w:tc>
        <w:tc>
          <w:tcPr>
            <w:tcW w:w="2237" w:type="dxa"/>
            <w:shd w:val="clear" w:color="auto" w:fill="auto"/>
            <w:vAlign w:val="center"/>
          </w:tcPr>
          <w:p w14:paraId="17C8CFF4" w14:textId="77777777" w:rsidR="00EB0B28" w:rsidRDefault="00470B2C">
            <w:pPr>
              <w:spacing w:line="240" w:lineRule="auto"/>
              <w:rPr>
                <w:rFonts w:asciiTheme="majorHAnsi" w:hAnsiTheme="majorHAnsi"/>
                <w:sz w:val="20"/>
                <w:szCs w:val="20"/>
              </w:rPr>
            </w:pPr>
            <w:r>
              <w:rPr>
                <w:rFonts w:asciiTheme="majorHAnsi" w:hAnsiTheme="majorHAnsi"/>
                <w:sz w:val="20"/>
                <w:szCs w:val="20"/>
              </w:rPr>
              <w:t>5.4 (3.0, 7.7)</w:t>
            </w:r>
          </w:p>
        </w:tc>
      </w:tr>
      <w:tr w:rsidR="00EB0B28" w14:paraId="2B3AF236" w14:textId="77777777">
        <w:trPr>
          <w:cantSplit/>
        </w:trPr>
        <w:tc>
          <w:tcPr>
            <w:tcW w:w="4490" w:type="dxa"/>
            <w:shd w:val="clear" w:color="auto" w:fill="auto"/>
            <w:vAlign w:val="center"/>
          </w:tcPr>
          <w:p w14:paraId="29D493D9" w14:textId="77777777" w:rsidR="00EB0B28" w:rsidRDefault="00470B2C">
            <w:pPr>
              <w:pStyle w:val="NormalKeep"/>
              <w:rPr>
                <w:rFonts w:asciiTheme="majorHAnsi" w:hAnsiTheme="majorHAnsi"/>
                <w:sz w:val="20"/>
                <w:szCs w:val="20"/>
              </w:rPr>
            </w:pPr>
            <w:r>
              <w:rPr>
                <w:rFonts w:asciiTheme="majorHAnsi" w:hAnsiTheme="majorHAnsi"/>
                <w:sz w:val="20"/>
                <w:szCs w:val="20"/>
              </w:rPr>
              <w:t>LS mean difference (95 % CI) (givosiran-placebo)</w:t>
            </w:r>
          </w:p>
        </w:tc>
        <w:tc>
          <w:tcPr>
            <w:tcW w:w="4577" w:type="dxa"/>
            <w:gridSpan w:val="2"/>
            <w:shd w:val="clear" w:color="auto" w:fill="auto"/>
            <w:vAlign w:val="center"/>
          </w:tcPr>
          <w:p w14:paraId="5B38C06D" w14:textId="77777777" w:rsidR="00EB0B28" w:rsidRDefault="00470B2C">
            <w:pPr>
              <w:spacing w:line="240" w:lineRule="auto"/>
              <w:rPr>
                <w:rFonts w:asciiTheme="majorHAnsi" w:hAnsiTheme="majorHAnsi"/>
                <w:sz w:val="20"/>
                <w:szCs w:val="20"/>
              </w:rPr>
            </w:pPr>
            <w:r>
              <w:rPr>
                <w:rFonts w:asciiTheme="majorHAnsi" w:hAnsiTheme="majorHAnsi"/>
                <w:sz w:val="20"/>
                <w:szCs w:val="20"/>
              </w:rPr>
              <w:t>3.9 (0.6, 7.3)</w:t>
            </w:r>
          </w:p>
        </w:tc>
      </w:tr>
      <w:tr w:rsidR="00EB0B28" w14:paraId="4CBB004A" w14:textId="77777777">
        <w:trPr>
          <w:cantSplit/>
        </w:trPr>
        <w:tc>
          <w:tcPr>
            <w:tcW w:w="4490" w:type="dxa"/>
            <w:shd w:val="clear" w:color="auto" w:fill="auto"/>
            <w:vAlign w:val="center"/>
          </w:tcPr>
          <w:p w14:paraId="0F6AC894" w14:textId="77777777" w:rsidR="00EB0B28" w:rsidRDefault="00470B2C">
            <w:pPr>
              <w:pStyle w:val="NormalKeep"/>
              <w:rPr>
                <w:rFonts w:asciiTheme="majorHAnsi" w:hAnsiTheme="majorHAnsi"/>
                <w:sz w:val="20"/>
                <w:szCs w:val="20"/>
              </w:rPr>
            </w:pPr>
            <w:r>
              <w:rPr>
                <w:rFonts w:asciiTheme="majorHAnsi" w:hAnsiTheme="majorHAnsi"/>
                <w:bCs/>
                <w:iCs/>
                <w:sz w:val="20"/>
                <w:szCs w:val="20"/>
                <w:lang w:val="en-US"/>
              </w:rPr>
              <w:t xml:space="preserve">Nominal </w:t>
            </w:r>
            <w:r>
              <w:rPr>
                <w:rFonts w:asciiTheme="majorHAnsi" w:hAnsiTheme="majorHAnsi"/>
                <w:sz w:val="20"/>
                <w:szCs w:val="20"/>
              </w:rPr>
              <w:t>P</w:t>
            </w:r>
            <w:r>
              <w:rPr>
                <w:rFonts w:asciiTheme="majorHAnsi" w:hAnsiTheme="majorHAnsi"/>
                <w:sz w:val="20"/>
                <w:szCs w:val="20"/>
              </w:rPr>
              <w:noBreakHyphen/>
              <w:t>value</w:t>
            </w:r>
          </w:p>
        </w:tc>
        <w:tc>
          <w:tcPr>
            <w:tcW w:w="4577" w:type="dxa"/>
            <w:gridSpan w:val="2"/>
            <w:shd w:val="clear" w:color="auto" w:fill="auto"/>
            <w:vAlign w:val="center"/>
          </w:tcPr>
          <w:p w14:paraId="0E9D89C5" w14:textId="77777777" w:rsidR="00EB0B28" w:rsidRDefault="00470B2C">
            <w:pPr>
              <w:spacing w:line="240" w:lineRule="auto"/>
              <w:rPr>
                <w:rFonts w:asciiTheme="majorHAnsi" w:hAnsiTheme="majorHAnsi"/>
                <w:sz w:val="20"/>
                <w:szCs w:val="20"/>
              </w:rPr>
            </w:pPr>
            <w:r>
              <w:rPr>
                <w:rFonts w:asciiTheme="majorHAnsi" w:hAnsiTheme="majorHAnsi"/>
                <w:sz w:val="20"/>
                <w:szCs w:val="20"/>
              </w:rPr>
              <w:t>&lt; 0.05</w:t>
            </w:r>
          </w:p>
        </w:tc>
      </w:tr>
    </w:tbl>
    <w:p w14:paraId="3D06F9CA" w14:textId="77777777" w:rsidR="00EB0B28" w:rsidRDefault="00470B2C">
      <w:pPr>
        <w:pStyle w:val="TableFootnoteText"/>
        <w:keepNext/>
        <w:rPr>
          <w:rFonts w:asciiTheme="majorHAnsi" w:hAnsiTheme="majorHAnsi"/>
          <w:sz w:val="18"/>
          <w:szCs w:val="18"/>
        </w:rPr>
      </w:pPr>
      <w:r>
        <w:rPr>
          <w:rFonts w:asciiTheme="majorHAnsi" w:hAnsiTheme="majorHAnsi"/>
          <w:sz w:val="18"/>
          <w:szCs w:val="18"/>
        </w:rPr>
        <w:t>AAR, Annualised Attack Rate; AIP, Acute Intermittent Porphyria; CI, Confidence Interval; Q1, Quartile 1; Q3, Quartile 3; LS, Least Square; PCS, Physical Component Summary; SF</w:t>
      </w:r>
      <w:r>
        <w:rPr>
          <w:rFonts w:asciiTheme="majorHAnsi" w:hAnsiTheme="majorHAnsi"/>
          <w:sz w:val="18"/>
          <w:szCs w:val="18"/>
        </w:rPr>
        <w:noBreakHyphen/>
        <w:t>12, the 12</w:t>
      </w:r>
      <w:r>
        <w:rPr>
          <w:rFonts w:asciiTheme="majorHAnsi" w:hAnsiTheme="majorHAnsi"/>
          <w:sz w:val="18"/>
          <w:szCs w:val="18"/>
        </w:rPr>
        <w:noBreakHyphen/>
        <w:t>item Short-Form Health Survey</w:t>
      </w:r>
    </w:p>
    <w:p w14:paraId="4FA98B3B" w14:textId="77777777" w:rsidR="00EB0B28" w:rsidRDefault="00470B2C">
      <w:pPr>
        <w:pStyle w:val="TableFootnote"/>
        <w:rPr>
          <w:rFonts w:asciiTheme="majorHAnsi" w:hAnsiTheme="majorHAnsi"/>
          <w:sz w:val="18"/>
          <w:szCs w:val="18"/>
        </w:rPr>
      </w:pPr>
      <w:r>
        <w:rPr>
          <w:rStyle w:val="Superscript"/>
          <w:rFonts w:asciiTheme="majorHAnsi" w:hAnsiTheme="majorHAnsi"/>
          <w:sz w:val="18"/>
          <w:szCs w:val="18"/>
        </w:rPr>
        <w:t>a</w:t>
      </w:r>
      <w:r>
        <w:rPr>
          <w:rFonts w:asciiTheme="majorHAnsi" w:hAnsiTheme="majorHAnsi"/>
          <w:sz w:val="18"/>
          <w:szCs w:val="18"/>
        </w:rPr>
        <w:tab/>
        <w:t>Composite porphyria attacks includes three components: attacks requiring hospitalisation, urgent healthcare visits, or IV hemin administration at home.</w:t>
      </w:r>
    </w:p>
    <w:p w14:paraId="364F2FE6" w14:textId="77777777" w:rsidR="00EB0B28" w:rsidRDefault="00470B2C">
      <w:pPr>
        <w:pStyle w:val="TableFootnote"/>
        <w:rPr>
          <w:rFonts w:asciiTheme="majorHAnsi" w:hAnsiTheme="majorHAnsi"/>
          <w:sz w:val="18"/>
          <w:szCs w:val="18"/>
        </w:rPr>
      </w:pPr>
      <w:r>
        <w:rPr>
          <w:rStyle w:val="Superscript"/>
          <w:rFonts w:asciiTheme="majorHAnsi" w:hAnsiTheme="majorHAnsi"/>
          <w:sz w:val="18"/>
          <w:szCs w:val="18"/>
        </w:rPr>
        <w:t>b</w:t>
      </w:r>
      <w:r>
        <w:rPr>
          <w:rFonts w:asciiTheme="majorHAnsi" w:hAnsiTheme="majorHAnsi"/>
          <w:sz w:val="18"/>
          <w:szCs w:val="18"/>
        </w:rPr>
        <w:tab/>
        <w:t>Based on negative binomial regression model. A rate ratio &lt; 1 represents a favourable outcome for givosiran.</w:t>
      </w:r>
    </w:p>
    <w:p w14:paraId="16ED5FC0" w14:textId="77777777" w:rsidR="00EB0B28" w:rsidRDefault="00470B2C">
      <w:pPr>
        <w:pStyle w:val="TableFootnote"/>
        <w:rPr>
          <w:rFonts w:asciiTheme="majorHAnsi" w:hAnsiTheme="majorHAnsi"/>
          <w:sz w:val="18"/>
          <w:szCs w:val="18"/>
        </w:rPr>
      </w:pPr>
      <w:r>
        <w:rPr>
          <w:rStyle w:val="Superscript"/>
          <w:rFonts w:asciiTheme="majorHAnsi" w:hAnsiTheme="majorHAnsi"/>
          <w:sz w:val="18"/>
          <w:szCs w:val="18"/>
        </w:rPr>
        <w:t>c</w:t>
      </w:r>
      <w:r>
        <w:rPr>
          <w:rFonts w:asciiTheme="majorHAnsi" w:hAnsiTheme="majorHAnsi"/>
          <w:sz w:val="18"/>
          <w:szCs w:val="18"/>
        </w:rPr>
        <w:tab/>
        <w:t xml:space="preserve">Patients provided a daily self-assessment of their worst pain based on a 0 to 10 numerical rating scale (NRS). A lower score indicates fewer symptoms. Median of treatment difference and CI were estimated using the Hodges-Lehmann method; </w:t>
      </w:r>
      <w:r>
        <w:rPr>
          <w:rStyle w:val="Emphasis"/>
          <w:rFonts w:asciiTheme="majorHAnsi" w:hAnsiTheme="majorHAnsi"/>
          <w:sz w:val="18"/>
          <w:szCs w:val="18"/>
        </w:rPr>
        <w:t>p</w:t>
      </w:r>
      <w:r>
        <w:rPr>
          <w:rFonts w:asciiTheme="majorHAnsi" w:hAnsiTheme="majorHAnsi"/>
          <w:sz w:val="18"/>
          <w:szCs w:val="18"/>
        </w:rPr>
        <w:noBreakHyphen/>
        <w:t>value was based on Wilcoxon rank sum test, which was conducted post-hoc after data showed a significant deviation from normal distribution.</w:t>
      </w:r>
    </w:p>
    <w:p w14:paraId="2B7F1062" w14:textId="77777777" w:rsidR="00EB0B28" w:rsidRDefault="00470B2C">
      <w:pPr>
        <w:pStyle w:val="TableFootnote"/>
        <w:rPr>
          <w:rFonts w:asciiTheme="majorHAnsi" w:hAnsiTheme="majorHAnsi"/>
          <w:sz w:val="18"/>
          <w:szCs w:val="18"/>
        </w:rPr>
      </w:pPr>
      <w:r>
        <w:rPr>
          <w:rStyle w:val="Superscript"/>
          <w:rFonts w:asciiTheme="majorHAnsi" w:hAnsiTheme="majorHAnsi"/>
          <w:sz w:val="18"/>
          <w:szCs w:val="18"/>
        </w:rPr>
        <w:lastRenderedPageBreak/>
        <w:t>d</w:t>
      </w:r>
      <w:r>
        <w:rPr>
          <w:rFonts w:asciiTheme="majorHAnsi" w:hAnsiTheme="majorHAnsi"/>
          <w:sz w:val="18"/>
          <w:szCs w:val="18"/>
        </w:rPr>
        <w:tab/>
        <w:t>A higher score indicates improved health-related quality of life; analysed using the mixed-effect model repeated measures (MMRM) method. The endpoint was not formally tested for statistical significance; a nominal p-value was reported.</w:t>
      </w:r>
    </w:p>
    <w:p w14:paraId="338AD291" w14:textId="77777777" w:rsidR="00EB0B28" w:rsidRDefault="00EB0B28">
      <w:pPr>
        <w:rPr>
          <w:rFonts w:asciiTheme="majorHAnsi" w:hAnsiTheme="majorHAnsi"/>
          <w:lang w:val="en-US"/>
        </w:rPr>
      </w:pPr>
    </w:p>
    <w:p w14:paraId="79942ED6" w14:textId="21FAF4B7" w:rsidR="00EB0B28" w:rsidRDefault="00470B2C">
      <w:pPr>
        <w:rPr>
          <w:rFonts w:asciiTheme="majorHAnsi" w:hAnsiTheme="majorHAnsi"/>
          <w:lang w:val="en-US"/>
        </w:rPr>
      </w:pPr>
      <w:r>
        <w:rPr>
          <w:rFonts w:asciiTheme="majorHAnsi" w:hAnsiTheme="majorHAnsi"/>
          <w:lang w:val="en-US"/>
        </w:rPr>
        <w:t xml:space="preserve">In addition to greater improvement from baseline in the SF 12 PCS score compared to patients treated with placebo at Month 6, there was consistent evidence of effect </w:t>
      </w:r>
      <w:proofErr w:type="spellStart"/>
      <w:r>
        <w:rPr>
          <w:rFonts w:asciiTheme="majorHAnsi" w:hAnsiTheme="majorHAnsi"/>
          <w:lang w:val="en-US"/>
        </w:rPr>
        <w:t>favouring</w:t>
      </w:r>
      <w:proofErr w:type="spellEnd"/>
      <w:r>
        <w:rPr>
          <w:rFonts w:asciiTheme="majorHAnsi" w:hAnsiTheme="majorHAnsi"/>
          <w:lang w:val="en-US"/>
        </w:rPr>
        <w:t xml:space="preserve"> this medicinal product in bodily pain, role-physical, and social functioning domains, but not in the general health, physical functioning, role-emotional, vitality, and mental health domains (Figure 1).</w:t>
      </w:r>
    </w:p>
    <w:p w14:paraId="2990D233" w14:textId="77777777" w:rsidR="00EB0B28" w:rsidRDefault="00470B2C">
      <w:pPr>
        <w:pStyle w:val="HeadingStrong"/>
        <w:rPr>
          <w:rFonts w:asciiTheme="majorHAnsi" w:hAnsiTheme="majorHAnsi"/>
        </w:rPr>
      </w:pPr>
      <w:bookmarkStart w:id="9" w:name="_Ref24471095"/>
      <w:r>
        <w:rPr>
          <w:rFonts w:asciiTheme="majorHAnsi" w:hAnsiTheme="majorHAnsi"/>
        </w:rPr>
        <w:t>Figure </w:t>
      </w:r>
      <w:r>
        <w:rPr>
          <w:rFonts w:asciiTheme="majorHAnsi" w:hAnsiTheme="majorHAnsi"/>
        </w:rPr>
        <w:fldChar w:fldCharType="begin"/>
      </w:r>
      <w:r>
        <w:rPr>
          <w:rFonts w:asciiTheme="majorHAnsi" w:hAnsiTheme="majorHAnsi"/>
        </w:rPr>
        <w:instrText xml:space="preserve"> SEQ Figure \* ARABIC </w:instrText>
      </w:r>
      <w:r>
        <w:rPr>
          <w:rFonts w:asciiTheme="majorHAnsi" w:hAnsiTheme="majorHAnsi"/>
        </w:rPr>
        <w:fldChar w:fldCharType="separate"/>
      </w:r>
      <w:r>
        <w:rPr>
          <w:rFonts w:asciiTheme="majorHAnsi" w:hAnsiTheme="majorHAnsi"/>
        </w:rPr>
        <w:t>1</w:t>
      </w:r>
      <w:r>
        <w:rPr>
          <w:rFonts w:asciiTheme="majorHAnsi" w:hAnsiTheme="majorHAnsi"/>
        </w:rPr>
        <w:fldChar w:fldCharType="end"/>
      </w:r>
      <w:bookmarkEnd w:id="9"/>
      <w:r>
        <w:rPr>
          <w:rFonts w:asciiTheme="majorHAnsi" w:hAnsiTheme="majorHAnsi"/>
        </w:rPr>
        <w:t>: Change from Baseline to Month 6 in SF</w:t>
      </w:r>
      <w:r>
        <w:rPr>
          <w:rFonts w:asciiTheme="majorHAnsi" w:hAnsiTheme="majorHAnsi"/>
        </w:rPr>
        <w:noBreakHyphen/>
        <w:t>12 Domain Scores in Patients with AIP</w:t>
      </w:r>
    </w:p>
    <w:tbl>
      <w:tblPr>
        <w:tblW w:w="5000" w:type="pct"/>
        <w:jc w:val="center"/>
        <w:tblBorders>
          <w:top w:val="single" w:sz="8" w:space="0" w:color="auto"/>
          <w:left w:val="single" w:sz="8" w:space="0" w:color="auto"/>
          <w:bottom w:val="single" w:sz="8" w:space="0" w:color="auto"/>
          <w:right w:val="single" w:sz="8" w:space="0" w:color="auto"/>
        </w:tblBorders>
        <w:tblLayout w:type="fixed"/>
        <w:tblCellMar>
          <w:top w:w="14" w:type="dxa"/>
          <w:left w:w="72" w:type="dxa"/>
          <w:bottom w:w="14" w:type="dxa"/>
          <w:right w:w="72" w:type="dxa"/>
        </w:tblCellMar>
        <w:tblLook w:val="04A0" w:firstRow="1" w:lastRow="0" w:firstColumn="1" w:lastColumn="0" w:noHBand="0" w:noVBand="1"/>
      </w:tblPr>
      <w:tblGrid>
        <w:gridCol w:w="1566"/>
        <w:gridCol w:w="1325"/>
        <w:gridCol w:w="1198"/>
        <w:gridCol w:w="473"/>
        <w:gridCol w:w="1678"/>
        <w:gridCol w:w="499"/>
        <w:gridCol w:w="508"/>
        <w:gridCol w:w="921"/>
        <w:gridCol w:w="838"/>
      </w:tblGrid>
      <w:tr w:rsidR="00EB0B28" w14:paraId="2178CA44" w14:textId="77777777">
        <w:trPr>
          <w:cantSplit/>
          <w:jc w:val="center"/>
        </w:trPr>
        <w:tc>
          <w:tcPr>
            <w:tcW w:w="1693" w:type="dxa"/>
            <w:shd w:val="clear" w:color="auto" w:fill="auto"/>
            <w:vAlign w:val="bottom"/>
          </w:tcPr>
          <w:p w14:paraId="33DCBBA1" w14:textId="77777777" w:rsidR="00EB0B28" w:rsidRDefault="00470B2C">
            <w:pPr>
              <w:pStyle w:val="Call-OutHeading"/>
              <w:rPr>
                <w:rFonts w:asciiTheme="majorHAnsi" w:hAnsiTheme="majorHAnsi"/>
              </w:rPr>
            </w:pPr>
            <w:r>
              <w:rPr>
                <w:rFonts w:asciiTheme="majorHAnsi" w:hAnsiTheme="majorHAnsi"/>
              </w:rPr>
              <w:t>SF</w:t>
            </w:r>
            <w:r>
              <w:rPr>
                <w:rFonts w:asciiTheme="majorHAnsi" w:hAnsiTheme="majorHAnsi"/>
              </w:rPr>
              <w:noBreakHyphen/>
              <w:t>12 Domain</w:t>
            </w:r>
          </w:p>
        </w:tc>
        <w:tc>
          <w:tcPr>
            <w:tcW w:w="2727" w:type="dxa"/>
            <w:gridSpan w:val="2"/>
            <w:shd w:val="clear" w:color="auto" w:fill="auto"/>
            <w:vAlign w:val="bottom"/>
          </w:tcPr>
          <w:p w14:paraId="3616E5CE" w14:textId="77777777" w:rsidR="00EB0B28" w:rsidRDefault="00470B2C">
            <w:pPr>
              <w:pStyle w:val="Call-OutHeading"/>
              <w:rPr>
                <w:rFonts w:asciiTheme="majorHAnsi" w:hAnsiTheme="majorHAnsi"/>
              </w:rPr>
            </w:pPr>
            <w:r>
              <w:rPr>
                <w:rFonts w:asciiTheme="majorHAnsi" w:hAnsiTheme="majorHAnsi"/>
              </w:rPr>
              <w:t>Givosiran – Placebo</w:t>
            </w:r>
          </w:p>
        </w:tc>
        <w:tc>
          <w:tcPr>
            <w:tcW w:w="2330" w:type="dxa"/>
            <w:gridSpan w:val="2"/>
            <w:shd w:val="clear" w:color="auto" w:fill="auto"/>
            <w:vAlign w:val="bottom"/>
          </w:tcPr>
          <w:p w14:paraId="277AF345" w14:textId="77777777" w:rsidR="00EB0B28" w:rsidRDefault="00EB0B28">
            <w:pPr>
              <w:pStyle w:val="Call-OutHeading"/>
              <w:rPr>
                <w:rFonts w:asciiTheme="majorHAnsi" w:hAnsiTheme="majorHAnsi"/>
              </w:rPr>
            </w:pPr>
          </w:p>
        </w:tc>
        <w:tc>
          <w:tcPr>
            <w:tcW w:w="530" w:type="dxa"/>
            <w:shd w:val="clear" w:color="auto" w:fill="auto"/>
            <w:vAlign w:val="bottom"/>
          </w:tcPr>
          <w:p w14:paraId="32D352F8" w14:textId="77777777" w:rsidR="00EB0B28" w:rsidRDefault="00470B2C">
            <w:pPr>
              <w:pStyle w:val="Call-OutHeading"/>
              <w:rPr>
                <w:rFonts w:asciiTheme="majorHAnsi" w:hAnsiTheme="majorHAnsi"/>
              </w:rPr>
            </w:pPr>
            <w:proofErr w:type="spellStart"/>
            <w:r>
              <w:rPr>
                <w:rFonts w:asciiTheme="majorHAnsi" w:hAnsiTheme="majorHAnsi"/>
              </w:rPr>
              <w:t>Pbo</w:t>
            </w:r>
            <w:proofErr w:type="spellEnd"/>
            <w:r>
              <w:rPr>
                <w:rFonts w:asciiTheme="majorHAnsi" w:hAnsiTheme="majorHAnsi"/>
              </w:rPr>
              <w:t xml:space="preserve"> (n)</w:t>
            </w:r>
          </w:p>
        </w:tc>
        <w:tc>
          <w:tcPr>
            <w:tcW w:w="540" w:type="dxa"/>
            <w:shd w:val="clear" w:color="auto" w:fill="auto"/>
            <w:vAlign w:val="bottom"/>
          </w:tcPr>
          <w:p w14:paraId="7022B0B5" w14:textId="77777777" w:rsidR="00EB0B28" w:rsidRDefault="00470B2C">
            <w:pPr>
              <w:pStyle w:val="Call-OutHeading"/>
              <w:rPr>
                <w:rFonts w:asciiTheme="majorHAnsi" w:hAnsiTheme="majorHAnsi"/>
              </w:rPr>
            </w:pPr>
            <w:r>
              <w:rPr>
                <w:rFonts w:asciiTheme="majorHAnsi" w:hAnsiTheme="majorHAnsi"/>
              </w:rPr>
              <w:t>Givo (n)</w:t>
            </w:r>
          </w:p>
        </w:tc>
        <w:tc>
          <w:tcPr>
            <w:tcW w:w="990" w:type="dxa"/>
            <w:shd w:val="clear" w:color="auto" w:fill="auto"/>
            <w:vAlign w:val="bottom"/>
          </w:tcPr>
          <w:p w14:paraId="7DE20DEE" w14:textId="77777777" w:rsidR="00EB0B28" w:rsidRDefault="00470B2C">
            <w:pPr>
              <w:pStyle w:val="Call-OutHeading"/>
              <w:rPr>
                <w:rFonts w:asciiTheme="majorHAnsi" w:hAnsiTheme="majorHAnsi"/>
              </w:rPr>
            </w:pPr>
            <w:r>
              <w:rPr>
                <w:rFonts w:asciiTheme="majorHAnsi" w:hAnsiTheme="majorHAnsi"/>
              </w:rPr>
              <w:t>LS Mean Difference</w:t>
            </w:r>
          </w:p>
        </w:tc>
        <w:tc>
          <w:tcPr>
            <w:tcW w:w="900" w:type="dxa"/>
            <w:shd w:val="clear" w:color="auto" w:fill="auto"/>
            <w:vAlign w:val="bottom"/>
          </w:tcPr>
          <w:p w14:paraId="643D5F2A" w14:textId="77777777" w:rsidR="00EB0B28" w:rsidRDefault="00470B2C">
            <w:pPr>
              <w:pStyle w:val="Call-OutHeading"/>
              <w:rPr>
                <w:rFonts w:asciiTheme="majorHAnsi" w:hAnsiTheme="majorHAnsi"/>
              </w:rPr>
            </w:pPr>
            <w:r>
              <w:rPr>
                <w:rFonts w:asciiTheme="majorHAnsi" w:hAnsiTheme="majorHAnsi"/>
              </w:rPr>
              <w:t>95 % Cl</w:t>
            </w:r>
          </w:p>
        </w:tc>
      </w:tr>
      <w:tr w:rsidR="00EB0B28" w14:paraId="1621B365" w14:textId="77777777">
        <w:trPr>
          <w:cantSplit/>
          <w:trHeight w:val="360"/>
          <w:jc w:val="center"/>
        </w:trPr>
        <w:tc>
          <w:tcPr>
            <w:tcW w:w="1693" w:type="dxa"/>
            <w:shd w:val="clear" w:color="auto" w:fill="auto"/>
            <w:vAlign w:val="center"/>
          </w:tcPr>
          <w:p w14:paraId="31F45DC8" w14:textId="77777777" w:rsidR="00EB0B28" w:rsidRDefault="00470B2C">
            <w:pPr>
              <w:pStyle w:val="Call-OutLeft"/>
              <w:rPr>
                <w:rFonts w:asciiTheme="majorHAnsi" w:hAnsiTheme="majorHAnsi"/>
              </w:rPr>
            </w:pPr>
            <w:r>
              <w:rPr>
                <w:rFonts w:asciiTheme="majorHAnsi" w:hAnsiTheme="majorHAnsi"/>
              </w:rPr>
              <w:t>Physical Component Summary (PCS)</w:t>
            </w:r>
          </w:p>
        </w:tc>
        <w:tc>
          <w:tcPr>
            <w:tcW w:w="5057" w:type="dxa"/>
            <w:gridSpan w:val="4"/>
            <w:vMerge w:val="restart"/>
            <w:shd w:val="clear" w:color="auto" w:fill="auto"/>
            <w:vAlign w:val="center"/>
          </w:tcPr>
          <w:p w14:paraId="06BE9BA6" w14:textId="77777777" w:rsidR="00EB0B28" w:rsidRDefault="00470B2C">
            <w:pPr>
              <w:pStyle w:val="Call-OutLeft"/>
              <w:rPr>
                <w:rFonts w:asciiTheme="majorHAnsi" w:hAnsiTheme="majorHAnsi"/>
              </w:rPr>
            </w:pPr>
            <w:r>
              <w:rPr>
                <w:rFonts w:asciiTheme="majorHAnsi" w:hAnsiTheme="majorHAnsi"/>
                <w:noProof/>
              </w:rPr>
              <w:drawing>
                <wp:inline distT="0" distB="0" distL="0" distR="0" wp14:anchorId="07754412" wp14:editId="38C11C1D">
                  <wp:extent cx="3157220" cy="2648585"/>
                  <wp:effectExtent l="0" t="0" r="0" b="0"/>
                  <wp:docPr id="2" name="Picture 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art, box and whiske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7220" cy="2648585"/>
                          </a:xfrm>
                          <a:prstGeom prst="rect">
                            <a:avLst/>
                          </a:prstGeom>
                          <a:noFill/>
                          <a:ln>
                            <a:noFill/>
                          </a:ln>
                        </pic:spPr>
                      </pic:pic>
                    </a:graphicData>
                  </a:graphic>
                </wp:inline>
              </w:drawing>
            </w:r>
          </w:p>
        </w:tc>
        <w:tc>
          <w:tcPr>
            <w:tcW w:w="530" w:type="dxa"/>
            <w:shd w:val="clear" w:color="auto" w:fill="auto"/>
            <w:vAlign w:val="center"/>
          </w:tcPr>
          <w:p w14:paraId="5965E88C" w14:textId="77777777" w:rsidR="00EB0B28" w:rsidRDefault="00470B2C">
            <w:pPr>
              <w:pStyle w:val="Call-Out"/>
              <w:rPr>
                <w:rFonts w:asciiTheme="majorHAnsi" w:hAnsiTheme="majorHAnsi"/>
              </w:rPr>
            </w:pPr>
            <w:r>
              <w:rPr>
                <w:rFonts w:asciiTheme="majorHAnsi" w:hAnsiTheme="majorHAnsi"/>
              </w:rPr>
              <w:t>42</w:t>
            </w:r>
          </w:p>
        </w:tc>
        <w:tc>
          <w:tcPr>
            <w:tcW w:w="540" w:type="dxa"/>
            <w:shd w:val="clear" w:color="auto" w:fill="auto"/>
            <w:vAlign w:val="center"/>
          </w:tcPr>
          <w:p w14:paraId="35973A5F" w14:textId="77777777" w:rsidR="00EB0B28" w:rsidRDefault="00470B2C">
            <w:pPr>
              <w:pStyle w:val="Call-Out"/>
              <w:rPr>
                <w:rFonts w:asciiTheme="majorHAnsi" w:hAnsiTheme="majorHAnsi"/>
              </w:rPr>
            </w:pPr>
            <w:r>
              <w:rPr>
                <w:rFonts w:asciiTheme="majorHAnsi" w:hAnsiTheme="majorHAnsi"/>
              </w:rPr>
              <w:t>45</w:t>
            </w:r>
          </w:p>
        </w:tc>
        <w:tc>
          <w:tcPr>
            <w:tcW w:w="990" w:type="dxa"/>
            <w:shd w:val="clear" w:color="auto" w:fill="auto"/>
            <w:vAlign w:val="center"/>
          </w:tcPr>
          <w:p w14:paraId="05A71D7D" w14:textId="77777777" w:rsidR="00EB0B28" w:rsidRDefault="00470B2C">
            <w:pPr>
              <w:pStyle w:val="Call-Out"/>
              <w:rPr>
                <w:rFonts w:asciiTheme="majorHAnsi" w:hAnsiTheme="majorHAnsi"/>
              </w:rPr>
            </w:pPr>
            <w:r>
              <w:rPr>
                <w:rFonts w:asciiTheme="majorHAnsi" w:hAnsiTheme="majorHAnsi"/>
              </w:rPr>
              <w:t>3.9</w:t>
            </w:r>
          </w:p>
        </w:tc>
        <w:tc>
          <w:tcPr>
            <w:tcW w:w="900" w:type="dxa"/>
            <w:shd w:val="clear" w:color="auto" w:fill="auto"/>
            <w:vAlign w:val="center"/>
          </w:tcPr>
          <w:p w14:paraId="7723091E" w14:textId="77777777" w:rsidR="00EB0B28" w:rsidRDefault="00470B2C">
            <w:pPr>
              <w:pStyle w:val="Call-Out"/>
              <w:rPr>
                <w:rFonts w:asciiTheme="majorHAnsi" w:hAnsiTheme="majorHAnsi"/>
              </w:rPr>
            </w:pPr>
            <w:r>
              <w:rPr>
                <w:rFonts w:asciiTheme="majorHAnsi" w:hAnsiTheme="majorHAnsi"/>
              </w:rPr>
              <w:t>(0.6, 7.3)</w:t>
            </w:r>
          </w:p>
        </w:tc>
      </w:tr>
      <w:tr w:rsidR="00EB0B28" w14:paraId="6A91BEC3" w14:textId="77777777">
        <w:trPr>
          <w:cantSplit/>
          <w:trHeight w:val="360"/>
          <w:jc w:val="center"/>
        </w:trPr>
        <w:tc>
          <w:tcPr>
            <w:tcW w:w="1693" w:type="dxa"/>
            <w:shd w:val="clear" w:color="auto" w:fill="auto"/>
            <w:vAlign w:val="center"/>
          </w:tcPr>
          <w:p w14:paraId="25EBE7F5" w14:textId="77777777" w:rsidR="00EB0B28" w:rsidRDefault="00470B2C">
            <w:pPr>
              <w:pStyle w:val="Call-OutLeft"/>
              <w:rPr>
                <w:rFonts w:asciiTheme="majorHAnsi" w:hAnsiTheme="majorHAnsi"/>
              </w:rPr>
            </w:pPr>
            <w:r>
              <w:rPr>
                <w:rFonts w:asciiTheme="majorHAnsi" w:hAnsiTheme="majorHAnsi"/>
              </w:rPr>
              <w:t>Mental Component Summary (MCS)</w:t>
            </w:r>
          </w:p>
        </w:tc>
        <w:tc>
          <w:tcPr>
            <w:tcW w:w="5057" w:type="dxa"/>
            <w:gridSpan w:val="4"/>
            <w:vMerge/>
            <w:shd w:val="clear" w:color="auto" w:fill="auto"/>
            <w:vAlign w:val="center"/>
          </w:tcPr>
          <w:p w14:paraId="662E79AB" w14:textId="77777777" w:rsidR="00EB0B28" w:rsidRDefault="00EB0B28">
            <w:pPr>
              <w:pStyle w:val="Call-Out"/>
              <w:rPr>
                <w:rFonts w:asciiTheme="majorHAnsi" w:hAnsiTheme="majorHAnsi"/>
              </w:rPr>
            </w:pPr>
          </w:p>
        </w:tc>
        <w:tc>
          <w:tcPr>
            <w:tcW w:w="530" w:type="dxa"/>
            <w:shd w:val="clear" w:color="auto" w:fill="auto"/>
            <w:vAlign w:val="center"/>
          </w:tcPr>
          <w:p w14:paraId="1FFE82E5" w14:textId="77777777" w:rsidR="00EB0B28" w:rsidRDefault="00470B2C">
            <w:pPr>
              <w:pStyle w:val="Call-Out"/>
              <w:rPr>
                <w:rFonts w:asciiTheme="majorHAnsi" w:hAnsiTheme="majorHAnsi"/>
              </w:rPr>
            </w:pPr>
            <w:r>
              <w:rPr>
                <w:rFonts w:asciiTheme="majorHAnsi" w:hAnsiTheme="majorHAnsi"/>
              </w:rPr>
              <w:t>42</w:t>
            </w:r>
          </w:p>
        </w:tc>
        <w:tc>
          <w:tcPr>
            <w:tcW w:w="540" w:type="dxa"/>
            <w:shd w:val="clear" w:color="auto" w:fill="auto"/>
            <w:vAlign w:val="center"/>
          </w:tcPr>
          <w:p w14:paraId="01F042A4" w14:textId="77777777" w:rsidR="00EB0B28" w:rsidRDefault="00470B2C">
            <w:pPr>
              <w:pStyle w:val="Call-Out"/>
              <w:rPr>
                <w:rFonts w:asciiTheme="majorHAnsi" w:hAnsiTheme="majorHAnsi"/>
              </w:rPr>
            </w:pPr>
            <w:r>
              <w:rPr>
                <w:rFonts w:asciiTheme="majorHAnsi" w:hAnsiTheme="majorHAnsi"/>
              </w:rPr>
              <w:t>45</w:t>
            </w:r>
          </w:p>
        </w:tc>
        <w:tc>
          <w:tcPr>
            <w:tcW w:w="990" w:type="dxa"/>
            <w:shd w:val="clear" w:color="auto" w:fill="auto"/>
            <w:vAlign w:val="center"/>
          </w:tcPr>
          <w:p w14:paraId="793950EF" w14:textId="77777777" w:rsidR="00EB0B28" w:rsidRDefault="00470B2C">
            <w:pPr>
              <w:pStyle w:val="Call-Out"/>
              <w:rPr>
                <w:rFonts w:asciiTheme="majorHAnsi" w:hAnsiTheme="majorHAnsi"/>
              </w:rPr>
            </w:pPr>
            <w:r>
              <w:rPr>
                <w:rFonts w:asciiTheme="majorHAnsi" w:hAnsiTheme="majorHAnsi"/>
              </w:rPr>
              <w:t>2.1</w:t>
            </w:r>
          </w:p>
        </w:tc>
        <w:tc>
          <w:tcPr>
            <w:tcW w:w="900" w:type="dxa"/>
            <w:shd w:val="clear" w:color="auto" w:fill="auto"/>
            <w:vAlign w:val="center"/>
          </w:tcPr>
          <w:p w14:paraId="26E2EC58" w14:textId="77777777" w:rsidR="00EB0B28" w:rsidRDefault="00470B2C">
            <w:pPr>
              <w:pStyle w:val="Call-Out"/>
              <w:rPr>
                <w:rFonts w:asciiTheme="majorHAnsi" w:hAnsiTheme="majorHAnsi"/>
              </w:rPr>
            </w:pPr>
            <w:r>
              <w:rPr>
                <w:rFonts w:asciiTheme="majorHAnsi" w:hAnsiTheme="majorHAnsi"/>
              </w:rPr>
              <w:t>(−1.7, 5.8)</w:t>
            </w:r>
          </w:p>
        </w:tc>
      </w:tr>
      <w:tr w:rsidR="00EB0B28" w14:paraId="194FA0FC" w14:textId="77777777">
        <w:trPr>
          <w:cantSplit/>
          <w:trHeight w:val="360"/>
          <w:jc w:val="center"/>
        </w:trPr>
        <w:tc>
          <w:tcPr>
            <w:tcW w:w="1693" w:type="dxa"/>
            <w:shd w:val="clear" w:color="auto" w:fill="auto"/>
            <w:vAlign w:val="center"/>
          </w:tcPr>
          <w:p w14:paraId="74503406" w14:textId="77777777" w:rsidR="00EB0B28" w:rsidRDefault="00470B2C">
            <w:pPr>
              <w:pStyle w:val="Call-OutLeft"/>
              <w:rPr>
                <w:rFonts w:asciiTheme="majorHAnsi" w:hAnsiTheme="majorHAnsi"/>
              </w:rPr>
            </w:pPr>
            <w:r>
              <w:rPr>
                <w:rFonts w:asciiTheme="majorHAnsi" w:hAnsiTheme="majorHAnsi"/>
              </w:rPr>
              <w:t>Physical Functioning</w:t>
            </w:r>
          </w:p>
        </w:tc>
        <w:tc>
          <w:tcPr>
            <w:tcW w:w="5057" w:type="dxa"/>
            <w:gridSpan w:val="4"/>
            <w:vMerge/>
            <w:shd w:val="clear" w:color="auto" w:fill="auto"/>
            <w:vAlign w:val="center"/>
          </w:tcPr>
          <w:p w14:paraId="43E8CDAE" w14:textId="77777777" w:rsidR="00EB0B28" w:rsidRDefault="00EB0B28">
            <w:pPr>
              <w:pStyle w:val="Call-Out"/>
              <w:rPr>
                <w:rFonts w:asciiTheme="majorHAnsi" w:hAnsiTheme="majorHAnsi"/>
              </w:rPr>
            </w:pPr>
          </w:p>
        </w:tc>
        <w:tc>
          <w:tcPr>
            <w:tcW w:w="530" w:type="dxa"/>
            <w:shd w:val="clear" w:color="auto" w:fill="auto"/>
            <w:vAlign w:val="center"/>
          </w:tcPr>
          <w:p w14:paraId="55275DA8" w14:textId="77777777" w:rsidR="00EB0B28" w:rsidRDefault="00470B2C">
            <w:pPr>
              <w:pStyle w:val="Call-Out"/>
              <w:rPr>
                <w:rFonts w:asciiTheme="majorHAnsi" w:hAnsiTheme="majorHAnsi"/>
              </w:rPr>
            </w:pPr>
            <w:r>
              <w:rPr>
                <w:rFonts w:asciiTheme="majorHAnsi" w:hAnsiTheme="majorHAnsi"/>
              </w:rPr>
              <w:t>43</w:t>
            </w:r>
          </w:p>
        </w:tc>
        <w:tc>
          <w:tcPr>
            <w:tcW w:w="540" w:type="dxa"/>
            <w:shd w:val="clear" w:color="auto" w:fill="auto"/>
            <w:vAlign w:val="center"/>
          </w:tcPr>
          <w:p w14:paraId="6240E0E1" w14:textId="77777777" w:rsidR="00EB0B28" w:rsidRDefault="00470B2C">
            <w:pPr>
              <w:pStyle w:val="Call-Out"/>
              <w:rPr>
                <w:rFonts w:asciiTheme="majorHAnsi" w:hAnsiTheme="majorHAnsi"/>
              </w:rPr>
            </w:pPr>
            <w:r>
              <w:rPr>
                <w:rFonts w:asciiTheme="majorHAnsi" w:hAnsiTheme="majorHAnsi"/>
              </w:rPr>
              <w:t>46</w:t>
            </w:r>
          </w:p>
        </w:tc>
        <w:tc>
          <w:tcPr>
            <w:tcW w:w="990" w:type="dxa"/>
            <w:shd w:val="clear" w:color="auto" w:fill="auto"/>
            <w:vAlign w:val="center"/>
          </w:tcPr>
          <w:p w14:paraId="6DFFF253" w14:textId="77777777" w:rsidR="00EB0B28" w:rsidRDefault="00470B2C">
            <w:pPr>
              <w:pStyle w:val="Call-Out"/>
              <w:rPr>
                <w:rFonts w:asciiTheme="majorHAnsi" w:hAnsiTheme="majorHAnsi"/>
              </w:rPr>
            </w:pPr>
            <w:r>
              <w:rPr>
                <w:rFonts w:asciiTheme="majorHAnsi" w:hAnsiTheme="majorHAnsi"/>
              </w:rPr>
              <w:t>1.4</w:t>
            </w:r>
          </w:p>
        </w:tc>
        <w:tc>
          <w:tcPr>
            <w:tcW w:w="900" w:type="dxa"/>
            <w:shd w:val="clear" w:color="auto" w:fill="auto"/>
            <w:vAlign w:val="center"/>
          </w:tcPr>
          <w:p w14:paraId="0F004B26" w14:textId="77777777" w:rsidR="00EB0B28" w:rsidRDefault="00470B2C">
            <w:pPr>
              <w:pStyle w:val="Call-Out"/>
              <w:rPr>
                <w:rFonts w:asciiTheme="majorHAnsi" w:hAnsiTheme="majorHAnsi"/>
              </w:rPr>
            </w:pPr>
            <w:r>
              <w:rPr>
                <w:rFonts w:asciiTheme="majorHAnsi" w:hAnsiTheme="majorHAnsi"/>
              </w:rPr>
              <w:t>(−2.0, 4.7)</w:t>
            </w:r>
          </w:p>
        </w:tc>
      </w:tr>
      <w:tr w:rsidR="00EB0B28" w14:paraId="467926B2" w14:textId="77777777">
        <w:trPr>
          <w:cantSplit/>
          <w:trHeight w:val="360"/>
          <w:jc w:val="center"/>
        </w:trPr>
        <w:tc>
          <w:tcPr>
            <w:tcW w:w="1693" w:type="dxa"/>
            <w:shd w:val="clear" w:color="auto" w:fill="auto"/>
            <w:vAlign w:val="center"/>
          </w:tcPr>
          <w:p w14:paraId="1EDFB585" w14:textId="77777777" w:rsidR="00EB0B28" w:rsidRDefault="00470B2C">
            <w:pPr>
              <w:pStyle w:val="Call-OutLeft"/>
              <w:rPr>
                <w:rFonts w:asciiTheme="majorHAnsi" w:hAnsiTheme="majorHAnsi"/>
              </w:rPr>
            </w:pPr>
            <w:r>
              <w:rPr>
                <w:rFonts w:asciiTheme="majorHAnsi" w:hAnsiTheme="majorHAnsi"/>
              </w:rPr>
              <w:t>Role Physical</w:t>
            </w:r>
          </w:p>
        </w:tc>
        <w:tc>
          <w:tcPr>
            <w:tcW w:w="5057" w:type="dxa"/>
            <w:gridSpan w:val="4"/>
            <w:vMerge/>
            <w:shd w:val="clear" w:color="auto" w:fill="auto"/>
            <w:vAlign w:val="center"/>
          </w:tcPr>
          <w:p w14:paraId="07437E38" w14:textId="77777777" w:rsidR="00EB0B28" w:rsidRDefault="00EB0B28">
            <w:pPr>
              <w:pStyle w:val="Call-Out"/>
              <w:rPr>
                <w:rFonts w:asciiTheme="majorHAnsi" w:hAnsiTheme="majorHAnsi"/>
              </w:rPr>
            </w:pPr>
          </w:p>
        </w:tc>
        <w:tc>
          <w:tcPr>
            <w:tcW w:w="530" w:type="dxa"/>
            <w:shd w:val="clear" w:color="auto" w:fill="auto"/>
            <w:vAlign w:val="center"/>
          </w:tcPr>
          <w:p w14:paraId="434DE816" w14:textId="77777777" w:rsidR="00EB0B28" w:rsidRDefault="00470B2C">
            <w:pPr>
              <w:pStyle w:val="Call-Out"/>
              <w:rPr>
                <w:rFonts w:asciiTheme="majorHAnsi" w:hAnsiTheme="majorHAnsi"/>
              </w:rPr>
            </w:pPr>
            <w:r>
              <w:rPr>
                <w:rFonts w:asciiTheme="majorHAnsi" w:hAnsiTheme="majorHAnsi"/>
              </w:rPr>
              <w:t>43</w:t>
            </w:r>
          </w:p>
        </w:tc>
        <w:tc>
          <w:tcPr>
            <w:tcW w:w="540" w:type="dxa"/>
            <w:shd w:val="clear" w:color="auto" w:fill="auto"/>
            <w:vAlign w:val="center"/>
          </w:tcPr>
          <w:p w14:paraId="1ECD613F" w14:textId="77777777" w:rsidR="00EB0B28" w:rsidRDefault="00470B2C">
            <w:pPr>
              <w:pStyle w:val="Call-Out"/>
              <w:rPr>
                <w:rFonts w:asciiTheme="majorHAnsi" w:hAnsiTheme="majorHAnsi"/>
              </w:rPr>
            </w:pPr>
            <w:r>
              <w:rPr>
                <w:rFonts w:asciiTheme="majorHAnsi" w:hAnsiTheme="majorHAnsi"/>
              </w:rPr>
              <w:t>46</w:t>
            </w:r>
          </w:p>
        </w:tc>
        <w:tc>
          <w:tcPr>
            <w:tcW w:w="990" w:type="dxa"/>
            <w:shd w:val="clear" w:color="auto" w:fill="auto"/>
            <w:vAlign w:val="center"/>
          </w:tcPr>
          <w:p w14:paraId="48186BC7" w14:textId="77777777" w:rsidR="00EB0B28" w:rsidRDefault="00470B2C">
            <w:pPr>
              <w:pStyle w:val="Call-Out"/>
              <w:rPr>
                <w:rFonts w:asciiTheme="majorHAnsi" w:hAnsiTheme="majorHAnsi"/>
              </w:rPr>
            </w:pPr>
            <w:r>
              <w:rPr>
                <w:rFonts w:asciiTheme="majorHAnsi" w:hAnsiTheme="majorHAnsi"/>
              </w:rPr>
              <w:t>4.4</w:t>
            </w:r>
          </w:p>
        </w:tc>
        <w:tc>
          <w:tcPr>
            <w:tcW w:w="900" w:type="dxa"/>
            <w:shd w:val="clear" w:color="auto" w:fill="auto"/>
            <w:vAlign w:val="center"/>
          </w:tcPr>
          <w:p w14:paraId="6BEB8C7A" w14:textId="77777777" w:rsidR="00EB0B28" w:rsidRDefault="00470B2C">
            <w:pPr>
              <w:pStyle w:val="Call-Out"/>
              <w:rPr>
                <w:rFonts w:asciiTheme="majorHAnsi" w:hAnsiTheme="majorHAnsi"/>
              </w:rPr>
            </w:pPr>
            <w:r>
              <w:rPr>
                <w:rFonts w:asciiTheme="majorHAnsi" w:hAnsiTheme="majorHAnsi"/>
              </w:rPr>
              <w:t>(1.3, 7.5)</w:t>
            </w:r>
          </w:p>
        </w:tc>
      </w:tr>
      <w:tr w:rsidR="00EB0B28" w14:paraId="41386D5F" w14:textId="77777777">
        <w:trPr>
          <w:cantSplit/>
          <w:trHeight w:val="360"/>
          <w:jc w:val="center"/>
        </w:trPr>
        <w:tc>
          <w:tcPr>
            <w:tcW w:w="1693" w:type="dxa"/>
            <w:shd w:val="clear" w:color="auto" w:fill="auto"/>
            <w:vAlign w:val="center"/>
          </w:tcPr>
          <w:p w14:paraId="30CE569A" w14:textId="77777777" w:rsidR="00EB0B28" w:rsidRDefault="00470B2C">
            <w:pPr>
              <w:pStyle w:val="Call-OutLeft"/>
              <w:rPr>
                <w:rFonts w:asciiTheme="majorHAnsi" w:hAnsiTheme="majorHAnsi"/>
              </w:rPr>
            </w:pPr>
            <w:r>
              <w:rPr>
                <w:rFonts w:asciiTheme="majorHAnsi" w:hAnsiTheme="majorHAnsi"/>
              </w:rPr>
              <w:t>Bodily Pain</w:t>
            </w:r>
          </w:p>
        </w:tc>
        <w:tc>
          <w:tcPr>
            <w:tcW w:w="5057" w:type="dxa"/>
            <w:gridSpan w:val="4"/>
            <w:vMerge/>
            <w:shd w:val="clear" w:color="auto" w:fill="auto"/>
            <w:vAlign w:val="center"/>
          </w:tcPr>
          <w:p w14:paraId="76DD26E9" w14:textId="77777777" w:rsidR="00EB0B28" w:rsidRDefault="00EB0B28">
            <w:pPr>
              <w:pStyle w:val="Call-Out"/>
              <w:rPr>
                <w:rFonts w:asciiTheme="majorHAnsi" w:hAnsiTheme="majorHAnsi"/>
              </w:rPr>
            </w:pPr>
          </w:p>
        </w:tc>
        <w:tc>
          <w:tcPr>
            <w:tcW w:w="530" w:type="dxa"/>
            <w:shd w:val="clear" w:color="auto" w:fill="auto"/>
            <w:vAlign w:val="center"/>
          </w:tcPr>
          <w:p w14:paraId="1D2AB81A" w14:textId="77777777" w:rsidR="00EB0B28" w:rsidRDefault="00470B2C">
            <w:pPr>
              <w:pStyle w:val="Call-Out"/>
              <w:rPr>
                <w:rFonts w:asciiTheme="majorHAnsi" w:hAnsiTheme="majorHAnsi"/>
              </w:rPr>
            </w:pPr>
            <w:r>
              <w:rPr>
                <w:rFonts w:asciiTheme="majorHAnsi" w:hAnsiTheme="majorHAnsi"/>
              </w:rPr>
              <w:t>43</w:t>
            </w:r>
          </w:p>
        </w:tc>
        <w:tc>
          <w:tcPr>
            <w:tcW w:w="540" w:type="dxa"/>
            <w:shd w:val="clear" w:color="auto" w:fill="auto"/>
            <w:vAlign w:val="center"/>
          </w:tcPr>
          <w:p w14:paraId="0AE56FE0" w14:textId="77777777" w:rsidR="00EB0B28" w:rsidRDefault="00470B2C">
            <w:pPr>
              <w:pStyle w:val="Call-Out"/>
              <w:rPr>
                <w:rFonts w:asciiTheme="majorHAnsi" w:hAnsiTheme="majorHAnsi"/>
              </w:rPr>
            </w:pPr>
            <w:r>
              <w:rPr>
                <w:rFonts w:asciiTheme="majorHAnsi" w:hAnsiTheme="majorHAnsi"/>
              </w:rPr>
              <w:t>46</w:t>
            </w:r>
          </w:p>
        </w:tc>
        <w:tc>
          <w:tcPr>
            <w:tcW w:w="990" w:type="dxa"/>
            <w:shd w:val="clear" w:color="auto" w:fill="auto"/>
            <w:vAlign w:val="center"/>
          </w:tcPr>
          <w:p w14:paraId="1F01A138" w14:textId="77777777" w:rsidR="00EB0B28" w:rsidRDefault="00470B2C">
            <w:pPr>
              <w:pStyle w:val="Call-Out"/>
              <w:rPr>
                <w:rFonts w:asciiTheme="majorHAnsi" w:hAnsiTheme="majorHAnsi"/>
              </w:rPr>
            </w:pPr>
            <w:r>
              <w:rPr>
                <w:rFonts w:asciiTheme="majorHAnsi" w:hAnsiTheme="majorHAnsi"/>
              </w:rPr>
              <w:t>7.2</w:t>
            </w:r>
          </w:p>
        </w:tc>
        <w:tc>
          <w:tcPr>
            <w:tcW w:w="900" w:type="dxa"/>
            <w:shd w:val="clear" w:color="auto" w:fill="auto"/>
            <w:vAlign w:val="center"/>
          </w:tcPr>
          <w:p w14:paraId="1C92A7B4" w14:textId="77777777" w:rsidR="00EB0B28" w:rsidRDefault="00470B2C">
            <w:pPr>
              <w:pStyle w:val="Call-Out"/>
              <w:rPr>
                <w:rFonts w:asciiTheme="majorHAnsi" w:hAnsiTheme="majorHAnsi"/>
              </w:rPr>
            </w:pPr>
            <w:r>
              <w:rPr>
                <w:rFonts w:asciiTheme="majorHAnsi" w:hAnsiTheme="majorHAnsi"/>
              </w:rPr>
              <w:t>(3.2, 11.2)</w:t>
            </w:r>
          </w:p>
        </w:tc>
      </w:tr>
      <w:tr w:rsidR="00EB0B28" w14:paraId="3A3FC18C" w14:textId="77777777">
        <w:trPr>
          <w:cantSplit/>
          <w:trHeight w:val="360"/>
          <w:jc w:val="center"/>
        </w:trPr>
        <w:tc>
          <w:tcPr>
            <w:tcW w:w="1693" w:type="dxa"/>
            <w:shd w:val="clear" w:color="auto" w:fill="auto"/>
            <w:vAlign w:val="center"/>
          </w:tcPr>
          <w:p w14:paraId="2CC8AC35" w14:textId="77777777" w:rsidR="00EB0B28" w:rsidRDefault="00470B2C">
            <w:pPr>
              <w:pStyle w:val="Call-OutLeft"/>
              <w:rPr>
                <w:rFonts w:asciiTheme="majorHAnsi" w:hAnsiTheme="majorHAnsi"/>
              </w:rPr>
            </w:pPr>
            <w:r>
              <w:rPr>
                <w:rFonts w:asciiTheme="majorHAnsi" w:hAnsiTheme="majorHAnsi"/>
              </w:rPr>
              <w:t>General Health</w:t>
            </w:r>
          </w:p>
        </w:tc>
        <w:tc>
          <w:tcPr>
            <w:tcW w:w="5057" w:type="dxa"/>
            <w:gridSpan w:val="4"/>
            <w:vMerge/>
            <w:shd w:val="clear" w:color="auto" w:fill="auto"/>
            <w:vAlign w:val="center"/>
          </w:tcPr>
          <w:p w14:paraId="298326CD" w14:textId="77777777" w:rsidR="00EB0B28" w:rsidRDefault="00EB0B28">
            <w:pPr>
              <w:pStyle w:val="Call-Out"/>
              <w:rPr>
                <w:rFonts w:asciiTheme="majorHAnsi" w:hAnsiTheme="majorHAnsi"/>
              </w:rPr>
            </w:pPr>
          </w:p>
        </w:tc>
        <w:tc>
          <w:tcPr>
            <w:tcW w:w="530" w:type="dxa"/>
            <w:shd w:val="clear" w:color="auto" w:fill="auto"/>
            <w:vAlign w:val="center"/>
          </w:tcPr>
          <w:p w14:paraId="27744D22" w14:textId="77777777" w:rsidR="00EB0B28" w:rsidRDefault="00470B2C">
            <w:pPr>
              <w:pStyle w:val="Call-Out"/>
              <w:rPr>
                <w:rFonts w:asciiTheme="majorHAnsi" w:hAnsiTheme="majorHAnsi"/>
              </w:rPr>
            </w:pPr>
            <w:r>
              <w:rPr>
                <w:rFonts w:asciiTheme="majorHAnsi" w:hAnsiTheme="majorHAnsi"/>
              </w:rPr>
              <w:t>42</w:t>
            </w:r>
          </w:p>
        </w:tc>
        <w:tc>
          <w:tcPr>
            <w:tcW w:w="540" w:type="dxa"/>
            <w:shd w:val="clear" w:color="auto" w:fill="auto"/>
            <w:vAlign w:val="center"/>
          </w:tcPr>
          <w:p w14:paraId="33BFCFD8" w14:textId="77777777" w:rsidR="00EB0B28" w:rsidRDefault="00470B2C">
            <w:pPr>
              <w:pStyle w:val="Call-Out"/>
              <w:rPr>
                <w:rFonts w:asciiTheme="majorHAnsi" w:hAnsiTheme="majorHAnsi"/>
              </w:rPr>
            </w:pPr>
            <w:r>
              <w:rPr>
                <w:rFonts w:asciiTheme="majorHAnsi" w:hAnsiTheme="majorHAnsi"/>
              </w:rPr>
              <w:t>46</w:t>
            </w:r>
          </w:p>
        </w:tc>
        <w:tc>
          <w:tcPr>
            <w:tcW w:w="990" w:type="dxa"/>
            <w:shd w:val="clear" w:color="auto" w:fill="auto"/>
            <w:vAlign w:val="center"/>
          </w:tcPr>
          <w:p w14:paraId="609557AD" w14:textId="77777777" w:rsidR="00EB0B28" w:rsidRDefault="00470B2C">
            <w:pPr>
              <w:pStyle w:val="Call-Out"/>
              <w:rPr>
                <w:rFonts w:asciiTheme="majorHAnsi" w:hAnsiTheme="majorHAnsi"/>
              </w:rPr>
            </w:pPr>
            <w:r>
              <w:rPr>
                <w:rFonts w:asciiTheme="majorHAnsi" w:hAnsiTheme="majorHAnsi"/>
              </w:rPr>
              <w:t>3.3</w:t>
            </w:r>
          </w:p>
        </w:tc>
        <w:tc>
          <w:tcPr>
            <w:tcW w:w="900" w:type="dxa"/>
            <w:shd w:val="clear" w:color="auto" w:fill="auto"/>
            <w:vAlign w:val="center"/>
          </w:tcPr>
          <w:p w14:paraId="5C516941" w14:textId="77777777" w:rsidR="00EB0B28" w:rsidRDefault="00470B2C">
            <w:pPr>
              <w:pStyle w:val="Call-Out"/>
              <w:rPr>
                <w:rFonts w:asciiTheme="majorHAnsi" w:hAnsiTheme="majorHAnsi"/>
              </w:rPr>
            </w:pPr>
            <w:r>
              <w:rPr>
                <w:rFonts w:asciiTheme="majorHAnsi" w:hAnsiTheme="majorHAnsi"/>
              </w:rPr>
              <w:t>(−0.7, 7.2)</w:t>
            </w:r>
          </w:p>
        </w:tc>
      </w:tr>
      <w:tr w:rsidR="00EB0B28" w14:paraId="0A7C5DB2" w14:textId="77777777">
        <w:trPr>
          <w:cantSplit/>
          <w:trHeight w:val="360"/>
          <w:jc w:val="center"/>
        </w:trPr>
        <w:tc>
          <w:tcPr>
            <w:tcW w:w="1693" w:type="dxa"/>
            <w:shd w:val="clear" w:color="auto" w:fill="auto"/>
            <w:vAlign w:val="center"/>
          </w:tcPr>
          <w:p w14:paraId="3AF0F705" w14:textId="77777777" w:rsidR="00EB0B28" w:rsidRDefault="00470B2C">
            <w:pPr>
              <w:pStyle w:val="Call-OutLeft"/>
              <w:rPr>
                <w:rFonts w:asciiTheme="majorHAnsi" w:hAnsiTheme="majorHAnsi"/>
              </w:rPr>
            </w:pPr>
            <w:r>
              <w:rPr>
                <w:rFonts w:asciiTheme="majorHAnsi" w:hAnsiTheme="majorHAnsi"/>
              </w:rPr>
              <w:t>Vitality</w:t>
            </w:r>
          </w:p>
        </w:tc>
        <w:tc>
          <w:tcPr>
            <w:tcW w:w="5057" w:type="dxa"/>
            <w:gridSpan w:val="4"/>
            <w:vMerge/>
            <w:shd w:val="clear" w:color="auto" w:fill="auto"/>
            <w:vAlign w:val="center"/>
          </w:tcPr>
          <w:p w14:paraId="49414884" w14:textId="77777777" w:rsidR="00EB0B28" w:rsidRDefault="00EB0B28">
            <w:pPr>
              <w:pStyle w:val="Call-Out"/>
              <w:rPr>
                <w:rFonts w:asciiTheme="majorHAnsi" w:hAnsiTheme="majorHAnsi"/>
              </w:rPr>
            </w:pPr>
          </w:p>
        </w:tc>
        <w:tc>
          <w:tcPr>
            <w:tcW w:w="530" w:type="dxa"/>
            <w:shd w:val="clear" w:color="auto" w:fill="auto"/>
            <w:vAlign w:val="center"/>
          </w:tcPr>
          <w:p w14:paraId="6887D7A7" w14:textId="77777777" w:rsidR="00EB0B28" w:rsidRDefault="00470B2C">
            <w:pPr>
              <w:pStyle w:val="Call-Out"/>
              <w:rPr>
                <w:rFonts w:asciiTheme="majorHAnsi" w:hAnsiTheme="majorHAnsi"/>
              </w:rPr>
            </w:pPr>
            <w:r>
              <w:rPr>
                <w:rFonts w:asciiTheme="majorHAnsi" w:hAnsiTheme="majorHAnsi"/>
              </w:rPr>
              <w:t>42</w:t>
            </w:r>
          </w:p>
        </w:tc>
        <w:tc>
          <w:tcPr>
            <w:tcW w:w="540" w:type="dxa"/>
            <w:shd w:val="clear" w:color="auto" w:fill="auto"/>
            <w:vAlign w:val="center"/>
          </w:tcPr>
          <w:p w14:paraId="3E690A7E" w14:textId="77777777" w:rsidR="00EB0B28" w:rsidRDefault="00470B2C">
            <w:pPr>
              <w:pStyle w:val="Call-Out"/>
              <w:rPr>
                <w:rFonts w:asciiTheme="majorHAnsi" w:hAnsiTheme="majorHAnsi"/>
              </w:rPr>
            </w:pPr>
            <w:r>
              <w:rPr>
                <w:rFonts w:asciiTheme="majorHAnsi" w:hAnsiTheme="majorHAnsi"/>
              </w:rPr>
              <w:t>45</w:t>
            </w:r>
          </w:p>
        </w:tc>
        <w:tc>
          <w:tcPr>
            <w:tcW w:w="990" w:type="dxa"/>
            <w:shd w:val="clear" w:color="auto" w:fill="auto"/>
            <w:vAlign w:val="center"/>
          </w:tcPr>
          <w:p w14:paraId="5EC46208" w14:textId="77777777" w:rsidR="00EB0B28" w:rsidRDefault="00470B2C">
            <w:pPr>
              <w:pStyle w:val="Call-Out"/>
              <w:rPr>
                <w:rFonts w:asciiTheme="majorHAnsi" w:hAnsiTheme="majorHAnsi"/>
              </w:rPr>
            </w:pPr>
            <w:r>
              <w:rPr>
                <w:rFonts w:asciiTheme="majorHAnsi" w:hAnsiTheme="majorHAnsi"/>
              </w:rPr>
              <w:t>1.7</w:t>
            </w:r>
          </w:p>
        </w:tc>
        <w:tc>
          <w:tcPr>
            <w:tcW w:w="900" w:type="dxa"/>
            <w:shd w:val="clear" w:color="auto" w:fill="auto"/>
            <w:vAlign w:val="center"/>
          </w:tcPr>
          <w:p w14:paraId="2EF1BA14" w14:textId="77777777" w:rsidR="00EB0B28" w:rsidRDefault="00470B2C">
            <w:pPr>
              <w:pStyle w:val="Call-Out"/>
              <w:rPr>
                <w:rFonts w:asciiTheme="majorHAnsi" w:hAnsiTheme="majorHAnsi"/>
              </w:rPr>
            </w:pPr>
            <w:r>
              <w:rPr>
                <w:rFonts w:asciiTheme="majorHAnsi" w:hAnsiTheme="majorHAnsi"/>
              </w:rPr>
              <w:t>(−2.0, 5.5)</w:t>
            </w:r>
          </w:p>
        </w:tc>
      </w:tr>
      <w:tr w:rsidR="00EB0B28" w14:paraId="7FBC6288" w14:textId="77777777">
        <w:trPr>
          <w:cantSplit/>
          <w:trHeight w:val="360"/>
          <w:jc w:val="center"/>
        </w:trPr>
        <w:tc>
          <w:tcPr>
            <w:tcW w:w="1693" w:type="dxa"/>
            <w:shd w:val="clear" w:color="auto" w:fill="auto"/>
            <w:vAlign w:val="center"/>
          </w:tcPr>
          <w:p w14:paraId="602333A1" w14:textId="77777777" w:rsidR="00EB0B28" w:rsidRDefault="00470B2C">
            <w:pPr>
              <w:pStyle w:val="Call-OutLeft"/>
              <w:rPr>
                <w:rFonts w:asciiTheme="majorHAnsi" w:hAnsiTheme="majorHAnsi"/>
              </w:rPr>
            </w:pPr>
            <w:r>
              <w:rPr>
                <w:rFonts w:asciiTheme="majorHAnsi" w:hAnsiTheme="majorHAnsi"/>
              </w:rPr>
              <w:t>Social Functioning</w:t>
            </w:r>
          </w:p>
        </w:tc>
        <w:tc>
          <w:tcPr>
            <w:tcW w:w="5057" w:type="dxa"/>
            <w:gridSpan w:val="4"/>
            <w:vMerge/>
            <w:shd w:val="clear" w:color="auto" w:fill="auto"/>
            <w:vAlign w:val="center"/>
          </w:tcPr>
          <w:p w14:paraId="418089A5" w14:textId="77777777" w:rsidR="00EB0B28" w:rsidRDefault="00EB0B28">
            <w:pPr>
              <w:pStyle w:val="Call-Out"/>
              <w:rPr>
                <w:rFonts w:asciiTheme="majorHAnsi" w:hAnsiTheme="majorHAnsi"/>
              </w:rPr>
            </w:pPr>
          </w:p>
        </w:tc>
        <w:tc>
          <w:tcPr>
            <w:tcW w:w="530" w:type="dxa"/>
            <w:shd w:val="clear" w:color="auto" w:fill="auto"/>
            <w:vAlign w:val="center"/>
          </w:tcPr>
          <w:p w14:paraId="7B2D56D4" w14:textId="77777777" w:rsidR="00EB0B28" w:rsidRDefault="00470B2C">
            <w:pPr>
              <w:pStyle w:val="Call-Out"/>
              <w:rPr>
                <w:rFonts w:asciiTheme="majorHAnsi" w:hAnsiTheme="majorHAnsi"/>
              </w:rPr>
            </w:pPr>
            <w:r>
              <w:rPr>
                <w:rFonts w:asciiTheme="majorHAnsi" w:hAnsiTheme="majorHAnsi"/>
              </w:rPr>
              <w:t>42</w:t>
            </w:r>
          </w:p>
        </w:tc>
        <w:tc>
          <w:tcPr>
            <w:tcW w:w="540" w:type="dxa"/>
            <w:shd w:val="clear" w:color="auto" w:fill="auto"/>
            <w:vAlign w:val="center"/>
          </w:tcPr>
          <w:p w14:paraId="156905B2" w14:textId="77777777" w:rsidR="00EB0B28" w:rsidRDefault="00470B2C">
            <w:pPr>
              <w:pStyle w:val="Call-Out"/>
              <w:rPr>
                <w:rFonts w:asciiTheme="majorHAnsi" w:hAnsiTheme="majorHAnsi"/>
              </w:rPr>
            </w:pPr>
            <w:r>
              <w:rPr>
                <w:rFonts w:asciiTheme="majorHAnsi" w:hAnsiTheme="majorHAnsi"/>
              </w:rPr>
              <w:t>45</w:t>
            </w:r>
          </w:p>
        </w:tc>
        <w:tc>
          <w:tcPr>
            <w:tcW w:w="990" w:type="dxa"/>
            <w:shd w:val="clear" w:color="auto" w:fill="auto"/>
            <w:vAlign w:val="center"/>
          </w:tcPr>
          <w:p w14:paraId="790C28BF" w14:textId="77777777" w:rsidR="00EB0B28" w:rsidRDefault="00470B2C">
            <w:pPr>
              <w:pStyle w:val="Call-Out"/>
              <w:rPr>
                <w:rFonts w:asciiTheme="majorHAnsi" w:hAnsiTheme="majorHAnsi"/>
              </w:rPr>
            </w:pPr>
            <w:r>
              <w:rPr>
                <w:rFonts w:asciiTheme="majorHAnsi" w:hAnsiTheme="majorHAnsi"/>
              </w:rPr>
              <w:t>5.1</w:t>
            </w:r>
          </w:p>
        </w:tc>
        <w:tc>
          <w:tcPr>
            <w:tcW w:w="900" w:type="dxa"/>
            <w:shd w:val="clear" w:color="auto" w:fill="auto"/>
            <w:vAlign w:val="center"/>
          </w:tcPr>
          <w:p w14:paraId="6284123C" w14:textId="77777777" w:rsidR="00EB0B28" w:rsidRDefault="00470B2C">
            <w:pPr>
              <w:pStyle w:val="Call-Out"/>
              <w:rPr>
                <w:rFonts w:asciiTheme="majorHAnsi" w:hAnsiTheme="majorHAnsi"/>
              </w:rPr>
            </w:pPr>
            <w:r>
              <w:rPr>
                <w:rFonts w:asciiTheme="majorHAnsi" w:hAnsiTheme="majorHAnsi"/>
              </w:rPr>
              <w:t>(1.6, 8.7)</w:t>
            </w:r>
          </w:p>
        </w:tc>
      </w:tr>
      <w:tr w:rsidR="00EB0B28" w14:paraId="7F2EF508" w14:textId="77777777">
        <w:trPr>
          <w:cantSplit/>
          <w:trHeight w:val="360"/>
          <w:jc w:val="center"/>
        </w:trPr>
        <w:tc>
          <w:tcPr>
            <w:tcW w:w="1693" w:type="dxa"/>
            <w:shd w:val="clear" w:color="auto" w:fill="auto"/>
            <w:vAlign w:val="center"/>
          </w:tcPr>
          <w:p w14:paraId="791CFA55" w14:textId="77777777" w:rsidR="00EB0B28" w:rsidRDefault="00470B2C">
            <w:pPr>
              <w:pStyle w:val="Call-OutLeft"/>
              <w:rPr>
                <w:rFonts w:asciiTheme="majorHAnsi" w:hAnsiTheme="majorHAnsi"/>
              </w:rPr>
            </w:pPr>
            <w:r>
              <w:rPr>
                <w:rFonts w:asciiTheme="majorHAnsi" w:hAnsiTheme="majorHAnsi"/>
              </w:rPr>
              <w:t>Role Emotional</w:t>
            </w:r>
          </w:p>
        </w:tc>
        <w:tc>
          <w:tcPr>
            <w:tcW w:w="5057" w:type="dxa"/>
            <w:gridSpan w:val="4"/>
            <w:vMerge/>
            <w:shd w:val="clear" w:color="auto" w:fill="auto"/>
            <w:vAlign w:val="center"/>
          </w:tcPr>
          <w:p w14:paraId="67BC83B1" w14:textId="77777777" w:rsidR="00EB0B28" w:rsidRDefault="00EB0B28">
            <w:pPr>
              <w:pStyle w:val="Call-Out"/>
              <w:rPr>
                <w:rFonts w:asciiTheme="majorHAnsi" w:hAnsiTheme="majorHAnsi"/>
              </w:rPr>
            </w:pPr>
          </w:p>
        </w:tc>
        <w:tc>
          <w:tcPr>
            <w:tcW w:w="530" w:type="dxa"/>
            <w:shd w:val="clear" w:color="auto" w:fill="auto"/>
            <w:vAlign w:val="center"/>
          </w:tcPr>
          <w:p w14:paraId="4614FE08" w14:textId="77777777" w:rsidR="00EB0B28" w:rsidRDefault="00470B2C">
            <w:pPr>
              <w:pStyle w:val="Call-Out"/>
              <w:rPr>
                <w:rFonts w:asciiTheme="majorHAnsi" w:hAnsiTheme="majorHAnsi"/>
              </w:rPr>
            </w:pPr>
            <w:r>
              <w:rPr>
                <w:rFonts w:asciiTheme="majorHAnsi" w:hAnsiTheme="majorHAnsi"/>
              </w:rPr>
              <w:t>43</w:t>
            </w:r>
          </w:p>
        </w:tc>
        <w:tc>
          <w:tcPr>
            <w:tcW w:w="540" w:type="dxa"/>
            <w:shd w:val="clear" w:color="auto" w:fill="auto"/>
            <w:vAlign w:val="center"/>
          </w:tcPr>
          <w:p w14:paraId="2E6265DA" w14:textId="77777777" w:rsidR="00EB0B28" w:rsidRDefault="00470B2C">
            <w:pPr>
              <w:pStyle w:val="Call-Out"/>
              <w:rPr>
                <w:rFonts w:asciiTheme="majorHAnsi" w:hAnsiTheme="majorHAnsi"/>
              </w:rPr>
            </w:pPr>
            <w:r>
              <w:rPr>
                <w:rFonts w:asciiTheme="majorHAnsi" w:hAnsiTheme="majorHAnsi"/>
              </w:rPr>
              <w:t>46</w:t>
            </w:r>
          </w:p>
        </w:tc>
        <w:tc>
          <w:tcPr>
            <w:tcW w:w="990" w:type="dxa"/>
            <w:shd w:val="clear" w:color="auto" w:fill="auto"/>
            <w:vAlign w:val="center"/>
          </w:tcPr>
          <w:p w14:paraId="0FEA3A15" w14:textId="77777777" w:rsidR="00EB0B28" w:rsidRDefault="00470B2C">
            <w:pPr>
              <w:pStyle w:val="Call-Out"/>
              <w:rPr>
                <w:rFonts w:asciiTheme="majorHAnsi" w:hAnsiTheme="majorHAnsi"/>
              </w:rPr>
            </w:pPr>
            <w:r>
              <w:rPr>
                <w:rFonts w:asciiTheme="majorHAnsi" w:hAnsiTheme="majorHAnsi"/>
              </w:rPr>
              <w:t>1.4</w:t>
            </w:r>
          </w:p>
        </w:tc>
        <w:tc>
          <w:tcPr>
            <w:tcW w:w="900" w:type="dxa"/>
            <w:shd w:val="clear" w:color="auto" w:fill="auto"/>
            <w:vAlign w:val="center"/>
          </w:tcPr>
          <w:p w14:paraId="27C301F6" w14:textId="77777777" w:rsidR="00EB0B28" w:rsidRDefault="00470B2C">
            <w:pPr>
              <w:pStyle w:val="Call-Out"/>
              <w:rPr>
                <w:rFonts w:asciiTheme="majorHAnsi" w:hAnsiTheme="majorHAnsi"/>
              </w:rPr>
            </w:pPr>
            <w:r>
              <w:rPr>
                <w:rFonts w:asciiTheme="majorHAnsi" w:hAnsiTheme="majorHAnsi"/>
              </w:rPr>
              <w:t>(−2.5, 5.2)</w:t>
            </w:r>
          </w:p>
        </w:tc>
      </w:tr>
      <w:tr w:rsidR="00EB0B28" w14:paraId="7EDCB68D" w14:textId="77777777">
        <w:trPr>
          <w:cantSplit/>
          <w:trHeight w:val="360"/>
          <w:jc w:val="center"/>
        </w:trPr>
        <w:tc>
          <w:tcPr>
            <w:tcW w:w="1693" w:type="dxa"/>
            <w:shd w:val="clear" w:color="auto" w:fill="auto"/>
            <w:vAlign w:val="center"/>
          </w:tcPr>
          <w:p w14:paraId="477B3CBA" w14:textId="77777777" w:rsidR="00EB0B28" w:rsidRDefault="00470B2C">
            <w:pPr>
              <w:pStyle w:val="Call-OutLeft"/>
              <w:rPr>
                <w:rFonts w:asciiTheme="majorHAnsi" w:hAnsiTheme="majorHAnsi"/>
              </w:rPr>
            </w:pPr>
            <w:r>
              <w:rPr>
                <w:rFonts w:asciiTheme="majorHAnsi" w:hAnsiTheme="majorHAnsi"/>
              </w:rPr>
              <w:t>Mental Health</w:t>
            </w:r>
          </w:p>
        </w:tc>
        <w:tc>
          <w:tcPr>
            <w:tcW w:w="5057" w:type="dxa"/>
            <w:gridSpan w:val="4"/>
            <w:vMerge/>
            <w:shd w:val="clear" w:color="auto" w:fill="auto"/>
            <w:vAlign w:val="center"/>
          </w:tcPr>
          <w:p w14:paraId="5DD5791F" w14:textId="77777777" w:rsidR="00EB0B28" w:rsidRDefault="00EB0B28">
            <w:pPr>
              <w:pStyle w:val="Call-Out"/>
              <w:rPr>
                <w:rFonts w:asciiTheme="majorHAnsi" w:hAnsiTheme="majorHAnsi"/>
              </w:rPr>
            </w:pPr>
          </w:p>
        </w:tc>
        <w:tc>
          <w:tcPr>
            <w:tcW w:w="530" w:type="dxa"/>
            <w:shd w:val="clear" w:color="auto" w:fill="auto"/>
            <w:vAlign w:val="center"/>
          </w:tcPr>
          <w:p w14:paraId="61947406" w14:textId="77777777" w:rsidR="00EB0B28" w:rsidRDefault="00470B2C">
            <w:pPr>
              <w:pStyle w:val="Call-Out"/>
              <w:rPr>
                <w:rFonts w:asciiTheme="majorHAnsi" w:hAnsiTheme="majorHAnsi"/>
              </w:rPr>
            </w:pPr>
            <w:r>
              <w:rPr>
                <w:rFonts w:asciiTheme="majorHAnsi" w:hAnsiTheme="majorHAnsi"/>
              </w:rPr>
              <w:t>42</w:t>
            </w:r>
          </w:p>
        </w:tc>
        <w:tc>
          <w:tcPr>
            <w:tcW w:w="540" w:type="dxa"/>
            <w:shd w:val="clear" w:color="auto" w:fill="auto"/>
            <w:vAlign w:val="center"/>
          </w:tcPr>
          <w:p w14:paraId="1733FB40" w14:textId="77777777" w:rsidR="00EB0B28" w:rsidRDefault="00470B2C">
            <w:pPr>
              <w:pStyle w:val="Call-Out"/>
              <w:rPr>
                <w:rFonts w:asciiTheme="majorHAnsi" w:hAnsiTheme="majorHAnsi"/>
              </w:rPr>
            </w:pPr>
            <w:r>
              <w:rPr>
                <w:rFonts w:asciiTheme="majorHAnsi" w:hAnsiTheme="majorHAnsi"/>
              </w:rPr>
              <w:t>45</w:t>
            </w:r>
          </w:p>
        </w:tc>
        <w:tc>
          <w:tcPr>
            <w:tcW w:w="990" w:type="dxa"/>
            <w:shd w:val="clear" w:color="auto" w:fill="auto"/>
            <w:vAlign w:val="center"/>
          </w:tcPr>
          <w:p w14:paraId="403A7D66" w14:textId="77777777" w:rsidR="00EB0B28" w:rsidRDefault="00470B2C">
            <w:pPr>
              <w:pStyle w:val="Call-Out"/>
              <w:rPr>
                <w:rFonts w:asciiTheme="majorHAnsi" w:hAnsiTheme="majorHAnsi"/>
              </w:rPr>
            </w:pPr>
            <w:r>
              <w:rPr>
                <w:rFonts w:asciiTheme="majorHAnsi" w:hAnsiTheme="majorHAnsi"/>
              </w:rPr>
              <w:t>2.8</w:t>
            </w:r>
          </w:p>
        </w:tc>
        <w:tc>
          <w:tcPr>
            <w:tcW w:w="900" w:type="dxa"/>
            <w:shd w:val="clear" w:color="auto" w:fill="auto"/>
            <w:vAlign w:val="center"/>
          </w:tcPr>
          <w:p w14:paraId="1EE97FE8" w14:textId="77777777" w:rsidR="00EB0B28" w:rsidRDefault="00470B2C">
            <w:pPr>
              <w:pStyle w:val="Call-Out"/>
              <w:rPr>
                <w:rFonts w:asciiTheme="majorHAnsi" w:hAnsiTheme="majorHAnsi"/>
              </w:rPr>
            </w:pPr>
            <w:r>
              <w:rPr>
                <w:rFonts w:asciiTheme="majorHAnsi" w:hAnsiTheme="majorHAnsi"/>
              </w:rPr>
              <w:t>(−0.9, 6.4)</w:t>
            </w:r>
          </w:p>
        </w:tc>
      </w:tr>
      <w:tr w:rsidR="00EB0B28" w14:paraId="5F897211" w14:textId="77777777">
        <w:trPr>
          <w:cantSplit/>
          <w:jc w:val="center"/>
        </w:trPr>
        <w:tc>
          <w:tcPr>
            <w:tcW w:w="1693" w:type="dxa"/>
            <w:shd w:val="clear" w:color="auto" w:fill="auto"/>
            <w:vAlign w:val="center"/>
          </w:tcPr>
          <w:p w14:paraId="7454462A" w14:textId="77777777" w:rsidR="00EB0B28" w:rsidRDefault="00EB0B28">
            <w:pPr>
              <w:pStyle w:val="Call-Out"/>
              <w:rPr>
                <w:rFonts w:asciiTheme="majorHAnsi" w:hAnsiTheme="majorHAnsi"/>
              </w:rPr>
            </w:pPr>
          </w:p>
        </w:tc>
        <w:tc>
          <w:tcPr>
            <w:tcW w:w="5057" w:type="dxa"/>
            <w:gridSpan w:val="4"/>
            <w:vMerge/>
            <w:shd w:val="clear" w:color="auto" w:fill="auto"/>
            <w:vAlign w:val="center"/>
          </w:tcPr>
          <w:p w14:paraId="6014BEB4" w14:textId="77777777" w:rsidR="00EB0B28" w:rsidRDefault="00EB0B28">
            <w:pPr>
              <w:pStyle w:val="Call-Out"/>
              <w:rPr>
                <w:rFonts w:asciiTheme="majorHAnsi" w:hAnsiTheme="majorHAnsi"/>
              </w:rPr>
            </w:pPr>
          </w:p>
        </w:tc>
        <w:tc>
          <w:tcPr>
            <w:tcW w:w="530" w:type="dxa"/>
            <w:shd w:val="clear" w:color="auto" w:fill="auto"/>
          </w:tcPr>
          <w:p w14:paraId="16E4EC90" w14:textId="77777777" w:rsidR="00EB0B28" w:rsidRDefault="00EB0B28">
            <w:pPr>
              <w:pStyle w:val="Call-Out"/>
              <w:rPr>
                <w:rFonts w:asciiTheme="majorHAnsi" w:hAnsiTheme="majorHAnsi"/>
              </w:rPr>
            </w:pPr>
          </w:p>
        </w:tc>
        <w:tc>
          <w:tcPr>
            <w:tcW w:w="540" w:type="dxa"/>
            <w:shd w:val="clear" w:color="auto" w:fill="auto"/>
          </w:tcPr>
          <w:p w14:paraId="67541CBD" w14:textId="77777777" w:rsidR="00EB0B28" w:rsidRDefault="00EB0B28">
            <w:pPr>
              <w:pStyle w:val="Call-Out"/>
              <w:rPr>
                <w:rFonts w:asciiTheme="majorHAnsi" w:hAnsiTheme="majorHAnsi"/>
              </w:rPr>
            </w:pPr>
          </w:p>
        </w:tc>
        <w:tc>
          <w:tcPr>
            <w:tcW w:w="990" w:type="dxa"/>
            <w:shd w:val="clear" w:color="auto" w:fill="auto"/>
            <w:vAlign w:val="center"/>
          </w:tcPr>
          <w:p w14:paraId="20DF62FE" w14:textId="77777777" w:rsidR="00EB0B28" w:rsidRDefault="00EB0B28">
            <w:pPr>
              <w:pStyle w:val="Call-Out"/>
              <w:rPr>
                <w:rFonts w:asciiTheme="majorHAnsi" w:hAnsiTheme="majorHAnsi"/>
              </w:rPr>
            </w:pPr>
          </w:p>
        </w:tc>
        <w:tc>
          <w:tcPr>
            <w:tcW w:w="900" w:type="dxa"/>
            <w:shd w:val="clear" w:color="auto" w:fill="auto"/>
            <w:vAlign w:val="center"/>
          </w:tcPr>
          <w:p w14:paraId="34E56611" w14:textId="77777777" w:rsidR="00EB0B28" w:rsidRDefault="00EB0B28">
            <w:pPr>
              <w:pStyle w:val="Call-Out"/>
              <w:rPr>
                <w:rFonts w:asciiTheme="majorHAnsi" w:hAnsiTheme="majorHAnsi"/>
              </w:rPr>
            </w:pPr>
          </w:p>
        </w:tc>
      </w:tr>
      <w:tr w:rsidR="00EB0B28" w14:paraId="2FF79645" w14:textId="77777777">
        <w:trPr>
          <w:cantSplit/>
          <w:jc w:val="center"/>
        </w:trPr>
        <w:tc>
          <w:tcPr>
            <w:tcW w:w="1693" w:type="dxa"/>
            <w:shd w:val="clear" w:color="auto" w:fill="auto"/>
            <w:vAlign w:val="center"/>
          </w:tcPr>
          <w:p w14:paraId="36E9D27D" w14:textId="77777777" w:rsidR="00EB0B28" w:rsidRDefault="00EB0B28">
            <w:pPr>
              <w:pStyle w:val="Call-Out"/>
              <w:rPr>
                <w:rFonts w:asciiTheme="majorHAnsi" w:hAnsiTheme="majorHAnsi"/>
              </w:rPr>
            </w:pPr>
          </w:p>
        </w:tc>
        <w:tc>
          <w:tcPr>
            <w:tcW w:w="1431" w:type="dxa"/>
            <w:shd w:val="clear" w:color="auto" w:fill="auto"/>
            <w:vAlign w:val="center"/>
          </w:tcPr>
          <w:p w14:paraId="433CD6DB" w14:textId="77777777" w:rsidR="00EB0B28" w:rsidRDefault="00470B2C">
            <w:pPr>
              <w:pStyle w:val="Call-OutHeading"/>
              <w:rPr>
                <w:rFonts w:asciiTheme="majorHAnsi" w:hAnsiTheme="majorHAnsi"/>
              </w:rPr>
            </w:pPr>
            <w:r>
              <w:rPr>
                <w:rFonts w:asciiTheme="majorHAnsi" w:hAnsiTheme="majorHAnsi"/>
              </w:rPr>
              <w:t>Favours Placebo</w:t>
            </w:r>
          </w:p>
        </w:tc>
        <w:tc>
          <w:tcPr>
            <w:tcW w:w="1809" w:type="dxa"/>
            <w:gridSpan w:val="2"/>
            <w:shd w:val="clear" w:color="auto" w:fill="auto"/>
            <w:vAlign w:val="center"/>
          </w:tcPr>
          <w:p w14:paraId="100B7A69" w14:textId="77777777" w:rsidR="00EB0B28" w:rsidRDefault="00470B2C">
            <w:pPr>
              <w:pStyle w:val="Call-OutHeading"/>
              <w:rPr>
                <w:rFonts w:asciiTheme="majorHAnsi" w:hAnsiTheme="majorHAnsi"/>
              </w:rPr>
            </w:pPr>
            <w:r>
              <w:rPr>
                <w:rFonts w:asciiTheme="majorHAnsi" w:hAnsiTheme="majorHAnsi"/>
              </w:rPr>
              <w:t>Favours Givosiran</w:t>
            </w:r>
          </w:p>
        </w:tc>
        <w:tc>
          <w:tcPr>
            <w:tcW w:w="1817" w:type="dxa"/>
            <w:shd w:val="clear" w:color="auto" w:fill="auto"/>
          </w:tcPr>
          <w:p w14:paraId="2363C25F" w14:textId="77777777" w:rsidR="00EB0B28" w:rsidRDefault="00EB0B28">
            <w:pPr>
              <w:pStyle w:val="Call-Out"/>
              <w:rPr>
                <w:rFonts w:asciiTheme="majorHAnsi" w:hAnsiTheme="majorHAnsi"/>
              </w:rPr>
            </w:pPr>
          </w:p>
        </w:tc>
        <w:tc>
          <w:tcPr>
            <w:tcW w:w="530" w:type="dxa"/>
            <w:shd w:val="clear" w:color="auto" w:fill="auto"/>
          </w:tcPr>
          <w:p w14:paraId="45248124" w14:textId="77777777" w:rsidR="00EB0B28" w:rsidRDefault="00EB0B28">
            <w:pPr>
              <w:pStyle w:val="Call-Out"/>
              <w:rPr>
                <w:rFonts w:asciiTheme="majorHAnsi" w:hAnsiTheme="majorHAnsi"/>
              </w:rPr>
            </w:pPr>
          </w:p>
        </w:tc>
        <w:tc>
          <w:tcPr>
            <w:tcW w:w="540" w:type="dxa"/>
            <w:shd w:val="clear" w:color="auto" w:fill="auto"/>
          </w:tcPr>
          <w:p w14:paraId="247B189F" w14:textId="77777777" w:rsidR="00EB0B28" w:rsidRDefault="00EB0B28">
            <w:pPr>
              <w:pStyle w:val="Call-Out"/>
              <w:rPr>
                <w:rFonts w:asciiTheme="majorHAnsi" w:hAnsiTheme="majorHAnsi"/>
              </w:rPr>
            </w:pPr>
          </w:p>
        </w:tc>
        <w:tc>
          <w:tcPr>
            <w:tcW w:w="990" w:type="dxa"/>
            <w:shd w:val="clear" w:color="auto" w:fill="auto"/>
            <w:vAlign w:val="center"/>
          </w:tcPr>
          <w:p w14:paraId="216C5DBC" w14:textId="77777777" w:rsidR="00EB0B28" w:rsidRDefault="00EB0B28">
            <w:pPr>
              <w:pStyle w:val="Call-Out"/>
              <w:rPr>
                <w:rFonts w:asciiTheme="majorHAnsi" w:hAnsiTheme="majorHAnsi"/>
              </w:rPr>
            </w:pPr>
          </w:p>
        </w:tc>
        <w:tc>
          <w:tcPr>
            <w:tcW w:w="900" w:type="dxa"/>
            <w:shd w:val="clear" w:color="auto" w:fill="auto"/>
            <w:vAlign w:val="center"/>
          </w:tcPr>
          <w:p w14:paraId="5554C432" w14:textId="77777777" w:rsidR="00EB0B28" w:rsidRDefault="00EB0B28">
            <w:pPr>
              <w:pStyle w:val="Call-Out"/>
              <w:rPr>
                <w:rFonts w:asciiTheme="majorHAnsi" w:hAnsiTheme="majorHAnsi"/>
              </w:rPr>
            </w:pPr>
          </w:p>
        </w:tc>
      </w:tr>
    </w:tbl>
    <w:p w14:paraId="484CA251" w14:textId="77777777" w:rsidR="00EB0B28" w:rsidRDefault="00470B2C">
      <w:pPr>
        <w:pStyle w:val="TableFootnoteText"/>
        <w:rPr>
          <w:rFonts w:asciiTheme="majorHAnsi" w:hAnsiTheme="majorHAnsi"/>
          <w:sz w:val="18"/>
          <w:szCs w:val="18"/>
        </w:rPr>
      </w:pPr>
      <w:r>
        <w:rPr>
          <w:rFonts w:asciiTheme="majorHAnsi" w:hAnsiTheme="majorHAnsi"/>
          <w:sz w:val="18"/>
          <w:szCs w:val="18"/>
        </w:rPr>
        <w:t xml:space="preserve">AIP, Acute Intermittent Porphyria; CI, Confidence Interval; </w:t>
      </w:r>
      <w:proofErr w:type="spellStart"/>
      <w:r>
        <w:rPr>
          <w:rFonts w:asciiTheme="majorHAnsi" w:hAnsiTheme="majorHAnsi"/>
          <w:sz w:val="18"/>
          <w:szCs w:val="18"/>
        </w:rPr>
        <w:t>Givo</w:t>
      </w:r>
      <w:proofErr w:type="spellEnd"/>
      <w:r>
        <w:rPr>
          <w:rFonts w:asciiTheme="majorHAnsi" w:hAnsiTheme="majorHAnsi"/>
          <w:sz w:val="18"/>
          <w:szCs w:val="18"/>
        </w:rPr>
        <w:t xml:space="preserve">, </w:t>
      </w:r>
      <w:proofErr w:type="spellStart"/>
      <w:r>
        <w:rPr>
          <w:rFonts w:asciiTheme="majorHAnsi" w:hAnsiTheme="majorHAnsi"/>
          <w:sz w:val="18"/>
          <w:szCs w:val="18"/>
        </w:rPr>
        <w:t>givosiran</w:t>
      </w:r>
      <w:proofErr w:type="spellEnd"/>
      <w:r>
        <w:rPr>
          <w:rFonts w:asciiTheme="majorHAnsi" w:hAnsiTheme="majorHAnsi"/>
          <w:sz w:val="18"/>
          <w:szCs w:val="18"/>
        </w:rPr>
        <w:t xml:space="preserve">; </w:t>
      </w:r>
      <w:proofErr w:type="spellStart"/>
      <w:r>
        <w:rPr>
          <w:rFonts w:asciiTheme="majorHAnsi" w:hAnsiTheme="majorHAnsi"/>
          <w:sz w:val="18"/>
          <w:szCs w:val="18"/>
        </w:rPr>
        <w:t>Pbo</w:t>
      </w:r>
      <w:proofErr w:type="spellEnd"/>
      <w:r>
        <w:rPr>
          <w:rFonts w:asciiTheme="majorHAnsi" w:hAnsiTheme="majorHAnsi"/>
          <w:sz w:val="18"/>
          <w:szCs w:val="18"/>
        </w:rPr>
        <w:t>, placebo; LS, Least Square; MCS, Mental Component Summary; PCS, Physical Component Summary; SF</w:t>
      </w:r>
      <w:r>
        <w:rPr>
          <w:rFonts w:asciiTheme="majorHAnsi" w:hAnsiTheme="majorHAnsi"/>
          <w:sz w:val="18"/>
          <w:szCs w:val="18"/>
        </w:rPr>
        <w:noBreakHyphen/>
        <w:t>12, the 12</w:t>
      </w:r>
      <w:r>
        <w:rPr>
          <w:rFonts w:asciiTheme="majorHAnsi" w:hAnsiTheme="majorHAnsi"/>
          <w:sz w:val="18"/>
          <w:szCs w:val="18"/>
        </w:rPr>
        <w:noBreakHyphen/>
        <w:t>item Short-Form health survey version 2.</w:t>
      </w:r>
    </w:p>
    <w:p w14:paraId="238C0BE4" w14:textId="77777777" w:rsidR="00EB0B28" w:rsidRDefault="00EB0B28"/>
    <w:p w14:paraId="70E55C23" w14:textId="355BF328" w:rsidR="00EB0B28" w:rsidRDefault="00470B2C">
      <w:pPr>
        <w:rPr>
          <w:rFonts w:asciiTheme="majorHAnsi" w:hAnsiTheme="majorHAnsi"/>
        </w:rPr>
      </w:pPr>
      <w:r>
        <w:rPr>
          <w:rFonts w:asciiTheme="majorHAnsi" w:hAnsiTheme="majorHAnsi"/>
        </w:rPr>
        <w:t>In a patient global assessment (Patient Global Impression of Change – PGIC) a larger proportion of patients with AIP treated with givosiran (61.1 %) than with placebo (20 %) rated their overall status as “very much improved” or “much improved” since the start of the study.</w:t>
      </w:r>
    </w:p>
    <w:p w14:paraId="4E25D183" w14:textId="559D5F27" w:rsidR="00EB0B28" w:rsidRDefault="00470B2C">
      <w:pPr>
        <w:pStyle w:val="Heading2"/>
        <w:keepNext/>
        <w:spacing w:before="0" w:after="120"/>
        <w:rPr>
          <w:lang w:val="en-US"/>
        </w:rPr>
      </w:pPr>
      <w:bookmarkStart w:id="10" w:name="_Pharmacokinetic_properties"/>
      <w:bookmarkEnd w:id="10"/>
      <w:r>
        <w:rPr>
          <w:lang w:val="en-US"/>
        </w:rPr>
        <w:t>Pharmacokinetic properties</w:t>
      </w:r>
    </w:p>
    <w:p w14:paraId="1BE35ACB" w14:textId="115834A3" w:rsidR="00EB0B28" w:rsidRDefault="00470B2C">
      <w:pPr>
        <w:pStyle w:val="Heading3"/>
        <w:spacing w:before="0" w:after="120"/>
        <w:rPr>
          <w:rFonts w:cstheme="minorHAnsi"/>
          <w:b w:val="0"/>
        </w:rPr>
      </w:pPr>
      <w:r>
        <w:rPr>
          <w:rFonts w:cstheme="minorHAnsi"/>
        </w:rPr>
        <w:t>Absorption</w:t>
      </w:r>
    </w:p>
    <w:p w14:paraId="4AC1E8D3" w14:textId="7A9CBB4B" w:rsidR="00EB0B28" w:rsidRDefault="00470B2C">
      <w:pPr>
        <w:rPr>
          <w:rFonts w:asciiTheme="majorHAnsi" w:hAnsiTheme="majorHAnsi"/>
        </w:rPr>
      </w:pPr>
      <w:r>
        <w:rPr>
          <w:rFonts w:asciiTheme="majorHAnsi" w:hAnsiTheme="majorHAnsi"/>
        </w:rPr>
        <w:t>Following subcutaneous administration, givosiran is rapidly absorbed with a time to maximum plasma concentration (</w:t>
      </w:r>
      <w:proofErr w:type="spellStart"/>
      <w:r>
        <w:rPr>
          <w:rFonts w:asciiTheme="majorHAnsi" w:hAnsiTheme="majorHAnsi"/>
        </w:rPr>
        <w:t>t</w:t>
      </w:r>
      <w:r>
        <w:rPr>
          <w:rFonts w:asciiTheme="majorHAnsi" w:hAnsiTheme="majorHAnsi"/>
          <w:vertAlign w:val="subscript"/>
        </w:rPr>
        <w:t>max</w:t>
      </w:r>
      <w:proofErr w:type="spellEnd"/>
      <w:r>
        <w:rPr>
          <w:rFonts w:asciiTheme="majorHAnsi" w:hAnsiTheme="majorHAnsi"/>
        </w:rPr>
        <w:t>) of 0.5 to 2 hours. At the 2.5 mg/kg once monthly dose, the steady-state peak plasma concentrations of givosiran (C</w:t>
      </w:r>
      <w:r>
        <w:rPr>
          <w:rFonts w:asciiTheme="majorHAnsi" w:hAnsiTheme="majorHAnsi"/>
          <w:vertAlign w:val="subscript"/>
        </w:rPr>
        <w:t>max</w:t>
      </w:r>
      <w:r>
        <w:rPr>
          <w:rFonts w:asciiTheme="majorHAnsi" w:hAnsiTheme="majorHAnsi"/>
        </w:rPr>
        <w:t>) and area under the curve from time of dosing up to 24 hours after dosing (AUC</w:t>
      </w:r>
      <w:r w:rsidR="00C32B41" w:rsidRPr="002D4E74">
        <w:rPr>
          <w:rFonts w:asciiTheme="majorHAnsi" w:hAnsiTheme="majorHAnsi"/>
          <w:vertAlign w:val="subscript"/>
        </w:rPr>
        <w:t>0-24</w:t>
      </w:r>
      <w:r>
        <w:rPr>
          <w:rFonts w:asciiTheme="majorHAnsi" w:hAnsiTheme="majorHAnsi"/>
        </w:rPr>
        <w:t xml:space="preserve">) were 321 ± 163 ng/mL and 4130 ± 1780 </w:t>
      </w:r>
      <w:proofErr w:type="spellStart"/>
      <w:r>
        <w:rPr>
          <w:rFonts w:asciiTheme="majorHAnsi" w:hAnsiTheme="majorHAnsi"/>
        </w:rPr>
        <w:t>ng·h</w:t>
      </w:r>
      <w:proofErr w:type="spellEnd"/>
      <w:r>
        <w:rPr>
          <w:rFonts w:asciiTheme="majorHAnsi" w:hAnsiTheme="majorHAnsi"/>
        </w:rPr>
        <w:t xml:space="preserve">/mL, respectively, and corresponding values for the active metabolite were 123 ± 79.0 ng/mL and 1930 ± 1210 </w:t>
      </w:r>
      <w:proofErr w:type="spellStart"/>
      <w:r>
        <w:rPr>
          <w:rFonts w:asciiTheme="majorHAnsi" w:hAnsiTheme="majorHAnsi"/>
        </w:rPr>
        <w:t>ng·h</w:t>
      </w:r>
      <w:proofErr w:type="spellEnd"/>
      <w:r>
        <w:rPr>
          <w:rFonts w:asciiTheme="majorHAnsi" w:hAnsiTheme="majorHAnsi"/>
        </w:rPr>
        <w:t>/mL, respectively.</w:t>
      </w:r>
    </w:p>
    <w:p w14:paraId="7C1EED2B" w14:textId="7FE8000B" w:rsidR="00EB0B28" w:rsidRDefault="00470B2C">
      <w:pPr>
        <w:pStyle w:val="Heading3"/>
        <w:spacing w:before="0" w:after="120"/>
        <w:rPr>
          <w:rFonts w:cstheme="minorHAnsi"/>
          <w:b w:val="0"/>
        </w:rPr>
      </w:pPr>
      <w:r>
        <w:rPr>
          <w:rFonts w:cstheme="minorHAnsi"/>
        </w:rPr>
        <w:lastRenderedPageBreak/>
        <w:t>Distribution</w:t>
      </w:r>
    </w:p>
    <w:p w14:paraId="7CAFD67D" w14:textId="6E72B93C" w:rsidR="00EB0B28" w:rsidRDefault="00470B2C">
      <w:pPr>
        <w:rPr>
          <w:rFonts w:asciiTheme="majorHAnsi" w:hAnsiTheme="majorHAnsi"/>
        </w:rPr>
      </w:pPr>
      <w:r>
        <w:rPr>
          <w:rFonts w:asciiTheme="majorHAnsi" w:hAnsiTheme="majorHAnsi"/>
        </w:rPr>
        <w:t>Givosiran is greater than 90 % bound to plasma proteins over the concentration range observed in humans at the 2.5 mg/kg once monthly dose. The population estimate for the steady state apparent volume of distribution (</w:t>
      </w:r>
      <w:proofErr w:type="spellStart"/>
      <w:r>
        <w:rPr>
          <w:rFonts w:asciiTheme="majorHAnsi" w:hAnsiTheme="majorHAnsi"/>
        </w:rPr>
        <w:t>Vd</w:t>
      </w:r>
      <w:proofErr w:type="spellEnd"/>
      <w:r>
        <w:rPr>
          <w:rFonts w:asciiTheme="majorHAnsi" w:hAnsiTheme="majorHAnsi"/>
        </w:rPr>
        <w:t xml:space="preserve">/F) for </w:t>
      </w:r>
      <w:proofErr w:type="spellStart"/>
      <w:r>
        <w:rPr>
          <w:rFonts w:asciiTheme="majorHAnsi" w:hAnsiTheme="majorHAnsi"/>
        </w:rPr>
        <w:t>givosiran</w:t>
      </w:r>
      <w:proofErr w:type="spellEnd"/>
      <w:r>
        <w:rPr>
          <w:rFonts w:asciiTheme="majorHAnsi" w:hAnsiTheme="majorHAnsi"/>
        </w:rPr>
        <w:t xml:space="preserve"> and for the active metabolite was 10.4 L. Givosiran and its active metabolite distribute primarily to the liver after subcutaneous dosing.</w:t>
      </w:r>
    </w:p>
    <w:p w14:paraId="497D7924" w14:textId="025693FF" w:rsidR="00EB0B28" w:rsidRDefault="710C3069" w:rsidP="710C3069">
      <w:pPr>
        <w:pStyle w:val="Heading3"/>
        <w:spacing w:before="0" w:after="120"/>
        <w:rPr>
          <w:rFonts w:cstheme="minorBidi"/>
          <w:b w:val="0"/>
          <w:bCs w:val="0"/>
        </w:rPr>
      </w:pPr>
      <w:r w:rsidRPr="710C3069">
        <w:rPr>
          <w:rFonts w:cstheme="minorBidi"/>
        </w:rPr>
        <w:t>Metabolism</w:t>
      </w:r>
    </w:p>
    <w:p w14:paraId="4282325B" w14:textId="66E7B961" w:rsidR="00EB0B28" w:rsidRDefault="710C3069" w:rsidP="710C3069">
      <w:pPr>
        <w:rPr>
          <w:rFonts w:asciiTheme="majorHAnsi" w:hAnsiTheme="majorHAnsi"/>
        </w:rPr>
      </w:pPr>
      <w:r w:rsidRPr="710C3069">
        <w:rPr>
          <w:rFonts w:asciiTheme="majorHAnsi" w:hAnsiTheme="majorHAnsi"/>
        </w:rPr>
        <w:t>Givosiran is metabolised by nucleases to oligonucleotides of shorter lengths. Active metabolite AS(N-1)3’ givosiran (with equal potency as that of givosiran) was a major metabolite in plasma with 45% exposure (AUC</w:t>
      </w:r>
      <w:r w:rsidRPr="00561DC6">
        <w:rPr>
          <w:rFonts w:asciiTheme="majorHAnsi" w:hAnsiTheme="majorHAnsi"/>
          <w:vertAlign w:val="subscript"/>
        </w:rPr>
        <w:t>0–24</w:t>
      </w:r>
      <w:r w:rsidRPr="710C3069">
        <w:rPr>
          <w:rFonts w:asciiTheme="majorHAnsi" w:hAnsiTheme="majorHAnsi"/>
        </w:rPr>
        <w:t xml:space="preserve">) relative to givosiran at the 2.5 mg/kg once monthly dose. </w:t>
      </w:r>
      <w:r w:rsidRPr="00561DC6">
        <w:rPr>
          <w:rFonts w:asciiTheme="majorHAnsi" w:hAnsiTheme="majorHAnsi"/>
          <w:i/>
          <w:iCs/>
        </w:rPr>
        <w:t>In vitro</w:t>
      </w:r>
      <w:r w:rsidRPr="710C3069">
        <w:rPr>
          <w:rFonts w:asciiTheme="majorHAnsi" w:hAnsiTheme="majorHAnsi"/>
        </w:rPr>
        <w:t xml:space="preserve"> studies indicate that givosiran does not undergo metabolism by CYP450 enzymes.</w:t>
      </w:r>
    </w:p>
    <w:p w14:paraId="6D9D30EB" w14:textId="0816422B" w:rsidR="00EB0B28" w:rsidRDefault="00470B2C">
      <w:pPr>
        <w:pStyle w:val="Heading3"/>
        <w:spacing w:before="0" w:after="120"/>
        <w:rPr>
          <w:rFonts w:cstheme="minorHAnsi"/>
          <w:b w:val="0"/>
        </w:rPr>
      </w:pPr>
      <w:r>
        <w:rPr>
          <w:rFonts w:cstheme="minorHAnsi"/>
        </w:rPr>
        <w:t>Excretion</w:t>
      </w:r>
    </w:p>
    <w:p w14:paraId="3B371C6B" w14:textId="62BFB1C7" w:rsidR="00EB0B28" w:rsidRDefault="00470B2C">
      <w:pPr>
        <w:rPr>
          <w:rFonts w:asciiTheme="majorHAnsi" w:hAnsiTheme="majorHAnsi"/>
        </w:rPr>
      </w:pPr>
      <w:r>
        <w:rPr>
          <w:rFonts w:asciiTheme="majorHAnsi" w:hAnsiTheme="majorHAnsi"/>
        </w:rPr>
        <w:t>Givosiran and its active metabolite are eliminated from plasma primarily by metabolism with an estimated terminal half-life of approximately 5 hours. The population estimate for apparent plasma clearance was 36.6 L/h for givosiran and 23.4 L/h for AS(N</w:t>
      </w:r>
      <w:r w:rsidR="0004604D">
        <w:rPr>
          <w:rFonts w:asciiTheme="majorHAnsi" w:hAnsiTheme="majorHAnsi"/>
        </w:rPr>
        <w:t>-</w:t>
      </w:r>
      <w:r>
        <w:rPr>
          <w:rFonts w:asciiTheme="majorHAnsi" w:hAnsiTheme="majorHAnsi"/>
        </w:rPr>
        <w:t>1)3’ givosiran. After subcutaneous dosing, up to 14 % and 13 % of the administered givosiran dose was recovered in urine as givosiran and its active metabolite, respectively, over 24 hours. The renal clearance ranged from 1.22 to 9.19 L/h for givosiran and 1.40 to 12.34 L/h for the active metabolite.</w:t>
      </w:r>
    </w:p>
    <w:p w14:paraId="5569A0CF" w14:textId="5A3775E0" w:rsidR="00EB0B28" w:rsidRDefault="00470B2C">
      <w:pPr>
        <w:pStyle w:val="Heading3"/>
        <w:spacing w:after="120"/>
        <w:rPr>
          <w:rFonts w:cstheme="minorHAnsi"/>
          <w:lang w:val="en-GB"/>
        </w:rPr>
      </w:pPr>
      <w:r>
        <w:rPr>
          <w:rFonts w:cstheme="minorHAnsi"/>
          <w:lang w:val="en-GB"/>
        </w:rPr>
        <w:t>Linearity/non-linearity</w:t>
      </w:r>
    </w:p>
    <w:p w14:paraId="7D77ECBB" w14:textId="77777777" w:rsidR="00EB0B28" w:rsidRDefault="00470B2C">
      <w:pPr>
        <w:rPr>
          <w:rFonts w:asciiTheme="majorHAnsi" w:hAnsiTheme="majorHAnsi"/>
        </w:rPr>
      </w:pPr>
      <w:r>
        <w:rPr>
          <w:rFonts w:asciiTheme="majorHAnsi" w:hAnsiTheme="majorHAnsi"/>
        </w:rPr>
        <w:t>Givosiran and its active metabolite exhibited linear pharmacokinetics in plasma over the 0.35 to 2.5 mg/kg dose range. At doses greater than 2.5 mg/kg, plasma exposure increased slightly greater than dose-proportionally. Givosiran exhibited time-independent pharmacokinetics with chronic dosing at the recommended dose regimen of 2.5 mg/kg once monthly. There was no accumulation of givosiran or the active metabolite in plasma after repeated once monthly dosing.</w:t>
      </w:r>
    </w:p>
    <w:p w14:paraId="1C8B1E43" w14:textId="77777777" w:rsidR="00EB0B28" w:rsidRDefault="00470B2C">
      <w:pPr>
        <w:pStyle w:val="Heading3"/>
        <w:spacing w:after="120"/>
        <w:rPr>
          <w:rFonts w:cstheme="minorHAnsi"/>
          <w:lang w:val="en-GB"/>
        </w:rPr>
      </w:pPr>
      <w:r>
        <w:rPr>
          <w:rFonts w:cstheme="minorHAnsi"/>
          <w:lang w:val="en-GB"/>
        </w:rPr>
        <w:t>Pharmacokinetic/pharmacodynamic relationship</w:t>
      </w:r>
    </w:p>
    <w:p w14:paraId="36996DA0" w14:textId="77777777" w:rsidR="00EB0B28" w:rsidRDefault="00470B2C">
      <w:pPr>
        <w:rPr>
          <w:rFonts w:asciiTheme="majorHAnsi" w:hAnsiTheme="majorHAnsi"/>
        </w:rPr>
      </w:pPr>
      <w:r>
        <w:rPr>
          <w:rFonts w:asciiTheme="majorHAnsi" w:hAnsiTheme="majorHAnsi"/>
        </w:rPr>
        <w:t>Plasma concentrations of givosiran are not reflective of the extent or duration of pharmacodynamic activity. Since givosiran is a liver targeted therapy, concentrations in plasma decline rapidly due to uptake by the liver. In the liver, givosiran exhibits a long half-life leading to extended duration of pharmacodynamic effect maintained over the monthly dosing interval.</w:t>
      </w:r>
    </w:p>
    <w:p w14:paraId="3AC5E46B" w14:textId="77777777" w:rsidR="00EB0B28" w:rsidRDefault="00470B2C">
      <w:pPr>
        <w:pStyle w:val="Heading3"/>
        <w:spacing w:after="120"/>
        <w:rPr>
          <w:rFonts w:cstheme="minorHAnsi"/>
          <w:lang w:val="en-GB"/>
        </w:rPr>
      </w:pPr>
      <w:r>
        <w:rPr>
          <w:rFonts w:cstheme="minorHAnsi"/>
          <w:lang w:val="en-GB"/>
        </w:rPr>
        <w:t>Special populations</w:t>
      </w:r>
    </w:p>
    <w:p w14:paraId="4C40862C" w14:textId="77777777" w:rsidR="00EB0B28" w:rsidRDefault="00470B2C">
      <w:pPr>
        <w:pStyle w:val="HeadingEmphasis"/>
        <w:rPr>
          <w:rFonts w:asciiTheme="majorHAnsi" w:hAnsiTheme="majorHAnsi"/>
        </w:rPr>
      </w:pPr>
      <w:r>
        <w:rPr>
          <w:rFonts w:asciiTheme="majorHAnsi" w:hAnsiTheme="majorHAnsi"/>
        </w:rPr>
        <w:t>Elderly</w:t>
      </w:r>
    </w:p>
    <w:p w14:paraId="6268201F" w14:textId="77777777" w:rsidR="00EB0B28" w:rsidRDefault="00470B2C">
      <w:pPr>
        <w:rPr>
          <w:rFonts w:asciiTheme="majorHAnsi" w:hAnsiTheme="majorHAnsi"/>
        </w:rPr>
      </w:pPr>
      <w:r>
        <w:rPr>
          <w:rFonts w:asciiTheme="majorHAnsi" w:hAnsiTheme="majorHAnsi"/>
          <w:bCs/>
        </w:rPr>
        <w:t>No studies have been conducted in patients aged &gt; 65 years. Age was not a significant covariate in the pharmacokinetics of givosiran</w:t>
      </w:r>
      <w:r>
        <w:rPr>
          <w:rFonts w:asciiTheme="majorHAnsi" w:hAnsiTheme="majorHAnsi"/>
        </w:rPr>
        <w:t>.</w:t>
      </w:r>
    </w:p>
    <w:p w14:paraId="0F9AF81C" w14:textId="77777777" w:rsidR="00EB0B28" w:rsidRDefault="00470B2C">
      <w:pPr>
        <w:pStyle w:val="HeadingEmphasis"/>
        <w:rPr>
          <w:rFonts w:asciiTheme="majorHAnsi" w:hAnsiTheme="majorHAnsi"/>
        </w:rPr>
      </w:pPr>
      <w:r>
        <w:rPr>
          <w:rFonts w:asciiTheme="majorHAnsi" w:hAnsiTheme="majorHAnsi"/>
        </w:rPr>
        <w:t>Gender and race</w:t>
      </w:r>
    </w:p>
    <w:p w14:paraId="472CF388" w14:textId="77777777" w:rsidR="00EB0B28" w:rsidRDefault="00470B2C">
      <w:pPr>
        <w:rPr>
          <w:rFonts w:asciiTheme="majorHAnsi" w:hAnsiTheme="majorHAnsi"/>
        </w:rPr>
      </w:pPr>
      <w:r>
        <w:rPr>
          <w:rFonts w:asciiTheme="majorHAnsi" w:hAnsiTheme="majorHAnsi"/>
        </w:rPr>
        <w:t xml:space="preserve">In clinical studies there was no difference in the pharmacokinetics or pharmacodynamics of </w:t>
      </w:r>
      <w:r>
        <w:rPr>
          <w:rFonts w:asciiTheme="majorHAnsi" w:hAnsiTheme="majorHAnsi"/>
          <w:bCs/>
          <w:iCs/>
        </w:rPr>
        <w:t>givosiran</w:t>
      </w:r>
      <w:r>
        <w:rPr>
          <w:rFonts w:asciiTheme="majorHAnsi" w:hAnsiTheme="majorHAnsi"/>
        </w:rPr>
        <w:t xml:space="preserve"> based on gender or race.</w:t>
      </w:r>
    </w:p>
    <w:p w14:paraId="45236AF8" w14:textId="77777777" w:rsidR="00EB0B28" w:rsidRDefault="00470B2C">
      <w:pPr>
        <w:pStyle w:val="HeadingEmphasis"/>
        <w:rPr>
          <w:rFonts w:asciiTheme="majorHAnsi" w:hAnsiTheme="majorHAnsi"/>
        </w:rPr>
      </w:pPr>
      <w:r>
        <w:rPr>
          <w:rFonts w:asciiTheme="majorHAnsi" w:hAnsiTheme="majorHAnsi"/>
        </w:rPr>
        <w:lastRenderedPageBreak/>
        <w:t>Hepatic impairment</w:t>
      </w:r>
    </w:p>
    <w:p w14:paraId="7ACB9477" w14:textId="2B3CF9EF" w:rsidR="00EB0B28" w:rsidRDefault="00470B2C">
      <w:pPr>
        <w:rPr>
          <w:rFonts w:asciiTheme="majorHAnsi" w:hAnsiTheme="majorHAnsi"/>
        </w:rPr>
      </w:pPr>
      <w:r>
        <w:rPr>
          <w:rFonts w:asciiTheme="majorHAnsi" w:hAnsiTheme="majorHAnsi"/>
        </w:rPr>
        <w:t xml:space="preserve">Adult patients with mild hepatic impairment (bilirubin ≤ 1×ULN and AST &gt; 1×ULN, or bilirubin &gt; 1×ULN to 1.5×ULN) had comparable plasma exposure of givosiran and its active metabolite and similar pharmacodynamics (percent reduction in urinary ALA and PBG) as patients with normal hepatic function. </w:t>
      </w:r>
      <w:r>
        <w:rPr>
          <w:rFonts w:asciiTheme="majorHAnsi" w:hAnsiTheme="majorHAnsi"/>
          <w:bCs/>
          <w:szCs w:val="24"/>
        </w:rPr>
        <w:t>No studies have been conducted</w:t>
      </w:r>
      <w:r>
        <w:rPr>
          <w:rFonts w:asciiTheme="majorHAnsi" w:hAnsiTheme="majorHAnsi"/>
        </w:rPr>
        <w:t xml:space="preserve"> in patients with moderate or severe hepatic impairment (see </w:t>
      </w:r>
      <w:hyperlink w:anchor="_Dose_and_method" w:history="1">
        <w:r>
          <w:rPr>
            <w:rStyle w:val="Hyperlink"/>
            <w:rFonts w:asciiTheme="majorHAnsi" w:hAnsiTheme="majorHAnsi"/>
          </w:rPr>
          <w:t>Section 4.2 Dose and Method of Administration</w:t>
        </w:r>
      </w:hyperlink>
      <w:r>
        <w:rPr>
          <w:rFonts w:asciiTheme="majorHAnsi" w:hAnsiTheme="majorHAnsi"/>
        </w:rPr>
        <w:t xml:space="preserve"> and </w:t>
      </w:r>
      <w:hyperlink w:anchor="_Special_warnings_and" w:history="1">
        <w:r>
          <w:rPr>
            <w:rStyle w:val="Hyperlink"/>
            <w:rFonts w:asciiTheme="majorHAnsi" w:hAnsiTheme="majorHAnsi"/>
          </w:rPr>
          <w:t>Section 4.4 Special Warnings and Precautions for Use</w:t>
        </w:r>
      </w:hyperlink>
      <w:r>
        <w:rPr>
          <w:rFonts w:asciiTheme="majorHAnsi" w:hAnsiTheme="majorHAnsi"/>
        </w:rPr>
        <w:t>).</w:t>
      </w:r>
    </w:p>
    <w:p w14:paraId="2B2F6751" w14:textId="77777777" w:rsidR="00EB0B28" w:rsidRDefault="00470B2C">
      <w:pPr>
        <w:pStyle w:val="HeadingEmphasis"/>
        <w:rPr>
          <w:rFonts w:asciiTheme="majorHAnsi" w:hAnsiTheme="majorHAnsi"/>
        </w:rPr>
      </w:pPr>
      <w:r>
        <w:rPr>
          <w:rFonts w:asciiTheme="majorHAnsi" w:hAnsiTheme="majorHAnsi"/>
        </w:rPr>
        <w:t>Renal impairment</w:t>
      </w:r>
    </w:p>
    <w:p w14:paraId="549B58AE" w14:textId="2E54656C" w:rsidR="00EB0B28" w:rsidRDefault="00470B2C">
      <w:pPr>
        <w:rPr>
          <w:rFonts w:asciiTheme="majorHAnsi" w:hAnsiTheme="majorHAnsi"/>
        </w:rPr>
      </w:pPr>
      <w:r>
        <w:rPr>
          <w:rFonts w:asciiTheme="majorHAnsi" w:hAnsiTheme="majorHAnsi"/>
        </w:rPr>
        <w:t xml:space="preserve">Adult patients with mild renal impairment (eGFR ≥ 60 to &lt; 90 mL/min/1.73 m²), moderate renal impairment (eGFR ≥ 30 to &lt; 60 mL/min/1.73 m²) or severe renal impairment (eGFR ≥ 15 to &lt; 30 mL/min/1.73 m²) had comparable plasma exposure of givosiran and its active metabolite and similar pharmacodynamics (percent reduction in urinary ALA and PBG) as patients with normal renal function (eGFR ≥ to 90 mL/min/1.73 m²). </w:t>
      </w:r>
      <w:r>
        <w:rPr>
          <w:rFonts w:asciiTheme="majorHAnsi" w:hAnsiTheme="majorHAnsi"/>
          <w:bCs/>
          <w:szCs w:val="24"/>
        </w:rPr>
        <w:t>No studies have been conducted</w:t>
      </w:r>
      <w:r>
        <w:rPr>
          <w:rFonts w:asciiTheme="majorHAnsi" w:hAnsiTheme="majorHAnsi"/>
        </w:rPr>
        <w:t xml:space="preserve"> in patients with end-stage renal disease or patients with dialysis (see </w:t>
      </w:r>
      <w:hyperlink w:anchor="_Dose_and_method" w:history="1">
        <w:r>
          <w:rPr>
            <w:rStyle w:val="Hyperlink"/>
            <w:rFonts w:asciiTheme="majorHAnsi" w:hAnsiTheme="majorHAnsi"/>
          </w:rPr>
          <w:t>Section 4.2 Dose and Method of Administration</w:t>
        </w:r>
      </w:hyperlink>
      <w:r>
        <w:rPr>
          <w:rFonts w:asciiTheme="majorHAnsi" w:hAnsiTheme="majorHAnsi"/>
        </w:rPr>
        <w:t xml:space="preserve"> and </w:t>
      </w:r>
      <w:hyperlink w:anchor="_Special_warnings_and" w:history="1">
        <w:r>
          <w:rPr>
            <w:rStyle w:val="Hyperlink"/>
            <w:rFonts w:asciiTheme="majorHAnsi" w:hAnsiTheme="majorHAnsi"/>
          </w:rPr>
          <w:t>Section 4.4 Special Warnings and Precautions for Use</w:t>
        </w:r>
      </w:hyperlink>
      <w:r>
        <w:rPr>
          <w:rFonts w:asciiTheme="majorHAnsi" w:hAnsiTheme="majorHAnsi"/>
        </w:rPr>
        <w:t>).</w:t>
      </w:r>
    </w:p>
    <w:p w14:paraId="05599503" w14:textId="77777777" w:rsidR="00EB0B28" w:rsidRDefault="00470B2C">
      <w:pPr>
        <w:pStyle w:val="HeadingEmphasis"/>
        <w:rPr>
          <w:rFonts w:asciiTheme="majorHAnsi" w:hAnsiTheme="majorHAnsi"/>
        </w:rPr>
      </w:pPr>
      <w:r>
        <w:rPr>
          <w:rFonts w:asciiTheme="majorHAnsi" w:hAnsiTheme="majorHAnsi"/>
        </w:rPr>
        <w:t>Paediatric population</w:t>
      </w:r>
    </w:p>
    <w:p w14:paraId="58B63AC0" w14:textId="77777777" w:rsidR="00EB0B28" w:rsidRDefault="00470B2C">
      <w:pPr>
        <w:rPr>
          <w:rFonts w:asciiTheme="majorHAnsi" w:hAnsiTheme="majorHAnsi"/>
        </w:rPr>
      </w:pPr>
      <w:r>
        <w:rPr>
          <w:rFonts w:asciiTheme="majorHAnsi" w:hAnsiTheme="majorHAnsi"/>
          <w:bCs/>
        </w:rPr>
        <w:t>Available data suggest that body weight but not age was a significant covariate in the pharmacokinetics of givosiran. At the 2.5</w:t>
      </w:r>
      <w:r>
        <w:rPr>
          <w:rFonts w:asciiTheme="majorHAnsi" w:hAnsiTheme="majorHAnsi"/>
        </w:rPr>
        <w:t> </w:t>
      </w:r>
      <w:r>
        <w:rPr>
          <w:rFonts w:asciiTheme="majorHAnsi" w:hAnsiTheme="majorHAnsi"/>
          <w:bCs/>
        </w:rPr>
        <w:t xml:space="preserve">mg/kg dose, a similar exposure is expected in adolescents </w:t>
      </w:r>
      <w:r>
        <w:rPr>
          <w:rFonts w:asciiTheme="majorHAnsi" w:hAnsiTheme="majorHAnsi"/>
        </w:rPr>
        <w:t>aged 12 years or older</w:t>
      </w:r>
      <w:r>
        <w:rPr>
          <w:rFonts w:asciiTheme="majorHAnsi" w:hAnsiTheme="majorHAnsi"/>
          <w:bCs/>
        </w:rPr>
        <w:t>, as in adults with the same body weight</w:t>
      </w:r>
      <w:r>
        <w:rPr>
          <w:rFonts w:asciiTheme="majorHAnsi" w:hAnsiTheme="majorHAnsi"/>
        </w:rPr>
        <w:t>.</w:t>
      </w:r>
    </w:p>
    <w:p w14:paraId="426A9537" w14:textId="77777777" w:rsidR="00EB0B28" w:rsidRDefault="00470B2C">
      <w:pPr>
        <w:pStyle w:val="Heading2"/>
        <w:spacing w:before="0" w:after="120"/>
        <w:rPr>
          <w:lang w:val="en-US"/>
        </w:rPr>
      </w:pPr>
      <w:bookmarkStart w:id="11" w:name="_Preclinical_safety_data"/>
      <w:bookmarkEnd w:id="11"/>
      <w:r>
        <w:rPr>
          <w:lang w:val="en-US"/>
        </w:rPr>
        <w:t>Preclinical safety data</w:t>
      </w:r>
    </w:p>
    <w:p w14:paraId="1E6BB953" w14:textId="69DD4328" w:rsidR="00EB0B28" w:rsidRDefault="00470B2C">
      <w:pPr>
        <w:pStyle w:val="Heading3"/>
        <w:spacing w:before="0" w:after="120"/>
      </w:pPr>
      <w:r>
        <w:t>Genotoxicity</w:t>
      </w:r>
    </w:p>
    <w:p w14:paraId="445B8A9C" w14:textId="56A0F881" w:rsidR="00C453E4" w:rsidRDefault="00470B2C" w:rsidP="00C453E4">
      <w:pPr>
        <w:autoSpaceDE w:val="0"/>
        <w:autoSpaceDN w:val="0"/>
        <w:adjustRightInd w:val="0"/>
        <w:snapToGrid w:val="0"/>
        <w:spacing w:after="0" w:line="240" w:lineRule="auto"/>
        <w:rPr>
          <w:rFonts w:ascii="Cambria" w:eastAsia="Times New Roman" w:hAnsi="Cambria" w:cs="Cambria"/>
          <w:color w:val="000000"/>
          <w:szCs w:val="24"/>
          <w:lang w:val="x-none"/>
        </w:rPr>
      </w:pPr>
      <w:r>
        <w:rPr>
          <w:rFonts w:asciiTheme="majorHAnsi" w:hAnsiTheme="majorHAnsi"/>
        </w:rPr>
        <w:t xml:space="preserve">Givosiran </w:t>
      </w:r>
      <w:r w:rsidR="00C453E4">
        <w:rPr>
          <w:rFonts w:ascii="Cambria" w:eastAsia="Times New Roman" w:hAnsi="Cambria" w:cs="Cambria"/>
          <w:color w:val="000000"/>
          <w:szCs w:val="24"/>
          <w:lang w:val="x-none"/>
        </w:rPr>
        <w:t>was negative in assays for mutagenicity in bacteria (</w:t>
      </w:r>
      <w:proofErr w:type="gramStart"/>
      <w:r w:rsidR="00C453E4">
        <w:rPr>
          <w:rFonts w:ascii="Cambria" w:eastAsia="Times New Roman" w:hAnsi="Cambria" w:cs="Cambria"/>
          <w:color w:val="000000"/>
          <w:szCs w:val="24"/>
          <w:lang w:val="x-none"/>
        </w:rPr>
        <w:t>Ames</w:t>
      </w:r>
      <w:proofErr w:type="gramEnd"/>
      <w:r w:rsidR="00C453E4">
        <w:rPr>
          <w:rFonts w:ascii="Cambria" w:eastAsia="Times New Roman" w:hAnsi="Cambria" w:cs="Cambria"/>
          <w:color w:val="000000"/>
          <w:szCs w:val="24"/>
          <w:lang w:val="x-none"/>
        </w:rPr>
        <w:t xml:space="preserve"> test), and for </w:t>
      </w:r>
      <w:proofErr w:type="spellStart"/>
      <w:r w:rsidR="00C453E4">
        <w:rPr>
          <w:rFonts w:ascii="Cambria" w:eastAsia="Times New Roman" w:hAnsi="Cambria" w:cs="Cambria"/>
          <w:color w:val="000000"/>
          <w:szCs w:val="24"/>
          <w:lang w:val="x-none"/>
        </w:rPr>
        <w:t>clastogenicity</w:t>
      </w:r>
      <w:proofErr w:type="spellEnd"/>
      <w:r w:rsidR="00C453E4">
        <w:rPr>
          <w:rFonts w:ascii="Cambria" w:eastAsia="Times New Roman" w:hAnsi="Cambria" w:cs="Cambria"/>
          <w:color w:val="000000"/>
          <w:szCs w:val="24"/>
          <w:lang w:val="x-none"/>
        </w:rPr>
        <w:t xml:space="preserve"> </w:t>
      </w:r>
      <w:r w:rsidR="00C453E4">
        <w:rPr>
          <w:rFonts w:ascii="Cambria" w:eastAsia="Times New Roman" w:hAnsi="Cambria" w:cs="Cambria"/>
          <w:i/>
          <w:color w:val="000000"/>
          <w:szCs w:val="24"/>
          <w:lang w:val="x-none"/>
        </w:rPr>
        <w:t xml:space="preserve">in vitro </w:t>
      </w:r>
      <w:r w:rsidR="00C453E4">
        <w:rPr>
          <w:rFonts w:ascii="Cambria" w:eastAsia="Times New Roman" w:hAnsi="Cambria" w:cs="Cambria"/>
          <w:color w:val="000000"/>
          <w:szCs w:val="24"/>
          <w:lang w:val="x-none"/>
        </w:rPr>
        <w:t xml:space="preserve">(chromosomal aberration assays in human lymphocytes) and </w:t>
      </w:r>
      <w:r w:rsidR="00C453E4">
        <w:rPr>
          <w:rFonts w:ascii="Cambria" w:eastAsia="Times New Roman" w:hAnsi="Cambria" w:cs="Cambria"/>
          <w:i/>
          <w:color w:val="000000"/>
          <w:szCs w:val="24"/>
          <w:lang w:val="x-none"/>
        </w:rPr>
        <w:t xml:space="preserve">in vivo </w:t>
      </w:r>
      <w:r w:rsidR="00C453E4">
        <w:rPr>
          <w:rFonts w:ascii="Cambria" w:eastAsia="Times New Roman" w:hAnsi="Cambria" w:cs="Cambria"/>
          <w:color w:val="000000"/>
          <w:szCs w:val="24"/>
          <w:lang w:val="x-none"/>
        </w:rPr>
        <w:t>(rat bone marrow micronucleus test).</w:t>
      </w:r>
    </w:p>
    <w:p w14:paraId="67FBB9A1" w14:textId="06E14FB4" w:rsidR="00EB0B28" w:rsidRDefault="00EB0B28">
      <w:pPr>
        <w:rPr>
          <w:rFonts w:asciiTheme="majorHAnsi" w:hAnsiTheme="majorHAnsi"/>
          <w:lang w:val="en-US"/>
        </w:rPr>
      </w:pPr>
    </w:p>
    <w:p w14:paraId="6D90E73C" w14:textId="77777777" w:rsidR="00EB0B28" w:rsidRDefault="00470B2C">
      <w:pPr>
        <w:pStyle w:val="Heading3"/>
        <w:spacing w:before="0" w:after="120"/>
        <w:rPr>
          <w:lang w:val="en-US"/>
        </w:rPr>
      </w:pPr>
      <w:proofErr w:type="spellStart"/>
      <w:r>
        <w:t>Carcin</w:t>
      </w:r>
      <w:r>
        <w:rPr>
          <w:lang w:val="en-US"/>
        </w:rPr>
        <w:t>ogenicity</w:t>
      </w:r>
      <w:proofErr w:type="spellEnd"/>
    </w:p>
    <w:p w14:paraId="1EC6D23C" w14:textId="15F5015F" w:rsidR="007301C7" w:rsidRDefault="3BBA9BF1" w:rsidP="00561DC6">
      <w:pPr>
        <w:autoSpaceDE w:val="0"/>
        <w:autoSpaceDN w:val="0"/>
        <w:adjustRightInd w:val="0"/>
        <w:snapToGrid w:val="0"/>
        <w:spacing w:after="0"/>
        <w:rPr>
          <w:rFonts w:ascii="Cambria" w:eastAsia="Times New Roman" w:hAnsi="Cambria" w:cs="Cambria"/>
          <w:color w:val="000000"/>
          <w:lang w:val="x-none"/>
        </w:rPr>
      </w:pPr>
      <w:r w:rsidRPr="3BBA9BF1">
        <w:rPr>
          <w:rFonts w:ascii="Cambria" w:eastAsia="Times New Roman" w:hAnsi="Cambria" w:cs="Cambria"/>
          <w:color w:val="000000" w:themeColor="text1"/>
        </w:rPr>
        <w:t>The carcinogenic potential of givosiran was investigated in a 26-week study in transgenic (</w:t>
      </w:r>
      <w:proofErr w:type="spellStart"/>
      <w:r w:rsidRPr="3BBA9BF1">
        <w:rPr>
          <w:rFonts w:ascii="Cambria" w:eastAsia="Times New Roman" w:hAnsi="Cambria" w:cs="Cambria"/>
          <w:color w:val="000000" w:themeColor="text1"/>
        </w:rPr>
        <w:t>Tg</w:t>
      </w:r>
      <w:proofErr w:type="spellEnd"/>
      <w:r w:rsidRPr="3BBA9BF1">
        <w:rPr>
          <w:rFonts w:ascii="Cambria" w:eastAsia="Times New Roman" w:hAnsi="Cambria" w:cs="Cambria"/>
          <w:color w:val="000000" w:themeColor="text1"/>
          <w:lang w:val="en-GB"/>
        </w:rPr>
        <w:t>-</w:t>
      </w:r>
      <w:r w:rsidRPr="3BBA9BF1">
        <w:rPr>
          <w:rFonts w:ascii="Cambria" w:eastAsia="Times New Roman" w:hAnsi="Cambria" w:cs="Cambria"/>
          <w:color w:val="000000" w:themeColor="text1"/>
        </w:rPr>
        <w:t xml:space="preserve">rasH2) mice and in </w:t>
      </w:r>
      <w:r w:rsidR="00C32B41">
        <w:rPr>
          <w:rFonts w:ascii="Cambria" w:eastAsia="Times New Roman" w:hAnsi="Cambria" w:cs="Cambria"/>
          <w:color w:val="000000" w:themeColor="text1"/>
        </w:rPr>
        <w:t xml:space="preserve">an </w:t>
      </w:r>
      <w:r w:rsidRPr="3BBA9BF1">
        <w:rPr>
          <w:rFonts w:ascii="Cambria" w:eastAsia="Times New Roman" w:hAnsi="Cambria" w:cs="Cambria"/>
          <w:color w:val="000000" w:themeColor="text1"/>
        </w:rPr>
        <w:t>85</w:t>
      </w:r>
      <w:r w:rsidR="00F814EC">
        <w:rPr>
          <w:rFonts w:ascii="Cambria" w:eastAsia="Times New Roman" w:hAnsi="Cambria" w:cs="Cambria"/>
          <w:color w:val="000000" w:themeColor="text1"/>
        </w:rPr>
        <w:t>-</w:t>
      </w:r>
      <w:r w:rsidR="008E7D0C">
        <w:rPr>
          <w:rFonts w:ascii="Cambria" w:eastAsia="Times New Roman" w:hAnsi="Cambria" w:cs="Cambria"/>
          <w:color w:val="000000" w:themeColor="text1"/>
        </w:rPr>
        <w:t xml:space="preserve"> </w:t>
      </w:r>
      <w:r w:rsidRPr="3BBA9BF1">
        <w:rPr>
          <w:rFonts w:ascii="Cambria" w:eastAsia="Times New Roman" w:hAnsi="Cambria" w:cs="Cambria"/>
          <w:color w:val="000000" w:themeColor="text1"/>
          <w:lang w:val="en-GB"/>
        </w:rPr>
        <w:t xml:space="preserve">to </w:t>
      </w:r>
      <w:r w:rsidRPr="3BBA9BF1">
        <w:rPr>
          <w:rFonts w:ascii="Cambria" w:eastAsia="Times New Roman" w:hAnsi="Cambria" w:cs="Cambria"/>
          <w:color w:val="000000" w:themeColor="text1"/>
        </w:rPr>
        <w:t>89-week study in Sprague Dawley rats. Both studies involved once monthly subcutaneous administration. Givosiran was not carcinogenic in transgenic mice up to the highest dose tested, 1500 mg/kg/month (yielding &gt;300</w:t>
      </w:r>
      <w:r w:rsidRPr="3BBA9BF1">
        <w:rPr>
          <w:rFonts w:ascii="Cambria" w:eastAsia="Times New Roman" w:hAnsi="Cambria" w:cs="Cambria"/>
          <w:color w:val="000000" w:themeColor="text1"/>
          <w:lang w:val="en-GB"/>
        </w:rPr>
        <w:t xml:space="preserve"> </w:t>
      </w:r>
      <w:r w:rsidRPr="3BBA9BF1">
        <w:rPr>
          <w:rFonts w:ascii="Cambria" w:eastAsia="Times New Roman" w:hAnsi="Cambria" w:cs="Cambria"/>
          <w:color w:val="000000" w:themeColor="text1"/>
        </w:rPr>
        <w:t xml:space="preserve">-times the exposure in patients at the recommended dose of 2.5 mg/kg/month, based on plasma AUC). Male rats showed an increase in hepatocellular adenomas with treatment at 100 mg/kg/month (40 times the exposure in patients). No treatment-related increase in tumour incidence was observed in male rats at </w:t>
      </w:r>
      <w:bookmarkStart w:id="12" w:name="_Hlk143183288"/>
      <w:r w:rsidRPr="3BBA9BF1">
        <w:rPr>
          <w:rFonts w:ascii="Cambria" w:eastAsia="Times New Roman" w:hAnsi="Cambria" w:cs="Cambria"/>
          <w:color w:val="000000" w:themeColor="text1"/>
        </w:rPr>
        <w:t>≤</w:t>
      </w:r>
      <w:bookmarkEnd w:id="12"/>
      <w:r w:rsidRPr="3BBA9BF1">
        <w:rPr>
          <w:rFonts w:ascii="Cambria" w:eastAsia="Times New Roman" w:hAnsi="Cambria" w:cs="Cambria"/>
          <w:color w:val="000000" w:themeColor="text1"/>
        </w:rPr>
        <w:t>50 mg/kg/month (relative exposure, 17) or in female rats up to the highest dose tested (≤100 mg/kg/month; relative exposure, 33).</w:t>
      </w:r>
    </w:p>
    <w:p w14:paraId="6CA84F81" w14:textId="4C7BF80D" w:rsidR="00EB0B28" w:rsidRDefault="00EB0B28">
      <w:pPr>
        <w:rPr>
          <w:rFonts w:asciiTheme="majorHAnsi" w:hAnsiTheme="majorHAnsi"/>
          <w:lang w:val="en-US"/>
        </w:rPr>
      </w:pPr>
    </w:p>
    <w:p w14:paraId="2BDA6B94" w14:textId="77777777" w:rsidR="00EB0B28" w:rsidRDefault="00470B2C">
      <w:pPr>
        <w:pStyle w:val="Heading1"/>
        <w:spacing w:before="0" w:after="120"/>
        <w:rPr>
          <w:lang w:val="en-US"/>
        </w:rPr>
      </w:pPr>
      <w:r>
        <w:rPr>
          <w:lang w:val="en-US"/>
        </w:rPr>
        <w:t>Pharmaceutical particulars</w:t>
      </w:r>
    </w:p>
    <w:p w14:paraId="755DC5B5" w14:textId="76C3A517" w:rsidR="00EB0B28" w:rsidRDefault="00470B2C">
      <w:pPr>
        <w:pStyle w:val="Heading2"/>
        <w:spacing w:before="0" w:after="120"/>
        <w:rPr>
          <w:rFonts w:cstheme="minorHAnsi"/>
          <w:lang w:val="en-US"/>
        </w:rPr>
      </w:pPr>
      <w:bookmarkStart w:id="13" w:name="_List_of_excipients"/>
      <w:bookmarkEnd w:id="13"/>
      <w:r>
        <w:rPr>
          <w:rFonts w:cstheme="minorHAnsi"/>
          <w:lang w:val="en-US"/>
        </w:rPr>
        <w:t>List of excipients</w:t>
      </w:r>
    </w:p>
    <w:p w14:paraId="637D01D7" w14:textId="77777777" w:rsidR="00EB0B28" w:rsidRDefault="00470B2C">
      <w:pPr>
        <w:rPr>
          <w:rFonts w:asciiTheme="majorHAnsi" w:hAnsiTheme="majorHAnsi"/>
          <w:lang w:val="en-US"/>
        </w:rPr>
      </w:pPr>
      <w:r>
        <w:rPr>
          <w:rFonts w:asciiTheme="majorHAnsi" w:hAnsiTheme="majorHAnsi"/>
          <w:lang w:val="en-US"/>
        </w:rPr>
        <w:t>Sodium hydroxide (pH adjustment)</w:t>
      </w:r>
    </w:p>
    <w:p w14:paraId="4DBC7EFB" w14:textId="77777777" w:rsidR="00EB0B28" w:rsidRDefault="00470B2C">
      <w:pPr>
        <w:rPr>
          <w:rFonts w:asciiTheme="majorHAnsi" w:hAnsiTheme="majorHAnsi" w:cstheme="minorHAnsi"/>
          <w:lang w:val="en-US"/>
        </w:rPr>
      </w:pPr>
      <w:r>
        <w:rPr>
          <w:rFonts w:asciiTheme="majorHAnsi" w:hAnsiTheme="majorHAnsi" w:cstheme="minorHAnsi"/>
          <w:lang w:val="en-US"/>
        </w:rPr>
        <w:lastRenderedPageBreak/>
        <w:t>Phosphoric acid (pH adjustment)</w:t>
      </w:r>
    </w:p>
    <w:p w14:paraId="326F8612" w14:textId="59884FDB" w:rsidR="00EB0B28" w:rsidRDefault="00470B2C">
      <w:pPr>
        <w:rPr>
          <w:rFonts w:asciiTheme="majorHAnsi" w:hAnsiTheme="majorHAnsi" w:cstheme="minorHAnsi"/>
          <w:lang w:val="en-US"/>
        </w:rPr>
      </w:pPr>
      <w:r>
        <w:rPr>
          <w:rFonts w:asciiTheme="majorHAnsi" w:hAnsiTheme="majorHAnsi" w:cstheme="minorHAnsi"/>
          <w:lang w:val="en-US"/>
        </w:rPr>
        <w:t>Water for injections</w:t>
      </w:r>
    </w:p>
    <w:p w14:paraId="49B475A6" w14:textId="4AA160C9" w:rsidR="00EB0B28" w:rsidRDefault="00470B2C">
      <w:pPr>
        <w:pStyle w:val="Heading2"/>
        <w:keepNext/>
        <w:keepLines/>
        <w:spacing w:before="0" w:after="120"/>
        <w:rPr>
          <w:rFonts w:cstheme="minorHAnsi"/>
          <w:lang w:val="en-US"/>
        </w:rPr>
      </w:pPr>
      <w:r>
        <w:rPr>
          <w:rFonts w:cstheme="minorHAnsi"/>
          <w:lang w:val="en-US"/>
        </w:rPr>
        <w:t>Incompatibilities</w:t>
      </w:r>
    </w:p>
    <w:p w14:paraId="2B122B7C" w14:textId="16E4826B" w:rsidR="00EB0B28" w:rsidRDefault="00470B2C">
      <w:pPr>
        <w:rPr>
          <w:rFonts w:asciiTheme="majorHAnsi" w:hAnsiTheme="majorHAnsi" w:cstheme="minorHAnsi"/>
          <w:lang w:val="en-US"/>
        </w:rPr>
      </w:pPr>
      <w:r>
        <w:rPr>
          <w:rFonts w:asciiTheme="majorHAnsi" w:hAnsiTheme="majorHAnsi" w:cstheme="minorHAnsi"/>
          <w:lang w:val="en-US"/>
        </w:rPr>
        <w:t>In the absence of compatibility studies, this medicinal product must not be mixed with other medicinal products.</w:t>
      </w:r>
    </w:p>
    <w:p w14:paraId="731B0724" w14:textId="2C0ADB8F" w:rsidR="00EB0B28" w:rsidRDefault="00470B2C">
      <w:pPr>
        <w:pStyle w:val="Heading2"/>
        <w:spacing w:before="0" w:after="120"/>
        <w:rPr>
          <w:rFonts w:cstheme="minorHAnsi"/>
          <w:lang w:val="en-US"/>
        </w:rPr>
      </w:pPr>
      <w:r>
        <w:rPr>
          <w:rFonts w:cstheme="minorHAnsi"/>
          <w:lang w:val="en-US"/>
        </w:rPr>
        <w:t>Shelf life</w:t>
      </w:r>
    </w:p>
    <w:p w14:paraId="5D5DC60B" w14:textId="72624E14" w:rsidR="00EB0B28" w:rsidRDefault="00470B2C">
      <w:pPr>
        <w:rPr>
          <w:rStyle w:val="cf01"/>
          <w:rFonts w:asciiTheme="majorHAnsi" w:hAnsiTheme="majorHAnsi"/>
          <w:sz w:val="22"/>
          <w:szCs w:val="22"/>
        </w:rPr>
      </w:pPr>
      <w:r>
        <w:rPr>
          <w:rStyle w:val="cf01"/>
          <w:rFonts w:asciiTheme="majorHAnsi" w:hAnsiTheme="majorHAnsi"/>
          <w:sz w:val="22"/>
          <w:szCs w:val="22"/>
        </w:rPr>
        <w:t>In Australia, information on the shelf-life can be found on the public summary of the ARTG. The expiry date can be found on the packaging.</w:t>
      </w:r>
    </w:p>
    <w:p w14:paraId="5779CC80" w14:textId="4F7BDB01" w:rsidR="00EB0B28" w:rsidRDefault="00470B2C">
      <w:pPr>
        <w:rPr>
          <w:rFonts w:asciiTheme="majorHAnsi" w:hAnsiTheme="majorHAnsi" w:cstheme="minorHAnsi"/>
          <w:sz w:val="20"/>
          <w:szCs w:val="20"/>
          <w:lang w:val="en-US"/>
        </w:rPr>
      </w:pPr>
      <w:r>
        <w:rPr>
          <w:rFonts w:asciiTheme="majorHAnsi" w:hAnsiTheme="majorHAnsi" w:cstheme="minorHAnsi"/>
          <w:bCs/>
          <w:szCs w:val="20"/>
          <w:lang w:val="en-US"/>
        </w:rPr>
        <w:t>Once the vial is opened, the medicinal product should be used immediately</w:t>
      </w:r>
      <w:r>
        <w:rPr>
          <w:rFonts w:asciiTheme="majorHAnsi" w:hAnsiTheme="majorHAnsi" w:cstheme="minorHAnsi"/>
          <w:b/>
          <w:szCs w:val="20"/>
          <w:lang w:val="en-US"/>
        </w:rPr>
        <w:t>.</w:t>
      </w:r>
    </w:p>
    <w:p w14:paraId="35EED0F2" w14:textId="63F30FD4" w:rsidR="00EB0B28" w:rsidRDefault="00470B2C">
      <w:pPr>
        <w:pStyle w:val="Heading2"/>
        <w:keepNext/>
        <w:keepLines/>
        <w:spacing w:before="0" w:after="120"/>
        <w:rPr>
          <w:rFonts w:cstheme="minorHAnsi"/>
          <w:lang w:val="en-US"/>
        </w:rPr>
      </w:pPr>
      <w:r>
        <w:rPr>
          <w:rFonts w:cstheme="minorHAnsi"/>
          <w:lang w:val="en-US"/>
        </w:rPr>
        <w:t>Special precautions for storage</w:t>
      </w:r>
    </w:p>
    <w:p w14:paraId="04433EB5" w14:textId="109F05A2" w:rsidR="00EB0B28" w:rsidRDefault="00470B2C">
      <w:pPr>
        <w:rPr>
          <w:rFonts w:asciiTheme="majorHAnsi" w:hAnsiTheme="majorHAnsi"/>
          <w:lang w:val="en-US"/>
        </w:rPr>
      </w:pPr>
      <w:r>
        <w:rPr>
          <w:rFonts w:asciiTheme="majorHAnsi" w:hAnsiTheme="majorHAnsi"/>
          <w:lang w:val="en-US"/>
        </w:rPr>
        <w:t>Store below 25 °C.</w:t>
      </w:r>
    </w:p>
    <w:p w14:paraId="4C55D76E" w14:textId="22C95795" w:rsidR="00EB0B28" w:rsidRDefault="00470B2C">
      <w:pPr>
        <w:rPr>
          <w:rFonts w:asciiTheme="majorHAnsi" w:hAnsiTheme="majorHAnsi"/>
          <w:lang w:val="en-US"/>
        </w:rPr>
      </w:pPr>
      <w:r>
        <w:rPr>
          <w:rFonts w:asciiTheme="majorHAnsi" w:hAnsiTheme="majorHAnsi"/>
          <w:lang w:val="en-US"/>
        </w:rPr>
        <w:t>Keep vial in the outer carton to protect from light.</w:t>
      </w:r>
    </w:p>
    <w:p w14:paraId="25D2A6DD" w14:textId="7A13A8A8" w:rsidR="00EB0B28" w:rsidRDefault="00470B2C">
      <w:pPr>
        <w:pStyle w:val="Heading2"/>
        <w:keepNext/>
        <w:spacing w:before="0" w:after="120"/>
        <w:rPr>
          <w:rFonts w:cstheme="minorHAnsi"/>
          <w:lang w:val="en-US"/>
        </w:rPr>
      </w:pPr>
      <w:r>
        <w:rPr>
          <w:rFonts w:cstheme="minorHAnsi"/>
          <w:lang w:val="en-US"/>
        </w:rPr>
        <w:t>Nature and contents of container</w:t>
      </w:r>
    </w:p>
    <w:p w14:paraId="09CA2DC9" w14:textId="77777777" w:rsidR="00EB0B28" w:rsidRDefault="00470B2C">
      <w:pPr>
        <w:keepNext/>
        <w:rPr>
          <w:rFonts w:asciiTheme="majorHAnsi" w:hAnsiTheme="majorHAnsi"/>
          <w:lang w:val="en-US"/>
        </w:rPr>
      </w:pPr>
      <w:r>
        <w:rPr>
          <w:rFonts w:asciiTheme="majorHAnsi" w:hAnsiTheme="majorHAnsi"/>
          <w:lang w:val="en-US"/>
        </w:rPr>
        <w:t xml:space="preserve">Glass vial with a fluoropolymer-coated rubber stopper and a flip-off </w:t>
      </w:r>
      <w:proofErr w:type="spellStart"/>
      <w:r>
        <w:rPr>
          <w:rFonts w:asciiTheme="majorHAnsi" w:hAnsiTheme="majorHAnsi"/>
          <w:lang w:val="en-US"/>
        </w:rPr>
        <w:t>aluminium</w:t>
      </w:r>
      <w:proofErr w:type="spellEnd"/>
      <w:r>
        <w:rPr>
          <w:rFonts w:asciiTheme="majorHAnsi" w:hAnsiTheme="majorHAnsi"/>
          <w:lang w:val="en-US"/>
        </w:rPr>
        <w:t xml:space="preserve"> seal. Each vial contains 1 mL solution for injection.</w:t>
      </w:r>
    </w:p>
    <w:p w14:paraId="53A0DD51" w14:textId="5C7CC58A" w:rsidR="00EB0B28" w:rsidRDefault="00470B2C">
      <w:pPr>
        <w:rPr>
          <w:rFonts w:asciiTheme="majorHAnsi" w:hAnsiTheme="majorHAnsi"/>
          <w:lang w:val="en-US"/>
        </w:rPr>
      </w:pPr>
      <w:r>
        <w:rPr>
          <w:rFonts w:asciiTheme="majorHAnsi" w:hAnsiTheme="majorHAnsi"/>
          <w:lang w:val="en-US"/>
        </w:rPr>
        <w:t>Pack size of one vial.</w:t>
      </w:r>
    </w:p>
    <w:p w14:paraId="59376877" w14:textId="3662CC80" w:rsidR="00EB0B28" w:rsidRDefault="00470B2C">
      <w:pPr>
        <w:pStyle w:val="Heading2"/>
        <w:spacing w:before="0" w:after="120"/>
        <w:rPr>
          <w:rFonts w:cstheme="minorHAnsi"/>
          <w:lang w:val="en-US"/>
        </w:rPr>
      </w:pPr>
      <w:r>
        <w:rPr>
          <w:rFonts w:cstheme="minorHAnsi"/>
          <w:lang w:val="en-US"/>
        </w:rPr>
        <w:t>Special precautions for disposal</w:t>
      </w:r>
    </w:p>
    <w:p w14:paraId="70513AF2" w14:textId="2A9C3A40" w:rsidR="00EB0B28" w:rsidRDefault="00470B2C">
      <w:pPr>
        <w:pStyle w:val="C-BodyText"/>
        <w:rPr>
          <w:rFonts w:asciiTheme="majorHAnsi" w:eastAsiaTheme="minorEastAsia" w:hAnsiTheme="majorHAnsi" w:cstheme="minorHAnsi"/>
          <w:sz w:val="22"/>
          <w:szCs w:val="22"/>
          <w:lang w:val="en"/>
        </w:rPr>
      </w:pPr>
      <w:r>
        <w:rPr>
          <w:rFonts w:asciiTheme="majorHAnsi" w:eastAsiaTheme="minorEastAsia" w:hAnsiTheme="majorHAnsi" w:cstheme="minorHAnsi"/>
          <w:sz w:val="22"/>
          <w:szCs w:val="22"/>
          <w:lang w:val="en"/>
        </w:rPr>
        <w:t xml:space="preserve">Each vial is for </w:t>
      </w:r>
      <w:r w:rsidR="00757C49">
        <w:rPr>
          <w:rFonts w:asciiTheme="majorHAnsi" w:eastAsiaTheme="minorEastAsia" w:hAnsiTheme="majorHAnsi" w:cstheme="minorHAnsi"/>
          <w:sz w:val="22"/>
          <w:szCs w:val="22"/>
          <w:lang w:val="en"/>
        </w:rPr>
        <w:t xml:space="preserve">a </w:t>
      </w:r>
      <w:r w:rsidR="00757C49" w:rsidRPr="00757C49">
        <w:rPr>
          <w:rFonts w:asciiTheme="majorHAnsi" w:eastAsiaTheme="minorEastAsia" w:hAnsiTheme="majorHAnsi" w:cstheme="minorHAnsi"/>
          <w:sz w:val="22"/>
          <w:szCs w:val="22"/>
          <w:lang w:val="en"/>
        </w:rPr>
        <w:t>single use in a single patient only</w:t>
      </w:r>
      <w:r>
        <w:rPr>
          <w:rFonts w:asciiTheme="majorHAnsi" w:eastAsiaTheme="minorEastAsia" w:hAnsiTheme="majorHAnsi" w:cstheme="minorHAnsi"/>
          <w:sz w:val="22"/>
          <w:szCs w:val="22"/>
          <w:lang w:val="en"/>
        </w:rPr>
        <w:t>. Discard any unused portion left in a vial, as the product contains no preservatives.</w:t>
      </w:r>
    </w:p>
    <w:p w14:paraId="3DAF95B7" w14:textId="2C450EB0" w:rsidR="00EB0B28" w:rsidRDefault="00470B2C">
      <w:pPr>
        <w:rPr>
          <w:rFonts w:asciiTheme="majorHAnsi" w:hAnsiTheme="majorHAnsi" w:cstheme="minorHAnsi"/>
          <w:lang w:val="en-US"/>
        </w:rPr>
      </w:pPr>
      <w:r>
        <w:rPr>
          <w:rFonts w:asciiTheme="majorHAnsi" w:hAnsiTheme="majorHAnsi" w:cstheme="minorHAnsi"/>
          <w:lang w:val="en"/>
        </w:rPr>
        <w:t>In Australia, any unused medicine or waste material should be disposed of in accordance with local requirements.</w:t>
      </w:r>
    </w:p>
    <w:p w14:paraId="140F6A52" w14:textId="77777777" w:rsidR="00EB0B28" w:rsidRDefault="00470B2C">
      <w:pPr>
        <w:pStyle w:val="Heading2"/>
        <w:keepNext/>
        <w:keepLines/>
        <w:spacing w:before="0" w:after="120"/>
        <w:rPr>
          <w:lang w:val="en-US"/>
        </w:rPr>
      </w:pPr>
      <w:r>
        <w:rPr>
          <w:lang w:val="en-US"/>
        </w:rPr>
        <w:lastRenderedPageBreak/>
        <w:t>Physicochemical properties</w:t>
      </w:r>
    </w:p>
    <w:p w14:paraId="2E6E814A" w14:textId="77777777" w:rsidR="00EB0B28" w:rsidRDefault="00470B2C">
      <w:pPr>
        <w:pStyle w:val="Heading3"/>
        <w:spacing w:before="0" w:after="120"/>
        <w:rPr>
          <w:lang w:val="en-US"/>
        </w:rPr>
      </w:pPr>
      <w:r>
        <w:rPr>
          <w:lang w:val="en-US"/>
        </w:rPr>
        <w:t>Chemical structure</w:t>
      </w:r>
    </w:p>
    <w:p w14:paraId="09BBF0A5" w14:textId="7A0FD09E" w:rsidR="00EB0B28" w:rsidRDefault="00470B2C">
      <w:pPr>
        <w:rPr>
          <w:lang w:val="en-US"/>
        </w:rPr>
      </w:pPr>
      <w:r>
        <w:rPr>
          <w:noProof/>
          <w:lang w:val="en-US"/>
        </w:rPr>
        <w:drawing>
          <wp:inline distT="0" distB="0" distL="0" distR="0" wp14:anchorId="4BC331E9" wp14:editId="720BA210">
            <wp:extent cx="5731510" cy="3129915"/>
            <wp:effectExtent l="0" t="0" r="254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4"/>
                    <a:stretch>
                      <a:fillRect/>
                    </a:stretch>
                  </pic:blipFill>
                  <pic:spPr>
                    <a:xfrm>
                      <a:off x="0" y="0"/>
                      <a:ext cx="5731510" cy="3129915"/>
                    </a:xfrm>
                    <a:prstGeom prst="rect">
                      <a:avLst/>
                    </a:prstGeom>
                  </pic:spPr>
                </pic:pic>
              </a:graphicData>
            </a:graphic>
          </wp:inline>
        </w:drawing>
      </w:r>
    </w:p>
    <w:p w14:paraId="6062C1E2" w14:textId="77777777" w:rsidR="00EB0B28" w:rsidRDefault="00470B2C">
      <w:pPr>
        <w:pStyle w:val="Heading3"/>
        <w:spacing w:before="0" w:after="120"/>
        <w:rPr>
          <w:lang w:val="en-US"/>
        </w:rPr>
      </w:pPr>
      <w:r>
        <w:rPr>
          <w:lang w:val="en-US"/>
        </w:rPr>
        <w:t>CAS number</w:t>
      </w:r>
    </w:p>
    <w:p w14:paraId="1B0B5AAC" w14:textId="2A039010" w:rsidR="00EB0B28" w:rsidRDefault="00470B2C">
      <w:pPr>
        <w:rPr>
          <w:lang w:val="en-US"/>
        </w:rPr>
      </w:pPr>
      <w:r>
        <w:rPr>
          <w:rFonts w:asciiTheme="majorHAnsi" w:hAnsiTheme="majorHAnsi"/>
          <w:lang w:val="en-US"/>
        </w:rPr>
        <w:t>1639325-44-2 (givosiran sodium)</w:t>
      </w:r>
    </w:p>
    <w:p w14:paraId="47B4D850" w14:textId="77777777" w:rsidR="00EB0B28" w:rsidRDefault="00470B2C">
      <w:pPr>
        <w:pStyle w:val="Heading1"/>
        <w:spacing w:before="0" w:after="120"/>
        <w:rPr>
          <w:lang w:val="en-US"/>
        </w:rPr>
      </w:pPr>
      <w:r>
        <w:rPr>
          <w:lang w:val="en-US"/>
        </w:rPr>
        <w:t>Medicine schedule (Poisons Standard)</w:t>
      </w:r>
    </w:p>
    <w:p w14:paraId="2281F15C" w14:textId="66C3506E" w:rsidR="00EB0B28" w:rsidRDefault="00470B2C">
      <w:pPr>
        <w:rPr>
          <w:lang w:val="en-US"/>
        </w:rPr>
      </w:pPr>
      <w:r>
        <w:rPr>
          <w:rFonts w:asciiTheme="majorHAnsi" w:hAnsiTheme="majorHAnsi"/>
          <w:lang w:val="en-US"/>
        </w:rPr>
        <w:t>Schedule 4 – Prescription Only Medicine</w:t>
      </w:r>
    </w:p>
    <w:p w14:paraId="7FDB4D66" w14:textId="4EDA9408" w:rsidR="00EB0B28" w:rsidRDefault="00470B2C">
      <w:pPr>
        <w:pStyle w:val="Heading1"/>
        <w:spacing w:before="0" w:after="120"/>
        <w:rPr>
          <w:lang w:val="en-US"/>
        </w:rPr>
      </w:pPr>
      <w:r>
        <w:rPr>
          <w:lang w:val="en-US"/>
        </w:rPr>
        <w:t>Sponsor</w:t>
      </w:r>
    </w:p>
    <w:p w14:paraId="12DD5A2A" w14:textId="77777777" w:rsidR="00EB0B28" w:rsidRDefault="00470B2C">
      <w:pPr>
        <w:spacing w:after="0"/>
        <w:rPr>
          <w:rFonts w:asciiTheme="majorHAnsi" w:hAnsiTheme="majorHAnsi"/>
          <w:lang w:val="en-US"/>
        </w:rPr>
      </w:pPr>
      <w:r>
        <w:rPr>
          <w:rFonts w:asciiTheme="majorHAnsi" w:hAnsiTheme="majorHAnsi"/>
          <w:lang w:val="en-US"/>
        </w:rPr>
        <w:t>Alnylam Australia Pty Ltd</w:t>
      </w:r>
    </w:p>
    <w:p w14:paraId="1B35482E" w14:textId="036FB010" w:rsidR="00EB0B28" w:rsidRDefault="00470B2C">
      <w:pPr>
        <w:pStyle w:val="Heading1"/>
        <w:spacing w:before="0" w:after="120"/>
        <w:ind w:left="431" w:hanging="431"/>
        <w:rPr>
          <w:lang w:val="en-US"/>
        </w:rPr>
      </w:pPr>
      <w:r>
        <w:rPr>
          <w:lang w:val="en-US"/>
        </w:rPr>
        <w:t>Date of first approval</w:t>
      </w:r>
    </w:p>
    <w:p w14:paraId="4B602B38" w14:textId="0FA54C52" w:rsidR="00EB0B28" w:rsidRDefault="00AB3176">
      <w:pPr>
        <w:keepNext/>
        <w:keepLines/>
        <w:rPr>
          <w:rFonts w:asciiTheme="majorHAnsi" w:hAnsiTheme="majorHAnsi"/>
          <w:lang w:val="en-US"/>
        </w:rPr>
      </w:pPr>
      <w:r>
        <w:rPr>
          <w:rFonts w:asciiTheme="majorHAnsi" w:hAnsiTheme="majorHAnsi"/>
          <w:lang w:val="en-US"/>
        </w:rPr>
        <w:t>28 November 2023</w:t>
      </w:r>
    </w:p>
    <w:p w14:paraId="661EC594" w14:textId="5029E62A" w:rsidR="00EB0B28" w:rsidRDefault="00470B2C">
      <w:pPr>
        <w:pStyle w:val="Heading1"/>
        <w:spacing w:before="0" w:after="120"/>
        <w:rPr>
          <w:lang w:val="en-US"/>
        </w:rPr>
      </w:pPr>
      <w:r>
        <w:rPr>
          <w:lang w:val="en-US"/>
        </w:rPr>
        <w:t>Date of revision</w:t>
      </w:r>
    </w:p>
    <w:p w14:paraId="1CF7B9FE" w14:textId="77777777" w:rsidR="00EB0B28" w:rsidRDefault="00EB0B28">
      <w:pPr>
        <w:pStyle w:val="Heading2"/>
        <w:numPr>
          <w:ilvl w:val="0"/>
          <w:numId w:val="0"/>
        </w:numPr>
        <w:spacing w:before="0" w:after="120"/>
        <w:rPr>
          <w:lang w:val="en-US"/>
        </w:rPr>
      </w:pPr>
    </w:p>
    <w:p w14:paraId="458EB9CC" w14:textId="58E32462" w:rsidR="00EB0B28" w:rsidRDefault="00470B2C">
      <w:pPr>
        <w:pStyle w:val="Heading2"/>
        <w:numPr>
          <w:ilvl w:val="0"/>
          <w:numId w:val="0"/>
        </w:numPr>
        <w:spacing w:before="0" w:after="120"/>
        <w:rPr>
          <w:lang w:val="en-US"/>
        </w:rPr>
      </w:pPr>
      <w:r>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EB0B28" w14:paraId="59FF1874" w14:textId="77777777" w:rsidTr="00EB0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0F7AAAB1" w14:textId="77777777" w:rsidR="00EB0B28" w:rsidRDefault="00470B2C">
            <w:pPr>
              <w:rPr>
                <w:sz w:val="20"/>
                <w:lang w:val="en-US"/>
              </w:rPr>
            </w:pPr>
            <w:r>
              <w:rPr>
                <w:sz w:val="20"/>
                <w:lang w:val="en-US"/>
              </w:rPr>
              <w:t>Section Changed</w:t>
            </w:r>
          </w:p>
        </w:tc>
        <w:tc>
          <w:tcPr>
            <w:tcW w:w="7858" w:type="dxa"/>
            <w:shd w:val="clear" w:color="auto" w:fill="F2F2F2" w:themeFill="background1" w:themeFillShade="F2"/>
            <w:vAlign w:val="center"/>
          </w:tcPr>
          <w:p w14:paraId="6FF30B22" w14:textId="77777777" w:rsidR="00EB0B28" w:rsidRDefault="00470B2C">
            <w:pPr>
              <w:cnfStyle w:val="100000000000" w:firstRow="1" w:lastRow="0" w:firstColumn="0" w:lastColumn="0" w:oddVBand="0" w:evenVBand="0" w:oddHBand="0" w:evenHBand="0" w:firstRowFirstColumn="0" w:firstRowLastColumn="0" w:lastRowFirstColumn="0" w:lastRowLastColumn="0"/>
              <w:rPr>
                <w:sz w:val="20"/>
                <w:lang w:val="en-US"/>
              </w:rPr>
            </w:pPr>
            <w:r>
              <w:rPr>
                <w:sz w:val="20"/>
                <w:lang w:val="en-US"/>
              </w:rPr>
              <w:t>Summary of new information</w:t>
            </w:r>
          </w:p>
        </w:tc>
      </w:tr>
      <w:tr w:rsidR="00EB0B28" w14:paraId="0A73CDB3" w14:textId="77777777" w:rsidTr="00EB0B28">
        <w:tc>
          <w:tcPr>
            <w:cnfStyle w:val="001000000000" w:firstRow="0" w:lastRow="0" w:firstColumn="1" w:lastColumn="0" w:oddVBand="0" w:evenVBand="0" w:oddHBand="0" w:evenHBand="0" w:firstRowFirstColumn="0" w:firstRowLastColumn="0" w:lastRowFirstColumn="0" w:lastRowLastColumn="0"/>
            <w:tcW w:w="1384" w:type="dxa"/>
            <w:vAlign w:val="center"/>
          </w:tcPr>
          <w:p w14:paraId="2A59F2C8" w14:textId="77777777" w:rsidR="00EB0B28" w:rsidRDefault="00EB0B28">
            <w:pPr>
              <w:rPr>
                <w:lang w:val="en-US"/>
              </w:rPr>
            </w:pPr>
          </w:p>
        </w:tc>
        <w:tc>
          <w:tcPr>
            <w:tcW w:w="7858" w:type="dxa"/>
            <w:vAlign w:val="center"/>
          </w:tcPr>
          <w:p w14:paraId="57C3B7EC" w14:textId="77777777" w:rsidR="00EB0B28" w:rsidRDefault="00EB0B28">
            <w:pPr>
              <w:cnfStyle w:val="000000000000" w:firstRow="0" w:lastRow="0" w:firstColumn="0" w:lastColumn="0" w:oddVBand="0" w:evenVBand="0" w:oddHBand="0" w:evenHBand="0" w:firstRowFirstColumn="0" w:firstRowLastColumn="0" w:lastRowFirstColumn="0" w:lastRowLastColumn="0"/>
              <w:rPr>
                <w:lang w:val="en-US"/>
              </w:rPr>
            </w:pPr>
          </w:p>
        </w:tc>
      </w:tr>
      <w:tr w:rsidR="00EB0B28" w14:paraId="2B04F9E0" w14:textId="77777777" w:rsidTr="00EB0B28">
        <w:tc>
          <w:tcPr>
            <w:cnfStyle w:val="001000000000" w:firstRow="0" w:lastRow="0" w:firstColumn="1" w:lastColumn="0" w:oddVBand="0" w:evenVBand="0" w:oddHBand="0" w:evenHBand="0" w:firstRowFirstColumn="0" w:firstRowLastColumn="0" w:lastRowFirstColumn="0" w:lastRowLastColumn="0"/>
            <w:tcW w:w="1384" w:type="dxa"/>
            <w:vAlign w:val="center"/>
          </w:tcPr>
          <w:p w14:paraId="17A71443" w14:textId="77777777" w:rsidR="00EB0B28" w:rsidRDefault="00EB0B28">
            <w:pPr>
              <w:rPr>
                <w:lang w:val="en-US"/>
              </w:rPr>
            </w:pPr>
          </w:p>
        </w:tc>
        <w:tc>
          <w:tcPr>
            <w:tcW w:w="7858" w:type="dxa"/>
            <w:vAlign w:val="center"/>
          </w:tcPr>
          <w:p w14:paraId="7FC105B5" w14:textId="77777777" w:rsidR="00EB0B28" w:rsidRDefault="00EB0B28">
            <w:pPr>
              <w:cnfStyle w:val="000000000000" w:firstRow="0" w:lastRow="0" w:firstColumn="0" w:lastColumn="0" w:oddVBand="0" w:evenVBand="0" w:oddHBand="0" w:evenHBand="0" w:firstRowFirstColumn="0" w:firstRowLastColumn="0" w:lastRowFirstColumn="0" w:lastRowLastColumn="0"/>
              <w:rPr>
                <w:lang w:val="en-US"/>
              </w:rPr>
            </w:pPr>
          </w:p>
        </w:tc>
      </w:tr>
      <w:tr w:rsidR="00EB0B28" w14:paraId="047A7473" w14:textId="77777777" w:rsidTr="00EB0B28">
        <w:tc>
          <w:tcPr>
            <w:cnfStyle w:val="001000000000" w:firstRow="0" w:lastRow="0" w:firstColumn="1" w:lastColumn="0" w:oddVBand="0" w:evenVBand="0" w:oddHBand="0" w:evenHBand="0" w:firstRowFirstColumn="0" w:firstRowLastColumn="0" w:lastRowFirstColumn="0" w:lastRowLastColumn="0"/>
            <w:tcW w:w="1384" w:type="dxa"/>
            <w:vAlign w:val="center"/>
          </w:tcPr>
          <w:p w14:paraId="78F2C96F" w14:textId="77777777" w:rsidR="00EB0B28" w:rsidRDefault="00EB0B28">
            <w:pPr>
              <w:rPr>
                <w:lang w:val="en-US"/>
              </w:rPr>
            </w:pPr>
          </w:p>
        </w:tc>
        <w:tc>
          <w:tcPr>
            <w:tcW w:w="7858" w:type="dxa"/>
            <w:vAlign w:val="center"/>
          </w:tcPr>
          <w:p w14:paraId="152696F8" w14:textId="77777777" w:rsidR="00EB0B28" w:rsidRDefault="00EB0B28">
            <w:pPr>
              <w:cnfStyle w:val="000000000000" w:firstRow="0" w:lastRow="0" w:firstColumn="0" w:lastColumn="0" w:oddVBand="0" w:evenVBand="0" w:oddHBand="0" w:evenHBand="0" w:firstRowFirstColumn="0" w:firstRowLastColumn="0" w:lastRowFirstColumn="0" w:lastRowLastColumn="0"/>
              <w:rPr>
                <w:lang w:val="en-US"/>
              </w:rPr>
            </w:pPr>
          </w:p>
        </w:tc>
      </w:tr>
    </w:tbl>
    <w:p w14:paraId="68D216C6" w14:textId="77777777" w:rsidR="00EB0B28" w:rsidRDefault="00EB0B28">
      <w:pPr>
        <w:spacing w:after="120"/>
        <w:rPr>
          <w:lang w:val="en-US"/>
        </w:rPr>
      </w:pPr>
    </w:p>
    <w:p w14:paraId="5EC09035" w14:textId="77777777" w:rsidR="00EB0B28" w:rsidRDefault="00EB0B28"/>
    <w:sectPr w:rsidR="00EB0B28">
      <w:headerReference w:type="default" r:id="rId15"/>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9ABF" w14:textId="77777777" w:rsidR="00061C55" w:rsidRDefault="00061C55">
      <w:pPr>
        <w:spacing w:after="0" w:line="240" w:lineRule="auto"/>
      </w:pPr>
      <w:r>
        <w:separator/>
      </w:r>
    </w:p>
  </w:endnote>
  <w:endnote w:type="continuationSeparator" w:id="0">
    <w:p w14:paraId="34E12488" w14:textId="77777777" w:rsidR="00061C55" w:rsidRDefault="0006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sz w:val="20"/>
      </w:rPr>
    </w:sdtEndPr>
    <w:sdtContent>
      <w:p w14:paraId="4E231FBB" w14:textId="2AFDA24A" w:rsidR="00EB0B28" w:rsidRDefault="00470B2C">
        <w:pPr>
          <w:pStyle w:val="Footer"/>
          <w:rPr>
            <w:sz w:val="20"/>
          </w:rPr>
        </w:pPr>
        <w:r>
          <w:tab/>
        </w:r>
        <w:r>
          <w:tab/>
          <w:t xml:space="preserv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E8D35" w14:textId="77777777" w:rsidR="00061C55" w:rsidRDefault="00061C55">
      <w:pPr>
        <w:spacing w:after="0" w:line="240" w:lineRule="auto"/>
      </w:pPr>
      <w:r>
        <w:separator/>
      </w:r>
    </w:p>
  </w:footnote>
  <w:footnote w:type="continuationSeparator" w:id="0">
    <w:p w14:paraId="760841E1" w14:textId="77777777" w:rsidR="00061C55" w:rsidRDefault="00061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D53D67" w:rsidRPr="000B2145" w14:paraId="46D105A7" w14:textId="77777777" w:rsidTr="00C13B4F">
      <w:trPr>
        <w:trHeight w:val="1012"/>
      </w:trPr>
      <w:tc>
        <w:tcPr>
          <w:tcW w:w="9180" w:type="dxa"/>
          <w:shd w:val="clear" w:color="auto" w:fill="E4F2E0"/>
        </w:tcPr>
        <w:p w14:paraId="3C348B4E" w14:textId="77777777" w:rsidR="00D53D67" w:rsidRPr="000E4791" w:rsidRDefault="00D53D67" w:rsidP="00D53D67">
          <w:pPr>
            <w:pStyle w:val="Footer"/>
            <w:rPr>
              <w:b/>
              <w:sz w:val="18"/>
              <w:szCs w:val="18"/>
            </w:rPr>
          </w:pPr>
          <w:bookmarkStart w:id="14" w:name="_Hlk109054010"/>
          <w:r w:rsidRPr="00713073">
            <w:rPr>
              <w:b/>
              <w:sz w:val="18"/>
              <w:szCs w:val="18"/>
            </w:rPr>
            <w:t xml:space="preserve">AusPAR - GIVLAARI - </w:t>
          </w:r>
          <w:proofErr w:type="spellStart"/>
          <w:r w:rsidRPr="00713073">
            <w:rPr>
              <w:b/>
              <w:sz w:val="18"/>
              <w:szCs w:val="18"/>
            </w:rPr>
            <w:t>givosiran</w:t>
          </w:r>
          <w:proofErr w:type="spellEnd"/>
          <w:r w:rsidRPr="00713073">
            <w:rPr>
              <w:b/>
              <w:sz w:val="18"/>
              <w:szCs w:val="18"/>
            </w:rPr>
            <w:t xml:space="preserve"> – Medison Pharma Australia Pty Ltd - PM-2022-05371-1-6</w:t>
          </w:r>
          <w:r>
            <w:rPr>
              <w:b/>
              <w:sz w:val="18"/>
              <w:szCs w:val="18"/>
            </w:rPr>
            <w:t xml:space="preserve"> </w:t>
          </w:r>
          <w:r w:rsidRPr="00713073">
            <w:rPr>
              <w:b/>
              <w:sz w:val="18"/>
              <w:szCs w:val="18"/>
            </w:rPr>
            <w:t>Final 28 June 2024</w:t>
          </w:r>
          <w:r w:rsidRPr="008F5577">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4"/>
  </w:tbl>
  <w:p w14:paraId="07722D8E" w14:textId="77777777" w:rsidR="00D53D67" w:rsidRDefault="00D53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373B0C"/>
    <w:multiLevelType w:val="hybridMultilevel"/>
    <w:tmpl w:val="09600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5B35CE"/>
    <w:multiLevelType w:val="hybridMultilevel"/>
    <w:tmpl w:val="B1301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5A1E4D"/>
    <w:multiLevelType w:val="hybridMultilevel"/>
    <w:tmpl w:val="15AA9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3010247">
    <w:abstractNumId w:val="8"/>
  </w:num>
  <w:num w:numId="2" w16cid:durableId="451948469">
    <w:abstractNumId w:val="1"/>
  </w:num>
  <w:num w:numId="3" w16cid:durableId="414594381">
    <w:abstractNumId w:val="0"/>
  </w:num>
  <w:num w:numId="4" w16cid:durableId="1405638031">
    <w:abstractNumId w:val="4"/>
  </w:num>
  <w:num w:numId="5" w16cid:durableId="2121338937">
    <w:abstractNumId w:val="12"/>
  </w:num>
  <w:num w:numId="6" w16cid:durableId="775440610">
    <w:abstractNumId w:val="9"/>
  </w:num>
  <w:num w:numId="7" w16cid:durableId="1542277836">
    <w:abstractNumId w:val="7"/>
  </w:num>
  <w:num w:numId="8" w16cid:durableId="242377930">
    <w:abstractNumId w:val="10"/>
  </w:num>
  <w:num w:numId="9" w16cid:durableId="911888950">
    <w:abstractNumId w:val="3"/>
  </w:num>
  <w:num w:numId="10" w16cid:durableId="1402410437">
    <w:abstractNumId w:val="6"/>
  </w:num>
  <w:num w:numId="11" w16cid:durableId="1614048846">
    <w:abstractNumId w:val="5"/>
  </w:num>
  <w:num w:numId="12" w16cid:durableId="1640111997">
    <w:abstractNumId w:val="11"/>
  </w:num>
  <w:num w:numId="13" w16cid:durableId="1759208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35"/>
    <w:rsid w:val="00002902"/>
    <w:rsid w:val="00006BF6"/>
    <w:rsid w:val="000137FB"/>
    <w:rsid w:val="00013C0D"/>
    <w:rsid w:val="00015A33"/>
    <w:rsid w:val="000214A2"/>
    <w:rsid w:val="00021C86"/>
    <w:rsid w:val="00024981"/>
    <w:rsid w:val="0002710A"/>
    <w:rsid w:val="00027F09"/>
    <w:rsid w:val="00035BD2"/>
    <w:rsid w:val="00041714"/>
    <w:rsid w:val="00041970"/>
    <w:rsid w:val="00042302"/>
    <w:rsid w:val="0004604D"/>
    <w:rsid w:val="00046667"/>
    <w:rsid w:val="00047BA8"/>
    <w:rsid w:val="00056015"/>
    <w:rsid w:val="00060E56"/>
    <w:rsid w:val="00061C55"/>
    <w:rsid w:val="0006262C"/>
    <w:rsid w:val="00063415"/>
    <w:rsid w:val="00065F95"/>
    <w:rsid w:val="000661DC"/>
    <w:rsid w:val="00066A6D"/>
    <w:rsid w:val="00072904"/>
    <w:rsid w:val="0007295E"/>
    <w:rsid w:val="00072D4D"/>
    <w:rsid w:val="00090654"/>
    <w:rsid w:val="00091E9B"/>
    <w:rsid w:val="00092BA5"/>
    <w:rsid w:val="000A122F"/>
    <w:rsid w:val="000B1F22"/>
    <w:rsid w:val="000C003F"/>
    <w:rsid w:val="000C0A75"/>
    <w:rsid w:val="000C1CFC"/>
    <w:rsid w:val="000C4E7E"/>
    <w:rsid w:val="000C6918"/>
    <w:rsid w:val="000D0A38"/>
    <w:rsid w:val="000D443A"/>
    <w:rsid w:val="000E001E"/>
    <w:rsid w:val="00104888"/>
    <w:rsid w:val="0011273B"/>
    <w:rsid w:val="00116C5C"/>
    <w:rsid w:val="001374C8"/>
    <w:rsid w:val="0014030A"/>
    <w:rsid w:val="001410E4"/>
    <w:rsid w:val="00157B22"/>
    <w:rsid w:val="00160959"/>
    <w:rsid w:val="001709ED"/>
    <w:rsid w:val="00185904"/>
    <w:rsid w:val="00194582"/>
    <w:rsid w:val="00197019"/>
    <w:rsid w:val="001A3579"/>
    <w:rsid w:val="001A3992"/>
    <w:rsid w:val="001B3D4A"/>
    <w:rsid w:val="001B4386"/>
    <w:rsid w:val="001B5096"/>
    <w:rsid w:val="001C0FEA"/>
    <w:rsid w:val="001C2621"/>
    <w:rsid w:val="001C44D0"/>
    <w:rsid w:val="001D3E9B"/>
    <w:rsid w:val="001E5711"/>
    <w:rsid w:val="001E73B5"/>
    <w:rsid w:val="001F219D"/>
    <w:rsid w:val="001F65DF"/>
    <w:rsid w:val="00201135"/>
    <w:rsid w:val="0021200F"/>
    <w:rsid w:val="0021507D"/>
    <w:rsid w:val="00216228"/>
    <w:rsid w:val="00217050"/>
    <w:rsid w:val="002222DD"/>
    <w:rsid w:val="00222B4A"/>
    <w:rsid w:val="00222DB2"/>
    <w:rsid w:val="00223B8B"/>
    <w:rsid w:val="00225EA7"/>
    <w:rsid w:val="00231F87"/>
    <w:rsid w:val="002331DB"/>
    <w:rsid w:val="00233291"/>
    <w:rsid w:val="002407DA"/>
    <w:rsid w:val="002538B6"/>
    <w:rsid w:val="00271E40"/>
    <w:rsid w:val="0027529F"/>
    <w:rsid w:val="00275786"/>
    <w:rsid w:val="00276EC8"/>
    <w:rsid w:val="0028350B"/>
    <w:rsid w:val="00285173"/>
    <w:rsid w:val="00287022"/>
    <w:rsid w:val="00297B5E"/>
    <w:rsid w:val="002A779E"/>
    <w:rsid w:val="002B0688"/>
    <w:rsid w:val="002C2761"/>
    <w:rsid w:val="002D0FBE"/>
    <w:rsid w:val="002D3900"/>
    <w:rsid w:val="002D4E74"/>
    <w:rsid w:val="002D5DAB"/>
    <w:rsid w:val="002E277D"/>
    <w:rsid w:val="002F250B"/>
    <w:rsid w:val="002F528E"/>
    <w:rsid w:val="002F676A"/>
    <w:rsid w:val="003112C3"/>
    <w:rsid w:val="00327D0E"/>
    <w:rsid w:val="00330A3D"/>
    <w:rsid w:val="00333822"/>
    <w:rsid w:val="00337076"/>
    <w:rsid w:val="00340E64"/>
    <w:rsid w:val="0035375E"/>
    <w:rsid w:val="003601FF"/>
    <w:rsid w:val="00362B92"/>
    <w:rsid w:val="00373929"/>
    <w:rsid w:val="00375BA1"/>
    <w:rsid w:val="00375DF3"/>
    <w:rsid w:val="00387898"/>
    <w:rsid w:val="00387CC4"/>
    <w:rsid w:val="00391A73"/>
    <w:rsid w:val="003A3D86"/>
    <w:rsid w:val="003B511F"/>
    <w:rsid w:val="003D07E8"/>
    <w:rsid w:val="003D559C"/>
    <w:rsid w:val="003D5632"/>
    <w:rsid w:val="003E1A81"/>
    <w:rsid w:val="003E4D03"/>
    <w:rsid w:val="003F5713"/>
    <w:rsid w:val="00404F12"/>
    <w:rsid w:val="004068C6"/>
    <w:rsid w:val="00421832"/>
    <w:rsid w:val="00431ACD"/>
    <w:rsid w:val="004608DE"/>
    <w:rsid w:val="00464B61"/>
    <w:rsid w:val="00464F3E"/>
    <w:rsid w:val="00465150"/>
    <w:rsid w:val="004657E0"/>
    <w:rsid w:val="00470B2C"/>
    <w:rsid w:val="0047560E"/>
    <w:rsid w:val="00484030"/>
    <w:rsid w:val="004937EC"/>
    <w:rsid w:val="0049650E"/>
    <w:rsid w:val="004A58BB"/>
    <w:rsid w:val="004A6C54"/>
    <w:rsid w:val="004B301B"/>
    <w:rsid w:val="004B6B19"/>
    <w:rsid w:val="004B6F2D"/>
    <w:rsid w:val="004C4E99"/>
    <w:rsid w:val="004C578D"/>
    <w:rsid w:val="004C6F41"/>
    <w:rsid w:val="004E4440"/>
    <w:rsid w:val="00504CDB"/>
    <w:rsid w:val="0050509B"/>
    <w:rsid w:val="005168E0"/>
    <w:rsid w:val="00516F58"/>
    <w:rsid w:val="00517287"/>
    <w:rsid w:val="00522761"/>
    <w:rsid w:val="005271A2"/>
    <w:rsid w:val="00531EF6"/>
    <w:rsid w:val="00532285"/>
    <w:rsid w:val="0053366C"/>
    <w:rsid w:val="00534751"/>
    <w:rsid w:val="00541910"/>
    <w:rsid w:val="00543A58"/>
    <w:rsid w:val="00544C41"/>
    <w:rsid w:val="00554BA8"/>
    <w:rsid w:val="00556942"/>
    <w:rsid w:val="00557433"/>
    <w:rsid w:val="00560721"/>
    <w:rsid w:val="00561DC6"/>
    <w:rsid w:val="00565B44"/>
    <w:rsid w:val="0056680C"/>
    <w:rsid w:val="005703E5"/>
    <w:rsid w:val="00571800"/>
    <w:rsid w:val="0057637B"/>
    <w:rsid w:val="00580528"/>
    <w:rsid w:val="005810C1"/>
    <w:rsid w:val="00583470"/>
    <w:rsid w:val="00584559"/>
    <w:rsid w:val="00585FF7"/>
    <w:rsid w:val="0059285E"/>
    <w:rsid w:val="0059288B"/>
    <w:rsid w:val="00594D47"/>
    <w:rsid w:val="005B2812"/>
    <w:rsid w:val="005B623D"/>
    <w:rsid w:val="005B77C2"/>
    <w:rsid w:val="005C0AA4"/>
    <w:rsid w:val="005D1188"/>
    <w:rsid w:val="005E634A"/>
    <w:rsid w:val="005F117B"/>
    <w:rsid w:val="005F1A4B"/>
    <w:rsid w:val="005F533A"/>
    <w:rsid w:val="00601667"/>
    <w:rsid w:val="006018AE"/>
    <w:rsid w:val="00637951"/>
    <w:rsid w:val="006425E5"/>
    <w:rsid w:val="00642B21"/>
    <w:rsid w:val="0066169A"/>
    <w:rsid w:val="00663C41"/>
    <w:rsid w:val="00673A92"/>
    <w:rsid w:val="0067542A"/>
    <w:rsid w:val="00680A8B"/>
    <w:rsid w:val="006926AB"/>
    <w:rsid w:val="0069559E"/>
    <w:rsid w:val="00695C4D"/>
    <w:rsid w:val="006966DD"/>
    <w:rsid w:val="006A032C"/>
    <w:rsid w:val="006A44D5"/>
    <w:rsid w:val="006B5215"/>
    <w:rsid w:val="006B5D80"/>
    <w:rsid w:val="006B67EF"/>
    <w:rsid w:val="006D051D"/>
    <w:rsid w:val="006D5B34"/>
    <w:rsid w:val="006D67AC"/>
    <w:rsid w:val="006E0733"/>
    <w:rsid w:val="006E7DBB"/>
    <w:rsid w:val="00712DF4"/>
    <w:rsid w:val="00721A56"/>
    <w:rsid w:val="00724605"/>
    <w:rsid w:val="007301C7"/>
    <w:rsid w:val="0074731D"/>
    <w:rsid w:val="00757C49"/>
    <w:rsid w:val="00764392"/>
    <w:rsid w:val="00765A1D"/>
    <w:rsid w:val="00772A6D"/>
    <w:rsid w:val="00775354"/>
    <w:rsid w:val="00777C94"/>
    <w:rsid w:val="00780E5D"/>
    <w:rsid w:val="00783D1A"/>
    <w:rsid w:val="00794F62"/>
    <w:rsid w:val="007969C5"/>
    <w:rsid w:val="007A3EDD"/>
    <w:rsid w:val="007A6220"/>
    <w:rsid w:val="007B3BC4"/>
    <w:rsid w:val="007B4DA3"/>
    <w:rsid w:val="007B53B2"/>
    <w:rsid w:val="007B5982"/>
    <w:rsid w:val="007C2AC0"/>
    <w:rsid w:val="007C66C8"/>
    <w:rsid w:val="007D742C"/>
    <w:rsid w:val="007E461C"/>
    <w:rsid w:val="007E6279"/>
    <w:rsid w:val="007F582A"/>
    <w:rsid w:val="007F58A0"/>
    <w:rsid w:val="007F7639"/>
    <w:rsid w:val="007F7E71"/>
    <w:rsid w:val="008006EB"/>
    <w:rsid w:val="00803F72"/>
    <w:rsid w:val="008043B2"/>
    <w:rsid w:val="00814803"/>
    <w:rsid w:val="00814944"/>
    <w:rsid w:val="008269AE"/>
    <w:rsid w:val="00834B44"/>
    <w:rsid w:val="00840178"/>
    <w:rsid w:val="008440BB"/>
    <w:rsid w:val="0084555B"/>
    <w:rsid w:val="0085336E"/>
    <w:rsid w:val="00864986"/>
    <w:rsid w:val="00870DEB"/>
    <w:rsid w:val="00872AA5"/>
    <w:rsid w:val="00877D5B"/>
    <w:rsid w:val="00891A8E"/>
    <w:rsid w:val="008A3AEC"/>
    <w:rsid w:val="008B10AF"/>
    <w:rsid w:val="008B533A"/>
    <w:rsid w:val="008C033F"/>
    <w:rsid w:val="008C19C8"/>
    <w:rsid w:val="008C1F90"/>
    <w:rsid w:val="008C48C2"/>
    <w:rsid w:val="008C7781"/>
    <w:rsid w:val="008D01E6"/>
    <w:rsid w:val="008D113B"/>
    <w:rsid w:val="008D3265"/>
    <w:rsid w:val="008E7D0C"/>
    <w:rsid w:val="008F1216"/>
    <w:rsid w:val="008F4003"/>
    <w:rsid w:val="009011F6"/>
    <w:rsid w:val="009059CC"/>
    <w:rsid w:val="00905FE6"/>
    <w:rsid w:val="009079F0"/>
    <w:rsid w:val="00907D5C"/>
    <w:rsid w:val="00923C6B"/>
    <w:rsid w:val="00932D90"/>
    <w:rsid w:val="00936F19"/>
    <w:rsid w:val="009442D9"/>
    <w:rsid w:val="0094465D"/>
    <w:rsid w:val="00944B39"/>
    <w:rsid w:val="00944FE2"/>
    <w:rsid w:val="00946519"/>
    <w:rsid w:val="00946DCC"/>
    <w:rsid w:val="00960CD5"/>
    <w:rsid w:val="00975504"/>
    <w:rsid w:val="009756EA"/>
    <w:rsid w:val="00987949"/>
    <w:rsid w:val="00992389"/>
    <w:rsid w:val="009A1F9E"/>
    <w:rsid w:val="009C1475"/>
    <w:rsid w:val="009D1AE3"/>
    <w:rsid w:val="009D2150"/>
    <w:rsid w:val="009E2DAB"/>
    <w:rsid w:val="00A01E48"/>
    <w:rsid w:val="00A16B00"/>
    <w:rsid w:val="00A3431B"/>
    <w:rsid w:val="00A36034"/>
    <w:rsid w:val="00A4108B"/>
    <w:rsid w:val="00A43C5D"/>
    <w:rsid w:val="00A5261A"/>
    <w:rsid w:val="00A544B3"/>
    <w:rsid w:val="00A54C37"/>
    <w:rsid w:val="00A64655"/>
    <w:rsid w:val="00A72EF6"/>
    <w:rsid w:val="00A86A45"/>
    <w:rsid w:val="00A8716A"/>
    <w:rsid w:val="00A93271"/>
    <w:rsid w:val="00AA5908"/>
    <w:rsid w:val="00AB0311"/>
    <w:rsid w:val="00AB3176"/>
    <w:rsid w:val="00AB5303"/>
    <w:rsid w:val="00AB5754"/>
    <w:rsid w:val="00AB6541"/>
    <w:rsid w:val="00AD758D"/>
    <w:rsid w:val="00AE2080"/>
    <w:rsid w:val="00AE319A"/>
    <w:rsid w:val="00AF14A0"/>
    <w:rsid w:val="00AF238D"/>
    <w:rsid w:val="00AF465F"/>
    <w:rsid w:val="00AF56A7"/>
    <w:rsid w:val="00AF5BB2"/>
    <w:rsid w:val="00AF65BC"/>
    <w:rsid w:val="00B11A4B"/>
    <w:rsid w:val="00B1427C"/>
    <w:rsid w:val="00B22219"/>
    <w:rsid w:val="00B22E7B"/>
    <w:rsid w:val="00B25826"/>
    <w:rsid w:val="00B2723D"/>
    <w:rsid w:val="00B34FEF"/>
    <w:rsid w:val="00B452E4"/>
    <w:rsid w:val="00B50672"/>
    <w:rsid w:val="00B55226"/>
    <w:rsid w:val="00B558B5"/>
    <w:rsid w:val="00B57EB8"/>
    <w:rsid w:val="00B6192A"/>
    <w:rsid w:val="00B643BA"/>
    <w:rsid w:val="00B66CA5"/>
    <w:rsid w:val="00B715D8"/>
    <w:rsid w:val="00B75B21"/>
    <w:rsid w:val="00B8101A"/>
    <w:rsid w:val="00B826E9"/>
    <w:rsid w:val="00B945FC"/>
    <w:rsid w:val="00B95A42"/>
    <w:rsid w:val="00BB1E54"/>
    <w:rsid w:val="00BB72B5"/>
    <w:rsid w:val="00BD79D9"/>
    <w:rsid w:val="00BE1A65"/>
    <w:rsid w:val="00BE2A26"/>
    <w:rsid w:val="00BE393C"/>
    <w:rsid w:val="00BE3FF2"/>
    <w:rsid w:val="00BE4361"/>
    <w:rsid w:val="00C01B9D"/>
    <w:rsid w:val="00C05080"/>
    <w:rsid w:val="00C07B91"/>
    <w:rsid w:val="00C175C9"/>
    <w:rsid w:val="00C20DA6"/>
    <w:rsid w:val="00C227EE"/>
    <w:rsid w:val="00C2531A"/>
    <w:rsid w:val="00C32B41"/>
    <w:rsid w:val="00C33A2D"/>
    <w:rsid w:val="00C35CBC"/>
    <w:rsid w:val="00C453E4"/>
    <w:rsid w:val="00C573E5"/>
    <w:rsid w:val="00C621B2"/>
    <w:rsid w:val="00C67AFD"/>
    <w:rsid w:val="00C864F9"/>
    <w:rsid w:val="00C934F4"/>
    <w:rsid w:val="00C94791"/>
    <w:rsid w:val="00C948E5"/>
    <w:rsid w:val="00CA0792"/>
    <w:rsid w:val="00CA07A2"/>
    <w:rsid w:val="00CA0FF3"/>
    <w:rsid w:val="00CA141F"/>
    <w:rsid w:val="00CA271B"/>
    <w:rsid w:val="00CA61A8"/>
    <w:rsid w:val="00CA6D93"/>
    <w:rsid w:val="00CB622E"/>
    <w:rsid w:val="00CB7035"/>
    <w:rsid w:val="00CC0DA5"/>
    <w:rsid w:val="00CC0F4E"/>
    <w:rsid w:val="00CC57BC"/>
    <w:rsid w:val="00CD48E1"/>
    <w:rsid w:val="00CD7E5B"/>
    <w:rsid w:val="00CF18C3"/>
    <w:rsid w:val="00CF490C"/>
    <w:rsid w:val="00CF6741"/>
    <w:rsid w:val="00D04900"/>
    <w:rsid w:val="00D07CA9"/>
    <w:rsid w:val="00D23AD9"/>
    <w:rsid w:val="00D321E0"/>
    <w:rsid w:val="00D36CF7"/>
    <w:rsid w:val="00D4272F"/>
    <w:rsid w:val="00D44E1D"/>
    <w:rsid w:val="00D46B06"/>
    <w:rsid w:val="00D51425"/>
    <w:rsid w:val="00D53D67"/>
    <w:rsid w:val="00D61710"/>
    <w:rsid w:val="00D63DEF"/>
    <w:rsid w:val="00D71805"/>
    <w:rsid w:val="00D71F4F"/>
    <w:rsid w:val="00D74E9D"/>
    <w:rsid w:val="00D7568B"/>
    <w:rsid w:val="00D75D19"/>
    <w:rsid w:val="00D808DC"/>
    <w:rsid w:val="00D90737"/>
    <w:rsid w:val="00D96FC9"/>
    <w:rsid w:val="00DA2FBE"/>
    <w:rsid w:val="00DA3BD2"/>
    <w:rsid w:val="00DA6AA1"/>
    <w:rsid w:val="00DB058D"/>
    <w:rsid w:val="00DB4D62"/>
    <w:rsid w:val="00DC415D"/>
    <w:rsid w:val="00DE39F7"/>
    <w:rsid w:val="00DE514F"/>
    <w:rsid w:val="00DE78EA"/>
    <w:rsid w:val="00DF2FCE"/>
    <w:rsid w:val="00DF3052"/>
    <w:rsid w:val="00DF4D37"/>
    <w:rsid w:val="00E15202"/>
    <w:rsid w:val="00E22B70"/>
    <w:rsid w:val="00E36D50"/>
    <w:rsid w:val="00E3718E"/>
    <w:rsid w:val="00E43114"/>
    <w:rsid w:val="00E52881"/>
    <w:rsid w:val="00E53330"/>
    <w:rsid w:val="00E53F3C"/>
    <w:rsid w:val="00E60FB2"/>
    <w:rsid w:val="00E66949"/>
    <w:rsid w:val="00E74A56"/>
    <w:rsid w:val="00E771D7"/>
    <w:rsid w:val="00E95F99"/>
    <w:rsid w:val="00EA2148"/>
    <w:rsid w:val="00EA6DE6"/>
    <w:rsid w:val="00EB0B28"/>
    <w:rsid w:val="00EB4EF1"/>
    <w:rsid w:val="00EC14CE"/>
    <w:rsid w:val="00EE4042"/>
    <w:rsid w:val="00EE7CCC"/>
    <w:rsid w:val="00EF40E7"/>
    <w:rsid w:val="00EF7F18"/>
    <w:rsid w:val="00F0344B"/>
    <w:rsid w:val="00F20B9F"/>
    <w:rsid w:val="00F22B0F"/>
    <w:rsid w:val="00F372E7"/>
    <w:rsid w:val="00F43B1C"/>
    <w:rsid w:val="00F523DF"/>
    <w:rsid w:val="00F63330"/>
    <w:rsid w:val="00F65104"/>
    <w:rsid w:val="00F70A3B"/>
    <w:rsid w:val="00F814EC"/>
    <w:rsid w:val="00F85CD2"/>
    <w:rsid w:val="00F948D9"/>
    <w:rsid w:val="00F95D7A"/>
    <w:rsid w:val="00FA6045"/>
    <w:rsid w:val="00FA71A5"/>
    <w:rsid w:val="00FB3C91"/>
    <w:rsid w:val="00FB591C"/>
    <w:rsid w:val="00FC4469"/>
    <w:rsid w:val="00FD167A"/>
    <w:rsid w:val="00FD22BF"/>
    <w:rsid w:val="00FE6946"/>
    <w:rsid w:val="00FF3208"/>
    <w:rsid w:val="00FF4A8D"/>
    <w:rsid w:val="00FF5156"/>
    <w:rsid w:val="00FF53E5"/>
    <w:rsid w:val="00FF5417"/>
    <w:rsid w:val="3BBA9BF1"/>
    <w:rsid w:val="6710BA46"/>
    <w:rsid w:val="710C306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CAF525"/>
  <w15:docId w15:val="{39E7FADB-9165-49A9-A251-09314891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Pr>
      <w:rFonts w:asciiTheme="majorHAnsi" w:hAnsiTheme="majorHAnsi"/>
      <w:b/>
      <w:smallCaps/>
      <w:sz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pPr>
      <w:ind w:left="720"/>
      <w:contextualSpacing/>
    </w:pPr>
    <w:rPr>
      <w:rFonts w:ascii="Cambria" w:hAnsi="Cambri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Pr>
      <w:rFonts w:ascii="Cambria" w:hAnsi="Cambria"/>
      <w:sz w:val="20"/>
      <w:szCs w:val="20"/>
    </w:rPr>
  </w:style>
  <w:style w:type="paragraph" w:styleId="FootnoteText">
    <w:name w:val="footnote text"/>
    <w:basedOn w:val="Normal"/>
    <w:link w:val="FootnoteTextChar"/>
    <w:uiPriority w:val="99"/>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Pr>
      <w:rFonts w:ascii="Calibri" w:eastAsia="Calibri" w:hAnsi="Calibri" w:cs="Times New Roman"/>
      <w:sz w:val="20"/>
    </w:rPr>
  </w:style>
  <w:style w:type="character" w:styleId="FootnoteReference">
    <w:name w:val="footnote reference"/>
    <w:basedOn w:val="DefaultParagraphFont"/>
    <w:uiPriority w:val="99"/>
    <w:unhideWhenUsed/>
    <w:rPr>
      <w:vertAlign w:val="superscript"/>
    </w:rPr>
  </w:style>
  <w:style w:type="paragraph" w:styleId="ListBullet">
    <w:name w:val="List Bullet"/>
    <w:basedOn w:val="Normal"/>
    <w:uiPriority w:val="99"/>
    <w:unhideWhenUsed/>
    <w:pPr>
      <w:ind w:left="425" w:hanging="425"/>
      <w:contextualSpacing/>
    </w:pPr>
    <w:rPr>
      <w:rFonts w:ascii="Cambria" w:hAnsi="Cambria"/>
    </w:rPr>
  </w:style>
  <w:style w:type="character" w:styleId="Hyperlink">
    <w:name w:val="Hyperlink"/>
    <w:basedOn w:val="DefaultParagraphFont"/>
    <w:uiPriority w:val="99"/>
    <w:unhideWhenUsed/>
    <w:rPr>
      <w:color w:val="0000FF" w:themeColor="hyperlink"/>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Pr>
      <w:rFonts w:ascii="Cambria" w:hAnsi="Cambri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Keep">
    <w:name w:val="Normal Keep"/>
    <w:basedOn w:val="Normal"/>
    <w:link w:val="NormalKeepChar"/>
    <w:qFormat/>
    <w:pPr>
      <w:keepNext/>
      <w:suppressAutoHyphens/>
      <w:spacing w:after="0" w:line="240" w:lineRule="auto"/>
    </w:pPr>
    <w:rPr>
      <w:rFonts w:ascii="Times New Roman" w:eastAsia="Times New Roman" w:hAnsi="Times New Roman" w:cs="Times New Roman"/>
      <w:lang w:val="en-GB" w:eastAsia="zh-CN"/>
    </w:rPr>
  </w:style>
  <w:style w:type="character" w:customStyle="1" w:styleId="Superscript">
    <w:name w:val="Superscript"/>
    <w:uiPriority w:val="1"/>
    <w:qFormat/>
    <w:rPr>
      <w:vertAlign w:val="superscript"/>
    </w:rPr>
  </w:style>
  <w:style w:type="paragraph" w:customStyle="1" w:styleId="HeadingStrong">
    <w:name w:val="Heading Strong"/>
    <w:basedOn w:val="NormalKeep"/>
    <w:next w:val="NormalKeep"/>
    <w:link w:val="HeadingStrongChar"/>
    <w:qFormat/>
    <w:pPr>
      <w:keepLines/>
    </w:pPr>
    <w:rPr>
      <w:b/>
      <w:bCs/>
    </w:rPr>
  </w:style>
  <w:style w:type="character" w:customStyle="1" w:styleId="NormalKeepChar">
    <w:name w:val="Normal Keep Char"/>
    <w:link w:val="NormalKeep"/>
    <w:locked/>
    <w:rPr>
      <w:rFonts w:ascii="Times New Roman" w:eastAsia="Times New Roman" w:hAnsi="Times New Roman" w:cs="Times New Roman"/>
      <w:lang w:val="en-GB" w:eastAsia="zh-CN"/>
    </w:rPr>
  </w:style>
  <w:style w:type="character" w:customStyle="1" w:styleId="HeadingStrongChar">
    <w:name w:val="Heading Strong Char"/>
    <w:link w:val="HeadingStrong"/>
    <w:locked/>
    <w:rPr>
      <w:rFonts w:ascii="Times New Roman" w:eastAsia="Times New Roman" w:hAnsi="Times New Roman" w:cs="Times New Roman"/>
      <w:b/>
      <w:bCs/>
      <w:lang w:val="en-GB" w:eastAsia="zh-CN"/>
    </w:rPr>
  </w:style>
  <w:style w:type="paragraph" w:customStyle="1" w:styleId="NormalCentred">
    <w:name w:val="Normal Centred"/>
    <w:basedOn w:val="Normal"/>
    <w:qFormat/>
    <w:pPr>
      <w:suppressAutoHyphens/>
      <w:spacing w:after="0" w:line="240" w:lineRule="auto"/>
      <w:jc w:val="center"/>
    </w:pPr>
    <w:rPr>
      <w:rFonts w:ascii="Times New Roman" w:eastAsia="Times New Roman" w:hAnsi="Times New Roman" w:cs="Times New Roman"/>
      <w:lang w:val="en-GB" w:eastAsia="zh-CN"/>
    </w:rPr>
  </w:style>
  <w:style w:type="paragraph" w:customStyle="1" w:styleId="TableFootnote">
    <w:name w:val="Table Footnote"/>
    <w:basedOn w:val="Normal"/>
    <w:qFormat/>
    <w:pPr>
      <w:suppressAutoHyphens/>
      <w:spacing w:after="0" w:line="240" w:lineRule="auto"/>
      <w:ind w:left="288" w:hanging="288"/>
    </w:pPr>
    <w:rPr>
      <w:rFonts w:ascii="Times New Roman" w:eastAsia="Times New Roman" w:hAnsi="Times New Roman" w:cs="Times New Roman"/>
      <w:sz w:val="20"/>
      <w:szCs w:val="20"/>
      <w:lang w:val="en-GB" w:eastAsia="zh-CN"/>
    </w:rPr>
  </w:style>
  <w:style w:type="paragraph" w:customStyle="1" w:styleId="HeadingStrongCentred">
    <w:name w:val="Heading Strong Centred"/>
    <w:basedOn w:val="HeadingStrong"/>
    <w:qFormat/>
    <w:pPr>
      <w:jc w:val="center"/>
    </w:pPr>
  </w:style>
  <w:style w:type="character" w:styleId="Emphasis">
    <w:name w:val="Emphasis"/>
    <w:uiPriority w:val="20"/>
    <w:qFormat/>
    <w:rPr>
      <w:i/>
      <w:iCs/>
    </w:rPr>
  </w:style>
  <w:style w:type="paragraph" w:customStyle="1" w:styleId="TableFootnoteText">
    <w:name w:val="Table Footnote Text"/>
    <w:basedOn w:val="Normal"/>
    <w:qFormat/>
    <w:pPr>
      <w:suppressAutoHyphens/>
      <w:spacing w:after="0" w:line="240" w:lineRule="auto"/>
    </w:pPr>
    <w:rPr>
      <w:rFonts w:ascii="Times New Roman" w:eastAsia="Times New Roman" w:hAnsi="Times New Roman" w:cs="Times New Roman"/>
      <w:sz w:val="20"/>
      <w:szCs w:val="20"/>
      <w:lang w:val="en-GB" w:eastAsia="zh-CN"/>
    </w:rPr>
  </w:style>
  <w:style w:type="paragraph" w:customStyle="1" w:styleId="Call-Out">
    <w:name w:val="Call-Out"/>
    <w:basedOn w:val="Normal"/>
    <w:qFormat/>
    <w:pPr>
      <w:keepNext/>
      <w:suppressAutoHyphens/>
      <w:spacing w:after="0" w:line="240" w:lineRule="auto"/>
      <w:jc w:val="center"/>
    </w:pPr>
    <w:rPr>
      <w:rFonts w:ascii="Arial" w:eastAsia="Times New Roman" w:hAnsi="Arial" w:cs="Arial"/>
      <w:sz w:val="14"/>
      <w:szCs w:val="14"/>
      <w:lang w:val="en-GB" w:eastAsia="zh-CN"/>
    </w:rPr>
  </w:style>
  <w:style w:type="paragraph" w:customStyle="1" w:styleId="Call-OutHeading">
    <w:name w:val="Call-Out Heading"/>
    <w:basedOn w:val="Call-Out"/>
    <w:qFormat/>
    <w:rPr>
      <w:b/>
      <w:bCs/>
      <w:sz w:val="16"/>
    </w:rPr>
  </w:style>
  <w:style w:type="paragraph" w:customStyle="1" w:styleId="Call-OutLeft">
    <w:name w:val="Call-Out Left"/>
    <w:basedOn w:val="Call-Out"/>
    <w:qFormat/>
    <w:pPr>
      <w:jc w:val="left"/>
    </w:pPr>
  </w:style>
  <w:style w:type="paragraph" w:customStyle="1" w:styleId="HeadingEmphasis">
    <w:name w:val="Heading Emphasis"/>
    <w:basedOn w:val="NormalKeep"/>
    <w:next w:val="NormalKeep"/>
    <w:qFormat/>
    <w:pPr>
      <w:keepLines/>
    </w:pPr>
    <w:rPr>
      <w:i/>
      <w:iCs/>
    </w:rPr>
  </w:style>
  <w:style w:type="paragraph" w:customStyle="1" w:styleId="HeadingUnderlined">
    <w:name w:val="Heading Underlined"/>
    <w:basedOn w:val="NormalKeep"/>
    <w:next w:val="NormalKeep"/>
    <w:link w:val="HeadingUnderlinedChar"/>
    <w:qFormat/>
    <w:pPr>
      <w:keepLines/>
    </w:pPr>
    <w:rPr>
      <w:u w:val="single"/>
    </w:rPr>
  </w:style>
  <w:style w:type="character" w:customStyle="1" w:styleId="HeadingUnderlinedChar">
    <w:name w:val="Heading Underlined Char"/>
    <w:link w:val="HeadingUnderlined"/>
    <w:locked/>
    <w:rPr>
      <w:rFonts w:ascii="Times New Roman" w:eastAsia="Times New Roman" w:hAnsi="Times New Roman" w:cs="Times New Roman"/>
      <w:u w:val="single"/>
      <w:lang w:val="en-GB" w:eastAsia="zh-CN"/>
    </w:rPr>
  </w:style>
  <w:style w:type="paragraph" w:styleId="CommentSubject">
    <w:name w:val="annotation subject"/>
    <w:basedOn w:val="CommentText"/>
    <w:next w:val="CommentText"/>
    <w:link w:val="CommentSubjectChar"/>
    <w:uiPriority w:val="99"/>
    <w:semiHidden/>
    <w:unhideWhenUsed/>
    <w:rPr>
      <w:rFonts w:asciiTheme="minorHAnsi" w:hAnsiTheme="minorHAnsi"/>
      <w:b/>
      <w:bCs/>
    </w:rPr>
  </w:style>
  <w:style w:type="character" w:customStyle="1" w:styleId="CommentSubjectChar">
    <w:name w:val="Comment Subject Char"/>
    <w:basedOn w:val="CommentTextChar"/>
    <w:link w:val="CommentSubject"/>
    <w:uiPriority w:val="99"/>
    <w:semiHidden/>
    <w:rPr>
      <w:rFonts w:ascii="Cambria" w:hAnsi="Cambria"/>
      <w:b/>
      <w:bCs/>
      <w:sz w:val="20"/>
      <w:szCs w:val="20"/>
    </w:rPr>
  </w:style>
  <w:style w:type="paragraph" w:styleId="Revision">
    <w:name w:val="Revision"/>
    <w:hidden/>
    <w:uiPriority w:val="99"/>
    <w:semiHidden/>
    <w:pPr>
      <w:spacing w:after="0" w:line="240" w:lineRule="auto"/>
    </w:pPr>
  </w:style>
  <w:style w:type="character" w:styleId="UnresolvedMention">
    <w:name w:val="Unresolved Mention"/>
    <w:basedOn w:val="DefaultParagraphFont"/>
    <w:uiPriority w:val="99"/>
    <w:semiHidden/>
    <w:unhideWhenUsed/>
    <w:rPr>
      <w:color w:val="605E5C"/>
      <w:shd w:val="clear" w:color="auto" w:fill="E1DFDD"/>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Mention">
    <w:name w:val="Mention"/>
    <w:basedOn w:val="DefaultParagraphFont"/>
    <w:uiPriority w:val="99"/>
    <w:unhideWhenUsed/>
    <w:rPr>
      <w:color w:val="2B579A"/>
      <w:shd w:val="clear" w:color="auto" w:fill="E1DFDD"/>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Pr>
      <w:rFonts w:ascii="Segoe UI" w:hAnsi="Segoe UI" w:cs="Segoe UI" w:hint="default"/>
      <w:sz w:val="18"/>
      <w:szCs w:val="18"/>
    </w:rPr>
  </w:style>
  <w:style w:type="paragraph" w:customStyle="1" w:styleId="C-BodyText">
    <w:name w:val="C-Body Text"/>
    <w:pPr>
      <w:spacing w:before="120" w:after="120" w:line="280" w:lineRule="atLeast"/>
    </w:pPr>
    <w:rPr>
      <w:rFonts w:ascii="Times New Roman" w:eastAsia="Times New Roman" w:hAnsi="Times New Roman" w:cs="Times New Roman"/>
      <w:sz w:val="24"/>
      <w:szCs w:val="20"/>
      <w:lang w:val="en-US"/>
    </w:rPr>
  </w:style>
  <w:style w:type="table" w:styleId="TableGrid">
    <w:name w:val="Table Grid"/>
    <w:basedOn w:val="TableNormal"/>
    <w:uiPriority w:val="59"/>
    <w:rsid w:val="00D53D67"/>
    <w:pPr>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28537">
      <w:bodyDiv w:val="1"/>
      <w:marLeft w:val="0"/>
      <w:marRight w:val="0"/>
      <w:marTop w:val="0"/>
      <w:marBottom w:val="0"/>
      <w:divBdr>
        <w:top w:val="none" w:sz="0" w:space="0" w:color="auto"/>
        <w:left w:val="none" w:sz="0" w:space="0" w:color="auto"/>
        <w:bottom w:val="none" w:sz="0" w:space="0" w:color="auto"/>
        <w:right w:val="none" w:sz="0" w:space="0" w:color="auto"/>
      </w:divBdr>
    </w:div>
    <w:div w:id="1578129430">
      <w:bodyDiv w:val="1"/>
      <w:marLeft w:val="0"/>
      <w:marRight w:val="0"/>
      <w:marTop w:val="0"/>
      <w:marBottom w:val="0"/>
      <w:divBdr>
        <w:top w:val="none" w:sz="0" w:space="0" w:color="auto"/>
        <w:left w:val="none" w:sz="0" w:space="0" w:color="auto"/>
        <w:bottom w:val="none" w:sz="0" w:space="0" w:color="auto"/>
        <w:right w:val="none" w:sz="0" w:space="0" w:color="auto"/>
      </w:divBdr>
    </w:div>
    <w:div w:id="159359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5958BF7BEDF34996582875E28D2857" ma:contentTypeVersion="4" ma:contentTypeDescription="Create a new document." ma:contentTypeScope="" ma:versionID="e0438cd16b5ed30b7c6fd91fc1bf4e04">
  <xsd:schema xmlns:xsd="http://www.w3.org/2001/XMLSchema" xmlns:xs="http://www.w3.org/2001/XMLSchema" xmlns:p="http://schemas.microsoft.com/office/2006/metadata/properties" xmlns:ns2="7555f4f1-9e4b-47f1-aac3-d69452b7fa1c" targetNamespace="http://schemas.microsoft.com/office/2006/metadata/properties" ma:root="true" ma:fieldsID="064c17caa41c35c2f912324ebad34603" ns2:_="">
    <xsd:import namespace="7555f4f1-9e4b-47f1-aac3-d69452b7fa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f4f1-9e4b-47f1-aac3-d69452b7f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B3237-5C8F-436D-90D1-ED6DC3A92168}">
  <ds:schemaRefs>
    <ds:schemaRef ds:uri="http://schemas.microsoft.com/sharepoint/v3/contenttype/forms"/>
  </ds:schemaRefs>
</ds:datastoreItem>
</file>

<file path=customXml/itemProps2.xml><?xml version="1.0" encoding="utf-8"?>
<ds:datastoreItem xmlns:ds="http://schemas.openxmlformats.org/officeDocument/2006/customXml" ds:itemID="{18C4CE94-0B65-4B5E-8614-8D01DD69B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f4f1-9e4b-47f1-aac3-d69452b7f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DAECA-389F-485E-BAD0-AE8A9CB241D4}">
  <ds:schemaRefs>
    <ds:schemaRef ds:uri="http://schemas.openxmlformats.org/officeDocument/2006/bibliography"/>
  </ds:schemaRefs>
</ds:datastoreItem>
</file>

<file path=customXml/itemProps4.xml><?xml version="1.0" encoding="utf-8"?>
<ds:datastoreItem xmlns:ds="http://schemas.openxmlformats.org/officeDocument/2006/customXml" ds:itemID="{282E2EFB-5956-4877-AC41-A57978000801}">
  <ds:schemaRefs>
    <ds:schemaRef ds:uri="http://schemas.microsoft.com/office/2006/metadata/properties"/>
    <ds:schemaRef ds:uri="http://schemas.microsoft.com/office/infopath/2007/PartnerControls"/>
    <ds:schemaRef ds:uri="18459c5e-b914-4624-8370-4753ade02db5"/>
    <ds:schemaRef ds:uri="38b5ab2c-025a-4033-af71-836051d3ed4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4809</Words>
  <Characters>26163</Characters>
  <Application>Microsoft Office Word</Application>
  <DocSecurity>0</DocSecurity>
  <Lines>622</Lines>
  <Paragraphs>355</Paragraphs>
  <ScaleCrop>false</ScaleCrop>
  <HeadingPairs>
    <vt:vector size="2" baseType="variant">
      <vt:variant>
        <vt:lpstr>Title</vt:lpstr>
      </vt:variant>
      <vt:variant>
        <vt:i4>1</vt:i4>
      </vt:variant>
    </vt:vector>
  </HeadingPairs>
  <TitlesOfParts>
    <vt:vector size="1" baseType="lpstr">
      <vt:lpstr/>
    </vt:vector>
  </TitlesOfParts>
  <Company>Medison Pharma Australia Pty Ltd</Company>
  <LinksUpToDate>false</LinksUpToDate>
  <CharactersWithSpaces>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Givlaari</dc:title>
  <dc:subject>prescription medicines</dc:subject>
  <dc:creator>Medison Pharma Australia Pty Ltd</dc:creator>
  <cp:keywords/>
  <cp:lastModifiedBy>LACK, Janet</cp:lastModifiedBy>
  <cp:revision>3</cp:revision>
  <cp:lastPrinted>2023-06-20T05:24:00Z</cp:lastPrinted>
  <dcterms:created xsi:type="dcterms:W3CDTF">2024-07-04T00:23:00Z</dcterms:created>
  <dcterms:modified xsi:type="dcterms:W3CDTF">2024-07-04T00:25:00Z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0x010100F05958BF7BEDF34996582875E28D2857</vt:lpwstr>
  </property>
  <property fmtid="{D5CDD505-2E9C-101B-9397-08002B2CF9AE}" pid="3" name="MediaServiceImageTags">
    <vt:lpwstr/>
  </property>
</Properties>
</file>