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0FF31691" w:rsidR="00F02AEC" w:rsidRPr="00215D48" w:rsidRDefault="00346EC2" w:rsidP="007452E8">
            <w:pPr>
              <w:pStyle w:val="Title"/>
            </w:pPr>
            <w:r w:rsidRPr="00346EC2">
              <w:t xml:space="preserve">Australian Public Assessment Report for </w:t>
            </w:r>
            <w:r w:rsidR="00E4609C">
              <w:t>WEZLANA</w:t>
            </w:r>
          </w:p>
        </w:tc>
      </w:tr>
      <w:tr w:rsidR="00F02AEC" w:rsidRPr="00215D48" w14:paraId="318A40A3" w14:textId="77777777" w:rsidTr="00346EC2">
        <w:trPr>
          <w:trHeight w:val="995"/>
        </w:trPr>
        <w:tc>
          <w:tcPr>
            <w:tcW w:w="8720" w:type="dxa"/>
          </w:tcPr>
          <w:p w14:paraId="1AA7C701" w14:textId="2F2A9682" w:rsidR="00F02AEC" w:rsidRPr="00215D48" w:rsidRDefault="00346EC2" w:rsidP="007452E8">
            <w:pPr>
              <w:pStyle w:val="Subtitle"/>
              <w:ind w:left="0"/>
            </w:pPr>
            <w:r w:rsidRPr="00346EC2">
              <w:t>Active ingredient:</w:t>
            </w:r>
            <w:r w:rsidR="00EA707B" w:rsidRPr="00EA707B">
              <w:t xml:space="preserve"> </w:t>
            </w:r>
            <w:r w:rsidR="00EA707B">
              <w:t>U</w:t>
            </w:r>
            <w:r w:rsidR="00EA707B" w:rsidRPr="00EA707B">
              <w:t xml:space="preserve">stekinumab </w:t>
            </w:r>
            <w:r w:rsidRPr="00346EC2">
              <w:t xml:space="preserve"> </w:t>
            </w:r>
          </w:p>
        </w:tc>
      </w:tr>
      <w:tr w:rsidR="00346EC2" w:rsidRPr="00215D48" w14:paraId="362CCAE4" w14:textId="77777777" w:rsidTr="007452E8">
        <w:trPr>
          <w:trHeight w:val="1916"/>
        </w:trPr>
        <w:tc>
          <w:tcPr>
            <w:tcW w:w="8720" w:type="dxa"/>
          </w:tcPr>
          <w:p w14:paraId="709C45C0" w14:textId="65BB5622" w:rsidR="00346EC2" w:rsidRPr="00215D48" w:rsidRDefault="00346EC2" w:rsidP="007452E8">
            <w:pPr>
              <w:pStyle w:val="Subtitle"/>
              <w:ind w:left="0"/>
            </w:pPr>
            <w:r w:rsidRPr="00346EC2">
              <w:t xml:space="preserve">Sponsor: </w:t>
            </w:r>
            <w:r w:rsidR="002D1AAD">
              <w:t xml:space="preserve"> </w:t>
            </w:r>
            <w:r w:rsidR="002D1AAD" w:rsidRPr="002D1AAD">
              <w:t>Amgen Australia Pty Ltd</w:t>
            </w:r>
          </w:p>
        </w:tc>
      </w:tr>
      <w:tr w:rsidR="00F02AEC" w:rsidRPr="00215D48" w14:paraId="37F2AA1F" w14:textId="77777777" w:rsidTr="007452E8">
        <w:tc>
          <w:tcPr>
            <w:tcW w:w="8720" w:type="dxa"/>
          </w:tcPr>
          <w:p w14:paraId="1FDE8DCD" w14:textId="3DCFADF8" w:rsidR="00F02AEC" w:rsidRPr="00215D48" w:rsidRDefault="0030497A" w:rsidP="007452E8">
            <w:pPr>
              <w:pStyle w:val="Date"/>
            </w:pPr>
            <w:r>
              <w:t>June</w:t>
            </w:r>
            <w:r w:rsidR="002D1AAD">
              <w:t xml:space="preserve"> 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005FC09D" w:rsidR="00175CD8" w:rsidRPr="00346EC2" w:rsidRDefault="00F02AEC" w:rsidP="00346EC2">
      <w:pPr>
        <w:pStyle w:val="LegalCopy"/>
        <w:rPr>
          <w:rFonts w:cs="Arial"/>
        </w:rPr>
      </w:pPr>
      <w:r w:rsidRPr="00215D48">
        <w:rPr>
          <w:rFonts w:cs="Arial"/>
        </w:rPr>
        <w:t>© Commonwealth of Australia 20</w:t>
      </w:r>
      <w:r>
        <w:rPr>
          <w:rFonts w:cs="Arial"/>
        </w:rPr>
        <w:t>2</w:t>
      </w:r>
      <w:r w:rsidR="00C90965">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1F391BBA" w14:textId="16C78C18" w:rsidR="00CD6FFD"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0370153" w:history="1">
            <w:r w:rsidR="00CD6FFD" w:rsidRPr="00F15EB1">
              <w:rPr>
                <w:rStyle w:val="Hyperlink"/>
                <w:noProof/>
              </w:rPr>
              <w:t>List of abbreviations</w:t>
            </w:r>
            <w:r w:rsidR="00CD6FFD">
              <w:rPr>
                <w:noProof/>
                <w:webHidden/>
              </w:rPr>
              <w:tab/>
            </w:r>
            <w:r w:rsidR="00CD6FFD">
              <w:rPr>
                <w:noProof/>
                <w:webHidden/>
              </w:rPr>
              <w:fldChar w:fldCharType="begin"/>
            </w:r>
            <w:r w:rsidR="00CD6FFD">
              <w:rPr>
                <w:noProof/>
                <w:webHidden/>
              </w:rPr>
              <w:instrText xml:space="preserve"> PAGEREF _Toc170370153 \h </w:instrText>
            </w:r>
            <w:r w:rsidR="00CD6FFD">
              <w:rPr>
                <w:noProof/>
                <w:webHidden/>
              </w:rPr>
            </w:r>
            <w:r w:rsidR="00CD6FFD">
              <w:rPr>
                <w:noProof/>
                <w:webHidden/>
              </w:rPr>
              <w:fldChar w:fldCharType="separate"/>
            </w:r>
            <w:r w:rsidR="00CD6FFD">
              <w:rPr>
                <w:noProof/>
                <w:webHidden/>
              </w:rPr>
              <w:t>4</w:t>
            </w:r>
            <w:r w:rsidR="00CD6FFD">
              <w:rPr>
                <w:noProof/>
                <w:webHidden/>
              </w:rPr>
              <w:fldChar w:fldCharType="end"/>
            </w:r>
          </w:hyperlink>
        </w:p>
        <w:p w14:paraId="6CE968B6" w14:textId="7D1C0D1A" w:rsidR="00CD6FFD" w:rsidRDefault="00CD6FF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370154" w:history="1">
            <w:r w:rsidRPr="00F15EB1">
              <w:rPr>
                <w:rStyle w:val="Hyperlink"/>
                <w:noProof/>
              </w:rPr>
              <w:t>Product submission</w:t>
            </w:r>
            <w:r>
              <w:rPr>
                <w:noProof/>
                <w:webHidden/>
              </w:rPr>
              <w:tab/>
            </w:r>
            <w:r>
              <w:rPr>
                <w:noProof/>
                <w:webHidden/>
              </w:rPr>
              <w:fldChar w:fldCharType="begin"/>
            </w:r>
            <w:r>
              <w:rPr>
                <w:noProof/>
                <w:webHidden/>
              </w:rPr>
              <w:instrText xml:space="preserve"> PAGEREF _Toc170370154 \h </w:instrText>
            </w:r>
            <w:r>
              <w:rPr>
                <w:noProof/>
                <w:webHidden/>
              </w:rPr>
            </w:r>
            <w:r>
              <w:rPr>
                <w:noProof/>
                <w:webHidden/>
              </w:rPr>
              <w:fldChar w:fldCharType="separate"/>
            </w:r>
            <w:r>
              <w:rPr>
                <w:noProof/>
                <w:webHidden/>
              </w:rPr>
              <w:t>5</w:t>
            </w:r>
            <w:r>
              <w:rPr>
                <w:noProof/>
                <w:webHidden/>
              </w:rPr>
              <w:fldChar w:fldCharType="end"/>
            </w:r>
          </w:hyperlink>
        </w:p>
        <w:p w14:paraId="51630C85" w14:textId="192641F6" w:rsidR="00CD6FFD" w:rsidRDefault="00CD6FF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70155" w:history="1">
            <w:r w:rsidRPr="00F15EB1">
              <w:rPr>
                <w:rStyle w:val="Hyperlink"/>
                <w:noProof/>
                <w:lang w:eastAsia="en-AU"/>
              </w:rPr>
              <w:t>Submission details</w:t>
            </w:r>
            <w:r>
              <w:rPr>
                <w:noProof/>
                <w:webHidden/>
              </w:rPr>
              <w:tab/>
            </w:r>
            <w:r>
              <w:rPr>
                <w:noProof/>
                <w:webHidden/>
              </w:rPr>
              <w:fldChar w:fldCharType="begin"/>
            </w:r>
            <w:r>
              <w:rPr>
                <w:noProof/>
                <w:webHidden/>
              </w:rPr>
              <w:instrText xml:space="preserve"> PAGEREF _Toc170370155 \h </w:instrText>
            </w:r>
            <w:r>
              <w:rPr>
                <w:noProof/>
                <w:webHidden/>
              </w:rPr>
            </w:r>
            <w:r>
              <w:rPr>
                <w:noProof/>
                <w:webHidden/>
              </w:rPr>
              <w:fldChar w:fldCharType="separate"/>
            </w:r>
            <w:r>
              <w:rPr>
                <w:noProof/>
                <w:webHidden/>
              </w:rPr>
              <w:t>5</w:t>
            </w:r>
            <w:r>
              <w:rPr>
                <w:noProof/>
                <w:webHidden/>
              </w:rPr>
              <w:fldChar w:fldCharType="end"/>
            </w:r>
          </w:hyperlink>
        </w:p>
        <w:p w14:paraId="5FE434A3" w14:textId="66DDBDCD" w:rsidR="00CD6FFD" w:rsidRDefault="00CD6FF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70156" w:history="1">
            <w:r w:rsidRPr="00F15EB1">
              <w:rPr>
                <w:rStyle w:val="Hyperlink"/>
                <w:noProof/>
              </w:rPr>
              <w:t>Product background</w:t>
            </w:r>
            <w:r>
              <w:rPr>
                <w:noProof/>
                <w:webHidden/>
              </w:rPr>
              <w:tab/>
            </w:r>
            <w:r>
              <w:rPr>
                <w:noProof/>
                <w:webHidden/>
              </w:rPr>
              <w:fldChar w:fldCharType="begin"/>
            </w:r>
            <w:r>
              <w:rPr>
                <w:noProof/>
                <w:webHidden/>
              </w:rPr>
              <w:instrText xml:space="preserve"> PAGEREF _Toc170370156 \h </w:instrText>
            </w:r>
            <w:r>
              <w:rPr>
                <w:noProof/>
                <w:webHidden/>
              </w:rPr>
            </w:r>
            <w:r>
              <w:rPr>
                <w:noProof/>
                <w:webHidden/>
              </w:rPr>
              <w:fldChar w:fldCharType="separate"/>
            </w:r>
            <w:r>
              <w:rPr>
                <w:noProof/>
                <w:webHidden/>
              </w:rPr>
              <w:t>7</w:t>
            </w:r>
            <w:r>
              <w:rPr>
                <w:noProof/>
                <w:webHidden/>
              </w:rPr>
              <w:fldChar w:fldCharType="end"/>
            </w:r>
          </w:hyperlink>
        </w:p>
        <w:p w14:paraId="50C447C0" w14:textId="68956C3F" w:rsidR="00CD6FFD" w:rsidRDefault="00CD6FFD">
          <w:pPr>
            <w:pStyle w:val="TOC3"/>
            <w:rPr>
              <w:rFonts w:asciiTheme="minorHAnsi" w:eastAsiaTheme="minorEastAsia" w:hAnsiTheme="minorHAnsi" w:cstheme="minorBidi"/>
              <w:b w:val="0"/>
              <w:noProof/>
              <w:color w:val="auto"/>
              <w:kern w:val="2"/>
              <w:szCs w:val="22"/>
              <w:lang w:eastAsia="en-AU"/>
              <w14:ligatures w14:val="standardContextual"/>
            </w:rPr>
          </w:pPr>
          <w:hyperlink w:anchor="_Toc170370157" w:history="1">
            <w:r w:rsidRPr="00F15EB1">
              <w:rPr>
                <w:rStyle w:val="Hyperlink"/>
                <w:noProof/>
              </w:rPr>
              <w:t>The disease/condition</w:t>
            </w:r>
            <w:r>
              <w:rPr>
                <w:noProof/>
                <w:webHidden/>
              </w:rPr>
              <w:tab/>
            </w:r>
            <w:r>
              <w:rPr>
                <w:noProof/>
                <w:webHidden/>
              </w:rPr>
              <w:fldChar w:fldCharType="begin"/>
            </w:r>
            <w:r>
              <w:rPr>
                <w:noProof/>
                <w:webHidden/>
              </w:rPr>
              <w:instrText xml:space="preserve"> PAGEREF _Toc170370157 \h </w:instrText>
            </w:r>
            <w:r>
              <w:rPr>
                <w:noProof/>
                <w:webHidden/>
              </w:rPr>
            </w:r>
            <w:r>
              <w:rPr>
                <w:noProof/>
                <w:webHidden/>
              </w:rPr>
              <w:fldChar w:fldCharType="separate"/>
            </w:r>
            <w:r>
              <w:rPr>
                <w:noProof/>
                <w:webHidden/>
              </w:rPr>
              <w:t>7</w:t>
            </w:r>
            <w:r>
              <w:rPr>
                <w:noProof/>
                <w:webHidden/>
              </w:rPr>
              <w:fldChar w:fldCharType="end"/>
            </w:r>
          </w:hyperlink>
        </w:p>
        <w:p w14:paraId="1501783B" w14:textId="75B2659E" w:rsidR="00CD6FFD" w:rsidRDefault="00CD6FFD">
          <w:pPr>
            <w:pStyle w:val="TOC3"/>
            <w:rPr>
              <w:rFonts w:asciiTheme="minorHAnsi" w:eastAsiaTheme="minorEastAsia" w:hAnsiTheme="minorHAnsi" w:cstheme="minorBidi"/>
              <w:b w:val="0"/>
              <w:noProof/>
              <w:color w:val="auto"/>
              <w:kern w:val="2"/>
              <w:szCs w:val="22"/>
              <w:lang w:eastAsia="en-AU"/>
              <w14:ligatures w14:val="standardContextual"/>
            </w:rPr>
          </w:pPr>
          <w:hyperlink w:anchor="_Toc170370158" w:history="1">
            <w:r w:rsidRPr="00F15EB1">
              <w:rPr>
                <w:rStyle w:val="Hyperlink"/>
                <w:noProof/>
              </w:rPr>
              <w:t>Current treatment options</w:t>
            </w:r>
            <w:r>
              <w:rPr>
                <w:noProof/>
                <w:webHidden/>
              </w:rPr>
              <w:tab/>
            </w:r>
            <w:r>
              <w:rPr>
                <w:noProof/>
                <w:webHidden/>
              </w:rPr>
              <w:fldChar w:fldCharType="begin"/>
            </w:r>
            <w:r>
              <w:rPr>
                <w:noProof/>
                <w:webHidden/>
              </w:rPr>
              <w:instrText xml:space="preserve"> PAGEREF _Toc170370158 \h </w:instrText>
            </w:r>
            <w:r>
              <w:rPr>
                <w:noProof/>
                <w:webHidden/>
              </w:rPr>
            </w:r>
            <w:r>
              <w:rPr>
                <w:noProof/>
                <w:webHidden/>
              </w:rPr>
              <w:fldChar w:fldCharType="separate"/>
            </w:r>
            <w:r>
              <w:rPr>
                <w:noProof/>
                <w:webHidden/>
              </w:rPr>
              <w:t>8</w:t>
            </w:r>
            <w:r>
              <w:rPr>
                <w:noProof/>
                <w:webHidden/>
              </w:rPr>
              <w:fldChar w:fldCharType="end"/>
            </w:r>
          </w:hyperlink>
        </w:p>
        <w:p w14:paraId="746E1CFD" w14:textId="3FF43A2D" w:rsidR="00CD6FFD" w:rsidRDefault="00CD6FFD">
          <w:pPr>
            <w:pStyle w:val="TOC3"/>
            <w:rPr>
              <w:rFonts w:asciiTheme="minorHAnsi" w:eastAsiaTheme="minorEastAsia" w:hAnsiTheme="minorHAnsi" w:cstheme="minorBidi"/>
              <w:b w:val="0"/>
              <w:noProof/>
              <w:color w:val="auto"/>
              <w:kern w:val="2"/>
              <w:szCs w:val="22"/>
              <w:lang w:eastAsia="en-AU"/>
              <w14:ligatures w14:val="standardContextual"/>
            </w:rPr>
          </w:pPr>
          <w:hyperlink w:anchor="_Toc170370159" w:history="1">
            <w:r w:rsidRPr="00F15EB1">
              <w:rPr>
                <w:rStyle w:val="Hyperlink"/>
                <w:noProof/>
              </w:rPr>
              <w:t>Clinical rationale</w:t>
            </w:r>
            <w:r>
              <w:rPr>
                <w:noProof/>
                <w:webHidden/>
              </w:rPr>
              <w:tab/>
            </w:r>
            <w:r>
              <w:rPr>
                <w:noProof/>
                <w:webHidden/>
              </w:rPr>
              <w:fldChar w:fldCharType="begin"/>
            </w:r>
            <w:r>
              <w:rPr>
                <w:noProof/>
                <w:webHidden/>
              </w:rPr>
              <w:instrText xml:space="preserve"> PAGEREF _Toc170370159 \h </w:instrText>
            </w:r>
            <w:r>
              <w:rPr>
                <w:noProof/>
                <w:webHidden/>
              </w:rPr>
            </w:r>
            <w:r>
              <w:rPr>
                <w:noProof/>
                <w:webHidden/>
              </w:rPr>
              <w:fldChar w:fldCharType="separate"/>
            </w:r>
            <w:r>
              <w:rPr>
                <w:noProof/>
                <w:webHidden/>
              </w:rPr>
              <w:t>8</w:t>
            </w:r>
            <w:r>
              <w:rPr>
                <w:noProof/>
                <w:webHidden/>
              </w:rPr>
              <w:fldChar w:fldCharType="end"/>
            </w:r>
          </w:hyperlink>
        </w:p>
        <w:p w14:paraId="3F5B0089" w14:textId="1202CD77" w:rsidR="00CD6FFD" w:rsidRDefault="00CD6FF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70160" w:history="1">
            <w:r w:rsidRPr="00F15EB1">
              <w:rPr>
                <w:rStyle w:val="Hyperlink"/>
                <w:noProof/>
              </w:rPr>
              <w:t>Regulatory status</w:t>
            </w:r>
            <w:r>
              <w:rPr>
                <w:noProof/>
                <w:webHidden/>
              </w:rPr>
              <w:tab/>
            </w:r>
            <w:r>
              <w:rPr>
                <w:noProof/>
                <w:webHidden/>
              </w:rPr>
              <w:fldChar w:fldCharType="begin"/>
            </w:r>
            <w:r>
              <w:rPr>
                <w:noProof/>
                <w:webHidden/>
              </w:rPr>
              <w:instrText xml:space="preserve"> PAGEREF _Toc170370160 \h </w:instrText>
            </w:r>
            <w:r>
              <w:rPr>
                <w:noProof/>
                <w:webHidden/>
              </w:rPr>
            </w:r>
            <w:r>
              <w:rPr>
                <w:noProof/>
                <w:webHidden/>
              </w:rPr>
              <w:fldChar w:fldCharType="separate"/>
            </w:r>
            <w:r>
              <w:rPr>
                <w:noProof/>
                <w:webHidden/>
              </w:rPr>
              <w:t>8</w:t>
            </w:r>
            <w:r>
              <w:rPr>
                <w:noProof/>
                <w:webHidden/>
              </w:rPr>
              <w:fldChar w:fldCharType="end"/>
            </w:r>
          </w:hyperlink>
        </w:p>
        <w:p w14:paraId="21304D88" w14:textId="63B9EC7B" w:rsidR="00CD6FFD" w:rsidRDefault="00CD6FFD">
          <w:pPr>
            <w:pStyle w:val="TOC3"/>
            <w:rPr>
              <w:rFonts w:asciiTheme="minorHAnsi" w:eastAsiaTheme="minorEastAsia" w:hAnsiTheme="minorHAnsi" w:cstheme="minorBidi"/>
              <w:b w:val="0"/>
              <w:noProof/>
              <w:color w:val="auto"/>
              <w:kern w:val="2"/>
              <w:szCs w:val="22"/>
              <w:lang w:eastAsia="en-AU"/>
              <w14:ligatures w14:val="standardContextual"/>
            </w:rPr>
          </w:pPr>
          <w:hyperlink w:anchor="_Toc170370161" w:history="1">
            <w:r w:rsidRPr="00F15EB1">
              <w:rPr>
                <w:rStyle w:val="Hyperlink"/>
                <w:noProof/>
              </w:rPr>
              <w:t>Australian regulatory status</w:t>
            </w:r>
            <w:r>
              <w:rPr>
                <w:noProof/>
                <w:webHidden/>
              </w:rPr>
              <w:tab/>
            </w:r>
            <w:r>
              <w:rPr>
                <w:noProof/>
                <w:webHidden/>
              </w:rPr>
              <w:fldChar w:fldCharType="begin"/>
            </w:r>
            <w:r>
              <w:rPr>
                <w:noProof/>
                <w:webHidden/>
              </w:rPr>
              <w:instrText xml:space="preserve"> PAGEREF _Toc170370161 \h </w:instrText>
            </w:r>
            <w:r>
              <w:rPr>
                <w:noProof/>
                <w:webHidden/>
              </w:rPr>
            </w:r>
            <w:r>
              <w:rPr>
                <w:noProof/>
                <w:webHidden/>
              </w:rPr>
              <w:fldChar w:fldCharType="separate"/>
            </w:r>
            <w:r>
              <w:rPr>
                <w:noProof/>
                <w:webHidden/>
              </w:rPr>
              <w:t>8</w:t>
            </w:r>
            <w:r>
              <w:rPr>
                <w:noProof/>
                <w:webHidden/>
              </w:rPr>
              <w:fldChar w:fldCharType="end"/>
            </w:r>
          </w:hyperlink>
        </w:p>
        <w:p w14:paraId="551B1201" w14:textId="3654609E" w:rsidR="00CD6FFD" w:rsidRDefault="00CD6FFD">
          <w:pPr>
            <w:pStyle w:val="TOC3"/>
            <w:rPr>
              <w:rFonts w:asciiTheme="minorHAnsi" w:eastAsiaTheme="minorEastAsia" w:hAnsiTheme="minorHAnsi" w:cstheme="minorBidi"/>
              <w:b w:val="0"/>
              <w:noProof/>
              <w:color w:val="auto"/>
              <w:kern w:val="2"/>
              <w:szCs w:val="22"/>
              <w:lang w:eastAsia="en-AU"/>
              <w14:ligatures w14:val="standardContextual"/>
            </w:rPr>
          </w:pPr>
          <w:hyperlink w:anchor="_Toc170370162" w:history="1">
            <w:r w:rsidRPr="00F15EB1">
              <w:rPr>
                <w:rStyle w:val="Hyperlink"/>
                <w:noProof/>
              </w:rPr>
              <w:t>Foreign regulatory status</w:t>
            </w:r>
            <w:r>
              <w:rPr>
                <w:noProof/>
                <w:webHidden/>
              </w:rPr>
              <w:tab/>
            </w:r>
            <w:r>
              <w:rPr>
                <w:noProof/>
                <w:webHidden/>
              </w:rPr>
              <w:fldChar w:fldCharType="begin"/>
            </w:r>
            <w:r>
              <w:rPr>
                <w:noProof/>
                <w:webHidden/>
              </w:rPr>
              <w:instrText xml:space="preserve"> PAGEREF _Toc170370162 \h </w:instrText>
            </w:r>
            <w:r>
              <w:rPr>
                <w:noProof/>
                <w:webHidden/>
              </w:rPr>
            </w:r>
            <w:r>
              <w:rPr>
                <w:noProof/>
                <w:webHidden/>
              </w:rPr>
              <w:fldChar w:fldCharType="separate"/>
            </w:r>
            <w:r>
              <w:rPr>
                <w:noProof/>
                <w:webHidden/>
              </w:rPr>
              <w:t>8</w:t>
            </w:r>
            <w:r>
              <w:rPr>
                <w:noProof/>
                <w:webHidden/>
              </w:rPr>
              <w:fldChar w:fldCharType="end"/>
            </w:r>
          </w:hyperlink>
        </w:p>
        <w:p w14:paraId="0A8E81AA" w14:textId="4971A141" w:rsidR="00CD6FFD" w:rsidRDefault="00CD6FF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370163" w:history="1">
            <w:r w:rsidRPr="00F15EB1">
              <w:rPr>
                <w:rStyle w:val="Hyperlink"/>
                <w:noProof/>
              </w:rPr>
              <w:t>Registration timeline</w:t>
            </w:r>
            <w:r>
              <w:rPr>
                <w:noProof/>
                <w:webHidden/>
              </w:rPr>
              <w:tab/>
            </w:r>
            <w:r>
              <w:rPr>
                <w:noProof/>
                <w:webHidden/>
              </w:rPr>
              <w:fldChar w:fldCharType="begin"/>
            </w:r>
            <w:r>
              <w:rPr>
                <w:noProof/>
                <w:webHidden/>
              </w:rPr>
              <w:instrText xml:space="preserve"> PAGEREF _Toc170370163 \h </w:instrText>
            </w:r>
            <w:r>
              <w:rPr>
                <w:noProof/>
                <w:webHidden/>
              </w:rPr>
            </w:r>
            <w:r>
              <w:rPr>
                <w:noProof/>
                <w:webHidden/>
              </w:rPr>
              <w:fldChar w:fldCharType="separate"/>
            </w:r>
            <w:r>
              <w:rPr>
                <w:noProof/>
                <w:webHidden/>
              </w:rPr>
              <w:t>9</w:t>
            </w:r>
            <w:r>
              <w:rPr>
                <w:noProof/>
                <w:webHidden/>
              </w:rPr>
              <w:fldChar w:fldCharType="end"/>
            </w:r>
          </w:hyperlink>
        </w:p>
        <w:p w14:paraId="18110D4F" w14:textId="10F21157" w:rsidR="00CD6FFD" w:rsidRDefault="00CD6FF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370164" w:history="1">
            <w:r w:rsidRPr="00F15EB1">
              <w:rPr>
                <w:rStyle w:val="Hyperlink"/>
                <w:noProof/>
              </w:rPr>
              <w:t>Submission overview and risk/benefit assessment</w:t>
            </w:r>
            <w:r>
              <w:rPr>
                <w:noProof/>
                <w:webHidden/>
              </w:rPr>
              <w:tab/>
            </w:r>
            <w:r>
              <w:rPr>
                <w:noProof/>
                <w:webHidden/>
              </w:rPr>
              <w:fldChar w:fldCharType="begin"/>
            </w:r>
            <w:r>
              <w:rPr>
                <w:noProof/>
                <w:webHidden/>
              </w:rPr>
              <w:instrText xml:space="preserve"> PAGEREF _Toc170370164 \h </w:instrText>
            </w:r>
            <w:r>
              <w:rPr>
                <w:noProof/>
                <w:webHidden/>
              </w:rPr>
            </w:r>
            <w:r>
              <w:rPr>
                <w:noProof/>
                <w:webHidden/>
              </w:rPr>
              <w:fldChar w:fldCharType="separate"/>
            </w:r>
            <w:r>
              <w:rPr>
                <w:noProof/>
                <w:webHidden/>
              </w:rPr>
              <w:t>9</w:t>
            </w:r>
            <w:r>
              <w:rPr>
                <w:noProof/>
                <w:webHidden/>
              </w:rPr>
              <w:fldChar w:fldCharType="end"/>
            </w:r>
          </w:hyperlink>
        </w:p>
        <w:p w14:paraId="61384C2A" w14:textId="2F5FAC17" w:rsidR="00CD6FFD" w:rsidRDefault="00CD6FF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70165" w:history="1">
            <w:r w:rsidRPr="00F15EB1">
              <w:rPr>
                <w:rStyle w:val="Hyperlink"/>
                <w:noProof/>
              </w:rPr>
              <w:t>Quality</w:t>
            </w:r>
            <w:r>
              <w:rPr>
                <w:noProof/>
                <w:webHidden/>
              </w:rPr>
              <w:tab/>
            </w:r>
            <w:r>
              <w:rPr>
                <w:noProof/>
                <w:webHidden/>
              </w:rPr>
              <w:fldChar w:fldCharType="begin"/>
            </w:r>
            <w:r>
              <w:rPr>
                <w:noProof/>
                <w:webHidden/>
              </w:rPr>
              <w:instrText xml:space="preserve"> PAGEREF _Toc170370165 \h </w:instrText>
            </w:r>
            <w:r>
              <w:rPr>
                <w:noProof/>
                <w:webHidden/>
              </w:rPr>
            </w:r>
            <w:r>
              <w:rPr>
                <w:noProof/>
                <w:webHidden/>
              </w:rPr>
              <w:fldChar w:fldCharType="separate"/>
            </w:r>
            <w:r>
              <w:rPr>
                <w:noProof/>
                <w:webHidden/>
              </w:rPr>
              <w:t>9</w:t>
            </w:r>
            <w:r>
              <w:rPr>
                <w:noProof/>
                <w:webHidden/>
              </w:rPr>
              <w:fldChar w:fldCharType="end"/>
            </w:r>
          </w:hyperlink>
        </w:p>
        <w:p w14:paraId="47CED780" w14:textId="15B98592" w:rsidR="00CD6FFD" w:rsidRDefault="00CD6FF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70166" w:history="1">
            <w:r w:rsidRPr="00F15EB1">
              <w:rPr>
                <w:rStyle w:val="Hyperlink"/>
                <w:noProof/>
              </w:rPr>
              <w:t>Nonclinical</w:t>
            </w:r>
            <w:r>
              <w:rPr>
                <w:noProof/>
                <w:webHidden/>
              </w:rPr>
              <w:tab/>
            </w:r>
            <w:r>
              <w:rPr>
                <w:noProof/>
                <w:webHidden/>
              </w:rPr>
              <w:fldChar w:fldCharType="begin"/>
            </w:r>
            <w:r>
              <w:rPr>
                <w:noProof/>
                <w:webHidden/>
              </w:rPr>
              <w:instrText xml:space="preserve"> PAGEREF _Toc170370166 \h </w:instrText>
            </w:r>
            <w:r>
              <w:rPr>
                <w:noProof/>
                <w:webHidden/>
              </w:rPr>
            </w:r>
            <w:r>
              <w:rPr>
                <w:noProof/>
                <w:webHidden/>
              </w:rPr>
              <w:fldChar w:fldCharType="separate"/>
            </w:r>
            <w:r>
              <w:rPr>
                <w:noProof/>
                <w:webHidden/>
              </w:rPr>
              <w:t>10</w:t>
            </w:r>
            <w:r>
              <w:rPr>
                <w:noProof/>
                <w:webHidden/>
              </w:rPr>
              <w:fldChar w:fldCharType="end"/>
            </w:r>
          </w:hyperlink>
        </w:p>
        <w:p w14:paraId="652E2715" w14:textId="5FC3B5F3" w:rsidR="00CD6FFD" w:rsidRDefault="00CD6FF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70167" w:history="1">
            <w:r w:rsidRPr="00F15EB1">
              <w:rPr>
                <w:rStyle w:val="Hyperlink"/>
                <w:noProof/>
              </w:rPr>
              <w:t>Clinical</w:t>
            </w:r>
            <w:r>
              <w:rPr>
                <w:noProof/>
                <w:webHidden/>
              </w:rPr>
              <w:tab/>
            </w:r>
            <w:r>
              <w:rPr>
                <w:noProof/>
                <w:webHidden/>
              </w:rPr>
              <w:fldChar w:fldCharType="begin"/>
            </w:r>
            <w:r>
              <w:rPr>
                <w:noProof/>
                <w:webHidden/>
              </w:rPr>
              <w:instrText xml:space="preserve"> PAGEREF _Toc170370167 \h </w:instrText>
            </w:r>
            <w:r>
              <w:rPr>
                <w:noProof/>
                <w:webHidden/>
              </w:rPr>
            </w:r>
            <w:r>
              <w:rPr>
                <w:noProof/>
                <w:webHidden/>
              </w:rPr>
              <w:fldChar w:fldCharType="separate"/>
            </w:r>
            <w:r>
              <w:rPr>
                <w:noProof/>
                <w:webHidden/>
              </w:rPr>
              <w:t>11</w:t>
            </w:r>
            <w:r>
              <w:rPr>
                <w:noProof/>
                <w:webHidden/>
              </w:rPr>
              <w:fldChar w:fldCharType="end"/>
            </w:r>
          </w:hyperlink>
        </w:p>
        <w:p w14:paraId="369E4BD0" w14:textId="0D0317FA" w:rsidR="00CD6FFD" w:rsidRDefault="00CD6FFD">
          <w:pPr>
            <w:pStyle w:val="TOC3"/>
            <w:rPr>
              <w:rFonts w:asciiTheme="minorHAnsi" w:eastAsiaTheme="minorEastAsia" w:hAnsiTheme="minorHAnsi" w:cstheme="minorBidi"/>
              <w:b w:val="0"/>
              <w:noProof/>
              <w:color w:val="auto"/>
              <w:kern w:val="2"/>
              <w:szCs w:val="22"/>
              <w:lang w:eastAsia="en-AU"/>
              <w14:ligatures w14:val="standardContextual"/>
            </w:rPr>
          </w:pPr>
          <w:hyperlink w:anchor="_Toc170370168" w:history="1">
            <w:r w:rsidRPr="00F15EB1">
              <w:rPr>
                <w:rStyle w:val="Hyperlink"/>
                <w:noProof/>
              </w:rPr>
              <w:t>Summary of clinical studies</w:t>
            </w:r>
            <w:r>
              <w:rPr>
                <w:noProof/>
                <w:webHidden/>
              </w:rPr>
              <w:tab/>
            </w:r>
            <w:r>
              <w:rPr>
                <w:noProof/>
                <w:webHidden/>
              </w:rPr>
              <w:fldChar w:fldCharType="begin"/>
            </w:r>
            <w:r>
              <w:rPr>
                <w:noProof/>
                <w:webHidden/>
              </w:rPr>
              <w:instrText xml:space="preserve"> PAGEREF _Toc170370168 \h </w:instrText>
            </w:r>
            <w:r>
              <w:rPr>
                <w:noProof/>
                <w:webHidden/>
              </w:rPr>
            </w:r>
            <w:r>
              <w:rPr>
                <w:noProof/>
                <w:webHidden/>
              </w:rPr>
              <w:fldChar w:fldCharType="separate"/>
            </w:r>
            <w:r>
              <w:rPr>
                <w:noProof/>
                <w:webHidden/>
              </w:rPr>
              <w:t>11</w:t>
            </w:r>
            <w:r>
              <w:rPr>
                <w:noProof/>
                <w:webHidden/>
              </w:rPr>
              <w:fldChar w:fldCharType="end"/>
            </w:r>
          </w:hyperlink>
        </w:p>
        <w:p w14:paraId="71CF35B6" w14:textId="28CF6E9A" w:rsidR="00CD6FFD" w:rsidRDefault="00CD6FFD">
          <w:pPr>
            <w:pStyle w:val="TOC3"/>
            <w:rPr>
              <w:rFonts w:asciiTheme="minorHAnsi" w:eastAsiaTheme="minorEastAsia" w:hAnsiTheme="minorHAnsi" w:cstheme="minorBidi"/>
              <w:b w:val="0"/>
              <w:noProof/>
              <w:color w:val="auto"/>
              <w:kern w:val="2"/>
              <w:szCs w:val="22"/>
              <w:lang w:eastAsia="en-AU"/>
              <w14:ligatures w14:val="standardContextual"/>
            </w:rPr>
          </w:pPr>
          <w:hyperlink w:anchor="_Toc170370169" w:history="1">
            <w:r w:rsidRPr="00F15EB1">
              <w:rPr>
                <w:rStyle w:val="Hyperlink"/>
                <w:noProof/>
              </w:rPr>
              <w:t>Pharmacology</w:t>
            </w:r>
            <w:r>
              <w:rPr>
                <w:noProof/>
                <w:webHidden/>
              </w:rPr>
              <w:tab/>
            </w:r>
            <w:r>
              <w:rPr>
                <w:noProof/>
                <w:webHidden/>
              </w:rPr>
              <w:fldChar w:fldCharType="begin"/>
            </w:r>
            <w:r>
              <w:rPr>
                <w:noProof/>
                <w:webHidden/>
              </w:rPr>
              <w:instrText xml:space="preserve"> PAGEREF _Toc170370169 \h </w:instrText>
            </w:r>
            <w:r>
              <w:rPr>
                <w:noProof/>
                <w:webHidden/>
              </w:rPr>
            </w:r>
            <w:r>
              <w:rPr>
                <w:noProof/>
                <w:webHidden/>
              </w:rPr>
              <w:fldChar w:fldCharType="separate"/>
            </w:r>
            <w:r>
              <w:rPr>
                <w:noProof/>
                <w:webHidden/>
              </w:rPr>
              <w:t>11</w:t>
            </w:r>
            <w:r>
              <w:rPr>
                <w:noProof/>
                <w:webHidden/>
              </w:rPr>
              <w:fldChar w:fldCharType="end"/>
            </w:r>
          </w:hyperlink>
        </w:p>
        <w:p w14:paraId="354C8E70" w14:textId="7E6CAEDC" w:rsidR="00CD6FFD" w:rsidRDefault="00CD6FFD">
          <w:pPr>
            <w:pStyle w:val="TOC3"/>
            <w:rPr>
              <w:rFonts w:asciiTheme="minorHAnsi" w:eastAsiaTheme="minorEastAsia" w:hAnsiTheme="minorHAnsi" w:cstheme="minorBidi"/>
              <w:b w:val="0"/>
              <w:noProof/>
              <w:color w:val="auto"/>
              <w:kern w:val="2"/>
              <w:szCs w:val="22"/>
              <w:lang w:eastAsia="en-AU"/>
              <w14:ligatures w14:val="standardContextual"/>
            </w:rPr>
          </w:pPr>
          <w:hyperlink w:anchor="_Toc170370170" w:history="1">
            <w:r w:rsidRPr="00F15EB1">
              <w:rPr>
                <w:rStyle w:val="Hyperlink"/>
                <w:noProof/>
              </w:rPr>
              <w:t>Efficacy</w:t>
            </w:r>
            <w:r>
              <w:rPr>
                <w:noProof/>
                <w:webHidden/>
              </w:rPr>
              <w:tab/>
            </w:r>
            <w:r>
              <w:rPr>
                <w:noProof/>
                <w:webHidden/>
              </w:rPr>
              <w:fldChar w:fldCharType="begin"/>
            </w:r>
            <w:r>
              <w:rPr>
                <w:noProof/>
                <w:webHidden/>
              </w:rPr>
              <w:instrText xml:space="preserve"> PAGEREF _Toc170370170 \h </w:instrText>
            </w:r>
            <w:r>
              <w:rPr>
                <w:noProof/>
                <w:webHidden/>
              </w:rPr>
            </w:r>
            <w:r>
              <w:rPr>
                <w:noProof/>
                <w:webHidden/>
              </w:rPr>
              <w:fldChar w:fldCharType="separate"/>
            </w:r>
            <w:r>
              <w:rPr>
                <w:noProof/>
                <w:webHidden/>
              </w:rPr>
              <w:t>14</w:t>
            </w:r>
            <w:r>
              <w:rPr>
                <w:noProof/>
                <w:webHidden/>
              </w:rPr>
              <w:fldChar w:fldCharType="end"/>
            </w:r>
          </w:hyperlink>
        </w:p>
        <w:p w14:paraId="55013A53" w14:textId="721CDBE2" w:rsidR="00CD6FFD" w:rsidRDefault="00CD6FFD">
          <w:pPr>
            <w:pStyle w:val="TOC3"/>
            <w:rPr>
              <w:rFonts w:asciiTheme="minorHAnsi" w:eastAsiaTheme="minorEastAsia" w:hAnsiTheme="minorHAnsi" w:cstheme="minorBidi"/>
              <w:b w:val="0"/>
              <w:noProof/>
              <w:color w:val="auto"/>
              <w:kern w:val="2"/>
              <w:szCs w:val="22"/>
              <w:lang w:eastAsia="en-AU"/>
              <w14:ligatures w14:val="standardContextual"/>
            </w:rPr>
          </w:pPr>
          <w:hyperlink w:anchor="_Toc170370171" w:history="1">
            <w:r w:rsidRPr="00F15EB1">
              <w:rPr>
                <w:rStyle w:val="Hyperlink"/>
                <w:noProof/>
              </w:rPr>
              <w:t>Safety</w:t>
            </w:r>
            <w:r>
              <w:rPr>
                <w:noProof/>
                <w:webHidden/>
              </w:rPr>
              <w:tab/>
            </w:r>
            <w:r>
              <w:rPr>
                <w:noProof/>
                <w:webHidden/>
              </w:rPr>
              <w:fldChar w:fldCharType="begin"/>
            </w:r>
            <w:r>
              <w:rPr>
                <w:noProof/>
                <w:webHidden/>
              </w:rPr>
              <w:instrText xml:space="preserve"> PAGEREF _Toc170370171 \h </w:instrText>
            </w:r>
            <w:r>
              <w:rPr>
                <w:noProof/>
                <w:webHidden/>
              </w:rPr>
            </w:r>
            <w:r>
              <w:rPr>
                <w:noProof/>
                <w:webHidden/>
              </w:rPr>
              <w:fldChar w:fldCharType="separate"/>
            </w:r>
            <w:r>
              <w:rPr>
                <w:noProof/>
                <w:webHidden/>
              </w:rPr>
              <w:t>17</w:t>
            </w:r>
            <w:r>
              <w:rPr>
                <w:noProof/>
                <w:webHidden/>
              </w:rPr>
              <w:fldChar w:fldCharType="end"/>
            </w:r>
          </w:hyperlink>
        </w:p>
        <w:p w14:paraId="2B27619D" w14:textId="3026D762" w:rsidR="00CD6FFD" w:rsidRDefault="00CD6FFD">
          <w:pPr>
            <w:pStyle w:val="TOC3"/>
            <w:rPr>
              <w:rFonts w:asciiTheme="minorHAnsi" w:eastAsiaTheme="minorEastAsia" w:hAnsiTheme="minorHAnsi" w:cstheme="minorBidi"/>
              <w:b w:val="0"/>
              <w:noProof/>
              <w:color w:val="auto"/>
              <w:kern w:val="2"/>
              <w:szCs w:val="22"/>
              <w:lang w:eastAsia="en-AU"/>
              <w14:ligatures w14:val="standardContextual"/>
            </w:rPr>
          </w:pPr>
          <w:hyperlink w:anchor="_Toc170370172" w:history="1">
            <w:r w:rsidRPr="00F15EB1">
              <w:rPr>
                <w:rStyle w:val="Hyperlink"/>
                <w:noProof/>
              </w:rPr>
              <w:t>Immunogenicity – incidence, PK, efficacy, safety</w:t>
            </w:r>
            <w:r>
              <w:rPr>
                <w:noProof/>
                <w:webHidden/>
              </w:rPr>
              <w:tab/>
            </w:r>
            <w:r>
              <w:rPr>
                <w:noProof/>
                <w:webHidden/>
              </w:rPr>
              <w:fldChar w:fldCharType="begin"/>
            </w:r>
            <w:r>
              <w:rPr>
                <w:noProof/>
                <w:webHidden/>
              </w:rPr>
              <w:instrText xml:space="preserve"> PAGEREF _Toc170370172 \h </w:instrText>
            </w:r>
            <w:r>
              <w:rPr>
                <w:noProof/>
                <w:webHidden/>
              </w:rPr>
            </w:r>
            <w:r>
              <w:rPr>
                <w:noProof/>
                <w:webHidden/>
              </w:rPr>
              <w:fldChar w:fldCharType="separate"/>
            </w:r>
            <w:r>
              <w:rPr>
                <w:noProof/>
                <w:webHidden/>
              </w:rPr>
              <w:t>21</w:t>
            </w:r>
            <w:r>
              <w:rPr>
                <w:noProof/>
                <w:webHidden/>
              </w:rPr>
              <w:fldChar w:fldCharType="end"/>
            </w:r>
          </w:hyperlink>
        </w:p>
        <w:p w14:paraId="20D88740" w14:textId="1F5A9D99" w:rsidR="00CD6FFD" w:rsidRDefault="00CD6FF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70173" w:history="1">
            <w:r w:rsidRPr="00F15EB1">
              <w:rPr>
                <w:rStyle w:val="Hyperlink"/>
                <w:noProof/>
              </w:rPr>
              <w:t>Other – extrapolation to other indications and patient groups</w:t>
            </w:r>
            <w:r>
              <w:rPr>
                <w:noProof/>
                <w:webHidden/>
              </w:rPr>
              <w:tab/>
            </w:r>
            <w:r>
              <w:rPr>
                <w:noProof/>
                <w:webHidden/>
              </w:rPr>
              <w:fldChar w:fldCharType="begin"/>
            </w:r>
            <w:r>
              <w:rPr>
                <w:noProof/>
                <w:webHidden/>
              </w:rPr>
              <w:instrText xml:space="preserve"> PAGEREF _Toc170370173 \h </w:instrText>
            </w:r>
            <w:r>
              <w:rPr>
                <w:noProof/>
                <w:webHidden/>
              </w:rPr>
            </w:r>
            <w:r>
              <w:rPr>
                <w:noProof/>
                <w:webHidden/>
              </w:rPr>
              <w:fldChar w:fldCharType="separate"/>
            </w:r>
            <w:r>
              <w:rPr>
                <w:noProof/>
                <w:webHidden/>
              </w:rPr>
              <w:t>24</w:t>
            </w:r>
            <w:r>
              <w:rPr>
                <w:noProof/>
                <w:webHidden/>
              </w:rPr>
              <w:fldChar w:fldCharType="end"/>
            </w:r>
          </w:hyperlink>
        </w:p>
        <w:p w14:paraId="2DC9531B" w14:textId="14C7DD80" w:rsidR="00CD6FFD" w:rsidRDefault="00CD6FFD">
          <w:pPr>
            <w:pStyle w:val="TOC3"/>
            <w:rPr>
              <w:rFonts w:asciiTheme="minorHAnsi" w:eastAsiaTheme="minorEastAsia" w:hAnsiTheme="minorHAnsi" w:cstheme="minorBidi"/>
              <w:b w:val="0"/>
              <w:noProof/>
              <w:color w:val="auto"/>
              <w:kern w:val="2"/>
              <w:szCs w:val="22"/>
              <w:lang w:eastAsia="en-AU"/>
              <w14:ligatures w14:val="standardContextual"/>
            </w:rPr>
          </w:pPr>
          <w:hyperlink w:anchor="_Toc170370174" w:history="1">
            <w:r w:rsidRPr="00F15EB1">
              <w:rPr>
                <w:rStyle w:val="Hyperlink"/>
                <w:noProof/>
              </w:rPr>
              <w:t>Recommendation following the clinical evaluation</w:t>
            </w:r>
            <w:r>
              <w:rPr>
                <w:noProof/>
                <w:webHidden/>
              </w:rPr>
              <w:tab/>
            </w:r>
            <w:r>
              <w:rPr>
                <w:noProof/>
                <w:webHidden/>
              </w:rPr>
              <w:fldChar w:fldCharType="begin"/>
            </w:r>
            <w:r>
              <w:rPr>
                <w:noProof/>
                <w:webHidden/>
              </w:rPr>
              <w:instrText xml:space="preserve"> PAGEREF _Toc170370174 \h </w:instrText>
            </w:r>
            <w:r>
              <w:rPr>
                <w:noProof/>
                <w:webHidden/>
              </w:rPr>
            </w:r>
            <w:r>
              <w:rPr>
                <w:noProof/>
                <w:webHidden/>
              </w:rPr>
              <w:fldChar w:fldCharType="separate"/>
            </w:r>
            <w:r>
              <w:rPr>
                <w:noProof/>
                <w:webHidden/>
              </w:rPr>
              <w:t>25</w:t>
            </w:r>
            <w:r>
              <w:rPr>
                <w:noProof/>
                <w:webHidden/>
              </w:rPr>
              <w:fldChar w:fldCharType="end"/>
            </w:r>
          </w:hyperlink>
        </w:p>
        <w:p w14:paraId="1F85F6C5" w14:textId="6E685755" w:rsidR="00CD6FFD" w:rsidRDefault="00CD6FF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70175" w:history="1">
            <w:r w:rsidRPr="00F15EB1">
              <w:rPr>
                <w:rStyle w:val="Hyperlink"/>
                <w:noProof/>
                <w:lang w:eastAsia="en-AU"/>
              </w:rPr>
              <w:t>Risk management plan</w:t>
            </w:r>
            <w:r>
              <w:rPr>
                <w:noProof/>
                <w:webHidden/>
              </w:rPr>
              <w:tab/>
            </w:r>
            <w:r>
              <w:rPr>
                <w:noProof/>
                <w:webHidden/>
              </w:rPr>
              <w:fldChar w:fldCharType="begin"/>
            </w:r>
            <w:r>
              <w:rPr>
                <w:noProof/>
                <w:webHidden/>
              </w:rPr>
              <w:instrText xml:space="preserve"> PAGEREF _Toc170370175 \h </w:instrText>
            </w:r>
            <w:r>
              <w:rPr>
                <w:noProof/>
                <w:webHidden/>
              </w:rPr>
            </w:r>
            <w:r>
              <w:rPr>
                <w:noProof/>
                <w:webHidden/>
              </w:rPr>
              <w:fldChar w:fldCharType="separate"/>
            </w:r>
            <w:r>
              <w:rPr>
                <w:noProof/>
                <w:webHidden/>
              </w:rPr>
              <w:t>25</w:t>
            </w:r>
            <w:r>
              <w:rPr>
                <w:noProof/>
                <w:webHidden/>
              </w:rPr>
              <w:fldChar w:fldCharType="end"/>
            </w:r>
          </w:hyperlink>
        </w:p>
        <w:p w14:paraId="7158B3BD" w14:textId="17D25C0C" w:rsidR="00CD6FFD" w:rsidRDefault="00CD6FF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70176" w:history="1">
            <w:r w:rsidRPr="00F15EB1">
              <w:rPr>
                <w:rStyle w:val="Hyperlink"/>
                <w:noProof/>
              </w:rPr>
              <w:t>Risk-benefit analysis</w:t>
            </w:r>
            <w:r>
              <w:rPr>
                <w:noProof/>
                <w:webHidden/>
              </w:rPr>
              <w:tab/>
            </w:r>
            <w:r>
              <w:rPr>
                <w:noProof/>
                <w:webHidden/>
              </w:rPr>
              <w:fldChar w:fldCharType="begin"/>
            </w:r>
            <w:r>
              <w:rPr>
                <w:noProof/>
                <w:webHidden/>
              </w:rPr>
              <w:instrText xml:space="preserve"> PAGEREF _Toc170370176 \h </w:instrText>
            </w:r>
            <w:r>
              <w:rPr>
                <w:noProof/>
                <w:webHidden/>
              </w:rPr>
            </w:r>
            <w:r>
              <w:rPr>
                <w:noProof/>
                <w:webHidden/>
              </w:rPr>
              <w:fldChar w:fldCharType="separate"/>
            </w:r>
            <w:r>
              <w:rPr>
                <w:noProof/>
                <w:webHidden/>
              </w:rPr>
              <w:t>25</w:t>
            </w:r>
            <w:r>
              <w:rPr>
                <w:noProof/>
                <w:webHidden/>
              </w:rPr>
              <w:fldChar w:fldCharType="end"/>
            </w:r>
          </w:hyperlink>
        </w:p>
        <w:p w14:paraId="72F44122" w14:textId="24CFFDF2" w:rsidR="00CD6FFD" w:rsidRDefault="00CD6FFD">
          <w:pPr>
            <w:pStyle w:val="TOC3"/>
            <w:rPr>
              <w:rFonts w:asciiTheme="minorHAnsi" w:eastAsiaTheme="minorEastAsia" w:hAnsiTheme="minorHAnsi" w:cstheme="minorBidi"/>
              <w:b w:val="0"/>
              <w:noProof/>
              <w:color w:val="auto"/>
              <w:kern w:val="2"/>
              <w:szCs w:val="22"/>
              <w:lang w:eastAsia="en-AU"/>
              <w14:ligatures w14:val="standardContextual"/>
            </w:rPr>
          </w:pPr>
          <w:hyperlink w:anchor="_Toc170370177" w:history="1">
            <w:r w:rsidRPr="00F15EB1">
              <w:rPr>
                <w:rStyle w:val="Hyperlink"/>
                <w:noProof/>
              </w:rPr>
              <w:t>Delegate’s considerations</w:t>
            </w:r>
            <w:r>
              <w:rPr>
                <w:noProof/>
                <w:webHidden/>
              </w:rPr>
              <w:tab/>
            </w:r>
            <w:r>
              <w:rPr>
                <w:noProof/>
                <w:webHidden/>
              </w:rPr>
              <w:fldChar w:fldCharType="begin"/>
            </w:r>
            <w:r>
              <w:rPr>
                <w:noProof/>
                <w:webHidden/>
              </w:rPr>
              <w:instrText xml:space="preserve"> PAGEREF _Toc170370177 \h </w:instrText>
            </w:r>
            <w:r>
              <w:rPr>
                <w:noProof/>
                <w:webHidden/>
              </w:rPr>
            </w:r>
            <w:r>
              <w:rPr>
                <w:noProof/>
                <w:webHidden/>
              </w:rPr>
              <w:fldChar w:fldCharType="separate"/>
            </w:r>
            <w:r>
              <w:rPr>
                <w:noProof/>
                <w:webHidden/>
              </w:rPr>
              <w:t>25</w:t>
            </w:r>
            <w:r>
              <w:rPr>
                <w:noProof/>
                <w:webHidden/>
              </w:rPr>
              <w:fldChar w:fldCharType="end"/>
            </w:r>
          </w:hyperlink>
        </w:p>
        <w:p w14:paraId="1F73AFB6" w14:textId="03FD8284" w:rsidR="00CD6FFD" w:rsidRDefault="00CD6FFD">
          <w:pPr>
            <w:pStyle w:val="TOC3"/>
            <w:rPr>
              <w:rFonts w:asciiTheme="minorHAnsi" w:eastAsiaTheme="minorEastAsia" w:hAnsiTheme="minorHAnsi" w:cstheme="minorBidi"/>
              <w:b w:val="0"/>
              <w:noProof/>
              <w:color w:val="auto"/>
              <w:kern w:val="2"/>
              <w:szCs w:val="22"/>
              <w:lang w:eastAsia="en-AU"/>
              <w14:ligatures w14:val="standardContextual"/>
            </w:rPr>
          </w:pPr>
          <w:hyperlink w:anchor="_Toc170370178" w:history="1">
            <w:r w:rsidRPr="00F15EB1">
              <w:rPr>
                <w:rStyle w:val="Hyperlink"/>
                <w:noProof/>
              </w:rPr>
              <w:t>Proposed action</w:t>
            </w:r>
            <w:r>
              <w:rPr>
                <w:noProof/>
                <w:webHidden/>
              </w:rPr>
              <w:tab/>
            </w:r>
            <w:r>
              <w:rPr>
                <w:noProof/>
                <w:webHidden/>
              </w:rPr>
              <w:fldChar w:fldCharType="begin"/>
            </w:r>
            <w:r>
              <w:rPr>
                <w:noProof/>
                <w:webHidden/>
              </w:rPr>
              <w:instrText xml:space="preserve"> PAGEREF _Toc170370178 \h </w:instrText>
            </w:r>
            <w:r>
              <w:rPr>
                <w:noProof/>
                <w:webHidden/>
              </w:rPr>
            </w:r>
            <w:r>
              <w:rPr>
                <w:noProof/>
                <w:webHidden/>
              </w:rPr>
              <w:fldChar w:fldCharType="separate"/>
            </w:r>
            <w:r>
              <w:rPr>
                <w:noProof/>
                <w:webHidden/>
              </w:rPr>
              <w:t>27</w:t>
            </w:r>
            <w:r>
              <w:rPr>
                <w:noProof/>
                <w:webHidden/>
              </w:rPr>
              <w:fldChar w:fldCharType="end"/>
            </w:r>
          </w:hyperlink>
        </w:p>
        <w:p w14:paraId="3428A46C" w14:textId="47A380BD" w:rsidR="00CD6FFD" w:rsidRDefault="00CD6FFD">
          <w:pPr>
            <w:pStyle w:val="TOC3"/>
            <w:rPr>
              <w:rFonts w:asciiTheme="minorHAnsi" w:eastAsiaTheme="minorEastAsia" w:hAnsiTheme="minorHAnsi" w:cstheme="minorBidi"/>
              <w:b w:val="0"/>
              <w:noProof/>
              <w:color w:val="auto"/>
              <w:kern w:val="2"/>
              <w:szCs w:val="22"/>
              <w:lang w:eastAsia="en-AU"/>
              <w14:ligatures w14:val="standardContextual"/>
            </w:rPr>
          </w:pPr>
          <w:hyperlink w:anchor="_Toc170370179" w:history="1">
            <w:r w:rsidRPr="00F15EB1">
              <w:rPr>
                <w:rStyle w:val="Hyperlink"/>
                <w:noProof/>
              </w:rPr>
              <w:t>Advisory Committee considerations</w:t>
            </w:r>
            <w:r>
              <w:rPr>
                <w:noProof/>
                <w:webHidden/>
              </w:rPr>
              <w:tab/>
            </w:r>
            <w:r>
              <w:rPr>
                <w:noProof/>
                <w:webHidden/>
              </w:rPr>
              <w:fldChar w:fldCharType="begin"/>
            </w:r>
            <w:r>
              <w:rPr>
                <w:noProof/>
                <w:webHidden/>
              </w:rPr>
              <w:instrText xml:space="preserve"> PAGEREF _Toc170370179 \h </w:instrText>
            </w:r>
            <w:r>
              <w:rPr>
                <w:noProof/>
                <w:webHidden/>
              </w:rPr>
            </w:r>
            <w:r>
              <w:rPr>
                <w:noProof/>
                <w:webHidden/>
              </w:rPr>
              <w:fldChar w:fldCharType="separate"/>
            </w:r>
            <w:r>
              <w:rPr>
                <w:noProof/>
                <w:webHidden/>
              </w:rPr>
              <w:t>27</w:t>
            </w:r>
            <w:r>
              <w:rPr>
                <w:noProof/>
                <w:webHidden/>
              </w:rPr>
              <w:fldChar w:fldCharType="end"/>
            </w:r>
          </w:hyperlink>
        </w:p>
        <w:p w14:paraId="16388BC5" w14:textId="68DF9CD2" w:rsidR="00CD6FFD" w:rsidRDefault="00CD6FF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370180" w:history="1">
            <w:r w:rsidRPr="00F15EB1">
              <w:rPr>
                <w:rStyle w:val="Hyperlink"/>
                <w:noProof/>
              </w:rPr>
              <w:t>Outcome</w:t>
            </w:r>
            <w:r>
              <w:rPr>
                <w:noProof/>
                <w:webHidden/>
              </w:rPr>
              <w:tab/>
            </w:r>
            <w:r>
              <w:rPr>
                <w:noProof/>
                <w:webHidden/>
              </w:rPr>
              <w:fldChar w:fldCharType="begin"/>
            </w:r>
            <w:r>
              <w:rPr>
                <w:noProof/>
                <w:webHidden/>
              </w:rPr>
              <w:instrText xml:space="preserve"> PAGEREF _Toc170370180 \h </w:instrText>
            </w:r>
            <w:r>
              <w:rPr>
                <w:noProof/>
                <w:webHidden/>
              </w:rPr>
            </w:r>
            <w:r>
              <w:rPr>
                <w:noProof/>
                <w:webHidden/>
              </w:rPr>
              <w:fldChar w:fldCharType="separate"/>
            </w:r>
            <w:r>
              <w:rPr>
                <w:noProof/>
                <w:webHidden/>
              </w:rPr>
              <w:t>29</w:t>
            </w:r>
            <w:r>
              <w:rPr>
                <w:noProof/>
                <w:webHidden/>
              </w:rPr>
              <w:fldChar w:fldCharType="end"/>
            </w:r>
          </w:hyperlink>
        </w:p>
        <w:p w14:paraId="1256B174" w14:textId="0BFD8204" w:rsidR="00CD6FFD" w:rsidRDefault="00CD6FF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70181" w:history="1">
            <w:r w:rsidRPr="00F15EB1">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_Toc170370181 \h </w:instrText>
            </w:r>
            <w:r>
              <w:rPr>
                <w:noProof/>
                <w:webHidden/>
              </w:rPr>
            </w:r>
            <w:r>
              <w:rPr>
                <w:noProof/>
                <w:webHidden/>
              </w:rPr>
              <w:fldChar w:fldCharType="separate"/>
            </w:r>
            <w:r>
              <w:rPr>
                <w:noProof/>
                <w:webHidden/>
              </w:rPr>
              <w:t>29</w:t>
            </w:r>
            <w:r>
              <w:rPr>
                <w:noProof/>
                <w:webHidden/>
              </w:rPr>
              <w:fldChar w:fldCharType="end"/>
            </w:r>
          </w:hyperlink>
        </w:p>
        <w:p w14:paraId="22E25B0D" w14:textId="132ED7CB" w:rsidR="00CD6FFD" w:rsidRDefault="00CD6FF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370182" w:history="1">
            <w:r w:rsidRPr="00F15EB1">
              <w:rPr>
                <w:rStyle w:val="Hyperlink"/>
                <w:noProof/>
              </w:rPr>
              <w:t>Attachment 1. Product Information</w:t>
            </w:r>
            <w:r>
              <w:rPr>
                <w:noProof/>
                <w:webHidden/>
              </w:rPr>
              <w:tab/>
            </w:r>
            <w:r>
              <w:rPr>
                <w:noProof/>
                <w:webHidden/>
              </w:rPr>
              <w:fldChar w:fldCharType="begin"/>
            </w:r>
            <w:r>
              <w:rPr>
                <w:noProof/>
                <w:webHidden/>
              </w:rPr>
              <w:instrText xml:space="preserve"> PAGEREF _Toc170370182 \h </w:instrText>
            </w:r>
            <w:r>
              <w:rPr>
                <w:noProof/>
                <w:webHidden/>
              </w:rPr>
            </w:r>
            <w:r>
              <w:rPr>
                <w:noProof/>
                <w:webHidden/>
              </w:rPr>
              <w:fldChar w:fldCharType="separate"/>
            </w:r>
            <w:r>
              <w:rPr>
                <w:noProof/>
                <w:webHidden/>
              </w:rPr>
              <w:t>29</w:t>
            </w:r>
            <w:r>
              <w:rPr>
                <w:noProof/>
                <w:webHidden/>
              </w:rPr>
              <w:fldChar w:fldCharType="end"/>
            </w:r>
          </w:hyperlink>
        </w:p>
        <w:p w14:paraId="77659F2D" w14:textId="60CBC621"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323739589"/>
      <w:bookmarkStart w:id="3" w:name="_Toc356305216"/>
      <w:bookmarkStart w:id="4" w:name="_Toc170370153"/>
      <w:r>
        <w:lastRenderedPageBreak/>
        <w:t>List of abbreviations</w:t>
      </w:r>
      <w:bookmarkEnd w:id="0"/>
      <w:bookmarkEnd w:id="1"/>
      <w:bookmarkEnd w:id="4"/>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D87A84" w:rsidRPr="00D01DDB" w14:paraId="1AF798F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5FB1926" w14:textId="11299B4B" w:rsidR="00D87A84" w:rsidRPr="00D01DDB" w:rsidRDefault="00D87A84" w:rsidP="00324B33">
            <w:pPr>
              <w:rPr>
                <w:szCs w:val="22"/>
              </w:rPr>
            </w:pPr>
            <w:r>
              <w:rPr>
                <w:szCs w:val="22"/>
              </w:rPr>
              <w:t>ADA</w:t>
            </w:r>
          </w:p>
        </w:tc>
        <w:tc>
          <w:tcPr>
            <w:tcW w:w="3800" w:type="pct"/>
          </w:tcPr>
          <w:p w14:paraId="7D0098EC" w14:textId="628045BD" w:rsidR="00D87A84" w:rsidRPr="00D01DDB" w:rsidRDefault="00D87A8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Adenosine deaminase</w:t>
            </w:r>
          </w:p>
        </w:tc>
      </w:tr>
      <w:tr w:rsidR="003E04C4" w:rsidRPr="00D01DDB" w14:paraId="0AD846B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D1CA82" w14:textId="048EF353" w:rsidR="003E04C4" w:rsidRPr="00D01DDB" w:rsidRDefault="003E04C4" w:rsidP="00324B33">
            <w:pPr>
              <w:rPr>
                <w:szCs w:val="22"/>
              </w:rPr>
            </w:pPr>
            <w:r>
              <w:rPr>
                <w:szCs w:val="22"/>
              </w:rPr>
              <w:t>AE</w:t>
            </w:r>
          </w:p>
        </w:tc>
        <w:tc>
          <w:tcPr>
            <w:tcW w:w="3800" w:type="pct"/>
          </w:tcPr>
          <w:p w14:paraId="1D52C18F" w14:textId="4CA1761E" w:rsidR="003E04C4" w:rsidRPr="00D01DDB" w:rsidRDefault="003E04C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21C063B1"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73D7A">
              <w:rPr>
                <w:szCs w:val="22"/>
              </w:rPr>
              <w:noBreakHyphen/>
            </w:r>
            <w:r w:rsidRPr="00D01DDB">
              <w:rPr>
                <w:szCs w:val="22"/>
              </w:rPr>
              <w:t>specific annex</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324B33"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D01DDB" w:rsidRDefault="00324B33" w:rsidP="00324B33">
            <w:pPr>
              <w:rPr>
                <w:szCs w:val="22"/>
              </w:rPr>
            </w:pPr>
            <w:r w:rsidRPr="00D01DDB">
              <w:rPr>
                <w:szCs w:val="22"/>
              </w:rPr>
              <w:t>DLP</w:t>
            </w:r>
          </w:p>
        </w:tc>
        <w:tc>
          <w:tcPr>
            <w:tcW w:w="3800" w:type="pct"/>
          </w:tcPr>
          <w:p w14:paraId="26109D0B" w14:textId="4AE8F60A"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D87A84" w:rsidRPr="00D01DDB" w14:paraId="6798F64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AB11B9" w14:textId="51AAF70E" w:rsidR="00D87A84" w:rsidRPr="00D01DDB" w:rsidRDefault="00D87A84" w:rsidP="00324B33">
            <w:pPr>
              <w:rPr>
                <w:szCs w:val="22"/>
              </w:rPr>
            </w:pPr>
            <w:r>
              <w:rPr>
                <w:szCs w:val="22"/>
              </w:rPr>
              <w:t>EOI</w:t>
            </w:r>
          </w:p>
        </w:tc>
        <w:tc>
          <w:tcPr>
            <w:tcW w:w="3800" w:type="pct"/>
          </w:tcPr>
          <w:p w14:paraId="0ED39F75" w14:textId="69AA391F" w:rsidR="00D87A84" w:rsidRPr="00D01DDB" w:rsidRDefault="00D87A8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Event of interest</w:t>
            </w:r>
          </w:p>
        </w:tc>
      </w:tr>
      <w:tr w:rsidR="00892A99" w:rsidRPr="00D01DDB" w14:paraId="730EF2B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BA0606" w14:textId="0E5CF8DF" w:rsidR="00892A99" w:rsidRPr="00D01DDB" w:rsidRDefault="00892A99" w:rsidP="00324B33">
            <w:pPr>
              <w:rPr>
                <w:szCs w:val="22"/>
              </w:rPr>
            </w:pPr>
            <w:r>
              <w:rPr>
                <w:szCs w:val="22"/>
              </w:rPr>
              <w:t xml:space="preserve">GMR </w:t>
            </w:r>
          </w:p>
        </w:tc>
        <w:tc>
          <w:tcPr>
            <w:tcW w:w="3800" w:type="pct"/>
          </w:tcPr>
          <w:p w14:paraId="7385E77F" w14:textId="498CAE93" w:rsidR="00892A99" w:rsidRPr="00D01DDB" w:rsidRDefault="005E479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Geometric mean ratio</w:t>
            </w:r>
          </w:p>
        </w:tc>
      </w:tr>
      <w:tr w:rsidR="00D87A84" w:rsidRPr="00D01DDB" w14:paraId="653286C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D1CFBE" w14:textId="73BD447E" w:rsidR="00D87A84" w:rsidRDefault="00D87A84" w:rsidP="00324B33">
            <w:pPr>
              <w:rPr>
                <w:szCs w:val="22"/>
              </w:rPr>
            </w:pPr>
            <w:r>
              <w:rPr>
                <w:szCs w:val="22"/>
              </w:rPr>
              <w:t>IP</w:t>
            </w:r>
          </w:p>
        </w:tc>
        <w:tc>
          <w:tcPr>
            <w:tcW w:w="3800" w:type="pct"/>
          </w:tcPr>
          <w:p w14:paraId="5E1BA269" w14:textId="60D17861" w:rsidR="00D87A84" w:rsidRDefault="00D87A8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Investigational product</w:t>
            </w:r>
          </w:p>
        </w:tc>
      </w:tr>
      <w:tr w:rsidR="005E4793" w:rsidRPr="00D01DDB" w14:paraId="484F5F3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706ABBD" w14:textId="7CAE09C7" w:rsidR="005E4793" w:rsidRDefault="005E4793" w:rsidP="00324B33">
            <w:pPr>
              <w:rPr>
                <w:szCs w:val="22"/>
              </w:rPr>
            </w:pPr>
            <w:r>
              <w:rPr>
                <w:szCs w:val="22"/>
              </w:rPr>
              <w:t>PASI</w:t>
            </w:r>
          </w:p>
        </w:tc>
        <w:tc>
          <w:tcPr>
            <w:tcW w:w="3800" w:type="pct"/>
          </w:tcPr>
          <w:p w14:paraId="15F738EB" w14:textId="3BBA2150" w:rsidR="005E4793" w:rsidRDefault="005E4793" w:rsidP="00324B33">
            <w:pPr>
              <w:cnfStyle w:val="000000000000" w:firstRow="0" w:lastRow="0" w:firstColumn="0" w:lastColumn="0" w:oddVBand="0" w:evenVBand="0" w:oddHBand="0" w:evenHBand="0" w:firstRowFirstColumn="0" w:firstRowLastColumn="0" w:lastRowFirstColumn="0" w:lastRowLastColumn="0"/>
              <w:rPr>
                <w:szCs w:val="22"/>
              </w:rPr>
            </w:pPr>
            <w:r>
              <w:t>Psoriasis Area and Severity Index</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t>PI</w:t>
            </w:r>
          </w:p>
        </w:tc>
        <w:tc>
          <w:tcPr>
            <w:tcW w:w="3800" w:type="pct"/>
          </w:tcPr>
          <w:p w14:paraId="354B5DB5" w14:textId="3DAE38C1"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A704DC"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A704DC" w:rsidRPr="00D01DDB" w:rsidRDefault="00A704DC" w:rsidP="00A704DC">
            <w:pPr>
              <w:rPr>
                <w:szCs w:val="22"/>
              </w:rPr>
            </w:pPr>
            <w:r w:rsidRPr="00D01DDB">
              <w:rPr>
                <w:szCs w:val="22"/>
              </w:rPr>
              <w:t>PSUR</w:t>
            </w:r>
          </w:p>
        </w:tc>
        <w:tc>
          <w:tcPr>
            <w:tcW w:w="3800" w:type="pct"/>
          </w:tcPr>
          <w:p w14:paraId="4A97D112" w14:textId="3DC38D8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892A99" w:rsidRPr="00D01DDB" w14:paraId="1B29ABD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3796C1" w14:textId="787CC473" w:rsidR="00892A99" w:rsidRPr="00D01DDB" w:rsidRDefault="00892A99" w:rsidP="00A704DC">
            <w:pPr>
              <w:rPr>
                <w:szCs w:val="22"/>
              </w:rPr>
            </w:pPr>
            <w:r>
              <w:rPr>
                <w:szCs w:val="22"/>
              </w:rPr>
              <w:t>PK</w:t>
            </w:r>
          </w:p>
        </w:tc>
        <w:tc>
          <w:tcPr>
            <w:tcW w:w="3800" w:type="pct"/>
          </w:tcPr>
          <w:p w14:paraId="159F4BBF" w14:textId="4A8AB06B" w:rsidR="00892A99" w:rsidRPr="00D01DDB" w:rsidRDefault="00892A99"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Pharmacokinetic</w:t>
            </w:r>
          </w:p>
        </w:tc>
      </w:tr>
      <w:tr w:rsidR="00A704DC"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A704DC" w:rsidRPr="00D01DDB" w:rsidRDefault="00A704DC" w:rsidP="00A704DC">
            <w:pPr>
              <w:rPr>
                <w:szCs w:val="22"/>
              </w:rPr>
            </w:pPr>
            <w:r w:rsidRPr="00D01DDB">
              <w:rPr>
                <w:szCs w:val="22"/>
              </w:rPr>
              <w:t>RMP</w:t>
            </w:r>
          </w:p>
        </w:tc>
        <w:tc>
          <w:tcPr>
            <w:tcW w:w="3800" w:type="pct"/>
          </w:tcPr>
          <w:p w14:paraId="2C862F75" w14:textId="2355E84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FA0550" w:rsidRPr="00D01DDB" w14:paraId="064B017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7C3128" w14:textId="27D580E7" w:rsidR="00FA0550" w:rsidRPr="00D01DDB" w:rsidRDefault="00FA0550" w:rsidP="00A704DC">
            <w:pPr>
              <w:rPr>
                <w:szCs w:val="22"/>
              </w:rPr>
            </w:pPr>
            <w:r>
              <w:rPr>
                <w:szCs w:val="22"/>
              </w:rPr>
              <w:t>SAE</w:t>
            </w:r>
          </w:p>
        </w:tc>
        <w:tc>
          <w:tcPr>
            <w:tcW w:w="3800" w:type="pct"/>
          </w:tcPr>
          <w:p w14:paraId="1576B6AF" w14:textId="291E6210" w:rsidR="00FA0550" w:rsidRPr="00D01DDB" w:rsidRDefault="00FA0550"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Serious adverse event</w:t>
            </w:r>
          </w:p>
        </w:tc>
      </w:tr>
      <w:tr w:rsidR="00A704DC"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A704DC" w:rsidRPr="00D01DDB" w:rsidRDefault="00A704DC" w:rsidP="00A704DC">
            <w:pPr>
              <w:rPr>
                <w:szCs w:val="22"/>
              </w:rPr>
            </w:pPr>
            <w:r w:rsidRPr="00D01DDB">
              <w:rPr>
                <w:szCs w:val="22"/>
              </w:rPr>
              <w:t>TGA</w:t>
            </w:r>
          </w:p>
        </w:tc>
        <w:tc>
          <w:tcPr>
            <w:tcW w:w="3800" w:type="pct"/>
          </w:tcPr>
          <w:p w14:paraId="29EA6BA3" w14:textId="6F99059F"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C5DCA" w:rsidR="00324B33" w:rsidRDefault="00324B33" w:rsidP="00324B33">
      <w:pPr>
        <w:pStyle w:val="Heading2"/>
      </w:pPr>
      <w:bookmarkStart w:id="5" w:name="_Toc103679288"/>
      <w:bookmarkStart w:id="6" w:name="_Toc170370154"/>
      <w:r>
        <w:lastRenderedPageBreak/>
        <w:t>Product submission</w:t>
      </w:r>
      <w:bookmarkEnd w:id="5"/>
      <w:bookmarkEnd w:id="6"/>
    </w:p>
    <w:p w14:paraId="21D559DF" w14:textId="777C5DCA" w:rsidR="00324B33" w:rsidRDefault="00324B33" w:rsidP="00324B33">
      <w:pPr>
        <w:pStyle w:val="Heading3"/>
        <w:rPr>
          <w:lang w:eastAsia="en-AU"/>
        </w:rPr>
      </w:pPr>
      <w:bookmarkStart w:id="7" w:name="_Toc247691502"/>
      <w:bookmarkStart w:id="8" w:name="_Toc314842483"/>
      <w:bookmarkStart w:id="9" w:name="_Toc103679289"/>
      <w:bookmarkStart w:id="10" w:name="_Toc170370155"/>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896E59">
        <w:tc>
          <w:tcPr>
            <w:tcW w:w="1577" w:type="pct"/>
          </w:tcPr>
          <w:p w14:paraId="10E57D62" w14:textId="55B6EF08" w:rsidR="00324B33" w:rsidRPr="00BD5DBD" w:rsidRDefault="00324B33" w:rsidP="007452E8">
            <w:pPr>
              <w:rPr>
                <w:i/>
                <w:szCs w:val="22"/>
              </w:rPr>
            </w:pPr>
            <w:r w:rsidRPr="00BD5DBD">
              <w:rPr>
                <w:i/>
                <w:szCs w:val="22"/>
              </w:rPr>
              <w:t>Type of submission:</w:t>
            </w:r>
          </w:p>
        </w:tc>
        <w:tc>
          <w:tcPr>
            <w:tcW w:w="3423" w:type="pct"/>
          </w:tcPr>
          <w:p w14:paraId="4F07C303" w14:textId="4DDA4150" w:rsidR="00324B33" w:rsidRPr="00BD5DBD" w:rsidRDefault="0027798F" w:rsidP="007452E8">
            <w:pPr>
              <w:rPr>
                <w:szCs w:val="22"/>
              </w:rPr>
            </w:pPr>
            <w:r>
              <w:rPr>
                <w:szCs w:val="22"/>
              </w:rPr>
              <w:t>Biosimilar medicine</w:t>
            </w:r>
          </w:p>
        </w:tc>
      </w:tr>
      <w:tr w:rsidR="00324B33" w:rsidRPr="00BD5DBD" w14:paraId="13482B61" w14:textId="77777777" w:rsidTr="00896E59">
        <w:tc>
          <w:tcPr>
            <w:tcW w:w="1577" w:type="pct"/>
          </w:tcPr>
          <w:p w14:paraId="2C427FCF" w14:textId="65FCE643" w:rsidR="00324B33" w:rsidRPr="00BD5DBD" w:rsidRDefault="00324B33" w:rsidP="007452E8">
            <w:pPr>
              <w:rPr>
                <w:i/>
                <w:szCs w:val="22"/>
              </w:rPr>
            </w:pPr>
            <w:r w:rsidRPr="00BD5DBD">
              <w:rPr>
                <w:i/>
                <w:szCs w:val="22"/>
              </w:rPr>
              <w:t>Product name:</w:t>
            </w:r>
          </w:p>
        </w:tc>
        <w:tc>
          <w:tcPr>
            <w:tcW w:w="3423" w:type="pct"/>
          </w:tcPr>
          <w:p w14:paraId="0E2DEF76" w14:textId="7AC93CEA" w:rsidR="00324B33" w:rsidRPr="00BD5DBD" w:rsidRDefault="00E4609C" w:rsidP="007452E8">
            <w:pPr>
              <w:rPr>
                <w:szCs w:val="22"/>
              </w:rPr>
            </w:pPr>
            <w:r>
              <w:rPr>
                <w:szCs w:val="22"/>
              </w:rPr>
              <w:t>WEZLANA</w:t>
            </w:r>
          </w:p>
        </w:tc>
      </w:tr>
      <w:tr w:rsidR="00324B33" w:rsidRPr="00BD5DBD" w14:paraId="01255B5B" w14:textId="77777777" w:rsidTr="00896E59">
        <w:tc>
          <w:tcPr>
            <w:tcW w:w="1577" w:type="pct"/>
          </w:tcPr>
          <w:p w14:paraId="52B4F3D7" w14:textId="604713F8" w:rsidR="00324B33" w:rsidRPr="00BD5DBD" w:rsidRDefault="00324B33" w:rsidP="007452E8">
            <w:pPr>
              <w:rPr>
                <w:i/>
                <w:szCs w:val="22"/>
              </w:rPr>
            </w:pPr>
            <w:r w:rsidRPr="00BD5DBD">
              <w:rPr>
                <w:i/>
                <w:szCs w:val="22"/>
              </w:rPr>
              <w:t>Active ingredient:</w:t>
            </w:r>
          </w:p>
        </w:tc>
        <w:tc>
          <w:tcPr>
            <w:tcW w:w="3423" w:type="pct"/>
          </w:tcPr>
          <w:p w14:paraId="02FB6383" w14:textId="1CE7F2D7" w:rsidR="00324B33" w:rsidRPr="00BD5DBD" w:rsidRDefault="001B5D22" w:rsidP="007452E8">
            <w:pPr>
              <w:rPr>
                <w:szCs w:val="22"/>
              </w:rPr>
            </w:pPr>
            <w:r>
              <w:rPr>
                <w:szCs w:val="22"/>
              </w:rPr>
              <w:t>Ustekinumab</w:t>
            </w:r>
          </w:p>
        </w:tc>
      </w:tr>
      <w:tr w:rsidR="00324B33" w:rsidRPr="00BD5DBD" w14:paraId="219A281B" w14:textId="77777777" w:rsidTr="00896E59">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63203C48" w:rsidR="00324B33" w:rsidRPr="00BD5DBD" w:rsidRDefault="001B5D22" w:rsidP="007452E8">
            <w:pPr>
              <w:rPr>
                <w:szCs w:val="22"/>
              </w:rPr>
            </w:pPr>
            <w:r>
              <w:rPr>
                <w:szCs w:val="22"/>
              </w:rPr>
              <w:t>Approved</w:t>
            </w:r>
          </w:p>
        </w:tc>
      </w:tr>
      <w:tr w:rsidR="00AE1947" w:rsidRPr="00BD5DBD" w14:paraId="32B72632" w14:textId="77777777" w:rsidTr="00896E59">
        <w:tc>
          <w:tcPr>
            <w:tcW w:w="1577" w:type="pct"/>
          </w:tcPr>
          <w:p w14:paraId="332A5CD5" w14:textId="682CD1B3" w:rsidR="00AE1947" w:rsidRPr="00BD5DBD" w:rsidRDefault="00AE1947" w:rsidP="00C018DE">
            <w:r w:rsidRPr="00BD5DBD">
              <w:rPr>
                <w:i/>
                <w:szCs w:val="22"/>
              </w:rPr>
              <w:t>Date of decision:</w:t>
            </w:r>
          </w:p>
        </w:tc>
        <w:tc>
          <w:tcPr>
            <w:tcW w:w="3423" w:type="pct"/>
          </w:tcPr>
          <w:p w14:paraId="7B381CD6" w14:textId="1DF76B40" w:rsidR="00AE1947" w:rsidRPr="00BD5DBD" w:rsidRDefault="00271872" w:rsidP="00602658">
            <w:pPr>
              <w:rPr>
                <w:szCs w:val="22"/>
              </w:rPr>
            </w:pPr>
            <w:r>
              <w:rPr>
                <w:szCs w:val="22"/>
              </w:rPr>
              <w:t>18 January 2024</w:t>
            </w:r>
          </w:p>
        </w:tc>
      </w:tr>
      <w:tr w:rsidR="00896E59" w:rsidRPr="00BD5DBD" w14:paraId="7A882FB3" w14:textId="77777777" w:rsidTr="00896E59">
        <w:tc>
          <w:tcPr>
            <w:tcW w:w="1577" w:type="pct"/>
          </w:tcPr>
          <w:p w14:paraId="54D27A48" w14:textId="222B737E" w:rsidR="00896E59" w:rsidRPr="00E4609C" w:rsidRDefault="00896E59" w:rsidP="00602658">
            <w:pPr>
              <w:pStyle w:val="Instructions"/>
              <w:rPr>
                <w:color w:val="auto"/>
              </w:rPr>
            </w:pPr>
            <w:r w:rsidRPr="00E4609C">
              <w:rPr>
                <w:color w:val="auto"/>
              </w:rPr>
              <w:t>Date of entry onto ARTG:</w:t>
            </w:r>
          </w:p>
        </w:tc>
        <w:tc>
          <w:tcPr>
            <w:tcW w:w="3423" w:type="pct"/>
          </w:tcPr>
          <w:p w14:paraId="29AA04D5" w14:textId="77FA6AAB" w:rsidR="00896E59" w:rsidRPr="00BD5DBD" w:rsidRDefault="00896E59" w:rsidP="00602658">
            <w:pPr>
              <w:rPr>
                <w:color w:val="00709D"/>
                <w:szCs w:val="22"/>
              </w:rPr>
            </w:pPr>
            <w:r>
              <w:rPr>
                <w:szCs w:val="22"/>
              </w:rPr>
              <w:t>22 January 2024</w:t>
            </w:r>
          </w:p>
        </w:tc>
      </w:tr>
      <w:tr w:rsidR="00896E59" w:rsidRPr="00BD5DBD" w14:paraId="200C1F72" w14:textId="77777777" w:rsidTr="00896E59">
        <w:tc>
          <w:tcPr>
            <w:tcW w:w="1577" w:type="pct"/>
          </w:tcPr>
          <w:p w14:paraId="30E149CE" w14:textId="5879CACB" w:rsidR="00896E59" w:rsidRPr="00E4609C" w:rsidRDefault="00896E59" w:rsidP="00E4609C">
            <w:pPr>
              <w:pStyle w:val="Instructions"/>
              <w:spacing w:before="0"/>
              <w:rPr>
                <w:color w:val="auto"/>
              </w:rPr>
            </w:pPr>
            <w:r w:rsidRPr="00E4609C">
              <w:rPr>
                <w:color w:val="auto"/>
              </w:rPr>
              <w:t>ARTG numbers:</w:t>
            </w:r>
          </w:p>
        </w:tc>
        <w:tc>
          <w:tcPr>
            <w:tcW w:w="3423" w:type="pct"/>
          </w:tcPr>
          <w:p w14:paraId="4DD92FD0" w14:textId="284B9C04" w:rsidR="00896E59" w:rsidRPr="00BD5DBD" w:rsidRDefault="00032465" w:rsidP="00E4609C">
            <w:pPr>
              <w:rPr>
                <w:szCs w:val="22"/>
              </w:rPr>
            </w:pPr>
            <w:r>
              <w:rPr>
                <w:szCs w:val="22"/>
              </w:rPr>
              <w:t>403011, 403012, 403013</w:t>
            </w:r>
            <w:r w:rsidR="00D92BBF">
              <w:rPr>
                <w:szCs w:val="22"/>
              </w:rPr>
              <w:t xml:space="preserve"> and</w:t>
            </w:r>
            <w:r>
              <w:rPr>
                <w:szCs w:val="22"/>
              </w:rPr>
              <w:t xml:space="preserve"> 403014</w:t>
            </w:r>
          </w:p>
        </w:tc>
      </w:tr>
      <w:tr w:rsidR="00896E59" w:rsidRPr="00BD5DBD" w14:paraId="7F74C078" w14:textId="77777777" w:rsidTr="00896E59">
        <w:tc>
          <w:tcPr>
            <w:tcW w:w="1577" w:type="pct"/>
          </w:tcPr>
          <w:p w14:paraId="230BA278" w14:textId="11540078" w:rsidR="00896E59" w:rsidRPr="00BD5DBD" w:rsidRDefault="00CD6FFD" w:rsidP="00993458">
            <w:pPr>
              <w:pStyle w:val="Instructions"/>
              <w:spacing w:before="0"/>
            </w:pPr>
            <w:hyperlink r:id="rId15" w:history="1">
              <w:r w:rsidR="00AD5784" w:rsidRPr="00AD5784">
                <w:rPr>
                  <w:rFonts w:eastAsiaTheme="minorHAnsi" w:cstheme="minorBidi"/>
                  <w:iCs/>
                  <w:color w:val="0000FF"/>
                  <w:szCs w:val="20"/>
                  <w:u w:val="single"/>
                </w:rPr>
                <w:t>The Black Triangle Scheme</w:t>
              </w:r>
            </w:hyperlink>
            <w:r w:rsidR="00993458">
              <w:t>:</w:t>
            </w:r>
          </w:p>
        </w:tc>
        <w:tc>
          <w:tcPr>
            <w:tcW w:w="3423" w:type="pct"/>
          </w:tcPr>
          <w:p w14:paraId="1064A0AD" w14:textId="3E6CF846" w:rsidR="00896E59" w:rsidRPr="00BD5DBD" w:rsidRDefault="00993458" w:rsidP="00993458">
            <w:pPr>
              <w:spacing w:after="0"/>
              <w:rPr>
                <w:szCs w:val="22"/>
              </w:rPr>
            </w:pPr>
            <w:r>
              <w:rPr>
                <w:szCs w:val="22"/>
              </w:rPr>
              <w:t xml:space="preserve">Yes. </w:t>
            </w:r>
          </w:p>
        </w:tc>
      </w:tr>
      <w:tr w:rsidR="00E4609C" w:rsidRPr="00E4609C" w14:paraId="31286633" w14:textId="77777777" w:rsidTr="00896E59">
        <w:tc>
          <w:tcPr>
            <w:tcW w:w="1577" w:type="pct"/>
          </w:tcPr>
          <w:p w14:paraId="13F6A8D3" w14:textId="26888EDF" w:rsidR="00896E59" w:rsidRPr="00E4609C" w:rsidRDefault="00896E59" w:rsidP="00E4609C">
            <w:pPr>
              <w:pStyle w:val="Instructions"/>
              <w:spacing w:before="0"/>
              <w:rPr>
                <w:color w:val="auto"/>
              </w:rPr>
            </w:pPr>
            <w:r w:rsidRPr="00E4609C">
              <w:rPr>
                <w:color w:val="auto"/>
              </w:rPr>
              <w:t>Sponsor’s name and address:</w:t>
            </w:r>
          </w:p>
        </w:tc>
        <w:tc>
          <w:tcPr>
            <w:tcW w:w="3423" w:type="pct"/>
          </w:tcPr>
          <w:p w14:paraId="78B775A0" w14:textId="43DDDF3B" w:rsidR="00896E59" w:rsidRPr="00E4609C" w:rsidRDefault="00A37240" w:rsidP="00602658">
            <w:pPr>
              <w:rPr>
                <w:szCs w:val="22"/>
              </w:rPr>
            </w:pPr>
            <w:r w:rsidRPr="00E4609C">
              <w:rPr>
                <w:szCs w:val="22"/>
              </w:rPr>
              <w:t>Amgen Australia Pty Ltd, PO Box H 125, 38-40 Pitt Street, Sydney, NSW, 2000</w:t>
            </w:r>
          </w:p>
        </w:tc>
      </w:tr>
      <w:tr w:rsidR="00896E59" w:rsidRPr="00BD5DBD" w14:paraId="60A25F5A" w14:textId="77777777" w:rsidTr="00896E59">
        <w:tc>
          <w:tcPr>
            <w:tcW w:w="1577" w:type="pct"/>
          </w:tcPr>
          <w:p w14:paraId="5C5E4CBA" w14:textId="2D196921" w:rsidR="00896E59" w:rsidRPr="00BD5DBD" w:rsidRDefault="00896E59" w:rsidP="007452E8">
            <w:pPr>
              <w:rPr>
                <w:i/>
                <w:szCs w:val="22"/>
              </w:rPr>
            </w:pPr>
            <w:r w:rsidRPr="00BD5DBD">
              <w:rPr>
                <w:i/>
                <w:szCs w:val="22"/>
              </w:rPr>
              <w:t>Dose forms:</w:t>
            </w:r>
          </w:p>
        </w:tc>
        <w:tc>
          <w:tcPr>
            <w:tcW w:w="3423" w:type="pct"/>
          </w:tcPr>
          <w:p w14:paraId="28B270E9" w14:textId="49F03A57" w:rsidR="0026274B" w:rsidRPr="00BD5DBD" w:rsidRDefault="007720B5" w:rsidP="007720B5">
            <w:pPr>
              <w:rPr>
                <w:szCs w:val="22"/>
              </w:rPr>
            </w:pPr>
            <w:r>
              <w:rPr>
                <w:szCs w:val="22"/>
              </w:rPr>
              <w:t>S</w:t>
            </w:r>
            <w:r w:rsidR="00764CE9">
              <w:rPr>
                <w:szCs w:val="22"/>
              </w:rPr>
              <w:t xml:space="preserve">olution </w:t>
            </w:r>
            <w:r>
              <w:rPr>
                <w:szCs w:val="22"/>
              </w:rPr>
              <w:t>for injection and solution for infusion</w:t>
            </w:r>
          </w:p>
        </w:tc>
      </w:tr>
      <w:tr w:rsidR="00896E59" w:rsidRPr="00BD5DBD" w14:paraId="547E08D7" w14:textId="77777777" w:rsidTr="00896E59">
        <w:tc>
          <w:tcPr>
            <w:tcW w:w="1577" w:type="pct"/>
          </w:tcPr>
          <w:p w14:paraId="5030EF30" w14:textId="12E558BD" w:rsidR="00896E59" w:rsidRPr="00BD5DBD" w:rsidRDefault="00896E59" w:rsidP="007452E8">
            <w:pPr>
              <w:rPr>
                <w:i/>
                <w:szCs w:val="22"/>
              </w:rPr>
            </w:pPr>
            <w:r w:rsidRPr="00BD5DBD">
              <w:rPr>
                <w:i/>
                <w:szCs w:val="22"/>
              </w:rPr>
              <w:t>Strengths:</w:t>
            </w:r>
          </w:p>
        </w:tc>
        <w:tc>
          <w:tcPr>
            <w:tcW w:w="3423" w:type="pct"/>
          </w:tcPr>
          <w:p w14:paraId="0054E912" w14:textId="4212DDDF" w:rsidR="0078220C" w:rsidRPr="00BD5DBD" w:rsidRDefault="008E7C87" w:rsidP="0011789C">
            <w:pPr>
              <w:rPr>
                <w:szCs w:val="22"/>
              </w:rPr>
            </w:pPr>
            <w:r>
              <w:t>90 mg/1.0 mL</w:t>
            </w:r>
            <w:r w:rsidR="0011789C">
              <w:t xml:space="preserve">, </w:t>
            </w:r>
            <w:r w:rsidR="00787463">
              <w:t>45 mg/0.5 mL</w:t>
            </w:r>
            <w:r w:rsidR="0011789C">
              <w:t xml:space="preserve">, </w:t>
            </w:r>
            <w:r w:rsidR="0078220C">
              <w:t>and</w:t>
            </w:r>
            <w:r w:rsidR="0011789C">
              <w:t xml:space="preserve"> </w:t>
            </w:r>
            <w:r w:rsidR="0078220C">
              <w:t>5 mg/1.0 mL</w:t>
            </w:r>
          </w:p>
        </w:tc>
      </w:tr>
      <w:tr w:rsidR="00896E59" w:rsidRPr="00BD5DBD" w14:paraId="7618393F" w14:textId="77777777" w:rsidTr="00896E59">
        <w:tc>
          <w:tcPr>
            <w:tcW w:w="1577" w:type="pct"/>
          </w:tcPr>
          <w:p w14:paraId="02260DE2" w14:textId="63205145" w:rsidR="00896E59" w:rsidRPr="00BD5DBD" w:rsidRDefault="00896E59" w:rsidP="007452E8">
            <w:pPr>
              <w:rPr>
                <w:i/>
                <w:szCs w:val="22"/>
              </w:rPr>
            </w:pPr>
            <w:r w:rsidRPr="00BD5DBD">
              <w:rPr>
                <w:i/>
                <w:szCs w:val="22"/>
              </w:rPr>
              <w:t>Containers:</w:t>
            </w:r>
          </w:p>
        </w:tc>
        <w:tc>
          <w:tcPr>
            <w:tcW w:w="3423" w:type="pct"/>
          </w:tcPr>
          <w:p w14:paraId="6FF3C6A2" w14:textId="1294F5B4" w:rsidR="00190687" w:rsidRPr="00BD5DBD" w:rsidRDefault="0011789C" w:rsidP="007452E8">
            <w:pPr>
              <w:rPr>
                <w:szCs w:val="22"/>
              </w:rPr>
            </w:pPr>
            <w:r>
              <w:rPr>
                <w:szCs w:val="22"/>
              </w:rPr>
              <w:t>Vial and pre-filled syringe</w:t>
            </w:r>
          </w:p>
        </w:tc>
      </w:tr>
      <w:tr w:rsidR="00896E59" w:rsidRPr="00BD5DBD" w14:paraId="179E09FE" w14:textId="77777777" w:rsidTr="00896E59">
        <w:tc>
          <w:tcPr>
            <w:tcW w:w="1577" w:type="pct"/>
          </w:tcPr>
          <w:p w14:paraId="1A592498" w14:textId="69DAA3F9" w:rsidR="00896E59" w:rsidRPr="00BD5DBD" w:rsidRDefault="00896E59" w:rsidP="007452E8">
            <w:pPr>
              <w:rPr>
                <w:i/>
                <w:szCs w:val="22"/>
              </w:rPr>
            </w:pPr>
            <w:r w:rsidRPr="00BD5DBD">
              <w:rPr>
                <w:i/>
                <w:szCs w:val="22"/>
              </w:rPr>
              <w:t>Pack size:</w:t>
            </w:r>
          </w:p>
        </w:tc>
        <w:tc>
          <w:tcPr>
            <w:tcW w:w="3423" w:type="pct"/>
          </w:tcPr>
          <w:p w14:paraId="68DD94B0" w14:textId="2FBD64A0" w:rsidR="00896E59" w:rsidRPr="00BD5DBD" w:rsidRDefault="0011789C" w:rsidP="007452E8">
            <w:pPr>
              <w:rPr>
                <w:szCs w:val="22"/>
              </w:rPr>
            </w:pPr>
            <w:r>
              <w:rPr>
                <w:szCs w:val="22"/>
              </w:rPr>
              <w:t>One</w:t>
            </w:r>
          </w:p>
        </w:tc>
      </w:tr>
      <w:tr w:rsidR="00896E59" w:rsidRPr="00BD5DBD" w14:paraId="5322B989" w14:textId="77777777" w:rsidTr="00896E59">
        <w:tc>
          <w:tcPr>
            <w:tcW w:w="1577" w:type="pct"/>
          </w:tcPr>
          <w:p w14:paraId="24F217E3" w14:textId="76AAC3B7" w:rsidR="00896E59" w:rsidRPr="00BD5DBD" w:rsidRDefault="00896E59" w:rsidP="007452E8">
            <w:pPr>
              <w:rPr>
                <w:i/>
                <w:szCs w:val="22"/>
              </w:rPr>
            </w:pPr>
            <w:r w:rsidRPr="00BD5DBD">
              <w:rPr>
                <w:i/>
                <w:szCs w:val="22"/>
              </w:rPr>
              <w:t>Approved therapeutic use for the current submission:</w:t>
            </w:r>
          </w:p>
        </w:tc>
        <w:tc>
          <w:tcPr>
            <w:tcW w:w="3423" w:type="pct"/>
          </w:tcPr>
          <w:p w14:paraId="34762538" w14:textId="77777777" w:rsidR="00AD5784" w:rsidRDefault="00DB64EC" w:rsidP="00DB64EC">
            <w:pPr>
              <w:pStyle w:val="Default"/>
              <w:rPr>
                <w:sz w:val="22"/>
                <w:szCs w:val="22"/>
              </w:rPr>
            </w:pPr>
            <w:r w:rsidRPr="0025654B">
              <w:rPr>
                <w:sz w:val="22"/>
                <w:szCs w:val="22"/>
              </w:rPr>
              <w:t>Plaque Psoriasis</w:t>
            </w:r>
          </w:p>
          <w:p w14:paraId="66C2B7A0" w14:textId="77777777" w:rsidR="00DB64EC" w:rsidRPr="0025654B" w:rsidRDefault="00DB64EC" w:rsidP="0025654B">
            <w:pPr>
              <w:pStyle w:val="Default"/>
              <w:ind w:left="432"/>
              <w:rPr>
                <w:sz w:val="22"/>
                <w:szCs w:val="22"/>
              </w:rPr>
            </w:pPr>
            <w:r w:rsidRPr="0025654B">
              <w:rPr>
                <w:i/>
                <w:iCs/>
                <w:sz w:val="22"/>
                <w:szCs w:val="22"/>
              </w:rPr>
              <w:t xml:space="preserve">Adults </w:t>
            </w:r>
          </w:p>
          <w:p w14:paraId="570B71CE" w14:textId="58F04E4C" w:rsidR="00DB64EC" w:rsidRPr="0025654B" w:rsidRDefault="00E4609C" w:rsidP="0025654B">
            <w:pPr>
              <w:pStyle w:val="Default"/>
              <w:ind w:left="432"/>
              <w:rPr>
                <w:sz w:val="22"/>
                <w:szCs w:val="22"/>
              </w:rPr>
            </w:pPr>
            <w:r w:rsidRPr="0025654B">
              <w:rPr>
                <w:sz w:val="22"/>
                <w:szCs w:val="22"/>
              </w:rPr>
              <w:t>WEZLANA</w:t>
            </w:r>
            <w:r w:rsidR="00DB64EC" w:rsidRPr="0025654B">
              <w:rPr>
                <w:sz w:val="22"/>
                <w:szCs w:val="22"/>
              </w:rPr>
              <w:t xml:space="preserve"> is indicated for the treatment of adult patients (18 years or older) with moderate to severe plaque psoriasis who are candidates for phototherapy or systemic therapy. </w:t>
            </w:r>
          </w:p>
          <w:p w14:paraId="6D19CF43" w14:textId="77777777" w:rsidR="00DB64EC" w:rsidRPr="0025654B" w:rsidRDefault="00DB64EC" w:rsidP="0025654B">
            <w:pPr>
              <w:pStyle w:val="Default"/>
              <w:pageBreakBefore/>
              <w:ind w:left="432"/>
              <w:rPr>
                <w:sz w:val="22"/>
                <w:szCs w:val="22"/>
              </w:rPr>
            </w:pPr>
            <w:r w:rsidRPr="0025654B">
              <w:rPr>
                <w:i/>
                <w:iCs/>
                <w:sz w:val="22"/>
                <w:szCs w:val="22"/>
              </w:rPr>
              <w:t xml:space="preserve">Paediatric population, 6 years and older </w:t>
            </w:r>
          </w:p>
          <w:p w14:paraId="12313EF8" w14:textId="7E627BBF" w:rsidR="00DB64EC" w:rsidRPr="0025654B" w:rsidRDefault="00E4609C" w:rsidP="0025654B">
            <w:pPr>
              <w:pStyle w:val="Default"/>
              <w:ind w:left="432"/>
              <w:rPr>
                <w:sz w:val="22"/>
                <w:szCs w:val="22"/>
              </w:rPr>
            </w:pPr>
            <w:r w:rsidRPr="0025654B">
              <w:rPr>
                <w:sz w:val="22"/>
                <w:szCs w:val="22"/>
              </w:rPr>
              <w:t>WEZLANA</w:t>
            </w:r>
            <w:r w:rsidR="00DB64EC" w:rsidRPr="0025654B">
              <w:rPr>
                <w:sz w:val="22"/>
                <w:szCs w:val="22"/>
              </w:rPr>
              <w:t xml:space="preserve"> is indicated for the treatment of moderate to severe plaque psoriasis in children and adolescent patients from 6 years of age who are inadequately controlled by, or are intolerant to, other systemic therapies or phototherapies. </w:t>
            </w:r>
          </w:p>
          <w:p w14:paraId="06496CDD" w14:textId="77777777" w:rsidR="00DB64EC" w:rsidRDefault="00DB64EC" w:rsidP="00DB64EC">
            <w:pPr>
              <w:pStyle w:val="Default"/>
              <w:rPr>
                <w:sz w:val="22"/>
                <w:szCs w:val="22"/>
              </w:rPr>
            </w:pPr>
            <w:bookmarkStart w:id="11" w:name="_Hlk168119259"/>
            <w:r w:rsidRPr="0025654B">
              <w:rPr>
                <w:sz w:val="22"/>
                <w:szCs w:val="22"/>
              </w:rPr>
              <w:t xml:space="preserve">Psoriatic Arthritis (PsA) </w:t>
            </w:r>
            <w:bookmarkEnd w:id="11"/>
          </w:p>
          <w:p w14:paraId="49E219AD" w14:textId="27AC6F17" w:rsidR="00DB64EC" w:rsidRPr="0025654B" w:rsidRDefault="00E4609C" w:rsidP="0025654B">
            <w:pPr>
              <w:pStyle w:val="Default"/>
              <w:ind w:left="432"/>
              <w:rPr>
                <w:sz w:val="22"/>
                <w:szCs w:val="22"/>
              </w:rPr>
            </w:pPr>
            <w:r w:rsidRPr="0025654B">
              <w:rPr>
                <w:sz w:val="22"/>
                <w:szCs w:val="22"/>
              </w:rPr>
              <w:t>WEZLANA</w:t>
            </w:r>
            <w:r w:rsidR="00DB64EC" w:rsidRPr="0025654B">
              <w:rPr>
                <w:sz w:val="22"/>
                <w:szCs w:val="22"/>
              </w:rPr>
              <w:t xml:space="preserve">, alone or in combination with methotrexate, is indicated for the treatment of signs and symptoms of active psoriatic arthritis in adult patients (18 years and older) where response to previous non-biological </w:t>
            </w:r>
            <w:bookmarkStart w:id="12" w:name="_Hlk168119250"/>
            <w:r w:rsidR="00993458" w:rsidRPr="0025654B">
              <w:rPr>
                <w:sz w:val="22"/>
                <w:szCs w:val="22"/>
              </w:rPr>
              <w:t>Disease-Modifying Antirheumatic Drug (</w:t>
            </w:r>
            <w:r w:rsidR="00DB64EC" w:rsidRPr="0025654B">
              <w:rPr>
                <w:sz w:val="22"/>
                <w:szCs w:val="22"/>
              </w:rPr>
              <w:t>DMARD</w:t>
            </w:r>
            <w:r w:rsidR="00993458" w:rsidRPr="0025654B">
              <w:rPr>
                <w:sz w:val="22"/>
                <w:szCs w:val="22"/>
              </w:rPr>
              <w:t>)</w:t>
            </w:r>
            <w:r w:rsidR="00DB64EC" w:rsidRPr="0025654B">
              <w:rPr>
                <w:sz w:val="22"/>
                <w:szCs w:val="22"/>
              </w:rPr>
              <w:t xml:space="preserve"> </w:t>
            </w:r>
            <w:bookmarkEnd w:id="12"/>
            <w:r w:rsidR="00DB64EC" w:rsidRPr="0025654B">
              <w:rPr>
                <w:sz w:val="22"/>
                <w:szCs w:val="22"/>
              </w:rPr>
              <w:t xml:space="preserve">therapy has been inadequate. </w:t>
            </w:r>
          </w:p>
          <w:p w14:paraId="01FFCEF4" w14:textId="77777777" w:rsidR="00DB64EC" w:rsidRDefault="00DB64EC" w:rsidP="00DB64EC">
            <w:pPr>
              <w:pStyle w:val="Default"/>
              <w:rPr>
                <w:sz w:val="22"/>
                <w:szCs w:val="22"/>
              </w:rPr>
            </w:pPr>
            <w:r w:rsidRPr="0025654B">
              <w:rPr>
                <w:sz w:val="22"/>
                <w:szCs w:val="22"/>
              </w:rPr>
              <w:t xml:space="preserve">Crohn’s Disease </w:t>
            </w:r>
          </w:p>
          <w:p w14:paraId="4DB31698" w14:textId="303AD59A" w:rsidR="00DB64EC" w:rsidRPr="0025654B" w:rsidRDefault="00E4609C" w:rsidP="0025654B">
            <w:pPr>
              <w:pStyle w:val="Default"/>
              <w:ind w:left="432"/>
              <w:rPr>
                <w:sz w:val="22"/>
                <w:szCs w:val="22"/>
              </w:rPr>
            </w:pPr>
            <w:r w:rsidRPr="0025654B">
              <w:rPr>
                <w:sz w:val="22"/>
                <w:szCs w:val="22"/>
              </w:rPr>
              <w:t>WEZLANA</w:t>
            </w:r>
            <w:r w:rsidR="00DB64EC" w:rsidRPr="0025654B">
              <w:rPr>
                <w:sz w:val="22"/>
                <w:szCs w:val="22"/>
              </w:rPr>
              <w:t xml:space="preserve"> is indicated for the treatment of adult patients with moderately to severely active Crohn’s disease who have had an inadequate response, lost response, or were intolerant to either conventional therapy or a TNFα antagonist or have medical contraindications to such therapies. </w:t>
            </w:r>
          </w:p>
          <w:p w14:paraId="25159289" w14:textId="77777777" w:rsidR="00D2623C" w:rsidRDefault="00D2623C" w:rsidP="00DB64EC">
            <w:pPr>
              <w:pStyle w:val="Default"/>
              <w:rPr>
                <w:sz w:val="22"/>
                <w:szCs w:val="22"/>
              </w:rPr>
            </w:pPr>
          </w:p>
          <w:p w14:paraId="62899B2C" w14:textId="77777777" w:rsidR="00D2623C" w:rsidRDefault="00D2623C" w:rsidP="00DB64EC">
            <w:pPr>
              <w:pStyle w:val="Default"/>
              <w:rPr>
                <w:sz w:val="22"/>
                <w:szCs w:val="22"/>
              </w:rPr>
            </w:pPr>
          </w:p>
          <w:p w14:paraId="6A76A8A6" w14:textId="47A365EA" w:rsidR="00DB64EC" w:rsidRDefault="00DB64EC" w:rsidP="00DB64EC">
            <w:pPr>
              <w:pStyle w:val="Default"/>
              <w:rPr>
                <w:sz w:val="22"/>
                <w:szCs w:val="22"/>
              </w:rPr>
            </w:pPr>
            <w:r w:rsidRPr="0025654B">
              <w:rPr>
                <w:sz w:val="22"/>
                <w:szCs w:val="22"/>
              </w:rPr>
              <w:lastRenderedPageBreak/>
              <w:t xml:space="preserve">Ulcerative Colitis </w:t>
            </w:r>
          </w:p>
          <w:p w14:paraId="768B254C" w14:textId="0209A707" w:rsidR="00896E59" w:rsidRPr="0025654B" w:rsidRDefault="00E4609C" w:rsidP="003A4828">
            <w:pPr>
              <w:ind w:left="432"/>
              <w:rPr>
                <w:szCs w:val="22"/>
              </w:rPr>
            </w:pPr>
            <w:r w:rsidRPr="0025654B">
              <w:rPr>
                <w:szCs w:val="22"/>
              </w:rPr>
              <w:t>WEZLANA</w:t>
            </w:r>
            <w:r w:rsidR="00DB64EC" w:rsidRPr="0025654B">
              <w:rPr>
                <w:szCs w:val="22"/>
              </w:rPr>
              <w:t xml:space="preserve"> is indicated for the treatment of adult patients with moderately to severely active ulcerative colitis.</w:t>
            </w:r>
          </w:p>
        </w:tc>
      </w:tr>
      <w:tr w:rsidR="00896E59" w:rsidRPr="00BD5DBD" w14:paraId="115243E6" w14:textId="77777777" w:rsidTr="00896E59">
        <w:tc>
          <w:tcPr>
            <w:tcW w:w="1577" w:type="pct"/>
          </w:tcPr>
          <w:p w14:paraId="7634B062" w14:textId="0CC10A31" w:rsidR="00896E59" w:rsidRPr="00BD5DBD" w:rsidRDefault="00896E59" w:rsidP="007452E8">
            <w:pPr>
              <w:rPr>
                <w:i/>
                <w:szCs w:val="22"/>
              </w:rPr>
            </w:pPr>
            <w:r w:rsidRPr="00BD5DBD">
              <w:rPr>
                <w:i/>
                <w:szCs w:val="22"/>
              </w:rPr>
              <w:lastRenderedPageBreak/>
              <w:t>Routes of administration:</w:t>
            </w:r>
          </w:p>
        </w:tc>
        <w:tc>
          <w:tcPr>
            <w:tcW w:w="3423" w:type="pct"/>
          </w:tcPr>
          <w:p w14:paraId="5E5F83DB" w14:textId="2F0DE3F8" w:rsidR="00B46E31" w:rsidRPr="00BD5DBD" w:rsidRDefault="00B46E31" w:rsidP="00993458">
            <w:pPr>
              <w:rPr>
                <w:szCs w:val="22"/>
              </w:rPr>
            </w:pPr>
            <w:r>
              <w:rPr>
                <w:szCs w:val="22"/>
              </w:rPr>
              <w:t>Subcutaneous administration and</w:t>
            </w:r>
            <w:r w:rsidR="00993458">
              <w:rPr>
                <w:szCs w:val="22"/>
              </w:rPr>
              <w:t xml:space="preserve"> </w:t>
            </w:r>
            <w:r w:rsidR="00E146C3">
              <w:rPr>
                <w:szCs w:val="22"/>
              </w:rPr>
              <w:t>i</w:t>
            </w:r>
            <w:r>
              <w:rPr>
                <w:szCs w:val="22"/>
              </w:rPr>
              <w:t xml:space="preserve">ntravenous infusion </w:t>
            </w:r>
          </w:p>
        </w:tc>
      </w:tr>
      <w:tr w:rsidR="00896E59" w:rsidRPr="00BD5DBD" w14:paraId="34B07BA6" w14:textId="77777777" w:rsidTr="00896E59">
        <w:tc>
          <w:tcPr>
            <w:tcW w:w="1577" w:type="pct"/>
          </w:tcPr>
          <w:p w14:paraId="1C039224" w14:textId="30CF6FDB" w:rsidR="00896E59" w:rsidRPr="00BD5DBD" w:rsidRDefault="00896E59" w:rsidP="007452E8">
            <w:pPr>
              <w:rPr>
                <w:i/>
                <w:szCs w:val="22"/>
              </w:rPr>
            </w:pPr>
            <w:r w:rsidRPr="00BD5DBD">
              <w:rPr>
                <w:i/>
                <w:szCs w:val="22"/>
              </w:rPr>
              <w:t>Dosage:</w:t>
            </w:r>
          </w:p>
        </w:tc>
        <w:tc>
          <w:tcPr>
            <w:tcW w:w="3423" w:type="pct"/>
          </w:tcPr>
          <w:p w14:paraId="03F72C59" w14:textId="77777777" w:rsidR="00217A04" w:rsidRPr="000563F0" w:rsidRDefault="00217A04" w:rsidP="00217A04">
            <w:pPr>
              <w:rPr>
                <w:i/>
                <w:iCs/>
                <w:szCs w:val="22"/>
              </w:rPr>
            </w:pPr>
            <w:r w:rsidRPr="000563F0">
              <w:rPr>
                <w:i/>
                <w:iCs/>
                <w:szCs w:val="22"/>
              </w:rPr>
              <w:t>Plaque Psoriasis</w:t>
            </w:r>
          </w:p>
          <w:p w14:paraId="3C6D04D6" w14:textId="77777777" w:rsidR="00217A04" w:rsidRPr="000563F0" w:rsidRDefault="00217A04" w:rsidP="000563F0">
            <w:pPr>
              <w:ind w:left="432"/>
              <w:rPr>
                <w:szCs w:val="22"/>
              </w:rPr>
            </w:pPr>
            <w:r w:rsidRPr="000563F0">
              <w:rPr>
                <w:szCs w:val="22"/>
              </w:rPr>
              <w:t>Adults</w:t>
            </w:r>
          </w:p>
          <w:p w14:paraId="14E9A241" w14:textId="0340A2C7" w:rsidR="00217A04" w:rsidRPr="000563F0" w:rsidRDefault="00217A04" w:rsidP="000563F0">
            <w:pPr>
              <w:ind w:left="432"/>
              <w:rPr>
                <w:szCs w:val="22"/>
              </w:rPr>
            </w:pPr>
            <w:r w:rsidRPr="000563F0">
              <w:rPr>
                <w:szCs w:val="22"/>
              </w:rPr>
              <w:t xml:space="preserve">For the treatment of plaque psoriasis, </w:t>
            </w:r>
            <w:r w:rsidR="00E4609C" w:rsidRPr="000563F0">
              <w:rPr>
                <w:szCs w:val="22"/>
              </w:rPr>
              <w:t>WEZLANA</w:t>
            </w:r>
            <w:r w:rsidRPr="000563F0">
              <w:rPr>
                <w:szCs w:val="22"/>
              </w:rPr>
              <w:t xml:space="preserve"> is administered by subcutaneous injection. The recommended dose of </w:t>
            </w:r>
            <w:r w:rsidR="00E4609C" w:rsidRPr="000563F0">
              <w:rPr>
                <w:szCs w:val="22"/>
              </w:rPr>
              <w:t>WEZLANA</w:t>
            </w:r>
            <w:r w:rsidRPr="000563F0">
              <w:rPr>
                <w:szCs w:val="22"/>
              </w:rPr>
              <w:t xml:space="preserve"> is 45 mg administered at Weeks 0 and 4, then every 12 weeks thereafter. Alternatively, 90 mg administered over Weeks 0 and 4, then every 12 weeks thereafter may be used in patients with a body weight greater than 100 kg.</w:t>
            </w:r>
          </w:p>
          <w:p w14:paraId="02442944" w14:textId="77777777" w:rsidR="009B3AE5" w:rsidRPr="000563F0" w:rsidRDefault="009B3AE5" w:rsidP="000563F0">
            <w:pPr>
              <w:pStyle w:val="Default"/>
              <w:ind w:left="432"/>
              <w:rPr>
                <w:sz w:val="22"/>
                <w:szCs w:val="22"/>
              </w:rPr>
            </w:pPr>
            <w:r w:rsidRPr="000563F0">
              <w:rPr>
                <w:sz w:val="22"/>
                <w:szCs w:val="22"/>
              </w:rPr>
              <w:t xml:space="preserve">Paediatric population, 6 years and older </w:t>
            </w:r>
          </w:p>
          <w:p w14:paraId="0BEFD9BE" w14:textId="48309FC4" w:rsidR="009B3AE5" w:rsidRDefault="009B3AE5" w:rsidP="000563F0">
            <w:pPr>
              <w:pStyle w:val="Default"/>
              <w:ind w:left="432"/>
              <w:rPr>
                <w:sz w:val="22"/>
                <w:szCs w:val="22"/>
              </w:rPr>
            </w:pPr>
            <w:r w:rsidRPr="000563F0">
              <w:rPr>
                <w:sz w:val="22"/>
                <w:szCs w:val="22"/>
              </w:rPr>
              <w:t xml:space="preserve">For the treatment of plaque psoriasis, </w:t>
            </w:r>
            <w:r w:rsidR="00E4609C" w:rsidRPr="000563F0">
              <w:rPr>
                <w:sz w:val="22"/>
                <w:szCs w:val="22"/>
              </w:rPr>
              <w:t>WEZLANA</w:t>
            </w:r>
            <w:r w:rsidRPr="000563F0">
              <w:rPr>
                <w:sz w:val="22"/>
                <w:szCs w:val="22"/>
              </w:rPr>
              <w:t xml:space="preserve"> should be administered by subcutaneous injection. The recommended dose of </w:t>
            </w:r>
            <w:r w:rsidR="00E4609C" w:rsidRPr="000563F0">
              <w:rPr>
                <w:sz w:val="22"/>
                <w:szCs w:val="22"/>
              </w:rPr>
              <w:t>WEZLANA</w:t>
            </w:r>
            <w:r w:rsidRPr="000563F0">
              <w:rPr>
                <w:sz w:val="22"/>
                <w:szCs w:val="22"/>
              </w:rPr>
              <w:t xml:space="preserve"> based on body weight is shown below (Table 1). </w:t>
            </w:r>
            <w:r w:rsidR="00E4609C" w:rsidRPr="000563F0">
              <w:rPr>
                <w:sz w:val="22"/>
                <w:szCs w:val="22"/>
              </w:rPr>
              <w:t>WEZLANA</w:t>
            </w:r>
            <w:r w:rsidRPr="000563F0">
              <w:rPr>
                <w:sz w:val="22"/>
                <w:szCs w:val="22"/>
              </w:rPr>
              <w:t xml:space="preserve"> should be administered at Weeks 0 and 4, then every 12 weeks thereafter</w:t>
            </w:r>
            <w:r w:rsidRPr="009B3AE5">
              <w:rPr>
                <w:sz w:val="22"/>
                <w:szCs w:val="22"/>
              </w:rPr>
              <w:t xml:space="preserve">. </w:t>
            </w:r>
          </w:p>
          <w:p w14:paraId="280F85E4" w14:textId="744B0E11" w:rsidR="00E4609C" w:rsidRDefault="00E4609C" w:rsidP="00E4609C">
            <w:pPr>
              <w:pStyle w:val="TableTitle"/>
            </w:pPr>
            <w:r w:rsidRPr="00E4609C">
              <w:t xml:space="preserve">Table 1. Recommended dose of </w:t>
            </w:r>
            <w:r>
              <w:t>WEZLANA</w:t>
            </w:r>
            <w:r w:rsidRPr="00E4609C">
              <w:t xml:space="preserve"> for paediatric psoriasis</w:t>
            </w:r>
          </w:p>
          <w:tbl>
            <w:tblPr>
              <w:tblW w:w="0" w:type="auto"/>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1995"/>
              <w:gridCol w:w="2415"/>
              <w:gridCol w:w="1573"/>
            </w:tblGrid>
            <w:tr w:rsidR="009B3AE5" w:rsidRPr="000563F0" w14:paraId="4F4B2B15" w14:textId="77777777" w:rsidTr="00D2623C">
              <w:trPr>
                <w:trHeight w:val="305"/>
              </w:trPr>
              <w:tc>
                <w:tcPr>
                  <w:tcW w:w="2372" w:type="dxa"/>
                  <w:tcBorders>
                    <w:top w:val="single" w:sz="4" w:space="0" w:color="auto"/>
                    <w:left w:val="single" w:sz="4" w:space="0" w:color="auto"/>
                    <w:bottom w:val="single" w:sz="4" w:space="0" w:color="auto"/>
                    <w:right w:val="single" w:sz="4" w:space="0" w:color="auto"/>
                  </w:tcBorders>
                </w:tcPr>
                <w:p w14:paraId="0B80FECF" w14:textId="00F27DCF" w:rsidR="009B3AE5" w:rsidRPr="000563F0" w:rsidRDefault="009B3AE5" w:rsidP="00E4609C">
                  <w:pPr>
                    <w:rPr>
                      <w:b/>
                      <w:bCs/>
                      <w:sz w:val="18"/>
                      <w:szCs w:val="16"/>
                    </w:rPr>
                  </w:pPr>
                  <w:r w:rsidRPr="000563F0">
                    <w:rPr>
                      <w:b/>
                      <w:bCs/>
                      <w:sz w:val="18"/>
                      <w:szCs w:val="16"/>
                    </w:rPr>
                    <w:t xml:space="preserve">Body weight at the time of dosing </w:t>
                  </w:r>
                </w:p>
              </w:tc>
              <w:tc>
                <w:tcPr>
                  <w:tcW w:w="2069" w:type="dxa"/>
                  <w:tcBorders>
                    <w:top w:val="single" w:sz="4" w:space="0" w:color="auto"/>
                    <w:left w:val="single" w:sz="4" w:space="0" w:color="auto"/>
                    <w:bottom w:val="single" w:sz="4" w:space="0" w:color="auto"/>
                    <w:right w:val="single" w:sz="4" w:space="0" w:color="auto"/>
                  </w:tcBorders>
                </w:tcPr>
                <w:p w14:paraId="6EBBF8D2" w14:textId="77777777" w:rsidR="009B3AE5" w:rsidRPr="000563F0" w:rsidRDefault="009B3AE5" w:rsidP="00E4609C">
                  <w:pPr>
                    <w:rPr>
                      <w:b/>
                      <w:bCs/>
                      <w:sz w:val="18"/>
                      <w:szCs w:val="16"/>
                    </w:rPr>
                  </w:pPr>
                  <w:r w:rsidRPr="000563F0">
                    <w:rPr>
                      <w:b/>
                      <w:bCs/>
                      <w:sz w:val="18"/>
                      <w:szCs w:val="16"/>
                    </w:rPr>
                    <w:t xml:space="preserve">Recommended Dose </w:t>
                  </w:r>
                </w:p>
              </w:tc>
              <w:tc>
                <w:tcPr>
                  <w:tcW w:w="1542" w:type="dxa"/>
                  <w:tcBorders>
                    <w:top w:val="single" w:sz="4" w:space="0" w:color="auto"/>
                    <w:left w:val="single" w:sz="4" w:space="0" w:color="auto"/>
                    <w:bottom w:val="single" w:sz="4" w:space="0" w:color="auto"/>
                    <w:right w:val="single" w:sz="4" w:space="0" w:color="auto"/>
                  </w:tcBorders>
                </w:tcPr>
                <w:p w14:paraId="3C4572A0" w14:textId="77777777" w:rsidR="009B3AE5" w:rsidRPr="000563F0" w:rsidRDefault="009B3AE5" w:rsidP="00E4609C">
                  <w:pPr>
                    <w:rPr>
                      <w:b/>
                      <w:bCs/>
                      <w:sz w:val="18"/>
                      <w:szCs w:val="16"/>
                    </w:rPr>
                  </w:pPr>
                  <w:r w:rsidRPr="000563F0">
                    <w:rPr>
                      <w:b/>
                      <w:bCs/>
                      <w:sz w:val="18"/>
                      <w:szCs w:val="16"/>
                    </w:rPr>
                    <w:t xml:space="preserve">Dosage Form </w:t>
                  </w:r>
                </w:p>
              </w:tc>
            </w:tr>
            <w:tr w:rsidR="009B3AE5" w:rsidRPr="000563F0" w14:paraId="7EBC455C" w14:textId="77777777" w:rsidTr="00D2623C">
              <w:trPr>
                <w:trHeight w:val="135"/>
              </w:trPr>
              <w:tc>
                <w:tcPr>
                  <w:tcW w:w="2372" w:type="dxa"/>
                  <w:tcBorders>
                    <w:top w:val="single" w:sz="4" w:space="0" w:color="auto"/>
                    <w:left w:val="single" w:sz="4" w:space="0" w:color="auto"/>
                    <w:bottom w:val="single" w:sz="4" w:space="0" w:color="auto"/>
                    <w:right w:val="single" w:sz="4" w:space="0" w:color="auto"/>
                  </w:tcBorders>
                </w:tcPr>
                <w:p w14:paraId="11C09EFF" w14:textId="77777777" w:rsidR="009B3AE5" w:rsidRPr="000563F0" w:rsidRDefault="009B3AE5" w:rsidP="00E4609C">
                  <w:pPr>
                    <w:rPr>
                      <w:sz w:val="18"/>
                      <w:szCs w:val="16"/>
                    </w:rPr>
                  </w:pPr>
                  <w:r w:rsidRPr="000563F0">
                    <w:rPr>
                      <w:sz w:val="18"/>
                      <w:szCs w:val="16"/>
                    </w:rPr>
                    <w:t xml:space="preserve">&lt; 60 kg </w:t>
                  </w:r>
                </w:p>
              </w:tc>
              <w:tc>
                <w:tcPr>
                  <w:tcW w:w="2069" w:type="dxa"/>
                  <w:tcBorders>
                    <w:top w:val="single" w:sz="4" w:space="0" w:color="auto"/>
                    <w:left w:val="single" w:sz="4" w:space="0" w:color="auto"/>
                    <w:bottom w:val="single" w:sz="4" w:space="0" w:color="auto"/>
                    <w:right w:val="single" w:sz="4" w:space="0" w:color="auto"/>
                  </w:tcBorders>
                </w:tcPr>
                <w:p w14:paraId="25A0525D" w14:textId="77777777" w:rsidR="009B3AE5" w:rsidRPr="000563F0" w:rsidRDefault="009B3AE5" w:rsidP="00E4609C">
                  <w:pPr>
                    <w:rPr>
                      <w:sz w:val="18"/>
                      <w:szCs w:val="16"/>
                    </w:rPr>
                  </w:pPr>
                  <w:r w:rsidRPr="000563F0">
                    <w:rPr>
                      <w:sz w:val="18"/>
                      <w:szCs w:val="16"/>
                    </w:rPr>
                    <w:t xml:space="preserve">0.75 mg/kg* </w:t>
                  </w:r>
                </w:p>
              </w:tc>
              <w:tc>
                <w:tcPr>
                  <w:tcW w:w="1542" w:type="dxa"/>
                  <w:tcBorders>
                    <w:top w:val="single" w:sz="4" w:space="0" w:color="auto"/>
                    <w:left w:val="single" w:sz="4" w:space="0" w:color="auto"/>
                    <w:bottom w:val="single" w:sz="4" w:space="0" w:color="auto"/>
                    <w:right w:val="single" w:sz="4" w:space="0" w:color="auto"/>
                  </w:tcBorders>
                </w:tcPr>
                <w:p w14:paraId="12847655" w14:textId="77777777" w:rsidR="009B3AE5" w:rsidRPr="000563F0" w:rsidRDefault="009B3AE5" w:rsidP="00E4609C">
                  <w:pPr>
                    <w:rPr>
                      <w:sz w:val="18"/>
                      <w:szCs w:val="16"/>
                    </w:rPr>
                  </w:pPr>
                  <w:r w:rsidRPr="000563F0">
                    <w:rPr>
                      <w:sz w:val="18"/>
                      <w:szCs w:val="16"/>
                    </w:rPr>
                    <w:t xml:space="preserve">vial </w:t>
                  </w:r>
                </w:p>
              </w:tc>
            </w:tr>
            <w:tr w:rsidR="009B3AE5" w:rsidRPr="000563F0" w14:paraId="1D9EC37F" w14:textId="77777777" w:rsidTr="00D2623C">
              <w:trPr>
                <w:trHeight w:val="135"/>
              </w:trPr>
              <w:tc>
                <w:tcPr>
                  <w:tcW w:w="2372" w:type="dxa"/>
                  <w:tcBorders>
                    <w:top w:val="single" w:sz="4" w:space="0" w:color="auto"/>
                    <w:left w:val="single" w:sz="4" w:space="0" w:color="auto"/>
                    <w:bottom w:val="single" w:sz="4" w:space="0" w:color="auto"/>
                    <w:right w:val="single" w:sz="4" w:space="0" w:color="auto"/>
                  </w:tcBorders>
                </w:tcPr>
                <w:p w14:paraId="17BDDA41" w14:textId="77777777" w:rsidR="009B3AE5" w:rsidRPr="000563F0" w:rsidRDefault="009B3AE5" w:rsidP="00E4609C">
                  <w:pPr>
                    <w:rPr>
                      <w:sz w:val="18"/>
                      <w:szCs w:val="16"/>
                    </w:rPr>
                  </w:pPr>
                  <w:r w:rsidRPr="000563F0">
                    <w:rPr>
                      <w:sz w:val="18"/>
                      <w:szCs w:val="16"/>
                    </w:rPr>
                    <w:t xml:space="preserve">≥ 60 to ≤100 kg </w:t>
                  </w:r>
                </w:p>
              </w:tc>
              <w:tc>
                <w:tcPr>
                  <w:tcW w:w="2069" w:type="dxa"/>
                  <w:tcBorders>
                    <w:top w:val="single" w:sz="4" w:space="0" w:color="auto"/>
                    <w:left w:val="single" w:sz="4" w:space="0" w:color="auto"/>
                    <w:bottom w:val="single" w:sz="4" w:space="0" w:color="auto"/>
                    <w:right w:val="single" w:sz="4" w:space="0" w:color="auto"/>
                  </w:tcBorders>
                </w:tcPr>
                <w:p w14:paraId="696A9E97" w14:textId="77777777" w:rsidR="009B3AE5" w:rsidRPr="000563F0" w:rsidRDefault="009B3AE5" w:rsidP="00E4609C">
                  <w:pPr>
                    <w:rPr>
                      <w:sz w:val="18"/>
                      <w:szCs w:val="16"/>
                    </w:rPr>
                  </w:pPr>
                  <w:r w:rsidRPr="000563F0">
                    <w:rPr>
                      <w:sz w:val="18"/>
                      <w:szCs w:val="16"/>
                    </w:rPr>
                    <w:t xml:space="preserve">45 mg </w:t>
                  </w:r>
                </w:p>
              </w:tc>
              <w:tc>
                <w:tcPr>
                  <w:tcW w:w="1542" w:type="dxa"/>
                  <w:tcBorders>
                    <w:top w:val="single" w:sz="4" w:space="0" w:color="auto"/>
                    <w:left w:val="single" w:sz="4" w:space="0" w:color="auto"/>
                    <w:bottom w:val="single" w:sz="4" w:space="0" w:color="auto"/>
                    <w:right w:val="single" w:sz="4" w:space="0" w:color="auto"/>
                  </w:tcBorders>
                </w:tcPr>
                <w:p w14:paraId="3A5302CA" w14:textId="77777777" w:rsidR="009B3AE5" w:rsidRPr="000563F0" w:rsidRDefault="009B3AE5" w:rsidP="00E4609C">
                  <w:pPr>
                    <w:rPr>
                      <w:sz w:val="18"/>
                      <w:szCs w:val="16"/>
                    </w:rPr>
                  </w:pPr>
                  <w:r w:rsidRPr="000563F0">
                    <w:rPr>
                      <w:sz w:val="18"/>
                      <w:szCs w:val="16"/>
                    </w:rPr>
                    <w:t xml:space="preserve">Pre-filled syringe, vial </w:t>
                  </w:r>
                </w:p>
              </w:tc>
            </w:tr>
            <w:tr w:rsidR="009B3AE5" w:rsidRPr="000563F0" w14:paraId="51D87C18" w14:textId="77777777" w:rsidTr="00D2623C">
              <w:trPr>
                <w:trHeight w:val="135"/>
              </w:trPr>
              <w:tc>
                <w:tcPr>
                  <w:tcW w:w="2372" w:type="dxa"/>
                  <w:tcBorders>
                    <w:top w:val="single" w:sz="4" w:space="0" w:color="auto"/>
                    <w:left w:val="single" w:sz="4" w:space="0" w:color="auto"/>
                    <w:bottom w:val="single" w:sz="4" w:space="0" w:color="auto"/>
                    <w:right w:val="single" w:sz="4" w:space="0" w:color="auto"/>
                  </w:tcBorders>
                </w:tcPr>
                <w:p w14:paraId="6EBE96E1" w14:textId="77777777" w:rsidR="009B3AE5" w:rsidRPr="000563F0" w:rsidRDefault="009B3AE5" w:rsidP="00E4609C">
                  <w:pPr>
                    <w:rPr>
                      <w:sz w:val="18"/>
                      <w:szCs w:val="16"/>
                    </w:rPr>
                  </w:pPr>
                  <w:r w:rsidRPr="000563F0">
                    <w:rPr>
                      <w:sz w:val="18"/>
                      <w:szCs w:val="16"/>
                    </w:rPr>
                    <w:t xml:space="preserve">&gt; 100 kg </w:t>
                  </w:r>
                </w:p>
              </w:tc>
              <w:tc>
                <w:tcPr>
                  <w:tcW w:w="2069" w:type="dxa"/>
                  <w:tcBorders>
                    <w:top w:val="single" w:sz="4" w:space="0" w:color="auto"/>
                    <w:left w:val="single" w:sz="4" w:space="0" w:color="auto"/>
                    <w:bottom w:val="single" w:sz="4" w:space="0" w:color="auto"/>
                    <w:right w:val="single" w:sz="4" w:space="0" w:color="auto"/>
                  </w:tcBorders>
                </w:tcPr>
                <w:p w14:paraId="20AF3B56" w14:textId="77777777" w:rsidR="009B3AE5" w:rsidRPr="000563F0" w:rsidRDefault="009B3AE5" w:rsidP="00E4609C">
                  <w:pPr>
                    <w:rPr>
                      <w:sz w:val="18"/>
                      <w:szCs w:val="16"/>
                    </w:rPr>
                  </w:pPr>
                  <w:r w:rsidRPr="000563F0">
                    <w:rPr>
                      <w:sz w:val="18"/>
                      <w:szCs w:val="16"/>
                    </w:rPr>
                    <w:t xml:space="preserve">90 mg </w:t>
                  </w:r>
                </w:p>
              </w:tc>
              <w:tc>
                <w:tcPr>
                  <w:tcW w:w="1542" w:type="dxa"/>
                  <w:tcBorders>
                    <w:top w:val="single" w:sz="4" w:space="0" w:color="auto"/>
                    <w:left w:val="single" w:sz="4" w:space="0" w:color="auto"/>
                    <w:bottom w:val="single" w:sz="4" w:space="0" w:color="auto"/>
                    <w:right w:val="single" w:sz="4" w:space="0" w:color="auto"/>
                  </w:tcBorders>
                </w:tcPr>
                <w:p w14:paraId="0BAD9FDC" w14:textId="77777777" w:rsidR="00E4609C" w:rsidRPr="000563F0" w:rsidRDefault="009B3AE5" w:rsidP="00E4609C">
                  <w:pPr>
                    <w:rPr>
                      <w:sz w:val="18"/>
                      <w:szCs w:val="16"/>
                    </w:rPr>
                  </w:pPr>
                  <w:r w:rsidRPr="000563F0">
                    <w:rPr>
                      <w:sz w:val="18"/>
                      <w:szCs w:val="16"/>
                    </w:rPr>
                    <w:t>Pre-filled syringe, vial</w:t>
                  </w:r>
                </w:p>
                <w:p w14:paraId="7D8426FC" w14:textId="538AB77A" w:rsidR="009B3AE5" w:rsidRPr="000563F0" w:rsidRDefault="009B3AE5" w:rsidP="00E4609C">
                  <w:pPr>
                    <w:rPr>
                      <w:sz w:val="18"/>
                      <w:szCs w:val="16"/>
                    </w:rPr>
                  </w:pPr>
                  <w:r w:rsidRPr="000563F0">
                    <w:rPr>
                      <w:sz w:val="18"/>
                      <w:szCs w:val="16"/>
                    </w:rPr>
                    <w:t xml:space="preserve"> </w:t>
                  </w:r>
                </w:p>
              </w:tc>
            </w:tr>
            <w:tr w:rsidR="009B3AE5" w:rsidRPr="000563F0" w14:paraId="7D41F1F6" w14:textId="77777777" w:rsidTr="00E4609C">
              <w:trPr>
                <w:trHeight w:val="654"/>
              </w:trPr>
              <w:tc>
                <w:tcPr>
                  <w:tcW w:w="0" w:type="auto"/>
                  <w:gridSpan w:val="3"/>
                  <w:tcBorders>
                    <w:top w:val="single" w:sz="4" w:space="0" w:color="auto"/>
                    <w:left w:val="single" w:sz="4" w:space="0" w:color="auto"/>
                    <w:bottom w:val="single" w:sz="4" w:space="0" w:color="auto"/>
                    <w:right w:val="single" w:sz="4" w:space="0" w:color="auto"/>
                  </w:tcBorders>
                </w:tcPr>
                <w:p w14:paraId="791D89F2" w14:textId="67DD8CC5" w:rsidR="009B3AE5" w:rsidRPr="000563F0" w:rsidRDefault="009B3AE5" w:rsidP="00E4609C">
                  <w:pPr>
                    <w:rPr>
                      <w:sz w:val="18"/>
                      <w:szCs w:val="16"/>
                    </w:rPr>
                  </w:pPr>
                  <w:r w:rsidRPr="000563F0">
                    <w:rPr>
                      <w:sz w:val="18"/>
                      <w:szCs w:val="16"/>
                    </w:rPr>
                    <w:t xml:space="preserve">* To calculate the volume of injection (mL) for patients &lt; 60 kg, use the following formula: body weight (kg) × 0.0083 (mL/kg). The calculated volume should be rounded to the nearest 0.01 mL and administered using a 1 mL graduated syringe. A 45 mg vial is available for paediatric patients who need to receive less than the full 45 mg dose. </w:t>
                  </w:r>
                </w:p>
              </w:tc>
            </w:tr>
          </w:tbl>
          <w:p w14:paraId="3433D05E" w14:textId="77777777" w:rsidR="00AF6780" w:rsidRPr="00AF6780" w:rsidRDefault="00AF6780" w:rsidP="00AF6780">
            <w:pPr>
              <w:rPr>
                <w:i/>
                <w:iCs/>
                <w:szCs w:val="22"/>
              </w:rPr>
            </w:pPr>
            <w:r w:rsidRPr="00AF6780">
              <w:rPr>
                <w:i/>
                <w:iCs/>
                <w:szCs w:val="22"/>
              </w:rPr>
              <w:t>Psoriatic Arthritis</w:t>
            </w:r>
          </w:p>
          <w:p w14:paraId="21CB3E07" w14:textId="7978E46E" w:rsidR="00AF6780" w:rsidRPr="00AF6780" w:rsidRDefault="00AF6780" w:rsidP="000563F0">
            <w:pPr>
              <w:ind w:left="432"/>
              <w:rPr>
                <w:szCs w:val="22"/>
              </w:rPr>
            </w:pPr>
            <w:r w:rsidRPr="00AF6780">
              <w:rPr>
                <w:szCs w:val="22"/>
              </w:rPr>
              <w:t xml:space="preserve">For the treatment of psoriatic arthritis, </w:t>
            </w:r>
            <w:r w:rsidR="00E4609C">
              <w:rPr>
                <w:szCs w:val="22"/>
              </w:rPr>
              <w:t>WEZLANA</w:t>
            </w:r>
            <w:r w:rsidRPr="00AF6780">
              <w:rPr>
                <w:szCs w:val="22"/>
              </w:rPr>
              <w:t xml:space="preserve"> is administered by subcutaneous</w:t>
            </w:r>
            <w:r>
              <w:rPr>
                <w:szCs w:val="22"/>
              </w:rPr>
              <w:t xml:space="preserve"> </w:t>
            </w:r>
            <w:r w:rsidRPr="00AF6780">
              <w:rPr>
                <w:szCs w:val="22"/>
              </w:rPr>
              <w:t xml:space="preserve">injection. The recommended dose of </w:t>
            </w:r>
            <w:r w:rsidR="00E4609C">
              <w:rPr>
                <w:szCs w:val="22"/>
              </w:rPr>
              <w:t>WEZLANA</w:t>
            </w:r>
            <w:r w:rsidRPr="00AF6780">
              <w:rPr>
                <w:szCs w:val="22"/>
              </w:rPr>
              <w:t xml:space="preserve"> is 45 mg administered at Weeks 0 and</w:t>
            </w:r>
            <w:r>
              <w:rPr>
                <w:szCs w:val="22"/>
              </w:rPr>
              <w:t xml:space="preserve"> </w:t>
            </w:r>
            <w:r w:rsidRPr="00AF6780">
              <w:rPr>
                <w:szCs w:val="22"/>
              </w:rPr>
              <w:t>4, then every 12 weeks thereafter. Some patients with a body weight greater than 100 kg</w:t>
            </w:r>
            <w:r>
              <w:rPr>
                <w:szCs w:val="22"/>
              </w:rPr>
              <w:t xml:space="preserve"> </w:t>
            </w:r>
            <w:r w:rsidRPr="00AF6780">
              <w:rPr>
                <w:szCs w:val="22"/>
              </w:rPr>
              <w:t>received a 90 mg dose in clinical trials and observed a clinical benefit.</w:t>
            </w:r>
          </w:p>
          <w:p w14:paraId="51DBC953" w14:textId="3D1C9C94" w:rsidR="001950CF" w:rsidRPr="0025654B" w:rsidRDefault="001950CF" w:rsidP="001950CF">
            <w:pPr>
              <w:pStyle w:val="Default"/>
              <w:rPr>
                <w:sz w:val="22"/>
                <w:szCs w:val="22"/>
              </w:rPr>
            </w:pPr>
            <w:r w:rsidRPr="0025654B">
              <w:rPr>
                <w:i/>
                <w:iCs/>
                <w:sz w:val="22"/>
                <w:szCs w:val="22"/>
              </w:rPr>
              <w:t xml:space="preserve">Crohn’s Disease and Ulcerative Colitis </w:t>
            </w:r>
          </w:p>
          <w:p w14:paraId="64E4A7B1" w14:textId="28AF714D" w:rsidR="001950CF" w:rsidRDefault="001950CF" w:rsidP="000563F0">
            <w:pPr>
              <w:pStyle w:val="Default"/>
              <w:ind w:left="432"/>
              <w:rPr>
                <w:sz w:val="22"/>
                <w:szCs w:val="22"/>
              </w:rPr>
            </w:pPr>
            <w:r w:rsidRPr="001950CF">
              <w:rPr>
                <w:sz w:val="22"/>
                <w:szCs w:val="22"/>
              </w:rPr>
              <w:t xml:space="preserve">For the treatment of Crohn’s disease and ulcerative colitis, the recommended treatment regimen is to initiate </w:t>
            </w:r>
            <w:r w:rsidR="00E4609C">
              <w:rPr>
                <w:sz w:val="22"/>
                <w:szCs w:val="22"/>
              </w:rPr>
              <w:t>WEZLANA</w:t>
            </w:r>
            <w:r w:rsidRPr="001950CF">
              <w:rPr>
                <w:sz w:val="22"/>
                <w:szCs w:val="22"/>
              </w:rPr>
              <w:t xml:space="preserve"> with a single intravenous (IV) tiered dose based on body weight (Table </w:t>
            </w:r>
            <w:r>
              <w:rPr>
                <w:sz w:val="22"/>
                <w:szCs w:val="22"/>
              </w:rPr>
              <w:t>2</w:t>
            </w:r>
            <w:r w:rsidRPr="001950CF">
              <w:rPr>
                <w:sz w:val="22"/>
                <w:szCs w:val="22"/>
              </w:rPr>
              <w:t xml:space="preserve">). The infusion solution is to be composed of the number of vials of </w:t>
            </w:r>
            <w:r w:rsidR="00E4609C">
              <w:rPr>
                <w:sz w:val="22"/>
                <w:szCs w:val="22"/>
              </w:rPr>
              <w:t>WEZLANA</w:t>
            </w:r>
            <w:r w:rsidRPr="001950CF">
              <w:rPr>
                <w:sz w:val="22"/>
                <w:szCs w:val="22"/>
              </w:rPr>
              <w:t xml:space="preserve"> 130 mg as specified in Table </w:t>
            </w:r>
            <w:r>
              <w:rPr>
                <w:sz w:val="22"/>
                <w:szCs w:val="22"/>
              </w:rPr>
              <w:t>2</w:t>
            </w:r>
            <w:r w:rsidRPr="001950CF">
              <w:rPr>
                <w:sz w:val="22"/>
                <w:szCs w:val="22"/>
              </w:rPr>
              <w:t>.</w:t>
            </w:r>
          </w:p>
          <w:p w14:paraId="355CB7BF" w14:textId="02F34199" w:rsidR="00E4609C" w:rsidRDefault="00E4609C" w:rsidP="00E4609C">
            <w:pPr>
              <w:pStyle w:val="TableTitle"/>
            </w:pPr>
            <w:r w:rsidRPr="00E4609C">
              <w:lastRenderedPageBreak/>
              <w:t xml:space="preserve">Table </w:t>
            </w:r>
            <w:r w:rsidR="00DA79FE">
              <w:t>2</w:t>
            </w:r>
            <w:r w:rsidRPr="00E4609C">
              <w:t xml:space="preserve">. Initial IV dosing of </w:t>
            </w:r>
            <w:r>
              <w:t>WEZLANA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1010"/>
              <w:gridCol w:w="1667"/>
            </w:tblGrid>
            <w:tr w:rsidR="001950CF" w:rsidRPr="000563F0" w14:paraId="1B131C45" w14:textId="77777777" w:rsidTr="00E4609C">
              <w:trPr>
                <w:trHeight w:val="305"/>
              </w:trPr>
              <w:tc>
                <w:tcPr>
                  <w:tcW w:w="0" w:type="auto"/>
                </w:tcPr>
                <w:p w14:paraId="376A12B3" w14:textId="5412C6AB" w:rsidR="001950CF" w:rsidRPr="000563F0" w:rsidRDefault="001950CF" w:rsidP="00E4609C">
                  <w:pPr>
                    <w:pStyle w:val="Default"/>
                    <w:rPr>
                      <w:sz w:val="18"/>
                      <w:szCs w:val="18"/>
                    </w:rPr>
                  </w:pPr>
                  <w:r w:rsidRPr="001950CF">
                    <w:rPr>
                      <w:sz w:val="22"/>
                      <w:szCs w:val="22"/>
                    </w:rPr>
                    <w:t xml:space="preserve"> </w:t>
                  </w:r>
                  <w:r w:rsidRPr="000563F0">
                    <w:rPr>
                      <w:b/>
                      <w:bCs/>
                      <w:sz w:val="18"/>
                      <w:szCs w:val="18"/>
                    </w:rPr>
                    <w:t xml:space="preserve">Body </w:t>
                  </w:r>
                  <w:r w:rsidR="000563F0">
                    <w:rPr>
                      <w:b/>
                      <w:bCs/>
                      <w:sz w:val="18"/>
                      <w:szCs w:val="18"/>
                    </w:rPr>
                    <w:t>w</w:t>
                  </w:r>
                  <w:r w:rsidRPr="000563F0">
                    <w:rPr>
                      <w:b/>
                      <w:bCs/>
                      <w:sz w:val="18"/>
                      <w:szCs w:val="18"/>
                    </w:rPr>
                    <w:t xml:space="preserve">eight of </w:t>
                  </w:r>
                  <w:r w:rsidR="000563F0">
                    <w:rPr>
                      <w:b/>
                      <w:bCs/>
                      <w:sz w:val="18"/>
                      <w:szCs w:val="18"/>
                    </w:rPr>
                    <w:t>p</w:t>
                  </w:r>
                  <w:r w:rsidRPr="000563F0">
                    <w:rPr>
                      <w:b/>
                      <w:bCs/>
                      <w:sz w:val="18"/>
                      <w:szCs w:val="18"/>
                    </w:rPr>
                    <w:t xml:space="preserve">atient at the time of dosing </w:t>
                  </w:r>
                </w:p>
              </w:tc>
              <w:tc>
                <w:tcPr>
                  <w:tcW w:w="1010" w:type="dxa"/>
                </w:tcPr>
                <w:p w14:paraId="7B5C38F6" w14:textId="77777777" w:rsidR="001950CF" w:rsidRPr="000563F0" w:rsidRDefault="001950CF" w:rsidP="001950CF">
                  <w:pPr>
                    <w:pStyle w:val="Default"/>
                    <w:rPr>
                      <w:sz w:val="18"/>
                      <w:szCs w:val="18"/>
                    </w:rPr>
                  </w:pPr>
                  <w:r w:rsidRPr="000563F0">
                    <w:rPr>
                      <w:b/>
                      <w:bCs/>
                      <w:sz w:val="18"/>
                      <w:szCs w:val="18"/>
                    </w:rPr>
                    <w:t xml:space="preserve">Dose </w:t>
                  </w:r>
                </w:p>
              </w:tc>
              <w:tc>
                <w:tcPr>
                  <w:tcW w:w="1667" w:type="dxa"/>
                </w:tcPr>
                <w:p w14:paraId="1C0230B4" w14:textId="2AF7C5E6" w:rsidR="001950CF" w:rsidRPr="000563F0" w:rsidRDefault="001950CF" w:rsidP="001950CF">
                  <w:pPr>
                    <w:pStyle w:val="Default"/>
                    <w:rPr>
                      <w:sz w:val="18"/>
                      <w:szCs w:val="18"/>
                    </w:rPr>
                  </w:pPr>
                  <w:r w:rsidRPr="000563F0">
                    <w:rPr>
                      <w:b/>
                      <w:bCs/>
                      <w:sz w:val="18"/>
                      <w:szCs w:val="18"/>
                    </w:rPr>
                    <w:t xml:space="preserve">Number of 130 mg </w:t>
                  </w:r>
                  <w:r w:rsidR="00E4609C" w:rsidRPr="000563F0">
                    <w:rPr>
                      <w:b/>
                      <w:bCs/>
                      <w:sz w:val="18"/>
                      <w:szCs w:val="18"/>
                    </w:rPr>
                    <w:t>WEZLANA</w:t>
                  </w:r>
                  <w:r w:rsidRPr="000563F0">
                    <w:rPr>
                      <w:b/>
                      <w:bCs/>
                      <w:sz w:val="18"/>
                      <w:szCs w:val="18"/>
                    </w:rPr>
                    <w:t xml:space="preserve"> Vials </w:t>
                  </w:r>
                </w:p>
              </w:tc>
            </w:tr>
            <w:tr w:rsidR="001950CF" w:rsidRPr="000563F0" w14:paraId="114576FE" w14:textId="77777777" w:rsidTr="00E4609C">
              <w:trPr>
                <w:trHeight w:val="161"/>
              </w:trPr>
              <w:tc>
                <w:tcPr>
                  <w:tcW w:w="0" w:type="auto"/>
                </w:tcPr>
                <w:p w14:paraId="4730435B" w14:textId="77777777" w:rsidR="001950CF" w:rsidRPr="000563F0" w:rsidRDefault="001950CF" w:rsidP="001950CF">
                  <w:pPr>
                    <w:pStyle w:val="Default"/>
                    <w:rPr>
                      <w:sz w:val="18"/>
                      <w:szCs w:val="18"/>
                    </w:rPr>
                  </w:pPr>
                  <w:r w:rsidRPr="000563F0">
                    <w:rPr>
                      <w:sz w:val="18"/>
                      <w:szCs w:val="18"/>
                    </w:rPr>
                    <w:t xml:space="preserve">≤ 55 kg </w:t>
                  </w:r>
                </w:p>
              </w:tc>
              <w:tc>
                <w:tcPr>
                  <w:tcW w:w="1010" w:type="dxa"/>
                </w:tcPr>
                <w:p w14:paraId="2194CE0E" w14:textId="77777777" w:rsidR="001950CF" w:rsidRPr="000563F0" w:rsidRDefault="001950CF" w:rsidP="001950CF">
                  <w:pPr>
                    <w:pStyle w:val="Default"/>
                    <w:rPr>
                      <w:sz w:val="18"/>
                      <w:szCs w:val="18"/>
                    </w:rPr>
                  </w:pPr>
                  <w:r w:rsidRPr="000563F0">
                    <w:rPr>
                      <w:sz w:val="18"/>
                      <w:szCs w:val="18"/>
                    </w:rPr>
                    <w:t xml:space="preserve">260 mg </w:t>
                  </w:r>
                </w:p>
              </w:tc>
              <w:tc>
                <w:tcPr>
                  <w:tcW w:w="1667" w:type="dxa"/>
                </w:tcPr>
                <w:p w14:paraId="64B1BA50" w14:textId="77777777" w:rsidR="001950CF" w:rsidRPr="000563F0" w:rsidRDefault="001950CF" w:rsidP="001950CF">
                  <w:pPr>
                    <w:pStyle w:val="Default"/>
                    <w:rPr>
                      <w:sz w:val="18"/>
                      <w:szCs w:val="18"/>
                    </w:rPr>
                  </w:pPr>
                  <w:r w:rsidRPr="000563F0">
                    <w:rPr>
                      <w:sz w:val="18"/>
                      <w:szCs w:val="18"/>
                    </w:rPr>
                    <w:t xml:space="preserve">2 </w:t>
                  </w:r>
                </w:p>
              </w:tc>
            </w:tr>
            <w:tr w:rsidR="001950CF" w:rsidRPr="000563F0" w14:paraId="3DB20DA9" w14:textId="77777777" w:rsidTr="00E4609C">
              <w:trPr>
                <w:trHeight w:val="161"/>
              </w:trPr>
              <w:tc>
                <w:tcPr>
                  <w:tcW w:w="0" w:type="auto"/>
                </w:tcPr>
                <w:p w14:paraId="30F29F47" w14:textId="77777777" w:rsidR="001950CF" w:rsidRPr="000563F0" w:rsidRDefault="001950CF" w:rsidP="001950CF">
                  <w:pPr>
                    <w:pStyle w:val="Default"/>
                    <w:rPr>
                      <w:sz w:val="18"/>
                      <w:szCs w:val="18"/>
                    </w:rPr>
                  </w:pPr>
                  <w:r w:rsidRPr="000563F0">
                    <w:rPr>
                      <w:sz w:val="18"/>
                      <w:szCs w:val="18"/>
                    </w:rPr>
                    <w:t xml:space="preserve">&gt; 55 kg to ≤ 85 kg </w:t>
                  </w:r>
                </w:p>
              </w:tc>
              <w:tc>
                <w:tcPr>
                  <w:tcW w:w="1010" w:type="dxa"/>
                </w:tcPr>
                <w:p w14:paraId="66D538B0" w14:textId="77777777" w:rsidR="001950CF" w:rsidRPr="000563F0" w:rsidRDefault="001950CF" w:rsidP="001950CF">
                  <w:pPr>
                    <w:pStyle w:val="Default"/>
                    <w:rPr>
                      <w:sz w:val="18"/>
                      <w:szCs w:val="18"/>
                    </w:rPr>
                  </w:pPr>
                  <w:r w:rsidRPr="000563F0">
                    <w:rPr>
                      <w:sz w:val="18"/>
                      <w:szCs w:val="18"/>
                    </w:rPr>
                    <w:t xml:space="preserve">390 mg </w:t>
                  </w:r>
                </w:p>
              </w:tc>
              <w:tc>
                <w:tcPr>
                  <w:tcW w:w="1667" w:type="dxa"/>
                </w:tcPr>
                <w:p w14:paraId="1CECA63C" w14:textId="77777777" w:rsidR="001950CF" w:rsidRPr="000563F0" w:rsidRDefault="001950CF" w:rsidP="001950CF">
                  <w:pPr>
                    <w:pStyle w:val="Default"/>
                    <w:rPr>
                      <w:sz w:val="18"/>
                      <w:szCs w:val="18"/>
                    </w:rPr>
                  </w:pPr>
                  <w:r w:rsidRPr="000563F0">
                    <w:rPr>
                      <w:sz w:val="18"/>
                      <w:szCs w:val="18"/>
                    </w:rPr>
                    <w:t xml:space="preserve">3 </w:t>
                  </w:r>
                </w:p>
              </w:tc>
            </w:tr>
            <w:tr w:rsidR="001950CF" w:rsidRPr="000563F0" w14:paraId="30BF4791" w14:textId="77777777" w:rsidTr="00E4609C">
              <w:trPr>
                <w:trHeight w:val="161"/>
              </w:trPr>
              <w:tc>
                <w:tcPr>
                  <w:tcW w:w="0" w:type="auto"/>
                </w:tcPr>
                <w:p w14:paraId="72C2D945" w14:textId="77777777" w:rsidR="001950CF" w:rsidRPr="000563F0" w:rsidRDefault="001950CF" w:rsidP="001950CF">
                  <w:pPr>
                    <w:pStyle w:val="Default"/>
                    <w:rPr>
                      <w:sz w:val="18"/>
                      <w:szCs w:val="18"/>
                    </w:rPr>
                  </w:pPr>
                  <w:r w:rsidRPr="000563F0">
                    <w:rPr>
                      <w:sz w:val="18"/>
                      <w:szCs w:val="18"/>
                    </w:rPr>
                    <w:t xml:space="preserve">&gt; 85 kg </w:t>
                  </w:r>
                </w:p>
              </w:tc>
              <w:tc>
                <w:tcPr>
                  <w:tcW w:w="1010" w:type="dxa"/>
                </w:tcPr>
                <w:p w14:paraId="381613D8" w14:textId="77777777" w:rsidR="001950CF" w:rsidRPr="000563F0" w:rsidRDefault="001950CF" w:rsidP="001950CF">
                  <w:pPr>
                    <w:pStyle w:val="Default"/>
                    <w:rPr>
                      <w:sz w:val="18"/>
                      <w:szCs w:val="18"/>
                    </w:rPr>
                  </w:pPr>
                  <w:r w:rsidRPr="000563F0">
                    <w:rPr>
                      <w:sz w:val="18"/>
                      <w:szCs w:val="18"/>
                    </w:rPr>
                    <w:t xml:space="preserve">520 mg </w:t>
                  </w:r>
                </w:p>
              </w:tc>
              <w:tc>
                <w:tcPr>
                  <w:tcW w:w="1667" w:type="dxa"/>
                </w:tcPr>
                <w:p w14:paraId="42040EF9" w14:textId="77777777" w:rsidR="001950CF" w:rsidRPr="000563F0" w:rsidRDefault="001950CF" w:rsidP="001950CF">
                  <w:pPr>
                    <w:pStyle w:val="Default"/>
                    <w:rPr>
                      <w:sz w:val="18"/>
                      <w:szCs w:val="18"/>
                    </w:rPr>
                  </w:pPr>
                  <w:r w:rsidRPr="000563F0">
                    <w:rPr>
                      <w:sz w:val="18"/>
                      <w:szCs w:val="18"/>
                    </w:rPr>
                    <w:t xml:space="preserve">4 </w:t>
                  </w:r>
                </w:p>
              </w:tc>
            </w:tr>
          </w:tbl>
          <w:p w14:paraId="500A42C6" w14:textId="1E602DDD" w:rsidR="00896E59" w:rsidRPr="00BD5DBD" w:rsidRDefault="00896E59" w:rsidP="00217A04">
            <w:pPr>
              <w:rPr>
                <w:szCs w:val="22"/>
              </w:rPr>
            </w:pPr>
            <w:r w:rsidRPr="00BD5DBD">
              <w:rPr>
                <w:szCs w:val="22"/>
              </w:rPr>
              <w:t xml:space="preserve">For further information regarding dosage, </w:t>
            </w:r>
            <w:r>
              <w:rPr>
                <w:szCs w:val="22"/>
              </w:rPr>
              <w:t xml:space="preserve">such as dosage modifications to manage adverse reactions, </w:t>
            </w:r>
            <w:r w:rsidRPr="00BD5DBD">
              <w:rPr>
                <w:szCs w:val="22"/>
              </w:rPr>
              <w:t>refer to the Product Information.</w:t>
            </w:r>
          </w:p>
        </w:tc>
      </w:tr>
      <w:tr w:rsidR="00896E59" w:rsidRPr="00BD5DBD" w14:paraId="176B6773" w14:textId="77777777" w:rsidTr="00896E59">
        <w:tc>
          <w:tcPr>
            <w:tcW w:w="1577" w:type="pct"/>
          </w:tcPr>
          <w:p w14:paraId="71846159" w14:textId="65E05A91" w:rsidR="00896E59" w:rsidRPr="00BD5DBD" w:rsidRDefault="00896E59" w:rsidP="007452E8">
            <w:pPr>
              <w:rPr>
                <w:i/>
                <w:szCs w:val="22"/>
              </w:rPr>
            </w:pPr>
            <w:r w:rsidRPr="00BD5DBD">
              <w:rPr>
                <w:i/>
                <w:szCs w:val="22"/>
              </w:rPr>
              <w:lastRenderedPageBreak/>
              <w:t>Pregnancy category:</w:t>
            </w:r>
          </w:p>
        </w:tc>
        <w:tc>
          <w:tcPr>
            <w:tcW w:w="3423" w:type="pct"/>
          </w:tcPr>
          <w:p w14:paraId="3187556F" w14:textId="1C2652B6" w:rsidR="009C0626" w:rsidRDefault="009C0626" w:rsidP="009C0626">
            <w:pPr>
              <w:rPr>
                <w:i/>
                <w:color w:val="007099"/>
              </w:rPr>
            </w:pPr>
            <w:r>
              <w:t>B1</w:t>
            </w:r>
          </w:p>
          <w:p w14:paraId="15E06C80" w14:textId="77777777" w:rsidR="00CB297C" w:rsidRDefault="00CB297C" w:rsidP="009C0626">
            <w:r>
              <w:t xml:space="preserve">Drugs which have been taken by only a limited number of pregnant women and women of childbearing age, without an increase in the frequency of malformation or other direct or indirect harmful effects on the human fetus having been observed. </w:t>
            </w:r>
          </w:p>
          <w:p w14:paraId="1DB4F88D" w14:textId="7A687F16" w:rsidR="00CB297C" w:rsidRDefault="00CB297C" w:rsidP="009C0626">
            <w:r>
              <w:t xml:space="preserve">Studies in animals have not shown evidence of an increased occurrence of fetal damage. </w:t>
            </w:r>
          </w:p>
          <w:p w14:paraId="7E978F8F" w14:textId="42AFFAB6" w:rsidR="00896E59" w:rsidRPr="00BD5DBD" w:rsidRDefault="00896E59" w:rsidP="009C0626">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16"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17"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1E34B277" w:rsidR="00324B33" w:rsidRDefault="00324B33" w:rsidP="00324B33">
      <w:pPr>
        <w:pStyle w:val="Heading3"/>
      </w:pPr>
      <w:bookmarkStart w:id="13" w:name="_Toc247691503"/>
      <w:bookmarkStart w:id="14" w:name="_Toc314842484"/>
      <w:bookmarkStart w:id="15" w:name="_Toc103679290"/>
      <w:bookmarkStart w:id="16" w:name="_Toc170370156"/>
      <w:r>
        <w:t>Product background</w:t>
      </w:r>
      <w:bookmarkEnd w:id="13"/>
      <w:bookmarkEnd w:id="14"/>
      <w:bookmarkEnd w:id="15"/>
      <w:bookmarkEnd w:id="16"/>
    </w:p>
    <w:p w14:paraId="3CFE3A85" w14:textId="6F603F36" w:rsidR="005B4FE4" w:rsidRDefault="00324B33" w:rsidP="005B4FE4">
      <w:r w:rsidRPr="00065839">
        <w:t xml:space="preserve">This AusPAR describes the submission by </w:t>
      </w:r>
      <w:r w:rsidR="00474921">
        <w:t>Amgen Australia Pty Ltd</w:t>
      </w:r>
      <w:r w:rsidRPr="00065839">
        <w:t xml:space="preserve"> (the sponsor) to register </w:t>
      </w:r>
      <w:r w:rsidR="00E4609C">
        <w:t>WEZLANA</w:t>
      </w:r>
      <w:r w:rsidR="00415D91">
        <w:t xml:space="preserve"> (</w:t>
      </w:r>
      <w:r w:rsidR="00796C0E">
        <w:t>ustekinumab</w:t>
      </w:r>
      <w:r w:rsidR="00415D91">
        <w:t>)</w:t>
      </w:r>
      <w:r w:rsidR="005B4FE4">
        <w:t>, a biosimilar candidate to STELARA® (ustekinumab) for the treatment of:</w:t>
      </w:r>
    </w:p>
    <w:p w14:paraId="0017D7E9" w14:textId="12E4582D" w:rsidR="005B4FE4" w:rsidRPr="005B4FE4" w:rsidRDefault="005B4FE4" w:rsidP="00D2623C">
      <w:pPr>
        <w:pStyle w:val="ListBullet"/>
      </w:pPr>
      <w:r w:rsidRPr="005B4FE4">
        <w:t>moderate to severe plaque psoriasis in adults, adolescents and in children</w:t>
      </w:r>
    </w:p>
    <w:p w14:paraId="2DC2C616" w14:textId="6A12097B" w:rsidR="005B4FE4" w:rsidRPr="005B4FE4" w:rsidRDefault="005B4FE4" w:rsidP="00D2623C">
      <w:pPr>
        <w:pStyle w:val="ListBullet"/>
      </w:pPr>
      <w:r w:rsidRPr="005B4FE4">
        <w:t>active psoriatic arthritis in adults</w:t>
      </w:r>
    </w:p>
    <w:p w14:paraId="2435F590" w14:textId="6D465975" w:rsidR="005B4FE4" w:rsidRPr="005B4FE4" w:rsidRDefault="005B4FE4" w:rsidP="00D2623C">
      <w:pPr>
        <w:pStyle w:val="ListBullet"/>
      </w:pPr>
      <w:r w:rsidRPr="005B4FE4">
        <w:t>severely active Crohn’s disease in adults, and</w:t>
      </w:r>
    </w:p>
    <w:p w14:paraId="23D8ED73" w14:textId="7CEED1B5" w:rsidR="00324B33" w:rsidRPr="00D2623C" w:rsidRDefault="005B4FE4" w:rsidP="00D2623C">
      <w:pPr>
        <w:pStyle w:val="ListBullet"/>
        <w:rPr>
          <w:i/>
          <w:color w:val="auto"/>
        </w:rPr>
      </w:pPr>
      <w:r w:rsidRPr="005B4FE4">
        <w:t>moderately to severely active ulcerative colitis.</w:t>
      </w:r>
    </w:p>
    <w:p w14:paraId="1E63A2AE" w14:textId="74DB378C" w:rsidR="00CB6813" w:rsidRDefault="004444B0" w:rsidP="00CB6813">
      <w:pPr>
        <w:pStyle w:val="Heading4"/>
      </w:pPr>
      <w:bookmarkStart w:id="17" w:name="_Toc314842485"/>
      <w:bookmarkStart w:id="18" w:name="_Toc247691504"/>
      <w:bookmarkStart w:id="19" w:name="_Toc170370157"/>
      <w:r>
        <w:t>The d</w:t>
      </w:r>
      <w:r w:rsidR="00CB6813" w:rsidRPr="00C12D65">
        <w:t>isease</w:t>
      </w:r>
      <w:r w:rsidR="00E01E1E">
        <w:t>/condition</w:t>
      </w:r>
      <w:bookmarkEnd w:id="19"/>
    </w:p>
    <w:p w14:paraId="58520324" w14:textId="1ECCBB76" w:rsidR="00B34919" w:rsidRDefault="00437A80" w:rsidP="00B34919">
      <w:r>
        <w:t xml:space="preserve">The Sponsor considered psoriasis as the most appropriate indication to demonstrate clinical equivalence. Psoriasis outcomes would be the most sensitive for detecting any differences between </w:t>
      </w:r>
      <w:r w:rsidR="00E4609C">
        <w:t>WEZLANA</w:t>
      </w:r>
      <w:r>
        <w:t xml:space="preserve"> and </w:t>
      </w:r>
      <w:r w:rsidR="00E4609C">
        <w:t>STELARA</w:t>
      </w:r>
      <w:r>
        <w:t xml:space="preserve">. </w:t>
      </w:r>
      <w:r w:rsidR="00B34919">
        <w:t xml:space="preserve">Psoriasis is a common chronic inflammatory skin disease. The most common subtype is plaque psoriasis, which is characterised by scaly erythematous plaques. Other subtypes include guttate psoriasis, pustular psoriasis and erythrodermic psoriasis. Psoriasis can also affect tissues other than the skin, including joints (that is, psoriatic arthritis). </w:t>
      </w:r>
    </w:p>
    <w:p w14:paraId="255E083A" w14:textId="77777777" w:rsidR="00CB6813" w:rsidRDefault="00CB6813" w:rsidP="00CB6813">
      <w:pPr>
        <w:pStyle w:val="Heading4"/>
      </w:pPr>
      <w:bookmarkStart w:id="20" w:name="_Toc170370158"/>
      <w:r>
        <w:lastRenderedPageBreak/>
        <w:t>Current treatment options</w:t>
      </w:r>
      <w:bookmarkEnd w:id="20"/>
    </w:p>
    <w:p w14:paraId="34FA66AB" w14:textId="77777777" w:rsidR="00F73231" w:rsidRDefault="00F73231" w:rsidP="00F73231">
      <w:r>
        <w:t>Topical therapies include corticosteroids, tar, calcipotriol and combinations thereof.</w:t>
      </w:r>
    </w:p>
    <w:p w14:paraId="054170E3" w14:textId="77777777" w:rsidR="00F73231" w:rsidRDefault="00F73231" w:rsidP="00F73231">
      <w:r>
        <w:t>Phototherapy is also used.</w:t>
      </w:r>
    </w:p>
    <w:p w14:paraId="3A9461DF" w14:textId="77777777" w:rsidR="00F73231" w:rsidRDefault="00F73231" w:rsidP="00F73231">
      <w:r>
        <w:t>Oral systemic therapies include methotrexate, acitretin, apremilast and ciclosporin.</w:t>
      </w:r>
    </w:p>
    <w:p w14:paraId="697B84B2" w14:textId="77777777" w:rsidR="00F73231" w:rsidRDefault="00F73231" w:rsidP="00F73231">
      <w:r>
        <w:t>Biological drugs are usually used in moderate to severe disease, where other treatments are not suitable. These drugs target IL-17 (sekucinumab, ixekizumab), IL-12/IL-23 (ustekinumab), IL-23 (guselkumab, tildrakizumab, risankizumab) and TNF-alpha (adalimumab, etanercept, infliximab).</w:t>
      </w:r>
    </w:p>
    <w:p w14:paraId="37C47E09" w14:textId="14D3762D" w:rsidR="00CB6813" w:rsidRDefault="00CB6813" w:rsidP="00CB6813">
      <w:pPr>
        <w:pStyle w:val="Heading4"/>
      </w:pPr>
      <w:bookmarkStart w:id="21" w:name="_Toc170370159"/>
      <w:r>
        <w:t>C</w:t>
      </w:r>
      <w:r w:rsidRPr="00DE1344">
        <w:t>linical rational</w:t>
      </w:r>
      <w:r w:rsidR="0025785B">
        <w:t>e</w:t>
      </w:r>
      <w:bookmarkEnd w:id="21"/>
    </w:p>
    <w:p w14:paraId="03665A88" w14:textId="0A7E2F3E" w:rsidR="00DF4676" w:rsidRDefault="00E4609C" w:rsidP="00D2623C">
      <w:bookmarkStart w:id="22" w:name="_Toc103679291"/>
      <w:r>
        <w:t>WEZLANA</w:t>
      </w:r>
      <w:r w:rsidR="00DF4676">
        <w:t xml:space="preserve"> is being developed as a biosimilar candidate to</w:t>
      </w:r>
      <w:r w:rsidR="00437A80">
        <w:t xml:space="preserve"> </w:t>
      </w:r>
      <w:r>
        <w:t>STELARA</w:t>
      </w:r>
      <w:r w:rsidR="00DF4676">
        <w:t xml:space="preserve">. </w:t>
      </w:r>
      <w:r>
        <w:t>WEZLANA</w:t>
      </w:r>
      <w:r w:rsidR="00DF4676">
        <w:t xml:space="preserve"> has a primary amino acid sequence identical to </w:t>
      </w:r>
      <w:r>
        <w:t>STELARA</w:t>
      </w:r>
      <w:r w:rsidR="00F73231">
        <w:t>.</w:t>
      </w:r>
      <w:r w:rsidR="00DF4676">
        <w:t xml:space="preserve"> Both </w:t>
      </w:r>
      <w:r>
        <w:t>WEZLANA</w:t>
      </w:r>
      <w:r w:rsidR="00DF4676">
        <w:t xml:space="preserve"> and </w:t>
      </w:r>
      <w:r>
        <w:t>STELARA</w:t>
      </w:r>
      <w:r w:rsidR="00BA7051">
        <w:t xml:space="preserve"> </w:t>
      </w:r>
      <w:r w:rsidR="00DF4676">
        <w:t>are recombinant human immunoglobulin isotype class G subclass 1 kappa monoclonal antibodies that bind with specificity to the p40 protein subunit of the IL-23 and IL-12 cytokines to neutralise IL-23- and IL-12-mediated signal</w:t>
      </w:r>
      <w:r w:rsidR="00BA7051">
        <w:t>l</w:t>
      </w:r>
      <w:r w:rsidR="00DF4676">
        <w:t xml:space="preserve">ing and cytokine cascades. Both </w:t>
      </w:r>
      <w:r>
        <w:t>WEZLANA</w:t>
      </w:r>
      <w:r w:rsidR="00DF4676">
        <w:t xml:space="preserve"> and </w:t>
      </w:r>
      <w:r>
        <w:t>STELARA</w:t>
      </w:r>
      <w:r w:rsidR="00DF4676">
        <w:t xml:space="preserve"> are manufactured by recombinant DNA technology. While </w:t>
      </w:r>
      <w:r>
        <w:t>WEZLANA</w:t>
      </w:r>
      <w:r w:rsidR="00DF4676">
        <w:t xml:space="preserve"> is expressed in a glyco-engineered Chinese hamster ovary cell line system, </w:t>
      </w:r>
      <w:r>
        <w:t>STELARA</w:t>
      </w:r>
      <w:r w:rsidR="00DF4676">
        <w:t xml:space="preserve"> is expressed in a murine myeloma (Sp2/0) cell line system. </w:t>
      </w:r>
      <w:r w:rsidR="005B4FE4">
        <w:t>The s</w:t>
      </w:r>
      <w:r w:rsidR="00DF4676">
        <w:t xml:space="preserve">ponsor states that these minor structural differences observed between </w:t>
      </w:r>
      <w:r>
        <w:t>WEZLANA</w:t>
      </w:r>
      <w:r w:rsidR="00DF4676">
        <w:t xml:space="preserve"> and </w:t>
      </w:r>
      <w:r>
        <w:t>STELARA</w:t>
      </w:r>
      <w:r w:rsidR="00DF4676">
        <w:t xml:space="preserve"> due to the different cell lines used in production are not expected to impact clinical efficacy or safety because the results from the comprehensive set of analytical similarity studies together with the nonclinical and clinical similarity data demonstrated that </w:t>
      </w:r>
      <w:r>
        <w:t>WEZLANA</w:t>
      </w:r>
      <w:r w:rsidR="00DF4676">
        <w:t xml:space="preserve"> is </w:t>
      </w:r>
      <w:proofErr w:type="gramStart"/>
      <w:r w:rsidR="00DF4676">
        <w:t>similar to</w:t>
      </w:r>
      <w:proofErr w:type="gramEnd"/>
      <w:r w:rsidR="00DF4676">
        <w:t xml:space="preserve"> ustekinumab in the mechanism relevant to efficacy and safety. </w:t>
      </w:r>
    </w:p>
    <w:p w14:paraId="46FC18D3" w14:textId="3DAFFC68" w:rsidR="007B1D5D" w:rsidRPr="007B1D5D" w:rsidRDefault="00DF4676" w:rsidP="00D2623C">
      <w:pPr>
        <w:rPr>
          <w:iCs/>
        </w:rPr>
      </w:pPr>
      <w:r>
        <w:t xml:space="preserve">Demonstration of </w:t>
      </w:r>
      <w:proofErr w:type="spellStart"/>
      <w:r>
        <w:t>biosimilarity</w:t>
      </w:r>
      <w:proofErr w:type="spellEnd"/>
      <w:r>
        <w:t xml:space="preserve"> for </w:t>
      </w:r>
      <w:r w:rsidR="00E4609C">
        <w:t>WEZLANA</w:t>
      </w:r>
      <w:r>
        <w:t xml:space="preserve"> in the indications and patient populations approved for </w:t>
      </w:r>
      <w:r w:rsidR="00E4609C">
        <w:t>STELARA</w:t>
      </w:r>
      <w:r>
        <w:t xml:space="preserve"> was based on the data relating to </w:t>
      </w:r>
      <w:r w:rsidR="00E4609C">
        <w:t>WEZLANA</w:t>
      </w:r>
      <w:r>
        <w:t xml:space="preserve"> quality, non-clinical, and clinical programs submitted within this application, in addition to the Agency’s previous findings of safety and efficacy for the approved indications of </w:t>
      </w:r>
      <w:r w:rsidR="00E4609C">
        <w:t>STELARA</w:t>
      </w:r>
      <w:r>
        <w:t xml:space="preserve"> and from an extensive survey of available, relevant, published information in the conditions of use regarding mechanisms of action, pharmacokinetics (PK), toxicities, immunogenicity, and safety of ustekinumab. </w:t>
      </w:r>
    </w:p>
    <w:p w14:paraId="0D615854" w14:textId="77777777" w:rsidR="00324B33" w:rsidRPr="003F31A2" w:rsidRDefault="00324B33" w:rsidP="00324B33">
      <w:pPr>
        <w:pStyle w:val="Heading3"/>
      </w:pPr>
      <w:bookmarkStart w:id="23" w:name="_Toc170370160"/>
      <w:r>
        <w:t>Regulatory status</w:t>
      </w:r>
      <w:bookmarkEnd w:id="17"/>
      <w:bookmarkEnd w:id="18"/>
      <w:bookmarkEnd w:id="22"/>
      <w:bookmarkEnd w:id="23"/>
    </w:p>
    <w:p w14:paraId="72C889D6" w14:textId="7E200950" w:rsidR="0017005C" w:rsidRPr="00BD5DBD" w:rsidRDefault="0017005C" w:rsidP="00741AB9">
      <w:pPr>
        <w:pStyle w:val="Heading4"/>
      </w:pPr>
      <w:bookmarkStart w:id="24" w:name="_Toc170370161"/>
      <w:r w:rsidRPr="00BD5DBD">
        <w:t>Australian regulatory</w:t>
      </w:r>
      <w:r>
        <w:t xml:space="preserve"> sta</w:t>
      </w:r>
      <w:r w:rsidR="0025785B">
        <w:t>t</w:t>
      </w:r>
      <w:r>
        <w:t>us</w:t>
      </w:r>
      <w:bookmarkEnd w:id="24"/>
    </w:p>
    <w:p w14:paraId="6A8633FA" w14:textId="66EA63E9" w:rsidR="00324B33" w:rsidRDefault="00324B33" w:rsidP="00324B33">
      <w:pPr>
        <w:rPr>
          <w:szCs w:val="22"/>
        </w:rPr>
      </w:pPr>
      <w:r w:rsidRPr="00BD5DBD">
        <w:rPr>
          <w:szCs w:val="22"/>
        </w:rPr>
        <w:t xml:space="preserve">This product is considered a </w:t>
      </w:r>
      <w:r w:rsidR="008C754C" w:rsidRPr="00BD5DBD">
        <w:rPr>
          <w:szCs w:val="22"/>
        </w:rPr>
        <w:t xml:space="preserve">new </w:t>
      </w:r>
      <w:r w:rsidRPr="00BD5DBD">
        <w:rPr>
          <w:szCs w:val="22"/>
        </w:rPr>
        <w:t>biosimilar medicine for Australian regulatory purposes.</w:t>
      </w:r>
    </w:p>
    <w:p w14:paraId="546C1031" w14:textId="78D79364" w:rsidR="0017005C" w:rsidRDefault="0017005C" w:rsidP="0017005C">
      <w:pPr>
        <w:pStyle w:val="Heading4"/>
      </w:pPr>
      <w:bookmarkStart w:id="25" w:name="_Toc170370162"/>
      <w:r>
        <w:t>Foreign</w:t>
      </w:r>
      <w:r w:rsidRPr="00BD5DBD">
        <w:t xml:space="preserve"> regulatory</w:t>
      </w:r>
      <w:r>
        <w:t xml:space="preserve"> status</w:t>
      </w:r>
      <w:bookmarkEnd w:id="25"/>
    </w:p>
    <w:p w14:paraId="0B220BBB" w14:textId="706AEE1B" w:rsidR="00EF540D" w:rsidRPr="00EF540D" w:rsidRDefault="00EF540D" w:rsidP="00EF540D">
      <w:r>
        <w:t>The countries in which a similar application has been submitted, along with details of the status, are provided in the table below:</w:t>
      </w:r>
    </w:p>
    <w:tbl>
      <w:tblPr>
        <w:tblStyle w:val="TableGrid"/>
        <w:tblW w:w="0" w:type="auto"/>
        <w:tblLook w:val="04A0" w:firstRow="1" w:lastRow="0" w:firstColumn="1" w:lastColumn="0" w:noHBand="0" w:noVBand="1"/>
      </w:tblPr>
      <w:tblGrid>
        <w:gridCol w:w="2265"/>
        <w:gridCol w:w="2265"/>
        <w:gridCol w:w="2265"/>
        <w:gridCol w:w="2265"/>
      </w:tblGrid>
      <w:tr w:rsidR="00EF540D" w14:paraId="2F6A2157" w14:textId="77777777" w:rsidTr="00EF540D">
        <w:tc>
          <w:tcPr>
            <w:tcW w:w="2265" w:type="dxa"/>
          </w:tcPr>
          <w:p w14:paraId="31AA870C" w14:textId="7A5E0569" w:rsidR="00EF540D" w:rsidRPr="00DA79FE" w:rsidRDefault="00EF540D" w:rsidP="00DA79FE">
            <w:pPr>
              <w:rPr>
                <w:b/>
                <w:bCs/>
              </w:rPr>
            </w:pPr>
            <w:bookmarkStart w:id="26" w:name="_Toc504480011"/>
            <w:bookmarkStart w:id="27" w:name="_Toc103679293"/>
            <w:r w:rsidRPr="00DA79FE">
              <w:rPr>
                <w:b/>
                <w:bCs/>
              </w:rPr>
              <w:t>Country</w:t>
            </w:r>
          </w:p>
        </w:tc>
        <w:tc>
          <w:tcPr>
            <w:tcW w:w="2265" w:type="dxa"/>
          </w:tcPr>
          <w:p w14:paraId="760BA847" w14:textId="2A8970DD" w:rsidR="00EF540D" w:rsidRPr="00DA79FE" w:rsidRDefault="00EF540D" w:rsidP="00DA79FE">
            <w:pPr>
              <w:rPr>
                <w:b/>
                <w:bCs/>
              </w:rPr>
            </w:pPr>
            <w:r w:rsidRPr="00DA79FE">
              <w:rPr>
                <w:b/>
                <w:bCs/>
              </w:rPr>
              <w:t>Date of submission</w:t>
            </w:r>
          </w:p>
        </w:tc>
        <w:tc>
          <w:tcPr>
            <w:tcW w:w="2265" w:type="dxa"/>
          </w:tcPr>
          <w:p w14:paraId="3843B297" w14:textId="3AABBF87" w:rsidR="00EF540D" w:rsidRPr="00DA79FE" w:rsidRDefault="00EF540D" w:rsidP="00DA79FE">
            <w:pPr>
              <w:rPr>
                <w:b/>
                <w:bCs/>
              </w:rPr>
            </w:pPr>
            <w:r w:rsidRPr="00DA79FE">
              <w:rPr>
                <w:b/>
                <w:bCs/>
              </w:rPr>
              <w:t>Status</w:t>
            </w:r>
          </w:p>
        </w:tc>
        <w:tc>
          <w:tcPr>
            <w:tcW w:w="2265" w:type="dxa"/>
          </w:tcPr>
          <w:p w14:paraId="18271C01" w14:textId="3A5B9110" w:rsidR="00EF540D" w:rsidRPr="00DA79FE" w:rsidRDefault="00EF540D" w:rsidP="00DA79FE">
            <w:pPr>
              <w:rPr>
                <w:b/>
                <w:bCs/>
              </w:rPr>
            </w:pPr>
            <w:r w:rsidRPr="00DA79FE">
              <w:rPr>
                <w:b/>
                <w:bCs/>
              </w:rPr>
              <w:t>Type of application</w:t>
            </w:r>
          </w:p>
        </w:tc>
      </w:tr>
      <w:tr w:rsidR="00EF540D" w14:paraId="788C0B94" w14:textId="77777777" w:rsidTr="00EF540D">
        <w:tc>
          <w:tcPr>
            <w:tcW w:w="2265" w:type="dxa"/>
          </w:tcPr>
          <w:p w14:paraId="158DCB51" w14:textId="51FCE5A0" w:rsidR="00EF540D" w:rsidRDefault="00EF540D" w:rsidP="00DA79FE">
            <w:r>
              <w:t>USA</w:t>
            </w:r>
          </w:p>
        </w:tc>
        <w:tc>
          <w:tcPr>
            <w:tcW w:w="2265" w:type="dxa"/>
          </w:tcPr>
          <w:p w14:paraId="7BBDAB8D" w14:textId="418171C0" w:rsidR="00EF540D" w:rsidRDefault="00EF540D" w:rsidP="00DA79FE">
            <w:r>
              <w:t>31 October 2022</w:t>
            </w:r>
          </w:p>
        </w:tc>
        <w:tc>
          <w:tcPr>
            <w:tcW w:w="2265" w:type="dxa"/>
          </w:tcPr>
          <w:p w14:paraId="366B4B37" w14:textId="7274B5B8" w:rsidR="00EF540D" w:rsidRDefault="00EF540D" w:rsidP="00DA79FE">
            <w:r>
              <w:t>Under review</w:t>
            </w:r>
          </w:p>
        </w:tc>
        <w:tc>
          <w:tcPr>
            <w:tcW w:w="2265" w:type="dxa"/>
          </w:tcPr>
          <w:p w14:paraId="4D3154B9" w14:textId="1A952F31" w:rsidR="00EF540D" w:rsidRDefault="00EF540D" w:rsidP="00DA79FE">
            <w:r w:rsidRPr="00EF540D">
              <w:t>Biologics License Application</w:t>
            </w:r>
          </w:p>
        </w:tc>
      </w:tr>
      <w:tr w:rsidR="00EF540D" w14:paraId="4C506EA2" w14:textId="77777777" w:rsidTr="00EF540D">
        <w:tc>
          <w:tcPr>
            <w:tcW w:w="2265" w:type="dxa"/>
          </w:tcPr>
          <w:p w14:paraId="2FA52CD2" w14:textId="49B1E117" w:rsidR="00EF540D" w:rsidRDefault="00EF540D" w:rsidP="00DA79FE">
            <w:r>
              <w:t>Canada</w:t>
            </w:r>
          </w:p>
        </w:tc>
        <w:tc>
          <w:tcPr>
            <w:tcW w:w="2265" w:type="dxa"/>
          </w:tcPr>
          <w:p w14:paraId="6EB53819" w14:textId="12DF518D" w:rsidR="00EF540D" w:rsidRDefault="00EF540D" w:rsidP="00DA79FE">
            <w:r>
              <w:t>15 November 2022</w:t>
            </w:r>
          </w:p>
        </w:tc>
        <w:tc>
          <w:tcPr>
            <w:tcW w:w="2265" w:type="dxa"/>
          </w:tcPr>
          <w:p w14:paraId="3935FFAF" w14:textId="773C45B5" w:rsidR="00EF540D" w:rsidRDefault="00EF540D" w:rsidP="00DA79FE">
            <w:r>
              <w:t>Under review</w:t>
            </w:r>
          </w:p>
        </w:tc>
        <w:tc>
          <w:tcPr>
            <w:tcW w:w="2265" w:type="dxa"/>
          </w:tcPr>
          <w:p w14:paraId="679EA5ED" w14:textId="4A49C9E9" w:rsidR="00EF540D" w:rsidRDefault="00EF540D" w:rsidP="00DA79FE">
            <w:r>
              <w:t>New drug submission</w:t>
            </w:r>
          </w:p>
        </w:tc>
      </w:tr>
      <w:tr w:rsidR="00EF540D" w14:paraId="35C5D69E" w14:textId="77777777" w:rsidTr="00EF540D">
        <w:tc>
          <w:tcPr>
            <w:tcW w:w="2265" w:type="dxa"/>
          </w:tcPr>
          <w:p w14:paraId="44B10828" w14:textId="4C4F8A0D" w:rsidR="00EF540D" w:rsidRDefault="00EF540D" w:rsidP="00DA79FE">
            <w:r>
              <w:t>Great Britain</w:t>
            </w:r>
          </w:p>
        </w:tc>
        <w:tc>
          <w:tcPr>
            <w:tcW w:w="2265" w:type="dxa"/>
          </w:tcPr>
          <w:p w14:paraId="5692AF10" w14:textId="159C4E80" w:rsidR="00EF540D" w:rsidRDefault="00EF540D" w:rsidP="00DA79FE">
            <w:r>
              <w:t>January 2023</w:t>
            </w:r>
          </w:p>
        </w:tc>
        <w:tc>
          <w:tcPr>
            <w:tcW w:w="2265" w:type="dxa"/>
          </w:tcPr>
          <w:p w14:paraId="5452CC0F" w14:textId="78715D76" w:rsidR="00EF540D" w:rsidRDefault="00EF540D" w:rsidP="00DA79FE">
            <w:r>
              <w:t>TBC</w:t>
            </w:r>
          </w:p>
        </w:tc>
        <w:tc>
          <w:tcPr>
            <w:tcW w:w="2265" w:type="dxa"/>
          </w:tcPr>
          <w:p w14:paraId="076B2DB9" w14:textId="4004EEAC" w:rsidR="00EF540D" w:rsidRDefault="00EF540D" w:rsidP="00DA79FE">
            <w:r>
              <w:t>Market authorisation application</w:t>
            </w:r>
          </w:p>
        </w:tc>
      </w:tr>
    </w:tbl>
    <w:p w14:paraId="6D92589C" w14:textId="09786CEF" w:rsidR="00324B33" w:rsidRDefault="00324B33" w:rsidP="00324B33">
      <w:pPr>
        <w:pStyle w:val="Heading2"/>
      </w:pPr>
      <w:bookmarkStart w:id="28" w:name="_Toc170370163"/>
      <w:r>
        <w:lastRenderedPageBreak/>
        <w:t>Registration timeline</w:t>
      </w:r>
      <w:bookmarkEnd w:id="26"/>
      <w:bookmarkEnd w:id="27"/>
      <w:bookmarkEnd w:id="28"/>
    </w:p>
    <w:p w14:paraId="01CF52C4" w14:textId="41344C6F" w:rsidR="005E3FB3" w:rsidRDefault="005E3FB3" w:rsidP="00324B33">
      <w:pPr>
        <w:rPr>
          <w:szCs w:val="22"/>
        </w:rPr>
      </w:pPr>
      <w:r w:rsidRPr="005E3FB3">
        <w:rPr>
          <w:szCs w:val="22"/>
        </w:rPr>
        <w:t>This submission was evaluated under the standard prescription medicines registration process.</w:t>
      </w:r>
    </w:p>
    <w:p w14:paraId="225E3D87" w14:textId="6190F0D4" w:rsidR="00324B33" w:rsidRPr="00BD5DBD" w:rsidRDefault="00DA79FE" w:rsidP="00324B33">
      <w:pPr>
        <w:rPr>
          <w:szCs w:val="22"/>
        </w:rPr>
      </w:pPr>
      <w:r>
        <w:rPr>
          <w:szCs w:val="22"/>
        </w:rPr>
        <w:t>T</w:t>
      </w:r>
      <w:r w:rsidR="00324B33" w:rsidRPr="00BD5DBD">
        <w:rPr>
          <w:szCs w:val="22"/>
        </w:rPr>
        <w:t xml:space="preserve">able </w:t>
      </w:r>
      <w:r>
        <w:rPr>
          <w:szCs w:val="22"/>
        </w:rPr>
        <w:t xml:space="preserve">3 </w:t>
      </w:r>
      <w:r w:rsidR="00324B33" w:rsidRPr="00BD5DBD">
        <w:rPr>
          <w:szCs w:val="22"/>
        </w:rPr>
        <w:t>captures the key steps and dates for this submission.</w:t>
      </w:r>
    </w:p>
    <w:p w14:paraId="5263E729" w14:textId="091D26AD" w:rsidR="005B02A2" w:rsidRPr="005E3FB3" w:rsidRDefault="00324B33" w:rsidP="005E3FB3">
      <w:pPr>
        <w:pStyle w:val="TableTitle"/>
      </w:pPr>
      <w:r w:rsidRPr="002C1232">
        <w:t xml:space="preserve">Table </w:t>
      </w:r>
      <w:r w:rsidR="00064E03">
        <w:t>3</w:t>
      </w:r>
      <w:r w:rsidRPr="002C1232">
        <w:t>: Timeline for Submission PM-202</w:t>
      </w:r>
      <w:r w:rsidR="00415C3F">
        <w:t>3</w:t>
      </w:r>
      <w:r w:rsidRPr="002C1232">
        <w:t>-</w:t>
      </w:r>
      <w:r w:rsidR="00415C3F">
        <w:t>00167-1</w:t>
      </w:r>
      <w:r w:rsidRPr="002C1232">
        <w:t>-</w:t>
      </w:r>
      <w:r w:rsidR="00415C3F">
        <w:t>1</w:t>
      </w:r>
    </w:p>
    <w:tbl>
      <w:tblPr>
        <w:tblStyle w:val="TableTGAblue2023"/>
        <w:tblW w:w="8642" w:type="dxa"/>
        <w:tblLook w:val="04A0" w:firstRow="1" w:lastRow="0" w:firstColumn="1" w:lastColumn="0" w:noHBand="0" w:noVBand="1"/>
      </w:tblPr>
      <w:tblGrid>
        <w:gridCol w:w="6516"/>
        <w:gridCol w:w="2126"/>
      </w:tblGrid>
      <w:tr w:rsidR="00324B33" w:rsidRPr="00D01DDB" w14:paraId="6C59BE9C" w14:textId="77777777" w:rsidTr="00CD6F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16D80E78" w14:textId="3EC0CCAF" w:rsidR="00324B33" w:rsidRPr="00D01DDB" w:rsidRDefault="00324B33" w:rsidP="00324B33">
            <w:pPr>
              <w:rPr>
                <w:szCs w:val="22"/>
              </w:rPr>
            </w:pPr>
            <w:r w:rsidRPr="00D01DDB">
              <w:rPr>
                <w:szCs w:val="22"/>
              </w:rPr>
              <w:t>Description</w:t>
            </w:r>
          </w:p>
        </w:tc>
        <w:tc>
          <w:tcPr>
            <w:tcW w:w="2126"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CD6FFD">
        <w:tc>
          <w:tcPr>
            <w:cnfStyle w:val="001000000000" w:firstRow="0" w:lastRow="0" w:firstColumn="1" w:lastColumn="0" w:oddVBand="0" w:evenVBand="0" w:oddHBand="0" w:evenHBand="0" w:firstRowFirstColumn="0" w:firstRowLastColumn="0" w:lastRowFirstColumn="0" w:lastRowLastColumn="0"/>
            <w:tcW w:w="6516" w:type="dxa"/>
          </w:tcPr>
          <w:p w14:paraId="759D2A12" w14:textId="0D705F83" w:rsidR="00324B33" w:rsidRPr="00E679D1" w:rsidRDefault="00324B33" w:rsidP="00E679D1">
            <w:r w:rsidRPr="00E679D1">
              <w:t>Submission dossier accepted and first round evaluation commenced</w:t>
            </w:r>
          </w:p>
        </w:tc>
        <w:tc>
          <w:tcPr>
            <w:tcW w:w="2126" w:type="dxa"/>
          </w:tcPr>
          <w:p w14:paraId="2963D9D8" w14:textId="5226FED4" w:rsidR="00324B33" w:rsidRPr="00D01DDB" w:rsidRDefault="00C75F6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28/2/2023</w:t>
            </w:r>
          </w:p>
        </w:tc>
      </w:tr>
      <w:tr w:rsidR="00324B33" w:rsidRPr="00D01DDB" w14:paraId="53437815" w14:textId="77777777" w:rsidTr="00CD6FFD">
        <w:tc>
          <w:tcPr>
            <w:cnfStyle w:val="001000000000" w:firstRow="0" w:lastRow="0" w:firstColumn="1" w:lastColumn="0" w:oddVBand="0" w:evenVBand="0" w:oddHBand="0" w:evenHBand="0" w:firstRowFirstColumn="0" w:firstRowLastColumn="0" w:lastRowFirstColumn="0" w:lastRowLastColumn="0"/>
            <w:tcW w:w="6516" w:type="dxa"/>
          </w:tcPr>
          <w:p w14:paraId="4C037D4E" w14:textId="2B0CE255" w:rsidR="00324B33" w:rsidRPr="00E679D1" w:rsidRDefault="00324B33" w:rsidP="00E679D1">
            <w:r w:rsidRPr="00E679D1">
              <w:t>First round evaluation completed</w:t>
            </w:r>
          </w:p>
        </w:tc>
        <w:tc>
          <w:tcPr>
            <w:tcW w:w="2126" w:type="dxa"/>
          </w:tcPr>
          <w:p w14:paraId="3CEAFAAB" w14:textId="69CAB330" w:rsidR="00324B33" w:rsidRPr="00D01DDB" w:rsidRDefault="00C75F6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11/8/2023</w:t>
            </w:r>
          </w:p>
        </w:tc>
      </w:tr>
      <w:tr w:rsidR="00324B33" w:rsidRPr="00D01DDB" w14:paraId="60DA57CC" w14:textId="77777777" w:rsidTr="00CD6FFD">
        <w:tc>
          <w:tcPr>
            <w:cnfStyle w:val="001000000000" w:firstRow="0" w:lastRow="0" w:firstColumn="1" w:lastColumn="0" w:oddVBand="0" w:evenVBand="0" w:oddHBand="0" w:evenHBand="0" w:firstRowFirstColumn="0" w:firstRowLastColumn="0" w:lastRowFirstColumn="0" w:lastRowLastColumn="0"/>
            <w:tcW w:w="6516" w:type="dxa"/>
          </w:tcPr>
          <w:p w14:paraId="02EA1147" w14:textId="2853A422" w:rsidR="00324B33" w:rsidRPr="00E679D1" w:rsidRDefault="00324B33" w:rsidP="00E679D1">
            <w:r w:rsidRPr="00E679D1">
              <w:t>Sponsor provides responses on questions raised in first round evaluation</w:t>
            </w:r>
          </w:p>
        </w:tc>
        <w:tc>
          <w:tcPr>
            <w:tcW w:w="2126" w:type="dxa"/>
          </w:tcPr>
          <w:p w14:paraId="68A577C1" w14:textId="29297E6C" w:rsidR="00324B33" w:rsidRPr="00D01DDB" w:rsidRDefault="008404B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7/9/2023</w:t>
            </w:r>
          </w:p>
        </w:tc>
      </w:tr>
      <w:tr w:rsidR="00324B33" w:rsidRPr="00D01DDB" w14:paraId="767E33A4" w14:textId="77777777" w:rsidTr="00CD6FFD">
        <w:tc>
          <w:tcPr>
            <w:cnfStyle w:val="001000000000" w:firstRow="0" w:lastRow="0" w:firstColumn="1" w:lastColumn="0" w:oddVBand="0" w:evenVBand="0" w:oddHBand="0" w:evenHBand="0" w:firstRowFirstColumn="0" w:firstRowLastColumn="0" w:lastRowFirstColumn="0" w:lastRowLastColumn="0"/>
            <w:tcW w:w="6516" w:type="dxa"/>
          </w:tcPr>
          <w:p w14:paraId="4AFC5B50" w14:textId="2BCC6A3E" w:rsidR="00324B33" w:rsidRPr="00E679D1" w:rsidRDefault="00324B33" w:rsidP="00E679D1">
            <w:r w:rsidRPr="00E679D1">
              <w:t>Second round evaluation completed</w:t>
            </w:r>
          </w:p>
        </w:tc>
        <w:tc>
          <w:tcPr>
            <w:tcW w:w="2126" w:type="dxa"/>
          </w:tcPr>
          <w:p w14:paraId="4E47DF62" w14:textId="47A0EDA7" w:rsidR="00324B33" w:rsidRPr="00D01DDB" w:rsidRDefault="00241D7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17/10/2023</w:t>
            </w:r>
          </w:p>
        </w:tc>
      </w:tr>
      <w:tr w:rsidR="00324B33" w:rsidRPr="00D01DDB" w14:paraId="302FCB45" w14:textId="77777777" w:rsidTr="00CD6FFD">
        <w:tc>
          <w:tcPr>
            <w:cnfStyle w:val="001000000000" w:firstRow="0" w:lastRow="0" w:firstColumn="1" w:lastColumn="0" w:oddVBand="0" w:evenVBand="0" w:oddHBand="0" w:evenHBand="0" w:firstRowFirstColumn="0" w:firstRowLastColumn="0" w:lastRowFirstColumn="0" w:lastRowLastColumn="0"/>
            <w:tcW w:w="6516" w:type="dxa"/>
          </w:tcPr>
          <w:p w14:paraId="716E9DC1" w14:textId="6F984734" w:rsidR="00324B33" w:rsidRPr="00D01DDB" w:rsidRDefault="00324B33" w:rsidP="00324B33">
            <w:pPr>
              <w:rPr>
                <w:szCs w:val="22"/>
              </w:rPr>
            </w:pPr>
            <w:r w:rsidRPr="00D01DDB">
              <w:rPr>
                <w:szCs w:val="22"/>
              </w:rPr>
              <w:t>Delegate’s</w:t>
            </w:r>
            <w:r w:rsidR="00500D68">
              <w:rPr>
                <w:rStyle w:val="FootnoteReference"/>
                <w:szCs w:val="22"/>
              </w:rPr>
              <w:footnoteReference w:id="1"/>
            </w:r>
            <w:r w:rsidRPr="00D01DDB">
              <w:rPr>
                <w:szCs w:val="22"/>
              </w:rPr>
              <w:t xml:space="preserve"> Overall benefit-risk assessment </w:t>
            </w:r>
            <w:r w:rsidRPr="005E3FB3">
              <w:rPr>
                <w:color w:val="auto"/>
                <w:szCs w:val="22"/>
              </w:rPr>
              <w:t>and request for Advisory Committee advice</w:t>
            </w:r>
          </w:p>
        </w:tc>
        <w:tc>
          <w:tcPr>
            <w:tcW w:w="2126" w:type="dxa"/>
          </w:tcPr>
          <w:p w14:paraId="3BA6EF79" w14:textId="769FBE1A" w:rsidR="00324B33" w:rsidRPr="00D01DDB" w:rsidRDefault="005A193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31/10/2023</w:t>
            </w:r>
          </w:p>
        </w:tc>
      </w:tr>
      <w:tr w:rsidR="00324B33" w:rsidRPr="00D01DDB" w14:paraId="5832EBC8" w14:textId="77777777" w:rsidTr="00CD6FFD">
        <w:tc>
          <w:tcPr>
            <w:cnfStyle w:val="001000000000" w:firstRow="0" w:lastRow="0" w:firstColumn="1" w:lastColumn="0" w:oddVBand="0" w:evenVBand="0" w:oddHBand="0" w:evenHBand="0" w:firstRowFirstColumn="0" w:firstRowLastColumn="0" w:lastRowFirstColumn="0" w:lastRowLastColumn="0"/>
            <w:tcW w:w="6516" w:type="dxa"/>
          </w:tcPr>
          <w:p w14:paraId="720592DE" w14:textId="1F72CD22" w:rsidR="00324B33" w:rsidRPr="005E3FB3" w:rsidRDefault="00324B33" w:rsidP="00E679D1">
            <w:r w:rsidRPr="005E3FB3">
              <w:t>Sponsor’s pre-Advisory Committee response</w:t>
            </w:r>
          </w:p>
        </w:tc>
        <w:tc>
          <w:tcPr>
            <w:tcW w:w="2126" w:type="dxa"/>
          </w:tcPr>
          <w:p w14:paraId="5AE04841" w14:textId="27CE40BD" w:rsidR="00324B33" w:rsidRPr="00D01DDB" w:rsidRDefault="005E3FB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11/2023</w:t>
            </w:r>
          </w:p>
        </w:tc>
      </w:tr>
      <w:tr w:rsidR="00324B33" w:rsidRPr="00D01DDB" w14:paraId="5754F7AC" w14:textId="77777777" w:rsidTr="00CD6FFD">
        <w:tc>
          <w:tcPr>
            <w:cnfStyle w:val="001000000000" w:firstRow="0" w:lastRow="0" w:firstColumn="1" w:lastColumn="0" w:oddVBand="0" w:evenVBand="0" w:oddHBand="0" w:evenHBand="0" w:firstRowFirstColumn="0" w:firstRowLastColumn="0" w:lastRowFirstColumn="0" w:lastRowLastColumn="0"/>
            <w:tcW w:w="6516" w:type="dxa"/>
          </w:tcPr>
          <w:p w14:paraId="789DE187" w14:textId="123446EE" w:rsidR="00324B33" w:rsidRPr="00E679D1" w:rsidRDefault="00324B33" w:rsidP="00E679D1">
            <w:r w:rsidRPr="00E679D1">
              <w:t>Advisory Committee meeting</w:t>
            </w:r>
          </w:p>
        </w:tc>
        <w:tc>
          <w:tcPr>
            <w:tcW w:w="2126" w:type="dxa"/>
          </w:tcPr>
          <w:p w14:paraId="5BE1EDE7" w14:textId="26529EB0" w:rsidR="00324B33" w:rsidRPr="00D01DDB" w:rsidRDefault="00572A0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1/12/2023</w:t>
            </w:r>
          </w:p>
        </w:tc>
      </w:tr>
      <w:tr w:rsidR="00324B33" w:rsidRPr="00D01DDB" w14:paraId="6E5D32FE" w14:textId="77777777" w:rsidTr="00CD6FFD">
        <w:tc>
          <w:tcPr>
            <w:cnfStyle w:val="001000000000" w:firstRow="0" w:lastRow="0" w:firstColumn="1" w:lastColumn="0" w:oddVBand="0" w:evenVBand="0" w:oddHBand="0" w:evenHBand="0" w:firstRowFirstColumn="0" w:firstRowLastColumn="0" w:lastRowFirstColumn="0" w:lastRowLastColumn="0"/>
            <w:tcW w:w="6516" w:type="dxa"/>
          </w:tcPr>
          <w:p w14:paraId="4E95C44C" w14:textId="7A91C710" w:rsidR="00324B33" w:rsidRPr="00E679D1" w:rsidRDefault="00324B33" w:rsidP="00E679D1">
            <w:r w:rsidRPr="00E679D1">
              <w:t>Registration decision (Outcome)</w:t>
            </w:r>
          </w:p>
        </w:tc>
        <w:tc>
          <w:tcPr>
            <w:tcW w:w="2126" w:type="dxa"/>
          </w:tcPr>
          <w:p w14:paraId="62987ABD" w14:textId="5EE11BF4" w:rsidR="00324B33" w:rsidRPr="00D01DDB" w:rsidRDefault="00E5461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18/1/2024</w:t>
            </w:r>
          </w:p>
        </w:tc>
      </w:tr>
      <w:tr w:rsidR="00324B33" w:rsidRPr="00D01DDB" w14:paraId="6DDCDDA4" w14:textId="77777777" w:rsidTr="00CD6FFD">
        <w:tc>
          <w:tcPr>
            <w:cnfStyle w:val="001000000000" w:firstRow="0" w:lastRow="0" w:firstColumn="1" w:lastColumn="0" w:oddVBand="0" w:evenVBand="0" w:oddHBand="0" w:evenHBand="0" w:firstRowFirstColumn="0" w:firstRowLastColumn="0" w:lastRowFirstColumn="0" w:lastRowLastColumn="0"/>
            <w:tcW w:w="6516" w:type="dxa"/>
          </w:tcPr>
          <w:p w14:paraId="192FD19D" w14:textId="3612A2E7" w:rsidR="00324B33" w:rsidRPr="00E679D1" w:rsidRDefault="0013132F" w:rsidP="00E679D1">
            <w:r w:rsidRPr="00E679D1">
              <w:t xml:space="preserve">Administrative activities and registration </w:t>
            </w:r>
            <w:r w:rsidR="005C4B46" w:rsidRPr="00E679D1">
              <w:t xml:space="preserve">in </w:t>
            </w:r>
            <w:r w:rsidRPr="00E679D1">
              <w:t>the ARTG completed</w:t>
            </w:r>
          </w:p>
        </w:tc>
        <w:tc>
          <w:tcPr>
            <w:tcW w:w="2126" w:type="dxa"/>
          </w:tcPr>
          <w:p w14:paraId="5A8923FD" w14:textId="753058C3" w:rsidR="00324B33" w:rsidRPr="00D01DDB" w:rsidRDefault="00003B3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22/1/2024</w:t>
            </w:r>
          </w:p>
        </w:tc>
      </w:tr>
      <w:tr w:rsidR="00324B33" w:rsidRPr="00D01DDB" w14:paraId="56D922E2" w14:textId="77777777" w:rsidTr="00CD6FFD">
        <w:tc>
          <w:tcPr>
            <w:cnfStyle w:val="001000000000" w:firstRow="0" w:lastRow="0" w:firstColumn="1" w:lastColumn="0" w:oddVBand="0" w:evenVBand="0" w:oddHBand="0" w:evenHBand="0" w:firstRowFirstColumn="0" w:firstRowLastColumn="0" w:lastRowFirstColumn="0" w:lastRowLastColumn="0"/>
            <w:tcW w:w="6516" w:type="dxa"/>
          </w:tcPr>
          <w:p w14:paraId="787FD8DD" w14:textId="0E0CF97F" w:rsidR="00324B33" w:rsidRPr="00E679D1" w:rsidRDefault="00324B33" w:rsidP="00E679D1">
            <w:r w:rsidRPr="00E679D1">
              <w:t>Number of working days from submission dossier acceptance to registration decision*</w:t>
            </w:r>
          </w:p>
        </w:tc>
        <w:tc>
          <w:tcPr>
            <w:tcW w:w="2126" w:type="dxa"/>
          </w:tcPr>
          <w:p w14:paraId="5BAF9FA1" w14:textId="6836C221" w:rsidR="00324B33" w:rsidRPr="00D01DDB" w:rsidRDefault="00AE307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196</w:t>
            </w:r>
          </w:p>
        </w:tc>
      </w:tr>
    </w:tbl>
    <w:p w14:paraId="7B02554C" w14:textId="77777777" w:rsidR="00433318" w:rsidRPr="005E3FB3" w:rsidRDefault="00433318" w:rsidP="00DA79FE">
      <w:pPr>
        <w:pStyle w:val="TableDescription"/>
        <w:contextualSpacing/>
      </w:pPr>
      <w:r w:rsidRPr="005E3FB3">
        <w:t>*Statutory timeframe for standard submissions is 255 working days</w:t>
      </w:r>
    </w:p>
    <w:p w14:paraId="238F34C7" w14:textId="77777777" w:rsidR="00433318" w:rsidRPr="005E3FB3" w:rsidRDefault="00433318" w:rsidP="00DA79FE">
      <w:pPr>
        <w:pStyle w:val="TableDescription"/>
        <w:contextualSpacing/>
      </w:pPr>
      <w:r w:rsidRPr="005E3FB3">
        <w:t>* The COR-A process has a 120 working day evaluation and decision timeframe.</w:t>
      </w:r>
    </w:p>
    <w:p w14:paraId="47E88CFC" w14:textId="52215AAF" w:rsidR="00433318" w:rsidRPr="005E3FB3" w:rsidRDefault="00433318" w:rsidP="00DA79FE">
      <w:pPr>
        <w:pStyle w:val="TableDescription"/>
        <w:contextualSpacing/>
      </w:pPr>
      <w:r w:rsidRPr="005E3FB3">
        <w:t>* The COR-B process has a 175 working day evaluation and decision timeframe.</w:t>
      </w:r>
    </w:p>
    <w:p w14:paraId="220925F1" w14:textId="77777777" w:rsidR="00C22214" w:rsidRPr="00792A32" w:rsidRDefault="00C22214" w:rsidP="00C22214">
      <w:pPr>
        <w:pStyle w:val="Heading2"/>
      </w:pPr>
      <w:bookmarkStart w:id="29" w:name="_Toc196046504"/>
      <w:bookmarkStart w:id="30" w:name="_Toc247691527"/>
      <w:bookmarkStart w:id="31" w:name="_Toc314842510"/>
      <w:bookmarkStart w:id="32" w:name="_Toc103679294"/>
      <w:bookmarkStart w:id="33" w:name="_Toc170370164"/>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29"/>
      <w:bookmarkEnd w:id="30"/>
      <w:bookmarkEnd w:id="31"/>
      <w:bookmarkEnd w:id="32"/>
      <w:bookmarkEnd w:id="33"/>
    </w:p>
    <w:p w14:paraId="37F5A1C0" w14:textId="77777777" w:rsidR="00C22214" w:rsidRDefault="00C22214" w:rsidP="00C22214">
      <w:pPr>
        <w:pStyle w:val="Heading3"/>
      </w:pPr>
      <w:bookmarkStart w:id="34" w:name="_Toc247691528"/>
      <w:bookmarkStart w:id="35" w:name="_Toc314842511"/>
      <w:bookmarkStart w:id="36" w:name="_Toc103679295"/>
      <w:bookmarkStart w:id="37" w:name="_Toc170370165"/>
      <w:r>
        <w:t>Quality</w:t>
      </w:r>
      <w:bookmarkEnd w:id="34"/>
      <w:bookmarkEnd w:id="35"/>
      <w:bookmarkEnd w:id="36"/>
      <w:bookmarkEnd w:id="37"/>
    </w:p>
    <w:p w14:paraId="5490530F" w14:textId="0AE25360" w:rsidR="001E5E30" w:rsidRDefault="001E5E30" w:rsidP="001E5E30">
      <w:pPr>
        <w:pStyle w:val="Instructions"/>
        <w:rPr>
          <w:i w:val="0"/>
          <w:iCs/>
          <w:color w:val="auto"/>
        </w:rPr>
      </w:pPr>
      <w:r w:rsidRPr="001E5E30">
        <w:rPr>
          <w:i w:val="0"/>
          <w:iCs/>
          <w:color w:val="auto"/>
        </w:rPr>
        <w:t xml:space="preserve">The active ingredient in </w:t>
      </w:r>
      <w:r w:rsidR="00E4609C">
        <w:rPr>
          <w:i w:val="0"/>
          <w:iCs/>
          <w:color w:val="auto"/>
        </w:rPr>
        <w:t>WEZLANA</w:t>
      </w:r>
      <w:r w:rsidRPr="001E5E30">
        <w:rPr>
          <w:i w:val="0"/>
          <w:iCs/>
          <w:color w:val="auto"/>
        </w:rPr>
        <w:t xml:space="preserve"> is ustekinumab.</w:t>
      </w:r>
      <w:r w:rsidR="00294436">
        <w:rPr>
          <w:i w:val="0"/>
          <w:iCs/>
          <w:color w:val="auto"/>
        </w:rPr>
        <w:t xml:space="preserve"> </w:t>
      </w:r>
      <w:r w:rsidR="00E4609C">
        <w:rPr>
          <w:i w:val="0"/>
          <w:iCs/>
          <w:color w:val="auto"/>
        </w:rPr>
        <w:t>WEZLANA</w:t>
      </w:r>
      <w:r w:rsidRPr="001E5E30">
        <w:rPr>
          <w:i w:val="0"/>
          <w:iCs/>
          <w:color w:val="auto"/>
        </w:rPr>
        <w:t xml:space="preserve"> ustekinumab is a recombinant human IgG1kappa monoclonal antibody with a molecular weight of 145</w:t>
      </w:r>
      <w:r w:rsidR="00DA79FE">
        <w:rPr>
          <w:i w:val="0"/>
          <w:iCs/>
          <w:color w:val="auto"/>
        </w:rPr>
        <w:t xml:space="preserve"> </w:t>
      </w:r>
      <w:proofErr w:type="spellStart"/>
      <w:r w:rsidR="005E3FB3">
        <w:rPr>
          <w:i w:val="0"/>
          <w:iCs/>
          <w:color w:val="auto"/>
        </w:rPr>
        <w:t>k</w:t>
      </w:r>
      <w:r w:rsidRPr="001E5E30">
        <w:rPr>
          <w:i w:val="0"/>
          <w:iCs/>
          <w:color w:val="auto"/>
        </w:rPr>
        <w:t>Da</w:t>
      </w:r>
      <w:proofErr w:type="spellEnd"/>
      <w:r w:rsidRPr="001E5E30">
        <w:rPr>
          <w:i w:val="0"/>
          <w:iCs/>
          <w:color w:val="auto"/>
        </w:rPr>
        <w:t xml:space="preserve"> (not including glycans) comprising two heavy chain and two light chain molecules linked by disulfide bonds.</w:t>
      </w:r>
    </w:p>
    <w:p w14:paraId="2A4E3151" w14:textId="45309D7A" w:rsidR="008557BA" w:rsidRPr="00D82546" w:rsidRDefault="008557BA" w:rsidP="00CD6FFD">
      <w:pPr>
        <w:pStyle w:val="FigureTitle"/>
      </w:pPr>
      <w:r w:rsidRPr="0016404E">
        <w:lastRenderedPageBreak/>
        <w:t>Figure 1: Structural formula of ustekinum</w:t>
      </w:r>
      <w:r w:rsidR="00294436">
        <w:t>ab</w:t>
      </w:r>
    </w:p>
    <w:p w14:paraId="10823EC7" w14:textId="24A317D8" w:rsidR="008557BA" w:rsidRPr="008557BA" w:rsidRDefault="008557BA" w:rsidP="008557BA">
      <w:r w:rsidRPr="008557BA">
        <w:rPr>
          <w:noProof/>
        </w:rPr>
        <w:drawing>
          <wp:inline distT="0" distB="0" distL="0" distR="0" wp14:anchorId="1FD68513" wp14:editId="6C1EA013">
            <wp:extent cx="4728091" cy="3171001"/>
            <wp:effectExtent l="0" t="0" r="0" b="0"/>
            <wp:docPr id="1" name="Picture 1" descr="Structural formula of ustekin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ructural formula of ustekinumab"/>
                    <pic:cNvPicPr/>
                  </pic:nvPicPr>
                  <pic:blipFill>
                    <a:blip r:embed="rId18"/>
                    <a:stretch>
                      <a:fillRect/>
                    </a:stretch>
                  </pic:blipFill>
                  <pic:spPr>
                    <a:xfrm>
                      <a:off x="0" y="0"/>
                      <a:ext cx="4731354" cy="3173189"/>
                    </a:xfrm>
                    <a:prstGeom prst="rect">
                      <a:avLst/>
                    </a:prstGeom>
                  </pic:spPr>
                </pic:pic>
              </a:graphicData>
            </a:graphic>
          </wp:inline>
        </w:drawing>
      </w:r>
    </w:p>
    <w:p w14:paraId="4E9983BB" w14:textId="26080530" w:rsidR="009F6773" w:rsidRDefault="00CA5116" w:rsidP="006C1C2B">
      <w:pPr>
        <w:rPr>
          <w:lang w:val="en-GB"/>
        </w:rPr>
      </w:pPr>
      <w:r>
        <w:t xml:space="preserve">The primary container for the 45mg and 90mg prefilled syringe consists of a 1mL </w:t>
      </w:r>
      <w:r w:rsidR="00DA79FE">
        <w:t>t</w:t>
      </w:r>
      <w:r>
        <w:t>ype I glass syringe with a staked-in-place stainless steel needle. It is assembled with an elastomeric needle shield and plunger-stopped laminated with a fluoropolymer film on the product contact surface. The primary container closure system for the 45mg and 130mg vial consists of a Type I glass vial with elastomeric stopper and aluminium seal with flip-off cap. The product contact surface is laminated with a fluoropolymer film.</w:t>
      </w:r>
      <w:r w:rsidR="009F6773">
        <w:t xml:space="preserve"> Th</w:t>
      </w:r>
      <w:r w:rsidR="006C1C2B">
        <w:t xml:space="preserve">e pre-filled syringes and vials have a shelf life of 18 months, and a storage condition of </w:t>
      </w:r>
      <w:r w:rsidR="009F6773" w:rsidRPr="00BA37E5">
        <w:rPr>
          <w:lang w:val="en-GB"/>
        </w:rPr>
        <w:t>5°C ± 3°C (protected from light)</w:t>
      </w:r>
      <w:r w:rsidR="006C1C2B">
        <w:rPr>
          <w:lang w:val="en-GB"/>
        </w:rPr>
        <w:t>,</w:t>
      </w:r>
    </w:p>
    <w:p w14:paraId="3F60C792" w14:textId="1ABFB354" w:rsidR="00C20B56" w:rsidRDefault="00473E2E" w:rsidP="006A710A">
      <w:r>
        <w:t xml:space="preserve">There </w:t>
      </w:r>
      <w:r w:rsidR="00B53130">
        <w:t>wer</w:t>
      </w:r>
      <w:r>
        <w:t xml:space="preserve">e no objections on quality grounds to the approval </w:t>
      </w:r>
      <w:r w:rsidR="00E4609C">
        <w:t>WEZLANA</w:t>
      </w:r>
      <w:r>
        <w:t>.</w:t>
      </w:r>
    </w:p>
    <w:p w14:paraId="2BE90AAE" w14:textId="77777777" w:rsidR="00C22214" w:rsidRDefault="00C22214" w:rsidP="00C22214">
      <w:pPr>
        <w:pStyle w:val="Heading3"/>
      </w:pPr>
      <w:bookmarkStart w:id="38" w:name="_Toc314842512"/>
      <w:bookmarkStart w:id="39" w:name="_Toc103679296"/>
      <w:bookmarkStart w:id="40" w:name="_Toc170370166"/>
      <w:r>
        <w:t>Nonclinical</w:t>
      </w:r>
      <w:bookmarkEnd w:id="38"/>
      <w:bookmarkEnd w:id="39"/>
      <w:bookmarkEnd w:id="40"/>
    </w:p>
    <w:p w14:paraId="0813282D" w14:textId="2A730E47" w:rsidR="001E092C" w:rsidRDefault="001E092C" w:rsidP="001E092C">
      <w:r>
        <w:t xml:space="preserve">There were no nonclinical objections to registration of </w:t>
      </w:r>
      <w:r w:rsidR="00E4609C">
        <w:t>WEZLANA</w:t>
      </w:r>
      <w:r>
        <w:t>.</w:t>
      </w:r>
    </w:p>
    <w:p w14:paraId="23956343" w14:textId="0130CEBD" w:rsidR="008F05F4" w:rsidRDefault="008F05F4" w:rsidP="008F05F4">
      <w:r>
        <w:t>The non-clinical evaluator noted th</w:t>
      </w:r>
      <w:r w:rsidR="00A97D3A">
        <w:t>at</w:t>
      </w:r>
      <w:r>
        <w:t xml:space="preserve"> analytical studies</w:t>
      </w:r>
      <w:r w:rsidR="00492B8D">
        <w:t xml:space="preserve"> undertaken</w:t>
      </w:r>
      <w:r>
        <w:t xml:space="preserve"> indicat</w:t>
      </w:r>
      <w:r w:rsidR="00A97D3A">
        <w:t>ed</w:t>
      </w:r>
      <w:r>
        <w:t xml:space="preserve"> glycosylation differences between </w:t>
      </w:r>
      <w:r w:rsidR="00E4609C">
        <w:t>STELARA</w:t>
      </w:r>
      <w:r>
        <w:t xml:space="preserve"> (EU</w:t>
      </w:r>
      <w:r w:rsidR="001E092C">
        <w:t>-sourced</w:t>
      </w:r>
      <w:r>
        <w:t xml:space="preserve">) and </w:t>
      </w:r>
      <w:r w:rsidR="00E4609C">
        <w:t>WEZLANA</w:t>
      </w:r>
      <w:r w:rsidR="00E6756D">
        <w:t xml:space="preserve">, which </w:t>
      </w:r>
      <w:r>
        <w:t>require</w:t>
      </w:r>
      <w:r w:rsidR="00E6756D">
        <w:t>d</w:t>
      </w:r>
      <w:r w:rsidR="006B5A56">
        <w:t xml:space="preserve"> further</w:t>
      </w:r>
      <w:r>
        <w:t xml:space="preserve"> clinical pharmacology studies</w:t>
      </w:r>
      <w:r w:rsidR="009F3EFA">
        <w:t>, as presented below</w:t>
      </w:r>
      <w:r w:rsidR="00E6756D">
        <w:t>.</w:t>
      </w:r>
      <w:r w:rsidR="00492B8D">
        <w:t xml:space="preserve"> </w:t>
      </w:r>
      <w:r>
        <w:t xml:space="preserve">The pharmacological assessments </w:t>
      </w:r>
      <w:r w:rsidR="00183037">
        <w:t>were</w:t>
      </w:r>
      <w:r>
        <w:t xml:space="preserve"> considered acceptable to cover all proposed indications. The only notable difference was in binding to two </w:t>
      </w:r>
      <w:proofErr w:type="spellStart"/>
      <w:r>
        <w:t>FcγRs</w:t>
      </w:r>
      <w:proofErr w:type="spellEnd"/>
      <w:r>
        <w:t xml:space="preserve"> which is not significant from an in vivo perspective. It was acceptable to not include comparative toxicity studies.</w:t>
      </w:r>
    </w:p>
    <w:p w14:paraId="350DD676" w14:textId="1CBBCD71" w:rsidR="008F05F4" w:rsidRDefault="008F05F4" w:rsidP="008F05F4">
      <w:r>
        <w:t xml:space="preserve">Comparative pharmacology studies were included. Four in vitro pharmacology studies were undertaken, assessing inhibition of IL-12 and IL-23 induced STAT4 signalling. All studies included </w:t>
      </w:r>
      <w:r w:rsidR="00E4609C">
        <w:t>WEZLANA</w:t>
      </w:r>
      <w:r>
        <w:t xml:space="preserve"> and the EU and US sourced </w:t>
      </w:r>
      <w:r w:rsidR="00E4609C">
        <w:t>STELARA</w:t>
      </w:r>
      <w:r>
        <w:t>. All studies showed similar inhibitory activity.</w:t>
      </w:r>
    </w:p>
    <w:p w14:paraId="6EE92D87" w14:textId="27FC9F86" w:rsidR="008F05F4" w:rsidRDefault="008F05F4" w:rsidP="008F05F4">
      <w:r>
        <w:t xml:space="preserve">There were no toxicological comparative studies bridging the Australia-sourced </w:t>
      </w:r>
      <w:r w:rsidR="00E4609C">
        <w:t>STELARA</w:t>
      </w:r>
      <w:r>
        <w:t xml:space="preserve"> to the overseas sourced versions used in the clinical trials. This was considered acceptable as long as the dossier adequately bridged the Australian and overseas products.</w:t>
      </w:r>
    </w:p>
    <w:p w14:paraId="02848AE2" w14:textId="77777777" w:rsidR="008F05F4" w:rsidRDefault="008F05F4" w:rsidP="008F05F4">
      <w:r>
        <w:t>No animal studies were conducted due to non-human primates being the only sensitive species. Non-human primate studies are usually not recommended and of limited sensitivity due to small group sizes and inter-individual variability.</w:t>
      </w:r>
    </w:p>
    <w:p w14:paraId="35B580A5" w14:textId="69B9BE44" w:rsidR="00C22214" w:rsidRDefault="00C22214" w:rsidP="008804CF">
      <w:pPr>
        <w:pStyle w:val="Heading3"/>
      </w:pPr>
      <w:bookmarkStart w:id="41" w:name="_Toc247691530"/>
      <w:bookmarkStart w:id="42" w:name="_Toc314842513"/>
      <w:bookmarkStart w:id="43" w:name="_Toc103679297"/>
      <w:bookmarkStart w:id="44" w:name="_Toc170370167"/>
      <w:r>
        <w:lastRenderedPageBreak/>
        <w:t>Clinical</w:t>
      </w:r>
      <w:bookmarkEnd w:id="41"/>
      <w:bookmarkEnd w:id="42"/>
      <w:bookmarkEnd w:id="43"/>
      <w:bookmarkEnd w:id="44"/>
    </w:p>
    <w:p w14:paraId="32B0DEDA" w14:textId="77777777" w:rsidR="00C22214" w:rsidRPr="00433318" w:rsidRDefault="00C22214" w:rsidP="00433318">
      <w:pPr>
        <w:pStyle w:val="Heading4"/>
      </w:pPr>
      <w:bookmarkStart w:id="45" w:name="_Toc98931928"/>
      <w:bookmarkStart w:id="46" w:name="_Toc170370168"/>
      <w:r>
        <w:t>Summary of clinical studies</w:t>
      </w:r>
      <w:bookmarkEnd w:id="45"/>
      <w:bookmarkEnd w:id="46"/>
    </w:p>
    <w:p w14:paraId="46622364" w14:textId="2C728F95" w:rsidR="00C22214" w:rsidRPr="00BD5DBD" w:rsidRDefault="00C22214" w:rsidP="00C22214">
      <w:pPr>
        <w:rPr>
          <w:szCs w:val="22"/>
        </w:rPr>
      </w:pPr>
      <w:r w:rsidRPr="00BD5DBD">
        <w:rPr>
          <w:szCs w:val="22"/>
        </w:rPr>
        <w:t>The clinical dossier consisted of</w:t>
      </w:r>
      <w:r w:rsidR="007357B9" w:rsidRPr="00BD5DBD">
        <w:rPr>
          <w:szCs w:val="22"/>
        </w:rPr>
        <w:t>:</w:t>
      </w:r>
      <w:r w:rsidRPr="00BD5DBD">
        <w:rPr>
          <w:szCs w:val="22"/>
        </w:rPr>
        <w:t xml:space="preserve"> </w:t>
      </w:r>
    </w:p>
    <w:p w14:paraId="3DF49722" w14:textId="6AB62AA0" w:rsidR="00C22214" w:rsidRPr="00BD5DBD" w:rsidRDefault="000F6A77" w:rsidP="00C22214">
      <w:pPr>
        <w:pStyle w:val="ListBullet"/>
        <w:rPr>
          <w:szCs w:val="22"/>
        </w:rPr>
      </w:pPr>
      <w:r>
        <w:rPr>
          <w:szCs w:val="22"/>
        </w:rPr>
        <w:t>one</w:t>
      </w:r>
      <w:r w:rsidR="00C22214" w:rsidRPr="00BD5DBD">
        <w:rPr>
          <w:szCs w:val="22"/>
        </w:rPr>
        <w:t xml:space="preserve"> Phase I stud</w:t>
      </w:r>
      <w:r w:rsidR="001E0516">
        <w:rPr>
          <w:szCs w:val="22"/>
        </w:rPr>
        <w:t>y</w:t>
      </w:r>
      <w:r w:rsidR="00411BE4">
        <w:rPr>
          <w:szCs w:val="22"/>
        </w:rPr>
        <w:t>: 2019230 (safety</w:t>
      </w:r>
      <w:r w:rsidR="009E65DA">
        <w:rPr>
          <w:szCs w:val="22"/>
        </w:rPr>
        <w:t>, immunogenicity</w:t>
      </w:r>
      <w:r w:rsidR="00411BE4">
        <w:rPr>
          <w:szCs w:val="22"/>
        </w:rPr>
        <w:t>)</w:t>
      </w:r>
    </w:p>
    <w:p w14:paraId="4FA67B0D" w14:textId="53EF3FCF" w:rsidR="004204EB" w:rsidRPr="00BD5DBD" w:rsidRDefault="00411BE4" w:rsidP="00C22214">
      <w:pPr>
        <w:pStyle w:val="ListBullet"/>
        <w:rPr>
          <w:szCs w:val="22"/>
        </w:rPr>
      </w:pPr>
      <w:r>
        <w:rPr>
          <w:szCs w:val="22"/>
        </w:rPr>
        <w:t>two</w:t>
      </w:r>
      <w:r w:rsidR="004204EB">
        <w:rPr>
          <w:szCs w:val="22"/>
        </w:rPr>
        <w:t xml:space="preserve"> Phase III stud</w:t>
      </w:r>
      <w:r>
        <w:rPr>
          <w:szCs w:val="22"/>
        </w:rPr>
        <w:t>ies</w:t>
      </w:r>
      <w:r w:rsidR="004204EB">
        <w:rPr>
          <w:szCs w:val="22"/>
        </w:rPr>
        <w:t xml:space="preserve">: 2019230 (pharmacokinetics), </w:t>
      </w:r>
      <w:r w:rsidR="0080042D">
        <w:rPr>
          <w:szCs w:val="22"/>
        </w:rPr>
        <w:t>20190232 (</w:t>
      </w:r>
      <w:r w:rsidR="002A1A0D">
        <w:rPr>
          <w:szCs w:val="22"/>
        </w:rPr>
        <w:t>efficacy</w:t>
      </w:r>
      <w:r>
        <w:rPr>
          <w:szCs w:val="22"/>
        </w:rPr>
        <w:t>, safety</w:t>
      </w:r>
      <w:r w:rsidR="0080042D">
        <w:rPr>
          <w:szCs w:val="22"/>
        </w:rPr>
        <w:t>)</w:t>
      </w:r>
    </w:p>
    <w:p w14:paraId="36DD9FE3" w14:textId="77777777" w:rsidR="00AF5CAF" w:rsidRPr="00CD6FFD" w:rsidRDefault="00AF5CAF" w:rsidP="00AF5CAF">
      <w:pPr>
        <w:pStyle w:val="Heading4"/>
        <w:rPr>
          <w:rFonts w:eastAsia="Times New Roman"/>
          <w:b w:val="0"/>
          <w:i/>
          <w:color w:val="auto"/>
        </w:rPr>
      </w:pPr>
      <w:bookmarkStart w:id="47" w:name="_Toc170370169"/>
      <w:r w:rsidRPr="00AA53F4">
        <w:t>Pharmacology</w:t>
      </w:r>
      <w:bookmarkEnd w:id="47"/>
      <w:r w:rsidRPr="00901283">
        <w:rPr>
          <w:rFonts w:eastAsia="Times New Roman"/>
          <w:b w:val="0"/>
          <w:i/>
          <w:color w:val="7295D2" w:themeColor="accent1" w:themeTint="BF"/>
        </w:rPr>
        <w:t xml:space="preserve"> </w:t>
      </w:r>
    </w:p>
    <w:p w14:paraId="6F4B85E1" w14:textId="126C915E" w:rsidR="00AF5CAF" w:rsidRPr="00CD6FFD" w:rsidRDefault="00AF5CAF" w:rsidP="00AF5CAF">
      <w:pPr>
        <w:pStyle w:val="Heading5"/>
        <w:rPr>
          <w:b w:val="0"/>
          <w:color w:val="auto"/>
        </w:rPr>
      </w:pPr>
      <w:r w:rsidRPr="00AA53F4">
        <w:t>Pharmacokinetics</w:t>
      </w:r>
    </w:p>
    <w:p w14:paraId="3F5BF9CE" w14:textId="1B7BB14E" w:rsidR="00AF5CAF" w:rsidRDefault="00AF5CAF" w:rsidP="00AF5CAF">
      <w:r>
        <w:t xml:space="preserve">Study 20190230 was a randomised, double-blind, single-dose, </w:t>
      </w:r>
      <w:r w:rsidR="00A27C05">
        <w:t>three</w:t>
      </w:r>
      <w:r>
        <w:t xml:space="preserve"> arm, parallel group study to investigate the pharmacokinetic equivalence of </w:t>
      </w:r>
      <w:r w:rsidR="00E4609C">
        <w:t>WEZLANA</w:t>
      </w:r>
      <w:r w:rsidR="00FA0550">
        <w:t xml:space="preserve"> (</w:t>
      </w:r>
      <w:r w:rsidR="00FA0550" w:rsidRPr="00FA0550">
        <w:t xml:space="preserve">designated as </w:t>
      </w:r>
      <w:bookmarkStart w:id="48" w:name="_Hlk168147182"/>
      <w:r w:rsidR="00FA0550" w:rsidRPr="00FA0550">
        <w:t xml:space="preserve">ABP 654 </w:t>
      </w:r>
      <w:bookmarkEnd w:id="48"/>
      <w:r w:rsidR="00FA0550" w:rsidRPr="00FA0550">
        <w:t>during development</w:t>
      </w:r>
      <w:r w:rsidR="00FA0550">
        <w:t>)</w:t>
      </w:r>
      <w:r w:rsidR="00640C85">
        <w:t xml:space="preserve"> </w:t>
      </w:r>
      <w:r>
        <w:t xml:space="preserve">and </w:t>
      </w:r>
      <w:r w:rsidR="00E4609C">
        <w:t>STELARA</w:t>
      </w:r>
      <w:r>
        <w:t xml:space="preserve"> (both the US and EU products) in healthy adults. It was conducted at 3 centres in the US. Study duration was 140 days, including a </w:t>
      </w:r>
      <w:r w:rsidR="00DA79FE">
        <w:t>28-day</w:t>
      </w:r>
      <w:r>
        <w:t xml:space="preserve"> screening period and a 112 day on-study period. The study was to include 16% </w:t>
      </w:r>
      <w:r w:rsidR="00DA79FE">
        <w:t>first- or second-generation</w:t>
      </w:r>
      <w:r>
        <w:t xml:space="preserve"> Japanese subjects.</w:t>
      </w:r>
    </w:p>
    <w:p w14:paraId="468B316C" w14:textId="19B0EDFF" w:rsidR="00AF5CAF" w:rsidRDefault="00AF5CAF" w:rsidP="00AF5CAF">
      <w:r>
        <w:t xml:space="preserve">The primary objective was to compare the PK of </w:t>
      </w:r>
      <w:r w:rsidR="00FA0550">
        <w:t>ABP 654</w:t>
      </w:r>
      <w:r w:rsidR="00640C85">
        <w:t xml:space="preserve"> </w:t>
      </w:r>
      <w:r>
        <w:t xml:space="preserve">and </w:t>
      </w:r>
      <w:r w:rsidR="00E4609C">
        <w:t>STELARA</w:t>
      </w:r>
      <w:r w:rsidR="003E04C4">
        <w:t xml:space="preserve"> </w:t>
      </w:r>
      <w:r>
        <w:t xml:space="preserve">(EU and US) following a single subcutaneous dose of 90mg. The secondary objective was to compare the PK of </w:t>
      </w:r>
      <w:r w:rsidR="00E4609C">
        <w:t>STELARA</w:t>
      </w:r>
      <w:r>
        <w:t xml:space="preserve"> (US) and </w:t>
      </w:r>
      <w:r w:rsidR="00E4609C">
        <w:t>STELARA</w:t>
      </w:r>
      <w:r>
        <w:t xml:space="preserve"> (EU) and to determine the safety, tolerability and immunogenicity of all 3 treatments. </w:t>
      </w:r>
    </w:p>
    <w:p w14:paraId="64F3D10D" w14:textId="255870F5" w:rsidR="00AF5CAF" w:rsidRDefault="00AF5CAF" w:rsidP="00AF5CAF">
      <w:r>
        <w:t xml:space="preserve">Major inclusion criteria included being a healthy man or woman, aged 18 to 45 years, body weight 50 – 90kg, BMI 18-30 (non-Japanese) or 18-25 (Japanese) with clinically acceptable physician exam, laboratory tests, vital signs and ECG. Major exclusion criteria were being pregnant, not using highly effective contraception if of childbearing potential, recent or serious infections, </w:t>
      </w:r>
      <w:r w:rsidR="00DA79FE">
        <w:t>tuberculosis</w:t>
      </w:r>
      <w:r>
        <w:t xml:space="preserve"> exposure, history of malignancy and positive tests for HIV, </w:t>
      </w:r>
      <w:r w:rsidR="00DA79FE">
        <w:t>hepatitis B</w:t>
      </w:r>
      <w:r>
        <w:t xml:space="preserve"> surface antigen, </w:t>
      </w:r>
      <w:r w:rsidR="00DA79FE" w:rsidRPr="00DA79FE">
        <w:t>hepatitis B</w:t>
      </w:r>
      <w:r>
        <w:t xml:space="preserve"> core antibody or </w:t>
      </w:r>
      <w:r w:rsidR="00DA79FE" w:rsidRPr="00DA79FE">
        <w:t xml:space="preserve">hepatitis </w:t>
      </w:r>
      <w:r>
        <w:t>C antibody.</w:t>
      </w:r>
    </w:p>
    <w:p w14:paraId="78A7D13C" w14:textId="77777777" w:rsidR="00AF5CAF" w:rsidRDefault="00AF5CAF" w:rsidP="00AF5CAF">
      <w:r>
        <w:t xml:space="preserve">The sample size of 231 (n=77 per treatment group) was calculated to provide &gt; 90% power, including assumptions of a true </w:t>
      </w:r>
      <w:bookmarkStart w:id="49" w:name="_Hlk168147050"/>
      <w:r>
        <w:t>geometric mean ratio (GMR)</w:t>
      </w:r>
      <w:bookmarkEnd w:id="49"/>
      <w:r>
        <w:t xml:space="preserve"> of 1 with margins 0.80 – 1.25 and alpha = 0.05 (two 1-sided tests).</w:t>
      </w:r>
    </w:p>
    <w:p w14:paraId="5912F21E" w14:textId="4662E97A" w:rsidR="00AF5CAF" w:rsidRDefault="00AF5CAF" w:rsidP="00AF5CAF">
      <w:r>
        <w:t xml:space="preserve">PK parameters were estimated using noncompartmental methods with Phoenix </w:t>
      </w:r>
      <w:proofErr w:type="spellStart"/>
      <w:r>
        <w:t>WinNonlin</w:t>
      </w:r>
      <w:proofErr w:type="spellEnd"/>
      <w:r>
        <w:t xml:space="preserve"> using best fit regression. During the study, 237 subjects were dosed with study drug, including 40 Japanese subjects. Of these, 10 discontinued (withdrawal by subject, lost to follow up and other). Demographics were comparable between the groups. Overall, 50.6% were female, 56.5% were white and 16.9% were </w:t>
      </w:r>
      <w:r w:rsidR="00DA79FE">
        <w:t>first- or second-generation</w:t>
      </w:r>
      <w:r>
        <w:t xml:space="preserve"> Japanese. The mean age was 32 years. Frequent protocol deviations were noted, with the most common being either related to “visit window/other” or “study procedures/safety assessment”.</w:t>
      </w:r>
    </w:p>
    <w:p w14:paraId="46DF4489" w14:textId="31343D30" w:rsidR="00AF5CAF" w:rsidRDefault="00AF5CAF" w:rsidP="00AF5CAF">
      <w:r>
        <w:t>Pharmacokinetic samples were to be collected at pre</w:t>
      </w:r>
      <w:r w:rsidR="00640C85">
        <w:t>-</w:t>
      </w:r>
      <w:r>
        <w:t xml:space="preserve">dose, 8 hours, 24 hours and days 3, 7, 9, 11, 13, 21, 28, 35, 49, 56, 70, 98 and 112. As can be seen from the time-concentration curves, similar PK was seen for </w:t>
      </w:r>
      <w:r w:rsidR="00FA0550">
        <w:t>ABP 654</w:t>
      </w:r>
      <w:r>
        <w:t xml:space="preserve"> and </w:t>
      </w:r>
      <w:r w:rsidR="00E4609C">
        <w:t>STELARA</w:t>
      </w:r>
      <w:r>
        <w:t xml:space="preserve"> (US) and </w:t>
      </w:r>
      <w:r w:rsidR="00E4609C">
        <w:t>STELARA</w:t>
      </w:r>
      <w:r w:rsidR="00640C85">
        <w:t xml:space="preserve"> </w:t>
      </w:r>
      <w:r>
        <w:t>(EU) (</w:t>
      </w:r>
      <w:r>
        <w:fldChar w:fldCharType="begin"/>
      </w:r>
      <w:r>
        <w:instrText xml:space="preserve"> REF _Ref147408253 \h </w:instrText>
      </w:r>
      <w:r>
        <w:fldChar w:fldCharType="separate"/>
      </w:r>
      <w:r>
        <w:t xml:space="preserve">Figure </w:t>
      </w:r>
      <w:r>
        <w:fldChar w:fldCharType="end"/>
      </w:r>
      <w:r w:rsidR="00DD5352">
        <w:t>2</w:t>
      </w:r>
      <w:r>
        <w:t>). Peak concentrations were observed at about 7 days and then declined in a monophasic manner with a t</w:t>
      </w:r>
      <w:r w:rsidRPr="00640C85">
        <w:rPr>
          <w:vertAlign w:val="subscript"/>
        </w:rPr>
        <w:t xml:space="preserve">1/2 </w:t>
      </w:r>
      <w:r>
        <w:t xml:space="preserve">of about 23 days. These data are consistent with what is known for </w:t>
      </w:r>
      <w:r w:rsidR="00E4609C">
        <w:t>STELARA</w:t>
      </w:r>
      <w:r>
        <w:t>. PK sampling was shown to be adequate to define the AUCinf.</w:t>
      </w:r>
    </w:p>
    <w:p w14:paraId="721F4EF8" w14:textId="77777777" w:rsidR="00CD6FFD" w:rsidRDefault="00CD6FFD" w:rsidP="00CD6FFD">
      <w:pPr>
        <w:pStyle w:val="FigureTitle"/>
      </w:pPr>
      <w:r w:rsidRPr="00E56021">
        <w:lastRenderedPageBreak/>
        <w:t>Figure 2</w:t>
      </w:r>
      <w:r>
        <w:t>.</w:t>
      </w:r>
      <w:r w:rsidRPr="00E56021">
        <w:t xml:space="preserve"> Mean (+/- SD) concentrations over time (PK concentration Analysis set)</w:t>
      </w:r>
    </w:p>
    <w:p w14:paraId="3AFF56D5" w14:textId="5EDDC67F" w:rsidR="00CD6FFD" w:rsidRDefault="00CD6FFD" w:rsidP="00CD6FFD">
      <w:r>
        <w:rPr>
          <w:noProof/>
        </w:rPr>
        <w:drawing>
          <wp:inline distT="0" distB="0" distL="0" distR="0" wp14:anchorId="7D6F5A49" wp14:editId="3116C00A">
            <wp:extent cx="5596890" cy="3108960"/>
            <wp:effectExtent l="0" t="0" r="3810" b="0"/>
            <wp:docPr id="2" name="Picture 2" descr="Figure 2. Mean (+/- SD) concentrations over time (PK concentration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Mean (+/- SD) concentrations over time (PK concentration Analysis s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6890" cy="3108960"/>
                    </a:xfrm>
                    <a:prstGeom prst="rect">
                      <a:avLst/>
                    </a:prstGeom>
                    <a:noFill/>
                  </pic:spPr>
                </pic:pic>
              </a:graphicData>
            </a:graphic>
          </wp:inline>
        </w:drawing>
      </w:r>
    </w:p>
    <w:p w14:paraId="10E6F64D" w14:textId="712AC1A1" w:rsidR="00CE5A25" w:rsidRPr="00CE5A25" w:rsidRDefault="00AF5CAF" w:rsidP="00CE5A25">
      <w:r>
        <w:t>The exposure and t</w:t>
      </w:r>
      <w:r w:rsidRPr="00CE5A25">
        <w:rPr>
          <w:vertAlign w:val="subscript"/>
        </w:rPr>
        <w:t xml:space="preserve">1/2 </w:t>
      </w:r>
      <w:r>
        <w:t xml:space="preserve">for each arm of the trial are shown in </w:t>
      </w:r>
      <w:r>
        <w:fldChar w:fldCharType="begin"/>
      </w:r>
      <w:r>
        <w:instrText xml:space="preserve"> REF _Ref147408811 \h </w:instrText>
      </w:r>
      <w:r>
        <w:fldChar w:fldCharType="separate"/>
      </w:r>
      <w:r>
        <w:t xml:space="preserve">Table </w:t>
      </w:r>
      <w:r>
        <w:fldChar w:fldCharType="end"/>
      </w:r>
      <w:r w:rsidR="00CE5A25">
        <w:t>4</w:t>
      </w:r>
      <w:r>
        <w:t>.</w:t>
      </w:r>
      <w:bookmarkStart w:id="50" w:name="_Ref147408811"/>
    </w:p>
    <w:p w14:paraId="5DAAE6B9" w14:textId="5B54AD04" w:rsidR="00AF5CAF" w:rsidRPr="00E56021" w:rsidRDefault="00AF5CAF" w:rsidP="00CD6FFD">
      <w:pPr>
        <w:pStyle w:val="TableTitle"/>
      </w:pPr>
      <w:r w:rsidRPr="00E56021">
        <w:t xml:space="preserve">Table </w:t>
      </w:r>
      <w:bookmarkEnd w:id="50"/>
      <w:r w:rsidR="00064E03" w:rsidRPr="00E56021">
        <w:t>4</w:t>
      </w:r>
      <w:r w:rsidR="00CE5A25" w:rsidRPr="00E56021">
        <w:t xml:space="preserve">: </w:t>
      </w:r>
      <w:r w:rsidR="00064E03" w:rsidRPr="00E56021">
        <w:t>E</w:t>
      </w:r>
      <w:r w:rsidRPr="00E56021">
        <w:t>xposure and t</w:t>
      </w:r>
      <w:r w:rsidRPr="00E56021">
        <w:rPr>
          <w:vertAlign w:val="subscript"/>
        </w:rPr>
        <w:t xml:space="preserve">1/2 </w:t>
      </w:r>
      <w:r w:rsidRPr="00E56021">
        <w:t>values</w:t>
      </w:r>
    </w:p>
    <w:p w14:paraId="006239A0" w14:textId="5868AA07" w:rsidR="00AF5CAF" w:rsidRDefault="00CD6FFD" w:rsidP="00AF5CAF">
      <w:r>
        <w:rPr>
          <w:b/>
          <w:noProof/>
        </w:rPr>
        <w:drawing>
          <wp:inline distT="0" distB="0" distL="0" distR="0" wp14:anchorId="424FC049" wp14:editId="26876BAB">
            <wp:extent cx="5759450" cy="1732381"/>
            <wp:effectExtent l="0" t="0" r="0" b="1270"/>
            <wp:docPr id="10" name="Picture 10" descr="Table 4: Exposure and t1/2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4: Exposure and t1/2 valu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1732381"/>
                    </a:xfrm>
                    <a:prstGeom prst="rect">
                      <a:avLst/>
                    </a:prstGeom>
                    <a:noFill/>
                  </pic:spPr>
                </pic:pic>
              </a:graphicData>
            </a:graphic>
          </wp:inline>
        </w:drawing>
      </w:r>
    </w:p>
    <w:p w14:paraId="132465DE" w14:textId="2DBF44E1" w:rsidR="006D20EA" w:rsidRDefault="00AF5CAF">
      <w:r>
        <w:t xml:space="preserve">The primary study outcomes – </w:t>
      </w:r>
      <w:r w:rsidR="00E56021">
        <w:t>that is,</w:t>
      </w:r>
      <w:r>
        <w:t xml:space="preserve"> the least squared GMR of </w:t>
      </w:r>
      <w:r w:rsidR="00FA0550">
        <w:t>ABP 654</w:t>
      </w:r>
      <w:r>
        <w:t xml:space="preserve"> and both </w:t>
      </w:r>
      <w:r w:rsidR="00E4609C">
        <w:t>STELARA</w:t>
      </w:r>
      <w:r>
        <w:t xml:space="preserve"> (US) and </w:t>
      </w:r>
      <w:r w:rsidR="00E4609C">
        <w:t>STELARA</w:t>
      </w:r>
      <w:r w:rsidR="00640C85">
        <w:t xml:space="preserve"> </w:t>
      </w:r>
      <w:r>
        <w:t xml:space="preserve">(EU) for </w:t>
      </w:r>
      <w:bookmarkStart w:id="51" w:name="_Hlk168147079"/>
      <w:proofErr w:type="spellStart"/>
      <w:r>
        <w:t>AUC</w:t>
      </w:r>
      <w:r w:rsidRPr="00DA79FE">
        <w:rPr>
          <w:vertAlign w:val="subscript"/>
        </w:rPr>
        <w:t>last</w:t>
      </w:r>
      <w:proofErr w:type="spellEnd"/>
      <w:r>
        <w:t>, AUC</w:t>
      </w:r>
      <w:r w:rsidRPr="00DA79FE">
        <w:rPr>
          <w:vertAlign w:val="subscript"/>
        </w:rPr>
        <w:t>inf</w:t>
      </w:r>
      <w:r>
        <w:t xml:space="preserve"> and </w:t>
      </w:r>
      <w:proofErr w:type="spellStart"/>
      <w:r>
        <w:t>C</w:t>
      </w:r>
      <w:r w:rsidRPr="00DA79FE">
        <w:rPr>
          <w:vertAlign w:val="subscript"/>
        </w:rPr>
        <w:t>max</w:t>
      </w:r>
      <w:proofErr w:type="spellEnd"/>
      <w:r>
        <w:t xml:space="preserve"> </w:t>
      </w:r>
      <w:bookmarkEnd w:id="51"/>
      <w:r>
        <w:t>– were consistent with bioequivalence given the 90% confidence intervals that were within the pre-specified range (</w:t>
      </w:r>
      <w:r w:rsidR="00E56021">
        <w:t>that is,</w:t>
      </w:r>
      <w:r>
        <w:t xml:space="preserve"> -0.80 – 1.25) (</w:t>
      </w:r>
      <w:r>
        <w:fldChar w:fldCharType="begin"/>
      </w:r>
      <w:r>
        <w:instrText xml:space="preserve"> REF _Ref147409071 \h </w:instrText>
      </w:r>
      <w:r>
        <w:fldChar w:fldCharType="separate"/>
      </w:r>
      <w:r>
        <w:t xml:space="preserve">Table </w:t>
      </w:r>
      <w:r>
        <w:fldChar w:fldCharType="end"/>
      </w:r>
      <w:r w:rsidR="00CE5A25">
        <w:t>5</w:t>
      </w:r>
      <w:r>
        <w:t>). Note that the PK parameters analysis set included nearly all subjects who received ustekinumab. Subgroup analysis of Japanese subjects as well as binding ADA negative subjects also confirmed bioequivalence.</w:t>
      </w:r>
      <w:bookmarkStart w:id="52" w:name="_Ref147409071"/>
    </w:p>
    <w:p w14:paraId="6C8848B1" w14:textId="7B0DB9EB" w:rsidR="00AF5CAF" w:rsidRPr="00CE5A25" w:rsidRDefault="00AF5CAF" w:rsidP="00CD6FFD">
      <w:pPr>
        <w:pStyle w:val="TableTitle"/>
      </w:pPr>
      <w:r w:rsidRPr="00CE5A25">
        <w:lastRenderedPageBreak/>
        <w:t xml:space="preserve">Table </w:t>
      </w:r>
      <w:r w:rsidR="00CE5A25" w:rsidRPr="00CE5A25">
        <w:t>5</w:t>
      </w:r>
      <w:bookmarkEnd w:id="52"/>
      <w:r w:rsidR="00CE5A25" w:rsidRPr="00CE5A25">
        <w:t>:</w:t>
      </w:r>
      <w:r w:rsidRPr="00CE5A25">
        <w:t xml:space="preserve"> Summary of statistical assessment of PK parameters</w:t>
      </w:r>
    </w:p>
    <w:p w14:paraId="4359B120" w14:textId="77777777" w:rsidR="00AF5CAF" w:rsidRDefault="00AF5CAF" w:rsidP="00AF5CAF">
      <w:r>
        <w:rPr>
          <w:noProof/>
        </w:rPr>
        <w:drawing>
          <wp:inline distT="0" distB="0" distL="0" distR="0" wp14:anchorId="2FF3719B" wp14:editId="28A545F1">
            <wp:extent cx="5731510" cy="2997200"/>
            <wp:effectExtent l="0" t="0" r="2540" b="0"/>
            <wp:docPr id="4" name="Picture 4" descr="Summary of statistical assessment of pharmacokinetic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ummary of statistical assessment of pharmacokinetic parameters"/>
                    <pic:cNvPicPr/>
                  </pic:nvPicPr>
                  <pic:blipFill>
                    <a:blip r:embed="rId21"/>
                    <a:stretch>
                      <a:fillRect/>
                    </a:stretch>
                  </pic:blipFill>
                  <pic:spPr>
                    <a:xfrm>
                      <a:off x="0" y="0"/>
                      <a:ext cx="5731510" cy="2997200"/>
                    </a:xfrm>
                    <a:prstGeom prst="rect">
                      <a:avLst/>
                    </a:prstGeom>
                  </pic:spPr>
                </pic:pic>
              </a:graphicData>
            </a:graphic>
          </wp:inline>
        </w:drawing>
      </w:r>
    </w:p>
    <w:p w14:paraId="62ECF828" w14:textId="3991010E" w:rsidR="00AF5CAF" w:rsidRDefault="00AF5CAF" w:rsidP="00AF5CAF">
      <w:r>
        <w:t xml:space="preserve">The pivotal phase 3 study 20190232 also investigated the PK of </w:t>
      </w:r>
      <w:r w:rsidR="00FA0550">
        <w:t>ABP 654</w:t>
      </w:r>
      <w:r w:rsidR="00640C85">
        <w:t xml:space="preserve"> </w:t>
      </w:r>
      <w:r>
        <w:t>in the target patient population of moderate to severe plaque psoriasis. Serum samples for concentration measurement were collected at baseline and weeks 4, 12, 28, 32, 40 and 52 (EOS) (subjects undergoing dose intensification did not have a week 40 sample collected). Through week 28, trough concentrations were similar for each treatment group (</w:t>
      </w:r>
      <w:r>
        <w:fldChar w:fldCharType="begin"/>
      </w:r>
      <w:r>
        <w:instrText xml:space="preserve"> REF _Ref149577953 \h </w:instrText>
      </w:r>
      <w:r>
        <w:fldChar w:fldCharType="separate"/>
      </w:r>
      <w:r>
        <w:t xml:space="preserve">Figure </w:t>
      </w:r>
      <w:r>
        <w:fldChar w:fldCharType="end"/>
      </w:r>
      <w:r w:rsidR="00E56021">
        <w:t>3</w:t>
      </w:r>
      <w:r>
        <w:t xml:space="preserve">), although tended to be slightly higher for ABP 654. For example, at week 28 the geometric LS mean concentration was 608.38 ng/mL for ABP 654 and 539.67 ng/mL for </w:t>
      </w:r>
      <w:r w:rsidR="00E4609C">
        <w:t>STELARA</w:t>
      </w:r>
      <w:r>
        <w:t>. Also</w:t>
      </w:r>
      <w:r w:rsidR="00DA79FE">
        <w:t>,</w:t>
      </w:r>
      <w:r>
        <w:t xml:space="preserve"> the 90% confidence interval for the ratio of these means was 1.00 – 1.27 (</w:t>
      </w:r>
      <w:r w:rsidR="00E56021">
        <w:t>that is,</w:t>
      </w:r>
      <w:r>
        <w:t xml:space="preserve"> just above the upper limit usually set at 1.25). Post week 28, trough serum concentrations were similar for both re-randomised subjects and dose intensification subjects.</w:t>
      </w:r>
    </w:p>
    <w:p w14:paraId="37F90713" w14:textId="5E35E809" w:rsidR="00AF5CAF" w:rsidRPr="00E56021" w:rsidRDefault="00AF5CAF" w:rsidP="0016404E">
      <w:pPr>
        <w:pStyle w:val="FigureTitle"/>
      </w:pPr>
      <w:bookmarkStart w:id="53" w:name="_Ref149577953"/>
      <w:r w:rsidRPr="00E56021">
        <w:t xml:space="preserve">Figure </w:t>
      </w:r>
      <w:bookmarkEnd w:id="53"/>
      <w:r w:rsidR="00E56021">
        <w:t>3:</w:t>
      </w:r>
      <w:r w:rsidRPr="00E56021">
        <w:t xml:space="preserve"> Boxplot of trough concentrations through week 28</w:t>
      </w:r>
    </w:p>
    <w:p w14:paraId="79D4641A" w14:textId="18FEB900" w:rsidR="00AF5CAF" w:rsidRDefault="00064E03" w:rsidP="00AF5CAF">
      <w:r>
        <w:rPr>
          <w:noProof/>
        </w:rPr>
        <w:drawing>
          <wp:inline distT="0" distB="0" distL="0" distR="0" wp14:anchorId="7F0C0625" wp14:editId="2C7096B7">
            <wp:extent cx="5819702" cy="3190875"/>
            <wp:effectExtent l="0" t="0" r="0" b="0"/>
            <wp:docPr id="14" name="Picture 14" descr="Boxplot of trough concentrations through we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oxplot of trough concentrations through week 28"/>
                    <pic:cNvPicPr/>
                  </pic:nvPicPr>
                  <pic:blipFill rotWithShape="1">
                    <a:blip r:embed="rId22"/>
                    <a:srcRect b="5826"/>
                    <a:stretch/>
                  </pic:blipFill>
                  <pic:spPr bwMode="auto">
                    <a:xfrm>
                      <a:off x="0" y="0"/>
                      <a:ext cx="5829386" cy="3196185"/>
                    </a:xfrm>
                    <a:prstGeom prst="rect">
                      <a:avLst/>
                    </a:prstGeom>
                    <a:ln>
                      <a:noFill/>
                    </a:ln>
                    <a:extLst>
                      <a:ext uri="{53640926-AAD7-44D8-BBD7-CCE9431645EC}">
                        <a14:shadowObscured xmlns:a14="http://schemas.microsoft.com/office/drawing/2010/main"/>
                      </a:ext>
                    </a:extLst>
                  </pic:spPr>
                </pic:pic>
              </a:graphicData>
            </a:graphic>
          </wp:inline>
        </w:drawing>
      </w:r>
    </w:p>
    <w:p w14:paraId="452C56B4" w14:textId="77777777" w:rsidR="00BA0287" w:rsidRDefault="00BA0287" w:rsidP="00BA0287">
      <w:pPr>
        <w:pStyle w:val="Heading4"/>
      </w:pPr>
      <w:bookmarkStart w:id="54" w:name="_Toc170370170"/>
      <w:r w:rsidRPr="00AA53F4">
        <w:lastRenderedPageBreak/>
        <w:t>Efficacy</w:t>
      </w:r>
      <w:bookmarkEnd w:id="54"/>
    </w:p>
    <w:p w14:paraId="5107149A" w14:textId="34A83811" w:rsidR="00BA0287" w:rsidRDefault="00BA0287" w:rsidP="00BA0287">
      <w:r>
        <w:t xml:space="preserve">Study 20190232 was a randomised, double blind, active controlled phase 3 study of </w:t>
      </w:r>
      <w:r w:rsidR="00FA0550">
        <w:t>ABP 654</w:t>
      </w:r>
      <w:r>
        <w:t xml:space="preserve"> and </w:t>
      </w:r>
      <w:r w:rsidR="00E4609C">
        <w:t>STELARA</w:t>
      </w:r>
      <w:r>
        <w:t xml:space="preserve"> (the EU product was used in this study) in adult patients with moderate to severe psoriasis. The study was conducted in Europe and North America. Subjects were randomised 1:1 to receive either </w:t>
      </w:r>
      <w:r w:rsidR="00FA0550">
        <w:t>ABP 654</w:t>
      </w:r>
      <w:r>
        <w:t xml:space="preserve"> or</w:t>
      </w:r>
      <w:r w:rsidR="00E56021">
        <w:t xml:space="preserve"> </w:t>
      </w:r>
      <w:r w:rsidR="00E4609C">
        <w:t>STELARA</w:t>
      </w:r>
      <w:r>
        <w:t xml:space="preserve"> at a dose of 45mg (weight ≤ 100kg) or 90mg (weight &gt;100kg) subcutaneously on day 1, week 4 and week 16. The primary objective was to compare the efficacy of the treatment arms and the secondary objective was to compare their safety and immunogenicity.</w:t>
      </w:r>
    </w:p>
    <w:p w14:paraId="17AE304A" w14:textId="44A6A329" w:rsidR="00BA0287" w:rsidRDefault="00BA0287" w:rsidP="00BA0287">
      <w:r>
        <w:t>At week 28 (</w:t>
      </w:r>
      <w:r w:rsidR="00E56021">
        <w:t>that is,</w:t>
      </w:r>
      <w:r>
        <w:t xml:space="preserve"> after the first </w:t>
      </w:r>
      <w:r w:rsidR="00A27C05">
        <w:t>three</w:t>
      </w:r>
      <w:r>
        <w:t xml:space="preserve"> doses of study drug) subjects were assessed and either discontinued or continued with the study, according to the following (</w:t>
      </w:r>
      <w:r>
        <w:fldChar w:fldCharType="begin"/>
      </w:r>
      <w:r>
        <w:instrText xml:space="preserve"> REF _Ref147505247 \h </w:instrText>
      </w:r>
      <w:r>
        <w:fldChar w:fldCharType="separate"/>
      </w:r>
      <w:r>
        <w:t xml:space="preserve">Figure </w:t>
      </w:r>
      <w:r>
        <w:fldChar w:fldCharType="end"/>
      </w:r>
      <w:r w:rsidR="00E56021">
        <w:t>4</w:t>
      </w:r>
      <w:r>
        <w:t>):</w:t>
      </w:r>
    </w:p>
    <w:p w14:paraId="107F4048" w14:textId="52057BA7" w:rsidR="00BA0287" w:rsidRPr="002A1A0D" w:rsidRDefault="00BA0287" w:rsidP="00CD6FFD">
      <w:pPr>
        <w:pStyle w:val="ListBullet"/>
      </w:pPr>
      <w:r w:rsidRPr="002A1A0D">
        <w:t xml:space="preserve">Subjects receiving </w:t>
      </w:r>
      <w:r w:rsidR="00FA0550">
        <w:t>ABP 654</w:t>
      </w:r>
      <w:r w:rsidR="00E56021">
        <w:t xml:space="preserve"> </w:t>
      </w:r>
      <w:r w:rsidRPr="002A1A0D">
        <w:t>who achieved PASI50 or better continued either at same dose or intensified dose, according to specified criteria</w:t>
      </w:r>
      <w:r w:rsidR="00DA79FE">
        <w:t>.</w:t>
      </w:r>
    </w:p>
    <w:p w14:paraId="7CD1C2E0" w14:textId="37659D5F" w:rsidR="00BA0287" w:rsidRPr="002A1A0D" w:rsidRDefault="00BA0287" w:rsidP="00CD6FFD">
      <w:pPr>
        <w:pStyle w:val="ListBullet"/>
      </w:pPr>
      <w:r w:rsidRPr="002A1A0D">
        <w:t xml:space="preserve">Subjects receiving </w:t>
      </w:r>
      <w:r w:rsidR="00E4609C">
        <w:t>STELARA</w:t>
      </w:r>
      <w:r w:rsidRPr="002A1A0D">
        <w:t xml:space="preserve"> who achieved PASI50 – 75 and required dose intensification, continued with an intensified dose (</w:t>
      </w:r>
      <w:r w:rsidR="00E56021">
        <w:t>that is,</w:t>
      </w:r>
      <w:r w:rsidRPr="002A1A0D">
        <w:t xml:space="preserve"> dosing frequency changed to every 8 weeks)</w:t>
      </w:r>
      <w:r w:rsidR="00DA79FE">
        <w:t>.</w:t>
      </w:r>
    </w:p>
    <w:p w14:paraId="162DF879" w14:textId="505307F9" w:rsidR="00BA0287" w:rsidRPr="002A1A0D" w:rsidRDefault="00BA0287" w:rsidP="00CD6FFD">
      <w:pPr>
        <w:pStyle w:val="ListBullet"/>
      </w:pPr>
      <w:r w:rsidRPr="002A1A0D">
        <w:t xml:space="preserve">Subjects receiving </w:t>
      </w:r>
      <w:r w:rsidR="00E4609C">
        <w:t>STELARA</w:t>
      </w:r>
      <w:r w:rsidRPr="002A1A0D">
        <w:t xml:space="preserve"> who achieved PASI50 or better, and did not require dose intensification, were rerandomized to either continue or switch to </w:t>
      </w:r>
      <w:r w:rsidR="00FA0550">
        <w:t>ABP 654</w:t>
      </w:r>
      <w:r w:rsidRPr="002A1A0D">
        <w:t xml:space="preserve"> at same dose, dosing every 12 weeks</w:t>
      </w:r>
      <w:r w:rsidR="00DA79FE">
        <w:t>.</w:t>
      </w:r>
    </w:p>
    <w:p w14:paraId="7CA1FF6A" w14:textId="1C65B9B8" w:rsidR="00BA0287" w:rsidRPr="002A1A0D" w:rsidRDefault="00BA0287" w:rsidP="00CD6FFD">
      <w:pPr>
        <w:pStyle w:val="ListBullet"/>
      </w:pPr>
      <w:r w:rsidRPr="002A1A0D">
        <w:t>Subjects who did not achieve PASI50 were considered to have completed the study</w:t>
      </w:r>
      <w:r w:rsidR="00DA79FE">
        <w:t>.</w:t>
      </w:r>
    </w:p>
    <w:p w14:paraId="701731EF" w14:textId="01F4B334" w:rsidR="00BA0287" w:rsidRPr="00E56021" w:rsidRDefault="00BA0287" w:rsidP="0016404E">
      <w:pPr>
        <w:pStyle w:val="FigureTitle"/>
      </w:pPr>
      <w:bookmarkStart w:id="55" w:name="_Ref147505247"/>
      <w:r w:rsidRPr="00E56021">
        <w:t xml:space="preserve">Figure </w:t>
      </w:r>
      <w:bookmarkEnd w:id="55"/>
      <w:r w:rsidR="00E56021" w:rsidRPr="00E56021">
        <w:t>4:</w:t>
      </w:r>
      <w:r w:rsidRPr="00E56021">
        <w:t xml:space="preserve"> Study design</w:t>
      </w:r>
    </w:p>
    <w:p w14:paraId="44E38740" w14:textId="77777777" w:rsidR="00BA0287" w:rsidRDefault="00BA0287" w:rsidP="00BA0287">
      <w:r>
        <w:rPr>
          <w:noProof/>
        </w:rPr>
        <w:drawing>
          <wp:inline distT="0" distB="0" distL="0" distR="0" wp14:anchorId="696ABC0F" wp14:editId="71C6AC7B">
            <wp:extent cx="5731510" cy="4002405"/>
            <wp:effectExtent l="0" t="0" r="2540" b="0"/>
            <wp:docPr id="7" name="Picture 7" descr="Study design for study 2019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udy design for study 20190232"/>
                    <pic:cNvPicPr/>
                  </pic:nvPicPr>
                  <pic:blipFill>
                    <a:blip r:embed="rId23"/>
                    <a:stretch>
                      <a:fillRect/>
                    </a:stretch>
                  </pic:blipFill>
                  <pic:spPr>
                    <a:xfrm>
                      <a:off x="0" y="0"/>
                      <a:ext cx="5731510" cy="4002405"/>
                    </a:xfrm>
                    <a:prstGeom prst="rect">
                      <a:avLst/>
                    </a:prstGeom>
                  </pic:spPr>
                </pic:pic>
              </a:graphicData>
            </a:graphic>
          </wp:inline>
        </w:drawing>
      </w:r>
    </w:p>
    <w:p w14:paraId="67C86B9A" w14:textId="77777777" w:rsidR="00BA0287" w:rsidRDefault="00BA0287" w:rsidP="00BA0287">
      <w:r>
        <w:t xml:space="preserve">The primary endpoint was </w:t>
      </w:r>
      <w:bookmarkStart w:id="56" w:name="_Hlk168146941"/>
      <w:r>
        <w:t xml:space="preserve">Psoriasis Area and Severity Index (PASI) </w:t>
      </w:r>
      <w:bookmarkEnd w:id="56"/>
      <w:r>
        <w:t>percent improvement from baseline and was evaluated at week 12. Secondary endpoints were:</w:t>
      </w:r>
    </w:p>
    <w:p w14:paraId="0ED4EC7B" w14:textId="77777777" w:rsidR="00BA0287" w:rsidRPr="002A1A0D" w:rsidRDefault="00BA0287" w:rsidP="00CD6FFD">
      <w:pPr>
        <w:pStyle w:val="ListBullet"/>
      </w:pPr>
      <w:r w:rsidRPr="002A1A0D">
        <w:t xml:space="preserve">PASI percent improvement at other timepoints </w:t>
      </w:r>
    </w:p>
    <w:p w14:paraId="1980F5FD" w14:textId="77777777" w:rsidR="00BA0287" w:rsidRPr="002A1A0D" w:rsidRDefault="00BA0287" w:rsidP="00CD6FFD">
      <w:pPr>
        <w:pStyle w:val="ListBullet"/>
      </w:pPr>
      <w:r w:rsidRPr="002A1A0D">
        <w:t xml:space="preserve">≥75% improvement in PASI (PASI 75) response throughout the study </w:t>
      </w:r>
    </w:p>
    <w:p w14:paraId="0369B372" w14:textId="77777777" w:rsidR="00BA0287" w:rsidRPr="002A1A0D" w:rsidRDefault="00BA0287" w:rsidP="00CD6FFD">
      <w:pPr>
        <w:pStyle w:val="ListBullet"/>
      </w:pPr>
      <w:r w:rsidRPr="002A1A0D">
        <w:lastRenderedPageBreak/>
        <w:t xml:space="preserve">100% improvement in PASI (PASI 100) response throughout the study </w:t>
      </w:r>
    </w:p>
    <w:p w14:paraId="0915C94D" w14:textId="77777777" w:rsidR="00BA0287" w:rsidRPr="002A1A0D" w:rsidRDefault="00BA0287" w:rsidP="00CD6FFD">
      <w:pPr>
        <w:pStyle w:val="ListBullet"/>
      </w:pPr>
      <w:bookmarkStart w:id="57" w:name="_Hlk168147141"/>
      <w:r w:rsidRPr="002A1A0D">
        <w:t>Static Physician’s Global Assessment (</w:t>
      </w:r>
      <w:proofErr w:type="spellStart"/>
      <w:r w:rsidRPr="002A1A0D">
        <w:t>sPGA</w:t>
      </w:r>
      <w:proofErr w:type="spellEnd"/>
      <w:r w:rsidRPr="002A1A0D">
        <w:t>)</w:t>
      </w:r>
      <w:bookmarkEnd w:id="57"/>
      <w:r w:rsidRPr="002A1A0D">
        <w:t xml:space="preserve"> response (0/1) at week 12 and week 52 </w:t>
      </w:r>
    </w:p>
    <w:p w14:paraId="23D83AE2" w14:textId="77777777" w:rsidR="00BA0287" w:rsidRPr="002A1A0D" w:rsidRDefault="00BA0287" w:rsidP="00CD6FFD">
      <w:pPr>
        <w:pStyle w:val="ListBullet"/>
      </w:pPr>
      <w:bookmarkStart w:id="58" w:name="_Hlk168147150"/>
      <w:r w:rsidRPr="002A1A0D">
        <w:t xml:space="preserve">Body surface area (BSA) </w:t>
      </w:r>
      <w:bookmarkEnd w:id="58"/>
      <w:r w:rsidRPr="002A1A0D">
        <w:t>change from baseline at week 12 and week 52</w:t>
      </w:r>
    </w:p>
    <w:p w14:paraId="3957B483" w14:textId="77777777" w:rsidR="00BA0287" w:rsidRDefault="00BA0287" w:rsidP="00BA0287">
      <w:r>
        <w:t xml:space="preserve">Major inclusion criteria included age 18 – 75 inclusive, moderate to severe psoriasis for at least 6 months, baseline BSA ≥ 10% / PASI ≥ 12 / </w:t>
      </w:r>
      <w:proofErr w:type="spellStart"/>
      <w:r>
        <w:t>sPGA</w:t>
      </w:r>
      <w:proofErr w:type="spellEnd"/>
      <w:r>
        <w:t xml:space="preserve"> ≥ 3, candidate for systemic therapy or phototherapy, and a previous inadequate response/intolerance/contraindication to conventional anti-psoriatic systemic therapy. Major exclusion criteria included erythrodermic / pustular / guttate / medication-induced psoriasis or other skin conditions that could interfere with study evaluations and previous treatment with IL-23 or IL-12 targeted agents, recent biologic or other systemic treatment, recent phototherapy or recent topical treatment (within 2 weeks). Allowed concomitant treatments included moisturizers and up to mid-strength topical steroids.</w:t>
      </w:r>
    </w:p>
    <w:p w14:paraId="74B4D935" w14:textId="5CFEE481" w:rsidR="00BA0287" w:rsidRDefault="00BA0287" w:rsidP="00BA0287">
      <w:r>
        <w:t xml:space="preserve">A sample size of 542 subjects was calculated to provide greater than 95% power to demonstrate equivalence of the two treatments at a significance level of 0.025 for the primary efficacy outcome (similarity margin -15 to +15) assuming a true mean difference of 0 and a 10% dropout rate. The primary efficacy outcome was to be determined using the full analysis set (FAS) with missing PASI score imputed by multiple imputation. Secondary outcomes were analysed </w:t>
      </w:r>
      <w:r w:rsidR="00DA79FE">
        <w:t>descriptively,</w:t>
      </w:r>
      <w:r>
        <w:t xml:space="preserve"> and sensitivity analyses were performed using the per protocol analysis set. Subjects were stratified by prior biologic use, baseline weight and geographic region.</w:t>
      </w:r>
    </w:p>
    <w:p w14:paraId="58FDBB5E" w14:textId="59988AAB" w:rsidR="00BA0287" w:rsidRDefault="00BA0287" w:rsidP="00BA0287">
      <w:r>
        <w:t xml:space="preserve">Overall, 280 (281 randomised) subjects were treated with </w:t>
      </w:r>
      <w:r w:rsidR="00FA0550">
        <w:t>ABP 654</w:t>
      </w:r>
      <w:r>
        <w:t xml:space="preserve"> and 282 with </w:t>
      </w:r>
      <w:r w:rsidR="00E4609C">
        <w:t>STELARA</w:t>
      </w:r>
      <w:r w:rsidR="00E56021">
        <w:t>.</w:t>
      </w:r>
      <w:r>
        <w:t xml:space="preserve"> Nearly all randomised subjects (94.8%) completed scheduled dosing over the first 3 doses. In terms of those discontinuing the study, 33 (5.9%) discontinued during the initial part and 15 (3.1%) during the re-randomised part. At week 28, 480 subjects were re-randomised (247 in </w:t>
      </w:r>
      <w:r w:rsidR="00FA0550">
        <w:t>ABP 654</w:t>
      </w:r>
      <w:r>
        <w:t xml:space="preserve"> / </w:t>
      </w:r>
      <w:r w:rsidR="00FA0550">
        <w:t>ABP 654</w:t>
      </w:r>
      <w:r>
        <w:t xml:space="preserve"> group; 116 in </w:t>
      </w:r>
      <w:r w:rsidR="00E4609C">
        <w:t>STELARA</w:t>
      </w:r>
      <w:r>
        <w:t xml:space="preserve"> / </w:t>
      </w:r>
      <w:r w:rsidR="00E4609C">
        <w:t>STELARA</w:t>
      </w:r>
      <w:r>
        <w:t xml:space="preserve"> group; 117 in</w:t>
      </w:r>
      <w:r w:rsidR="00E56021">
        <w:t xml:space="preserve"> </w:t>
      </w:r>
      <w:r w:rsidR="00E4609C">
        <w:t>STELARA</w:t>
      </w:r>
      <w:r>
        <w:t xml:space="preserve"> / </w:t>
      </w:r>
      <w:r w:rsidR="00FA0550">
        <w:t>ABP 654</w:t>
      </w:r>
      <w:r w:rsidR="00E56021">
        <w:t xml:space="preserve"> </w:t>
      </w:r>
      <w:r>
        <w:t xml:space="preserve"> group). Approximately 10% of subjects underwent dose intensification after week 28.</w:t>
      </w:r>
    </w:p>
    <w:p w14:paraId="1909DB65" w14:textId="77777777" w:rsidR="00BA0287" w:rsidRDefault="00BA0287" w:rsidP="00BA0287">
      <w:r>
        <w:t xml:space="preserve">In terms of demographics, most of the subjects were male (65.4%), white (88.3%) and below the age of 65 (92%). The mean age was 44.4, mean weight was 92.2kg and mean BMI was 30.8. In terms of disease characteristics 98.8% had a disease duration ≥ 1 year with a mean baseline PASI of 20.9 and </w:t>
      </w:r>
      <w:proofErr w:type="spellStart"/>
      <w:r>
        <w:t>sPGA</w:t>
      </w:r>
      <w:proofErr w:type="spellEnd"/>
      <w:r>
        <w:t xml:space="preserve"> category of either moderate or severe/very severe. Characteristics were generally balanced between the treatment groups. </w:t>
      </w:r>
    </w:p>
    <w:p w14:paraId="2A3267CB" w14:textId="1C8E299C" w:rsidR="00BA0287" w:rsidRDefault="00BA0287" w:rsidP="00BA0287">
      <w:r>
        <w:t xml:space="preserve">In terms of the primary outcome, at week 12 the mean PASI improvement from baseline was 81.92% in the ustekinumab group and 81.91% in the </w:t>
      </w:r>
      <w:r w:rsidR="00FA0550">
        <w:t>ABP 654</w:t>
      </w:r>
      <w:r>
        <w:t xml:space="preserve"> group (</w:t>
      </w:r>
      <w:r>
        <w:fldChar w:fldCharType="begin"/>
      </w:r>
      <w:r>
        <w:instrText xml:space="preserve"> REF _Ref149577195 \h </w:instrText>
      </w:r>
      <w:r>
        <w:fldChar w:fldCharType="separate"/>
      </w:r>
      <w:r>
        <w:t xml:space="preserve">Table </w:t>
      </w:r>
      <w:r>
        <w:fldChar w:fldCharType="end"/>
      </w:r>
      <w:r w:rsidR="00E56021">
        <w:t>6</w:t>
      </w:r>
      <w:r>
        <w:t xml:space="preserve">). The difference between the means was 0.14 (90% confidence interval -2.6 – 2.9; 95% CI -3.2 – 3.4). The 95% confidence interval was within the prespecified margin and therefore the study demonstrated clinical equivalence between </w:t>
      </w:r>
      <w:r w:rsidR="00FA0550">
        <w:t>ABP 654</w:t>
      </w:r>
      <w:r>
        <w:t xml:space="preserve"> and </w:t>
      </w:r>
      <w:r w:rsidR="00E4609C">
        <w:t>STELARA</w:t>
      </w:r>
      <w:r>
        <w:t>.</w:t>
      </w:r>
    </w:p>
    <w:p w14:paraId="11CC34D0" w14:textId="3D2EFA8C" w:rsidR="00BA0287" w:rsidRPr="00E56021" w:rsidRDefault="00BA0287" w:rsidP="00CD6FFD">
      <w:pPr>
        <w:pStyle w:val="TableTitle"/>
      </w:pPr>
      <w:bookmarkStart w:id="59" w:name="_Ref149577195"/>
      <w:r w:rsidRPr="00E56021">
        <w:lastRenderedPageBreak/>
        <w:t xml:space="preserve">Table </w:t>
      </w:r>
      <w:bookmarkEnd w:id="59"/>
      <w:r w:rsidR="00E56021" w:rsidRPr="00E56021">
        <w:t>6:</w:t>
      </w:r>
      <w:r w:rsidRPr="00E56021">
        <w:t xml:space="preserve"> Primary analysis of PASI improvement to week 12 (using multiple imputation)</w:t>
      </w:r>
    </w:p>
    <w:p w14:paraId="6212C489" w14:textId="77777777" w:rsidR="00BA0287" w:rsidRDefault="00BA0287" w:rsidP="00BA0287">
      <w:r>
        <w:rPr>
          <w:noProof/>
        </w:rPr>
        <w:drawing>
          <wp:inline distT="0" distB="0" distL="0" distR="0" wp14:anchorId="0650521D" wp14:editId="69822655">
            <wp:extent cx="5296468" cy="3350048"/>
            <wp:effectExtent l="0" t="0" r="0" b="3175"/>
            <wp:docPr id="5" name="Picture 5" descr="Primary analysis of PASI improvement to week 12 using multiple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imary analysis of PASI improvement to week 12 using multiple imputation"/>
                    <pic:cNvPicPr/>
                  </pic:nvPicPr>
                  <pic:blipFill>
                    <a:blip r:embed="rId24"/>
                    <a:stretch>
                      <a:fillRect/>
                    </a:stretch>
                  </pic:blipFill>
                  <pic:spPr>
                    <a:xfrm>
                      <a:off x="0" y="0"/>
                      <a:ext cx="5298971" cy="3351631"/>
                    </a:xfrm>
                    <a:prstGeom prst="rect">
                      <a:avLst/>
                    </a:prstGeom>
                  </pic:spPr>
                </pic:pic>
              </a:graphicData>
            </a:graphic>
          </wp:inline>
        </w:drawing>
      </w:r>
    </w:p>
    <w:p w14:paraId="0484578B" w14:textId="77777777" w:rsidR="00BA0287" w:rsidRDefault="00BA0287" w:rsidP="00BA0287">
      <w:r>
        <w:t>Sensitivity analyses showed results consistent with the primary outcome. Secondary outcomes also demonstrated clinical equivalence and the week 28 timepoint. For the first of the secondary endpoints, PASI percent improvements were similar at each timepoint from week 4 to week 28.</w:t>
      </w:r>
    </w:p>
    <w:p w14:paraId="641F1ED9" w14:textId="609ABEE8" w:rsidR="00BA0287" w:rsidRDefault="00BA0287" w:rsidP="00BA0287">
      <w:r>
        <w:t>Both the dose intensification groups and the re-randomized groups (</w:t>
      </w:r>
      <w:r w:rsidR="00E56021">
        <w:t>that is,</w:t>
      </w:r>
      <w:r>
        <w:t xml:space="preserve"> </w:t>
      </w:r>
      <w:r w:rsidR="00FA0550">
        <w:t>ABP 654</w:t>
      </w:r>
      <w:r>
        <w:t xml:space="preserve"> / </w:t>
      </w:r>
      <w:r w:rsidR="00FA0550">
        <w:t>ABP 654</w:t>
      </w:r>
      <w:r>
        <w:t xml:space="preserve">, </w:t>
      </w:r>
      <w:r w:rsidR="00E4609C">
        <w:t>STELARA</w:t>
      </w:r>
      <w:r>
        <w:t xml:space="preserve"> / </w:t>
      </w:r>
      <w:r w:rsidR="00FA0550">
        <w:t>ABP 654</w:t>
      </w:r>
      <w:r>
        <w:t xml:space="preserve">, </w:t>
      </w:r>
      <w:r w:rsidR="00E4609C">
        <w:t>STELARA</w:t>
      </w:r>
      <w:r>
        <w:t xml:space="preserve"> / </w:t>
      </w:r>
      <w:r w:rsidR="00E4609C">
        <w:t>STELARA</w:t>
      </w:r>
      <w:r>
        <w:t>) all demonstrated very similar % changes in PASI at all timepoints (</w:t>
      </w:r>
      <w:r w:rsidR="00E56021">
        <w:t>that is,</w:t>
      </w:r>
      <w:r>
        <w:t xml:space="preserve"> the first secondary outcome), with the 95% confidence intervals being within the prespecified range. Importantly, the group that received </w:t>
      </w:r>
      <w:r w:rsidR="00E4609C">
        <w:t>STELARA</w:t>
      </w:r>
      <w:r>
        <w:t xml:space="preserve"> and then was re-randomised to </w:t>
      </w:r>
      <w:r w:rsidR="00FA0550">
        <w:t>ABP 654</w:t>
      </w:r>
      <w:r>
        <w:t xml:space="preserve">, showed maintenance of the % improvement in PASI compared with baseline over the course of the study. </w:t>
      </w:r>
    </w:p>
    <w:p w14:paraId="18EF633F" w14:textId="69AE76B3" w:rsidR="00BA0287" w:rsidRDefault="00BA0287" w:rsidP="00BA0287">
      <w:r>
        <w:t>Other secondary outcomes from the full analysis set (</w:t>
      </w:r>
      <w:r w:rsidR="00E56021">
        <w:t>that is,</w:t>
      </w:r>
      <w:r>
        <w:t xml:space="preserve"> including dose intensification and re-randomised subjects as indicated) are summarised as follows:</w:t>
      </w:r>
    </w:p>
    <w:p w14:paraId="32BF1764" w14:textId="68ECF008" w:rsidR="00BA0287" w:rsidRPr="00E56021" w:rsidRDefault="00BA0287" w:rsidP="00CD6FFD">
      <w:pPr>
        <w:pStyle w:val="ListBullet"/>
      </w:pPr>
      <w:r w:rsidRPr="00E56021">
        <w:t>PASI 75 and PASI100 responses were similar between treatment groups (</w:t>
      </w:r>
      <w:r w:rsidR="00E56021">
        <w:t>that is,</w:t>
      </w:r>
      <w:r w:rsidRPr="00E56021">
        <w:t xml:space="preserve"> </w:t>
      </w:r>
      <w:r w:rsidR="00FA0550">
        <w:t>ABP 654</w:t>
      </w:r>
      <w:r w:rsidRPr="00E56021">
        <w:t xml:space="preserve"> and </w:t>
      </w:r>
      <w:r w:rsidR="00E4609C">
        <w:t>STELARA</w:t>
      </w:r>
      <w:r w:rsidRPr="00E56021">
        <w:t xml:space="preserve">) at weeks 4, 12, 16 and 28. The 95% confidence intervals for the mean differences were within -15 and +15. </w:t>
      </w:r>
    </w:p>
    <w:p w14:paraId="67F1374F" w14:textId="783E02B2" w:rsidR="00BA0287" w:rsidRPr="00E56021" w:rsidRDefault="00BA0287" w:rsidP="00CD6FFD">
      <w:pPr>
        <w:pStyle w:val="ListBullet"/>
      </w:pPr>
      <w:r w:rsidRPr="00E56021">
        <w:t>Considering the re-randomized full analysis sets (</w:t>
      </w:r>
      <w:r w:rsidR="00E56021">
        <w:t>that is,</w:t>
      </w:r>
      <w:r w:rsidRPr="00E56021">
        <w:t xml:space="preserve"> </w:t>
      </w:r>
      <w:r w:rsidR="00FA0550">
        <w:t>ABP 654</w:t>
      </w:r>
      <w:r w:rsidRPr="00E56021">
        <w:t xml:space="preserve"> / </w:t>
      </w:r>
      <w:r w:rsidR="00FA0550">
        <w:t>ABP 654</w:t>
      </w:r>
      <w:r w:rsidRPr="00E56021">
        <w:t xml:space="preserve">, </w:t>
      </w:r>
      <w:r w:rsidR="00E4609C">
        <w:t>STELARA</w:t>
      </w:r>
      <w:r w:rsidRPr="00E56021">
        <w:t xml:space="preserve"> / </w:t>
      </w:r>
      <w:r w:rsidR="00FA0550">
        <w:t>ABP 654</w:t>
      </w:r>
      <w:r w:rsidRPr="00E56021">
        <w:t xml:space="preserve"> and </w:t>
      </w:r>
      <w:r w:rsidR="00E4609C">
        <w:t>STELARA</w:t>
      </w:r>
      <w:r w:rsidRPr="00E56021">
        <w:t xml:space="preserve"> / </w:t>
      </w:r>
      <w:r w:rsidR="00E4609C">
        <w:t>STELARA</w:t>
      </w:r>
      <w:r w:rsidRPr="00E56021">
        <w:t xml:space="preserve">), PASI75 and PASI100 tended to be similar between the arms exposed to </w:t>
      </w:r>
      <w:r w:rsidR="00FA0550">
        <w:t>ABP 654</w:t>
      </w:r>
      <w:r w:rsidRPr="00E56021">
        <w:t xml:space="preserve"> and the arm only exposed to </w:t>
      </w:r>
      <w:r w:rsidR="00E4609C">
        <w:t>STELARA</w:t>
      </w:r>
      <w:r w:rsidRPr="00E56021">
        <w:t>. Although at some time points the 95% confidence intervals for differences exceeded -15 to +15, it should be noted that this interval was only truly required for the primary outcome analysis.</w:t>
      </w:r>
    </w:p>
    <w:p w14:paraId="2BE3C5B1" w14:textId="085ABAA5" w:rsidR="00BA0287" w:rsidRPr="00E56021" w:rsidRDefault="00BA0287" w:rsidP="00CD6FFD">
      <w:pPr>
        <w:pStyle w:val="ListBullet"/>
      </w:pPr>
      <w:proofErr w:type="spellStart"/>
      <w:r w:rsidRPr="00E56021">
        <w:t>sPGA</w:t>
      </w:r>
      <w:proofErr w:type="spellEnd"/>
      <w:r w:rsidRPr="00E56021">
        <w:t xml:space="preserve"> for the full analysis set (</w:t>
      </w:r>
      <w:r w:rsidR="00E56021">
        <w:t>that is,</w:t>
      </w:r>
      <w:r w:rsidRPr="00E56021">
        <w:t xml:space="preserve"> </w:t>
      </w:r>
      <w:r w:rsidR="00FA0550">
        <w:t>ABP 654</w:t>
      </w:r>
      <w:r w:rsidR="00E56021">
        <w:t xml:space="preserve"> </w:t>
      </w:r>
      <w:r w:rsidRPr="00E56021">
        <w:t xml:space="preserve">vs. </w:t>
      </w:r>
      <w:r w:rsidR="00E4609C">
        <w:t>STELARA</w:t>
      </w:r>
      <w:r w:rsidRPr="00E56021">
        <w:t>) at week 12 were similar between the 2 arms with 95% confidence interval for difference contained within the prespecified range.</w:t>
      </w:r>
    </w:p>
    <w:p w14:paraId="5C23D1AB" w14:textId="0FD46C32" w:rsidR="00BA0287" w:rsidRPr="00E56021" w:rsidRDefault="00BA0287" w:rsidP="00CD6FFD">
      <w:pPr>
        <w:pStyle w:val="ListBullet"/>
      </w:pPr>
      <w:r w:rsidRPr="00E56021">
        <w:t xml:space="preserve">For the re-randomised full analysis set, </w:t>
      </w:r>
      <w:proofErr w:type="spellStart"/>
      <w:r w:rsidRPr="00E56021">
        <w:t>sPGA</w:t>
      </w:r>
      <w:proofErr w:type="spellEnd"/>
      <w:r w:rsidRPr="00E56021">
        <w:t xml:space="preserve"> was similar between arms exposed to </w:t>
      </w:r>
      <w:r w:rsidR="00FA0550">
        <w:t>ABP 654</w:t>
      </w:r>
      <w:r w:rsidRPr="00E56021">
        <w:t xml:space="preserve"> and the </w:t>
      </w:r>
      <w:r w:rsidR="00E4609C">
        <w:t>STELARA</w:t>
      </w:r>
      <w:r w:rsidRPr="00E56021">
        <w:t xml:space="preserve"> / </w:t>
      </w:r>
      <w:r w:rsidR="00E4609C">
        <w:t>STELARA</w:t>
      </w:r>
      <w:r w:rsidRPr="00E56021">
        <w:t xml:space="preserve"> arm at week 12 and 52.</w:t>
      </w:r>
    </w:p>
    <w:p w14:paraId="652F7A11" w14:textId="77777777" w:rsidR="00BA0287" w:rsidRPr="00E56021" w:rsidRDefault="00BA0287" w:rsidP="00CD6FFD">
      <w:pPr>
        <w:pStyle w:val="ListBullet"/>
      </w:pPr>
      <w:r w:rsidRPr="00E56021">
        <w:t>BSA changes from baseline to weeks 12 and 52 were similar across the treatment groups over the entire study for each dataset analysed.</w:t>
      </w:r>
    </w:p>
    <w:p w14:paraId="385C5B5D" w14:textId="77777777" w:rsidR="00383D3B" w:rsidRDefault="00383D3B" w:rsidP="00383D3B">
      <w:pPr>
        <w:pStyle w:val="Heading4"/>
      </w:pPr>
      <w:bookmarkStart w:id="60" w:name="_Toc170370171"/>
      <w:r w:rsidRPr="00AA53F4">
        <w:lastRenderedPageBreak/>
        <w:t>Safety</w:t>
      </w:r>
      <w:bookmarkEnd w:id="60"/>
    </w:p>
    <w:p w14:paraId="4A29C225" w14:textId="77777777" w:rsidR="00383D3B" w:rsidRDefault="00383D3B" w:rsidP="00383D3B">
      <w:r>
        <w:t>The safety evaluation is based on the phase 1 study 20190230 and the phase 3 study 20190232.</w:t>
      </w:r>
    </w:p>
    <w:p w14:paraId="3F09EA98" w14:textId="472BF3E7" w:rsidR="00383D3B" w:rsidRDefault="00383D3B" w:rsidP="00383D3B">
      <w:r>
        <w:t xml:space="preserve">A total of 475 subjects were exposed to </w:t>
      </w:r>
      <w:r w:rsidR="00FA0550">
        <w:t>ABP 654</w:t>
      </w:r>
      <w:r>
        <w:t xml:space="preserve"> during clinical development (78 in study 20190230 and 397 in study 20190232). Other subjects in those studies were only exposed to </w:t>
      </w:r>
      <w:r w:rsidR="00E4609C">
        <w:t>STELARA</w:t>
      </w:r>
      <w:r>
        <w:t xml:space="preserve">. In study 20190230 subjects were only exposed to a single 90mg subcutaneous dose. </w:t>
      </w:r>
    </w:p>
    <w:p w14:paraId="7A79AB4C" w14:textId="046DCE5A" w:rsidR="00383D3B" w:rsidRDefault="00383D3B" w:rsidP="00383D3B">
      <w:r>
        <w:t xml:space="preserve">In study 20190232, through week 28, 280 subjects received a mean total dose of 179.5mg </w:t>
      </w:r>
      <w:r w:rsidR="00FA0550">
        <w:t>ABP 654</w:t>
      </w:r>
      <w:r>
        <w:t xml:space="preserve">, for a mean duration of 27.92 weeks. After week 28, 117 subjects were randomised to </w:t>
      </w:r>
      <w:r w:rsidR="00FA0550">
        <w:t>ABP 654</w:t>
      </w:r>
      <w:r>
        <w:t xml:space="preserve"> (following initial dosing with </w:t>
      </w:r>
      <w:r w:rsidR="00E4609C">
        <w:t>STELARA</w:t>
      </w:r>
      <w:r>
        <w:t xml:space="preserve">) and received a mean total dose of 118.8mg for a mean further duration of 23.99 weeks. Of subjects initially randomised to </w:t>
      </w:r>
      <w:r w:rsidR="00FA0550">
        <w:t>ABP 654</w:t>
      </w:r>
      <w:r>
        <w:t xml:space="preserve">, 25 underwent dose intensification. Exposure to </w:t>
      </w:r>
      <w:r w:rsidR="00E4609C">
        <w:t>STELARA</w:t>
      </w:r>
      <w:r>
        <w:t xml:space="preserve"> was very similar across the different parts of the study, allowing for appropriate comparison.</w:t>
      </w:r>
    </w:p>
    <w:p w14:paraId="71D5A42C" w14:textId="77777777" w:rsidR="00C46AA8" w:rsidRPr="00044624" w:rsidRDefault="00C46AA8" w:rsidP="00C46AA8">
      <w:pPr>
        <w:rPr>
          <w:b/>
          <w:bCs/>
        </w:rPr>
      </w:pPr>
      <w:r w:rsidRPr="00044624">
        <w:rPr>
          <w:b/>
          <w:bCs/>
        </w:rPr>
        <w:t>Study 20190230</w:t>
      </w:r>
    </w:p>
    <w:p w14:paraId="2C081D47" w14:textId="3AD423CA" w:rsidR="00C46AA8" w:rsidRDefault="00C46AA8" w:rsidP="00C46AA8">
      <w:r>
        <w:t xml:space="preserve">Overall, 22 (28.2%) of subjects in the ABP 654 arm, 18 (22.8%) in the </w:t>
      </w:r>
      <w:r w:rsidR="00E4609C">
        <w:t>STELARA</w:t>
      </w:r>
      <w:r w:rsidR="00BE6DBC">
        <w:t xml:space="preserve"> (</w:t>
      </w:r>
      <w:r>
        <w:t>US</w:t>
      </w:r>
      <w:r w:rsidR="00BE6DBC">
        <w:t>)</w:t>
      </w:r>
      <w:r>
        <w:t xml:space="preserve"> arm and 29 (36.3%) in the </w:t>
      </w:r>
      <w:r w:rsidR="00E4609C">
        <w:t>STELARA</w:t>
      </w:r>
      <w:r w:rsidR="00BE6DBC">
        <w:t xml:space="preserve"> (</w:t>
      </w:r>
      <w:r>
        <w:t>EU</w:t>
      </w:r>
      <w:r w:rsidR="00BE6DBC">
        <w:t>)</w:t>
      </w:r>
      <w:r>
        <w:t xml:space="preserve"> arm experienced any adverse event</w:t>
      </w:r>
      <w:r w:rsidR="00823A7E">
        <w:t xml:space="preserve"> (AE)</w:t>
      </w:r>
      <w:r>
        <w:t xml:space="preserve">. There were no deaths. Very few </w:t>
      </w:r>
      <w:proofErr w:type="gramStart"/>
      <w:r>
        <w:t>AE</w:t>
      </w:r>
      <w:proofErr w:type="gramEnd"/>
      <w:r>
        <w:t xml:space="preserve"> of grade 3 or higher or serious adverse events occurred, none were in the </w:t>
      </w:r>
      <w:r w:rsidR="00D87A84">
        <w:t>ABP 654</w:t>
      </w:r>
      <w:r w:rsidR="00823A7E">
        <w:t xml:space="preserve"> </w:t>
      </w:r>
      <w:r>
        <w:t>arm.</w:t>
      </w:r>
    </w:p>
    <w:p w14:paraId="4E57F8D8" w14:textId="79C13268" w:rsidR="00C46AA8" w:rsidRDefault="00C46AA8" w:rsidP="00C46AA8">
      <w:r>
        <w:t xml:space="preserve">Across the </w:t>
      </w:r>
      <w:r w:rsidR="00A97028">
        <w:t>three</w:t>
      </w:r>
      <w:r>
        <w:t xml:space="preserve"> arms, headache was the most common reported AEs. Other AEs by preferred term occurred in </w:t>
      </w:r>
      <w:r w:rsidR="00A97028">
        <w:t>three</w:t>
      </w:r>
      <w:r>
        <w:t xml:space="preserve"> or less participants and there was no discernible pattern across the treatment arms. </w:t>
      </w:r>
      <w:r w:rsidR="00044624">
        <w:t>Table</w:t>
      </w:r>
      <w:r>
        <w:t xml:space="preserve"> 7 shows the frequency of AEs by system organ class and by preferred term in the </w:t>
      </w:r>
      <w:r w:rsidR="00A97028">
        <w:t>three</w:t>
      </w:r>
      <w:r>
        <w:t xml:space="preserve"> arms.</w:t>
      </w:r>
    </w:p>
    <w:p w14:paraId="45CC6057" w14:textId="3FA815E9" w:rsidR="00044624" w:rsidRDefault="00C46AA8" w:rsidP="00044624">
      <w:pPr>
        <w:pStyle w:val="TableTitle"/>
      </w:pPr>
      <w:bookmarkStart w:id="61" w:name="_Ref147935526"/>
      <w:r w:rsidRPr="00C46AA8">
        <w:t xml:space="preserve">Table </w:t>
      </w:r>
      <w:bookmarkEnd w:id="61"/>
      <w:r>
        <w:t>7:</w:t>
      </w:r>
      <w:r w:rsidRPr="00C46AA8">
        <w:t xml:space="preserve"> Treatment emergent adverse events </w:t>
      </w:r>
      <w:r w:rsidR="00044624" w:rsidRPr="00C46AA8">
        <w:t>occurring</w:t>
      </w:r>
      <w:r w:rsidRPr="00C46AA8">
        <w:t xml:space="preserve"> in at least </w:t>
      </w:r>
      <w:r w:rsidR="00A97028">
        <w:t>two</w:t>
      </w:r>
      <w:r w:rsidRPr="00C46AA8">
        <w:t xml:space="preserve"> subjects</w:t>
      </w:r>
      <w:r w:rsidR="00044624">
        <w:t>.</w:t>
      </w:r>
    </w:p>
    <w:p w14:paraId="53C04774" w14:textId="6A262599" w:rsidR="00C46AA8" w:rsidRDefault="00044624" w:rsidP="00044624">
      <w:r>
        <w:rPr>
          <w:noProof/>
        </w:rPr>
        <w:drawing>
          <wp:inline distT="0" distB="0" distL="0" distR="0" wp14:anchorId="547D4DA0" wp14:editId="32AA05AA">
            <wp:extent cx="5759450" cy="3338830"/>
            <wp:effectExtent l="0" t="0" r="0" b="0"/>
            <wp:docPr id="6490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791" name=""/>
                    <pic:cNvPicPr/>
                  </pic:nvPicPr>
                  <pic:blipFill>
                    <a:blip r:embed="rId25"/>
                    <a:stretch>
                      <a:fillRect/>
                    </a:stretch>
                  </pic:blipFill>
                  <pic:spPr>
                    <a:xfrm>
                      <a:off x="0" y="0"/>
                      <a:ext cx="5759450" cy="3338830"/>
                    </a:xfrm>
                    <a:prstGeom prst="rect">
                      <a:avLst/>
                    </a:prstGeom>
                  </pic:spPr>
                </pic:pic>
              </a:graphicData>
            </a:graphic>
          </wp:inline>
        </w:drawing>
      </w:r>
    </w:p>
    <w:p w14:paraId="6659E72C" w14:textId="19FDD540" w:rsidR="00044624" w:rsidRDefault="00044624" w:rsidP="00044624">
      <w:r>
        <w:rPr>
          <w:noProof/>
        </w:rPr>
        <w:lastRenderedPageBreak/>
        <w:drawing>
          <wp:inline distT="0" distB="0" distL="0" distR="0" wp14:anchorId="39EAB997" wp14:editId="6929F6FB">
            <wp:extent cx="5759450" cy="4175760"/>
            <wp:effectExtent l="0" t="0" r="0" b="0"/>
            <wp:docPr id="1349749297" name="Picture 1" descr="A table of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49297" name="Picture 1" descr="A table of medical information&#10;&#10;Description automatically generated"/>
                    <pic:cNvPicPr/>
                  </pic:nvPicPr>
                  <pic:blipFill>
                    <a:blip r:embed="rId26"/>
                    <a:stretch>
                      <a:fillRect/>
                    </a:stretch>
                  </pic:blipFill>
                  <pic:spPr>
                    <a:xfrm>
                      <a:off x="0" y="0"/>
                      <a:ext cx="5759450" cy="4175760"/>
                    </a:xfrm>
                    <a:prstGeom prst="rect">
                      <a:avLst/>
                    </a:prstGeom>
                  </pic:spPr>
                </pic:pic>
              </a:graphicData>
            </a:graphic>
          </wp:inline>
        </w:drawing>
      </w:r>
    </w:p>
    <w:p w14:paraId="12821B10" w14:textId="53A3557A" w:rsidR="00C46AA8" w:rsidRDefault="00C46AA8" w:rsidP="00C46AA8">
      <w:r>
        <w:t xml:space="preserve">Two events of interest occurred during the study – </w:t>
      </w:r>
      <w:r w:rsidR="00A27C05">
        <w:t>one</w:t>
      </w:r>
      <w:r>
        <w:t xml:space="preserve"> serious infection / appendicitis (</w:t>
      </w:r>
      <w:r w:rsidR="00E4609C">
        <w:t>STELARA</w:t>
      </w:r>
      <w:r w:rsidR="00823A7E">
        <w:t xml:space="preserve"> (</w:t>
      </w:r>
      <w:r>
        <w:t>EU)</w:t>
      </w:r>
      <w:r w:rsidR="00823A7E">
        <w:t>)</w:t>
      </w:r>
      <w:r>
        <w:t xml:space="preserve"> and </w:t>
      </w:r>
      <w:r w:rsidR="00A27C05">
        <w:t xml:space="preserve">one </w:t>
      </w:r>
      <w:r>
        <w:t>somnolence (</w:t>
      </w:r>
      <w:r w:rsidR="00E4609C">
        <w:t>STELARA</w:t>
      </w:r>
      <w:r w:rsidR="00823A7E">
        <w:t xml:space="preserve"> (</w:t>
      </w:r>
      <w:r>
        <w:t>US)</w:t>
      </w:r>
      <w:r w:rsidR="00823A7E">
        <w:t>)</w:t>
      </w:r>
      <w:r>
        <w:t>.</w:t>
      </w:r>
    </w:p>
    <w:p w14:paraId="4B95AFC2" w14:textId="77777777" w:rsidR="00A03FC1" w:rsidRPr="009B7F1B" w:rsidRDefault="00A03FC1" w:rsidP="00A03FC1">
      <w:pPr>
        <w:rPr>
          <w:b/>
          <w:bCs/>
        </w:rPr>
      </w:pPr>
      <w:r w:rsidRPr="009B7F1B">
        <w:rPr>
          <w:b/>
          <w:bCs/>
        </w:rPr>
        <w:t>Study 20190232 – through week 28</w:t>
      </w:r>
    </w:p>
    <w:p w14:paraId="4884823D" w14:textId="78D98EEE" w:rsidR="00A03FC1" w:rsidRDefault="00A03FC1" w:rsidP="00A03FC1">
      <w:r>
        <w:t>Adverse events</w:t>
      </w:r>
      <w:r w:rsidR="00BA4F81">
        <w:t xml:space="preserve"> (AEs)</w:t>
      </w:r>
      <w:r>
        <w:t xml:space="preserve"> were reported by 106 (37.9%) in the </w:t>
      </w:r>
      <w:r w:rsidR="00D87A84">
        <w:t>ABP 654</w:t>
      </w:r>
      <w:r>
        <w:t xml:space="preserve"> arm and 99 (35.1%) in the </w:t>
      </w:r>
      <w:r w:rsidR="00E4609C">
        <w:t>STELARA</w:t>
      </w:r>
      <w:r>
        <w:t xml:space="preserve"> arm. Grade ≥ 3AEs were reported in 8 (2.9%) in the </w:t>
      </w:r>
      <w:r w:rsidR="00D87A84">
        <w:t>ABP 654</w:t>
      </w:r>
      <w:r>
        <w:t xml:space="preserve"> arm and 5 (1.8%) in the </w:t>
      </w:r>
      <w:r w:rsidR="00E4609C">
        <w:t>STELARA</w:t>
      </w:r>
      <w:r w:rsidR="00823A7E">
        <w:t xml:space="preserve"> </w:t>
      </w:r>
      <w:r>
        <w:t xml:space="preserve">arm. COVID-19 adverse events were infrequent and occurred at similar frequency across the arms. A fatal COVID related AE occurred in a subject receiving </w:t>
      </w:r>
      <w:r w:rsidR="00E4609C">
        <w:t>STELARA</w:t>
      </w:r>
      <w:r>
        <w:t xml:space="preserve">. Frequency of different categories of AE through to week 28 are shown in </w:t>
      </w:r>
      <w:r>
        <w:fldChar w:fldCharType="begin"/>
      </w:r>
      <w:r>
        <w:instrText xml:space="preserve"> REF _Ref147932888 \h </w:instrText>
      </w:r>
      <w:r>
        <w:fldChar w:fldCharType="separate"/>
      </w:r>
      <w:r>
        <w:t xml:space="preserve">Table </w:t>
      </w:r>
      <w:r>
        <w:fldChar w:fldCharType="end"/>
      </w:r>
      <w:r w:rsidR="005122AB">
        <w:t>8</w:t>
      </w:r>
      <w:r>
        <w:t>.</w:t>
      </w:r>
    </w:p>
    <w:p w14:paraId="77047234" w14:textId="013A1A69" w:rsidR="00A03FC1" w:rsidRPr="00A03FC1" w:rsidRDefault="00A03FC1" w:rsidP="009B7F1B">
      <w:pPr>
        <w:pStyle w:val="TableTitle"/>
      </w:pPr>
      <w:bookmarkStart w:id="62" w:name="_Ref147932888"/>
      <w:r w:rsidRPr="00A03FC1">
        <w:lastRenderedPageBreak/>
        <w:t xml:space="preserve">Table </w:t>
      </w:r>
      <w:bookmarkEnd w:id="62"/>
      <w:r>
        <w:t>8:</w:t>
      </w:r>
      <w:r w:rsidRPr="00A03FC1">
        <w:t xml:space="preserve"> Summary of Adverse Events - week 12 and 28</w:t>
      </w:r>
    </w:p>
    <w:p w14:paraId="009E3818" w14:textId="77777777" w:rsidR="00A03FC1" w:rsidRDefault="00A03FC1" w:rsidP="00A03FC1">
      <w:r>
        <w:rPr>
          <w:noProof/>
        </w:rPr>
        <w:drawing>
          <wp:inline distT="0" distB="0" distL="0" distR="0" wp14:anchorId="2FD4B7A8" wp14:editId="683EC38D">
            <wp:extent cx="5731510" cy="3917950"/>
            <wp:effectExtent l="0" t="0" r="2540" b="6350"/>
            <wp:docPr id="8" name="Picture 8" descr="Summary of adverse events through week 12 and through we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ummary of adverse events through week 12 and through week 28"/>
                    <pic:cNvPicPr/>
                  </pic:nvPicPr>
                  <pic:blipFill rotWithShape="1">
                    <a:blip r:embed="rId27"/>
                    <a:srcRect l="-111" t="599" r="111" b="7105"/>
                    <a:stretch/>
                  </pic:blipFill>
                  <pic:spPr bwMode="auto">
                    <a:xfrm>
                      <a:off x="0" y="0"/>
                      <a:ext cx="5731510" cy="3917950"/>
                    </a:xfrm>
                    <a:prstGeom prst="rect">
                      <a:avLst/>
                    </a:prstGeom>
                    <a:ln>
                      <a:noFill/>
                    </a:ln>
                    <a:extLst>
                      <a:ext uri="{53640926-AAD7-44D8-BBD7-CCE9431645EC}">
                        <a14:shadowObscured xmlns:a14="http://schemas.microsoft.com/office/drawing/2010/main"/>
                      </a:ext>
                    </a:extLst>
                  </pic:spPr>
                </pic:pic>
              </a:graphicData>
            </a:graphic>
          </wp:inline>
        </w:drawing>
      </w:r>
    </w:p>
    <w:p w14:paraId="50DAA64B" w14:textId="281E06DA" w:rsidR="00A03FC1" w:rsidRDefault="00A03FC1" w:rsidP="00A03FC1">
      <w:r>
        <w:t xml:space="preserve">The most frequent system organ class for AEs was infection and infestations, followed by musculoskeletal and connective tissue disorders. By preferred term hypertension and nasopharyngitis were the most frequent. There were no meaningful differences between </w:t>
      </w:r>
      <w:r w:rsidR="00D87A84">
        <w:t>ABP 654</w:t>
      </w:r>
      <w:r>
        <w:t xml:space="preserve"> and </w:t>
      </w:r>
      <w:r w:rsidR="00E4609C">
        <w:t>STELARA</w:t>
      </w:r>
      <w:r w:rsidR="00823A7E">
        <w:t xml:space="preserve"> </w:t>
      </w:r>
      <w:r>
        <w:t>during the first 28 weeks of the study.</w:t>
      </w:r>
    </w:p>
    <w:p w14:paraId="6F2A6037" w14:textId="5C54001C" w:rsidR="00A03FC1" w:rsidRDefault="00A03FC1" w:rsidP="00A03FC1">
      <w:r>
        <w:t xml:space="preserve">Out to week 28, </w:t>
      </w:r>
      <w:r w:rsidR="00A27C05">
        <w:t>two</w:t>
      </w:r>
      <w:r>
        <w:t xml:space="preserve"> subjects (cardiac failure, breast carcinoma) in the </w:t>
      </w:r>
      <w:r w:rsidR="00D87A84">
        <w:t>ABP 654</w:t>
      </w:r>
      <w:r>
        <w:t xml:space="preserve"> group and </w:t>
      </w:r>
      <w:r w:rsidR="00A27C05">
        <w:t>four</w:t>
      </w:r>
      <w:r>
        <w:t xml:space="preserve"> subjects (COVID-19, clear cell renal carcinoma, psoriatic arthropathy, purpura) in the </w:t>
      </w:r>
      <w:r w:rsidR="00E4609C">
        <w:t>STELARA</w:t>
      </w:r>
      <w:r w:rsidR="00823A7E">
        <w:t xml:space="preserve"> </w:t>
      </w:r>
      <w:r>
        <w:t xml:space="preserve">group discontinued treatment due to </w:t>
      </w:r>
      <w:r w:rsidR="0042653C">
        <w:t>treatment emergent adverse event</w:t>
      </w:r>
      <w:r>
        <w:t>s.</w:t>
      </w:r>
    </w:p>
    <w:p w14:paraId="47BA0289" w14:textId="7BEBEA63" w:rsidR="00A03FC1" w:rsidRDefault="00BA4F81" w:rsidP="00A03FC1">
      <w:r>
        <w:t>Serious adverse events (</w:t>
      </w:r>
      <w:r w:rsidR="00A03FC1">
        <w:t>SAEs</w:t>
      </w:r>
      <w:r>
        <w:t>)</w:t>
      </w:r>
      <w:r w:rsidR="00A03FC1">
        <w:t xml:space="preserve"> occurring in </w:t>
      </w:r>
      <w:r w:rsidR="00A27C05">
        <w:t>seven</w:t>
      </w:r>
      <w:r w:rsidR="00A03FC1">
        <w:t xml:space="preserve"> subjects randomised to </w:t>
      </w:r>
      <w:r w:rsidR="00D87A84">
        <w:t>ABP 654</w:t>
      </w:r>
      <w:r w:rsidR="0042653C">
        <w:t xml:space="preserve"> </w:t>
      </w:r>
      <w:r w:rsidR="00A03FC1">
        <w:t xml:space="preserve">were breast carcinoma, uterine leiomyoma, cholelithiasis, anaphylactic reaction, COVID pneumonia, femoral neck fracture and hypertension. SAEs occurring in </w:t>
      </w:r>
      <w:r w:rsidR="00A27C05">
        <w:t>five</w:t>
      </w:r>
      <w:r w:rsidR="00A03FC1">
        <w:t xml:space="preserve"> subjects randomised to </w:t>
      </w:r>
      <w:r w:rsidR="00E4609C">
        <w:t>STELARA</w:t>
      </w:r>
      <w:r w:rsidR="00A03FC1">
        <w:t xml:space="preserve"> were clear cell renal carcinoma, renal neoplasm, COVID19, cellulitis, congestive cardiac failure and cardiac ventricular thrombosis.</w:t>
      </w:r>
    </w:p>
    <w:p w14:paraId="4600129E" w14:textId="208402E4" w:rsidR="00A03FC1" w:rsidRDefault="00A03FC1" w:rsidP="00A03FC1">
      <w:r>
        <w:t xml:space="preserve">Events of interest were experienced by </w:t>
      </w:r>
      <w:r w:rsidR="00A27C05">
        <w:t>five</w:t>
      </w:r>
      <w:r>
        <w:t xml:space="preserve"> subjects in the </w:t>
      </w:r>
      <w:r w:rsidR="00D87A84">
        <w:t>ABP 654</w:t>
      </w:r>
      <w:r>
        <w:t xml:space="preserve"> arm (</w:t>
      </w:r>
      <w:r w:rsidR="00A27C05">
        <w:t>two</w:t>
      </w:r>
      <w:r>
        <w:t xml:space="preserve"> cardiovascular events, </w:t>
      </w:r>
      <w:r w:rsidR="00A27C05">
        <w:t>two</w:t>
      </w:r>
      <w:r>
        <w:t xml:space="preserve"> malignancies,</w:t>
      </w:r>
      <w:r w:rsidR="00A27C05">
        <w:t xml:space="preserve"> one</w:t>
      </w:r>
      <w:r>
        <w:t xml:space="preserve"> serious infection) and </w:t>
      </w:r>
      <w:r w:rsidR="00A27C05">
        <w:t>seven</w:t>
      </w:r>
      <w:r>
        <w:t xml:space="preserve"> in the </w:t>
      </w:r>
      <w:r w:rsidR="00E4609C">
        <w:t>STELARA</w:t>
      </w:r>
      <w:r>
        <w:t xml:space="preserve"> arm (</w:t>
      </w:r>
      <w:r w:rsidR="00A27C05">
        <w:t>two</w:t>
      </w:r>
      <w:r>
        <w:t xml:space="preserve"> cardiovascular events, </w:t>
      </w:r>
      <w:r w:rsidR="00A27C05">
        <w:t>two</w:t>
      </w:r>
      <w:r>
        <w:t xml:space="preserve"> malignancies, </w:t>
      </w:r>
      <w:r w:rsidR="00A27C05">
        <w:t xml:space="preserve">two </w:t>
      </w:r>
      <w:r>
        <w:t xml:space="preserve">serious infections, </w:t>
      </w:r>
      <w:r w:rsidR="00A27C05">
        <w:t>one</w:t>
      </w:r>
      <w:r>
        <w:t xml:space="preserve"> reversible posterior leukoencephalopathy syndrome). </w:t>
      </w:r>
    </w:p>
    <w:p w14:paraId="0BD710DE" w14:textId="021D8892" w:rsidR="00A03FC1" w:rsidRDefault="00A03FC1" w:rsidP="00A03FC1">
      <w:r>
        <w:t xml:space="preserve">Regarding subjects who underwent dose intensification more subjects in the </w:t>
      </w:r>
      <w:r w:rsidR="00D87A84">
        <w:t>ABP 654</w:t>
      </w:r>
      <w:r w:rsidR="00BA4F81">
        <w:t xml:space="preserve"> </w:t>
      </w:r>
      <w:r>
        <w:t xml:space="preserve">arm compared with </w:t>
      </w:r>
      <w:r w:rsidR="00BA4F81">
        <w:t xml:space="preserve">the </w:t>
      </w:r>
      <w:r w:rsidR="00E4609C">
        <w:t>STELARA</w:t>
      </w:r>
      <w:r>
        <w:t xml:space="preserve"> arm experienced any AEs (48% vs. 26.5%), serious AEs (1 subjects /4% vs. 0%) and COVID related AEs (20% vs. 2.9%). The serious AE in the ABP 654 subject was hip dysplasia requiring arthroplasty. Grade ≥ 3 AEs occurred in 1 subject from each group and no fatal events were recorded. Four subjects in </w:t>
      </w:r>
      <w:r w:rsidR="00BA4F81">
        <w:t xml:space="preserve">the </w:t>
      </w:r>
      <w:r w:rsidR="00D87A84">
        <w:t>ABP 654</w:t>
      </w:r>
      <w:r>
        <w:t xml:space="preserve"> arm had AEs related to hepatic enzymes. Whilst these were only up to grade 2 and generally associated with other factors, they were not reported in the </w:t>
      </w:r>
      <w:r w:rsidR="00E4609C">
        <w:t>STELARA</w:t>
      </w:r>
      <w:r>
        <w:t xml:space="preserve"> arm. None of the AEs in the dose intensified treatment groups were considered related to investigational product. The sample sizes were relatively small (n=25 for ABP 654 and n=34 for </w:t>
      </w:r>
      <w:r w:rsidR="00E4609C">
        <w:t>STELARA</w:t>
      </w:r>
      <w:r>
        <w:t>).</w:t>
      </w:r>
    </w:p>
    <w:p w14:paraId="4F8E0D50" w14:textId="77777777" w:rsidR="00A03FC1" w:rsidRPr="00CE67F2" w:rsidRDefault="00A03FC1" w:rsidP="00A03FC1">
      <w:pPr>
        <w:rPr>
          <w:b/>
          <w:bCs/>
        </w:rPr>
      </w:pPr>
      <w:r w:rsidRPr="00CE67F2">
        <w:rPr>
          <w:b/>
          <w:bCs/>
        </w:rPr>
        <w:lastRenderedPageBreak/>
        <w:t>Study 20190232 – re-randomised set post week 28</w:t>
      </w:r>
    </w:p>
    <w:p w14:paraId="17A1A8C8" w14:textId="6E451983" w:rsidR="00A03FC1" w:rsidRDefault="00A03FC1" w:rsidP="00A03FC1">
      <w:r>
        <w:t xml:space="preserve">As can be seen from </w:t>
      </w:r>
      <w:r>
        <w:fldChar w:fldCharType="begin"/>
      </w:r>
      <w:r>
        <w:instrText xml:space="preserve"> REF _Ref147934278 \h </w:instrText>
      </w:r>
      <w:r>
        <w:fldChar w:fldCharType="separate"/>
      </w:r>
      <w:r>
        <w:t xml:space="preserve">Table </w:t>
      </w:r>
      <w:r>
        <w:fldChar w:fldCharType="end"/>
      </w:r>
      <w:r w:rsidR="005122AB">
        <w:t>9</w:t>
      </w:r>
      <w:r>
        <w:t xml:space="preserve"> the incidence of any AE, grade 3 or greater AEs, serious AEs, AEs leading to discontinuation and events of interest were comparable across the three arms (</w:t>
      </w:r>
      <w:r w:rsidR="00BA4F81">
        <w:t xml:space="preserve">that is, </w:t>
      </w:r>
      <w:r w:rsidR="00D87A84">
        <w:t>ABP 654</w:t>
      </w:r>
      <w:r>
        <w:t xml:space="preserve"> / </w:t>
      </w:r>
      <w:r w:rsidR="00D87A84">
        <w:t>ABP 654</w:t>
      </w:r>
      <w:r>
        <w:t xml:space="preserve">, </w:t>
      </w:r>
      <w:r w:rsidR="00E4609C">
        <w:t>STELARA</w:t>
      </w:r>
      <w:r w:rsidR="00BA4F81">
        <w:t xml:space="preserve"> </w:t>
      </w:r>
      <w:r>
        <w:t xml:space="preserve">/ </w:t>
      </w:r>
      <w:r w:rsidR="00D87A84">
        <w:t>ABP 654</w:t>
      </w:r>
      <w:r>
        <w:t xml:space="preserve">, </w:t>
      </w:r>
      <w:r w:rsidR="00E4609C">
        <w:t>STELARA</w:t>
      </w:r>
      <w:r>
        <w:t>/</w:t>
      </w:r>
      <w:r w:rsidR="00BA4F81">
        <w:t xml:space="preserve"> </w:t>
      </w:r>
      <w:r w:rsidR="00E4609C">
        <w:t>STELARA</w:t>
      </w:r>
      <w:r>
        <w:t>). This held true when considering the post re- randomisation period or the entire study.</w:t>
      </w:r>
    </w:p>
    <w:p w14:paraId="6C8F7AB1" w14:textId="55AC8E57" w:rsidR="00CE67F2" w:rsidRDefault="00CE67F2" w:rsidP="00CE67F2">
      <w:pPr>
        <w:pStyle w:val="TableTitle"/>
      </w:pPr>
      <w:bookmarkStart w:id="63" w:name="_Ref147934278"/>
      <w:r w:rsidRPr="00CE67F2">
        <w:t>Table 9: Summary of safety in the re-randomised safety set</w:t>
      </w:r>
    </w:p>
    <w:p w14:paraId="3A01A5C5" w14:textId="67B8BFD4" w:rsidR="008F055C" w:rsidRDefault="00CD6FFD" w:rsidP="00CD6FFD">
      <w:pPr>
        <w:rPr>
          <w:b/>
        </w:rPr>
      </w:pPr>
      <w:bookmarkStart w:id="64" w:name="_Ref147935881"/>
      <w:bookmarkEnd w:id="63"/>
      <w:r>
        <w:rPr>
          <w:b/>
          <w:noProof/>
        </w:rPr>
        <w:drawing>
          <wp:inline distT="0" distB="0" distL="0" distR="0" wp14:anchorId="35A423F3" wp14:editId="75563E3A">
            <wp:extent cx="4968815" cy="2856254"/>
            <wp:effectExtent l="0" t="0" r="381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2131" cy="2863908"/>
                    </a:xfrm>
                    <a:prstGeom prst="rect">
                      <a:avLst/>
                    </a:prstGeom>
                    <a:noFill/>
                  </pic:spPr>
                </pic:pic>
              </a:graphicData>
            </a:graphic>
          </wp:inline>
        </w:drawing>
      </w:r>
    </w:p>
    <w:p w14:paraId="13358B83" w14:textId="77777777" w:rsidR="00CD6FFD" w:rsidRDefault="00892EE3" w:rsidP="00CD6FFD">
      <w:pPr>
        <w:pStyle w:val="TableTitle"/>
      </w:pPr>
      <w:r w:rsidRPr="00892EE3">
        <w:t xml:space="preserve">Table </w:t>
      </w:r>
      <w:bookmarkEnd w:id="64"/>
      <w:r w:rsidRPr="00892EE3">
        <w:t>10</w:t>
      </w:r>
      <w:r w:rsidR="00BE6DBC">
        <w:t>:</w:t>
      </w:r>
      <w:r w:rsidRPr="00892EE3">
        <w:t xml:space="preserve"> Re-randomised safety data by system organ class and preferred term</w:t>
      </w:r>
    </w:p>
    <w:p w14:paraId="4D50A5AD" w14:textId="00352E15" w:rsidR="00892EE3" w:rsidRDefault="00CE67F2" w:rsidP="00CD6FFD">
      <w:r>
        <w:rPr>
          <w:noProof/>
        </w:rPr>
        <w:drawing>
          <wp:inline distT="0" distB="0" distL="0" distR="0" wp14:anchorId="366D0347" wp14:editId="5C21D4B8">
            <wp:extent cx="4359043" cy="2432650"/>
            <wp:effectExtent l="0" t="0" r="3810" b="6350"/>
            <wp:docPr id="974855347" name="Picture 974855347" descr="Re-randomised safety data by system organ class and preferred term, by A. system organ class and B.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randomised safety data by system organ class and preferred term, by A. system organ class and B. preferred term"/>
                    <pic:cNvPicPr/>
                  </pic:nvPicPr>
                  <pic:blipFill rotWithShape="1">
                    <a:blip r:embed="rId29"/>
                    <a:srcRect b="56899"/>
                    <a:stretch/>
                  </pic:blipFill>
                  <pic:spPr bwMode="auto">
                    <a:xfrm>
                      <a:off x="0" y="0"/>
                      <a:ext cx="4378594" cy="2443561"/>
                    </a:xfrm>
                    <a:prstGeom prst="rect">
                      <a:avLst/>
                    </a:prstGeom>
                    <a:ln>
                      <a:noFill/>
                    </a:ln>
                    <a:extLst>
                      <a:ext uri="{53640926-AAD7-44D8-BBD7-CCE9431645EC}">
                        <a14:shadowObscured xmlns:a14="http://schemas.microsoft.com/office/drawing/2010/main"/>
                      </a:ext>
                    </a:extLst>
                  </pic:spPr>
                </pic:pic>
              </a:graphicData>
            </a:graphic>
          </wp:inline>
        </w:drawing>
      </w:r>
      <w:r w:rsidR="00892EE3">
        <w:rPr>
          <w:noProof/>
        </w:rPr>
        <w:drawing>
          <wp:inline distT="0" distB="0" distL="0" distR="0" wp14:anchorId="29F0C926" wp14:editId="445A79F2">
            <wp:extent cx="4961890" cy="2059763"/>
            <wp:effectExtent l="0" t="0" r="0" b="0"/>
            <wp:docPr id="6" name="Picture 6" descr="Re-randomised safety data by system organ class and preferred term, by A. system organ class and B.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randomised safety data by system organ class and preferred term, by A. system organ class and B. preferred term"/>
                    <pic:cNvPicPr/>
                  </pic:nvPicPr>
                  <pic:blipFill rotWithShape="1">
                    <a:blip r:embed="rId29"/>
                    <a:srcRect t="67940"/>
                    <a:stretch/>
                  </pic:blipFill>
                  <pic:spPr bwMode="auto">
                    <a:xfrm>
                      <a:off x="0" y="0"/>
                      <a:ext cx="4962255" cy="2059915"/>
                    </a:xfrm>
                    <a:prstGeom prst="rect">
                      <a:avLst/>
                    </a:prstGeom>
                    <a:ln>
                      <a:noFill/>
                    </a:ln>
                    <a:extLst>
                      <a:ext uri="{53640926-AAD7-44D8-BBD7-CCE9431645EC}">
                        <a14:shadowObscured xmlns:a14="http://schemas.microsoft.com/office/drawing/2010/main"/>
                      </a:ext>
                    </a:extLst>
                  </pic:spPr>
                </pic:pic>
              </a:graphicData>
            </a:graphic>
          </wp:inline>
        </w:drawing>
      </w:r>
    </w:p>
    <w:p w14:paraId="2AF5F8E6" w14:textId="4282FAD7" w:rsidR="00FC67CB" w:rsidRDefault="00FC67CB" w:rsidP="00FC67CB">
      <w:r>
        <w:lastRenderedPageBreak/>
        <w:t xml:space="preserve">Post week 28 in the re-randomised group, </w:t>
      </w:r>
      <w:r w:rsidR="00A27C05">
        <w:t>one</w:t>
      </w:r>
      <w:r>
        <w:t xml:space="preserve"> subject receiving </w:t>
      </w:r>
      <w:r w:rsidR="00D87A84">
        <w:t>ABP 654</w:t>
      </w:r>
      <w:r w:rsidR="005215BF">
        <w:t xml:space="preserve"> </w:t>
      </w:r>
      <w:r>
        <w:t xml:space="preserve">/ </w:t>
      </w:r>
      <w:r w:rsidR="00D87A84">
        <w:t>ABP 654</w:t>
      </w:r>
      <w:r w:rsidR="005215BF">
        <w:t xml:space="preserve"> </w:t>
      </w:r>
      <w:r>
        <w:t xml:space="preserve">stopped treatment due to an ALT </w:t>
      </w:r>
      <w:r w:rsidR="00603AB0">
        <w:t xml:space="preserve">enzyme </w:t>
      </w:r>
      <w:r>
        <w:t xml:space="preserve">increase and </w:t>
      </w:r>
      <w:r w:rsidR="00A27C05">
        <w:t>one</w:t>
      </w:r>
      <w:r>
        <w:t xml:space="preserve"> subject receiving </w:t>
      </w:r>
      <w:r w:rsidR="00E4609C">
        <w:t>STELARA</w:t>
      </w:r>
      <w:r>
        <w:t xml:space="preserve">/ </w:t>
      </w:r>
      <w:r w:rsidR="00E4609C">
        <w:t>STELARA</w:t>
      </w:r>
      <w:r w:rsidR="005215BF">
        <w:t xml:space="preserve"> </w:t>
      </w:r>
      <w:r>
        <w:t>stopped due to Bipolar 1 disorder.</w:t>
      </w:r>
    </w:p>
    <w:p w14:paraId="395A58D6" w14:textId="3074729E" w:rsidR="00FC67CB" w:rsidRDefault="00FC67CB" w:rsidP="00FC67CB">
      <w:r>
        <w:t xml:space="preserve">There were relatively few SAEs post week 28, occurring in </w:t>
      </w:r>
      <w:r w:rsidR="00A27C05">
        <w:t>one</w:t>
      </w:r>
      <w:r>
        <w:t xml:space="preserve"> subject in the </w:t>
      </w:r>
      <w:r w:rsidR="00D87A84">
        <w:t>ABP 654</w:t>
      </w:r>
      <w:r>
        <w:t xml:space="preserve"> / </w:t>
      </w:r>
      <w:r w:rsidR="00D87A84">
        <w:t>ABP 654</w:t>
      </w:r>
      <w:r>
        <w:t xml:space="preserve"> group (ovarian cancer), </w:t>
      </w:r>
      <w:r w:rsidR="00A27C05">
        <w:t>one</w:t>
      </w:r>
      <w:r>
        <w:t xml:space="preserve"> in the </w:t>
      </w:r>
      <w:r w:rsidR="00E4609C">
        <w:t>STELARA</w:t>
      </w:r>
      <w:r>
        <w:t xml:space="preserve"> / </w:t>
      </w:r>
      <w:r w:rsidR="00D87A84">
        <w:t>ABP 654</w:t>
      </w:r>
      <w:r>
        <w:t xml:space="preserve"> group (intervertebral disc disorder), and </w:t>
      </w:r>
      <w:r w:rsidR="00A27C05">
        <w:t>three</w:t>
      </w:r>
      <w:r>
        <w:t xml:space="preserve"> in the </w:t>
      </w:r>
      <w:r w:rsidR="00E4609C">
        <w:t>STELARA</w:t>
      </w:r>
      <w:r>
        <w:t xml:space="preserve"> / </w:t>
      </w:r>
      <w:r w:rsidR="00E4609C">
        <w:t>STELARA</w:t>
      </w:r>
      <w:r w:rsidR="00603AB0">
        <w:t xml:space="preserve"> </w:t>
      </w:r>
      <w:r>
        <w:t>group (myocardial infarction, COVID19, infected cyst, post operative wound infection, sepsis, bipolar 1 disorder).</w:t>
      </w:r>
    </w:p>
    <w:p w14:paraId="5A0ED5F1" w14:textId="05A5636C" w:rsidR="00FC67CB" w:rsidRDefault="00FC67CB" w:rsidP="00FC67CB">
      <w:r>
        <w:t xml:space="preserve">Events of interest were experienced by </w:t>
      </w:r>
      <w:r w:rsidR="00A27C05">
        <w:t xml:space="preserve">three </w:t>
      </w:r>
      <w:r>
        <w:t xml:space="preserve">subjects in </w:t>
      </w:r>
      <w:r w:rsidR="00603AB0">
        <w:t xml:space="preserve">the </w:t>
      </w:r>
      <w:r w:rsidR="00D87A84">
        <w:t>ABP 654</w:t>
      </w:r>
      <w:r>
        <w:t xml:space="preserve"> / </w:t>
      </w:r>
      <w:r w:rsidR="00D87A84">
        <w:t>ABP 654</w:t>
      </w:r>
      <w:r w:rsidR="00603AB0">
        <w:t xml:space="preserve"> </w:t>
      </w:r>
      <w:r>
        <w:t xml:space="preserve">group (serious infection, cardiovascular event, malignancy), </w:t>
      </w:r>
      <w:r w:rsidR="00A27C05">
        <w:t>zero</w:t>
      </w:r>
      <w:r>
        <w:t xml:space="preserve"> in the </w:t>
      </w:r>
      <w:r w:rsidR="00E4609C">
        <w:t>STELARA</w:t>
      </w:r>
      <w:r w:rsidR="00603AB0">
        <w:t xml:space="preserve"> </w:t>
      </w:r>
      <w:r>
        <w:t xml:space="preserve">/ </w:t>
      </w:r>
      <w:r w:rsidR="00D87A84">
        <w:t>ABP 654</w:t>
      </w:r>
      <w:r>
        <w:t xml:space="preserve"> group and </w:t>
      </w:r>
      <w:r w:rsidR="00A27C05">
        <w:t>four</w:t>
      </w:r>
      <w:r>
        <w:t xml:space="preserve"> in the </w:t>
      </w:r>
      <w:r w:rsidR="00E4609C">
        <w:t>STELARA</w:t>
      </w:r>
      <w:r>
        <w:t xml:space="preserve"> / </w:t>
      </w:r>
      <w:r w:rsidR="00E4609C">
        <w:t>STELARA</w:t>
      </w:r>
      <w:r w:rsidR="00603AB0">
        <w:t xml:space="preserve"> </w:t>
      </w:r>
      <w:r>
        <w:t>group (</w:t>
      </w:r>
      <w:r w:rsidR="00A27C05">
        <w:t>three</w:t>
      </w:r>
      <w:r>
        <w:t xml:space="preserve"> serious infections, </w:t>
      </w:r>
      <w:r w:rsidR="00A27C05">
        <w:t xml:space="preserve">three </w:t>
      </w:r>
      <w:r>
        <w:t>cardiovascular events).</w:t>
      </w:r>
    </w:p>
    <w:p w14:paraId="06327458" w14:textId="49155F8A" w:rsidR="00FC67CB" w:rsidRDefault="00FC67CB" w:rsidP="00FC67CB">
      <w:r>
        <w:t>Overall grade ≥ 3 changes in haematology or biochemistry were uncommon in the re-randomised safety analysis set (</w:t>
      </w:r>
      <w:proofErr w:type="gramStart"/>
      <w:r>
        <w:t>i.e.</w:t>
      </w:r>
      <w:proofErr w:type="gramEnd"/>
      <w:r>
        <w:t xml:space="preserve"> all data points except for subjects who dose intensified or discontinued at week 28), as shown in </w:t>
      </w:r>
      <w:r>
        <w:fldChar w:fldCharType="begin"/>
      </w:r>
      <w:r>
        <w:instrText xml:space="preserve"> REF _Ref149645087 \h </w:instrText>
      </w:r>
      <w:r>
        <w:fldChar w:fldCharType="separate"/>
      </w:r>
      <w:r>
        <w:t xml:space="preserve">Table </w:t>
      </w:r>
      <w:r>
        <w:fldChar w:fldCharType="end"/>
      </w:r>
      <w:r>
        <w:t xml:space="preserve">11. </w:t>
      </w:r>
    </w:p>
    <w:p w14:paraId="01117D33" w14:textId="77777777" w:rsidR="00EC3AAD" w:rsidRDefault="00BE6DBC" w:rsidP="00EC3AAD">
      <w:pPr>
        <w:pStyle w:val="TableTitle"/>
      </w:pPr>
      <w:bookmarkStart w:id="65" w:name="_Ref149645087"/>
      <w:r w:rsidRPr="00EC3AAD">
        <w:t xml:space="preserve">Table </w:t>
      </w:r>
      <w:bookmarkEnd w:id="65"/>
      <w:r w:rsidRPr="00EC3AAD">
        <w:t>11: Incidence of post-baseline at least grade 3 serum biochemistry results (re-randomised safety analysis set)</w:t>
      </w:r>
      <w:r w:rsidR="00EC3AAD" w:rsidRPr="00EC3AAD">
        <w:t xml:space="preserve"> </w:t>
      </w:r>
    </w:p>
    <w:p w14:paraId="5A8D8F25" w14:textId="4F7CC800" w:rsidR="00BE6DBC" w:rsidRPr="00EC3AAD" w:rsidRDefault="00EC3AAD" w:rsidP="00EC3AAD">
      <w:r w:rsidRPr="00EC3AAD">
        <w:rPr>
          <w:noProof/>
        </w:rPr>
        <w:drawing>
          <wp:inline distT="0" distB="0" distL="0" distR="0" wp14:anchorId="17A41FCD" wp14:editId="49FEBCFA">
            <wp:extent cx="5759450" cy="1427595"/>
            <wp:effectExtent l="0" t="0" r="0" b="1270"/>
            <wp:docPr id="16" name="Picture 16" descr="Incidence of post-baseline at least grade 3 serum biochemistry results (re-randomised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ncidence of post-baseline at least grade 3 serum biochemistry results (re-randomised safety analysis set) "/>
                    <pic:cNvPicPr/>
                  </pic:nvPicPr>
                  <pic:blipFill rotWithShape="1">
                    <a:blip r:embed="rId30">
                      <a:extLst>
                        <a:ext uri="{28A0092B-C50C-407E-A947-70E740481C1C}">
                          <a14:useLocalDpi xmlns:a14="http://schemas.microsoft.com/office/drawing/2010/main" val="0"/>
                        </a:ext>
                      </a:extLst>
                    </a:blip>
                    <a:srcRect t="15538" b="16472"/>
                    <a:stretch/>
                  </pic:blipFill>
                  <pic:spPr bwMode="auto">
                    <a:xfrm>
                      <a:off x="0" y="0"/>
                      <a:ext cx="5759450" cy="1427595"/>
                    </a:xfrm>
                    <a:prstGeom prst="rect">
                      <a:avLst/>
                    </a:prstGeom>
                    <a:ln>
                      <a:noFill/>
                    </a:ln>
                    <a:extLst>
                      <a:ext uri="{53640926-AAD7-44D8-BBD7-CCE9431645EC}">
                        <a14:shadowObscured xmlns:a14="http://schemas.microsoft.com/office/drawing/2010/main"/>
                      </a:ext>
                    </a:extLst>
                  </pic:spPr>
                </pic:pic>
              </a:graphicData>
            </a:graphic>
          </wp:inline>
        </w:drawing>
      </w:r>
    </w:p>
    <w:p w14:paraId="468DFFA1" w14:textId="77777777" w:rsidR="008D3374" w:rsidRDefault="008D3374" w:rsidP="008D3374">
      <w:pPr>
        <w:pStyle w:val="Heading4"/>
      </w:pPr>
      <w:bookmarkStart w:id="66" w:name="_Toc170370172"/>
      <w:r>
        <w:t>Immunogenicity – incidence, PK, efficacy, safety</w:t>
      </w:r>
      <w:bookmarkEnd w:id="66"/>
    </w:p>
    <w:p w14:paraId="50949981" w14:textId="77777777" w:rsidR="008D3374" w:rsidRPr="00EC3AAD" w:rsidRDefault="008D3374" w:rsidP="008D3374">
      <w:pPr>
        <w:rPr>
          <w:b/>
          <w:bCs/>
        </w:rPr>
      </w:pPr>
      <w:r w:rsidRPr="00EC3AAD">
        <w:rPr>
          <w:b/>
          <w:bCs/>
        </w:rPr>
        <w:t>Study 20190230</w:t>
      </w:r>
    </w:p>
    <w:p w14:paraId="6FD1D7C8" w14:textId="37A2C73A" w:rsidR="008D3374" w:rsidRDefault="008D3374" w:rsidP="008D3374">
      <w:r>
        <w:t>ADA</w:t>
      </w:r>
      <w:r w:rsidR="00C70EAD">
        <w:t xml:space="preserve"> enzyme</w:t>
      </w:r>
      <w:r>
        <w:t xml:space="preserve"> samples were collected pre</w:t>
      </w:r>
      <w:r w:rsidR="00C70EAD">
        <w:t>-</w:t>
      </w:r>
      <w:r>
        <w:t>dose and on days 11, 35 and 112/EOS. Assessment involved screening, confirmation and testing for neutralising activity. All subjects in the safety analysis set had at least 1 on-study ADA result. Two subjects tested positive pre-</w:t>
      </w:r>
      <w:proofErr w:type="gramStart"/>
      <w:r>
        <w:t>dose,</w:t>
      </w:r>
      <w:proofErr w:type="gramEnd"/>
      <w:r>
        <w:t xml:space="preserve"> however their antibodies were without neutralising activity. Overall, more subjects in the </w:t>
      </w:r>
      <w:r w:rsidR="00E4609C">
        <w:t>STELARA</w:t>
      </w:r>
      <w:r>
        <w:t xml:space="preserve"> arms developed ADAs compared to the </w:t>
      </w:r>
      <w:r w:rsidR="00D87A84">
        <w:t>ABP 654</w:t>
      </w:r>
      <w:r>
        <w:t xml:space="preserve">, with most antibodies detected being non-neutralising. From post-baseline to the end of the study, 12 subjects (15.4%) in the </w:t>
      </w:r>
      <w:r w:rsidR="00D87A84">
        <w:t>ABP 654</w:t>
      </w:r>
      <w:r>
        <w:t xml:space="preserve"> group, 30 (38%) in the </w:t>
      </w:r>
      <w:r w:rsidR="00E4609C">
        <w:t>STELARA</w:t>
      </w:r>
      <w:r>
        <w:t xml:space="preserve"> (US) group and 29 (36.3%) in </w:t>
      </w:r>
      <w:r w:rsidR="00A9665C">
        <w:t xml:space="preserve">the </w:t>
      </w:r>
      <w:r w:rsidR="00E4609C">
        <w:t>STELARA</w:t>
      </w:r>
      <w:r>
        <w:t xml:space="preserve"> (EU) group developed ADAs. Of these, 2 (2.6%) in the </w:t>
      </w:r>
      <w:r w:rsidR="00D87A84">
        <w:t>ABP 654</w:t>
      </w:r>
      <w:r>
        <w:t xml:space="preserve"> group, 10 (12.7%) in the </w:t>
      </w:r>
      <w:r w:rsidR="00E4609C">
        <w:t>STELARA</w:t>
      </w:r>
      <w:r>
        <w:t xml:space="preserve"> (US) group and 6 (7.5%) in the </w:t>
      </w:r>
      <w:r w:rsidR="00E4609C">
        <w:t>STELARA</w:t>
      </w:r>
      <w:r>
        <w:t xml:space="preserve"> (EU) group tested positive for neutralising ADAs.</w:t>
      </w:r>
    </w:p>
    <w:p w14:paraId="604FFF67" w14:textId="75FCCA54" w:rsidR="008D3374" w:rsidRDefault="008D3374" w:rsidP="008D3374">
      <w:r>
        <w:t>Additional analyses are consistent with binding ADAs having an effect on exposure by increasing clearance and decreasing t</w:t>
      </w:r>
      <w:r w:rsidRPr="00A27C05">
        <w:rPr>
          <w:vertAlign w:val="subscript"/>
        </w:rPr>
        <w:t>1/2</w:t>
      </w:r>
      <w:r>
        <w:t>. In the phase 1 study 20190230, the presence of binding ADAs increased CL/F (16-35%) and reduced t</w:t>
      </w:r>
      <w:r w:rsidRPr="00A27C05">
        <w:rPr>
          <w:vertAlign w:val="subscript"/>
        </w:rPr>
        <w:t>1/2</w:t>
      </w:r>
      <w:r>
        <w:t xml:space="preserve"> (12-32%), with a tendency for </w:t>
      </w:r>
      <w:r>
        <w:rPr>
          <w:i/>
          <w:iCs/>
        </w:rPr>
        <w:t>least</w:t>
      </w:r>
      <w:r>
        <w:t xml:space="preserve"> pronounced effects with </w:t>
      </w:r>
      <w:r w:rsidR="00D87A84">
        <w:t>ABP 654</w:t>
      </w:r>
      <w:r>
        <w:t xml:space="preserve"> (</w:t>
      </w:r>
      <w:r w:rsidR="00A27C05">
        <w:t>Table 12</w:t>
      </w:r>
      <w:r>
        <w:t>). In fact, analysis showed a statistically significant (p=0.0172) difference in t</w:t>
      </w:r>
      <w:r w:rsidRPr="00A27C05">
        <w:rPr>
          <w:vertAlign w:val="subscript"/>
        </w:rPr>
        <w:t>1/2</w:t>
      </w:r>
      <w:r>
        <w:t xml:space="preserve"> according to ADA status between </w:t>
      </w:r>
      <w:r w:rsidR="00E4609C">
        <w:t>STELARA</w:t>
      </w:r>
      <w:r>
        <w:t xml:space="preserve"> </w:t>
      </w:r>
      <w:r w:rsidR="00A27C05">
        <w:t>(</w:t>
      </w:r>
      <w:r>
        <w:t>US</w:t>
      </w:r>
      <w:r w:rsidR="00A27C05">
        <w:t>)</w:t>
      </w:r>
      <w:r>
        <w:t xml:space="preserve"> and </w:t>
      </w:r>
      <w:r w:rsidR="00D87A84">
        <w:t>ABP 654</w:t>
      </w:r>
      <w:r>
        <w:t xml:space="preserve"> (</w:t>
      </w:r>
      <w:r w:rsidR="00A27C05">
        <w:t>that is</w:t>
      </w:r>
      <w:r>
        <w:t xml:space="preserve">. different magnitude of effect for the different treatments). This was not observed when comparing </w:t>
      </w:r>
      <w:r w:rsidR="00D87A84">
        <w:t>ABP 654</w:t>
      </w:r>
      <w:r w:rsidR="00A27C05">
        <w:t xml:space="preserve"> </w:t>
      </w:r>
      <w:r>
        <w:t xml:space="preserve">and </w:t>
      </w:r>
      <w:r w:rsidR="00E4609C">
        <w:t>STELARA</w:t>
      </w:r>
      <w:r>
        <w:t xml:space="preserve"> </w:t>
      </w:r>
      <w:r w:rsidR="00A27C05">
        <w:t>(</w:t>
      </w:r>
      <w:r>
        <w:t>EU</w:t>
      </w:r>
      <w:r w:rsidR="00A27C05">
        <w:t>)</w:t>
      </w:r>
      <w:r>
        <w:t>.</w:t>
      </w:r>
    </w:p>
    <w:p w14:paraId="7805F40C" w14:textId="3C3D1DC2" w:rsidR="008D3374" w:rsidRDefault="008D3374" w:rsidP="00EC3AAD">
      <w:pPr>
        <w:pStyle w:val="TableTitle"/>
      </w:pPr>
      <w:bookmarkStart w:id="67" w:name="_Ref147500823"/>
      <w:r w:rsidRPr="00A27C05">
        <w:lastRenderedPageBreak/>
        <w:t xml:space="preserve">Table </w:t>
      </w:r>
      <w:bookmarkEnd w:id="67"/>
      <w:r w:rsidR="00A27C05" w:rsidRPr="00A27C05">
        <w:t>12:</w:t>
      </w:r>
      <w:r w:rsidRPr="00A27C05">
        <w:t xml:space="preserve"> Changes in clearance and half-life according to ADA status</w:t>
      </w:r>
    </w:p>
    <w:p w14:paraId="17706434" w14:textId="77777777" w:rsidR="008D3374" w:rsidRDefault="008D3374" w:rsidP="008D3374">
      <w:r>
        <w:rPr>
          <w:noProof/>
        </w:rPr>
        <w:drawing>
          <wp:inline distT="0" distB="0" distL="0" distR="0" wp14:anchorId="5656CC8F" wp14:editId="2DC06E46">
            <wp:extent cx="5731510" cy="1709420"/>
            <wp:effectExtent l="0" t="0" r="2540" b="5080"/>
            <wp:docPr id="17" name="Picture 17" descr="Changes in clearance and half-life according to ADA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nges in clearance and half-life according to ADA status"/>
                    <pic:cNvPicPr/>
                  </pic:nvPicPr>
                  <pic:blipFill>
                    <a:blip r:embed="rId31"/>
                    <a:stretch>
                      <a:fillRect/>
                    </a:stretch>
                  </pic:blipFill>
                  <pic:spPr>
                    <a:xfrm>
                      <a:off x="0" y="0"/>
                      <a:ext cx="5731510" cy="1709420"/>
                    </a:xfrm>
                    <a:prstGeom prst="rect">
                      <a:avLst/>
                    </a:prstGeom>
                  </pic:spPr>
                </pic:pic>
              </a:graphicData>
            </a:graphic>
          </wp:inline>
        </w:drawing>
      </w:r>
    </w:p>
    <w:p w14:paraId="784ABDB7" w14:textId="77777777" w:rsidR="008D3374" w:rsidRPr="00EC3AAD" w:rsidRDefault="008D3374" w:rsidP="008D3374">
      <w:pPr>
        <w:rPr>
          <w:b/>
          <w:bCs/>
        </w:rPr>
      </w:pPr>
      <w:r w:rsidRPr="00EC3AAD">
        <w:rPr>
          <w:b/>
          <w:bCs/>
        </w:rPr>
        <w:t>Study 20190232</w:t>
      </w:r>
    </w:p>
    <w:p w14:paraId="665D10BC" w14:textId="77777777" w:rsidR="008D3374" w:rsidRDefault="008D3374" w:rsidP="008D3374">
      <w:r>
        <w:t>Bloods samples for ADA analysis were collected at baseline and at weeks 4, 12, 28, 32, 40 and 52 (EOS).</w:t>
      </w:r>
    </w:p>
    <w:p w14:paraId="1B57F4DC" w14:textId="77777777" w:rsidR="008D3374" w:rsidRDefault="008D3374" w:rsidP="008D3374">
      <w:r>
        <w:t>Through week 28, the following was observed:</w:t>
      </w:r>
    </w:p>
    <w:p w14:paraId="1859595E" w14:textId="77777777" w:rsidR="008D3374" w:rsidRPr="00A27C05" w:rsidRDefault="008D3374" w:rsidP="00CD6FFD">
      <w:pPr>
        <w:pStyle w:val="ListBullet"/>
      </w:pPr>
      <w:r w:rsidRPr="00A27C05">
        <w:t>All subjects had at least a single on-study result</w:t>
      </w:r>
    </w:p>
    <w:p w14:paraId="36C61C87" w14:textId="39F5A0EF" w:rsidR="008D3374" w:rsidRPr="00A27C05" w:rsidRDefault="008D3374" w:rsidP="00CD6FFD">
      <w:pPr>
        <w:pStyle w:val="ListBullet"/>
      </w:pPr>
      <w:r w:rsidRPr="00A27C05">
        <w:t xml:space="preserve">At baseline, 18 (6.5%) of subjects in the ABP 654 arm were positive, with one of these being neutralising. In the </w:t>
      </w:r>
      <w:r w:rsidR="00E4609C">
        <w:t>STELARA</w:t>
      </w:r>
      <w:r w:rsidRPr="00A27C05">
        <w:t xml:space="preserve"> arm, 8 (2.9%) subjects were positive at baseline.</w:t>
      </w:r>
    </w:p>
    <w:p w14:paraId="6941356A" w14:textId="6D753427" w:rsidR="008D3374" w:rsidRPr="00A27C05" w:rsidRDefault="008D3374" w:rsidP="00CD6FFD">
      <w:pPr>
        <w:pStyle w:val="ListBullet"/>
      </w:pPr>
      <w:r w:rsidRPr="00A27C05">
        <w:t xml:space="preserve">Over time, the incidence of subjects with any positive result increased, such that by week 28, 52 (18.6%) of subjects in the ABP 654 arm had a positive ADA result and 24 (8.5%) had a neutralising antibody found. In the </w:t>
      </w:r>
      <w:r w:rsidR="00E4609C">
        <w:t>STELARA</w:t>
      </w:r>
      <w:r w:rsidRPr="00A27C05">
        <w:t xml:space="preserve"> arm, 104 (37.1%) had a positive ADA result and 50 (17.9%) had a neutralising antibody found.</w:t>
      </w:r>
    </w:p>
    <w:p w14:paraId="05AB2390" w14:textId="2DDF5C43" w:rsidR="008D3374" w:rsidRDefault="008D3374" w:rsidP="00CD6FFD">
      <w:pPr>
        <w:pStyle w:val="ListBullet"/>
      </w:pPr>
      <w:r w:rsidRPr="00A27C05">
        <w:t xml:space="preserve">Results for other timepoints are shown in </w:t>
      </w:r>
      <w:r w:rsidRPr="00A27C05">
        <w:fldChar w:fldCharType="begin"/>
      </w:r>
      <w:r w:rsidRPr="00A27C05">
        <w:instrText xml:space="preserve"> REF _Ref147416312 \h </w:instrText>
      </w:r>
      <w:r w:rsidR="00A27C05" w:rsidRPr="00A27C05">
        <w:instrText xml:space="preserve"> \* MERGEFORMAT </w:instrText>
      </w:r>
      <w:r w:rsidRPr="00A27C05">
        <w:fldChar w:fldCharType="separate"/>
      </w:r>
      <w:r w:rsidRPr="00A27C05">
        <w:t xml:space="preserve">Table </w:t>
      </w:r>
      <w:r w:rsidRPr="00A27C05">
        <w:fldChar w:fldCharType="end"/>
      </w:r>
      <w:r w:rsidR="00A27C05">
        <w:t>13</w:t>
      </w:r>
      <w:r w:rsidRPr="00A27C05">
        <w:t>.</w:t>
      </w:r>
    </w:p>
    <w:p w14:paraId="01D2CE07" w14:textId="209D1EB0" w:rsidR="00EA20B4" w:rsidRDefault="0018087C" w:rsidP="00CD6FFD">
      <w:pPr>
        <w:pStyle w:val="TableTitle"/>
      </w:pPr>
      <w:r w:rsidRPr="0018087C">
        <w:lastRenderedPageBreak/>
        <w:t>Table</w:t>
      </w:r>
      <w:r w:rsidR="00EC3AAD">
        <w:t xml:space="preserve"> 13</w:t>
      </w:r>
      <w:r w:rsidR="0016404E">
        <w:rPr>
          <w:noProof/>
        </w:rPr>
        <w:t>:</w:t>
      </w:r>
      <w:r w:rsidRPr="0018087C">
        <w:t xml:space="preserve"> ADA results through to week 28</w:t>
      </w:r>
    </w:p>
    <w:p w14:paraId="396C6A37" w14:textId="0F339A59" w:rsidR="00EA20B4" w:rsidRPr="00EA20B4" w:rsidRDefault="00EA20B4" w:rsidP="00EA20B4">
      <w:pPr>
        <w:adjustRightInd w:val="0"/>
        <w:snapToGrid w:val="0"/>
        <w:spacing w:before="180" w:after="180" w:line="240" w:lineRule="atLeast"/>
        <w:rPr>
          <w:szCs w:val="22"/>
        </w:rPr>
      </w:pPr>
      <w:r>
        <w:rPr>
          <w:noProof/>
        </w:rPr>
        <w:drawing>
          <wp:inline distT="0" distB="0" distL="0" distR="0" wp14:anchorId="49B4FE0E" wp14:editId="3B3687E9">
            <wp:extent cx="6425725" cy="6797616"/>
            <wp:effectExtent l="0" t="0" r="0" b="3810"/>
            <wp:docPr id="19" name="Picture 19" descr="ADA results at baseline for wezlana and ustekinumab, including subjects with an on-study result, with a post-baseline result through week 4, subjects with a post-baseline result through week 12, and subjects with a post-baseline reult through to we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DA results at baseline for wezlana and ustekinumab, including subjects with an on-study result, with a post-baseline result through week 4, subjects with a post-baseline result through week 12, and subjects with a post-baseline reult through to week 28"/>
                    <pic:cNvPicPr/>
                  </pic:nvPicPr>
                  <pic:blipFill rotWithShape="1">
                    <a:blip r:embed="rId32"/>
                    <a:srcRect b="1776"/>
                    <a:stretch/>
                  </pic:blipFill>
                  <pic:spPr bwMode="auto">
                    <a:xfrm>
                      <a:off x="0" y="0"/>
                      <a:ext cx="6447378" cy="6820522"/>
                    </a:xfrm>
                    <a:prstGeom prst="rect">
                      <a:avLst/>
                    </a:prstGeom>
                    <a:ln>
                      <a:noFill/>
                    </a:ln>
                    <a:extLst>
                      <a:ext uri="{53640926-AAD7-44D8-BBD7-CCE9431645EC}">
                        <a14:shadowObscured xmlns:a14="http://schemas.microsoft.com/office/drawing/2010/main"/>
                      </a:ext>
                    </a:extLst>
                  </pic:spPr>
                </pic:pic>
              </a:graphicData>
            </a:graphic>
          </wp:inline>
        </w:drawing>
      </w:r>
    </w:p>
    <w:p w14:paraId="35F2E66D" w14:textId="77777777" w:rsidR="008D3374" w:rsidRDefault="008D3374" w:rsidP="008D3374">
      <w:r>
        <w:t>Amongst the re-randomized subjects, the following results through to week 52 were noted:</w:t>
      </w:r>
    </w:p>
    <w:p w14:paraId="427EB8A4" w14:textId="093932CA" w:rsidR="008D3374" w:rsidRPr="00063509" w:rsidRDefault="00D87A84" w:rsidP="00CD6FFD">
      <w:pPr>
        <w:pStyle w:val="ListBullet"/>
      </w:pPr>
      <w:r>
        <w:t>ABP 654</w:t>
      </w:r>
      <w:r w:rsidR="008D3374" w:rsidRPr="00063509">
        <w:t xml:space="preserve"> / </w:t>
      </w:r>
      <w:r>
        <w:t>ABP 654</w:t>
      </w:r>
      <w:r w:rsidR="008D3374" w:rsidRPr="00063509">
        <w:t xml:space="preserve"> – for subjects with a negative or no result prior to re-randomization, 11 (4.5%) developed ADA positivity and 5 (2.0%) developed neutralizing ADAs.</w:t>
      </w:r>
    </w:p>
    <w:p w14:paraId="127E4BA4" w14:textId="7EFAB673" w:rsidR="008D3374" w:rsidRPr="00063509" w:rsidRDefault="00E4609C" w:rsidP="00CD6FFD">
      <w:pPr>
        <w:pStyle w:val="ListBullet"/>
      </w:pPr>
      <w:r>
        <w:t>STELARA</w:t>
      </w:r>
      <w:r w:rsidR="008D3374" w:rsidRPr="00063509">
        <w:t xml:space="preserve"> / </w:t>
      </w:r>
      <w:r w:rsidR="00D87A84">
        <w:t>ABP 654</w:t>
      </w:r>
      <w:r w:rsidR="008D3374" w:rsidRPr="00063509">
        <w:t xml:space="preserve"> – for subjects with a negative or no result prior to re-randomization, 4 (3.4%) developed ADA positivity and 1 (0.9%) developed neutralizing ADAs.</w:t>
      </w:r>
    </w:p>
    <w:p w14:paraId="122880D0" w14:textId="4286DA97" w:rsidR="008D3374" w:rsidRPr="00063509" w:rsidRDefault="00E4609C" w:rsidP="00CD6FFD">
      <w:pPr>
        <w:pStyle w:val="ListBullet"/>
      </w:pPr>
      <w:r>
        <w:t>STELARA</w:t>
      </w:r>
      <w:r w:rsidR="008D3374" w:rsidRPr="00063509">
        <w:t xml:space="preserve"> / </w:t>
      </w:r>
      <w:r>
        <w:t>STELARA</w:t>
      </w:r>
      <w:r w:rsidR="008D3374" w:rsidRPr="00063509">
        <w:t xml:space="preserve"> – for subjects with a negative or no result prior to re-randomization, 2 (1.7%) developed ADA positivity and 1 (0.9%) developed neutralizing ADAs.</w:t>
      </w:r>
    </w:p>
    <w:p w14:paraId="279D738C" w14:textId="77777777" w:rsidR="00CD6FFD" w:rsidRDefault="00CD6FFD" w:rsidP="008D3374"/>
    <w:p w14:paraId="36E261D0" w14:textId="24DF5A71" w:rsidR="008D3374" w:rsidRDefault="008D3374" w:rsidP="008D3374">
      <w:r>
        <w:lastRenderedPageBreak/>
        <w:t>Amongst the dose intensification subjects, the following results through to week 52 were noted:</w:t>
      </w:r>
    </w:p>
    <w:p w14:paraId="25CF2F86" w14:textId="42FC0B43" w:rsidR="008D3374" w:rsidRPr="00063509" w:rsidRDefault="00D87A84" w:rsidP="00CD6FFD">
      <w:pPr>
        <w:pStyle w:val="ListBullet"/>
      </w:pPr>
      <w:r>
        <w:t>ABP 654</w:t>
      </w:r>
      <w:r w:rsidR="008D3374" w:rsidRPr="00063509">
        <w:t xml:space="preserve"> – for subjects with a negative or no result prior to this period, 0 developed ADA positivity.</w:t>
      </w:r>
    </w:p>
    <w:p w14:paraId="185EDBAF" w14:textId="2B5EC152" w:rsidR="008D3374" w:rsidRPr="00063509" w:rsidRDefault="00E4609C" w:rsidP="00CD6FFD">
      <w:pPr>
        <w:pStyle w:val="ListBullet"/>
      </w:pPr>
      <w:r>
        <w:t>STELARA</w:t>
      </w:r>
      <w:r w:rsidR="008D3374" w:rsidRPr="00063509">
        <w:t xml:space="preserve"> – for subjects with a negative or no result prior to this period, 2 (5.9%) developed ADA positivity and 1 (2.9%) developed neutralizing ADAs.</w:t>
      </w:r>
    </w:p>
    <w:p w14:paraId="0A1E7E4D" w14:textId="1D26FC19" w:rsidR="008D3374" w:rsidRDefault="008D3374" w:rsidP="008D3374">
      <w:r>
        <w:t xml:space="preserve">Considering the re-randomised safety set across the entire study, the incidence of either binding or neutralising antibodies at any time was higher for subjects exposed to </w:t>
      </w:r>
      <w:r w:rsidR="00E4609C">
        <w:t>STELARA</w:t>
      </w:r>
      <w:r w:rsidR="00063509">
        <w:t xml:space="preserve"> </w:t>
      </w:r>
      <w:r>
        <w:t>at some point (</w:t>
      </w:r>
      <w:r w:rsidR="00EC3AAD">
        <w:t>Table 14</w:t>
      </w:r>
      <w:r>
        <w:t>- note the percentage for neutralising antibody positive at any time in ustekinumab/ustekinumab appears to be incorrect and the Sponsor has been asked about this).</w:t>
      </w:r>
    </w:p>
    <w:p w14:paraId="044CF4CE" w14:textId="17A2F98A" w:rsidR="008D3374" w:rsidRDefault="008D3374" w:rsidP="00CD6FFD">
      <w:pPr>
        <w:pStyle w:val="TableTitle"/>
      </w:pPr>
      <w:bookmarkStart w:id="68" w:name="_Ref149640497"/>
      <w:r>
        <w:t xml:space="preserve">Table </w:t>
      </w:r>
      <w:bookmarkEnd w:id="68"/>
      <w:r w:rsidR="00EC3AAD">
        <w:t>14.</w:t>
      </w:r>
      <w:r>
        <w:t xml:space="preserve"> ADA results entire study (re-randomised cohort)</w:t>
      </w:r>
    </w:p>
    <w:p w14:paraId="175835F1" w14:textId="77777777" w:rsidR="008D3374" w:rsidRDefault="008D3374" w:rsidP="008D3374">
      <w:r>
        <w:rPr>
          <w:noProof/>
        </w:rPr>
        <w:drawing>
          <wp:inline distT="0" distB="0" distL="0" distR="0" wp14:anchorId="27AC9D5E" wp14:editId="741B19D3">
            <wp:extent cx="5731510" cy="1509395"/>
            <wp:effectExtent l="0" t="0" r="2540" b="0"/>
            <wp:docPr id="15" name="Picture 15" descr="ADA results for the entire study (re-randomised cohort), including subjects with an on-study result, and the percentage of total antibody inc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DA results for the entire study (re-randomised cohort), including subjects with an on-study result, and the percentage of total antibody incidence "/>
                    <pic:cNvPicPr/>
                  </pic:nvPicPr>
                  <pic:blipFill>
                    <a:blip r:embed="rId33"/>
                    <a:stretch>
                      <a:fillRect/>
                    </a:stretch>
                  </pic:blipFill>
                  <pic:spPr>
                    <a:xfrm>
                      <a:off x="0" y="0"/>
                      <a:ext cx="5731510" cy="1509395"/>
                    </a:xfrm>
                    <a:prstGeom prst="rect">
                      <a:avLst/>
                    </a:prstGeom>
                  </pic:spPr>
                </pic:pic>
              </a:graphicData>
            </a:graphic>
          </wp:inline>
        </w:drawing>
      </w:r>
    </w:p>
    <w:p w14:paraId="3880303C" w14:textId="2F0A3097" w:rsidR="008D3374" w:rsidRDefault="008D3374" w:rsidP="00CD6FFD">
      <w:r>
        <w:t xml:space="preserve">In study 20190232, the presence of binding ADA significantly reduced the trough concentrations of drug, even as early as week 4. The degree of reduction was similar for both </w:t>
      </w:r>
      <w:r w:rsidR="00D87A84">
        <w:t>ABP 654</w:t>
      </w:r>
      <w:r>
        <w:t xml:space="preserve"> and </w:t>
      </w:r>
      <w:r w:rsidR="00E4609C">
        <w:t>STELARA</w:t>
      </w:r>
      <w:r>
        <w:t>.</w:t>
      </w:r>
    </w:p>
    <w:p w14:paraId="28C73A27" w14:textId="7BBF6C90" w:rsidR="008D3374" w:rsidRPr="0069560D" w:rsidRDefault="008D3374" w:rsidP="008D3374">
      <w:r>
        <w:t xml:space="preserve">In terms of efficacy, the </w:t>
      </w:r>
      <w:proofErr w:type="gramStart"/>
      <w:r>
        <w:t>12 week</w:t>
      </w:r>
      <w:proofErr w:type="gramEnd"/>
      <w:r>
        <w:t xml:space="preserve"> PASI score was slightly higher in subjects with positive ADA binding status. Both </w:t>
      </w:r>
      <w:r w:rsidR="00D87A84">
        <w:t>ABP 654</w:t>
      </w:r>
      <w:r>
        <w:t xml:space="preserve"> and </w:t>
      </w:r>
      <w:r w:rsidR="00E4609C">
        <w:t>STELARA</w:t>
      </w:r>
      <w:r>
        <w:t xml:space="preserve"> showed similar changes, with no significant difference between them in mean PASI scores at 12 weeks. This data suggest that the binding ADAs have the same level of effects, at least out to 12 weeks. No difference was seen out to 28 weeks as well. The clinical evaluator has noted that no data beyond this time have been provided and the numbers in the treatment groups were insufficient and therefore a </w:t>
      </w:r>
      <w:r>
        <w:rPr>
          <w:i/>
          <w:iCs/>
        </w:rPr>
        <w:t xml:space="preserve">robust </w:t>
      </w:r>
      <w:r>
        <w:t>conclusion regarding the impact of ADA on efficacy cannot be drawn.</w:t>
      </w:r>
    </w:p>
    <w:p w14:paraId="7E0EA129" w14:textId="271DBBCF" w:rsidR="008D3374" w:rsidRDefault="008D3374" w:rsidP="008D3374">
      <w:r>
        <w:t xml:space="preserve">ADA status did not appear to influence safety in either the </w:t>
      </w:r>
      <w:r w:rsidR="00D87A84">
        <w:t>ABP 654</w:t>
      </w:r>
      <w:r w:rsidR="002E382D">
        <w:t xml:space="preserve"> </w:t>
      </w:r>
      <w:r>
        <w:t xml:space="preserve">or </w:t>
      </w:r>
      <w:r w:rsidR="002E382D">
        <w:t xml:space="preserve">the </w:t>
      </w:r>
      <w:r w:rsidR="00E4609C">
        <w:t>STELARA</w:t>
      </w:r>
      <w:r>
        <w:t xml:space="preserve"> arms, including immune-mediated adverse events.</w:t>
      </w:r>
    </w:p>
    <w:p w14:paraId="1249AE8A" w14:textId="3F067610" w:rsidR="008D3374" w:rsidRPr="0028577C" w:rsidRDefault="008D3374" w:rsidP="008D3374">
      <w:r>
        <w:t xml:space="preserve">In both clinical studies it is apparent that </w:t>
      </w:r>
      <w:r w:rsidR="00D87A84">
        <w:t>ABP 654</w:t>
      </w:r>
      <w:r>
        <w:t xml:space="preserve"> was associated with a lower incidence of both binding and neutralizing ADAs when compared with the innovator product, </w:t>
      </w:r>
      <w:r w:rsidR="00E4609C">
        <w:t>STELARA</w:t>
      </w:r>
      <w:r>
        <w:t xml:space="preserve">. This issue has been raised by the clinical evaluator and addressed by the Sponsor. </w:t>
      </w:r>
      <w:r w:rsidR="00D87A84">
        <w:t>ABP 654</w:t>
      </w:r>
      <w:r>
        <w:t xml:space="preserve"> does not contain non-human glycans which may enhance immunogenicity. Based on scientific literature referred to by the Sponsor, non-human glycans that are present </w:t>
      </w:r>
      <w:r w:rsidR="002E382D">
        <w:t xml:space="preserve">in </w:t>
      </w:r>
      <w:r w:rsidR="00E4609C">
        <w:t>STELARA</w:t>
      </w:r>
      <w:r>
        <w:t xml:space="preserve"> enhance immune reactivity to its protein backbone. The different glycan profiles of </w:t>
      </w:r>
      <w:r w:rsidR="00D87A84">
        <w:t>ABP 654</w:t>
      </w:r>
      <w:r>
        <w:t xml:space="preserve"> and </w:t>
      </w:r>
      <w:r w:rsidR="00E4609C">
        <w:t>STELARA</w:t>
      </w:r>
      <w:r>
        <w:t xml:space="preserve"> are due to the different expression systems (i.e. CHO and Sp2/0, respectively).</w:t>
      </w:r>
    </w:p>
    <w:p w14:paraId="2FB9955D" w14:textId="77777777" w:rsidR="008D3374" w:rsidRDefault="008D3374" w:rsidP="008D3374">
      <w:pPr>
        <w:pStyle w:val="Heading3"/>
        <w:rPr>
          <w:rFonts w:asciiTheme="minorHAnsi" w:hAnsiTheme="minorHAnsi"/>
          <w:sz w:val="22"/>
          <w:szCs w:val="22"/>
        </w:rPr>
      </w:pPr>
      <w:bookmarkStart w:id="69" w:name="_Toc170370173"/>
      <w:r>
        <w:rPr>
          <w:rFonts w:asciiTheme="minorHAnsi" w:hAnsiTheme="minorHAnsi"/>
          <w:sz w:val="22"/>
          <w:szCs w:val="22"/>
        </w:rPr>
        <w:t>Other – extrapolation to other indications and patient groups</w:t>
      </w:r>
      <w:bookmarkEnd w:id="69"/>
    </w:p>
    <w:p w14:paraId="7DA3D138" w14:textId="41D1A870" w:rsidR="008D3374" w:rsidRDefault="008D3374" w:rsidP="008D3374">
      <w:r>
        <w:t xml:space="preserve">As </w:t>
      </w:r>
      <w:r w:rsidR="00D87A84">
        <w:t>ABP 654</w:t>
      </w:r>
      <w:r>
        <w:t xml:space="preserve"> is not being subject to additional clinical trials, its use in indications other than plaque psoriasis and in children with plaque psoriasis is extrapolated. The Sponsor has provided the following evidence in support of extrapolation:</w:t>
      </w:r>
    </w:p>
    <w:p w14:paraId="109E59A4" w14:textId="77777777" w:rsidR="008D3374" w:rsidRPr="008D3374" w:rsidRDefault="008D3374" w:rsidP="00CD6FFD">
      <w:pPr>
        <w:pStyle w:val="ListBullet"/>
      </w:pPr>
      <w:r w:rsidRPr="008D3374">
        <w:t xml:space="preserve">The mechanism of action of ustekinumab is the same across the approved indications of psoriasis, psoriatic arthritis, Crohn’s </w:t>
      </w:r>
      <w:proofErr w:type="gramStart"/>
      <w:r w:rsidRPr="008D3374">
        <w:t>disease</w:t>
      </w:r>
      <w:proofErr w:type="gramEnd"/>
      <w:r w:rsidRPr="008D3374">
        <w:t xml:space="preserve"> and ulcerative colitis.</w:t>
      </w:r>
    </w:p>
    <w:p w14:paraId="25E1ABA4" w14:textId="7E909D75" w:rsidR="008D3374" w:rsidRPr="008D3374" w:rsidRDefault="008D3374" w:rsidP="00CD6FFD">
      <w:pPr>
        <w:pStyle w:val="ListBullet"/>
      </w:pPr>
      <w:r w:rsidRPr="008D3374">
        <w:lastRenderedPageBreak/>
        <w:t xml:space="preserve">The role of IL-23/IL-12 mediated inflammation in these diseases is supported by the data summarised in the </w:t>
      </w:r>
      <w:r w:rsidR="00E4609C">
        <w:t>STELARA</w:t>
      </w:r>
      <w:r w:rsidRPr="008D3374">
        <w:t xml:space="preserve"> PI and published scientific literature.</w:t>
      </w:r>
    </w:p>
    <w:p w14:paraId="5D827BDB" w14:textId="428AAE05" w:rsidR="008D3374" w:rsidRPr="008D3374" w:rsidRDefault="008D3374" w:rsidP="00CD6FFD">
      <w:pPr>
        <w:pStyle w:val="ListBullet"/>
      </w:pPr>
      <w:r w:rsidRPr="008D3374">
        <w:t xml:space="preserve">The various structural assessments of </w:t>
      </w:r>
      <w:r w:rsidR="00D87A84">
        <w:t>ABP 654</w:t>
      </w:r>
      <w:r w:rsidRPr="008D3374">
        <w:t xml:space="preserve"> undertaken demonstrate its similarity to </w:t>
      </w:r>
      <w:r w:rsidR="00E4609C">
        <w:t>STELARA</w:t>
      </w:r>
      <w:r w:rsidRPr="008D3374">
        <w:t>, as do in vitro biological and pharmacology studies.</w:t>
      </w:r>
    </w:p>
    <w:p w14:paraId="71D6731F" w14:textId="677E4DB1" w:rsidR="008D3374" w:rsidRPr="008D3374" w:rsidRDefault="008D3374" w:rsidP="00CD6FFD">
      <w:pPr>
        <w:pStyle w:val="ListBullet"/>
      </w:pPr>
      <w:r w:rsidRPr="008D3374">
        <w:t xml:space="preserve">PK similarity between </w:t>
      </w:r>
      <w:r w:rsidR="00D87A84">
        <w:t>ABP 654</w:t>
      </w:r>
      <w:r w:rsidRPr="008D3374">
        <w:t xml:space="preserve"> and </w:t>
      </w:r>
      <w:r w:rsidR="00E4609C">
        <w:t>STELARA</w:t>
      </w:r>
      <w:r w:rsidRPr="008D3374">
        <w:t xml:space="preserve"> has been demonstrated in a phase 1 study which showed the 90% confidence intervals for the geometric mean ratios of AUCinf, </w:t>
      </w:r>
      <w:proofErr w:type="spellStart"/>
      <w:r w:rsidRPr="008D3374">
        <w:t>Cmax</w:t>
      </w:r>
      <w:proofErr w:type="spellEnd"/>
      <w:r w:rsidRPr="008D3374">
        <w:t xml:space="preserve"> and </w:t>
      </w:r>
      <w:proofErr w:type="spellStart"/>
      <w:r w:rsidRPr="008D3374">
        <w:t>AUClast</w:t>
      </w:r>
      <w:proofErr w:type="spellEnd"/>
      <w:r w:rsidRPr="008D3374">
        <w:t xml:space="preserve"> to be within the prespecified range of -0.8 – 1.25.</w:t>
      </w:r>
    </w:p>
    <w:p w14:paraId="4B0B620C" w14:textId="486C402B" w:rsidR="008D3374" w:rsidRPr="008D3374" w:rsidRDefault="00E4609C" w:rsidP="00CD6FFD">
      <w:pPr>
        <w:pStyle w:val="ListBullet"/>
      </w:pPr>
      <w:r>
        <w:t>STELARA</w:t>
      </w:r>
      <w:r w:rsidR="008D3374" w:rsidRPr="008D3374">
        <w:t xml:space="preserve"> is known to show similar PK characteristics across its different indications, thus supporting extrapolation for ABP 654.</w:t>
      </w:r>
    </w:p>
    <w:p w14:paraId="0EBD54E2" w14:textId="554A8D81" w:rsidR="008D3374" w:rsidRPr="008D3374" w:rsidRDefault="008D3374" w:rsidP="00CD6FFD">
      <w:pPr>
        <w:pStyle w:val="ListBullet"/>
      </w:pPr>
      <w:r w:rsidRPr="008D3374">
        <w:t xml:space="preserve">The safety profile of ABP 654 was found to be comparable to </w:t>
      </w:r>
      <w:r w:rsidR="00E4609C">
        <w:t>STELARA</w:t>
      </w:r>
      <w:r w:rsidRPr="008D3374">
        <w:t>, further supporting an extrapolation across indications.</w:t>
      </w:r>
    </w:p>
    <w:p w14:paraId="106E1282" w14:textId="74B80EBF" w:rsidR="008D3374" w:rsidRDefault="008D3374" w:rsidP="008D3374">
      <w:r>
        <w:t xml:space="preserve">The differences in incidence of both binding and neutralising ADAs between </w:t>
      </w:r>
      <w:r w:rsidR="00D87A84">
        <w:t>ABP 654</w:t>
      </w:r>
      <w:r>
        <w:t xml:space="preserve"> and </w:t>
      </w:r>
      <w:r w:rsidR="00E4609C">
        <w:t>STELARA</w:t>
      </w:r>
      <w:r>
        <w:t xml:space="preserve"> have been described previously. It is not possible to confidently extrapolate what may be expected (</w:t>
      </w:r>
      <w:r w:rsidR="00E839AD">
        <w:t>such as</w:t>
      </w:r>
      <w:r>
        <w:t xml:space="preserve"> incidence and clinical / safety effects) with ADAs in non-psoriasis indications for </w:t>
      </w:r>
      <w:r w:rsidR="00D87A84">
        <w:t>ABP 654</w:t>
      </w:r>
      <w:r>
        <w:t>. This uncertainty is noted and should be addressed in the post market space.</w:t>
      </w:r>
    </w:p>
    <w:p w14:paraId="69C8C5BD" w14:textId="77777777" w:rsidR="008D3374" w:rsidRDefault="008D3374" w:rsidP="008D3374">
      <w:r>
        <w:t>The use of psoriasis as the population in which to demonstrate comparable efficacy is appropriate given the expected robust treatment effects. Furthermore, the lack of comorbidities and other immunosuppressant use compared with the other indications, makes the psoriasis population sensitive for detecting safety signals and immunogenicity.</w:t>
      </w:r>
    </w:p>
    <w:p w14:paraId="2F54408F" w14:textId="73258726" w:rsidR="00C22214" w:rsidRDefault="008C49C6" w:rsidP="00C22214">
      <w:pPr>
        <w:pStyle w:val="Heading4"/>
      </w:pPr>
      <w:bookmarkStart w:id="70" w:name="_Toc314842514"/>
      <w:bookmarkStart w:id="71" w:name="_Toc170370174"/>
      <w:r>
        <w:t>R</w:t>
      </w:r>
      <w:r w:rsidR="00C22214" w:rsidRPr="007B6132">
        <w:t>ecommendation</w:t>
      </w:r>
      <w:r>
        <w:t xml:space="preserve"> following the clinical evaluation</w:t>
      </w:r>
      <w:bookmarkEnd w:id="71"/>
    </w:p>
    <w:p w14:paraId="4E3D7FB2" w14:textId="494D9A22" w:rsidR="00C22214" w:rsidRPr="00220E18" w:rsidRDefault="00220E18" w:rsidP="00C22214">
      <w:pPr>
        <w:pStyle w:val="Instructions"/>
        <w:rPr>
          <w:i w:val="0"/>
          <w:iCs/>
          <w:color w:val="auto"/>
        </w:rPr>
      </w:pPr>
      <w:r w:rsidRPr="00220E18">
        <w:rPr>
          <w:i w:val="0"/>
          <w:iCs/>
          <w:color w:val="auto"/>
        </w:rPr>
        <w:t>The Clinical Evaluator considered the benefit-risk balance as favourable and supported registration. There were some relatively minor outstanding issues</w:t>
      </w:r>
      <w:r>
        <w:rPr>
          <w:i w:val="0"/>
          <w:iCs/>
          <w:color w:val="auto"/>
        </w:rPr>
        <w:t>.</w:t>
      </w:r>
    </w:p>
    <w:p w14:paraId="2858B006" w14:textId="77777777" w:rsidR="00C22214" w:rsidRDefault="00C22214" w:rsidP="00C22214">
      <w:pPr>
        <w:pStyle w:val="Heading3"/>
        <w:rPr>
          <w:lang w:eastAsia="en-AU"/>
        </w:rPr>
      </w:pPr>
      <w:bookmarkStart w:id="72" w:name="_Toc103679298"/>
      <w:bookmarkStart w:id="73" w:name="_Toc170370175"/>
      <w:r>
        <w:rPr>
          <w:lang w:eastAsia="en-AU"/>
        </w:rPr>
        <w:t>Risk management plan</w:t>
      </w:r>
      <w:bookmarkEnd w:id="70"/>
      <w:bookmarkEnd w:id="72"/>
      <w:bookmarkEnd w:id="73"/>
    </w:p>
    <w:p w14:paraId="352585EE" w14:textId="77777777" w:rsidR="006C0786" w:rsidRDefault="006C0786" w:rsidP="006C0786">
      <w:bookmarkStart w:id="74" w:name="_Toc247691531"/>
      <w:bookmarkStart w:id="75" w:name="_Toc314842515"/>
      <w:bookmarkStart w:id="76" w:name="_Toc103679299"/>
      <w:r>
        <w:t>An EU-RMP (version 0.1 dated 9 SEP 2022, DLP 8 MAR 2022; under review by EMA) and ASA (version 1.0 dated 11 JAN 2023) were submitted by the Sponsor.</w:t>
      </w:r>
    </w:p>
    <w:p w14:paraId="7B8FCC4E" w14:textId="77777777" w:rsidR="006C0786" w:rsidRDefault="006C0786" w:rsidP="006C0786">
      <w:r>
        <w:t>An RMP evaluation was not required for this submission and therefore the above documents were not reviewed.</w:t>
      </w:r>
    </w:p>
    <w:p w14:paraId="74A4F87F" w14:textId="3B1BAA2A" w:rsidR="00C22214" w:rsidRDefault="00C22214" w:rsidP="00C22214">
      <w:pPr>
        <w:pStyle w:val="Heading3"/>
      </w:pPr>
      <w:bookmarkStart w:id="77" w:name="_Toc170370176"/>
      <w:r>
        <w:t>Risk-benefit analysis</w:t>
      </w:r>
      <w:bookmarkEnd w:id="74"/>
      <w:bookmarkEnd w:id="75"/>
      <w:bookmarkEnd w:id="76"/>
      <w:bookmarkEnd w:id="77"/>
    </w:p>
    <w:p w14:paraId="77DE2655" w14:textId="77777777" w:rsidR="00C22214" w:rsidRDefault="00C22214" w:rsidP="00C22214">
      <w:pPr>
        <w:pStyle w:val="Heading4"/>
      </w:pPr>
      <w:bookmarkStart w:id="78" w:name="_Toc98931932"/>
      <w:bookmarkStart w:id="79" w:name="_Toc170370177"/>
      <w:r>
        <w:t>Delegate’s considerations</w:t>
      </w:r>
      <w:bookmarkEnd w:id="78"/>
      <w:bookmarkEnd w:id="79"/>
    </w:p>
    <w:p w14:paraId="3177A5DA" w14:textId="4EBAB8B9" w:rsidR="006C0522" w:rsidRPr="00CD6FFD" w:rsidRDefault="006C0522" w:rsidP="00CD6FFD">
      <w:pPr>
        <w:rPr>
          <w:i/>
          <w:iCs/>
        </w:rPr>
      </w:pPr>
      <w:bookmarkStart w:id="80" w:name="_Toc98931933"/>
      <w:r w:rsidRPr="00CD6FFD">
        <w:rPr>
          <w:i/>
          <w:iCs/>
        </w:rPr>
        <w:t>Proposed indications</w:t>
      </w:r>
    </w:p>
    <w:p w14:paraId="5622688C" w14:textId="1E590419" w:rsidR="006C0522" w:rsidRDefault="006C0522" w:rsidP="006C0522">
      <w:pPr>
        <w:rPr>
          <w:iCs/>
        </w:rPr>
      </w:pPr>
      <w:r>
        <w:rPr>
          <w:iCs/>
        </w:rPr>
        <w:t xml:space="preserve">The proposed indications for </w:t>
      </w:r>
      <w:r w:rsidR="00E4609C">
        <w:rPr>
          <w:iCs/>
        </w:rPr>
        <w:t>WEZLANA</w:t>
      </w:r>
      <w:r>
        <w:rPr>
          <w:iCs/>
        </w:rPr>
        <w:t xml:space="preserve"> are the same as those for </w:t>
      </w:r>
      <w:r w:rsidR="00E4609C">
        <w:rPr>
          <w:iCs/>
        </w:rPr>
        <w:t>STELARA</w:t>
      </w:r>
      <w:r>
        <w:rPr>
          <w:iCs/>
        </w:rPr>
        <w:t xml:space="preserve">. This is appropriate for a biosimilar. The Sponsor has justified extrapolation across indications, mainly on the basis of the same mechanism of action operating across all of them. Extrapolation is also made to paediatric patients on the basis that pharmacokinetics of </w:t>
      </w:r>
      <w:r w:rsidR="00E4609C">
        <w:rPr>
          <w:iCs/>
        </w:rPr>
        <w:t>WEZLANA</w:t>
      </w:r>
      <w:r>
        <w:rPr>
          <w:iCs/>
        </w:rPr>
        <w:t xml:space="preserve"> are expected to be equivalent to </w:t>
      </w:r>
      <w:r w:rsidR="00E4609C">
        <w:rPr>
          <w:iCs/>
        </w:rPr>
        <w:t>STELARA</w:t>
      </w:r>
      <w:r>
        <w:rPr>
          <w:iCs/>
        </w:rPr>
        <w:t xml:space="preserve"> in this population as well. This is acceptable.</w:t>
      </w:r>
    </w:p>
    <w:p w14:paraId="0111A039" w14:textId="77777777" w:rsidR="006C0522" w:rsidRPr="0016404E" w:rsidRDefault="006C0522" w:rsidP="006C0522">
      <w:pPr>
        <w:rPr>
          <w:i/>
        </w:rPr>
      </w:pPr>
      <w:r w:rsidRPr="0016404E">
        <w:rPr>
          <w:i/>
        </w:rPr>
        <w:t>PK equivalence</w:t>
      </w:r>
    </w:p>
    <w:p w14:paraId="1C3C6AA0" w14:textId="2CCE683F" w:rsidR="006C0522" w:rsidRDefault="006C0522" w:rsidP="006C0522">
      <w:pPr>
        <w:rPr>
          <w:iCs/>
        </w:rPr>
      </w:pPr>
      <w:r>
        <w:rPr>
          <w:iCs/>
        </w:rPr>
        <w:lastRenderedPageBreak/>
        <w:t xml:space="preserve">Equivalence of </w:t>
      </w:r>
      <w:r w:rsidR="00E4609C">
        <w:rPr>
          <w:iCs/>
        </w:rPr>
        <w:t>WEZLANA</w:t>
      </w:r>
      <w:r>
        <w:rPr>
          <w:iCs/>
        </w:rPr>
        <w:t xml:space="preserve"> to </w:t>
      </w:r>
      <w:r w:rsidR="00E4609C">
        <w:rPr>
          <w:iCs/>
        </w:rPr>
        <w:t>STELARA</w:t>
      </w:r>
      <w:r>
        <w:rPr>
          <w:iCs/>
        </w:rPr>
        <w:t xml:space="preserve"> (EU and US products) was demonstrated in the phase 1 study </w:t>
      </w:r>
      <w:r>
        <w:t xml:space="preserve">20190230. The 90% confidence interval of the geometric mean ratios of the primary PK parameters (AUCinf and Cmax) were within the prespecified -0.8 to 1.25 margin.  </w:t>
      </w:r>
      <w:r>
        <w:rPr>
          <w:iCs/>
        </w:rPr>
        <w:t xml:space="preserve">The PK obtained from the phase 3 study 20190232 also demonstrated similar PK of </w:t>
      </w:r>
      <w:r w:rsidR="00E4609C">
        <w:rPr>
          <w:iCs/>
        </w:rPr>
        <w:t>WEZLANA</w:t>
      </w:r>
      <w:r w:rsidR="00C6663E">
        <w:rPr>
          <w:iCs/>
        </w:rPr>
        <w:t xml:space="preserve"> </w:t>
      </w:r>
      <w:r>
        <w:rPr>
          <w:iCs/>
        </w:rPr>
        <w:t xml:space="preserve">and </w:t>
      </w:r>
      <w:r w:rsidR="00E4609C">
        <w:rPr>
          <w:iCs/>
        </w:rPr>
        <w:t>STELARA</w:t>
      </w:r>
      <w:r>
        <w:rPr>
          <w:iCs/>
        </w:rPr>
        <w:t>.</w:t>
      </w:r>
    </w:p>
    <w:p w14:paraId="54D32D47" w14:textId="7BA90DAC" w:rsidR="006C0522" w:rsidRDefault="006C0522" w:rsidP="006C0522">
      <w:pPr>
        <w:rPr>
          <w:iCs/>
        </w:rPr>
      </w:pPr>
      <w:r>
        <w:rPr>
          <w:iCs/>
        </w:rPr>
        <w:t>As noted in the report, there was an effect of binding ADA on t</w:t>
      </w:r>
      <w:r w:rsidRPr="00C6663E">
        <w:rPr>
          <w:iCs/>
          <w:vertAlign w:val="subscript"/>
        </w:rPr>
        <w:t xml:space="preserve">1/2 </w:t>
      </w:r>
      <w:r>
        <w:rPr>
          <w:iCs/>
        </w:rPr>
        <w:t xml:space="preserve">observed in the phase 1 study and the magnitude of effect was different between </w:t>
      </w:r>
      <w:r w:rsidR="00E4609C">
        <w:rPr>
          <w:iCs/>
        </w:rPr>
        <w:t>WEZLANA</w:t>
      </w:r>
      <w:r w:rsidR="00C6663E">
        <w:rPr>
          <w:iCs/>
        </w:rPr>
        <w:t xml:space="preserve"> </w:t>
      </w:r>
      <w:r>
        <w:rPr>
          <w:iCs/>
        </w:rPr>
        <w:t xml:space="preserve">and </w:t>
      </w:r>
      <w:r w:rsidR="00E4609C">
        <w:rPr>
          <w:iCs/>
        </w:rPr>
        <w:t>STELARA</w:t>
      </w:r>
      <w:r w:rsidR="00C6663E">
        <w:rPr>
          <w:iCs/>
        </w:rPr>
        <w:t xml:space="preserve"> (</w:t>
      </w:r>
      <w:r>
        <w:rPr>
          <w:iCs/>
        </w:rPr>
        <w:t>US</w:t>
      </w:r>
      <w:r w:rsidR="00C6663E">
        <w:rPr>
          <w:iCs/>
        </w:rPr>
        <w:t>)</w:t>
      </w:r>
      <w:r>
        <w:rPr>
          <w:iCs/>
        </w:rPr>
        <w:t xml:space="preserve">. The Sponsor has been asked about this and suggested that the difference between the groups be “interpreted with caution due to the small number of subjects testing positive for binding ADAs within the PK parameter analysis set” (i.e. 12 subjects in </w:t>
      </w:r>
      <w:r w:rsidR="00E4609C">
        <w:rPr>
          <w:iCs/>
        </w:rPr>
        <w:t>WEZLANA</w:t>
      </w:r>
      <w:r>
        <w:rPr>
          <w:iCs/>
        </w:rPr>
        <w:t xml:space="preserve"> arm and 30 subjects in </w:t>
      </w:r>
      <w:r w:rsidR="00E4609C">
        <w:rPr>
          <w:iCs/>
        </w:rPr>
        <w:t>STELARA</w:t>
      </w:r>
      <w:r>
        <w:rPr>
          <w:iCs/>
        </w:rPr>
        <w:t xml:space="preserve"> </w:t>
      </w:r>
      <w:r w:rsidR="00C6663E">
        <w:rPr>
          <w:iCs/>
        </w:rPr>
        <w:t>(</w:t>
      </w:r>
      <w:r>
        <w:rPr>
          <w:iCs/>
        </w:rPr>
        <w:t>US</w:t>
      </w:r>
      <w:r w:rsidR="00C6663E">
        <w:rPr>
          <w:iCs/>
        </w:rPr>
        <w:t>)</w:t>
      </w:r>
      <w:r>
        <w:rPr>
          <w:iCs/>
        </w:rPr>
        <w:t xml:space="preserve"> arm). The Sponsor also pointed out that the PK equivalence (which is in terms of AUC and Cmax) has been clearly met and no clinical differences were detected in the phase 3 study. The Delegate considers it likely that the overall difference incidences in development of binding ADAs leads to modest effects on the PK. At this stage, no clinically significant difference has been observed.</w:t>
      </w:r>
    </w:p>
    <w:p w14:paraId="447CE821" w14:textId="522EFDAF" w:rsidR="006C0522" w:rsidRDefault="006C0522" w:rsidP="006C0522">
      <w:pPr>
        <w:rPr>
          <w:iCs/>
        </w:rPr>
      </w:pPr>
      <w:r>
        <w:rPr>
          <w:iCs/>
        </w:rPr>
        <w:t xml:space="preserve">PK data obtained during study 20190232 also tended to show slightly higher trough concentrations for </w:t>
      </w:r>
      <w:r w:rsidR="00E4609C">
        <w:rPr>
          <w:iCs/>
        </w:rPr>
        <w:t>WEZLANA</w:t>
      </w:r>
      <w:r w:rsidR="0072025D">
        <w:rPr>
          <w:iCs/>
        </w:rPr>
        <w:t xml:space="preserve"> </w:t>
      </w:r>
      <w:r>
        <w:rPr>
          <w:iCs/>
        </w:rPr>
        <w:t xml:space="preserve">compared with </w:t>
      </w:r>
      <w:r w:rsidR="00E4609C">
        <w:rPr>
          <w:iCs/>
        </w:rPr>
        <w:t>STELARA</w:t>
      </w:r>
      <w:r>
        <w:rPr>
          <w:iCs/>
        </w:rPr>
        <w:t>, as explained in the body of the overview. The Delegate thinks this is likely due to the overall difference in incidence of binding antibodies between the treatment arms. Although not detected in the clinical study, clinical sequalae are theoretically possible (especially if certain populations had an increased tendency to develop binding ADAs).</w:t>
      </w:r>
    </w:p>
    <w:p w14:paraId="06E2085E" w14:textId="77777777" w:rsidR="006C0522" w:rsidRPr="0072025D" w:rsidRDefault="006C0522" w:rsidP="006C0522">
      <w:pPr>
        <w:rPr>
          <w:i/>
        </w:rPr>
      </w:pPr>
      <w:r w:rsidRPr="0072025D">
        <w:rPr>
          <w:i/>
        </w:rPr>
        <w:t>Efficacy</w:t>
      </w:r>
    </w:p>
    <w:p w14:paraId="2867B17A" w14:textId="3E726FD4" w:rsidR="006C0522" w:rsidRDefault="006C0522" w:rsidP="006C0522">
      <w:pPr>
        <w:rPr>
          <w:iCs/>
        </w:rPr>
      </w:pPr>
      <w:r>
        <w:rPr>
          <w:iCs/>
        </w:rPr>
        <w:t xml:space="preserve">The efficacy of </w:t>
      </w:r>
      <w:r w:rsidR="00E4609C">
        <w:rPr>
          <w:iCs/>
        </w:rPr>
        <w:t>WEZLANA</w:t>
      </w:r>
      <w:r>
        <w:rPr>
          <w:iCs/>
        </w:rPr>
        <w:t xml:space="preserve"> in treating adults with moderate to severe psoriasis is demonstrated in study 20190232. The study was of appropriate size and duration and the endpoints were acceptable and supported by the EU guideline. The magnitude of efficacy appeared very similar to the comparator (</w:t>
      </w:r>
      <w:r w:rsidR="00E4609C">
        <w:rPr>
          <w:iCs/>
        </w:rPr>
        <w:t>STELARA</w:t>
      </w:r>
      <w:r>
        <w:rPr>
          <w:iCs/>
        </w:rPr>
        <w:t>). This was the only efficacy study submitted. Plaque psoriasis was an appropriate choice for the single phase 3 study due to the expected robust treatment effect (i.e. better sensitivity to detect any difference) and fewer patient comorbidities and concomitant immunosuppressant use.</w:t>
      </w:r>
    </w:p>
    <w:p w14:paraId="2D10590F" w14:textId="6E91F101" w:rsidR="006C0522" w:rsidRDefault="006C0522" w:rsidP="006C0522">
      <w:pPr>
        <w:rPr>
          <w:iCs/>
        </w:rPr>
      </w:pPr>
      <w:r>
        <w:rPr>
          <w:iCs/>
        </w:rPr>
        <w:t xml:space="preserve">In Study 20190232 some subjects in the </w:t>
      </w:r>
      <w:r w:rsidR="00E4609C">
        <w:rPr>
          <w:iCs/>
        </w:rPr>
        <w:t>STELARA</w:t>
      </w:r>
      <w:r>
        <w:rPr>
          <w:iCs/>
        </w:rPr>
        <w:t xml:space="preserve"> arm were re-randomised to receive </w:t>
      </w:r>
      <w:r w:rsidR="00E4609C">
        <w:rPr>
          <w:iCs/>
        </w:rPr>
        <w:t>WEZLANA</w:t>
      </w:r>
      <w:r>
        <w:rPr>
          <w:iCs/>
        </w:rPr>
        <w:t xml:space="preserve"> (i.e. switching from innovator to biosimilar). This did not result in a clinically meaningful impact on efficacy, safety or immunogenicity. The Sponsor has advised that a dedicated switching study in moderate to severe plaque psoriasis has recently completed. At this stage, the issue of switching is not dealt with in the PI.</w:t>
      </w:r>
    </w:p>
    <w:p w14:paraId="67354FB7" w14:textId="77777777" w:rsidR="006C0522" w:rsidRPr="0072025D" w:rsidRDefault="006C0522" w:rsidP="006C0522">
      <w:pPr>
        <w:rPr>
          <w:i/>
        </w:rPr>
      </w:pPr>
      <w:r w:rsidRPr="0072025D">
        <w:rPr>
          <w:i/>
        </w:rPr>
        <w:t>Safety</w:t>
      </w:r>
    </w:p>
    <w:p w14:paraId="03401353" w14:textId="3EF42BBC" w:rsidR="006C0522" w:rsidRDefault="006C0522" w:rsidP="006C0522">
      <w:pPr>
        <w:rPr>
          <w:iCs/>
        </w:rPr>
      </w:pPr>
      <w:r>
        <w:rPr>
          <w:iCs/>
        </w:rPr>
        <w:t>The safety data were comparable between</w:t>
      </w:r>
      <w:r w:rsidR="0072025D">
        <w:rPr>
          <w:iCs/>
        </w:rPr>
        <w:t xml:space="preserve"> </w:t>
      </w:r>
      <w:r w:rsidR="00E4609C">
        <w:rPr>
          <w:iCs/>
        </w:rPr>
        <w:t>WEZLANA</w:t>
      </w:r>
      <w:r>
        <w:rPr>
          <w:iCs/>
        </w:rPr>
        <w:t xml:space="preserve"> and </w:t>
      </w:r>
      <w:r w:rsidR="00E4609C">
        <w:rPr>
          <w:iCs/>
        </w:rPr>
        <w:t>STELARA</w:t>
      </w:r>
      <w:r>
        <w:rPr>
          <w:iCs/>
        </w:rPr>
        <w:t xml:space="preserve">. This includes no signal for differences in the most concerning adverse events such as malignancy, serious and opportunistic infection, COVID19 and tuberculosis.  </w:t>
      </w:r>
    </w:p>
    <w:p w14:paraId="4C320396" w14:textId="586E6912" w:rsidR="006C0522" w:rsidRPr="00744AA5" w:rsidRDefault="006C0522" w:rsidP="006C0522">
      <w:pPr>
        <w:rPr>
          <w:iCs/>
        </w:rPr>
      </w:pPr>
      <w:r>
        <w:rPr>
          <w:iCs/>
        </w:rPr>
        <w:t xml:space="preserve">The main clinical difference observed in the studies was the incidence of ADAs, which was lower with </w:t>
      </w:r>
      <w:r w:rsidR="00E4609C">
        <w:rPr>
          <w:iCs/>
        </w:rPr>
        <w:t>WEZLANA</w:t>
      </w:r>
      <w:r>
        <w:rPr>
          <w:iCs/>
        </w:rPr>
        <w:t xml:space="preserve"> compared with </w:t>
      </w:r>
      <w:r w:rsidR="00E4609C">
        <w:rPr>
          <w:iCs/>
        </w:rPr>
        <w:t>STELARA</w:t>
      </w:r>
      <w:r>
        <w:rPr>
          <w:iCs/>
        </w:rPr>
        <w:t>. The Sponsor believes this is due to the glycan profiles of the different products. They have pointed out that neutralising ADAs (as a percentage of total) were similar between the products. Additional analyses to look for differences in PK, efficacy or safety were conducted and presented in the dossier, with the conclusion that “observed differences are not clinically impactful”.</w:t>
      </w:r>
    </w:p>
    <w:p w14:paraId="35C06052" w14:textId="77777777" w:rsidR="006C0522" w:rsidRPr="0072025D" w:rsidRDefault="006C0522" w:rsidP="006C0522">
      <w:pPr>
        <w:rPr>
          <w:i/>
        </w:rPr>
      </w:pPr>
      <w:r w:rsidRPr="0072025D">
        <w:rPr>
          <w:i/>
        </w:rPr>
        <w:t>Risk-benefit-uncertainty assessment</w:t>
      </w:r>
    </w:p>
    <w:p w14:paraId="303BF791" w14:textId="0C4DB368" w:rsidR="006C0522" w:rsidRDefault="006C0522" w:rsidP="006C0522">
      <w:pPr>
        <w:rPr>
          <w:iCs/>
        </w:rPr>
      </w:pPr>
      <w:r>
        <w:rPr>
          <w:iCs/>
        </w:rPr>
        <w:t xml:space="preserve">The risk-benefit assessment is generally supportive of </w:t>
      </w:r>
      <w:r w:rsidR="00E4609C">
        <w:rPr>
          <w:iCs/>
        </w:rPr>
        <w:t>WEZLANA</w:t>
      </w:r>
      <w:r>
        <w:rPr>
          <w:iCs/>
        </w:rPr>
        <w:t xml:space="preserve"> as a </w:t>
      </w:r>
      <w:r w:rsidR="00E4609C">
        <w:rPr>
          <w:iCs/>
        </w:rPr>
        <w:t>STELARA</w:t>
      </w:r>
      <w:r>
        <w:rPr>
          <w:iCs/>
        </w:rPr>
        <w:t xml:space="preserve"> biosimilar. There is residual uncertainty around the extrapolation to other indications and potential undetected clinical sequelae, including those due to differences in ADA development and drug </w:t>
      </w:r>
      <w:r>
        <w:rPr>
          <w:iCs/>
        </w:rPr>
        <w:lastRenderedPageBreak/>
        <w:t>exposure. This uncertainty is probably acceptable, although it forms the basis for questions to the Sponsor and ACM.</w:t>
      </w:r>
    </w:p>
    <w:p w14:paraId="3916F296" w14:textId="77777777" w:rsidR="00C22214" w:rsidRDefault="00C22214" w:rsidP="00C22214">
      <w:pPr>
        <w:pStyle w:val="Heading4"/>
      </w:pPr>
      <w:bookmarkStart w:id="81" w:name="_Toc170370178"/>
      <w:r w:rsidRPr="00D23139">
        <w:t>Proposed action</w:t>
      </w:r>
      <w:bookmarkEnd w:id="80"/>
      <w:bookmarkEnd w:id="81"/>
    </w:p>
    <w:p w14:paraId="327ADE76" w14:textId="3BE89EFE" w:rsidR="008177D7" w:rsidRPr="00927FC8" w:rsidRDefault="008177D7" w:rsidP="008177D7">
      <w:pPr>
        <w:pStyle w:val="Instructions"/>
        <w:rPr>
          <w:i w:val="0"/>
          <w:iCs/>
          <w:color w:val="auto"/>
        </w:rPr>
      </w:pPr>
      <w:bookmarkStart w:id="82" w:name="_Toc98931934"/>
      <w:r>
        <w:rPr>
          <w:i w:val="0"/>
          <w:iCs/>
          <w:color w:val="auto"/>
        </w:rPr>
        <w:t xml:space="preserve">Overall adequate evidence has been presented to support </w:t>
      </w:r>
      <w:r w:rsidR="00E4609C">
        <w:rPr>
          <w:i w:val="0"/>
          <w:iCs/>
          <w:color w:val="auto"/>
        </w:rPr>
        <w:t>WEZLANA</w:t>
      </w:r>
      <w:r>
        <w:rPr>
          <w:i w:val="0"/>
          <w:iCs/>
          <w:color w:val="auto"/>
        </w:rPr>
        <w:t xml:space="preserve"> as a </w:t>
      </w:r>
      <w:r w:rsidR="00E4609C">
        <w:rPr>
          <w:i w:val="0"/>
          <w:iCs/>
          <w:color w:val="auto"/>
        </w:rPr>
        <w:t>STELARA</w:t>
      </w:r>
      <w:r>
        <w:rPr>
          <w:i w:val="0"/>
          <w:iCs/>
          <w:color w:val="auto"/>
        </w:rPr>
        <w:t xml:space="preserve"> biosimilar for all indications. Before a final decision is made, further input from the Sponsor and ACM is sought, including in relation to the uncertainties discussed above.</w:t>
      </w:r>
    </w:p>
    <w:p w14:paraId="318CFABC" w14:textId="77777777" w:rsidR="00C22214" w:rsidRPr="00F73346" w:rsidRDefault="00C22214" w:rsidP="00C22214">
      <w:pPr>
        <w:pStyle w:val="Heading4"/>
      </w:pPr>
      <w:bookmarkStart w:id="83" w:name="_Toc98931936"/>
      <w:bookmarkStart w:id="84" w:name="_Toc247691532"/>
      <w:bookmarkStart w:id="85" w:name="_Toc314842516"/>
      <w:bookmarkStart w:id="86" w:name="_Toc170370179"/>
      <w:bookmarkEnd w:id="82"/>
      <w:r w:rsidRPr="00F73346">
        <w:t>Advisory Committee considerations</w:t>
      </w:r>
      <w:bookmarkEnd w:id="83"/>
      <w:bookmarkEnd w:id="86"/>
    </w:p>
    <w:p w14:paraId="087BB9CB" w14:textId="7D835E5A" w:rsidR="00C22214" w:rsidRPr="00BD5DBD" w:rsidRDefault="00C22214" w:rsidP="00C22214">
      <w:pPr>
        <w:rPr>
          <w:bCs/>
          <w:szCs w:val="22"/>
        </w:rPr>
      </w:pPr>
      <w:r w:rsidRPr="00BD5DBD">
        <w:rPr>
          <w:bCs/>
          <w:szCs w:val="22"/>
        </w:rPr>
        <w:t xml:space="preserve">The </w:t>
      </w:r>
      <w:hyperlink r:id="rId34" w:history="1">
        <w:r w:rsidRPr="00BD5DBD">
          <w:rPr>
            <w:rStyle w:val="Hyperlink"/>
            <w:szCs w:val="22"/>
          </w:rPr>
          <w:t>Advisory Committee on Medicines (ACM)</w:t>
        </w:r>
      </w:hyperlink>
      <w:r w:rsidRPr="00BD5DBD">
        <w:rPr>
          <w:color w:val="007099"/>
          <w:szCs w:val="22"/>
        </w:rPr>
        <w:t xml:space="preserve"> </w:t>
      </w:r>
      <w:r w:rsidRPr="00BD5DBD">
        <w:rPr>
          <w:bCs/>
          <w:szCs w:val="22"/>
        </w:rPr>
        <w:t>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75FDC65E" w14:textId="77777777" w:rsidR="007F671C" w:rsidRDefault="007F671C" w:rsidP="007F671C">
      <w:pPr>
        <w:pStyle w:val="DelegatesQuestions"/>
        <w:numPr>
          <w:ilvl w:val="0"/>
          <w:numId w:val="0"/>
        </w:numPr>
        <w:ind w:left="360" w:hanging="360"/>
      </w:pPr>
      <w:r>
        <w:t>1.</w:t>
      </w:r>
      <w:r>
        <w:tab/>
        <w:t>Provide opinion on the immunogenicity differences being observed and whether there are any associated clinical concerns.</w:t>
      </w:r>
    </w:p>
    <w:p w14:paraId="3C388BF4" w14:textId="0922A4C6" w:rsidR="00F048A9" w:rsidRPr="00F048A9" w:rsidRDefault="00F048A9" w:rsidP="00F048A9">
      <w:pPr>
        <w:rPr>
          <w:rFonts w:cs="Arial"/>
        </w:rPr>
      </w:pPr>
      <w:r w:rsidRPr="00F048A9">
        <w:rPr>
          <w:rFonts w:cs="Arial"/>
        </w:rPr>
        <w:t xml:space="preserve">The ACM was of the view that the immunogenicity differences are of minimal impact clinically. The ACM advised that the reduced apparent immunogenicity of </w:t>
      </w:r>
      <w:r w:rsidR="00E4609C">
        <w:rPr>
          <w:rFonts w:cs="Arial"/>
        </w:rPr>
        <w:t>WEZLANA</w:t>
      </w:r>
      <w:r w:rsidRPr="00F048A9">
        <w:rPr>
          <w:rFonts w:cs="Arial"/>
        </w:rPr>
        <w:t xml:space="preserve"> is numerical and could be explainable by the structural differences between </w:t>
      </w:r>
      <w:r w:rsidR="00E4609C">
        <w:rPr>
          <w:rFonts w:cs="Arial"/>
        </w:rPr>
        <w:t>WEZLANA</w:t>
      </w:r>
      <w:r w:rsidRPr="00F048A9">
        <w:rPr>
          <w:rFonts w:cs="Arial"/>
        </w:rPr>
        <w:t xml:space="preserve"> and </w:t>
      </w:r>
      <w:r w:rsidR="00E4609C">
        <w:rPr>
          <w:rFonts w:cs="Arial"/>
        </w:rPr>
        <w:t>STELARA</w:t>
      </w:r>
      <w:r w:rsidRPr="00F048A9">
        <w:rPr>
          <w:rFonts w:cs="Arial"/>
        </w:rPr>
        <w:t xml:space="preserve"> or as a chance occurrence.</w:t>
      </w:r>
    </w:p>
    <w:p w14:paraId="605DDF83" w14:textId="5DE4B9D5" w:rsidR="00F048A9" w:rsidRDefault="00F048A9" w:rsidP="00F048A9">
      <w:pPr>
        <w:rPr>
          <w:rFonts w:cs="Arial"/>
        </w:rPr>
      </w:pPr>
      <w:r w:rsidRPr="00F048A9">
        <w:rPr>
          <w:rFonts w:cs="Arial"/>
        </w:rPr>
        <w:t xml:space="preserve">The ACM advised that </w:t>
      </w:r>
      <w:r w:rsidR="00E4609C">
        <w:rPr>
          <w:rFonts w:cs="Arial"/>
        </w:rPr>
        <w:t>WEZLANA</w:t>
      </w:r>
      <w:r w:rsidRPr="00F048A9">
        <w:rPr>
          <w:rFonts w:cs="Arial"/>
        </w:rPr>
        <w:t xml:space="preserve"> demonstrated similar pharmacokinetics, efficacy and no additional safety signals compared to </w:t>
      </w:r>
      <w:r w:rsidR="00E4609C">
        <w:rPr>
          <w:rFonts w:cs="Arial"/>
        </w:rPr>
        <w:t>STELARA</w:t>
      </w:r>
      <w:r w:rsidRPr="00F048A9">
        <w:rPr>
          <w:rFonts w:cs="Arial"/>
        </w:rPr>
        <w:t>. Further noting that there is a lack of clear evidence that immunogenicity differences are associated with clinically important changes in biosimilar monoclonal antibodies and other large protein medicines to date.</w:t>
      </w:r>
    </w:p>
    <w:p w14:paraId="23AFEB54" w14:textId="77777777" w:rsidR="007F671C" w:rsidRDefault="007F671C" w:rsidP="007F671C">
      <w:pPr>
        <w:pStyle w:val="DelegatesQuestions"/>
        <w:numPr>
          <w:ilvl w:val="0"/>
          <w:numId w:val="0"/>
        </w:numPr>
        <w:ind w:left="360" w:hanging="360"/>
      </w:pPr>
      <w:r>
        <w:t>2.</w:t>
      </w:r>
      <w:r>
        <w:tab/>
        <w:t>Provide opinion on the difference in incidence of binding ADAs being potentially responsible for the small differences in drug exposure observed during the first 28 weeks.</w:t>
      </w:r>
    </w:p>
    <w:p w14:paraId="0EEEABAF" w14:textId="77777777" w:rsidR="00F61787" w:rsidRPr="00F61787" w:rsidRDefault="00F61787" w:rsidP="00F61787">
      <w:pPr>
        <w:rPr>
          <w:rFonts w:cs="Arial"/>
        </w:rPr>
      </w:pPr>
      <w:r w:rsidRPr="00F61787">
        <w:rPr>
          <w:rFonts w:cs="Arial"/>
        </w:rPr>
        <w:t>The ACM noted the difference in incidence of binding ADAs and was of the view that this is unlikely to have a clinical impact.</w:t>
      </w:r>
    </w:p>
    <w:p w14:paraId="753D1663" w14:textId="3CD1AC85" w:rsidR="00F61787" w:rsidRPr="00F61787" w:rsidRDefault="00F61787" w:rsidP="00F61787">
      <w:pPr>
        <w:rPr>
          <w:rFonts w:cs="Arial"/>
        </w:rPr>
      </w:pPr>
      <w:r w:rsidRPr="00F61787">
        <w:rPr>
          <w:rFonts w:cs="Arial"/>
        </w:rPr>
        <w:t>The ACM examined the pharmacokinetic data and noted that the exposures are numerically greater in the ADA negative population for all tested products (</w:t>
      </w:r>
      <w:r w:rsidR="00E4609C">
        <w:rPr>
          <w:rFonts w:cs="Arial"/>
        </w:rPr>
        <w:t>WEZLANA</w:t>
      </w:r>
      <w:r w:rsidRPr="00F61787">
        <w:rPr>
          <w:rFonts w:cs="Arial"/>
        </w:rPr>
        <w:t xml:space="preserve">, </w:t>
      </w:r>
      <w:r w:rsidR="00E4609C">
        <w:rPr>
          <w:rFonts w:cs="Arial"/>
        </w:rPr>
        <w:t>STELARA</w:t>
      </w:r>
      <w:r w:rsidRPr="00F61787">
        <w:rPr>
          <w:rFonts w:cs="Arial"/>
        </w:rPr>
        <w:t xml:space="preserve"> (EU) and </w:t>
      </w:r>
      <w:r w:rsidR="00E4609C">
        <w:rPr>
          <w:rFonts w:cs="Arial"/>
        </w:rPr>
        <w:t>STELARA</w:t>
      </w:r>
      <w:r w:rsidRPr="00F61787">
        <w:rPr>
          <w:rFonts w:cs="Arial"/>
        </w:rPr>
        <w:t xml:space="preserve"> (US)). The ACM advised that this is likely related to an increased half-life and is consistent with the known effects of immunogenicity on clearance of monoclonal antibodies.</w:t>
      </w:r>
    </w:p>
    <w:p w14:paraId="4390CE8C" w14:textId="77777777" w:rsidR="00F61787" w:rsidRPr="00F61787" w:rsidRDefault="00F61787" w:rsidP="00F61787">
      <w:pPr>
        <w:rPr>
          <w:rFonts w:cs="Arial"/>
        </w:rPr>
      </w:pPr>
      <w:r w:rsidRPr="00F61787">
        <w:rPr>
          <w:rFonts w:cs="Arial"/>
        </w:rPr>
        <w:t>The ACM noted that within the full cohort and for the ADA negative cohort the prespecified margins of the geometric mean ratio (GMR) were met.</w:t>
      </w:r>
    </w:p>
    <w:p w14:paraId="2550B0FF" w14:textId="18EFE3E2" w:rsidR="00F61787" w:rsidRPr="00F61787" w:rsidRDefault="00F61787" w:rsidP="00F61787">
      <w:pPr>
        <w:rPr>
          <w:rFonts w:cs="Arial"/>
        </w:rPr>
      </w:pPr>
      <w:r w:rsidRPr="00F61787">
        <w:rPr>
          <w:rFonts w:cs="Arial"/>
        </w:rPr>
        <w:t xml:space="preserve">The ACM also examined the post hoc estimations of ADA and noted that there was less variability in </w:t>
      </w:r>
      <w:r w:rsidR="00E4609C">
        <w:rPr>
          <w:rFonts w:cs="Arial"/>
        </w:rPr>
        <w:t>WEZLANA</w:t>
      </w:r>
      <w:r w:rsidRPr="00F61787">
        <w:rPr>
          <w:rFonts w:cs="Arial"/>
        </w:rPr>
        <w:t xml:space="preserve"> compared to the innovator product, however a high CV% was noted in the full cohorts. </w:t>
      </w:r>
    </w:p>
    <w:p w14:paraId="23A2DBD6" w14:textId="77777777" w:rsidR="00F61787" w:rsidRPr="00F61787" w:rsidRDefault="00F61787" w:rsidP="00F61787">
      <w:pPr>
        <w:rPr>
          <w:rFonts w:cs="Arial"/>
        </w:rPr>
      </w:pPr>
      <w:r w:rsidRPr="00F61787">
        <w:rPr>
          <w:rFonts w:cs="Arial"/>
        </w:rPr>
        <w:t>The ACM advised that clinician assessment and routine pharmacovigilance activity are unlikely to have discriminatory ability to detect expected differences in response rates related to pharmacokinetic differences from ADAs given expected variability related to other factors, including the presence of non-responder cohort in population.</w:t>
      </w:r>
    </w:p>
    <w:p w14:paraId="2EE3ADA3" w14:textId="77777777" w:rsidR="007F671C" w:rsidRDefault="007F671C" w:rsidP="007F671C">
      <w:pPr>
        <w:pStyle w:val="DelegatesQuestions"/>
        <w:numPr>
          <w:ilvl w:val="0"/>
          <w:numId w:val="0"/>
        </w:numPr>
        <w:ind w:left="360" w:hanging="360"/>
      </w:pPr>
      <w:r>
        <w:t>3.</w:t>
      </w:r>
      <w:r>
        <w:tab/>
        <w:t>Are there any specific concerns around extrapolation to other indications (psoriatic arthritis, Crohn’s disease, ulcerative colitis)?</w:t>
      </w:r>
    </w:p>
    <w:p w14:paraId="59902F9F" w14:textId="33A0CBB4" w:rsidR="00471FB7" w:rsidRPr="00471FB7" w:rsidRDefault="00471FB7" w:rsidP="00471FB7">
      <w:pPr>
        <w:rPr>
          <w:rFonts w:cs="Arial"/>
        </w:rPr>
      </w:pPr>
      <w:r w:rsidRPr="00471FB7">
        <w:rPr>
          <w:rFonts w:cs="Arial"/>
        </w:rPr>
        <w:lastRenderedPageBreak/>
        <w:t xml:space="preserve">The ACM did not highlight any specific concerns around extrapolation to other indications. The ACM noted that </w:t>
      </w:r>
      <w:r w:rsidR="00E4609C">
        <w:rPr>
          <w:rFonts w:cs="Arial"/>
        </w:rPr>
        <w:t>STELARA</w:t>
      </w:r>
      <w:r w:rsidRPr="00471FB7">
        <w:rPr>
          <w:rFonts w:cs="Arial"/>
        </w:rPr>
        <w:t xml:space="preserve"> is known to show similar pharmacokinetic characteristics across its different indications.</w:t>
      </w:r>
    </w:p>
    <w:p w14:paraId="6F8921ED" w14:textId="77777777" w:rsidR="007F671C" w:rsidRDefault="007F671C" w:rsidP="007F671C">
      <w:pPr>
        <w:pStyle w:val="DelegatesQuestions"/>
        <w:numPr>
          <w:ilvl w:val="0"/>
          <w:numId w:val="0"/>
        </w:numPr>
        <w:ind w:left="360" w:hanging="360"/>
      </w:pPr>
      <w:r>
        <w:t>4.</w:t>
      </w:r>
      <w:r>
        <w:tab/>
        <w:t>Are there any specific concerns around extrapolation to paediatric patients (plaque psoriasis only)?</w:t>
      </w:r>
    </w:p>
    <w:p w14:paraId="273D4E01" w14:textId="77777777" w:rsidR="00F55777" w:rsidRPr="00F55777" w:rsidRDefault="00F55777" w:rsidP="00F55777">
      <w:pPr>
        <w:rPr>
          <w:rFonts w:cs="Arial"/>
        </w:rPr>
      </w:pPr>
      <w:r w:rsidRPr="00F55777">
        <w:rPr>
          <w:rFonts w:cs="Arial"/>
        </w:rPr>
        <w:t>The ACM did not highlight any specific concerns around extrapolation to paediatric patients for the plaque psoriasis indication.</w:t>
      </w:r>
    </w:p>
    <w:p w14:paraId="75E64378" w14:textId="77777777" w:rsidR="00F55777" w:rsidRPr="00F55777" w:rsidRDefault="00F55777" w:rsidP="00F55777">
      <w:pPr>
        <w:rPr>
          <w:rFonts w:cs="Arial"/>
        </w:rPr>
      </w:pPr>
      <w:r w:rsidRPr="00F55777">
        <w:rPr>
          <w:rFonts w:cs="Arial"/>
        </w:rPr>
        <w:t>The ACM also noted that the extrapolation approach is justifiable and in alignment with biosimilar guidelines.</w:t>
      </w:r>
    </w:p>
    <w:p w14:paraId="23676698" w14:textId="7AE76785" w:rsidR="007F671C" w:rsidRDefault="007F671C" w:rsidP="007F671C">
      <w:pPr>
        <w:pStyle w:val="DelegatesQuestions"/>
        <w:numPr>
          <w:ilvl w:val="0"/>
          <w:numId w:val="0"/>
        </w:numPr>
        <w:ind w:left="360" w:hanging="360"/>
      </w:pPr>
      <w:r>
        <w:t>5.</w:t>
      </w:r>
      <w:r>
        <w:tab/>
        <w:t>What is the committee’s perspective on the safety data?</w:t>
      </w:r>
    </w:p>
    <w:p w14:paraId="463D5670" w14:textId="173FA4A0" w:rsidR="009E29D5" w:rsidRPr="009E29D5" w:rsidRDefault="009E29D5" w:rsidP="009E29D5">
      <w:pPr>
        <w:rPr>
          <w:rFonts w:cs="Arial"/>
        </w:rPr>
      </w:pPr>
      <w:r w:rsidRPr="009E29D5">
        <w:rPr>
          <w:rFonts w:cs="Arial"/>
        </w:rPr>
        <w:t xml:space="preserve">Overall, the ACM advised that the safety profile is similar to </w:t>
      </w:r>
      <w:r w:rsidR="00E4609C">
        <w:rPr>
          <w:rFonts w:cs="Arial"/>
        </w:rPr>
        <w:t>STELARA</w:t>
      </w:r>
      <w:r w:rsidRPr="009E29D5">
        <w:rPr>
          <w:rFonts w:cs="Arial"/>
        </w:rPr>
        <w:t>, noting there is currently less long-term data.</w:t>
      </w:r>
    </w:p>
    <w:p w14:paraId="3A29DE0E" w14:textId="01F14577" w:rsidR="009E29D5" w:rsidRPr="009E29D5" w:rsidRDefault="009E29D5" w:rsidP="009E29D5">
      <w:pPr>
        <w:rPr>
          <w:rFonts w:cs="Arial"/>
        </w:rPr>
      </w:pPr>
      <w:r w:rsidRPr="009E29D5">
        <w:rPr>
          <w:rFonts w:cs="Arial"/>
        </w:rPr>
        <w:t xml:space="preserve">The ACM noted that there are currently no signals for malignancy or serious infection (when compared to </w:t>
      </w:r>
      <w:r w:rsidR="00E4609C">
        <w:rPr>
          <w:rFonts w:cs="Arial"/>
        </w:rPr>
        <w:t>STELARA</w:t>
      </w:r>
      <w:r w:rsidRPr="009E29D5">
        <w:rPr>
          <w:rFonts w:cs="Arial"/>
        </w:rPr>
        <w:t>).</w:t>
      </w:r>
    </w:p>
    <w:p w14:paraId="5291EA2A" w14:textId="77777777" w:rsidR="00C22214" w:rsidRPr="00F73346" w:rsidRDefault="00C22214" w:rsidP="00C22214">
      <w:pPr>
        <w:pStyle w:val="Heading5"/>
      </w:pPr>
      <w:r w:rsidRPr="00F73346">
        <w:t>Conclusion</w:t>
      </w:r>
    </w:p>
    <w:p w14:paraId="0C28AD17" w14:textId="77777777" w:rsidR="00A82137" w:rsidRPr="00A82137" w:rsidRDefault="00A82137" w:rsidP="00A82137">
      <w:pPr>
        <w:rPr>
          <w:rFonts w:cs="Arial"/>
        </w:rPr>
      </w:pPr>
      <w:r w:rsidRPr="00A82137">
        <w:rPr>
          <w:rFonts w:cs="Arial"/>
        </w:rPr>
        <w:t>The ACM considered this product to have an overall positive benefit-risk profile for the indication:</w:t>
      </w:r>
    </w:p>
    <w:p w14:paraId="0F850F3E" w14:textId="77777777" w:rsidR="00A82137" w:rsidRPr="00901FED" w:rsidRDefault="00A82137" w:rsidP="00A82137">
      <w:pPr>
        <w:rPr>
          <w:rFonts w:cs="Arial"/>
          <w:b/>
          <w:bCs/>
          <w:i/>
          <w:iCs/>
        </w:rPr>
      </w:pPr>
      <w:r w:rsidRPr="00901FED">
        <w:rPr>
          <w:rFonts w:cs="Arial"/>
          <w:b/>
          <w:bCs/>
          <w:i/>
          <w:iCs/>
        </w:rPr>
        <w:t>Plaque Psoriasis</w:t>
      </w:r>
    </w:p>
    <w:p w14:paraId="7EA686BA" w14:textId="77777777" w:rsidR="00A82137" w:rsidRPr="00A82137" w:rsidRDefault="00A82137" w:rsidP="00901FED">
      <w:pPr>
        <w:ind w:left="567"/>
        <w:rPr>
          <w:rFonts w:cs="Arial"/>
          <w:i/>
          <w:iCs/>
        </w:rPr>
      </w:pPr>
      <w:r w:rsidRPr="00A82137">
        <w:rPr>
          <w:rFonts w:cs="Arial"/>
          <w:i/>
          <w:iCs/>
        </w:rPr>
        <w:t>Adults</w:t>
      </w:r>
    </w:p>
    <w:p w14:paraId="558B792B" w14:textId="6FD48F53" w:rsidR="00A82137" w:rsidRPr="00A82137" w:rsidRDefault="00E4609C" w:rsidP="00901FED">
      <w:pPr>
        <w:ind w:left="567"/>
        <w:rPr>
          <w:rFonts w:cs="Arial"/>
          <w:i/>
          <w:iCs/>
        </w:rPr>
      </w:pPr>
      <w:r>
        <w:rPr>
          <w:rFonts w:cs="Arial"/>
          <w:i/>
          <w:iCs/>
        </w:rPr>
        <w:t>WEZLANA</w:t>
      </w:r>
      <w:r w:rsidR="00A82137" w:rsidRPr="00A82137">
        <w:rPr>
          <w:rFonts w:cs="Arial"/>
          <w:i/>
          <w:iCs/>
        </w:rPr>
        <w:t xml:space="preserve"> is indicated for the treatment of adult patients (18 years or older) with moderate to severe plaque psoriasis who are candidates for phototherapy or systemic therapy.</w:t>
      </w:r>
    </w:p>
    <w:p w14:paraId="62B43A2A" w14:textId="77777777" w:rsidR="00A82137" w:rsidRPr="00A82137" w:rsidRDefault="00A82137" w:rsidP="00901FED">
      <w:pPr>
        <w:ind w:left="567"/>
        <w:rPr>
          <w:rFonts w:cs="Arial"/>
          <w:i/>
          <w:iCs/>
        </w:rPr>
      </w:pPr>
      <w:r w:rsidRPr="00A82137">
        <w:rPr>
          <w:rFonts w:cs="Arial"/>
          <w:i/>
          <w:iCs/>
        </w:rPr>
        <w:t>Paediatric population, 6 years and older</w:t>
      </w:r>
    </w:p>
    <w:p w14:paraId="37284B67" w14:textId="23CBEA20" w:rsidR="00A82137" w:rsidRPr="00A82137" w:rsidRDefault="00E4609C" w:rsidP="00901FED">
      <w:pPr>
        <w:ind w:left="567"/>
        <w:rPr>
          <w:rFonts w:cs="Arial"/>
          <w:i/>
          <w:iCs/>
        </w:rPr>
      </w:pPr>
      <w:r>
        <w:rPr>
          <w:rFonts w:cs="Arial"/>
          <w:i/>
          <w:iCs/>
        </w:rPr>
        <w:t>WEZLANA</w:t>
      </w:r>
      <w:r w:rsidR="00A82137" w:rsidRPr="00A82137">
        <w:rPr>
          <w:rFonts w:cs="Arial"/>
          <w:i/>
          <w:iCs/>
        </w:rPr>
        <w:t xml:space="preserve"> is indicated for the treatment of moderate to severe plaque psoriasis in children and adolescent patients from 6 years of age who are inadequately controlled by, or are intolerant to, other systemic therapies or phototherapies.</w:t>
      </w:r>
    </w:p>
    <w:p w14:paraId="1FE188B5" w14:textId="77777777" w:rsidR="00A82137" w:rsidRPr="00901FED" w:rsidRDefault="00A82137" w:rsidP="00A82137">
      <w:pPr>
        <w:rPr>
          <w:rFonts w:cs="Arial"/>
          <w:b/>
          <w:bCs/>
          <w:i/>
          <w:iCs/>
        </w:rPr>
      </w:pPr>
      <w:r w:rsidRPr="00901FED">
        <w:rPr>
          <w:rFonts w:cs="Arial"/>
          <w:b/>
          <w:bCs/>
          <w:i/>
          <w:iCs/>
        </w:rPr>
        <w:t>Psoriatic Arthritis (PsA)</w:t>
      </w:r>
    </w:p>
    <w:p w14:paraId="2A465CE0" w14:textId="4778A4BA" w:rsidR="00A82137" w:rsidRPr="00A82137" w:rsidRDefault="00E4609C" w:rsidP="00901FED">
      <w:pPr>
        <w:ind w:left="567"/>
        <w:rPr>
          <w:rFonts w:cs="Arial"/>
          <w:i/>
          <w:iCs/>
        </w:rPr>
      </w:pPr>
      <w:r>
        <w:rPr>
          <w:rFonts w:cs="Arial"/>
          <w:i/>
          <w:iCs/>
        </w:rPr>
        <w:t>WEZLANA</w:t>
      </w:r>
      <w:r w:rsidR="00A82137" w:rsidRPr="00A82137">
        <w:rPr>
          <w:rFonts w:cs="Arial"/>
          <w:i/>
          <w:iCs/>
        </w:rPr>
        <w:t>, alone or in combination with methotrexate, is indicated for the treatment of signs and symptoms of active psoriatic arthritis in adult patients (18 years and older) where response to previous non-biological DMARD therapy has been inadequate.</w:t>
      </w:r>
    </w:p>
    <w:p w14:paraId="6865BE09" w14:textId="77777777" w:rsidR="00A82137" w:rsidRPr="00901FED" w:rsidRDefault="00A82137" w:rsidP="00A82137">
      <w:pPr>
        <w:rPr>
          <w:rFonts w:cs="Arial"/>
          <w:b/>
          <w:bCs/>
          <w:i/>
          <w:iCs/>
        </w:rPr>
      </w:pPr>
      <w:r w:rsidRPr="00901FED">
        <w:rPr>
          <w:rFonts w:cs="Arial"/>
          <w:b/>
          <w:bCs/>
          <w:i/>
          <w:iCs/>
        </w:rPr>
        <w:t>Crohn’s Disease</w:t>
      </w:r>
    </w:p>
    <w:p w14:paraId="2238561C" w14:textId="1058593E" w:rsidR="00A82137" w:rsidRPr="00A82137" w:rsidRDefault="00E4609C" w:rsidP="00901FED">
      <w:pPr>
        <w:ind w:left="567"/>
        <w:rPr>
          <w:rFonts w:cs="Arial"/>
          <w:i/>
          <w:iCs/>
        </w:rPr>
      </w:pPr>
      <w:r>
        <w:rPr>
          <w:rFonts w:cs="Arial"/>
          <w:i/>
          <w:iCs/>
        </w:rPr>
        <w:t>WEZLANA</w:t>
      </w:r>
      <w:r w:rsidR="00A82137" w:rsidRPr="00A82137">
        <w:rPr>
          <w:rFonts w:cs="Arial"/>
          <w:i/>
          <w:iCs/>
        </w:rPr>
        <w:t xml:space="preserve"> is indicated for the treatment of adult patients with moderately to severely active Crohn’s disease who have had an inadequate response, lost response, or were intolerant to either conventional therapy or a TNFα antagonist or have medical contraindications to such therapies.</w:t>
      </w:r>
    </w:p>
    <w:p w14:paraId="664C26CB" w14:textId="77777777" w:rsidR="00A82137" w:rsidRPr="00901FED" w:rsidRDefault="00A82137" w:rsidP="00A82137">
      <w:pPr>
        <w:rPr>
          <w:rFonts w:cs="Arial"/>
          <w:b/>
          <w:bCs/>
          <w:i/>
          <w:iCs/>
        </w:rPr>
      </w:pPr>
      <w:r w:rsidRPr="00901FED">
        <w:rPr>
          <w:rFonts w:cs="Arial"/>
          <w:b/>
          <w:bCs/>
          <w:i/>
          <w:iCs/>
        </w:rPr>
        <w:t>Ulcerative Colitis</w:t>
      </w:r>
    </w:p>
    <w:p w14:paraId="4EAC1EE2" w14:textId="2A278BD0" w:rsidR="00A82137" w:rsidRDefault="00E4609C" w:rsidP="00901FED">
      <w:pPr>
        <w:ind w:left="567"/>
        <w:rPr>
          <w:rFonts w:cs="Arial"/>
          <w:i/>
          <w:iCs/>
        </w:rPr>
      </w:pPr>
      <w:r>
        <w:rPr>
          <w:rFonts w:cs="Arial"/>
          <w:i/>
          <w:iCs/>
        </w:rPr>
        <w:t>WEZLANA</w:t>
      </w:r>
      <w:r w:rsidR="00A82137" w:rsidRPr="00A82137">
        <w:rPr>
          <w:rFonts w:cs="Arial"/>
          <w:i/>
          <w:iCs/>
        </w:rPr>
        <w:t xml:space="preserve"> is indicated for the treatment of adult patients with moderately to severely active ulcerative colitis.</w:t>
      </w:r>
    </w:p>
    <w:p w14:paraId="1B9A6F55" w14:textId="77777777" w:rsidR="00A82137" w:rsidRDefault="00A82137">
      <w:pPr>
        <w:rPr>
          <w:rFonts w:cs="Arial"/>
          <w:i/>
          <w:iCs/>
        </w:rPr>
      </w:pPr>
      <w:r>
        <w:rPr>
          <w:rFonts w:cs="Arial"/>
          <w:i/>
          <w:iCs/>
        </w:rPr>
        <w:br w:type="page"/>
      </w:r>
    </w:p>
    <w:p w14:paraId="307F236C" w14:textId="77777777" w:rsidR="00C22214" w:rsidRPr="002E238E" w:rsidRDefault="00C22214" w:rsidP="00C22214">
      <w:pPr>
        <w:pStyle w:val="Heading2"/>
      </w:pPr>
      <w:bookmarkStart w:id="87" w:name="_Toc103679300"/>
      <w:bookmarkStart w:id="88" w:name="_Toc170370180"/>
      <w:r>
        <w:lastRenderedPageBreak/>
        <w:t>Outcome</w:t>
      </w:r>
      <w:bookmarkEnd w:id="84"/>
      <w:bookmarkEnd w:id="85"/>
      <w:bookmarkEnd w:id="87"/>
      <w:bookmarkEnd w:id="88"/>
    </w:p>
    <w:p w14:paraId="4B838C6A" w14:textId="7D64BE33" w:rsidR="00772148" w:rsidRPr="00772148" w:rsidRDefault="00C22214" w:rsidP="00993458">
      <w:r w:rsidRPr="0017005C">
        <w:t>Based on a review of quality, safety, and efficacy</w:t>
      </w:r>
      <w:r w:rsidR="00993458">
        <w:t xml:space="preserve"> data</w:t>
      </w:r>
      <w:r w:rsidRPr="0017005C">
        <w:t xml:space="preserve">, the TGA </w:t>
      </w:r>
      <w:r w:rsidR="000F42F1">
        <w:t>resolved</w:t>
      </w:r>
      <w:r w:rsidR="00B46DFB">
        <w:t xml:space="preserve"> to</w:t>
      </w:r>
      <w:r w:rsidRPr="0017005C">
        <w:t xml:space="preserve"> regist</w:t>
      </w:r>
      <w:r w:rsidR="00B46DFB">
        <w:t>er</w:t>
      </w:r>
      <w:r w:rsidRPr="0017005C">
        <w:t xml:space="preserve"> </w:t>
      </w:r>
      <w:r w:rsidR="00E4609C">
        <w:t>WEZLANA</w:t>
      </w:r>
      <w:r w:rsidR="00993458">
        <w:t>.</w:t>
      </w:r>
    </w:p>
    <w:p w14:paraId="0D732DA4" w14:textId="77777777" w:rsidR="00854D98" w:rsidRPr="00D23139" w:rsidRDefault="00854D98" w:rsidP="00854D98">
      <w:pPr>
        <w:pStyle w:val="Heading3"/>
      </w:pPr>
      <w:bookmarkStart w:id="89" w:name="_Toc103679301"/>
      <w:bookmarkStart w:id="90" w:name="_Toc170370181"/>
      <w:r w:rsidRPr="00D23139">
        <w:t>Specific conditions of registration applying to these goods</w:t>
      </w:r>
      <w:bookmarkEnd w:id="89"/>
      <w:bookmarkEnd w:id="90"/>
    </w:p>
    <w:p w14:paraId="4F355B3F" w14:textId="5D9B349A" w:rsidR="00993458" w:rsidRDefault="00993458" w:rsidP="00993458">
      <w:r>
        <w:t>All batches of WEZLANA-ustekinumab supplied in Australia must comply with the product details and specifications approved during evaluation and detailed in the Certified Product Details (CPD).</w:t>
      </w:r>
    </w:p>
    <w:p w14:paraId="3BB88196" w14:textId="0F6A605B" w:rsidR="00993458" w:rsidRDefault="00993458" w:rsidP="00993458">
      <w:r>
        <w:t>When requested by the TGA, the Sponsor should be prepared to provide product samples, specified reference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w:t>
      </w:r>
    </w:p>
    <w:p w14:paraId="10339389" w14:textId="60581609" w:rsidR="00993458" w:rsidRDefault="00993458" w:rsidP="00993458">
      <w:r>
        <w:t>The</w:t>
      </w:r>
      <w:r w:rsidR="000F42F1">
        <w:t xml:space="preserve"> </w:t>
      </w:r>
      <w:r>
        <w:t>CPD, as described in Guidance 7: Certified Product Details of the Australian Regulatory Guidelines for Prescription Medicines (ARGPM)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451DC3FC" w14:textId="2D1EC6E2" w:rsidR="00C22214" w:rsidRDefault="00C22214" w:rsidP="00C22214">
      <w:pPr>
        <w:pStyle w:val="Heading2"/>
      </w:pPr>
      <w:bookmarkStart w:id="91" w:name="_Toc103679303"/>
      <w:bookmarkStart w:id="92" w:name="_Toc170370182"/>
      <w:r>
        <w:t>Attachment 1. Product Information</w:t>
      </w:r>
      <w:bookmarkEnd w:id="91"/>
      <w:bookmarkEnd w:id="92"/>
    </w:p>
    <w:p w14:paraId="216818CC" w14:textId="594CE69F" w:rsidR="00C22214" w:rsidRPr="008B4DA3" w:rsidRDefault="00675F81" w:rsidP="00993458">
      <w:r w:rsidRPr="00BD5DBD">
        <w:rPr>
          <w:szCs w:val="22"/>
        </w:rPr>
        <w:t xml:space="preserve">The </w:t>
      </w:r>
      <w:hyperlink r:id="rId35" w:history="1">
        <w:r w:rsidRPr="00BD5DBD">
          <w:rPr>
            <w:rStyle w:val="Hyperlink"/>
            <w:szCs w:val="22"/>
          </w:rPr>
          <w:t>Product Information</w:t>
        </w:r>
      </w:hyperlink>
      <w:r w:rsidRPr="00BD5DBD">
        <w:rPr>
          <w:szCs w:val="22"/>
        </w:rPr>
        <w:t xml:space="preserve"> (</w:t>
      </w:r>
      <w:hyperlink r:id="rId36"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E4609C">
        <w:t>WEZLANA</w:t>
      </w:r>
      <w:r w:rsidR="0074328A">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37" w:history="1">
        <w:r w:rsidRPr="00BD5DBD">
          <w:rPr>
            <w:rStyle w:val="Hyperlink"/>
            <w:szCs w:val="22"/>
          </w:rPr>
          <w:t>Consumer Medicines Information</w:t>
        </w:r>
      </w:hyperlink>
      <w:r w:rsidRPr="00BD5DBD">
        <w:rPr>
          <w:szCs w:val="22"/>
        </w:rPr>
        <w:t xml:space="preserve"> (CMI), please refer to the TGA </w:t>
      </w:r>
      <w:hyperlink r:id="rId38" w:history="1">
        <w:r w:rsidRPr="00BD5DBD">
          <w:rPr>
            <w:rStyle w:val="Hyperlink"/>
            <w:szCs w:val="22"/>
          </w:rPr>
          <w:t>PI/CMI search facility.</w:t>
        </w:r>
      </w:hyperlink>
    </w:p>
    <w:p w14:paraId="6280CD0D" w14:textId="7DBFBB0B" w:rsidR="00993AAD" w:rsidRPr="00DD651B" w:rsidRDefault="00993AAD" w:rsidP="00993AAD">
      <w:pPr>
        <w:rPr>
          <w:rFonts w:ascii="Times New Roman" w:hAnsi="Times New Roman" w:cs="Times New Roman"/>
          <w:sz w:val="23"/>
          <w:szCs w:val="23"/>
        </w:rPr>
        <w:sectPr w:rsidR="00993AAD" w:rsidRPr="00DD651B" w:rsidSect="007452E8">
          <w:headerReference w:type="default" r:id="rId39"/>
          <w:footerReference w:type="default" r:id="rId4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2"/>
          <w:bookmarkEnd w:id="3"/>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41"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CD6FFD">
            <w:pPr>
              <w:pStyle w:val="Address"/>
              <w:jc w:val="center"/>
              <w:rPr>
                <w:rStyle w:val="Hyperlink"/>
                <w:b/>
                <w:color w:val="auto"/>
                <w:sz w:val="22"/>
              </w:rPr>
            </w:pPr>
            <w:hyperlink r:id="rId42"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3"/>
      <w:footerReference w:type="first" r:id="rId4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53441" w14:textId="77777777" w:rsidR="00DA2D6F" w:rsidRDefault="00DA2D6F" w:rsidP="00F02AEC">
      <w:pPr>
        <w:spacing w:after="0" w:line="240" w:lineRule="auto"/>
      </w:pPr>
      <w:r>
        <w:separator/>
      </w:r>
    </w:p>
  </w:endnote>
  <w:endnote w:type="continuationSeparator" w:id="0">
    <w:p w14:paraId="6B04C6BC" w14:textId="77777777" w:rsidR="00DA2D6F" w:rsidRDefault="00DA2D6F"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17E3F82B" w:rsidR="007452E8" w:rsidRPr="004A3084" w:rsidRDefault="007452E8" w:rsidP="007452E8">
          <w:pPr>
            <w:pStyle w:val="Footer"/>
          </w:pPr>
          <w:r w:rsidRPr="00487162">
            <w:t>AusPA</w:t>
          </w:r>
          <w:r>
            <w:t xml:space="preserve">R - </w:t>
          </w:r>
          <w:r w:rsidR="00E4609C">
            <w:t>WEZLANA</w:t>
          </w:r>
          <w:r>
            <w:t xml:space="preserve"> </w:t>
          </w:r>
          <w:r w:rsidR="00095B7D">
            <w:t>–</w:t>
          </w:r>
          <w:r w:rsidRPr="00460036">
            <w:t xml:space="preserve"> </w:t>
          </w:r>
          <w:r w:rsidR="00095B7D">
            <w:t>ustekinumab –</w:t>
          </w:r>
          <w:r>
            <w:t xml:space="preserve"> </w:t>
          </w:r>
          <w:r w:rsidR="00095B7D">
            <w:t xml:space="preserve">Amgen Australia Pty Ltd </w:t>
          </w:r>
          <w:r>
            <w:t>- PM-202</w:t>
          </w:r>
          <w:r w:rsidR="00095B7D">
            <w:t>3</w:t>
          </w:r>
          <w:r w:rsidRPr="00487162">
            <w:t>-</w:t>
          </w:r>
          <w:r w:rsidR="00095B7D">
            <w:t>00167</w:t>
          </w:r>
          <w:r w:rsidRPr="00487162">
            <w:t>-</w:t>
          </w:r>
          <w:r w:rsidR="00095B7D">
            <w:t>1</w:t>
          </w:r>
          <w:r w:rsidRPr="00487162">
            <w:t>-</w:t>
          </w:r>
          <w:r w:rsidR="00095B7D">
            <w:t>1</w:t>
          </w:r>
          <w:r>
            <w:br/>
          </w:r>
          <w:r w:rsidR="0030497A">
            <w:t>Final: 18 June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fldSimple w:instr=" NUMPAGES  ">
                <w:r w:rsidR="006D6B44">
                  <w:rPr>
                    <w:noProof/>
                  </w:rPr>
                  <w:t>17</w:t>
                </w:r>
              </w:fldSimple>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C7882" w14:textId="77777777" w:rsidR="00DA2D6F" w:rsidRDefault="00DA2D6F" w:rsidP="00F02AEC">
      <w:pPr>
        <w:spacing w:after="0" w:line="240" w:lineRule="auto"/>
      </w:pPr>
      <w:r>
        <w:separator/>
      </w:r>
    </w:p>
  </w:footnote>
  <w:footnote w:type="continuationSeparator" w:id="0">
    <w:p w14:paraId="00E9801B" w14:textId="77777777" w:rsidR="00DA2D6F" w:rsidRDefault="00DA2D6F" w:rsidP="00F02AEC">
      <w:pPr>
        <w:spacing w:after="0" w:line="240" w:lineRule="auto"/>
      </w:pPr>
      <w:r>
        <w:continuationSeparator/>
      </w:r>
    </w:p>
  </w:footnote>
  <w:footnote w:id="1">
    <w:p w14:paraId="224CD836" w14:textId="161B396C" w:rsidR="00500D68" w:rsidRDefault="00500D68">
      <w:pPr>
        <w:pStyle w:val="FootnoteText"/>
      </w:pPr>
      <w:r>
        <w:rPr>
          <w:rStyle w:val="FootnoteReference"/>
        </w:rPr>
        <w:footnoteRef/>
      </w:r>
      <w:r>
        <w:t xml:space="preserve"> </w:t>
      </w:r>
      <w:r w:rsidR="00AD0111" w:rsidRPr="00AD0111">
        <w:t xml:space="preserve"> </w:t>
      </w:r>
      <w:r w:rsidR="00AD0111">
        <w:t>In this report the ‘</w:t>
      </w:r>
      <w:r w:rsidR="00AD0111" w:rsidRPr="00C133A3">
        <w:t>Delegate</w:t>
      </w:r>
      <w:r w:rsidR="00AD0111">
        <w:t>’</w:t>
      </w:r>
      <w:r w:rsidR="00AD0111" w:rsidRPr="00C133A3">
        <w:t xml:space="preserve"> </w:t>
      </w:r>
      <w:r w:rsidR="00AD0111">
        <w:t xml:space="preserve">is the </w:t>
      </w:r>
      <w:r w:rsidR="00AD0111" w:rsidRPr="00C133A3">
        <w:t xml:space="preserve">Delegate of the Secretary of the Department of Health and Aged Care who </w:t>
      </w:r>
      <w:r w:rsidR="00AD0111">
        <w:t>decided the submission</w:t>
      </w:r>
      <w:r w:rsidR="00AD0111" w:rsidRPr="00C133A3">
        <w:t xml:space="preserve"> under section 25 of the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CD6FFD"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572D29">
    <w:pPr>
      <w:pStyle w:val="Headernoline"/>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6E8023C"/>
    <w:multiLevelType w:val="hybridMultilevel"/>
    <w:tmpl w:val="60AABDE4"/>
    <w:lvl w:ilvl="0" w:tplc="899A42F0">
      <w:start w:val="1"/>
      <w:numFmt w:val="lowerRoman"/>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18466487"/>
    <w:multiLevelType w:val="hybridMultilevel"/>
    <w:tmpl w:val="C3A63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4226C0"/>
    <w:multiLevelType w:val="hybridMultilevel"/>
    <w:tmpl w:val="A31AA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2C347F56"/>
    <w:multiLevelType w:val="hybridMultilevel"/>
    <w:tmpl w:val="80942A6C"/>
    <w:lvl w:ilvl="0" w:tplc="3FAAE45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5327C5F"/>
    <w:multiLevelType w:val="hybridMultilevel"/>
    <w:tmpl w:val="28E2B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393FB9"/>
    <w:multiLevelType w:val="hybridMultilevel"/>
    <w:tmpl w:val="97B0BB96"/>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2" w15:restartNumberingAfterBreak="0">
    <w:nsid w:val="43392C09"/>
    <w:multiLevelType w:val="hybridMultilevel"/>
    <w:tmpl w:val="3A8C6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7D11DC"/>
    <w:multiLevelType w:val="hybridMultilevel"/>
    <w:tmpl w:val="58DC5DE6"/>
    <w:lvl w:ilvl="0" w:tplc="A57881E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5" w15:restartNumberingAfterBreak="0">
    <w:nsid w:val="468E7264"/>
    <w:multiLevelType w:val="hybridMultilevel"/>
    <w:tmpl w:val="68A4C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7"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8"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0" w15:restartNumberingAfterBreak="0">
    <w:nsid w:val="61F0737F"/>
    <w:multiLevelType w:val="hybridMultilevel"/>
    <w:tmpl w:val="55340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0C7D30"/>
    <w:multiLevelType w:val="hybridMultilevel"/>
    <w:tmpl w:val="DC486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3027B0"/>
    <w:multiLevelType w:val="hybridMultilevel"/>
    <w:tmpl w:val="986CE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1337267"/>
    <w:multiLevelType w:val="hybridMultilevel"/>
    <w:tmpl w:val="4FEED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18"/>
  </w:num>
  <w:num w:numId="5" w16cid:durableId="1652950129">
    <w:abstractNumId w:val="8"/>
  </w:num>
  <w:num w:numId="6" w16cid:durableId="1053193207">
    <w:abstractNumId w:val="16"/>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7"/>
  </w:num>
  <w:num w:numId="9" w16cid:durableId="173421270">
    <w:abstractNumId w:val="1"/>
  </w:num>
  <w:num w:numId="10" w16cid:durableId="2108043357">
    <w:abstractNumId w:val="5"/>
  </w:num>
  <w:num w:numId="11" w16cid:durableId="1725904230">
    <w:abstractNumId w:val="14"/>
  </w:num>
  <w:num w:numId="12" w16cid:durableId="141579354">
    <w:abstractNumId w:val="19"/>
  </w:num>
  <w:num w:numId="13" w16cid:durableId="283735081">
    <w:abstractNumId w:val="24"/>
  </w:num>
  <w:num w:numId="14" w16cid:durableId="1053965483">
    <w:abstractNumId w:val="10"/>
  </w:num>
  <w:num w:numId="15" w16cid:durableId="58141575">
    <w:abstractNumId w:val="4"/>
  </w:num>
  <w:num w:numId="16" w16cid:durableId="263655128">
    <w:abstractNumId w:val="9"/>
  </w:num>
  <w:num w:numId="17" w16cid:durableId="1739983332">
    <w:abstractNumId w:val="11"/>
  </w:num>
  <w:num w:numId="18" w16cid:durableId="820846688">
    <w:abstractNumId w:val="20"/>
  </w:num>
  <w:num w:numId="19" w16cid:durableId="674772925">
    <w:abstractNumId w:val="6"/>
  </w:num>
  <w:num w:numId="20" w16cid:durableId="1340694621">
    <w:abstractNumId w:val="21"/>
  </w:num>
  <w:num w:numId="21" w16cid:durableId="431242612">
    <w:abstractNumId w:val="22"/>
  </w:num>
  <w:num w:numId="22" w16cid:durableId="1506705272">
    <w:abstractNumId w:val="12"/>
  </w:num>
  <w:num w:numId="23" w16cid:durableId="2077777765">
    <w:abstractNumId w:val="23"/>
  </w:num>
  <w:num w:numId="24" w16cid:durableId="564071665">
    <w:abstractNumId w:val="7"/>
  </w:num>
  <w:num w:numId="25" w16cid:durableId="688726920">
    <w:abstractNumId w:val="15"/>
  </w:num>
  <w:num w:numId="26" w16cid:durableId="9971490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3B35"/>
    <w:rsid w:val="00004431"/>
    <w:rsid w:val="00005062"/>
    <w:rsid w:val="000067A4"/>
    <w:rsid w:val="0001064C"/>
    <w:rsid w:val="0001384A"/>
    <w:rsid w:val="00020FF2"/>
    <w:rsid w:val="00032465"/>
    <w:rsid w:val="00032A0F"/>
    <w:rsid w:val="00040D8D"/>
    <w:rsid w:val="000414E7"/>
    <w:rsid w:val="00044624"/>
    <w:rsid w:val="00046423"/>
    <w:rsid w:val="000563F0"/>
    <w:rsid w:val="0006104E"/>
    <w:rsid w:val="00063509"/>
    <w:rsid w:val="000640BD"/>
    <w:rsid w:val="00064E03"/>
    <w:rsid w:val="00065839"/>
    <w:rsid w:val="00065FDF"/>
    <w:rsid w:val="00077844"/>
    <w:rsid w:val="00081C98"/>
    <w:rsid w:val="00090510"/>
    <w:rsid w:val="000917AE"/>
    <w:rsid w:val="00094B81"/>
    <w:rsid w:val="00095B7D"/>
    <w:rsid w:val="000975AA"/>
    <w:rsid w:val="000B6A99"/>
    <w:rsid w:val="000B6B15"/>
    <w:rsid w:val="000C25A7"/>
    <w:rsid w:val="000D28C6"/>
    <w:rsid w:val="000D4671"/>
    <w:rsid w:val="000D78EC"/>
    <w:rsid w:val="000D7934"/>
    <w:rsid w:val="000E2597"/>
    <w:rsid w:val="000E62FA"/>
    <w:rsid w:val="000E6746"/>
    <w:rsid w:val="000F1194"/>
    <w:rsid w:val="000F42F1"/>
    <w:rsid w:val="000F6A77"/>
    <w:rsid w:val="000F7B51"/>
    <w:rsid w:val="00101BEE"/>
    <w:rsid w:val="00101CE6"/>
    <w:rsid w:val="00101FB1"/>
    <w:rsid w:val="00105172"/>
    <w:rsid w:val="0010558A"/>
    <w:rsid w:val="001101FF"/>
    <w:rsid w:val="0011789C"/>
    <w:rsid w:val="0012188E"/>
    <w:rsid w:val="0012473C"/>
    <w:rsid w:val="00127A74"/>
    <w:rsid w:val="0013132F"/>
    <w:rsid w:val="0013306D"/>
    <w:rsid w:val="0013528C"/>
    <w:rsid w:val="001442A2"/>
    <w:rsid w:val="001468CA"/>
    <w:rsid w:val="001500A8"/>
    <w:rsid w:val="001536D6"/>
    <w:rsid w:val="00155D85"/>
    <w:rsid w:val="0016404E"/>
    <w:rsid w:val="00165D28"/>
    <w:rsid w:val="0017005C"/>
    <w:rsid w:val="00175CD8"/>
    <w:rsid w:val="0018087C"/>
    <w:rsid w:val="00182BD8"/>
    <w:rsid w:val="00183037"/>
    <w:rsid w:val="00190687"/>
    <w:rsid w:val="001950CF"/>
    <w:rsid w:val="001A7026"/>
    <w:rsid w:val="001A76F9"/>
    <w:rsid w:val="001B06FF"/>
    <w:rsid w:val="001B1703"/>
    <w:rsid w:val="001B5D22"/>
    <w:rsid w:val="001C0571"/>
    <w:rsid w:val="001C1C2E"/>
    <w:rsid w:val="001C1F15"/>
    <w:rsid w:val="001C220E"/>
    <w:rsid w:val="001C31A1"/>
    <w:rsid w:val="001C3FA2"/>
    <w:rsid w:val="001C477F"/>
    <w:rsid w:val="001C5EE2"/>
    <w:rsid w:val="001D0077"/>
    <w:rsid w:val="001D1F34"/>
    <w:rsid w:val="001D69E0"/>
    <w:rsid w:val="001E0516"/>
    <w:rsid w:val="001E092C"/>
    <w:rsid w:val="001E407B"/>
    <w:rsid w:val="001E5E30"/>
    <w:rsid w:val="001E7FC6"/>
    <w:rsid w:val="001F2502"/>
    <w:rsid w:val="001F3636"/>
    <w:rsid w:val="001F60FA"/>
    <w:rsid w:val="001F70A5"/>
    <w:rsid w:val="0020235D"/>
    <w:rsid w:val="0020369B"/>
    <w:rsid w:val="00207B4D"/>
    <w:rsid w:val="002110C7"/>
    <w:rsid w:val="002117B1"/>
    <w:rsid w:val="00217A04"/>
    <w:rsid w:val="00217CCE"/>
    <w:rsid w:val="002203B1"/>
    <w:rsid w:val="00220E18"/>
    <w:rsid w:val="00226F39"/>
    <w:rsid w:val="002334AD"/>
    <w:rsid w:val="0023719B"/>
    <w:rsid w:val="002411E5"/>
    <w:rsid w:val="00241B60"/>
    <w:rsid w:val="00241D72"/>
    <w:rsid w:val="0025654B"/>
    <w:rsid w:val="0025785B"/>
    <w:rsid w:val="00257969"/>
    <w:rsid w:val="0026274B"/>
    <w:rsid w:val="00271872"/>
    <w:rsid w:val="0027227D"/>
    <w:rsid w:val="0027798F"/>
    <w:rsid w:val="00277A72"/>
    <w:rsid w:val="00280048"/>
    <w:rsid w:val="00283659"/>
    <w:rsid w:val="0028489E"/>
    <w:rsid w:val="002848DE"/>
    <w:rsid w:val="0028794E"/>
    <w:rsid w:val="00294436"/>
    <w:rsid w:val="002A1A0D"/>
    <w:rsid w:val="002A50AF"/>
    <w:rsid w:val="002A5841"/>
    <w:rsid w:val="002A6955"/>
    <w:rsid w:val="002B1EDF"/>
    <w:rsid w:val="002B2061"/>
    <w:rsid w:val="002B3370"/>
    <w:rsid w:val="002C1232"/>
    <w:rsid w:val="002C1E44"/>
    <w:rsid w:val="002C5C92"/>
    <w:rsid w:val="002C5E29"/>
    <w:rsid w:val="002C6429"/>
    <w:rsid w:val="002C76E4"/>
    <w:rsid w:val="002D0478"/>
    <w:rsid w:val="002D1AAD"/>
    <w:rsid w:val="002D394B"/>
    <w:rsid w:val="002D6BDA"/>
    <w:rsid w:val="002D7127"/>
    <w:rsid w:val="002E382D"/>
    <w:rsid w:val="002E7383"/>
    <w:rsid w:val="002F23AD"/>
    <w:rsid w:val="002F599E"/>
    <w:rsid w:val="003008D8"/>
    <w:rsid w:val="00301D9A"/>
    <w:rsid w:val="003037E1"/>
    <w:rsid w:val="00303959"/>
    <w:rsid w:val="0030497A"/>
    <w:rsid w:val="00306E72"/>
    <w:rsid w:val="00307A3B"/>
    <w:rsid w:val="00312AC3"/>
    <w:rsid w:val="00314430"/>
    <w:rsid w:val="003163BC"/>
    <w:rsid w:val="0032091D"/>
    <w:rsid w:val="0032351A"/>
    <w:rsid w:val="00324B33"/>
    <w:rsid w:val="00327488"/>
    <w:rsid w:val="00335CFA"/>
    <w:rsid w:val="00336FE1"/>
    <w:rsid w:val="00342D56"/>
    <w:rsid w:val="003456E7"/>
    <w:rsid w:val="00346EC2"/>
    <w:rsid w:val="003477F9"/>
    <w:rsid w:val="0035444D"/>
    <w:rsid w:val="0035647D"/>
    <w:rsid w:val="00356D62"/>
    <w:rsid w:val="00363EE3"/>
    <w:rsid w:val="00364A21"/>
    <w:rsid w:val="00370A24"/>
    <w:rsid w:val="003735F3"/>
    <w:rsid w:val="00374729"/>
    <w:rsid w:val="00383D3B"/>
    <w:rsid w:val="00387298"/>
    <w:rsid w:val="00387984"/>
    <w:rsid w:val="00395140"/>
    <w:rsid w:val="003A2422"/>
    <w:rsid w:val="003A4828"/>
    <w:rsid w:val="003A5010"/>
    <w:rsid w:val="003A62B4"/>
    <w:rsid w:val="003B149C"/>
    <w:rsid w:val="003C0FDB"/>
    <w:rsid w:val="003C1192"/>
    <w:rsid w:val="003C55E2"/>
    <w:rsid w:val="003C63D5"/>
    <w:rsid w:val="003C6E00"/>
    <w:rsid w:val="003C7AA8"/>
    <w:rsid w:val="003D4F91"/>
    <w:rsid w:val="003D616E"/>
    <w:rsid w:val="003D71A1"/>
    <w:rsid w:val="003E04C4"/>
    <w:rsid w:val="003E36DA"/>
    <w:rsid w:val="003E7D8B"/>
    <w:rsid w:val="003F327D"/>
    <w:rsid w:val="003F7530"/>
    <w:rsid w:val="003F7712"/>
    <w:rsid w:val="00411BE4"/>
    <w:rsid w:val="00415C3F"/>
    <w:rsid w:val="00415D91"/>
    <w:rsid w:val="0041688F"/>
    <w:rsid w:val="004204EB"/>
    <w:rsid w:val="0042376F"/>
    <w:rsid w:val="004246B8"/>
    <w:rsid w:val="004248F1"/>
    <w:rsid w:val="0042653C"/>
    <w:rsid w:val="004307D9"/>
    <w:rsid w:val="00430C1B"/>
    <w:rsid w:val="0043223D"/>
    <w:rsid w:val="00433318"/>
    <w:rsid w:val="00437A80"/>
    <w:rsid w:val="00437E62"/>
    <w:rsid w:val="00442A56"/>
    <w:rsid w:val="004444B0"/>
    <w:rsid w:val="0045060B"/>
    <w:rsid w:val="004626FF"/>
    <w:rsid w:val="00465F42"/>
    <w:rsid w:val="0047084E"/>
    <w:rsid w:val="00470A52"/>
    <w:rsid w:val="00471BD5"/>
    <w:rsid w:val="00471FB7"/>
    <w:rsid w:val="00473E2E"/>
    <w:rsid w:val="00474921"/>
    <w:rsid w:val="004761AC"/>
    <w:rsid w:val="00477C4E"/>
    <w:rsid w:val="00477F07"/>
    <w:rsid w:val="00481503"/>
    <w:rsid w:val="00481A96"/>
    <w:rsid w:val="00481D12"/>
    <w:rsid w:val="00485391"/>
    <w:rsid w:val="004854A6"/>
    <w:rsid w:val="00491A55"/>
    <w:rsid w:val="00492B8D"/>
    <w:rsid w:val="00494C3E"/>
    <w:rsid w:val="00495430"/>
    <w:rsid w:val="00497DF1"/>
    <w:rsid w:val="004A318E"/>
    <w:rsid w:val="004A57E8"/>
    <w:rsid w:val="004B3081"/>
    <w:rsid w:val="004B4A09"/>
    <w:rsid w:val="004C4053"/>
    <w:rsid w:val="004C41CE"/>
    <w:rsid w:val="004C631B"/>
    <w:rsid w:val="004D2F00"/>
    <w:rsid w:val="004D31D8"/>
    <w:rsid w:val="004D5388"/>
    <w:rsid w:val="004E65C6"/>
    <w:rsid w:val="004E7F16"/>
    <w:rsid w:val="004F18EC"/>
    <w:rsid w:val="004F4607"/>
    <w:rsid w:val="00500D68"/>
    <w:rsid w:val="005122AB"/>
    <w:rsid w:val="005215BF"/>
    <w:rsid w:val="00521E0A"/>
    <w:rsid w:val="0053377D"/>
    <w:rsid w:val="00535DFE"/>
    <w:rsid w:val="005373B5"/>
    <w:rsid w:val="00537AB7"/>
    <w:rsid w:val="00540E08"/>
    <w:rsid w:val="0054189D"/>
    <w:rsid w:val="0054669B"/>
    <w:rsid w:val="00553F31"/>
    <w:rsid w:val="005610D1"/>
    <w:rsid w:val="00562F42"/>
    <w:rsid w:val="00565739"/>
    <w:rsid w:val="0056766D"/>
    <w:rsid w:val="00572A01"/>
    <w:rsid w:val="00572D29"/>
    <w:rsid w:val="00575215"/>
    <w:rsid w:val="0058575E"/>
    <w:rsid w:val="0058783C"/>
    <w:rsid w:val="005911AE"/>
    <w:rsid w:val="005926E2"/>
    <w:rsid w:val="0059313A"/>
    <w:rsid w:val="005A1934"/>
    <w:rsid w:val="005A31AA"/>
    <w:rsid w:val="005A54EA"/>
    <w:rsid w:val="005B023F"/>
    <w:rsid w:val="005B02A2"/>
    <w:rsid w:val="005B1417"/>
    <w:rsid w:val="005B4FE4"/>
    <w:rsid w:val="005B69CF"/>
    <w:rsid w:val="005C3F07"/>
    <w:rsid w:val="005C4B46"/>
    <w:rsid w:val="005C5DC5"/>
    <w:rsid w:val="005D2089"/>
    <w:rsid w:val="005D7514"/>
    <w:rsid w:val="005E0FC6"/>
    <w:rsid w:val="005E1A7B"/>
    <w:rsid w:val="005E231F"/>
    <w:rsid w:val="005E3FB3"/>
    <w:rsid w:val="005E4793"/>
    <w:rsid w:val="005F34C0"/>
    <w:rsid w:val="00602D6E"/>
    <w:rsid w:val="00603AB0"/>
    <w:rsid w:val="00605C05"/>
    <w:rsid w:val="00611351"/>
    <w:rsid w:val="0061217D"/>
    <w:rsid w:val="0061220D"/>
    <w:rsid w:val="0061600F"/>
    <w:rsid w:val="00617457"/>
    <w:rsid w:val="00617DFF"/>
    <w:rsid w:val="0062706A"/>
    <w:rsid w:val="006277A1"/>
    <w:rsid w:val="00633BD7"/>
    <w:rsid w:val="00634580"/>
    <w:rsid w:val="00634884"/>
    <w:rsid w:val="006351D9"/>
    <w:rsid w:val="00637130"/>
    <w:rsid w:val="00637870"/>
    <w:rsid w:val="00637F0E"/>
    <w:rsid w:val="00640C85"/>
    <w:rsid w:val="006423F2"/>
    <w:rsid w:val="00650234"/>
    <w:rsid w:val="00651DE9"/>
    <w:rsid w:val="0066044B"/>
    <w:rsid w:val="006630AA"/>
    <w:rsid w:val="00663544"/>
    <w:rsid w:val="00666539"/>
    <w:rsid w:val="00666911"/>
    <w:rsid w:val="00671410"/>
    <w:rsid w:val="00675F81"/>
    <w:rsid w:val="0068143E"/>
    <w:rsid w:val="0068507D"/>
    <w:rsid w:val="00691AF2"/>
    <w:rsid w:val="00692B80"/>
    <w:rsid w:val="00692CCD"/>
    <w:rsid w:val="00692D51"/>
    <w:rsid w:val="00694DD7"/>
    <w:rsid w:val="00695ACC"/>
    <w:rsid w:val="0069636B"/>
    <w:rsid w:val="006A1762"/>
    <w:rsid w:val="006A1F0B"/>
    <w:rsid w:val="006A277A"/>
    <w:rsid w:val="006A5973"/>
    <w:rsid w:val="006A710A"/>
    <w:rsid w:val="006B5A56"/>
    <w:rsid w:val="006B7126"/>
    <w:rsid w:val="006B7E84"/>
    <w:rsid w:val="006C0522"/>
    <w:rsid w:val="006C0786"/>
    <w:rsid w:val="006C14DA"/>
    <w:rsid w:val="006C1C2B"/>
    <w:rsid w:val="006C6716"/>
    <w:rsid w:val="006C6B86"/>
    <w:rsid w:val="006D045B"/>
    <w:rsid w:val="006D20EA"/>
    <w:rsid w:val="006D4553"/>
    <w:rsid w:val="006D4A35"/>
    <w:rsid w:val="006D6B44"/>
    <w:rsid w:val="006E27FE"/>
    <w:rsid w:val="006F2CE3"/>
    <w:rsid w:val="00701110"/>
    <w:rsid w:val="00702E91"/>
    <w:rsid w:val="0070330F"/>
    <w:rsid w:val="00703624"/>
    <w:rsid w:val="007046ED"/>
    <w:rsid w:val="007072A1"/>
    <w:rsid w:val="00710BC5"/>
    <w:rsid w:val="007121CA"/>
    <w:rsid w:val="0072003B"/>
    <w:rsid w:val="0072025D"/>
    <w:rsid w:val="007208F9"/>
    <w:rsid w:val="00721059"/>
    <w:rsid w:val="007211E6"/>
    <w:rsid w:val="007220C4"/>
    <w:rsid w:val="00732361"/>
    <w:rsid w:val="007357B9"/>
    <w:rsid w:val="0073763A"/>
    <w:rsid w:val="00741AB9"/>
    <w:rsid w:val="00742D03"/>
    <w:rsid w:val="0074328A"/>
    <w:rsid w:val="00743AE7"/>
    <w:rsid w:val="00744216"/>
    <w:rsid w:val="007452E8"/>
    <w:rsid w:val="00746990"/>
    <w:rsid w:val="00747093"/>
    <w:rsid w:val="00750D70"/>
    <w:rsid w:val="007575D0"/>
    <w:rsid w:val="00761752"/>
    <w:rsid w:val="00764CE9"/>
    <w:rsid w:val="007662E0"/>
    <w:rsid w:val="00766F47"/>
    <w:rsid w:val="0077103E"/>
    <w:rsid w:val="007720B5"/>
    <w:rsid w:val="00772148"/>
    <w:rsid w:val="00772205"/>
    <w:rsid w:val="00773C75"/>
    <w:rsid w:val="00775125"/>
    <w:rsid w:val="007754E5"/>
    <w:rsid w:val="00776E9C"/>
    <w:rsid w:val="007816D8"/>
    <w:rsid w:val="0078220C"/>
    <w:rsid w:val="00784150"/>
    <w:rsid w:val="00787463"/>
    <w:rsid w:val="007930EA"/>
    <w:rsid w:val="00793272"/>
    <w:rsid w:val="00794B64"/>
    <w:rsid w:val="007967C3"/>
    <w:rsid w:val="00796C0E"/>
    <w:rsid w:val="007A0A32"/>
    <w:rsid w:val="007A0A33"/>
    <w:rsid w:val="007A13FF"/>
    <w:rsid w:val="007A3E09"/>
    <w:rsid w:val="007B04DE"/>
    <w:rsid w:val="007B0AE6"/>
    <w:rsid w:val="007B1D5D"/>
    <w:rsid w:val="007B70AE"/>
    <w:rsid w:val="007C0F0B"/>
    <w:rsid w:val="007C57BC"/>
    <w:rsid w:val="007D04CA"/>
    <w:rsid w:val="007D0A2B"/>
    <w:rsid w:val="007D12A1"/>
    <w:rsid w:val="007D29A2"/>
    <w:rsid w:val="007D40E5"/>
    <w:rsid w:val="007D4138"/>
    <w:rsid w:val="007E4178"/>
    <w:rsid w:val="007E481D"/>
    <w:rsid w:val="007E6AED"/>
    <w:rsid w:val="007F0A77"/>
    <w:rsid w:val="007F50D3"/>
    <w:rsid w:val="007F671C"/>
    <w:rsid w:val="007F6B1F"/>
    <w:rsid w:val="0080042D"/>
    <w:rsid w:val="008017D3"/>
    <w:rsid w:val="00804897"/>
    <w:rsid w:val="008177D7"/>
    <w:rsid w:val="00820DAA"/>
    <w:rsid w:val="00823A7E"/>
    <w:rsid w:val="00831D99"/>
    <w:rsid w:val="008329DB"/>
    <w:rsid w:val="008361C5"/>
    <w:rsid w:val="0083628F"/>
    <w:rsid w:val="00837AB9"/>
    <w:rsid w:val="008404B3"/>
    <w:rsid w:val="00841834"/>
    <w:rsid w:val="00843BF7"/>
    <w:rsid w:val="00850637"/>
    <w:rsid w:val="00854D98"/>
    <w:rsid w:val="008557BA"/>
    <w:rsid w:val="0085751E"/>
    <w:rsid w:val="00860B29"/>
    <w:rsid w:val="008622E8"/>
    <w:rsid w:val="008645EE"/>
    <w:rsid w:val="00870144"/>
    <w:rsid w:val="00873D7A"/>
    <w:rsid w:val="00877CB3"/>
    <w:rsid w:val="008804CF"/>
    <w:rsid w:val="00882D58"/>
    <w:rsid w:val="00882F19"/>
    <w:rsid w:val="00883465"/>
    <w:rsid w:val="00883D35"/>
    <w:rsid w:val="00884569"/>
    <w:rsid w:val="00887A51"/>
    <w:rsid w:val="00890D9B"/>
    <w:rsid w:val="00891C6C"/>
    <w:rsid w:val="0089229C"/>
    <w:rsid w:val="00892A99"/>
    <w:rsid w:val="00892EE3"/>
    <w:rsid w:val="00893CCD"/>
    <w:rsid w:val="008964B3"/>
    <w:rsid w:val="00896E59"/>
    <w:rsid w:val="008A4AC3"/>
    <w:rsid w:val="008B1CB5"/>
    <w:rsid w:val="008C2D69"/>
    <w:rsid w:val="008C49C6"/>
    <w:rsid w:val="008C704F"/>
    <w:rsid w:val="008C754C"/>
    <w:rsid w:val="008D3374"/>
    <w:rsid w:val="008D5259"/>
    <w:rsid w:val="008D56C9"/>
    <w:rsid w:val="008D6A54"/>
    <w:rsid w:val="008E2585"/>
    <w:rsid w:val="008E2D7A"/>
    <w:rsid w:val="008E54D4"/>
    <w:rsid w:val="008E7C87"/>
    <w:rsid w:val="008F055C"/>
    <w:rsid w:val="008F05F4"/>
    <w:rsid w:val="008F3215"/>
    <w:rsid w:val="008F4A62"/>
    <w:rsid w:val="008F7256"/>
    <w:rsid w:val="00901FED"/>
    <w:rsid w:val="009028CF"/>
    <w:rsid w:val="0090424C"/>
    <w:rsid w:val="0090605E"/>
    <w:rsid w:val="009108CE"/>
    <w:rsid w:val="00915A9F"/>
    <w:rsid w:val="00930D58"/>
    <w:rsid w:val="009357A7"/>
    <w:rsid w:val="00935AAA"/>
    <w:rsid w:val="0095031E"/>
    <w:rsid w:val="00954297"/>
    <w:rsid w:val="00960A56"/>
    <w:rsid w:val="009625EB"/>
    <w:rsid w:val="00966EF1"/>
    <w:rsid w:val="00967223"/>
    <w:rsid w:val="009751F7"/>
    <w:rsid w:val="0098350E"/>
    <w:rsid w:val="009855E0"/>
    <w:rsid w:val="00993458"/>
    <w:rsid w:val="00993AAD"/>
    <w:rsid w:val="0099404F"/>
    <w:rsid w:val="00994DF8"/>
    <w:rsid w:val="00996FA5"/>
    <w:rsid w:val="009A0C0D"/>
    <w:rsid w:val="009B1CB2"/>
    <w:rsid w:val="009B3AE5"/>
    <w:rsid w:val="009B5662"/>
    <w:rsid w:val="009B7F1B"/>
    <w:rsid w:val="009C0626"/>
    <w:rsid w:val="009C2211"/>
    <w:rsid w:val="009C40E8"/>
    <w:rsid w:val="009C45C5"/>
    <w:rsid w:val="009C45EB"/>
    <w:rsid w:val="009D0DE4"/>
    <w:rsid w:val="009E29D5"/>
    <w:rsid w:val="009E65DA"/>
    <w:rsid w:val="009E6858"/>
    <w:rsid w:val="009E6F8C"/>
    <w:rsid w:val="009F3EFA"/>
    <w:rsid w:val="009F405F"/>
    <w:rsid w:val="009F6773"/>
    <w:rsid w:val="00A01AA4"/>
    <w:rsid w:val="00A01C56"/>
    <w:rsid w:val="00A03FC1"/>
    <w:rsid w:val="00A05F49"/>
    <w:rsid w:val="00A071D7"/>
    <w:rsid w:val="00A1607B"/>
    <w:rsid w:val="00A27C05"/>
    <w:rsid w:val="00A317AA"/>
    <w:rsid w:val="00A32C50"/>
    <w:rsid w:val="00A358E7"/>
    <w:rsid w:val="00A37240"/>
    <w:rsid w:val="00A43672"/>
    <w:rsid w:val="00A4380B"/>
    <w:rsid w:val="00A45161"/>
    <w:rsid w:val="00A51A2D"/>
    <w:rsid w:val="00A54213"/>
    <w:rsid w:val="00A5596B"/>
    <w:rsid w:val="00A63C07"/>
    <w:rsid w:val="00A63D9B"/>
    <w:rsid w:val="00A704DC"/>
    <w:rsid w:val="00A82137"/>
    <w:rsid w:val="00A85307"/>
    <w:rsid w:val="00A854F5"/>
    <w:rsid w:val="00A923A3"/>
    <w:rsid w:val="00A931D3"/>
    <w:rsid w:val="00A93DC6"/>
    <w:rsid w:val="00A9411A"/>
    <w:rsid w:val="00A9665C"/>
    <w:rsid w:val="00A97028"/>
    <w:rsid w:val="00A97D3A"/>
    <w:rsid w:val="00AA4A4B"/>
    <w:rsid w:val="00AA53A1"/>
    <w:rsid w:val="00AA6682"/>
    <w:rsid w:val="00AB4D95"/>
    <w:rsid w:val="00AB7C5C"/>
    <w:rsid w:val="00AB7CBF"/>
    <w:rsid w:val="00AC667D"/>
    <w:rsid w:val="00AD0111"/>
    <w:rsid w:val="00AD4C72"/>
    <w:rsid w:val="00AD5451"/>
    <w:rsid w:val="00AD5784"/>
    <w:rsid w:val="00AE1947"/>
    <w:rsid w:val="00AE3075"/>
    <w:rsid w:val="00AF1C8B"/>
    <w:rsid w:val="00AF299B"/>
    <w:rsid w:val="00AF5CAF"/>
    <w:rsid w:val="00AF6780"/>
    <w:rsid w:val="00AF7E43"/>
    <w:rsid w:val="00B02AE0"/>
    <w:rsid w:val="00B05326"/>
    <w:rsid w:val="00B14545"/>
    <w:rsid w:val="00B14E60"/>
    <w:rsid w:val="00B17BA2"/>
    <w:rsid w:val="00B26DC3"/>
    <w:rsid w:val="00B2727A"/>
    <w:rsid w:val="00B30B9D"/>
    <w:rsid w:val="00B31812"/>
    <w:rsid w:val="00B34919"/>
    <w:rsid w:val="00B4574D"/>
    <w:rsid w:val="00B464E7"/>
    <w:rsid w:val="00B468E1"/>
    <w:rsid w:val="00B46BC0"/>
    <w:rsid w:val="00B46DFB"/>
    <w:rsid w:val="00B46E31"/>
    <w:rsid w:val="00B5141B"/>
    <w:rsid w:val="00B53130"/>
    <w:rsid w:val="00B55681"/>
    <w:rsid w:val="00B57AAD"/>
    <w:rsid w:val="00B62532"/>
    <w:rsid w:val="00B72B16"/>
    <w:rsid w:val="00B80408"/>
    <w:rsid w:val="00B81397"/>
    <w:rsid w:val="00B925DB"/>
    <w:rsid w:val="00B967FF"/>
    <w:rsid w:val="00B974B9"/>
    <w:rsid w:val="00BA0287"/>
    <w:rsid w:val="00BA3F6D"/>
    <w:rsid w:val="00BA4BE6"/>
    <w:rsid w:val="00BA4F81"/>
    <w:rsid w:val="00BA4FC0"/>
    <w:rsid w:val="00BA61E0"/>
    <w:rsid w:val="00BA6FBA"/>
    <w:rsid w:val="00BA7051"/>
    <w:rsid w:val="00BA7F7D"/>
    <w:rsid w:val="00BB1C14"/>
    <w:rsid w:val="00BB6847"/>
    <w:rsid w:val="00BB7F8F"/>
    <w:rsid w:val="00BC12BC"/>
    <w:rsid w:val="00BC716A"/>
    <w:rsid w:val="00BC7B4F"/>
    <w:rsid w:val="00BD07DF"/>
    <w:rsid w:val="00BD26F4"/>
    <w:rsid w:val="00BD42FC"/>
    <w:rsid w:val="00BD5DBD"/>
    <w:rsid w:val="00BD5DF6"/>
    <w:rsid w:val="00BE0041"/>
    <w:rsid w:val="00BE580D"/>
    <w:rsid w:val="00BE640F"/>
    <w:rsid w:val="00BE6DBC"/>
    <w:rsid w:val="00BF25A8"/>
    <w:rsid w:val="00BF3C96"/>
    <w:rsid w:val="00BF4638"/>
    <w:rsid w:val="00C018DE"/>
    <w:rsid w:val="00C059D0"/>
    <w:rsid w:val="00C07551"/>
    <w:rsid w:val="00C1109F"/>
    <w:rsid w:val="00C12D65"/>
    <w:rsid w:val="00C133AB"/>
    <w:rsid w:val="00C20B56"/>
    <w:rsid w:val="00C22214"/>
    <w:rsid w:val="00C26F72"/>
    <w:rsid w:val="00C309A7"/>
    <w:rsid w:val="00C31E80"/>
    <w:rsid w:val="00C335AB"/>
    <w:rsid w:val="00C407AB"/>
    <w:rsid w:val="00C46AA8"/>
    <w:rsid w:val="00C52B7B"/>
    <w:rsid w:val="00C547CD"/>
    <w:rsid w:val="00C570FF"/>
    <w:rsid w:val="00C57CEA"/>
    <w:rsid w:val="00C60FEC"/>
    <w:rsid w:val="00C653F7"/>
    <w:rsid w:val="00C6574E"/>
    <w:rsid w:val="00C65C18"/>
    <w:rsid w:val="00C6663E"/>
    <w:rsid w:val="00C707FD"/>
    <w:rsid w:val="00C70EAD"/>
    <w:rsid w:val="00C75F68"/>
    <w:rsid w:val="00C76DEB"/>
    <w:rsid w:val="00C8022B"/>
    <w:rsid w:val="00C81511"/>
    <w:rsid w:val="00C816C6"/>
    <w:rsid w:val="00C863A7"/>
    <w:rsid w:val="00C90965"/>
    <w:rsid w:val="00C912F4"/>
    <w:rsid w:val="00C9156F"/>
    <w:rsid w:val="00C9581A"/>
    <w:rsid w:val="00C97D29"/>
    <w:rsid w:val="00CA14D5"/>
    <w:rsid w:val="00CA5116"/>
    <w:rsid w:val="00CB0550"/>
    <w:rsid w:val="00CB297C"/>
    <w:rsid w:val="00CB6813"/>
    <w:rsid w:val="00CD2CC8"/>
    <w:rsid w:val="00CD6FFD"/>
    <w:rsid w:val="00CE5A25"/>
    <w:rsid w:val="00CE67F2"/>
    <w:rsid w:val="00CF6A55"/>
    <w:rsid w:val="00CF6DC6"/>
    <w:rsid w:val="00CF6DCF"/>
    <w:rsid w:val="00D01DDB"/>
    <w:rsid w:val="00D078BE"/>
    <w:rsid w:val="00D134E7"/>
    <w:rsid w:val="00D13F8A"/>
    <w:rsid w:val="00D15B7D"/>
    <w:rsid w:val="00D16F60"/>
    <w:rsid w:val="00D22981"/>
    <w:rsid w:val="00D2569E"/>
    <w:rsid w:val="00D2623C"/>
    <w:rsid w:val="00D3349B"/>
    <w:rsid w:val="00D424A8"/>
    <w:rsid w:val="00D50207"/>
    <w:rsid w:val="00D6036F"/>
    <w:rsid w:val="00D62877"/>
    <w:rsid w:val="00D63760"/>
    <w:rsid w:val="00D6703F"/>
    <w:rsid w:val="00D734EB"/>
    <w:rsid w:val="00D82546"/>
    <w:rsid w:val="00D82713"/>
    <w:rsid w:val="00D86F00"/>
    <w:rsid w:val="00D87A84"/>
    <w:rsid w:val="00D918D5"/>
    <w:rsid w:val="00D92BBF"/>
    <w:rsid w:val="00D94C8E"/>
    <w:rsid w:val="00D96CCA"/>
    <w:rsid w:val="00DA2D6F"/>
    <w:rsid w:val="00DA79FE"/>
    <w:rsid w:val="00DB1372"/>
    <w:rsid w:val="00DB192C"/>
    <w:rsid w:val="00DB1CF3"/>
    <w:rsid w:val="00DB5425"/>
    <w:rsid w:val="00DB5ED1"/>
    <w:rsid w:val="00DB64EC"/>
    <w:rsid w:val="00DB72A6"/>
    <w:rsid w:val="00DC6611"/>
    <w:rsid w:val="00DD5352"/>
    <w:rsid w:val="00DD651B"/>
    <w:rsid w:val="00DE1344"/>
    <w:rsid w:val="00DF4676"/>
    <w:rsid w:val="00DF5BFE"/>
    <w:rsid w:val="00E01E1E"/>
    <w:rsid w:val="00E0523F"/>
    <w:rsid w:val="00E139EF"/>
    <w:rsid w:val="00E146C3"/>
    <w:rsid w:val="00E211C4"/>
    <w:rsid w:val="00E23E50"/>
    <w:rsid w:val="00E26213"/>
    <w:rsid w:val="00E274DF"/>
    <w:rsid w:val="00E32192"/>
    <w:rsid w:val="00E34D66"/>
    <w:rsid w:val="00E362C4"/>
    <w:rsid w:val="00E41A90"/>
    <w:rsid w:val="00E45938"/>
    <w:rsid w:val="00E4609C"/>
    <w:rsid w:val="00E46CC2"/>
    <w:rsid w:val="00E47E0C"/>
    <w:rsid w:val="00E51813"/>
    <w:rsid w:val="00E52C0B"/>
    <w:rsid w:val="00E53D3F"/>
    <w:rsid w:val="00E5461C"/>
    <w:rsid w:val="00E5579B"/>
    <w:rsid w:val="00E56021"/>
    <w:rsid w:val="00E57FF4"/>
    <w:rsid w:val="00E6756D"/>
    <w:rsid w:val="00E679D1"/>
    <w:rsid w:val="00E67C1C"/>
    <w:rsid w:val="00E833D3"/>
    <w:rsid w:val="00E839AD"/>
    <w:rsid w:val="00E91F11"/>
    <w:rsid w:val="00E93357"/>
    <w:rsid w:val="00E9706D"/>
    <w:rsid w:val="00EA20B4"/>
    <w:rsid w:val="00EA3AF4"/>
    <w:rsid w:val="00EA41F2"/>
    <w:rsid w:val="00EA707B"/>
    <w:rsid w:val="00EB6D04"/>
    <w:rsid w:val="00EC3AAD"/>
    <w:rsid w:val="00ED33E7"/>
    <w:rsid w:val="00EE2F8B"/>
    <w:rsid w:val="00EF3F0B"/>
    <w:rsid w:val="00EF540D"/>
    <w:rsid w:val="00EF5583"/>
    <w:rsid w:val="00EF6878"/>
    <w:rsid w:val="00F0289D"/>
    <w:rsid w:val="00F02AEC"/>
    <w:rsid w:val="00F048A9"/>
    <w:rsid w:val="00F07572"/>
    <w:rsid w:val="00F157FC"/>
    <w:rsid w:val="00F21CB7"/>
    <w:rsid w:val="00F30AF3"/>
    <w:rsid w:val="00F331D0"/>
    <w:rsid w:val="00F43CD1"/>
    <w:rsid w:val="00F45AE0"/>
    <w:rsid w:val="00F55777"/>
    <w:rsid w:val="00F55EB0"/>
    <w:rsid w:val="00F60CF2"/>
    <w:rsid w:val="00F61787"/>
    <w:rsid w:val="00F657B4"/>
    <w:rsid w:val="00F71BFA"/>
    <w:rsid w:val="00F73231"/>
    <w:rsid w:val="00F7649F"/>
    <w:rsid w:val="00F8083B"/>
    <w:rsid w:val="00F865A7"/>
    <w:rsid w:val="00F97EF5"/>
    <w:rsid w:val="00FA0550"/>
    <w:rsid w:val="00FA0754"/>
    <w:rsid w:val="00FA1BC9"/>
    <w:rsid w:val="00FA49C3"/>
    <w:rsid w:val="00FA7540"/>
    <w:rsid w:val="00FB236E"/>
    <w:rsid w:val="00FB3F7B"/>
    <w:rsid w:val="00FB4C2A"/>
    <w:rsid w:val="00FC2107"/>
    <w:rsid w:val="00FC48FE"/>
    <w:rsid w:val="00FC67CB"/>
    <w:rsid w:val="00FC6F56"/>
    <w:rsid w:val="00FE087C"/>
    <w:rsid w:val="00FE79A0"/>
    <w:rsid w:val="00FF09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FC6F56"/>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CD6FFD"/>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aliases w:val="List normal"/>
    <w:basedOn w:val="Normal"/>
    <w:link w:val="ListParagraphChar"/>
    <w:uiPriority w:val="34"/>
    <w:qFormat/>
    <w:rsid w:val="005B4FE4"/>
    <w:pPr>
      <w:spacing w:after="160"/>
      <w:ind w:left="720"/>
      <w:contextualSpacing/>
    </w:pPr>
    <w:rPr>
      <w:rFonts w:cs="Times New Roman"/>
      <w:szCs w:val="24"/>
    </w:rPr>
  </w:style>
  <w:style w:type="character" w:customStyle="1" w:styleId="ListParagraphChar">
    <w:name w:val="List Paragraph Char"/>
    <w:aliases w:val="List normal Char"/>
    <w:basedOn w:val="DefaultParagraphFont"/>
    <w:link w:val="ListParagraph"/>
    <w:uiPriority w:val="34"/>
    <w:locked/>
    <w:rsid w:val="005B4FE4"/>
    <w:rPr>
      <w:rFonts w:ascii="Cambria" w:hAnsi="Cambria" w:cs="Times New Roman"/>
      <w:sz w:val="22"/>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Default">
    <w:name w:val="Default"/>
    <w:rsid w:val="00DB64EC"/>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australian-public-assessment-report-auspar-guidance"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tga.gov.au/committee/advisory-committee-medicines-acm" TargetMode="External"/><Relationship Id="rId42" Type="http://schemas.openxmlformats.org/officeDocument/2006/relationships/hyperlink" Target="https://www.tga.gov.au" TargetMode="Externa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obstetric-drug-information-services"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tga.gov.au/picmi-search-facility"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ga.gov.au/products/medicines/find-information-about-medicine/prescribing-medicines-pregnancy-database"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www.tga.gov.au/products/australian-register-therapeutic-goods-artg/consumer-medicines-information-cmi" TargetMode="External"/><Relationship Id="rId40" Type="http://schemas.openxmlformats.org/officeDocument/2006/relationships/footer" Target="foot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ga.gov.au/how-we-regulate/monitoring-safety-and-shortages/report-adverse-event-or-incident/report-adverse-events-medicines-and-biologicals/black-triangle-schem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tga.gov.au/products/australian-register-therapeutic-goods-artg/product-information-one"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tga.gov.au/products/australian-register-therapeutic-goods-artg/product-information-one" TargetMode="External"/><Relationship Id="rId43"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30</Pages>
  <Words>8317</Words>
  <Characters>47410</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55616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WEZLANA</dc:title>
  <dc:subject>Prescription medicines</dc:subject>
  <dc:creator>Therapeutic Goods Administration</dc:creator>
  <cp:keywords/>
  <dc:description/>
  <cp:lastModifiedBy>LACK, Janet</cp:lastModifiedBy>
  <cp:revision>3</cp:revision>
  <dcterms:created xsi:type="dcterms:W3CDTF">2024-06-26T22:28:00Z</dcterms:created>
  <dcterms:modified xsi:type="dcterms:W3CDTF">2024-06-26T22:42:00Z</dcterms:modified>
</cp:coreProperties>
</file>