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63196B46" w:rsidR="00F02AEC" w:rsidRPr="00215D48" w:rsidRDefault="00457050" w:rsidP="002B29B2">
            <w:pPr>
              <w:pStyle w:val="Title"/>
            </w:pPr>
            <w:r>
              <w:t>Notice of decision to amend (or not amend) the current Poisons Standard</w:t>
            </w:r>
            <w:r w:rsidR="00E662D2">
              <w:t xml:space="preserve"> in relation to nicotine</w:t>
            </w:r>
          </w:p>
        </w:tc>
      </w:tr>
      <w:tr w:rsidR="00F02AEC" w:rsidRPr="00215D48" w14:paraId="5819680E" w14:textId="77777777" w:rsidTr="002B29B2">
        <w:trPr>
          <w:trHeight w:val="1916"/>
        </w:trPr>
        <w:tc>
          <w:tcPr>
            <w:tcW w:w="8720" w:type="dxa"/>
          </w:tcPr>
          <w:p w14:paraId="54DDB299" w14:textId="3C4E8E2E" w:rsidR="00F02AEC" w:rsidRPr="00215D48" w:rsidRDefault="005D310A" w:rsidP="00D1612F">
            <w:pPr>
              <w:pStyle w:val="Subtitle"/>
              <w:ind w:left="0"/>
            </w:pPr>
            <w:r>
              <w:t>24 May 2024</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5A405C">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A10D66" w:rsidRDefault="00F02AEC" w:rsidP="00DE78C9">
      <w:pPr>
        <w:rPr>
          <w:rFonts w:ascii="Arial" w:hAnsi="Arial" w:cs="Arial"/>
          <w:b/>
          <w:bCs/>
          <w:sz w:val="16"/>
          <w:szCs w:val="16"/>
        </w:rPr>
      </w:pPr>
      <w:r w:rsidRPr="00A10D66">
        <w:rPr>
          <w:rFonts w:ascii="Arial" w:hAnsi="Arial" w:cs="Arial"/>
          <w:b/>
          <w:bCs/>
          <w:sz w:val="16"/>
          <w:szCs w:val="16"/>
        </w:rPr>
        <w:lastRenderedPageBreak/>
        <w:t>Copyright</w:t>
      </w:r>
    </w:p>
    <w:p w14:paraId="5671087C" w14:textId="7E692960" w:rsidR="00175CD8" w:rsidRPr="00DE78C9" w:rsidRDefault="00F02AEC" w:rsidP="00DE78C9">
      <w:pPr>
        <w:rPr>
          <w:sz w:val="16"/>
          <w:szCs w:val="16"/>
        </w:rPr>
      </w:pPr>
      <w:r w:rsidRPr="00A10D66">
        <w:rPr>
          <w:rFonts w:ascii="Arial" w:hAnsi="Arial" w:cs="Arial"/>
          <w:sz w:val="16"/>
          <w:szCs w:val="16"/>
        </w:rPr>
        <w:t>© Commonwealth of Australia 202</w:t>
      </w:r>
      <w:r w:rsidR="001264B5" w:rsidRPr="00A10D66">
        <w:rPr>
          <w:rFonts w:ascii="Arial" w:hAnsi="Arial" w:cs="Arial"/>
          <w:sz w:val="16"/>
          <w:szCs w:val="16"/>
        </w:rPr>
        <w:t>4</w:t>
      </w:r>
      <w:r w:rsidRPr="00A10D66">
        <w:rPr>
          <w:rFonts w:ascii="Arial" w:hAnsi="Arial" w:cs="Arial"/>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A10D66">
        <w:rPr>
          <w:rFonts w:ascii="Arial" w:hAnsi="Arial" w:cs="Arial"/>
          <w:i/>
          <w:sz w:val="16"/>
          <w:szCs w:val="16"/>
        </w:rPr>
        <w:t>Copyright Act 1968</w:t>
      </w:r>
      <w:r w:rsidRPr="00A10D66">
        <w:rPr>
          <w:rFonts w:ascii="Arial" w:hAnsi="Arial" w:cs="Arial"/>
          <w:sz w:val="16"/>
          <w:szCs w:val="16"/>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A700CE">
          <w:rPr>
            <w:rStyle w:val="Hyperlink"/>
            <w:rFonts w:cs="Arial"/>
            <w:sz w:val="16"/>
            <w:szCs w:val="16"/>
          </w:rPr>
          <w:t>tga.copyright@tga.gov.au</w:t>
        </w:r>
      </w:hyperlink>
      <w:r w:rsidRPr="00A10D66">
        <w:rPr>
          <w:rFonts w:ascii="Arial" w:hAnsi="Arial" w:cs="Arial"/>
          <w:sz w:val="16"/>
          <w:szCs w:val="16"/>
        </w:rPr>
        <w:t>.</w:t>
      </w:r>
    </w:p>
    <w:sdt>
      <w:sdtPr>
        <w:rPr>
          <w:rFonts w:ascii="Cambria" w:eastAsiaTheme="minorHAnsi" w:hAnsi="Cambria" w:cstheme="minorBidi"/>
          <w:b w:val="0"/>
          <w:color w:val="auto"/>
          <w:sz w:val="22"/>
        </w:rPr>
        <w:id w:val="21514769"/>
        <w:docPartObj>
          <w:docPartGallery w:val="Table of Contents"/>
          <w:docPartUnique/>
        </w:docPartObj>
      </w:sdtPr>
      <w:sdtEndPr>
        <w:rPr>
          <w:rFonts w:asciiTheme="minorHAnsi" w:hAnsiTheme="minorHAnsi"/>
          <w:color w:val="000000" w:themeColor="text1"/>
        </w:rPr>
      </w:sdtEndPr>
      <w:sdtContent>
        <w:p w14:paraId="495F5FE1" w14:textId="77777777" w:rsidR="00F02AEC" w:rsidRPr="00215D48" w:rsidRDefault="00F02AEC" w:rsidP="00967490">
          <w:pPr>
            <w:pStyle w:val="NonTOCheading2"/>
          </w:pPr>
          <w:r w:rsidRPr="00215D48">
            <w:t>Contents</w:t>
          </w:r>
        </w:p>
        <w:p w14:paraId="22C0A09D" w14:textId="61354434" w:rsidR="00E370AC" w:rsidRDefault="00F02AEC">
          <w:pPr>
            <w:pStyle w:val="TOC1"/>
            <w:rPr>
              <w:rFonts w:asciiTheme="minorHAnsi" w:eastAsiaTheme="minorEastAsia" w:hAnsiTheme="minorHAnsi" w:cstheme="minorBidi"/>
              <w:b w:val="0"/>
              <w:noProof/>
              <w:color w:val="auto"/>
              <w:kern w:val="2"/>
              <w:sz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7393128" w:history="1">
            <w:r w:rsidR="00E370AC" w:rsidRPr="00243995">
              <w:rPr>
                <w:rStyle w:val="Hyperlink"/>
                <w:noProof/>
              </w:rPr>
              <w:t>Notice of decision to amend (or not amend) the current Poisons Standard</w:t>
            </w:r>
            <w:r w:rsidR="00E370AC">
              <w:rPr>
                <w:noProof/>
                <w:webHidden/>
              </w:rPr>
              <w:tab/>
            </w:r>
            <w:r w:rsidR="00E370AC">
              <w:rPr>
                <w:noProof/>
                <w:webHidden/>
              </w:rPr>
              <w:fldChar w:fldCharType="begin"/>
            </w:r>
            <w:r w:rsidR="00E370AC">
              <w:rPr>
                <w:noProof/>
                <w:webHidden/>
              </w:rPr>
              <w:instrText xml:space="preserve"> PAGEREF _Toc167393128 \h </w:instrText>
            </w:r>
            <w:r w:rsidR="00E370AC">
              <w:rPr>
                <w:noProof/>
                <w:webHidden/>
              </w:rPr>
            </w:r>
            <w:r w:rsidR="00E370AC">
              <w:rPr>
                <w:noProof/>
                <w:webHidden/>
              </w:rPr>
              <w:fldChar w:fldCharType="separate"/>
            </w:r>
            <w:r w:rsidR="00E370AC">
              <w:rPr>
                <w:noProof/>
                <w:webHidden/>
              </w:rPr>
              <w:t>4</w:t>
            </w:r>
            <w:r w:rsidR="00E370AC">
              <w:rPr>
                <w:noProof/>
                <w:webHidden/>
              </w:rPr>
              <w:fldChar w:fldCharType="end"/>
            </w:r>
          </w:hyperlink>
        </w:p>
        <w:p w14:paraId="52DE5D95" w14:textId="056D80C6" w:rsidR="00E370AC" w:rsidRDefault="00000000">
          <w:pPr>
            <w:pStyle w:val="TOC1"/>
            <w:rPr>
              <w:rFonts w:asciiTheme="minorHAnsi" w:eastAsiaTheme="minorEastAsia" w:hAnsiTheme="minorHAnsi" w:cstheme="minorBidi"/>
              <w:b w:val="0"/>
              <w:noProof/>
              <w:color w:val="auto"/>
              <w:kern w:val="2"/>
              <w:sz w:val="22"/>
              <w:lang w:eastAsia="en-AU"/>
              <w14:ligatures w14:val="standardContextual"/>
            </w:rPr>
          </w:pPr>
          <w:hyperlink w:anchor="_Toc167393129" w:history="1">
            <w:r w:rsidR="00E370AC" w:rsidRPr="00243995">
              <w:rPr>
                <w:rStyle w:val="Hyperlink"/>
                <w:noProof/>
              </w:rPr>
              <w:t>Decision on proposed amendments to the current Poisons Standard</w:t>
            </w:r>
            <w:r w:rsidR="00E370AC">
              <w:rPr>
                <w:noProof/>
                <w:webHidden/>
              </w:rPr>
              <w:tab/>
            </w:r>
            <w:r w:rsidR="00E370AC">
              <w:rPr>
                <w:noProof/>
                <w:webHidden/>
              </w:rPr>
              <w:fldChar w:fldCharType="begin"/>
            </w:r>
            <w:r w:rsidR="00E370AC">
              <w:rPr>
                <w:noProof/>
                <w:webHidden/>
              </w:rPr>
              <w:instrText xml:space="preserve"> PAGEREF _Toc167393129 \h </w:instrText>
            </w:r>
            <w:r w:rsidR="00E370AC">
              <w:rPr>
                <w:noProof/>
                <w:webHidden/>
              </w:rPr>
            </w:r>
            <w:r w:rsidR="00E370AC">
              <w:rPr>
                <w:noProof/>
                <w:webHidden/>
              </w:rPr>
              <w:fldChar w:fldCharType="separate"/>
            </w:r>
            <w:r w:rsidR="00E370AC">
              <w:rPr>
                <w:noProof/>
                <w:webHidden/>
              </w:rPr>
              <w:t>5</w:t>
            </w:r>
            <w:r w:rsidR="00E370AC">
              <w:rPr>
                <w:noProof/>
                <w:webHidden/>
              </w:rPr>
              <w:fldChar w:fldCharType="end"/>
            </w:r>
          </w:hyperlink>
        </w:p>
        <w:p w14:paraId="37B8FFF6" w14:textId="172B15F8" w:rsidR="00E370AC" w:rsidRDefault="00000000">
          <w:pPr>
            <w:pStyle w:val="TOC2"/>
            <w:rPr>
              <w:rFonts w:asciiTheme="minorHAnsi" w:eastAsiaTheme="minorEastAsia" w:hAnsiTheme="minorHAnsi" w:cstheme="minorBidi"/>
              <w:b w:val="0"/>
              <w:noProof/>
              <w:color w:val="auto"/>
              <w:kern w:val="2"/>
              <w:sz w:val="22"/>
              <w:lang w:eastAsia="en-AU"/>
              <w14:ligatures w14:val="standardContextual"/>
            </w:rPr>
          </w:pPr>
          <w:hyperlink w:anchor="_Toc167393130" w:history="1">
            <w:r w:rsidR="00E370AC" w:rsidRPr="00243995">
              <w:rPr>
                <w:rStyle w:val="Hyperlink"/>
                <w:noProof/>
              </w:rPr>
              <w:t>Decision in relation to nicotine</w:t>
            </w:r>
            <w:r w:rsidR="00E370AC">
              <w:rPr>
                <w:noProof/>
                <w:webHidden/>
              </w:rPr>
              <w:tab/>
            </w:r>
            <w:r w:rsidR="00E370AC">
              <w:rPr>
                <w:noProof/>
                <w:webHidden/>
              </w:rPr>
              <w:fldChar w:fldCharType="begin"/>
            </w:r>
            <w:r w:rsidR="00E370AC">
              <w:rPr>
                <w:noProof/>
                <w:webHidden/>
              </w:rPr>
              <w:instrText xml:space="preserve"> PAGEREF _Toc167393130 \h </w:instrText>
            </w:r>
            <w:r w:rsidR="00E370AC">
              <w:rPr>
                <w:noProof/>
                <w:webHidden/>
              </w:rPr>
            </w:r>
            <w:r w:rsidR="00E370AC">
              <w:rPr>
                <w:noProof/>
                <w:webHidden/>
              </w:rPr>
              <w:fldChar w:fldCharType="separate"/>
            </w:r>
            <w:r w:rsidR="00E370AC">
              <w:rPr>
                <w:noProof/>
                <w:webHidden/>
              </w:rPr>
              <w:t>5</w:t>
            </w:r>
            <w:r w:rsidR="00E370AC">
              <w:rPr>
                <w:noProof/>
                <w:webHidden/>
              </w:rPr>
              <w:fldChar w:fldCharType="end"/>
            </w:r>
          </w:hyperlink>
        </w:p>
        <w:p w14:paraId="09B05728" w14:textId="4F404A3F" w:rsidR="00F02AEC" w:rsidRPr="00215D48" w:rsidRDefault="00F02AEC" w:rsidP="00967490">
          <w:r w:rsidRPr="00215D48">
            <w:fldChar w:fldCharType="end"/>
          </w:r>
        </w:p>
      </w:sdtContent>
    </w:sdt>
    <w:p w14:paraId="4D0C412B" w14:textId="77777777" w:rsidR="00F02AEC" w:rsidRPr="00215D48" w:rsidRDefault="00F02AEC" w:rsidP="00967490">
      <w:r w:rsidRPr="00215D48">
        <w:br w:type="page"/>
      </w:r>
    </w:p>
    <w:p w14:paraId="3A06BE1E" w14:textId="1443C69C" w:rsidR="00457050" w:rsidRPr="00BC2009" w:rsidRDefault="00457050" w:rsidP="00967490">
      <w:pPr>
        <w:pStyle w:val="Heading2"/>
      </w:pPr>
      <w:bookmarkStart w:id="0" w:name="_Toc97640261"/>
      <w:bookmarkStart w:id="1" w:name="_Toc167393128"/>
      <w:r w:rsidRPr="00597B50">
        <w:lastRenderedPageBreak/>
        <w:t>Notice of decision to amend (or not amend) the current Poisons Standard</w:t>
      </w:r>
      <w:bookmarkEnd w:id="0"/>
      <w:bookmarkEnd w:id="1"/>
      <w:r w:rsidRPr="00597B50">
        <w:t xml:space="preserve"> </w:t>
      </w:r>
    </w:p>
    <w:p w14:paraId="2FB850E1" w14:textId="7931E9D8" w:rsidR="00457050" w:rsidRPr="00A10D66" w:rsidRDefault="00457050" w:rsidP="00967490">
      <w:pPr>
        <w:rPr>
          <w:rFonts w:ascii="Arial" w:hAnsi="Arial" w:cs="Arial"/>
          <w:sz w:val="20"/>
          <w:szCs w:val="20"/>
        </w:rPr>
      </w:pPr>
      <w:r w:rsidRPr="00A10D66">
        <w:rPr>
          <w:rFonts w:ascii="Arial" w:hAnsi="Arial" w:cs="Arial"/>
          <w:sz w:val="20"/>
          <w:szCs w:val="20"/>
        </w:rPr>
        <w:t xml:space="preserve">This web publication </w:t>
      </w:r>
      <w:r w:rsidR="00E31503">
        <w:rPr>
          <w:rFonts w:ascii="Arial" w:hAnsi="Arial" w:cs="Arial"/>
          <w:sz w:val="20"/>
          <w:szCs w:val="20"/>
        </w:rPr>
        <w:t>comprises</w:t>
      </w:r>
      <w:r w:rsidRPr="00A10D66">
        <w:rPr>
          <w:rFonts w:ascii="Arial" w:hAnsi="Arial" w:cs="Arial"/>
          <w:sz w:val="20"/>
          <w:szCs w:val="20"/>
        </w:rPr>
        <w:t>:</w:t>
      </w:r>
    </w:p>
    <w:p w14:paraId="4D038242" w14:textId="3B790E76" w:rsidR="00457050" w:rsidRPr="005A405C" w:rsidRDefault="00D06005" w:rsidP="005A405C">
      <w:pPr>
        <w:pStyle w:val="ListBullet"/>
        <w:numPr>
          <w:ilvl w:val="0"/>
          <w:numId w:val="18"/>
        </w:numPr>
        <w:rPr>
          <w:sz w:val="20"/>
          <w:szCs w:val="20"/>
        </w:rPr>
      </w:pPr>
      <w:r>
        <w:rPr>
          <w:sz w:val="20"/>
          <w:szCs w:val="20"/>
        </w:rPr>
        <w:t xml:space="preserve">a </w:t>
      </w:r>
      <w:r w:rsidR="00457050" w:rsidRPr="005A405C">
        <w:rPr>
          <w:sz w:val="20"/>
          <w:szCs w:val="20"/>
        </w:rPr>
        <w:t>decision made by a delegate</w:t>
      </w:r>
      <w:r w:rsidR="00457050" w:rsidRPr="005A405C">
        <w:rPr>
          <w:rStyle w:val="FootnoteReference"/>
          <w:sz w:val="20"/>
          <w:szCs w:val="20"/>
        </w:rPr>
        <w:footnoteReference w:id="1"/>
      </w:r>
      <w:r w:rsidR="00457050" w:rsidRPr="005A405C">
        <w:rPr>
          <w:sz w:val="20"/>
          <w:szCs w:val="20"/>
        </w:rPr>
        <w:t xml:space="preserve"> of the Secretary of the Department of Health and Aged Care (the </w:t>
      </w:r>
      <w:r w:rsidR="00457050" w:rsidRPr="005A405C">
        <w:rPr>
          <w:b/>
          <w:bCs/>
          <w:sz w:val="20"/>
          <w:szCs w:val="20"/>
        </w:rPr>
        <w:t>Delegate</w:t>
      </w:r>
      <w:r w:rsidR="00457050" w:rsidRPr="005A405C">
        <w:rPr>
          <w:sz w:val="20"/>
          <w:szCs w:val="20"/>
        </w:rPr>
        <w:t xml:space="preserve">) pursuant to </w:t>
      </w:r>
      <w:r w:rsidR="00B44A71" w:rsidRPr="00B44A71">
        <w:rPr>
          <w:sz w:val="20"/>
          <w:szCs w:val="20"/>
        </w:rPr>
        <w:t>section 52D(2) of the Act</w:t>
      </w:r>
    </w:p>
    <w:p w14:paraId="1AA8F280" w14:textId="0480E763" w:rsidR="00457050" w:rsidRPr="005A405C" w:rsidRDefault="00457050" w:rsidP="005A405C">
      <w:pPr>
        <w:pStyle w:val="ListBullet"/>
        <w:numPr>
          <w:ilvl w:val="0"/>
          <w:numId w:val="18"/>
        </w:numPr>
        <w:rPr>
          <w:sz w:val="20"/>
          <w:szCs w:val="20"/>
        </w:rPr>
      </w:pPr>
      <w:r w:rsidRPr="005A405C">
        <w:rPr>
          <w:sz w:val="20"/>
          <w:szCs w:val="20"/>
        </w:rPr>
        <w:t>reasons for the decision</w:t>
      </w:r>
      <w:r w:rsidR="005A405C">
        <w:rPr>
          <w:sz w:val="20"/>
          <w:szCs w:val="20"/>
        </w:rPr>
        <w:t>,</w:t>
      </w:r>
      <w:r w:rsidRPr="005A405C">
        <w:rPr>
          <w:sz w:val="20"/>
          <w:szCs w:val="20"/>
        </w:rPr>
        <w:t xml:space="preserve"> and </w:t>
      </w:r>
    </w:p>
    <w:p w14:paraId="4009A86D" w14:textId="603960CF" w:rsidR="00390C18" w:rsidRPr="005A405C" w:rsidRDefault="00457050" w:rsidP="005A405C">
      <w:pPr>
        <w:pStyle w:val="ListBullet"/>
        <w:numPr>
          <w:ilvl w:val="0"/>
          <w:numId w:val="18"/>
        </w:numPr>
        <w:rPr>
          <w:sz w:val="20"/>
          <w:szCs w:val="20"/>
        </w:rPr>
      </w:pPr>
      <w:r w:rsidRPr="005A405C">
        <w:rPr>
          <w:sz w:val="20"/>
          <w:szCs w:val="20"/>
        </w:rPr>
        <w:t>the date of effect of the decision.</w:t>
      </w:r>
    </w:p>
    <w:p w14:paraId="34BA2A76" w14:textId="77777777" w:rsidR="00B560DA" w:rsidRPr="005A405C" w:rsidRDefault="00B560DA" w:rsidP="005A405C">
      <w:pPr>
        <w:pStyle w:val="ListBullet"/>
        <w:numPr>
          <w:ilvl w:val="0"/>
          <w:numId w:val="0"/>
        </w:numPr>
        <w:ind w:left="720" w:hanging="360"/>
        <w:rPr>
          <w:rStyle w:val="BookTitle"/>
          <w:sz w:val="20"/>
          <w:szCs w:val="20"/>
        </w:rPr>
      </w:pPr>
    </w:p>
    <w:p w14:paraId="67DC0EBB" w14:textId="31FC3CED" w:rsidR="00457050" w:rsidRPr="005A405C" w:rsidRDefault="00831B56" w:rsidP="005A405C">
      <w:pPr>
        <w:pStyle w:val="ListBullet"/>
        <w:numPr>
          <w:ilvl w:val="0"/>
          <w:numId w:val="0"/>
        </w:numPr>
        <w:ind w:left="720" w:hanging="360"/>
        <w:rPr>
          <w:rStyle w:val="BookTitle"/>
          <w:sz w:val="20"/>
          <w:szCs w:val="20"/>
        </w:rPr>
      </w:pPr>
      <w:r w:rsidRPr="005A405C">
        <w:rPr>
          <w:rStyle w:val="BookTitle"/>
          <w:sz w:val="20"/>
          <w:szCs w:val="20"/>
        </w:rPr>
        <w:t>Defined terms</w:t>
      </w:r>
    </w:p>
    <w:p w14:paraId="3518FC9A" w14:textId="27DEB5A0" w:rsidR="00831B56" w:rsidRPr="005A405C" w:rsidRDefault="00831B56" w:rsidP="005A405C">
      <w:pPr>
        <w:pStyle w:val="ListBullet"/>
        <w:rPr>
          <w:sz w:val="20"/>
          <w:szCs w:val="20"/>
        </w:rPr>
      </w:pPr>
      <w:r w:rsidRPr="005A405C">
        <w:rPr>
          <w:sz w:val="20"/>
          <w:szCs w:val="20"/>
        </w:rPr>
        <w:t>In this notice</w:t>
      </w:r>
      <w:r w:rsidR="00E31503" w:rsidRPr="005A405C">
        <w:rPr>
          <w:sz w:val="20"/>
          <w:szCs w:val="20"/>
        </w:rPr>
        <w:t>,</w:t>
      </w:r>
      <w:r w:rsidRPr="005A405C">
        <w:rPr>
          <w:sz w:val="20"/>
          <w:szCs w:val="20"/>
        </w:rPr>
        <w:t xml:space="preserve"> the following terms are used in addition to those above:</w:t>
      </w:r>
    </w:p>
    <w:p w14:paraId="32F314C2" w14:textId="77777777" w:rsidR="00563169" w:rsidRPr="005A405C" w:rsidRDefault="00831B56" w:rsidP="005A405C">
      <w:pPr>
        <w:pStyle w:val="ListBullet"/>
        <w:rPr>
          <w:sz w:val="20"/>
          <w:szCs w:val="20"/>
        </w:rPr>
      </w:pPr>
      <w:r w:rsidRPr="005A405C">
        <w:rPr>
          <w:sz w:val="20"/>
          <w:szCs w:val="20"/>
        </w:rPr>
        <w:t xml:space="preserve">the </w:t>
      </w:r>
      <w:r w:rsidRPr="00B44A71">
        <w:rPr>
          <w:i/>
          <w:iCs/>
          <w:sz w:val="20"/>
          <w:szCs w:val="20"/>
        </w:rPr>
        <w:t>Therapeutic Goods Act 1989</w:t>
      </w:r>
      <w:r w:rsidRPr="005A405C">
        <w:rPr>
          <w:sz w:val="20"/>
          <w:szCs w:val="20"/>
        </w:rPr>
        <w:t xml:space="preserve"> (Cth) (the </w:t>
      </w:r>
      <w:r w:rsidRPr="005A405C">
        <w:rPr>
          <w:b/>
          <w:bCs/>
          <w:sz w:val="20"/>
          <w:szCs w:val="20"/>
        </w:rPr>
        <w:t>Act</w:t>
      </w:r>
      <w:r w:rsidRPr="005A405C">
        <w:rPr>
          <w:sz w:val="20"/>
          <w:szCs w:val="20"/>
        </w:rPr>
        <w:t>)</w:t>
      </w:r>
    </w:p>
    <w:p w14:paraId="6BE33439" w14:textId="1DA3F47F" w:rsidR="00831B56" w:rsidRPr="005A405C" w:rsidRDefault="00563169" w:rsidP="005A405C">
      <w:pPr>
        <w:pStyle w:val="ListBullet"/>
        <w:rPr>
          <w:sz w:val="20"/>
          <w:szCs w:val="20"/>
        </w:rPr>
      </w:pPr>
      <w:r w:rsidRPr="005A405C">
        <w:rPr>
          <w:sz w:val="20"/>
          <w:szCs w:val="20"/>
        </w:rPr>
        <w:t xml:space="preserve">the Therapeutic Goods Regulations 1990 (the </w:t>
      </w:r>
      <w:r w:rsidRPr="005A405C">
        <w:rPr>
          <w:b/>
          <w:bCs/>
          <w:sz w:val="20"/>
          <w:szCs w:val="20"/>
        </w:rPr>
        <w:t>Regulations</w:t>
      </w:r>
      <w:r w:rsidRPr="005A405C">
        <w:rPr>
          <w:sz w:val="20"/>
          <w:szCs w:val="20"/>
        </w:rPr>
        <w:t>)</w:t>
      </w:r>
    </w:p>
    <w:p w14:paraId="6550B5E6" w14:textId="35E77E8F" w:rsidR="00831B56" w:rsidRPr="005A405C" w:rsidRDefault="00831B56" w:rsidP="005A405C">
      <w:pPr>
        <w:pStyle w:val="ListBullet"/>
        <w:rPr>
          <w:sz w:val="20"/>
          <w:szCs w:val="20"/>
        </w:rPr>
      </w:pPr>
      <w:r w:rsidRPr="005A405C">
        <w:rPr>
          <w:sz w:val="20"/>
          <w:szCs w:val="20"/>
        </w:rPr>
        <w:t xml:space="preserve">the </w:t>
      </w:r>
      <w:hyperlink r:id="rId12" w:history="1">
        <w:r w:rsidRPr="005A405C">
          <w:rPr>
            <w:rStyle w:val="Hyperlink"/>
            <w:sz w:val="20"/>
            <w:szCs w:val="20"/>
          </w:rPr>
          <w:t>Scheduling Policy Framework</w:t>
        </w:r>
      </w:hyperlink>
      <w:r w:rsidRPr="005A405C">
        <w:rPr>
          <w:sz w:val="20"/>
          <w:szCs w:val="20"/>
        </w:rPr>
        <w:t xml:space="preserve"> 2018 (the </w:t>
      </w:r>
      <w:r w:rsidRPr="005A405C">
        <w:rPr>
          <w:b/>
          <w:bCs/>
          <w:sz w:val="20"/>
          <w:szCs w:val="20"/>
        </w:rPr>
        <w:t>SPF</w:t>
      </w:r>
      <w:r w:rsidRPr="005A405C">
        <w:rPr>
          <w:sz w:val="20"/>
          <w:szCs w:val="20"/>
        </w:rPr>
        <w:t>)</w:t>
      </w:r>
    </w:p>
    <w:p w14:paraId="3A4CA734" w14:textId="48D15CFD" w:rsidR="00E31503" w:rsidRPr="005A405C" w:rsidRDefault="00831B56" w:rsidP="005A405C">
      <w:pPr>
        <w:pStyle w:val="ListBullet"/>
        <w:rPr>
          <w:sz w:val="20"/>
          <w:szCs w:val="20"/>
        </w:rPr>
      </w:pPr>
      <w:r w:rsidRPr="005A405C">
        <w:rPr>
          <w:sz w:val="20"/>
          <w:szCs w:val="20"/>
        </w:rPr>
        <w:t>the Scheduling handbook</w:t>
      </w:r>
      <w:r w:rsidR="00FC1EB4" w:rsidRPr="005A405C">
        <w:rPr>
          <w:sz w:val="20"/>
          <w:szCs w:val="20"/>
        </w:rPr>
        <w:t>,</w:t>
      </w:r>
      <w:r w:rsidRPr="005A405C">
        <w:rPr>
          <w:sz w:val="20"/>
          <w:szCs w:val="20"/>
        </w:rPr>
        <w:t xml:space="preserve"> </w:t>
      </w:r>
      <w:hyperlink r:id="rId13" w:history="1">
        <w:r w:rsidRPr="005A405C">
          <w:rPr>
            <w:rStyle w:val="Hyperlink"/>
            <w:sz w:val="20"/>
            <w:szCs w:val="20"/>
          </w:rPr>
          <w:t>Guidance for amending the Poisons Standard</w:t>
        </w:r>
      </w:hyperlink>
      <w:r w:rsidRPr="005A405C">
        <w:rPr>
          <w:sz w:val="20"/>
          <w:szCs w:val="20"/>
        </w:rPr>
        <w:t xml:space="preserve"> (the </w:t>
      </w:r>
      <w:r w:rsidRPr="005A405C">
        <w:rPr>
          <w:b/>
          <w:bCs/>
          <w:sz w:val="20"/>
          <w:szCs w:val="20"/>
        </w:rPr>
        <w:t>Handbook</w:t>
      </w:r>
      <w:r w:rsidRPr="005A405C">
        <w:rPr>
          <w:sz w:val="20"/>
          <w:szCs w:val="20"/>
        </w:rPr>
        <w:t>)</w:t>
      </w:r>
    </w:p>
    <w:p w14:paraId="4CDC567B" w14:textId="0775F65A" w:rsidR="00831B56" w:rsidRPr="005A405C" w:rsidRDefault="00E31503" w:rsidP="005A405C">
      <w:pPr>
        <w:pStyle w:val="ListBullet"/>
        <w:rPr>
          <w:sz w:val="20"/>
          <w:szCs w:val="20"/>
        </w:rPr>
      </w:pPr>
      <w:r w:rsidRPr="005A405C">
        <w:rPr>
          <w:sz w:val="20"/>
          <w:szCs w:val="20"/>
        </w:rPr>
        <w:t xml:space="preserve">the Australian Register of Therapeutic Goods (the </w:t>
      </w:r>
      <w:r w:rsidRPr="005A405C">
        <w:rPr>
          <w:b/>
          <w:bCs/>
          <w:sz w:val="20"/>
          <w:szCs w:val="20"/>
        </w:rPr>
        <w:t>Register</w:t>
      </w:r>
      <w:r w:rsidRPr="005A405C">
        <w:rPr>
          <w:sz w:val="20"/>
          <w:szCs w:val="20"/>
        </w:rPr>
        <w:t xml:space="preserve">) </w:t>
      </w:r>
      <w:r w:rsidR="00831B56" w:rsidRPr="005A405C">
        <w:rPr>
          <w:sz w:val="20"/>
          <w:szCs w:val="20"/>
        </w:rPr>
        <w:t>and</w:t>
      </w:r>
    </w:p>
    <w:p w14:paraId="78D91CCD" w14:textId="22E92569" w:rsidR="00831B56" w:rsidRPr="005A405C" w:rsidRDefault="00831B56" w:rsidP="005A405C">
      <w:pPr>
        <w:pStyle w:val="ListBullet"/>
        <w:rPr>
          <w:sz w:val="20"/>
          <w:szCs w:val="20"/>
        </w:rPr>
      </w:pPr>
      <w:r w:rsidRPr="005A405C">
        <w:rPr>
          <w:sz w:val="20"/>
          <w:szCs w:val="20"/>
        </w:rPr>
        <w:t xml:space="preserve">the Therapeutic Goods Administration (the </w:t>
      </w:r>
      <w:r w:rsidRPr="005A405C">
        <w:rPr>
          <w:b/>
          <w:bCs/>
          <w:sz w:val="20"/>
          <w:szCs w:val="20"/>
        </w:rPr>
        <w:t>TGA</w:t>
      </w:r>
      <w:r w:rsidRPr="005A405C">
        <w:rPr>
          <w:sz w:val="20"/>
          <w:szCs w:val="20"/>
        </w:rPr>
        <w:t>)</w:t>
      </w:r>
    </w:p>
    <w:p w14:paraId="1ECB50B6" w14:textId="2F71499A" w:rsidR="00365FA4" w:rsidRPr="005A405C" w:rsidRDefault="00831B56" w:rsidP="0046510A">
      <w:pPr>
        <w:pStyle w:val="ListBullet"/>
        <w:numPr>
          <w:ilvl w:val="0"/>
          <w:numId w:val="0"/>
        </w:numPr>
        <w:ind w:left="720" w:hanging="360"/>
        <w:rPr>
          <w:sz w:val="20"/>
          <w:szCs w:val="20"/>
        </w:rPr>
      </w:pPr>
      <w:r w:rsidRPr="005A405C">
        <w:rPr>
          <w:sz w:val="20"/>
          <w:szCs w:val="20"/>
        </w:rPr>
        <w:t>Note: additional terms are also defined for individual decisions.</w:t>
      </w:r>
    </w:p>
    <w:p w14:paraId="2821685F" w14:textId="77777777" w:rsidR="00365FA4" w:rsidRDefault="00365FA4">
      <w:pPr>
        <w:rPr>
          <w:rFonts w:eastAsia="Cambria" w:cstheme="minorHAnsi"/>
          <w:sz w:val="20"/>
          <w:szCs w:val="20"/>
        </w:rPr>
      </w:pPr>
      <w:r>
        <w:rPr>
          <w:sz w:val="20"/>
          <w:szCs w:val="20"/>
        </w:rPr>
        <w:br w:type="page"/>
      </w:r>
    </w:p>
    <w:p w14:paraId="09B0C61B" w14:textId="483E89E5" w:rsidR="00457050" w:rsidRPr="00BC2009" w:rsidRDefault="00E370AC" w:rsidP="00967490">
      <w:pPr>
        <w:pStyle w:val="Heading2"/>
      </w:pPr>
      <w:bookmarkStart w:id="2" w:name="_Toc167393129"/>
      <w:r>
        <w:lastRenderedPageBreak/>
        <w:t>D</w:t>
      </w:r>
      <w:r w:rsidR="00457050" w:rsidRPr="00B41852">
        <w:t>ecision on proposed amendments to the current Poisons Standard</w:t>
      </w:r>
      <w:bookmarkEnd w:id="2"/>
      <w:r w:rsidR="00E25E09">
        <w:t xml:space="preserve"> </w:t>
      </w:r>
    </w:p>
    <w:p w14:paraId="4494BA49" w14:textId="253988C9" w:rsidR="00457050" w:rsidRPr="00A700CE" w:rsidRDefault="00457050" w:rsidP="004A321D">
      <w:pPr>
        <w:rPr>
          <w:rFonts w:ascii="Arial" w:hAnsi="Arial" w:cs="Arial"/>
          <w:sz w:val="20"/>
          <w:szCs w:val="20"/>
        </w:rPr>
      </w:pPr>
      <w:r w:rsidRPr="00A700CE">
        <w:rPr>
          <w:rFonts w:ascii="Arial" w:hAnsi="Arial" w:cs="Arial"/>
          <w:sz w:val="20"/>
          <w:szCs w:val="20"/>
        </w:rPr>
        <w:t xml:space="preserve">In my capacity as a delegate of the Secretary for the purpose of </w:t>
      </w:r>
      <w:r w:rsidR="00B44A71" w:rsidRPr="00B44A71">
        <w:rPr>
          <w:rFonts w:ascii="Arial" w:hAnsi="Arial" w:cs="Arial"/>
          <w:sz w:val="20"/>
          <w:szCs w:val="20"/>
        </w:rPr>
        <w:t>section 52D(2) of the Act</w:t>
      </w:r>
      <w:r w:rsidRPr="00A700CE">
        <w:rPr>
          <w:rFonts w:ascii="Arial" w:hAnsi="Arial" w:cs="Arial"/>
          <w:sz w:val="20"/>
          <w:szCs w:val="20"/>
        </w:rPr>
        <w:t xml:space="preserve">, I have made </w:t>
      </w:r>
      <w:r w:rsidR="00B44A71">
        <w:rPr>
          <w:rFonts w:ascii="Arial" w:hAnsi="Arial" w:cs="Arial"/>
          <w:sz w:val="20"/>
          <w:szCs w:val="20"/>
        </w:rPr>
        <w:t xml:space="preserve">a </w:t>
      </w:r>
      <w:r w:rsidRPr="00A700CE">
        <w:rPr>
          <w:rFonts w:ascii="Arial" w:hAnsi="Arial" w:cs="Arial"/>
          <w:sz w:val="20"/>
          <w:szCs w:val="20"/>
        </w:rPr>
        <w:t>decision</w:t>
      </w:r>
      <w:r w:rsidR="00B44A71">
        <w:rPr>
          <w:rFonts w:ascii="Arial" w:hAnsi="Arial" w:cs="Arial"/>
          <w:sz w:val="20"/>
          <w:szCs w:val="20"/>
        </w:rPr>
        <w:t xml:space="preserve"> </w:t>
      </w:r>
      <w:r w:rsidRPr="00A700CE">
        <w:rPr>
          <w:rFonts w:ascii="Arial" w:hAnsi="Arial" w:cs="Arial"/>
          <w:sz w:val="20"/>
          <w:szCs w:val="20"/>
        </w:rPr>
        <w:t xml:space="preserve">with respect </w:t>
      </w:r>
      <w:r w:rsidR="004A321D" w:rsidRPr="00A700CE">
        <w:rPr>
          <w:rFonts w:ascii="Arial" w:hAnsi="Arial" w:cs="Arial"/>
          <w:sz w:val="20"/>
          <w:szCs w:val="20"/>
        </w:rPr>
        <w:t>to nicotine.</w:t>
      </w:r>
    </w:p>
    <w:p w14:paraId="18BB656D" w14:textId="23E42071" w:rsidR="00457050" w:rsidRDefault="00E370AC" w:rsidP="00300CBB">
      <w:pPr>
        <w:pStyle w:val="Heading3"/>
      </w:pPr>
      <w:bookmarkStart w:id="3" w:name="_Toc97640267"/>
      <w:bookmarkStart w:id="4" w:name="_Toc167393130"/>
      <w:r>
        <w:t>D</w:t>
      </w:r>
      <w:r w:rsidR="00457050">
        <w:t xml:space="preserve">ecision in relation to </w:t>
      </w:r>
      <w:bookmarkEnd w:id="3"/>
      <w:r w:rsidR="00D7587E">
        <w:t>nicotine</w:t>
      </w:r>
      <w:bookmarkEnd w:id="4"/>
    </w:p>
    <w:p w14:paraId="216876C2" w14:textId="01BD4CDF" w:rsidR="001E5D5F" w:rsidRPr="00A700CE" w:rsidRDefault="001E5D5F" w:rsidP="001E5D5F">
      <w:pPr>
        <w:rPr>
          <w:rFonts w:ascii="Arial" w:hAnsi="Arial" w:cs="Arial"/>
          <w:b/>
          <w:bCs/>
          <w:i/>
          <w:iCs/>
          <w:sz w:val="20"/>
          <w:szCs w:val="20"/>
        </w:rPr>
      </w:pPr>
      <w:r w:rsidRPr="00A700CE">
        <w:rPr>
          <w:rFonts w:ascii="Arial" w:hAnsi="Arial" w:cs="Arial"/>
          <w:b/>
          <w:bCs/>
          <w:i/>
          <w:iCs/>
          <w:sz w:val="20"/>
          <w:szCs w:val="20"/>
        </w:rPr>
        <w:t xml:space="preserve">Decision </w:t>
      </w:r>
    </w:p>
    <w:p w14:paraId="3FA0B676" w14:textId="563AB4DE" w:rsidR="001E5D5F" w:rsidRPr="00A700CE" w:rsidRDefault="001E5D5F" w:rsidP="001E5D5F">
      <w:pPr>
        <w:rPr>
          <w:rFonts w:ascii="Arial" w:hAnsi="Arial" w:cs="Arial"/>
          <w:sz w:val="20"/>
          <w:szCs w:val="20"/>
        </w:rPr>
      </w:pPr>
      <w:r w:rsidRPr="00A700CE">
        <w:rPr>
          <w:rFonts w:ascii="Arial" w:hAnsi="Arial" w:cs="Arial"/>
          <w:sz w:val="20"/>
          <w:szCs w:val="20"/>
        </w:rPr>
        <w:t xml:space="preserve">Pursuant to </w:t>
      </w:r>
      <w:r w:rsidR="00B44A71" w:rsidRPr="00B44A71">
        <w:rPr>
          <w:rFonts w:ascii="Arial" w:hAnsi="Arial" w:cs="Arial"/>
          <w:sz w:val="20"/>
          <w:szCs w:val="20"/>
        </w:rPr>
        <w:t>section 52D(2) of the Act</w:t>
      </w:r>
      <w:r w:rsidRPr="00A700CE">
        <w:rPr>
          <w:rFonts w:ascii="Arial" w:hAnsi="Arial" w:cs="Arial"/>
          <w:sz w:val="20"/>
          <w:szCs w:val="20"/>
        </w:rPr>
        <w:t>, a Delegate of the Secretary has made a decision to amend the current Poisons Standard in relation to nicotine as follows:</w:t>
      </w:r>
      <w:r w:rsidRPr="00A700CE">
        <w:rPr>
          <w:rStyle w:val="FootnoteReference"/>
          <w:rFonts w:ascii="Arial" w:hAnsi="Arial" w:cs="Arial"/>
          <w:sz w:val="20"/>
          <w:szCs w:val="20"/>
        </w:rPr>
        <w:footnoteReference w:id="2"/>
      </w:r>
    </w:p>
    <w:p w14:paraId="1384995F" w14:textId="77777777" w:rsidR="001E5D5F" w:rsidRPr="00A700CE" w:rsidRDefault="001E5D5F" w:rsidP="001E5D5F">
      <w:pPr>
        <w:ind w:left="426"/>
        <w:rPr>
          <w:rFonts w:ascii="Arial" w:hAnsi="Arial" w:cs="Arial"/>
          <w:b/>
          <w:bCs/>
          <w:sz w:val="20"/>
          <w:szCs w:val="20"/>
          <w:lang w:eastAsia="en-AU"/>
        </w:rPr>
      </w:pPr>
      <w:r w:rsidRPr="00A700CE">
        <w:rPr>
          <w:rFonts w:ascii="Arial" w:hAnsi="Arial" w:cs="Arial"/>
          <w:b/>
          <w:bCs/>
          <w:sz w:val="20"/>
          <w:szCs w:val="20"/>
        </w:rPr>
        <w:t>Schedule 7 – Amend entry</w:t>
      </w:r>
    </w:p>
    <w:p w14:paraId="60FC9672" w14:textId="77777777" w:rsidR="001E5D5F" w:rsidRPr="00E31503" w:rsidRDefault="001E5D5F" w:rsidP="001E5D5F">
      <w:pPr>
        <w:spacing w:before="120"/>
        <w:ind w:left="709"/>
        <w:rPr>
          <w:rFonts w:ascii="Arial" w:hAnsi="Arial" w:cs="Arial"/>
          <w:sz w:val="20"/>
          <w:szCs w:val="20"/>
        </w:rPr>
      </w:pPr>
      <w:r w:rsidRPr="00E31503">
        <w:rPr>
          <w:rFonts w:ascii="Arial" w:hAnsi="Arial" w:cs="Arial"/>
          <w:sz w:val="20"/>
          <w:szCs w:val="20"/>
        </w:rPr>
        <w:t xml:space="preserve">NICOTINE </w:t>
      </w:r>
      <w:r w:rsidRPr="00E31503">
        <w:rPr>
          <w:rFonts w:ascii="Arial" w:hAnsi="Arial" w:cs="Arial"/>
          <w:b/>
          <w:bCs/>
          <w:sz w:val="20"/>
          <w:szCs w:val="20"/>
        </w:rPr>
        <w:t>except</w:t>
      </w:r>
      <w:r w:rsidRPr="00E31503">
        <w:rPr>
          <w:rFonts w:ascii="Arial" w:hAnsi="Arial" w:cs="Arial"/>
          <w:sz w:val="20"/>
          <w:szCs w:val="20"/>
        </w:rPr>
        <w:t>:</w:t>
      </w:r>
    </w:p>
    <w:p w14:paraId="55247173" w14:textId="77777777" w:rsidR="001E5D5F" w:rsidRPr="00757379" w:rsidRDefault="001E5D5F" w:rsidP="002E6187">
      <w:pPr>
        <w:pStyle w:val="ListParagraph"/>
      </w:pPr>
      <w:r w:rsidRPr="00757379">
        <w:t>when included in Schedule 4; or</w:t>
      </w:r>
    </w:p>
    <w:p w14:paraId="7221210A" w14:textId="02D486D9" w:rsidR="001E5D5F" w:rsidRPr="00757379" w:rsidRDefault="001E5D5F" w:rsidP="002E6187">
      <w:pPr>
        <w:pStyle w:val="ListParagraph"/>
      </w:pPr>
      <w:r w:rsidRPr="00757379">
        <w:t xml:space="preserve">in preparations for oromucosal or transdermal administration for human therapeutic use </w:t>
      </w:r>
      <w:r w:rsidR="00E31503" w:rsidRPr="00E14BFC">
        <w:rPr>
          <w:color w:val="00B050"/>
          <w:u w:val="single"/>
        </w:rPr>
        <w:t>when included in the Register</w:t>
      </w:r>
      <w:r w:rsidR="00E31503" w:rsidRPr="00E14BFC">
        <w:rPr>
          <w:color w:val="00B050"/>
        </w:rPr>
        <w:t xml:space="preserve"> </w:t>
      </w:r>
      <w:r w:rsidRPr="00757379">
        <w:t xml:space="preserve">as an aid in withdrawal </w:t>
      </w:r>
      <w:r w:rsidRPr="00757379">
        <w:rPr>
          <w:color w:val="00B050"/>
          <w:u w:val="single"/>
        </w:rPr>
        <w:t>either</w:t>
      </w:r>
      <w:r w:rsidRPr="00757379">
        <w:t xml:space="preserve"> from tobacco smoking </w:t>
      </w:r>
      <w:r w:rsidRPr="00757379">
        <w:rPr>
          <w:color w:val="00B050"/>
          <w:u w:val="single"/>
        </w:rPr>
        <w:t>or nicotine vaping</w:t>
      </w:r>
      <w:r w:rsidRPr="00757379">
        <w:t>; or</w:t>
      </w:r>
    </w:p>
    <w:p w14:paraId="7BFD7BC8" w14:textId="77777777" w:rsidR="001E5D5F" w:rsidRPr="00757379" w:rsidRDefault="001E5D5F" w:rsidP="002E6187">
      <w:pPr>
        <w:pStyle w:val="ListParagraph"/>
      </w:pPr>
      <w:r w:rsidRPr="00757379">
        <w:t>in tobacco prepared and packed for smoking.</w:t>
      </w:r>
    </w:p>
    <w:p w14:paraId="4682B14D" w14:textId="77777777" w:rsidR="001E5D5F" w:rsidRPr="00757379" w:rsidRDefault="001E5D5F" w:rsidP="001E5D5F">
      <w:pPr>
        <w:ind w:left="426"/>
        <w:rPr>
          <w:rFonts w:ascii="Arial" w:hAnsi="Arial" w:cs="Arial"/>
          <w:b/>
          <w:bCs/>
          <w:sz w:val="20"/>
          <w:szCs w:val="20"/>
          <w:lang w:eastAsia="en-AU"/>
        </w:rPr>
      </w:pPr>
      <w:r w:rsidRPr="00757379">
        <w:rPr>
          <w:rFonts w:ascii="Arial" w:hAnsi="Arial" w:cs="Arial"/>
          <w:b/>
          <w:bCs/>
          <w:sz w:val="20"/>
          <w:szCs w:val="20"/>
        </w:rPr>
        <w:t>Schedule 4 – Amend entry</w:t>
      </w:r>
    </w:p>
    <w:p w14:paraId="1ED8A460" w14:textId="77777777" w:rsidR="001E5D5F" w:rsidRPr="00757379" w:rsidRDefault="001E5D5F" w:rsidP="001E5D5F">
      <w:pPr>
        <w:ind w:left="709"/>
        <w:rPr>
          <w:rFonts w:ascii="Arial" w:hAnsi="Arial" w:cs="Arial"/>
          <w:sz w:val="20"/>
          <w:szCs w:val="20"/>
        </w:rPr>
      </w:pPr>
      <w:r w:rsidRPr="00757379">
        <w:rPr>
          <w:rFonts w:ascii="Arial" w:hAnsi="Arial" w:cs="Arial"/>
          <w:sz w:val="20"/>
          <w:szCs w:val="20"/>
        </w:rPr>
        <w:t xml:space="preserve"># NICOTINE in preparations for human use </w:t>
      </w:r>
      <w:r w:rsidRPr="00757379">
        <w:rPr>
          <w:rFonts w:ascii="Arial" w:hAnsi="Arial" w:cs="Arial"/>
          <w:b/>
          <w:bCs/>
          <w:sz w:val="20"/>
          <w:szCs w:val="20"/>
        </w:rPr>
        <w:t>except</w:t>
      </w:r>
      <w:r w:rsidRPr="00757379">
        <w:rPr>
          <w:rFonts w:ascii="Arial" w:hAnsi="Arial" w:cs="Arial"/>
          <w:sz w:val="20"/>
          <w:szCs w:val="20"/>
        </w:rPr>
        <w:t>:</w:t>
      </w:r>
    </w:p>
    <w:p w14:paraId="7826C2B3" w14:textId="74312E22" w:rsidR="001E5D5F" w:rsidRPr="00757379" w:rsidRDefault="001E5D5F" w:rsidP="002E6187">
      <w:pPr>
        <w:pStyle w:val="ListParagraph"/>
        <w:numPr>
          <w:ilvl w:val="0"/>
          <w:numId w:val="20"/>
        </w:numPr>
      </w:pPr>
      <w:r w:rsidRPr="00757379">
        <w:t>in preparations for oromucosal or transdermal administration for human therapeutic</w:t>
      </w:r>
      <w:r w:rsidR="00E46184">
        <w:t xml:space="preserve"> use</w:t>
      </w:r>
      <w:r w:rsidRPr="00757379">
        <w:t xml:space="preserve"> </w:t>
      </w:r>
      <w:r w:rsidR="00E31503" w:rsidRPr="002E6187">
        <w:rPr>
          <w:color w:val="00B050"/>
          <w:u w:val="single"/>
        </w:rPr>
        <w:t>when included in the Register</w:t>
      </w:r>
      <w:r w:rsidR="00E31503" w:rsidRPr="00757379">
        <w:t xml:space="preserve"> </w:t>
      </w:r>
      <w:r w:rsidRPr="00757379">
        <w:t xml:space="preserve">as an aid in withdrawal </w:t>
      </w:r>
      <w:r w:rsidRPr="002E6187">
        <w:rPr>
          <w:color w:val="00B050"/>
          <w:u w:val="single"/>
        </w:rPr>
        <w:t>either</w:t>
      </w:r>
      <w:r w:rsidRPr="00757379">
        <w:t xml:space="preserve"> from tobacco smoking </w:t>
      </w:r>
      <w:r w:rsidRPr="002E6187">
        <w:rPr>
          <w:color w:val="00B050"/>
          <w:u w:val="single"/>
        </w:rPr>
        <w:t>or nicotine vaping</w:t>
      </w:r>
      <w:r w:rsidRPr="00757379">
        <w:t>; or</w:t>
      </w:r>
    </w:p>
    <w:p w14:paraId="02084657" w14:textId="77777777" w:rsidR="001E5D5F" w:rsidRPr="00757379" w:rsidRDefault="001E5D5F" w:rsidP="002E6187">
      <w:pPr>
        <w:pStyle w:val="ListParagraph"/>
      </w:pPr>
      <w:r w:rsidRPr="00757379">
        <w:t>in tobacco prepared and packed for smoking.</w:t>
      </w:r>
    </w:p>
    <w:p w14:paraId="127F2E15" w14:textId="77777777" w:rsidR="001E5D5F" w:rsidRPr="00E31503" w:rsidRDefault="001E5D5F" w:rsidP="001E5D5F">
      <w:pPr>
        <w:ind w:left="426"/>
        <w:rPr>
          <w:rFonts w:ascii="Arial" w:hAnsi="Arial" w:cs="Arial"/>
          <w:b/>
          <w:bCs/>
          <w:sz w:val="20"/>
          <w:szCs w:val="20"/>
        </w:rPr>
      </w:pPr>
      <w:r w:rsidRPr="00E31503">
        <w:rPr>
          <w:rFonts w:ascii="Arial" w:hAnsi="Arial" w:cs="Arial"/>
          <w:b/>
          <w:bCs/>
          <w:sz w:val="20"/>
          <w:szCs w:val="20"/>
        </w:rPr>
        <w:t>Index</w:t>
      </w:r>
    </w:p>
    <w:p w14:paraId="34179122" w14:textId="77777777" w:rsidR="001E5D5F" w:rsidRPr="00A700CE" w:rsidRDefault="001E5D5F" w:rsidP="001E5D5F">
      <w:pPr>
        <w:ind w:left="709"/>
        <w:rPr>
          <w:rFonts w:ascii="Arial" w:hAnsi="Arial" w:cs="Arial"/>
          <w:b/>
          <w:bCs/>
          <w:color w:val="auto"/>
          <w:sz w:val="20"/>
          <w:szCs w:val="20"/>
        </w:rPr>
      </w:pPr>
      <w:r w:rsidRPr="00A700CE">
        <w:rPr>
          <w:rFonts w:ascii="Arial" w:hAnsi="Arial" w:cs="Arial"/>
          <w:b/>
          <w:bCs/>
          <w:color w:val="auto"/>
          <w:sz w:val="20"/>
          <w:szCs w:val="20"/>
        </w:rPr>
        <w:t>NICOTINE</w:t>
      </w:r>
    </w:p>
    <w:p w14:paraId="072783FF" w14:textId="77777777" w:rsidR="001E5D5F" w:rsidRPr="00A700CE" w:rsidRDefault="001E5D5F" w:rsidP="001E5D5F">
      <w:pPr>
        <w:ind w:left="709"/>
        <w:rPr>
          <w:rFonts w:ascii="Arial" w:hAnsi="Arial" w:cs="Arial"/>
          <w:color w:val="000000"/>
          <w:sz w:val="20"/>
          <w:szCs w:val="20"/>
        </w:rPr>
      </w:pPr>
      <w:r w:rsidRPr="00A700CE">
        <w:rPr>
          <w:rFonts w:ascii="Arial" w:hAnsi="Arial" w:cs="Arial"/>
          <w:color w:val="000000"/>
          <w:sz w:val="20"/>
          <w:szCs w:val="20"/>
        </w:rPr>
        <w:t>Schedule 7</w:t>
      </w:r>
      <w:r w:rsidRPr="00A700CE">
        <w:rPr>
          <w:rFonts w:ascii="Arial" w:hAnsi="Arial" w:cs="Arial"/>
          <w:color w:val="000000"/>
          <w:sz w:val="20"/>
          <w:szCs w:val="20"/>
        </w:rPr>
        <w:br/>
        <w:t>Schedule 4</w:t>
      </w:r>
      <w:r w:rsidRPr="00A700CE">
        <w:rPr>
          <w:rFonts w:ascii="Arial" w:hAnsi="Arial" w:cs="Arial"/>
          <w:color w:val="000000"/>
          <w:sz w:val="20"/>
          <w:szCs w:val="20"/>
        </w:rPr>
        <w:br/>
        <w:t>Appendix D, clause 5</w:t>
      </w:r>
      <w:r w:rsidRPr="00A700CE">
        <w:rPr>
          <w:rFonts w:ascii="Arial" w:hAnsi="Arial" w:cs="Arial"/>
          <w:color w:val="000000"/>
          <w:sz w:val="20"/>
          <w:szCs w:val="20"/>
        </w:rPr>
        <w:br/>
        <w:t>Appendix F, clause 4</w:t>
      </w:r>
      <w:r w:rsidRPr="00A700CE">
        <w:rPr>
          <w:rFonts w:ascii="Arial" w:hAnsi="Arial" w:cs="Arial"/>
          <w:color w:val="000000"/>
          <w:sz w:val="20"/>
          <w:szCs w:val="20"/>
        </w:rPr>
        <w:br/>
        <w:t>Appendix J, clause 1</w:t>
      </w:r>
    </w:p>
    <w:p w14:paraId="11FF7B6C" w14:textId="77777777" w:rsidR="001E5D5F" w:rsidRPr="00A700CE" w:rsidRDefault="001E5D5F" w:rsidP="001E5D5F">
      <w:pPr>
        <w:ind w:left="426"/>
        <w:rPr>
          <w:rFonts w:ascii="Arial" w:hAnsi="Arial" w:cs="Arial"/>
          <w:b/>
          <w:bCs/>
          <w:sz w:val="20"/>
          <w:szCs w:val="20"/>
        </w:rPr>
      </w:pPr>
      <w:r w:rsidRPr="00A700CE">
        <w:rPr>
          <w:rFonts w:ascii="Arial" w:hAnsi="Arial" w:cs="Arial"/>
          <w:b/>
          <w:bCs/>
          <w:sz w:val="20"/>
          <w:szCs w:val="20"/>
        </w:rPr>
        <w:t>Appendix D, clause 5 – Poisons for which possession without authority is illegal.</w:t>
      </w:r>
    </w:p>
    <w:tbl>
      <w:tblPr>
        <w:tblStyle w:val="TableTGAblue"/>
        <w:tblW w:w="0" w:type="auto"/>
        <w:tblInd w:w="426" w:type="dxa"/>
        <w:tblLook w:val="04A0" w:firstRow="1" w:lastRow="0" w:firstColumn="1" w:lastColumn="0" w:noHBand="0" w:noVBand="1"/>
      </w:tblPr>
      <w:tblGrid>
        <w:gridCol w:w="740"/>
        <w:gridCol w:w="1172"/>
      </w:tblGrid>
      <w:tr w:rsidR="001E5D5F" w:rsidRPr="00A700CE" w14:paraId="194899C2" w14:textId="77777777" w:rsidTr="00691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Pr>
          <w:p w14:paraId="112E910A" w14:textId="77777777" w:rsidR="001E5D5F" w:rsidRPr="00A700CE" w:rsidRDefault="001E5D5F" w:rsidP="006915B1">
            <w:pPr>
              <w:rPr>
                <w:rFonts w:ascii="Arial" w:hAnsi="Arial" w:cs="Arial"/>
                <w:color w:val="FFFFFF" w:themeColor="background1"/>
                <w:sz w:val="20"/>
                <w:szCs w:val="20"/>
              </w:rPr>
            </w:pPr>
            <w:r w:rsidRPr="00A700CE">
              <w:rPr>
                <w:rFonts w:ascii="Arial" w:hAnsi="Arial" w:cs="Arial"/>
                <w:color w:val="FFFFFF" w:themeColor="background1"/>
                <w:sz w:val="20"/>
                <w:szCs w:val="20"/>
              </w:rPr>
              <w:t>Item</w:t>
            </w:r>
          </w:p>
        </w:tc>
        <w:tc>
          <w:tcPr>
            <w:tcW w:w="1094" w:type="dxa"/>
          </w:tcPr>
          <w:p w14:paraId="427EE5F4" w14:textId="77777777" w:rsidR="001E5D5F" w:rsidRPr="00A700CE" w:rsidRDefault="001E5D5F" w:rsidP="006915B1">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700CE">
              <w:rPr>
                <w:rFonts w:ascii="Arial" w:hAnsi="Arial" w:cs="Arial"/>
                <w:color w:val="FFFFFF" w:themeColor="background1"/>
                <w:sz w:val="20"/>
                <w:szCs w:val="20"/>
              </w:rPr>
              <w:t>Poison</w:t>
            </w:r>
          </w:p>
        </w:tc>
      </w:tr>
      <w:tr w:rsidR="001E5D5F" w:rsidRPr="00A700CE" w14:paraId="2C962857" w14:textId="77777777" w:rsidTr="006915B1">
        <w:tc>
          <w:tcPr>
            <w:cnfStyle w:val="001000000000" w:firstRow="0" w:lastRow="0" w:firstColumn="1" w:lastColumn="0" w:oddVBand="0" w:evenVBand="0" w:oddHBand="0" w:evenHBand="0" w:firstRowFirstColumn="0" w:firstRowLastColumn="0" w:lastRowFirstColumn="0" w:lastRowLastColumn="0"/>
            <w:tcW w:w="740" w:type="dxa"/>
          </w:tcPr>
          <w:p w14:paraId="113F7255" w14:textId="77777777" w:rsidR="001E5D5F" w:rsidRPr="00A700CE" w:rsidRDefault="001E5D5F" w:rsidP="006915B1">
            <w:pPr>
              <w:rPr>
                <w:rFonts w:ascii="Arial" w:hAnsi="Arial" w:cs="Arial"/>
                <w:sz w:val="20"/>
                <w:szCs w:val="20"/>
              </w:rPr>
            </w:pPr>
            <w:r w:rsidRPr="00A700CE">
              <w:rPr>
                <w:rFonts w:ascii="Arial" w:hAnsi="Arial" w:cs="Arial"/>
                <w:sz w:val="20"/>
                <w:szCs w:val="20"/>
              </w:rPr>
              <w:t>24</w:t>
            </w:r>
          </w:p>
        </w:tc>
        <w:tc>
          <w:tcPr>
            <w:tcW w:w="1094" w:type="dxa"/>
          </w:tcPr>
          <w:p w14:paraId="4A11EBF6" w14:textId="77777777" w:rsidR="001E5D5F" w:rsidRPr="00A700CE" w:rsidRDefault="001E5D5F" w:rsidP="006915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700CE">
              <w:rPr>
                <w:rFonts w:ascii="Arial" w:hAnsi="Arial" w:cs="Arial"/>
                <w:sz w:val="20"/>
                <w:szCs w:val="20"/>
              </w:rPr>
              <w:t>NICOTINE</w:t>
            </w:r>
          </w:p>
        </w:tc>
      </w:tr>
    </w:tbl>
    <w:p w14:paraId="179661A2" w14:textId="77777777" w:rsidR="001E5D5F" w:rsidRPr="00A700CE" w:rsidRDefault="001E5D5F" w:rsidP="001E5D5F">
      <w:pPr>
        <w:ind w:left="426"/>
        <w:rPr>
          <w:rFonts w:ascii="Arial" w:hAnsi="Arial" w:cs="Arial"/>
          <w:b/>
          <w:bCs/>
          <w:sz w:val="20"/>
          <w:szCs w:val="20"/>
        </w:rPr>
      </w:pPr>
    </w:p>
    <w:p w14:paraId="38367187" w14:textId="77777777" w:rsidR="00324626" w:rsidRDefault="00324626">
      <w:pPr>
        <w:rPr>
          <w:rFonts w:ascii="Arial" w:hAnsi="Arial" w:cs="Arial"/>
          <w:b/>
          <w:bCs/>
          <w:sz w:val="20"/>
          <w:szCs w:val="20"/>
        </w:rPr>
      </w:pPr>
      <w:r>
        <w:rPr>
          <w:rFonts w:ascii="Arial" w:hAnsi="Arial" w:cs="Arial"/>
          <w:b/>
          <w:bCs/>
          <w:sz w:val="20"/>
          <w:szCs w:val="20"/>
        </w:rPr>
        <w:br w:type="page"/>
      </w:r>
    </w:p>
    <w:p w14:paraId="7F2C3706" w14:textId="4625EE5E" w:rsidR="001E5D5F" w:rsidRPr="00A700CE" w:rsidRDefault="001E5D5F" w:rsidP="001E5D5F">
      <w:pPr>
        <w:ind w:left="426"/>
        <w:rPr>
          <w:rFonts w:ascii="Arial" w:hAnsi="Arial" w:cs="Arial"/>
          <w:b/>
          <w:bCs/>
          <w:sz w:val="20"/>
          <w:szCs w:val="20"/>
        </w:rPr>
      </w:pPr>
      <w:r w:rsidRPr="00A700CE">
        <w:rPr>
          <w:rFonts w:ascii="Arial" w:hAnsi="Arial" w:cs="Arial"/>
          <w:b/>
          <w:bCs/>
          <w:sz w:val="20"/>
          <w:szCs w:val="20"/>
        </w:rPr>
        <w:lastRenderedPageBreak/>
        <w:t>Appendix F, clause 4 – Poisons that must be labelled with warning statements and safety directions.</w:t>
      </w:r>
    </w:p>
    <w:tbl>
      <w:tblPr>
        <w:tblStyle w:val="TableTGAblue"/>
        <w:tblW w:w="8816" w:type="dxa"/>
        <w:tblInd w:w="426" w:type="dxa"/>
        <w:tblLook w:val="04A0" w:firstRow="1" w:lastRow="0" w:firstColumn="1" w:lastColumn="0" w:noHBand="0" w:noVBand="1"/>
      </w:tblPr>
      <w:tblGrid>
        <w:gridCol w:w="715"/>
        <w:gridCol w:w="2960"/>
        <w:gridCol w:w="2359"/>
        <w:gridCol w:w="2782"/>
      </w:tblGrid>
      <w:tr w:rsidR="001E5D5F" w:rsidRPr="00A700CE" w14:paraId="6604728C" w14:textId="77777777" w:rsidTr="00691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5E47E3B4" w14:textId="77777777" w:rsidR="001E5D5F" w:rsidRPr="00A700CE" w:rsidRDefault="001E5D5F" w:rsidP="006915B1">
            <w:pPr>
              <w:rPr>
                <w:rFonts w:ascii="Arial" w:hAnsi="Arial" w:cs="Arial"/>
                <w:color w:val="FFFFFF" w:themeColor="background1"/>
                <w:sz w:val="20"/>
                <w:szCs w:val="20"/>
              </w:rPr>
            </w:pPr>
            <w:r w:rsidRPr="00A700CE">
              <w:rPr>
                <w:rFonts w:ascii="Arial" w:hAnsi="Arial" w:cs="Arial"/>
                <w:color w:val="FFFFFF" w:themeColor="background1"/>
                <w:sz w:val="20"/>
                <w:szCs w:val="20"/>
              </w:rPr>
              <w:t>Item</w:t>
            </w:r>
          </w:p>
        </w:tc>
        <w:tc>
          <w:tcPr>
            <w:tcW w:w="2960" w:type="dxa"/>
          </w:tcPr>
          <w:p w14:paraId="06F75A6B" w14:textId="77777777" w:rsidR="001E5D5F" w:rsidRPr="00A700CE" w:rsidRDefault="001E5D5F" w:rsidP="006915B1">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700CE">
              <w:rPr>
                <w:rFonts w:ascii="Arial" w:hAnsi="Arial" w:cs="Arial"/>
                <w:color w:val="FFFFFF" w:themeColor="background1"/>
                <w:sz w:val="20"/>
                <w:szCs w:val="20"/>
              </w:rPr>
              <w:t>Poison</w:t>
            </w:r>
          </w:p>
        </w:tc>
        <w:tc>
          <w:tcPr>
            <w:tcW w:w="2359" w:type="dxa"/>
          </w:tcPr>
          <w:p w14:paraId="5A546F2B" w14:textId="77777777" w:rsidR="001E5D5F" w:rsidRPr="00A700CE" w:rsidRDefault="001E5D5F" w:rsidP="006915B1">
            <w:pPr>
              <w:cnfStyle w:val="100000000000" w:firstRow="1"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r w:rsidRPr="00A700CE">
              <w:rPr>
                <w:rFonts w:ascii="Arial" w:hAnsi="Arial" w:cs="Arial"/>
                <w:bCs/>
                <w:color w:val="FFFFFF" w:themeColor="background1"/>
                <w:sz w:val="20"/>
                <w:szCs w:val="20"/>
              </w:rPr>
              <w:t>Warning statement item number</w:t>
            </w:r>
          </w:p>
        </w:tc>
        <w:tc>
          <w:tcPr>
            <w:tcW w:w="2782" w:type="dxa"/>
          </w:tcPr>
          <w:p w14:paraId="7439BC94" w14:textId="77777777" w:rsidR="001E5D5F" w:rsidRPr="00A700CE" w:rsidRDefault="001E5D5F" w:rsidP="006915B1">
            <w:pPr>
              <w:cnfStyle w:val="100000000000" w:firstRow="1"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r w:rsidRPr="00A700CE">
              <w:rPr>
                <w:rFonts w:ascii="Arial" w:hAnsi="Arial" w:cs="Arial"/>
                <w:bCs/>
                <w:color w:val="FFFFFF" w:themeColor="background1"/>
                <w:sz w:val="20"/>
                <w:szCs w:val="20"/>
              </w:rPr>
              <w:t>Safety direction item number</w:t>
            </w:r>
          </w:p>
        </w:tc>
      </w:tr>
      <w:tr w:rsidR="001E5D5F" w:rsidRPr="00A700CE" w14:paraId="7819FFBA" w14:textId="77777777" w:rsidTr="006915B1">
        <w:tc>
          <w:tcPr>
            <w:cnfStyle w:val="001000000000" w:firstRow="0" w:lastRow="0" w:firstColumn="1" w:lastColumn="0" w:oddVBand="0" w:evenVBand="0" w:oddHBand="0" w:evenHBand="0" w:firstRowFirstColumn="0" w:firstRowLastColumn="0" w:lastRowFirstColumn="0" w:lastRowLastColumn="0"/>
            <w:tcW w:w="715" w:type="dxa"/>
          </w:tcPr>
          <w:p w14:paraId="53AB5D91" w14:textId="77777777" w:rsidR="001E5D5F" w:rsidRPr="00A700CE" w:rsidRDefault="001E5D5F" w:rsidP="006915B1">
            <w:pPr>
              <w:rPr>
                <w:rFonts w:ascii="Arial" w:hAnsi="Arial" w:cs="Arial"/>
                <w:sz w:val="20"/>
                <w:szCs w:val="20"/>
              </w:rPr>
            </w:pPr>
            <w:r w:rsidRPr="00A700CE">
              <w:rPr>
                <w:rFonts w:ascii="Arial" w:hAnsi="Arial" w:cs="Arial"/>
                <w:sz w:val="20"/>
                <w:szCs w:val="20"/>
              </w:rPr>
              <w:t>237</w:t>
            </w:r>
          </w:p>
        </w:tc>
        <w:tc>
          <w:tcPr>
            <w:tcW w:w="2960" w:type="dxa"/>
          </w:tcPr>
          <w:p w14:paraId="7031756A" w14:textId="77777777" w:rsidR="001E5D5F" w:rsidRPr="00A700CE" w:rsidRDefault="001E5D5F" w:rsidP="006915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700CE">
              <w:rPr>
                <w:rFonts w:ascii="Arial" w:hAnsi="Arial" w:cs="Arial"/>
                <w:sz w:val="20"/>
                <w:szCs w:val="20"/>
              </w:rPr>
              <w:t xml:space="preserve">NICOTINE </w:t>
            </w:r>
            <w:r w:rsidRPr="00A700CE">
              <w:rPr>
                <w:rFonts w:ascii="Arial" w:hAnsi="Arial" w:cs="Arial"/>
                <w:b/>
                <w:bCs/>
                <w:sz w:val="20"/>
                <w:szCs w:val="20"/>
              </w:rPr>
              <w:t>except</w:t>
            </w:r>
            <w:r w:rsidRPr="00A700CE">
              <w:rPr>
                <w:rFonts w:ascii="Arial" w:hAnsi="Arial" w:cs="Arial"/>
                <w:sz w:val="20"/>
                <w:szCs w:val="20"/>
              </w:rPr>
              <w:t xml:space="preserve"> when in tobacco</w:t>
            </w:r>
          </w:p>
        </w:tc>
        <w:tc>
          <w:tcPr>
            <w:tcW w:w="2359" w:type="dxa"/>
          </w:tcPr>
          <w:p w14:paraId="3472595F" w14:textId="77777777" w:rsidR="001E5D5F" w:rsidRPr="00A700CE" w:rsidRDefault="001E5D5F" w:rsidP="006915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82" w:type="dxa"/>
          </w:tcPr>
          <w:p w14:paraId="21DB60B7" w14:textId="77777777" w:rsidR="001E5D5F" w:rsidRPr="00A700CE" w:rsidRDefault="001E5D5F" w:rsidP="006915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700CE">
              <w:rPr>
                <w:rFonts w:ascii="Arial" w:hAnsi="Arial" w:cs="Arial"/>
                <w:sz w:val="20"/>
                <w:szCs w:val="20"/>
              </w:rPr>
              <w:t>1, 4</w:t>
            </w:r>
          </w:p>
        </w:tc>
      </w:tr>
    </w:tbl>
    <w:p w14:paraId="18748C11" w14:textId="77777777" w:rsidR="001E5D5F" w:rsidRPr="00A700CE" w:rsidRDefault="001E5D5F" w:rsidP="001E5D5F">
      <w:pPr>
        <w:ind w:left="426"/>
        <w:rPr>
          <w:rFonts w:ascii="Arial" w:hAnsi="Arial" w:cs="Arial"/>
          <w:b/>
          <w:bCs/>
          <w:sz w:val="20"/>
          <w:szCs w:val="20"/>
        </w:rPr>
      </w:pPr>
    </w:p>
    <w:p w14:paraId="4A2E27A4" w14:textId="77777777" w:rsidR="001E5D5F" w:rsidRPr="00A700CE" w:rsidRDefault="001E5D5F" w:rsidP="001E5D5F">
      <w:pPr>
        <w:ind w:left="426"/>
        <w:rPr>
          <w:rFonts w:ascii="Arial" w:hAnsi="Arial" w:cs="Arial"/>
          <w:b/>
          <w:bCs/>
          <w:sz w:val="20"/>
          <w:szCs w:val="20"/>
        </w:rPr>
      </w:pPr>
      <w:r w:rsidRPr="00A700CE">
        <w:rPr>
          <w:rFonts w:ascii="Arial" w:hAnsi="Arial" w:cs="Arial"/>
          <w:b/>
          <w:bCs/>
          <w:sz w:val="20"/>
          <w:szCs w:val="20"/>
        </w:rPr>
        <w:t>Appendix J, clause 1 – Poisons that must be labelled with warning statements and safety directions.</w:t>
      </w:r>
    </w:p>
    <w:tbl>
      <w:tblPr>
        <w:tblStyle w:val="TableTGAblue"/>
        <w:tblW w:w="0" w:type="auto"/>
        <w:tblInd w:w="426" w:type="dxa"/>
        <w:tblLook w:val="04A0" w:firstRow="1" w:lastRow="0" w:firstColumn="1" w:lastColumn="0" w:noHBand="0" w:noVBand="1"/>
      </w:tblPr>
      <w:tblGrid>
        <w:gridCol w:w="715"/>
        <w:gridCol w:w="3383"/>
        <w:gridCol w:w="1218"/>
      </w:tblGrid>
      <w:tr w:rsidR="001E5D5F" w:rsidRPr="00A700CE" w14:paraId="51FFAE14" w14:textId="77777777" w:rsidTr="00691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67B392A5" w14:textId="77777777" w:rsidR="001E5D5F" w:rsidRPr="00A700CE" w:rsidRDefault="001E5D5F" w:rsidP="006915B1">
            <w:pPr>
              <w:rPr>
                <w:rFonts w:ascii="Arial" w:hAnsi="Arial" w:cs="Arial"/>
                <w:color w:val="FFFFFF" w:themeColor="background1"/>
                <w:sz w:val="20"/>
                <w:szCs w:val="20"/>
              </w:rPr>
            </w:pPr>
            <w:r w:rsidRPr="00A700CE">
              <w:rPr>
                <w:rFonts w:ascii="Arial" w:hAnsi="Arial" w:cs="Arial"/>
                <w:color w:val="FFFFFF" w:themeColor="background1"/>
                <w:sz w:val="20"/>
                <w:szCs w:val="20"/>
              </w:rPr>
              <w:t>Item</w:t>
            </w:r>
          </w:p>
        </w:tc>
        <w:tc>
          <w:tcPr>
            <w:tcW w:w="3383" w:type="dxa"/>
          </w:tcPr>
          <w:p w14:paraId="6F0DBC80" w14:textId="77777777" w:rsidR="001E5D5F" w:rsidRPr="00A700CE" w:rsidRDefault="001E5D5F" w:rsidP="006915B1">
            <w:pP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A700CE">
              <w:rPr>
                <w:rFonts w:ascii="Arial" w:hAnsi="Arial" w:cs="Arial"/>
                <w:color w:val="FFFFFF" w:themeColor="background1"/>
                <w:sz w:val="20"/>
                <w:szCs w:val="20"/>
              </w:rPr>
              <w:t>Poison</w:t>
            </w:r>
          </w:p>
        </w:tc>
        <w:tc>
          <w:tcPr>
            <w:tcW w:w="1218" w:type="dxa"/>
          </w:tcPr>
          <w:p w14:paraId="7D055E4D" w14:textId="77777777" w:rsidR="001E5D5F" w:rsidRPr="00A700CE" w:rsidRDefault="001E5D5F" w:rsidP="006915B1">
            <w:pPr>
              <w:cnfStyle w:val="100000000000" w:firstRow="1"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r w:rsidRPr="00A700CE">
              <w:rPr>
                <w:rFonts w:ascii="Arial" w:hAnsi="Arial" w:cs="Arial"/>
                <w:bCs/>
                <w:color w:val="FFFFFF" w:themeColor="background1"/>
                <w:sz w:val="20"/>
                <w:szCs w:val="20"/>
              </w:rPr>
              <w:t>Condition</w:t>
            </w:r>
          </w:p>
        </w:tc>
      </w:tr>
      <w:tr w:rsidR="001E5D5F" w:rsidRPr="00A700CE" w14:paraId="0FCA004F" w14:textId="77777777" w:rsidTr="006915B1">
        <w:tc>
          <w:tcPr>
            <w:cnfStyle w:val="001000000000" w:firstRow="0" w:lastRow="0" w:firstColumn="1" w:lastColumn="0" w:oddVBand="0" w:evenVBand="0" w:oddHBand="0" w:evenHBand="0" w:firstRowFirstColumn="0" w:firstRowLastColumn="0" w:lastRowFirstColumn="0" w:lastRowLastColumn="0"/>
            <w:tcW w:w="715" w:type="dxa"/>
          </w:tcPr>
          <w:p w14:paraId="58C603B7" w14:textId="77777777" w:rsidR="001E5D5F" w:rsidRPr="00A700CE" w:rsidRDefault="001E5D5F" w:rsidP="006915B1">
            <w:pPr>
              <w:rPr>
                <w:rFonts w:ascii="Arial" w:hAnsi="Arial" w:cs="Arial"/>
                <w:sz w:val="20"/>
                <w:szCs w:val="20"/>
              </w:rPr>
            </w:pPr>
            <w:r w:rsidRPr="00A700CE">
              <w:rPr>
                <w:rFonts w:ascii="Arial" w:hAnsi="Arial" w:cs="Arial"/>
                <w:sz w:val="20"/>
                <w:szCs w:val="20"/>
              </w:rPr>
              <w:t>65</w:t>
            </w:r>
          </w:p>
        </w:tc>
        <w:tc>
          <w:tcPr>
            <w:tcW w:w="3383" w:type="dxa"/>
          </w:tcPr>
          <w:p w14:paraId="3F896423" w14:textId="77777777" w:rsidR="001E5D5F" w:rsidRPr="00A700CE" w:rsidRDefault="001E5D5F" w:rsidP="006915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700CE">
              <w:rPr>
                <w:rFonts w:ascii="Arial" w:hAnsi="Arial" w:cs="Arial"/>
                <w:sz w:val="20"/>
                <w:szCs w:val="20"/>
              </w:rPr>
              <w:t xml:space="preserve">NICOTINE </w:t>
            </w:r>
            <w:r w:rsidRPr="00A700CE">
              <w:rPr>
                <w:rFonts w:ascii="Arial" w:hAnsi="Arial" w:cs="Arial"/>
                <w:b/>
                <w:bCs/>
                <w:sz w:val="20"/>
                <w:szCs w:val="20"/>
              </w:rPr>
              <w:t>except</w:t>
            </w:r>
            <w:r w:rsidRPr="00A700CE">
              <w:rPr>
                <w:rFonts w:ascii="Arial" w:hAnsi="Arial" w:cs="Arial"/>
                <w:sz w:val="20"/>
                <w:szCs w:val="20"/>
              </w:rPr>
              <w:t xml:space="preserve"> when in tobacco</w:t>
            </w:r>
          </w:p>
        </w:tc>
        <w:tc>
          <w:tcPr>
            <w:tcW w:w="1218" w:type="dxa"/>
          </w:tcPr>
          <w:p w14:paraId="14D378B2" w14:textId="77777777" w:rsidR="001E5D5F" w:rsidRPr="00A700CE" w:rsidRDefault="001E5D5F" w:rsidP="006915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37AA0A7" w14:textId="77777777" w:rsidR="001E5D5F" w:rsidRDefault="001E5D5F" w:rsidP="001E5D5F">
      <w:pPr>
        <w:ind w:left="709"/>
        <w:rPr>
          <w:color w:val="000000"/>
        </w:rPr>
      </w:pPr>
    </w:p>
    <w:p w14:paraId="22720B39" w14:textId="77777777" w:rsidR="001E5D5F" w:rsidRPr="00A700CE" w:rsidRDefault="001E5D5F" w:rsidP="001E5D5F">
      <w:pPr>
        <w:rPr>
          <w:rFonts w:ascii="Arial" w:hAnsi="Arial" w:cs="Arial"/>
          <w:b/>
          <w:bCs/>
          <w:i/>
          <w:iCs/>
          <w:sz w:val="20"/>
          <w:szCs w:val="20"/>
        </w:rPr>
      </w:pPr>
      <w:r w:rsidRPr="00A700CE">
        <w:rPr>
          <w:rFonts w:ascii="Arial" w:hAnsi="Arial" w:cs="Arial"/>
          <w:b/>
          <w:bCs/>
          <w:i/>
          <w:iCs/>
          <w:sz w:val="20"/>
          <w:szCs w:val="20"/>
        </w:rPr>
        <w:t xml:space="preserve">Materials considered </w:t>
      </w:r>
    </w:p>
    <w:p w14:paraId="0C255A69" w14:textId="2B415339" w:rsidR="001E5D5F" w:rsidRPr="00A700CE" w:rsidRDefault="001E5D5F" w:rsidP="001E5D5F">
      <w:pPr>
        <w:rPr>
          <w:rFonts w:ascii="Arial" w:hAnsi="Arial" w:cs="Arial"/>
          <w:sz w:val="20"/>
          <w:szCs w:val="20"/>
        </w:rPr>
      </w:pPr>
      <w:r w:rsidRPr="00A700CE">
        <w:rPr>
          <w:rFonts w:ascii="Arial" w:hAnsi="Arial" w:cs="Arial"/>
          <w:sz w:val="20"/>
          <w:szCs w:val="20"/>
        </w:rPr>
        <w:t>In making this decision, the Delegate considered the following material:</w:t>
      </w:r>
    </w:p>
    <w:p w14:paraId="100A1350" w14:textId="1A20E11A" w:rsidR="001E5D5F" w:rsidRPr="005A405C" w:rsidRDefault="00E31503" w:rsidP="005A405C">
      <w:pPr>
        <w:pStyle w:val="ListBullet"/>
        <w:numPr>
          <w:ilvl w:val="0"/>
          <w:numId w:val="17"/>
        </w:numPr>
        <w:rPr>
          <w:sz w:val="20"/>
          <w:szCs w:val="20"/>
        </w:rPr>
      </w:pPr>
      <w:r w:rsidRPr="005A405C">
        <w:rPr>
          <w:sz w:val="20"/>
          <w:szCs w:val="20"/>
        </w:rPr>
        <w:t>s</w:t>
      </w:r>
      <w:r w:rsidR="001E5D5F" w:rsidRPr="005A405C">
        <w:rPr>
          <w:sz w:val="20"/>
          <w:szCs w:val="20"/>
        </w:rPr>
        <w:t xml:space="preserve">ubsection 52E(1) of </w:t>
      </w:r>
      <w:r w:rsidR="001E5D5F" w:rsidRPr="005A405C">
        <w:rPr>
          <w:i/>
          <w:sz w:val="20"/>
          <w:szCs w:val="20"/>
        </w:rPr>
        <w:t>the Therapeutic Goods Act 1989</w:t>
      </w:r>
      <w:r w:rsidR="001E5D5F" w:rsidRPr="005A405C">
        <w:rPr>
          <w:sz w:val="20"/>
          <w:szCs w:val="20"/>
        </w:rPr>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 </w:t>
      </w:r>
    </w:p>
    <w:p w14:paraId="6D939B22" w14:textId="7A685FBC" w:rsidR="001E5D5F" w:rsidRPr="005A405C" w:rsidRDefault="001E5D5F" w:rsidP="005A405C">
      <w:pPr>
        <w:pStyle w:val="ListBullet"/>
        <w:numPr>
          <w:ilvl w:val="0"/>
          <w:numId w:val="17"/>
        </w:numPr>
        <w:rPr>
          <w:sz w:val="20"/>
          <w:szCs w:val="20"/>
        </w:rPr>
      </w:pPr>
      <w:r w:rsidRPr="005A405C">
        <w:rPr>
          <w:sz w:val="20"/>
          <w:szCs w:val="20"/>
        </w:rPr>
        <w:t>paragraph 52E(2)(a) of the Act, the SPF, and</w:t>
      </w:r>
    </w:p>
    <w:p w14:paraId="52B35499" w14:textId="112D9F78" w:rsidR="001E5D5F" w:rsidRPr="005A405C" w:rsidRDefault="00E31503" w:rsidP="005A405C">
      <w:pPr>
        <w:pStyle w:val="ListBullet"/>
        <w:numPr>
          <w:ilvl w:val="0"/>
          <w:numId w:val="17"/>
        </w:numPr>
        <w:rPr>
          <w:sz w:val="20"/>
          <w:szCs w:val="20"/>
        </w:rPr>
      </w:pPr>
      <w:r w:rsidRPr="005A405C">
        <w:rPr>
          <w:sz w:val="20"/>
          <w:szCs w:val="20"/>
        </w:rPr>
        <w:t>t</w:t>
      </w:r>
      <w:r w:rsidR="001E5D5F" w:rsidRPr="005A405C">
        <w:rPr>
          <w:sz w:val="20"/>
          <w:szCs w:val="20"/>
        </w:rPr>
        <w:t>he Handbook.</w:t>
      </w:r>
    </w:p>
    <w:p w14:paraId="44C14521" w14:textId="04228123" w:rsidR="001E5D5F" w:rsidRPr="00A700CE" w:rsidRDefault="001E5D5F" w:rsidP="001E5D5F">
      <w:pPr>
        <w:rPr>
          <w:rFonts w:ascii="Arial" w:hAnsi="Arial" w:cs="Arial"/>
          <w:b/>
          <w:bCs/>
          <w:i/>
          <w:iCs/>
          <w:sz w:val="20"/>
          <w:szCs w:val="20"/>
        </w:rPr>
      </w:pPr>
      <w:r w:rsidRPr="00A700CE">
        <w:rPr>
          <w:rFonts w:ascii="Arial" w:hAnsi="Arial" w:cs="Arial"/>
          <w:b/>
          <w:bCs/>
          <w:i/>
          <w:iCs/>
          <w:sz w:val="20"/>
          <w:szCs w:val="20"/>
        </w:rPr>
        <w:t>Reasons for the decision (including findings on material questions of fact)</w:t>
      </w:r>
    </w:p>
    <w:p w14:paraId="4585CAC5" w14:textId="3AC0BD82" w:rsidR="001E5D5F" w:rsidRPr="00B560DA" w:rsidRDefault="001E5D5F" w:rsidP="001E5D5F">
      <w:pPr>
        <w:spacing w:line="240" w:lineRule="auto"/>
        <w:textAlignment w:val="center"/>
        <w:rPr>
          <w:rFonts w:ascii="Arial" w:eastAsia="Times New Roman" w:hAnsi="Arial" w:cs="Arial"/>
          <w:sz w:val="20"/>
          <w:szCs w:val="20"/>
          <w:lang w:eastAsia="en-AU"/>
        </w:rPr>
      </w:pPr>
      <w:r w:rsidRPr="00B560DA">
        <w:rPr>
          <w:rFonts w:ascii="Arial" w:hAnsi="Arial" w:cs="Arial"/>
          <w:sz w:val="20"/>
          <w:szCs w:val="20"/>
        </w:rPr>
        <w:t xml:space="preserve">In exercising my power under </w:t>
      </w:r>
      <w:r w:rsidR="00B44A71" w:rsidRPr="00B44A71">
        <w:rPr>
          <w:rFonts w:ascii="Arial" w:hAnsi="Arial" w:cs="Arial"/>
          <w:sz w:val="20"/>
          <w:szCs w:val="20"/>
        </w:rPr>
        <w:t>section 52D(2) of the Act</w:t>
      </w:r>
      <w:r w:rsidRPr="00B560DA">
        <w:rPr>
          <w:rFonts w:ascii="Arial" w:hAnsi="Arial" w:cs="Arial"/>
          <w:sz w:val="20"/>
          <w:szCs w:val="20"/>
        </w:rPr>
        <w:t>, I have taken into account the information provided in the materials listed above</w:t>
      </w:r>
      <w:r w:rsidR="00A10D66" w:rsidRPr="00B560DA">
        <w:rPr>
          <w:rFonts w:ascii="Arial" w:hAnsi="Arial" w:cs="Arial"/>
          <w:sz w:val="20"/>
          <w:szCs w:val="20"/>
        </w:rPr>
        <w:t>.</w:t>
      </w:r>
      <w:r w:rsidRPr="00B560DA">
        <w:rPr>
          <w:rFonts w:ascii="Arial" w:eastAsia="Times New Roman" w:hAnsi="Arial" w:cs="Arial"/>
          <w:sz w:val="20"/>
          <w:szCs w:val="20"/>
          <w:lang w:eastAsia="en-AU"/>
        </w:rPr>
        <w:t xml:space="preserve"> </w:t>
      </w:r>
      <w:r w:rsidR="00750DD7">
        <w:rPr>
          <w:rFonts w:ascii="Arial" w:eastAsia="Times New Roman" w:hAnsi="Arial" w:cs="Arial"/>
          <w:sz w:val="20"/>
          <w:szCs w:val="20"/>
          <w:lang w:eastAsia="en-AU"/>
        </w:rPr>
        <w:t xml:space="preserve">I </w:t>
      </w:r>
      <w:r w:rsidRPr="00B560DA">
        <w:rPr>
          <w:rFonts w:ascii="Arial" w:eastAsia="Times New Roman" w:hAnsi="Arial" w:cs="Arial"/>
          <w:sz w:val="20"/>
          <w:szCs w:val="20"/>
          <w:lang w:eastAsia="en-AU"/>
        </w:rPr>
        <w:t xml:space="preserve">have made a decision to amend the </w:t>
      </w:r>
      <w:r w:rsidR="00A10D66" w:rsidRPr="00B560DA">
        <w:rPr>
          <w:rFonts w:ascii="Arial" w:eastAsia="Times New Roman" w:hAnsi="Arial" w:cs="Arial"/>
          <w:sz w:val="20"/>
          <w:szCs w:val="20"/>
          <w:lang w:eastAsia="en-AU"/>
        </w:rPr>
        <w:t>Schedule </w:t>
      </w:r>
      <w:r w:rsidRPr="00B560DA">
        <w:rPr>
          <w:rFonts w:ascii="Arial" w:eastAsia="Times New Roman" w:hAnsi="Arial" w:cs="Arial"/>
          <w:sz w:val="20"/>
          <w:szCs w:val="20"/>
          <w:lang w:eastAsia="en-AU"/>
        </w:rPr>
        <w:t>4 and 7 entries for nicotine in the Poisons Standard to restrict the exemptions of oromucosal or transdermal nicotine preparations to those that are used as an aid in withdrawal from tobacco smoking or nicotine vaping and are entered on the Australian Register of Therapeutic Goods (</w:t>
      </w:r>
      <w:r w:rsidR="00750DD7">
        <w:rPr>
          <w:rFonts w:ascii="Arial" w:eastAsia="Times New Roman" w:hAnsi="Arial" w:cs="Arial"/>
          <w:sz w:val="20"/>
          <w:szCs w:val="20"/>
          <w:lang w:eastAsia="en-AU"/>
        </w:rPr>
        <w:t>the Register</w:t>
      </w:r>
      <w:r w:rsidRPr="00B560DA">
        <w:rPr>
          <w:rFonts w:ascii="Arial" w:eastAsia="Times New Roman" w:hAnsi="Arial" w:cs="Arial"/>
          <w:sz w:val="20"/>
          <w:szCs w:val="20"/>
          <w:lang w:eastAsia="en-AU"/>
        </w:rPr>
        <w:t xml:space="preserve">). </w:t>
      </w:r>
    </w:p>
    <w:p w14:paraId="38C0C1DB" w14:textId="656F1437" w:rsidR="001E5D5F" w:rsidRPr="00B560DA" w:rsidRDefault="001E5D5F" w:rsidP="001E5D5F">
      <w:pPr>
        <w:spacing w:line="240" w:lineRule="auto"/>
        <w:textAlignment w:val="center"/>
        <w:rPr>
          <w:rFonts w:ascii="Arial" w:eastAsia="Times New Roman" w:hAnsi="Arial" w:cs="Arial"/>
          <w:sz w:val="20"/>
          <w:szCs w:val="20"/>
          <w:lang w:eastAsia="en-AU"/>
        </w:rPr>
      </w:pPr>
      <w:r w:rsidRPr="00B560DA">
        <w:rPr>
          <w:rFonts w:ascii="Arial" w:eastAsia="Times New Roman" w:hAnsi="Arial" w:cs="Arial"/>
          <w:sz w:val="20"/>
          <w:szCs w:val="20"/>
          <w:lang w:eastAsia="en-AU"/>
        </w:rPr>
        <w:t xml:space="preserve">In relation to my decision to include </w:t>
      </w:r>
      <w:r w:rsidR="00750DD7">
        <w:rPr>
          <w:rFonts w:ascii="Arial" w:eastAsia="Times New Roman" w:hAnsi="Arial" w:cs="Arial"/>
          <w:sz w:val="20"/>
          <w:szCs w:val="20"/>
          <w:lang w:eastAsia="en-AU"/>
        </w:rPr>
        <w:t>reference to</w:t>
      </w:r>
      <w:r w:rsidR="00750DD7" w:rsidRPr="00B560DA">
        <w:rPr>
          <w:rFonts w:ascii="Arial" w:eastAsia="Times New Roman" w:hAnsi="Arial" w:cs="Arial"/>
          <w:sz w:val="20"/>
          <w:szCs w:val="20"/>
          <w:lang w:eastAsia="en-AU"/>
        </w:rPr>
        <w:t xml:space="preserve"> </w:t>
      </w:r>
      <w:r w:rsidRPr="00B560DA">
        <w:rPr>
          <w:rFonts w:ascii="Arial" w:eastAsia="Times New Roman" w:hAnsi="Arial" w:cs="Arial"/>
          <w:sz w:val="20"/>
          <w:szCs w:val="20"/>
          <w:lang w:eastAsia="en-AU"/>
        </w:rPr>
        <w:t xml:space="preserve">oromucosal or transdermal nicotine preparations that are used for nicotine vaping withdrawal in the exemption, under s 52E(1)(a) and (b) of the Act, I acknowledge </w:t>
      </w:r>
      <w:r w:rsidR="00B7418E" w:rsidRPr="00B560DA">
        <w:rPr>
          <w:rFonts w:ascii="Arial" w:eastAsia="Times New Roman" w:hAnsi="Arial" w:cs="Arial"/>
          <w:sz w:val="20"/>
          <w:szCs w:val="20"/>
          <w:lang w:eastAsia="en-AU"/>
        </w:rPr>
        <w:t xml:space="preserve">that </w:t>
      </w:r>
      <w:r w:rsidRPr="00B560DA">
        <w:rPr>
          <w:rFonts w:ascii="Arial" w:eastAsia="Times New Roman" w:hAnsi="Arial" w:cs="Arial"/>
          <w:sz w:val="20"/>
          <w:szCs w:val="20"/>
          <w:lang w:eastAsia="en-AU"/>
        </w:rPr>
        <w:t>at present there is a</w:t>
      </w:r>
      <w:r w:rsidR="00A00118" w:rsidRPr="00B560DA">
        <w:rPr>
          <w:rFonts w:ascii="Arial" w:eastAsia="Times New Roman" w:hAnsi="Arial" w:cs="Arial"/>
          <w:sz w:val="20"/>
          <w:szCs w:val="20"/>
          <w:lang w:eastAsia="en-AU"/>
        </w:rPr>
        <w:t xml:space="preserve"> significant </w:t>
      </w:r>
      <w:r w:rsidRPr="00B560DA">
        <w:rPr>
          <w:rFonts w:ascii="Arial" w:eastAsia="Times New Roman" w:hAnsi="Arial" w:cs="Arial"/>
          <w:sz w:val="20"/>
          <w:szCs w:val="20"/>
          <w:lang w:eastAsia="en-AU"/>
        </w:rPr>
        <w:t>prevalence of nicotine vaping in Australia. There is a need in the community for aids to manage nicotine withdrawal associated with nicotine vaping. Nicotine preparations indicated for withdrawal from nicotine vaping are currently classified as Schedule 4 (prescription only) medicines. I consider enabling greater accessibility to nicotine vaping cessation aids to support individuals, especially younger people, will provide additional public health benefits. I note the inclusion of nicotine vaping cessation as an indication</w:t>
      </w:r>
      <w:r w:rsidR="00750DD7">
        <w:rPr>
          <w:rFonts w:ascii="Arial" w:eastAsia="Times New Roman" w:hAnsi="Arial" w:cs="Arial"/>
          <w:sz w:val="20"/>
          <w:szCs w:val="20"/>
          <w:lang w:eastAsia="en-AU"/>
        </w:rPr>
        <w:t xml:space="preserve"> </w:t>
      </w:r>
      <w:r w:rsidRPr="00B560DA">
        <w:rPr>
          <w:rFonts w:ascii="Arial" w:eastAsia="Times New Roman" w:hAnsi="Arial" w:cs="Arial"/>
          <w:sz w:val="20"/>
          <w:szCs w:val="20"/>
          <w:lang w:eastAsia="en-AU"/>
        </w:rPr>
        <w:t>will require a sponsor to submit an application to the TGA with sufficient evidence to support such us</w:t>
      </w:r>
      <w:r w:rsidR="00750DD7">
        <w:rPr>
          <w:rFonts w:ascii="Arial" w:eastAsia="Times New Roman" w:hAnsi="Arial" w:cs="Arial"/>
          <w:sz w:val="20"/>
          <w:szCs w:val="20"/>
          <w:lang w:eastAsia="en-AU"/>
        </w:rPr>
        <w:t>e</w:t>
      </w:r>
      <w:r w:rsidR="006301B3" w:rsidRPr="00B560DA">
        <w:rPr>
          <w:rFonts w:ascii="Arial" w:eastAsia="Times New Roman" w:hAnsi="Arial" w:cs="Arial"/>
          <w:sz w:val="20"/>
          <w:szCs w:val="20"/>
          <w:lang w:eastAsia="en-AU"/>
        </w:rPr>
        <w:t xml:space="preserve"> </w:t>
      </w:r>
      <w:r w:rsidR="00750DD7">
        <w:rPr>
          <w:rFonts w:ascii="Arial" w:eastAsia="Times New Roman" w:hAnsi="Arial" w:cs="Arial"/>
          <w:sz w:val="20"/>
          <w:szCs w:val="20"/>
          <w:lang w:eastAsia="en-AU"/>
        </w:rPr>
        <w:t xml:space="preserve">for evaluation </w:t>
      </w:r>
      <w:r w:rsidR="006301B3" w:rsidRPr="00B560DA">
        <w:rPr>
          <w:rFonts w:ascii="Arial" w:eastAsia="Times New Roman" w:hAnsi="Arial" w:cs="Arial"/>
          <w:sz w:val="20"/>
          <w:szCs w:val="20"/>
          <w:lang w:eastAsia="en-AU"/>
        </w:rPr>
        <w:t>by the TGA</w:t>
      </w:r>
      <w:r w:rsidRPr="00B560DA">
        <w:rPr>
          <w:rFonts w:ascii="Arial" w:eastAsia="Times New Roman" w:hAnsi="Arial" w:cs="Arial"/>
          <w:sz w:val="20"/>
          <w:szCs w:val="20"/>
          <w:lang w:eastAsia="en-AU"/>
        </w:rPr>
        <w:t xml:space="preserve">. </w:t>
      </w:r>
      <w:r w:rsidR="00750DD7">
        <w:rPr>
          <w:rFonts w:ascii="Arial" w:eastAsia="Times New Roman" w:hAnsi="Arial" w:cs="Arial"/>
          <w:sz w:val="20"/>
          <w:szCs w:val="20"/>
          <w:lang w:eastAsia="en-AU"/>
        </w:rPr>
        <w:t xml:space="preserve">Ultimately, the registration of such product </w:t>
      </w:r>
      <w:r w:rsidRPr="00B560DA">
        <w:rPr>
          <w:rFonts w:ascii="Arial" w:eastAsia="Times New Roman" w:hAnsi="Arial" w:cs="Arial"/>
          <w:sz w:val="20"/>
          <w:szCs w:val="20"/>
          <w:lang w:eastAsia="en-AU"/>
        </w:rPr>
        <w:t xml:space="preserve">will enable consumers to access evidence-based nicotine vaping cessation products that </w:t>
      </w:r>
      <w:r w:rsidR="00750DD7">
        <w:rPr>
          <w:rFonts w:ascii="Arial" w:eastAsia="Times New Roman" w:hAnsi="Arial" w:cs="Arial"/>
          <w:sz w:val="20"/>
          <w:szCs w:val="20"/>
          <w:lang w:eastAsia="en-AU"/>
        </w:rPr>
        <w:t>may be</w:t>
      </w:r>
      <w:r w:rsidR="00750DD7" w:rsidRPr="00B560DA">
        <w:rPr>
          <w:rFonts w:ascii="Arial" w:eastAsia="Times New Roman" w:hAnsi="Arial" w:cs="Arial"/>
          <w:sz w:val="20"/>
          <w:szCs w:val="20"/>
          <w:lang w:eastAsia="en-AU"/>
        </w:rPr>
        <w:t xml:space="preserve"> </w:t>
      </w:r>
      <w:r w:rsidRPr="00B560DA">
        <w:rPr>
          <w:rFonts w:ascii="Arial" w:eastAsia="Times New Roman" w:hAnsi="Arial" w:cs="Arial"/>
          <w:sz w:val="20"/>
          <w:szCs w:val="20"/>
          <w:lang w:eastAsia="en-AU"/>
        </w:rPr>
        <w:t xml:space="preserve">readily </w:t>
      </w:r>
      <w:r w:rsidR="00750DD7">
        <w:rPr>
          <w:rFonts w:ascii="Arial" w:eastAsia="Times New Roman" w:hAnsi="Arial" w:cs="Arial"/>
          <w:sz w:val="20"/>
          <w:szCs w:val="20"/>
          <w:lang w:eastAsia="en-AU"/>
        </w:rPr>
        <w:t xml:space="preserve">marketed and </w:t>
      </w:r>
      <w:r w:rsidRPr="00B560DA">
        <w:rPr>
          <w:rFonts w:ascii="Arial" w:eastAsia="Times New Roman" w:hAnsi="Arial" w:cs="Arial"/>
          <w:sz w:val="20"/>
          <w:szCs w:val="20"/>
          <w:lang w:eastAsia="en-AU"/>
        </w:rPr>
        <w:t>available in general sale, such as supermarkets and convenience stores, without a prescription.</w:t>
      </w:r>
    </w:p>
    <w:p w14:paraId="55D9C3AD" w14:textId="44E9F364" w:rsidR="001E5D5F" w:rsidRPr="00B560DA" w:rsidRDefault="001E5D5F" w:rsidP="001E5D5F">
      <w:pPr>
        <w:spacing w:line="240" w:lineRule="auto"/>
        <w:textAlignment w:val="center"/>
        <w:rPr>
          <w:rFonts w:ascii="Arial" w:eastAsia="Times New Roman" w:hAnsi="Arial" w:cs="Arial"/>
          <w:sz w:val="20"/>
          <w:szCs w:val="20"/>
          <w:lang w:eastAsia="en-AU"/>
        </w:rPr>
      </w:pPr>
      <w:r w:rsidRPr="00B560DA">
        <w:rPr>
          <w:rFonts w:ascii="Arial" w:eastAsia="Times New Roman" w:hAnsi="Arial" w:cs="Arial"/>
          <w:sz w:val="20"/>
          <w:szCs w:val="20"/>
          <w:lang w:eastAsia="en-AU"/>
        </w:rPr>
        <w:t xml:space="preserve">In making the decision to restrict the </w:t>
      </w:r>
      <w:r w:rsidR="00750DD7">
        <w:rPr>
          <w:rFonts w:ascii="Arial" w:eastAsia="Times New Roman" w:hAnsi="Arial" w:cs="Arial"/>
          <w:sz w:val="20"/>
          <w:szCs w:val="20"/>
          <w:lang w:eastAsia="en-AU"/>
        </w:rPr>
        <w:t>exception in paragraph (b) of the Schedule 4 entry</w:t>
      </w:r>
      <w:r w:rsidR="00757379">
        <w:rPr>
          <w:rFonts w:ascii="Arial" w:eastAsia="Times New Roman" w:hAnsi="Arial" w:cs="Arial"/>
          <w:sz w:val="20"/>
          <w:szCs w:val="20"/>
          <w:lang w:eastAsia="en-AU"/>
        </w:rPr>
        <w:t xml:space="preserve"> for nicotine</w:t>
      </w:r>
      <w:r w:rsidR="00750DD7" w:rsidRPr="00B560DA">
        <w:rPr>
          <w:rFonts w:ascii="Arial" w:eastAsia="Times New Roman" w:hAnsi="Arial" w:cs="Arial"/>
          <w:sz w:val="20"/>
          <w:szCs w:val="20"/>
          <w:lang w:eastAsia="en-AU"/>
        </w:rPr>
        <w:t xml:space="preserve"> </w:t>
      </w:r>
      <w:r w:rsidRPr="00B560DA">
        <w:rPr>
          <w:rFonts w:ascii="Arial" w:eastAsia="Times New Roman" w:hAnsi="Arial" w:cs="Arial"/>
          <w:sz w:val="20"/>
          <w:szCs w:val="20"/>
          <w:lang w:eastAsia="en-AU"/>
        </w:rPr>
        <w:t xml:space="preserve">to registered </w:t>
      </w:r>
      <w:r w:rsidR="00750DD7">
        <w:rPr>
          <w:rFonts w:ascii="Arial" w:eastAsia="Times New Roman" w:hAnsi="Arial" w:cs="Arial"/>
          <w:sz w:val="20"/>
          <w:szCs w:val="20"/>
          <w:lang w:eastAsia="en-AU"/>
        </w:rPr>
        <w:t>preparations</w:t>
      </w:r>
      <w:r w:rsidR="00750DD7" w:rsidRPr="00B560DA">
        <w:rPr>
          <w:rFonts w:ascii="Arial" w:eastAsia="Times New Roman" w:hAnsi="Arial" w:cs="Arial"/>
          <w:sz w:val="20"/>
          <w:szCs w:val="20"/>
          <w:lang w:eastAsia="en-AU"/>
        </w:rPr>
        <w:t xml:space="preserve"> </w:t>
      </w:r>
      <w:r w:rsidR="00750DD7">
        <w:rPr>
          <w:rFonts w:ascii="Arial" w:eastAsia="Times New Roman" w:hAnsi="Arial" w:cs="Arial"/>
          <w:sz w:val="20"/>
          <w:szCs w:val="20"/>
          <w:lang w:eastAsia="en-AU"/>
        </w:rPr>
        <w:t xml:space="preserve">included in </w:t>
      </w:r>
      <w:r w:rsidRPr="00B560DA">
        <w:rPr>
          <w:rFonts w:ascii="Arial" w:eastAsia="Times New Roman" w:hAnsi="Arial" w:cs="Arial"/>
          <w:sz w:val="20"/>
          <w:szCs w:val="20"/>
          <w:lang w:eastAsia="en-AU"/>
        </w:rPr>
        <w:t xml:space="preserve">the </w:t>
      </w:r>
      <w:r w:rsidR="00750DD7">
        <w:rPr>
          <w:rFonts w:ascii="Arial" w:eastAsia="Times New Roman" w:hAnsi="Arial" w:cs="Arial"/>
          <w:sz w:val="20"/>
          <w:szCs w:val="20"/>
          <w:lang w:eastAsia="en-AU"/>
        </w:rPr>
        <w:t>Register,</w:t>
      </w:r>
      <w:r w:rsidR="00750DD7" w:rsidRPr="00B560DA">
        <w:rPr>
          <w:rFonts w:ascii="Arial" w:eastAsia="Times New Roman" w:hAnsi="Arial" w:cs="Arial"/>
          <w:sz w:val="20"/>
          <w:szCs w:val="20"/>
          <w:lang w:eastAsia="en-AU"/>
        </w:rPr>
        <w:t xml:space="preserve"> </w:t>
      </w:r>
      <w:r w:rsidR="00B7418E" w:rsidRPr="00B560DA">
        <w:rPr>
          <w:rFonts w:ascii="Arial" w:eastAsia="Times New Roman" w:hAnsi="Arial" w:cs="Arial"/>
          <w:sz w:val="20"/>
          <w:szCs w:val="20"/>
          <w:lang w:eastAsia="en-AU"/>
        </w:rPr>
        <w:t>I have</w:t>
      </w:r>
      <w:r w:rsidR="00B560DA">
        <w:rPr>
          <w:rFonts w:ascii="Arial" w:eastAsia="Times New Roman" w:hAnsi="Arial" w:cs="Arial"/>
          <w:sz w:val="20"/>
          <w:szCs w:val="20"/>
          <w:lang w:eastAsia="en-AU"/>
        </w:rPr>
        <w:t>,</w:t>
      </w:r>
      <w:r w:rsidR="00B7418E" w:rsidRPr="00B560DA">
        <w:rPr>
          <w:rFonts w:ascii="Arial" w:eastAsia="Times New Roman" w:hAnsi="Arial" w:cs="Arial"/>
          <w:sz w:val="20"/>
          <w:szCs w:val="20"/>
          <w:lang w:eastAsia="en-AU"/>
        </w:rPr>
        <w:t xml:space="preserve"> </w:t>
      </w:r>
      <w:r w:rsidRPr="00B560DA">
        <w:rPr>
          <w:rFonts w:ascii="Arial" w:eastAsia="Times New Roman" w:hAnsi="Arial" w:cs="Arial"/>
          <w:sz w:val="20"/>
          <w:szCs w:val="20"/>
          <w:lang w:eastAsia="en-AU"/>
        </w:rPr>
        <w:t>under s 52E(1)(b) and (c) of the Act, note</w:t>
      </w:r>
      <w:r w:rsidR="00B7418E" w:rsidRPr="00B560DA">
        <w:rPr>
          <w:rFonts w:ascii="Arial" w:eastAsia="Times New Roman" w:hAnsi="Arial" w:cs="Arial"/>
          <w:sz w:val="20"/>
          <w:szCs w:val="20"/>
          <w:lang w:eastAsia="en-AU"/>
        </w:rPr>
        <w:t>d</w:t>
      </w:r>
      <w:r w:rsidRPr="00B560DA">
        <w:rPr>
          <w:rFonts w:ascii="Arial" w:eastAsia="Times New Roman" w:hAnsi="Arial" w:cs="Arial"/>
          <w:sz w:val="20"/>
          <w:szCs w:val="20"/>
          <w:lang w:eastAsia="en-AU"/>
        </w:rPr>
        <w:t xml:space="preserve"> the increasing profile of novel nicotine preparations in Australia, including nicotine pouches and nicotine infused toothpicks. Of particular concern is the promotion of nicotine pouches to young people as an aid to support smoking or nicotine vaping cessation. Nicotine pouches are small pouches or bags containing nicotine and sometimes other ingredients such as sweeteners and flavours that are intended to be placed between the lip and gum, where nicotine is absorbed into the body. </w:t>
      </w:r>
    </w:p>
    <w:p w14:paraId="1E34AAE0" w14:textId="63000EB8" w:rsidR="001E5D5F" w:rsidRPr="00B560DA" w:rsidRDefault="001E5D5F" w:rsidP="001E5D5F">
      <w:pPr>
        <w:spacing w:line="240" w:lineRule="auto"/>
        <w:textAlignment w:val="center"/>
        <w:rPr>
          <w:rFonts w:ascii="Arial" w:eastAsia="Times New Roman" w:hAnsi="Arial" w:cs="Arial"/>
          <w:sz w:val="20"/>
          <w:szCs w:val="20"/>
          <w:lang w:eastAsia="en-AU"/>
        </w:rPr>
      </w:pPr>
      <w:r w:rsidRPr="00B560DA">
        <w:rPr>
          <w:rFonts w:ascii="Arial" w:eastAsia="Times New Roman" w:hAnsi="Arial" w:cs="Arial"/>
          <w:sz w:val="20"/>
          <w:szCs w:val="20"/>
          <w:lang w:eastAsia="en-AU"/>
        </w:rPr>
        <w:t xml:space="preserve">I note at present there is no evidence to support the use of these nicotine </w:t>
      </w:r>
      <w:r w:rsidR="00750DD7">
        <w:rPr>
          <w:rFonts w:ascii="Arial" w:eastAsia="Times New Roman" w:hAnsi="Arial" w:cs="Arial"/>
          <w:sz w:val="20"/>
          <w:szCs w:val="20"/>
          <w:lang w:eastAsia="en-AU"/>
        </w:rPr>
        <w:t>pouches</w:t>
      </w:r>
      <w:r w:rsidR="00750DD7" w:rsidRPr="00B560DA">
        <w:rPr>
          <w:rFonts w:ascii="Arial" w:eastAsia="Times New Roman" w:hAnsi="Arial" w:cs="Arial"/>
          <w:sz w:val="20"/>
          <w:szCs w:val="20"/>
          <w:lang w:eastAsia="en-AU"/>
        </w:rPr>
        <w:t xml:space="preserve"> </w:t>
      </w:r>
      <w:r w:rsidR="00750DD7">
        <w:rPr>
          <w:rFonts w:ascii="Arial" w:eastAsia="Times New Roman" w:hAnsi="Arial" w:cs="Arial"/>
          <w:sz w:val="20"/>
          <w:szCs w:val="20"/>
          <w:lang w:eastAsia="en-AU"/>
        </w:rPr>
        <w:t xml:space="preserve">or toothpicks </w:t>
      </w:r>
      <w:r w:rsidRPr="00B560DA">
        <w:rPr>
          <w:rFonts w:ascii="Arial" w:eastAsia="Times New Roman" w:hAnsi="Arial" w:cs="Arial"/>
          <w:sz w:val="20"/>
          <w:szCs w:val="20"/>
          <w:lang w:eastAsia="en-AU"/>
        </w:rPr>
        <w:t>for smoking or nicotine vaping cessation, nor the effects of long-term use of these products. Furthermore, exposure to nicotine may lead to increased heart rate, nausea, dizziness, and abdominal cramps, especially to those who do not usually smoke or vape. Evidence also shows nicotine may also have adverse impacts on adolescent brain development.</w:t>
      </w:r>
    </w:p>
    <w:p w14:paraId="658C23D9" w14:textId="654CFC44" w:rsidR="001E5D5F" w:rsidRPr="00B560DA" w:rsidRDefault="00D93EB0" w:rsidP="001E5D5F">
      <w:pPr>
        <w:spacing w:line="240" w:lineRule="auto"/>
        <w:textAlignment w:val="center"/>
        <w:rPr>
          <w:rFonts w:ascii="Arial" w:eastAsia="Times New Roman" w:hAnsi="Arial" w:cs="Arial"/>
          <w:sz w:val="20"/>
          <w:szCs w:val="20"/>
          <w:lang w:eastAsia="en-AU"/>
        </w:rPr>
      </w:pPr>
      <w:r w:rsidRPr="00B560DA">
        <w:rPr>
          <w:rFonts w:ascii="Arial" w:eastAsia="Times New Roman" w:hAnsi="Arial" w:cs="Arial"/>
          <w:sz w:val="20"/>
          <w:szCs w:val="20"/>
          <w:lang w:eastAsia="en-AU"/>
        </w:rPr>
        <w:lastRenderedPageBreak/>
        <w:t>Regarding</w:t>
      </w:r>
      <w:r w:rsidR="001E5D5F" w:rsidRPr="00B560DA">
        <w:rPr>
          <w:rFonts w:ascii="Arial" w:eastAsia="Times New Roman" w:hAnsi="Arial" w:cs="Arial"/>
          <w:sz w:val="20"/>
          <w:szCs w:val="20"/>
          <w:lang w:eastAsia="en-AU"/>
        </w:rPr>
        <w:t xml:space="preserve"> </w:t>
      </w:r>
      <w:r w:rsidR="00B7418E" w:rsidRPr="00B560DA">
        <w:rPr>
          <w:rFonts w:ascii="Arial" w:eastAsia="Times New Roman" w:hAnsi="Arial" w:cs="Arial"/>
          <w:sz w:val="20"/>
          <w:szCs w:val="20"/>
          <w:lang w:eastAsia="en-AU"/>
        </w:rPr>
        <w:t xml:space="preserve">the matters in </w:t>
      </w:r>
      <w:r w:rsidR="00750DD7">
        <w:rPr>
          <w:rFonts w:ascii="Arial" w:eastAsia="Times New Roman" w:hAnsi="Arial" w:cs="Arial"/>
          <w:sz w:val="20"/>
          <w:szCs w:val="20"/>
          <w:lang w:eastAsia="en-AU"/>
        </w:rPr>
        <w:t>paragraphs</w:t>
      </w:r>
      <w:r w:rsidR="001E5D5F" w:rsidRPr="00B560DA">
        <w:rPr>
          <w:rFonts w:ascii="Arial" w:eastAsia="Times New Roman" w:hAnsi="Arial" w:cs="Arial"/>
          <w:sz w:val="20"/>
          <w:szCs w:val="20"/>
          <w:lang w:eastAsia="en-AU"/>
        </w:rPr>
        <w:t xml:space="preserve"> 52E(1)(a), (d) and (f)</w:t>
      </w:r>
      <w:r w:rsidR="00750DD7">
        <w:rPr>
          <w:rFonts w:ascii="Arial" w:eastAsia="Times New Roman" w:hAnsi="Arial" w:cs="Arial"/>
          <w:sz w:val="20"/>
          <w:szCs w:val="20"/>
          <w:lang w:eastAsia="en-AU"/>
        </w:rPr>
        <w:t xml:space="preserve"> of the Act</w:t>
      </w:r>
      <w:r w:rsidR="001E5D5F" w:rsidRPr="00B560DA">
        <w:rPr>
          <w:rFonts w:ascii="Arial" w:eastAsia="Times New Roman" w:hAnsi="Arial" w:cs="Arial"/>
          <w:sz w:val="20"/>
          <w:szCs w:val="20"/>
          <w:lang w:eastAsia="en-AU"/>
        </w:rPr>
        <w:t xml:space="preserve">, currently none of these novel nicotine products are included </w:t>
      </w:r>
      <w:r w:rsidR="00750DD7">
        <w:rPr>
          <w:rFonts w:ascii="Arial" w:eastAsia="Times New Roman" w:hAnsi="Arial" w:cs="Arial"/>
          <w:sz w:val="20"/>
          <w:szCs w:val="20"/>
          <w:lang w:eastAsia="en-AU"/>
        </w:rPr>
        <w:t>i</w:t>
      </w:r>
      <w:r w:rsidR="001E5D5F" w:rsidRPr="00B560DA">
        <w:rPr>
          <w:rFonts w:ascii="Arial" w:eastAsia="Times New Roman" w:hAnsi="Arial" w:cs="Arial"/>
          <w:sz w:val="20"/>
          <w:szCs w:val="20"/>
          <w:lang w:eastAsia="en-AU"/>
        </w:rPr>
        <w:t xml:space="preserve">n the </w:t>
      </w:r>
      <w:r w:rsidR="00750DD7">
        <w:rPr>
          <w:rFonts w:ascii="Arial" w:eastAsia="Times New Roman" w:hAnsi="Arial" w:cs="Arial"/>
          <w:sz w:val="20"/>
          <w:szCs w:val="20"/>
          <w:lang w:eastAsia="en-AU"/>
        </w:rPr>
        <w:t>Register</w:t>
      </w:r>
      <w:r w:rsidR="001E5D5F" w:rsidRPr="00B560DA">
        <w:rPr>
          <w:rFonts w:ascii="Arial" w:eastAsia="Times New Roman" w:hAnsi="Arial" w:cs="Arial"/>
          <w:sz w:val="20"/>
          <w:szCs w:val="20"/>
          <w:lang w:eastAsia="en-AU"/>
        </w:rPr>
        <w:t>, meaning these products have not been evaluated by the TGA for their quality, safety, or efficacy. Of particular concern, these products can be supplied with high levels of nicotine and may also include unspecified materials or ingredients, which present significant safety concerns.</w:t>
      </w:r>
    </w:p>
    <w:p w14:paraId="691F27BC" w14:textId="2708B192" w:rsidR="00D93EB0" w:rsidRPr="00B560DA" w:rsidRDefault="001E5D5F" w:rsidP="00D93EB0">
      <w:pPr>
        <w:spacing w:line="240" w:lineRule="auto"/>
        <w:textAlignment w:val="center"/>
        <w:rPr>
          <w:rFonts w:ascii="Arial" w:eastAsia="Times New Roman" w:hAnsi="Arial" w:cs="Arial"/>
          <w:sz w:val="20"/>
          <w:szCs w:val="20"/>
          <w:lang w:eastAsia="en-AU"/>
        </w:rPr>
      </w:pPr>
      <w:r w:rsidRPr="00B560DA">
        <w:rPr>
          <w:rFonts w:ascii="Arial" w:eastAsia="Times New Roman" w:hAnsi="Arial" w:cs="Arial"/>
          <w:sz w:val="20"/>
          <w:szCs w:val="20"/>
          <w:lang w:eastAsia="en-AU"/>
        </w:rPr>
        <w:t xml:space="preserve">I note </w:t>
      </w:r>
      <w:r w:rsidR="00B7418E" w:rsidRPr="00B560DA">
        <w:rPr>
          <w:rFonts w:ascii="Arial" w:eastAsia="Times New Roman" w:hAnsi="Arial" w:cs="Arial"/>
          <w:sz w:val="20"/>
          <w:szCs w:val="20"/>
          <w:lang w:eastAsia="en-AU"/>
        </w:rPr>
        <w:t xml:space="preserve">that </w:t>
      </w:r>
      <w:r w:rsidRPr="00B560DA">
        <w:rPr>
          <w:rFonts w:ascii="Arial" w:eastAsia="Times New Roman" w:hAnsi="Arial" w:cs="Arial"/>
          <w:sz w:val="20"/>
          <w:szCs w:val="20"/>
          <w:lang w:eastAsia="en-AU"/>
        </w:rPr>
        <w:t xml:space="preserve">nicotine </w:t>
      </w:r>
      <w:r w:rsidR="00750DD7">
        <w:rPr>
          <w:rFonts w:ascii="Arial" w:eastAsia="Times New Roman" w:hAnsi="Arial" w:cs="Arial"/>
          <w:sz w:val="20"/>
          <w:szCs w:val="20"/>
          <w:lang w:eastAsia="en-AU"/>
        </w:rPr>
        <w:t>pouches</w:t>
      </w:r>
      <w:r w:rsidR="00750DD7" w:rsidRPr="00B560DA">
        <w:rPr>
          <w:rFonts w:ascii="Arial" w:eastAsia="Times New Roman" w:hAnsi="Arial" w:cs="Arial"/>
          <w:sz w:val="20"/>
          <w:szCs w:val="20"/>
          <w:lang w:eastAsia="en-AU"/>
        </w:rPr>
        <w:t xml:space="preserve"> </w:t>
      </w:r>
      <w:r w:rsidR="00750DD7">
        <w:rPr>
          <w:rFonts w:ascii="Arial" w:eastAsia="Times New Roman" w:hAnsi="Arial" w:cs="Arial"/>
          <w:sz w:val="20"/>
          <w:szCs w:val="20"/>
          <w:lang w:eastAsia="en-AU"/>
        </w:rPr>
        <w:t xml:space="preserve">in particular </w:t>
      </w:r>
      <w:r w:rsidRPr="00B560DA">
        <w:rPr>
          <w:rFonts w:ascii="Arial" w:eastAsia="Times New Roman" w:hAnsi="Arial" w:cs="Arial"/>
          <w:sz w:val="20"/>
          <w:szCs w:val="20"/>
          <w:lang w:eastAsia="en-AU"/>
        </w:rPr>
        <w:t xml:space="preserve">are being marketed to the community through a range of channels and are easily accessible through the internet, convenience stores and tobacconists. Marketing strategies of these products include unproven health claims, brightly coloured packaging and flavours that appeal to young people. </w:t>
      </w:r>
      <w:r w:rsidR="00D93EB0" w:rsidRPr="00B560DA">
        <w:rPr>
          <w:rFonts w:ascii="Arial" w:eastAsia="Times New Roman" w:hAnsi="Arial" w:cs="Arial"/>
          <w:sz w:val="20"/>
          <w:szCs w:val="20"/>
          <w:lang w:eastAsia="en-AU"/>
        </w:rPr>
        <w:t xml:space="preserve">With regard to </w:t>
      </w:r>
      <w:r w:rsidR="00B7418E" w:rsidRPr="00B560DA">
        <w:rPr>
          <w:rFonts w:ascii="Arial" w:eastAsia="Times New Roman" w:hAnsi="Arial" w:cs="Arial"/>
          <w:sz w:val="20"/>
          <w:szCs w:val="20"/>
          <w:lang w:eastAsia="en-AU"/>
        </w:rPr>
        <w:t xml:space="preserve">the matters in </w:t>
      </w:r>
      <w:r w:rsidR="00D93EB0" w:rsidRPr="00B560DA">
        <w:rPr>
          <w:rFonts w:ascii="Arial" w:eastAsia="Times New Roman" w:hAnsi="Arial" w:cs="Arial"/>
          <w:sz w:val="20"/>
          <w:szCs w:val="20"/>
          <w:lang w:eastAsia="en-AU"/>
        </w:rPr>
        <w:t>s 52E(1)(a) and (d) of the Act, I</w:t>
      </w:r>
      <w:r w:rsidR="00750DD7">
        <w:rPr>
          <w:rFonts w:ascii="Arial" w:eastAsia="Times New Roman" w:hAnsi="Arial" w:cs="Arial"/>
          <w:sz w:val="20"/>
          <w:szCs w:val="20"/>
          <w:lang w:eastAsia="en-AU"/>
        </w:rPr>
        <w:t> </w:t>
      </w:r>
      <w:r w:rsidR="00D93EB0" w:rsidRPr="00B560DA">
        <w:rPr>
          <w:rFonts w:ascii="Arial" w:eastAsia="Times New Roman" w:hAnsi="Arial" w:cs="Arial"/>
          <w:sz w:val="20"/>
          <w:szCs w:val="20"/>
          <w:lang w:eastAsia="en-AU"/>
        </w:rPr>
        <w:t xml:space="preserve">am also concerned </w:t>
      </w:r>
      <w:r w:rsidR="00B7418E" w:rsidRPr="00B560DA">
        <w:rPr>
          <w:rFonts w:ascii="Arial" w:eastAsia="Times New Roman" w:hAnsi="Arial" w:cs="Arial"/>
          <w:sz w:val="20"/>
          <w:szCs w:val="20"/>
          <w:lang w:eastAsia="en-AU"/>
        </w:rPr>
        <w:t>in relation to</w:t>
      </w:r>
      <w:r w:rsidR="00D93EB0" w:rsidRPr="00B560DA">
        <w:rPr>
          <w:rFonts w:ascii="Arial" w:eastAsia="Times New Roman" w:hAnsi="Arial" w:cs="Arial"/>
          <w:sz w:val="20"/>
          <w:szCs w:val="20"/>
          <w:lang w:eastAsia="en-AU"/>
        </w:rPr>
        <w:t xml:space="preserve"> the risks to the health of children from the packaging and presentation of nicotine pouches. The combination of diverse flavours and sale in </w:t>
      </w:r>
      <w:r w:rsidR="00A10D66" w:rsidRPr="00B560DA">
        <w:rPr>
          <w:rFonts w:ascii="Arial" w:eastAsia="Times New Roman" w:hAnsi="Arial" w:cs="Arial"/>
          <w:sz w:val="20"/>
          <w:szCs w:val="20"/>
          <w:lang w:eastAsia="en-AU"/>
        </w:rPr>
        <w:t>small</w:t>
      </w:r>
      <w:r w:rsidR="00B7418E" w:rsidRPr="00B560DA">
        <w:rPr>
          <w:rFonts w:ascii="Arial" w:eastAsia="Times New Roman" w:hAnsi="Arial" w:cs="Arial"/>
          <w:sz w:val="20"/>
          <w:szCs w:val="20"/>
          <w:lang w:eastAsia="en-AU"/>
        </w:rPr>
        <w:t>,</w:t>
      </w:r>
      <w:r w:rsidR="00A10D66" w:rsidRPr="00B560DA">
        <w:rPr>
          <w:rFonts w:ascii="Arial" w:eastAsia="Times New Roman" w:hAnsi="Arial" w:cs="Arial"/>
          <w:sz w:val="20"/>
          <w:szCs w:val="20"/>
          <w:lang w:eastAsia="en-AU"/>
        </w:rPr>
        <w:t xml:space="preserve"> </w:t>
      </w:r>
      <w:r w:rsidR="00D93EB0" w:rsidRPr="00B560DA">
        <w:rPr>
          <w:rFonts w:ascii="Arial" w:eastAsia="Times New Roman" w:hAnsi="Arial" w:cs="Arial"/>
          <w:sz w:val="20"/>
          <w:szCs w:val="20"/>
          <w:lang w:eastAsia="en-AU"/>
        </w:rPr>
        <w:t xml:space="preserve">easily openable </w:t>
      </w:r>
      <w:r w:rsidR="00A10D66" w:rsidRPr="00B560DA">
        <w:rPr>
          <w:rFonts w:ascii="Arial" w:eastAsia="Times New Roman" w:hAnsi="Arial" w:cs="Arial"/>
          <w:sz w:val="20"/>
          <w:szCs w:val="20"/>
          <w:lang w:eastAsia="en-AU"/>
        </w:rPr>
        <w:t xml:space="preserve">plastic and metal </w:t>
      </w:r>
      <w:r w:rsidR="00D93EB0" w:rsidRPr="00B560DA">
        <w:rPr>
          <w:rFonts w:ascii="Arial" w:eastAsia="Times New Roman" w:hAnsi="Arial" w:cs="Arial"/>
          <w:sz w:val="20"/>
          <w:szCs w:val="20"/>
          <w:lang w:eastAsia="en-AU"/>
        </w:rPr>
        <w:t>containers</w:t>
      </w:r>
      <w:r w:rsidR="00B7418E" w:rsidRPr="00B560DA">
        <w:rPr>
          <w:rFonts w:ascii="Arial" w:eastAsia="Times New Roman" w:hAnsi="Arial" w:cs="Arial"/>
          <w:sz w:val="20"/>
          <w:szCs w:val="20"/>
          <w:lang w:eastAsia="en-AU"/>
        </w:rPr>
        <w:t>,</w:t>
      </w:r>
      <w:r w:rsidR="00D93EB0" w:rsidRPr="00B560DA">
        <w:rPr>
          <w:rFonts w:ascii="Arial" w:eastAsia="Times New Roman" w:hAnsi="Arial" w:cs="Arial"/>
          <w:sz w:val="20"/>
          <w:szCs w:val="20"/>
          <w:lang w:eastAsia="en-AU"/>
        </w:rPr>
        <w:t xml:space="preserve"> means the presentation </w:t>
      </w:r>
      <w:r w:rsidR="00750DD7">
        <w:rPr>
          <w:rFonts w:ascii="Arial" w:eastAsia="Times New Roman" w:hAnsi="Arial" w:cs="Arial"/>
          <w:sz w:val="20"/>
          <w:szCs w:val="20"/>
          <w:lang w:eastAsia="en-AU"/>
        </w:rPr>
        <w:t>resembles</w:t>
      </w:r>
      <w:r w:rsidR="00D93EB0" w:rsidRPr="00B560DA">
        <w:rPr>
          <w:rFonts w:ascii="Arial" w:eastAsia="Times New Roman" w:hAnsi="Arial" w:cs="Arial"/>
          <w:sz w:val="20"/>
          <w:szCs w:val="20"/>
          <w:lang w:eastAsia="en-AU"/>
        </w:rPr>
        <w:t xml:space="preserve"> </w:t>
      </w:r>
      <w:r w:rsidR="00A10D66" w:rsidRPr="00B560DA">
        <w:rPr>
          <w:rFonts w:ascii="Arial" w:eastAsia="Times New Roman" w:hAnsi="Arial" w:cs="Arial"/>
          <w:sz w:val="20"/>
          <w:szCs w:val="20"/>
          <w:lang w:eastAsia="en-AU"/>
        </w:rPr>
        <w:t xml:space="preserve">various </w:t>
      </w:r>
      <w:r w:rsidR="00D93EB0" w:rsidRPr="00B560DA">
        <w:rPr>
          <w:rFonts w:ascii="Arial" w:eastAsia="Times New Roman" w:hAnsi="Arial" w:cs="Arial"/>
          <w:sz w:val="20"/>
          <w:szCs w:val="20"/>
          <w:lang w:eastAsia="en-AU"/>
        </w:rPr>
        <w:t>confectionary products. This may lead to increased risks of accidental poisoning, especially in children.</w:t>
      </w:r>
    </w:p>
    <w:p w14:paraId="4C4818D1" w14:textId="018A258F" w:rsidR="001E5D5F" w:rsidRPr="00B560DA" w:rsidRDefault="001E5D5F" w:rsidP="001E5D5F">
      <w:pPr>
        <w:spacing w:line="240" w:lineRule="auto"/>
        <w:textAlignment w:val="center"/>
        <w:rPr>
          <w:rFonts w:ascii="Arial" w:eastAsia="Times New Roman" w:hAnsi="Arial" w:cs="Arial"/>
          <w:sz w:val="20"/>
          <w:szCs w:val="20"/>
          <w:lang w:eastAsia="en-AU"/>
        </w:rPr>
      </w:pPr>
      <w:r w:rsidRPr="00B560DA">
        <w:rPr>
          <w:rFonts w:ascii="Arial" w:eastAsia="Times New Roman" w:hAnsi="Arial" w:cs="Arial"/>
          <w:sz w:val="20"/>
          <w:szCs w:val="20"/>
          <w:lang w:eastAsia="en-AU"/>
        </w:rPr>
        <w:t xml:space="preserve">Nicotine products, including nicotine pouches, are considered therapeutic goods under Australian law. To lawfully supply or advertise therapeutic goods in Australia, these products must be included in the </w:t>
      </w:r>
      <w:r w:rsidR="00750DD7">
        <w:rPr>
          <w:rFonts w:ascii="Arial" w:eastAsia="Times New Roman" w:hAnsi="Arial" w:cs="Arial"/>
          <w:sz w:val="20"/>
          <w:szCs w:val="20"/>
          <w:lang w:eastAsia="en-AU"/>
        </w:rPr>
        <w:t>Register</w:t>
      </w:r>
      <w:r w:rsidR="00750DD7" w:rsidRPr="00B560DA">
        <w:rPr>
          <w:rFonts w:ascii="Arial" w:eastAsia="Times New Roman" w:hAnsi="Arial" w:cs="Arial"/>
          <w:sz w:val="20"/>
          <w:szCs w:val="20"/>
          <w:lang w:eastAsia="en-AU"/>
        </w:rPr>
        <w:t xml:space="preserve"> </w:t>
      </w:r>
      <w:r w:rsidRPr="00B560DA">
        <w:rPr>
          <w:rFonts w:ascii="Arial" w:eastAsia="Times New Roman" w:hAnsi="Arial" w:cs="Arial"/>
          <w:sz w:val="20"/>
          <w:szCs w:val="20"/>
          <w:lang w:eastAsia="en-AU"/>
        </w:rPr>
        <w:t xml:space="preserve">or </w:t>
      </w:r>
      <w:r w:rsidR="00B7418E" w:rsidRPr="00B560DA">
        <w:rPr>
          <w:rFonts w:ascii="Arial" w:eastAsia="Times New Roman" w:hAnsi="Arial" w:cs="Arial"/>
          <w:sz w:val="20"/>
          <w:szCs w:val="20"/>
          <w:lang w:eastAsia="en-AU"/>
        </w:rPr>
        <w:t>be covered by</w:t>
      </w:r>
      <w:r w:rsidRPr="00B560DA">
        <w:rPr>
          <w:rFonts w:ascii="Arial" w:eastAsia="Times New Roman" w:hAnsi="Arial" w:cs="Arial"/>
          <w:sz w:val="20"/>
          <w:szCs w:val="20"/>
          <w:lang w:eastAsia="en-AU"/>
        </w:rPr>
        <w:t xml:space="preserve"> an authority or approval under the Act. At present, none of these nicotine products are </w:t>
      </w:r>
      <w:r w:rsidR="00750DD7">
        <w:rPr>
          <w:rFonts w:ascii="Arial" w:eastAsia="Times New Roman" w:hAnsi="Arial" w:cs="Arial"/>
          <w:sz w:val="20"/>
          <w:szCs w:val="20"/>
          <w:lang w:eastAsia="en-AU"/>
        </w:rPr>
        <w:t>included in the Register</w:t>
      </w:r>
      <w:r w:rsidRPr="00B560DA">
        <w:rPr>
          <w:rFonts w:ascii="Arial" w:eastAsia="Times New Roman" w:hAnsi="Arial" w:cs="Arial"/>
          <w:sz w:val="20"/>
          <w:szCs w:val="20"/>
          <w:lang w:eastAsia="en-AU"/>
        </w:rPr>
        <w:t xml:space="preserve"> and therefore the s</w:t>
      </w:r>
      <w:r w:rsidR="00B7418E" w:rsidRPr="00B560DA">
        <w:rPr>
          <w:rFonts w:ascii="Arial" w:eastAsia="Times New Roman" w:hAnsi="Arial" w:cs="Arial"/>
          <w:sz w:val="20"/>
          <w:szCs w:val="20"/>
          <w:lang w:eastAsia="en-AU"/>
        </w:rPr>
        <w:t>upply</w:t>
      </w:r>
      <w:r w:rsidRPr="00B560DA">
        <w:rPr>
          <w:rFonts w:ascii="Arial" w:eastAsia="Times New Roman" w:hAnsi="Arial" w:cs="Arial"/>
          <w:sz w:val="20"/>
          <w:szCs w:val="20"/>
          <w:lang w:eastAsia="en-AU"/>
        </w:rPr>
        <w:t xml:space="preserve"> of these unregistered nicotine products to consumers </w:t>
      </w:r>
      <w:r w:rsidR="00B7418E" w:rsidRPr="00B560DA">
        <w:rPr>
          <w:rFonts w:ascii="Arial" w:eastAsia="Times New Roman" w:hAnsi="Arial" w:cs="Arial"/>
          <w:sz w:val="20"/>
          <w:szCs w:val="20"/>
          <w:lang w:eastAsia="en-AU"/>
        </w:rPr>
        <w:t>is</w:t>
      </w:r>
      <w:r w:rsidRPr="00B560DA">
        <w:rPr>
          <w:rFonts w:ascii="Arial" w:eastAsia="Times New Roman" w:hAnsi="Arial" w:cs="Arial"/>
          <w:sz w:val="20"/>
          <w:szCs w:val="20"/>
          <w:lang w:eastAsia="en-AU"/>
        </w:rPr>
        <w:t xml:space="preserve"> unlawful in Australia</w:t>
      </w:r>
      <w:r w:rsidR="00B7418E" w:rsidRPr="00B560DA">
        <w:rPr>
          <w:rFonts w:ascii="Arial" w:eastAsia="Times New Roman" w:hAnsi="Arial" w:cs="Arial"/>
          <w:sz w:val="20"/>
          <w:szCs w:val="20"/>
          <w:lang w:eastAsia="en-AU"/>
        </w:rPr>
        <w:t xml:space="preserve"> unless such an approval or authority is in place</w:t>
      </w:r>
      <w:r w:rsidRPr="00B560DA">
        <w:rPr>
          <w:rFonts w:ascii="Arial" w:eastAsia="Times New Roman" w:hAnsi="Arial" w:cs="Arial"/>
          <w:sz w:val="20"/>
          <w:szCs w:val="20"/>
          <w:lang w:eastAsia="en-AU"/>
        </w:rPr>
        <w:t xml:space="preserve">. </w:t>
      </w:r>
    </w:p>
    <w:p w14:paraId="04ECF3BA" w14:textId="0FAE1618" w:rsidR="001E5D5F" w:rsidRPr="00B560DA" w:rsidRDefault="001E5D5F" w:rsidP="001E5D5F">
      <w:pPr>
        <w:spacing w:line="240" w:lineRule="auto"/>
        <w:textAlignment w:val="center"/>
        <w:rPr>
          <w:rFonts w:ascii="Arial" w:eastAsia="Times New Roman" w:hAnsi="Arial" w:cs="Arial"/>
          <w:sz w:val="20"/>
          <w:szCs w:val="20"/>
          <w:lang w:eastAsia="en-AU"/>
        </w:rPr>
      </w:pPr>
      <w:r w:rsidRPr="00B560DA">
        <w:rPr>
          <w:rFonts w:ascii="Arial" w:eastAsia="Times New Roman" w:hAnsi="Arial" w:cs="Arial"/>
          <w:sz w:val="20"/>
          <w:szCs w:val="20"/>
          <w:lang w:eastAsia="en-AU"/>
        </w:rPr>
        <w:t xml:space="preserve">There is an increasing trend in the importation, supply and advertisement of these products in Australia, particularly since 1 January 2024 when the prohibition on importation of disposable vapes commenced. I </w:t>
      </w:r>
      <w:r w:rsidR="00142086">
        <w:rPr>
          <w:rFonts w:ascii="Arial" w:eastAsia="Times New Roman" w:hAnsi="Arial" w:cs="Arial"/>
          <w:sz w:val="20"/>
          <w:szCs w:val="20"/>
          <w:lang w:eastAsia="en-AU"/>
        </w:rPr>
        <w:t>consider</w:t>
      </w:r>
      <w:r w:rsidRPr="00B560DA">
        <w:rPr>
          <w:rFonts w:ascii="Arial" w:eastAsia="Times New Roman" w:hAnsi="Arial" w:cs="Arial"/>
          <w:sz w:val="20"/>
          <w:szCs w:val="20"/>
          <w:lang w:eastAsia="en-AU"/>
        </w:rPr>
        <w:t xml:space="preserve"> that the supply of these unlawful and unregistered nicotine products poses significant public health risks. I find urgent control </w:t>
      </w:r>
      <w:r w:rsidR="00142086">
        <w:rPr>
          <w:rFonts w:ascii="Arial" w:eastAsia="Times New Roman" w:hAnsi="Arial" w:cs="Arial"/>
          <w:sz w:val="20"/>
          <w:szCs w:val="20"/>
          <w:lang w:eastAsia="en-AU"/>
        </w:rPr>
        <w:t>under</w:t>
      </w:r>
      <w:r w:rsidR="00142086" w:rsidRPr="00B560DA">
        <w:rPr>
          <w:rFonts w:ascii="Arial" w:eastAsia="Times New Roman" w:hAnsi="Arial" w:cs="Arial"/>
          <w:sz w:val="20"/>
          <w:szCs w:val="20"/>
          <w:lang w:eastAsia="en-AU"/>
        </w:rPr>
        <w:t xml:space="preserve"> </w:t>
      </w:r>
      <w:r w:rsidRPr="00B560DA">
        <w:rPr>
          <w:rFonts w:ascii="Arial" w:eastAsia="Times New Roman" w:hAnsi="Arial" w:cs="Arial"/>
          <w:sz w:val="20"/>
          <w:szCs w:val="20"/>
          <w:lang w:eastAsia="en-AU"/>
        </w:rPr>
        <w:t xml:space="preserve">the </w:t>
      </w:r>
      <w:r w:rsidR="00142086">
        <w:rPr>
          <w:rFonts w:ascii="Arial" w:eastAsia="Times New Roman" w:hAnsi="Arial" w:cs="Arial"/>
          <w:sz w:val="20"/>
          <w:szCs w:val="20"/>
          <w:lang w:eastAsia="en-AU"/>
        </w:rPr>
        <w:t xml:space="preserve">current </w:t>
      </w:r>
      <w:r w:rsidRPr="00B560DA">
        <w:rPr>
          <w:rFonts w:ascii="Arial" w:eastAsia="Times New Roman" w:hAnsi="Arial" w:cs="Arial"/>
          <w:sz w:val="20"/>
          <w:szCs w:val="20"/>
          <w:lang w:eastAsia="en-AU"/>
        </w:rPr>
        <w:t xml:space="preserve">Poisons Standard is necessary to regulate the supply of </w:t>
      </w:r>
      <w:r w:rsidR="00142086">
        <w:rPr>
          <w:rFonts w:ascii="Arial" w:eastAsia="Times New Roman" w:hAnsi="Arial" w:cs="Arial"/>
          <w:sz w:val="20"/>
          <w:szCs w:val="20"/>
          <w:lang w:eastAsia="en-AU"/>
        </w:rPr>
        <w:t>such</w:t>
      </w:r>
      <w:r w:rsidR="00142086" w:rsidRPr="00B560DA">
        <w:rPr>
          <w:rFonts w:ascii="Arial" w:eastAsia="Times New Roman" w:hAnsi="Arial" w:cs="Arial"/>
          <w:sz w:val="20"/>
          <w:szCs w:val="20"/>
          <w:lang w:eastAsia="en-AU"/>
        </w:rPr>
        <w:t xml:space="preserve"> </w:t>
      </w:r>
      <w:r w:rsidRPr="00B560DA">
        <w:rPr>
          <w:rFonts w:ascii="Arial" w:eastAsia="Times New Roman" w:hAnsi="Arial" w:cs="Arial"/>
          <w:sz w:val="20"/>
          <w:szCs w:val="20"/>
          <w:lang w:eastAsia="en-AU"/>
        </w:rPr>
        <w:t>novel nicotine products and to protect public health. This scheduling change will not affect existing lawful nicotine products that are already</w:t>
      </w:r>
      <w:r w:rsidR="00142086">
        <w:rPr>
          <w:rFonts w:ascii="Arial" w:eastAsia="Times New Roman" w:hAnsi="Arial" w:cs="Arial"/>
          <w:sz w:val="20"/>
          <w:szCs w:val="20"/>
          <w:lang w:eastAsia="en-AU"/>
        </w:rPr>
        <w:t xml:space="preserve"> included in the Register</w:t>
      </w:r>
      <w:r w:rsidRPr="00B560DA">
        <w:rPr>
          <w:rFonts w:ascii="Arial" w:eastAsia="Times New Roman" w:hAnsi="Arial" w:cs="Arial"/>
          <w:sz w:val="20"/>
          <w:szCs w:val="20"/>
          <w:lang w:eastAsia="en-AU"/>
        </w:rPr>
        <w:t xml:space="preserve">. It is my view that this additional restriction will support </w:t>
      </w:r>
      <w:r w:rsidR="00142086">
        <w:rPr>
          <w:rFonts w:ascii="Arial" w:eastAsia="Times New Roman" w:hAnsi="Arial" w:cs="Arial"/>
          <w:sz w:val="20"/>
          <w:szCs w:val="20"/>
          <w:lang w:eastAsia="en-AU"/>
        </w:rPr>
        <w:t xml:space="preserve">Commonwealth, </w:t>
      </w:r>
      <w:r w:rsidRPr="00B560DA">
        <w:rPr>
          <w:rFonts w:ascii="Arial" w:eastAsia="Times New Roman" w:hAnsi="Arial" w:cs="Arial"/>
          <w:sz w:val="20"/>
          <w:szCs w:val="20"/>
          <w:lang w:eastAsia="en-AU"/>
        </w:rPr>
        <w:t>state and territory authorities to identify unlawful nicotine products and carry out relevant law enforcement activities more effectively. It will also ensure consumers are accessing safe and efficacious nicotine cessation products that are supported by evidence.</w:t>
      </w:r>
    </w:p>
    <w:p w14:paraId="73477D03" w14:textId="77777777" w:rsidR="00A10D66" w:rsidRPr="00A700CE" w:rsidRDefault="00A10D66" w:rsidP="001E5D5F">
      <w:pPr>
        <w:spacing w:line="240" w:lineRule="auto"/>
        <w:textAlignment w:val="center"/>
        <w:rPr>
          <w:rFonts w:ascii="Arial" w:eastAsia="Times New Roman" w:hAnsi="Arial" w:cs="Arial"/>
          <w:sz w:val="20"/>
          <w:szCs w:val="20"/>
          <w:lang w:eastAsia="en-AU"/>
        </w:rPr>
      </w:pPr>
    </w:p>
    <w:p w14:paraId="114EEC55" w14:textId="77777777" w:rsidR="001E5D5F" w:rsidRPr="00A700CE" w:rsidRDefault="001E5D5F" w:rsidP="001E5D5F">
      <w:pPr>
        <w:rPr>
          <w:rFonts w:ascii="Arial" w:hAnsi="Arial" w:cs="Arial"/>
          <w:b/>
          <w:bCs/>
          <w:i/>
          <w:iCs/>
          <w:sz w:val="20"/>
          <w:szCs w:val="20"/>
        </w:rPr>
      </w:pPr>
      <w:r w:rsidRPr="00A700CE">
        <w:rPr>
          <w:rFonts w:ascii="Arial" w:hAnsi="Arial" w:cs="Arial"/>
          <w:b/>
          <w:bCs/>
          <w:i/>
          <w:iCs/>
          <w:sz w:val="20"/>
          <w:szCs w:val="20"/>
        </w:rPr>
        <w:t xml:space="preserve">Implementation date </w:t>
      </w:r>
    </w:p>
    <w:p w14:paraId="1BCD307A" w14:textId="77777777" w:rsidR="001E5D5F" w:rsidRPr="00A700CE" w:rsidRDefault="001E5D5F" w:rsidP="001E5D5F">
      <w:pPr>
        <w:rPr>
          <w:rFonts w:ascii="Arial" w:hAnsi="Arial" w:cs="Arial"/>
          <w:b/>
          <w:bCs/>
          <w:sz w:val="20"/>
          <w:szCs w:val="20"/>
        </w:rPr>
      </w:pPr>
      <w:r w:rsidRPr="00A700CE">
        <w:rPr>
          <w:rFonts w:ascii="Arial" w:hAnsi="Arial" w:cs="Arial"/>
          <w:b/>
          <w:bCs/>
          <w:sz w:val="20"/>
          <w:szCs w:val="20"/>
        </w:rPr>
        <w:t>1 June 2024</w:t>
      </w:r>
    </w:p>
    <w:p w14:paraId="1C7DEDBF" w14:textId="6D860409" w:rsidR="000D7942" w:rsidRPr="00215D48" w:rsidRDefault="000D7942" w:rsidP="00967490">
      <w:pPr>
        <w:sectPr w:rsidR="000D7942" w:rsidRPr="00215D48" w:rsidSect="00AE7C6A">
          <w:headerReference w:type="default" r:id="rId14"/>
          <w:footerReference w:type="default" r:id="rId15"/>
          <w:pgSz w:w="11906" w:h="16838" w:code="9"/>
          <w:pgMar w:top="1134" w:right="1418" w:bottom="1361" w:left="1418" w:header="573" w:footer="567" w:gutter="0"/>
          <w:cols w:space="708"/>
          <w:docGrid w:linePitch="360"/>
        </w:sectPr>
      </w:pPr>
      <w:r>
        <w:br w:type="page"/>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16" w:history="1">
              <w:r w:rsidRPr="00215D48">
                <w:rPr>
                  <w:rStyle w:val="Hyperlink"/>
                </w:rPr>
                <w:t>info@tga.gov.au</w:t>
              </w:r>
            </w:hyperlink>
            <w:r w:rsidRPr="00215D48">
              <w:t xml:space="preserve">  </w:t>
            </w:r>
            <w:r w:rsidRPr="005E3E9A">
              <w:rPr>
                <w:color w:val="auto"/>
              </w:rPr>
              <w:t>Phone: 1800 020 653  Fax: 02 6203 1605</w:t>
            </w:r>
          </w:p>
          <w:p w14:paraId="49F7061A" w14:textId="77777777" w:rsidR="00F02AEC" w:rsidRPr="00215D48" w:rsidRDefault="00000000" w:rsidP="00300CBB">
            <w:pPr>
              <w:pStyle w:val="Address"/>
              <w:jc w:val="center"/>
              <w:rPr>
                <w:rStyle w:val="Hyperlink"/>
                <w:b/>
                <w:color w:val="auto"/>
                <w:sz w:val="22"/>
              </w:rPr>
            </w:pPr>
            <w:hyperlink r:id="rId17" w:history="1">
              <w:r w:rsidR="00F02AEC"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C227AB" w:rsidRDefault="00C227AB" w:rsidP="00967490"/>
    <w:sectPr w:rsidR="00C227AB" w:rsidSect="00AE7C6A">
      <w:headerReference w:type="first" r:id="rId18"/>
      <w:footerReference w:type="first" r:id="rId1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DDF78" w14:textId="77777777" w:rsidR="00C24759" w:rsidRDefault="00C24759" w:rsidP="00967490">
      <w:r>
        <w:separator/>
      </w:r>
    </w:p>
    <w:p w14:paraId="5002B4C4" w14:textId="77777777" w:rsidR="00C24759" w:rsidRDefault="00C24759" w:rsidP="00967490"/>
    <w:p w14:paraId="12DDA98F" w14:textId="77777777" w:rsidR="00C24759" w:rsidRDefault="00C24759" w:rsidP="00967490"/>
  </w:endnote>
  <w:endnote w:type="continuationSeparator" w:id="0">
    <w:p w14:paraId="14EA0D41" w14:textId="77777777" w:rsidR="00C24759" w:rsidRDefault="00C24759" w:rsidP="00967490">
      <w:r>
        <w:continuationSeparator/>
      </w:r>
    </w:p>
    <w:p w14:paraId="720B36AD" w14:textId="77777777" w:rsidR="00C24759" w:rsidRDefault="00C24759" w:rsidP="00967490"/>
    <w:p w14:paraId="333D704D" w14:textId="77777777" w:rsidR="00C24759" w:rsidRDefault="00C24759"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8080"/>
      <w:gridCol w:w="1133"/>
    </w:tblGrid>
    <w:tr w:rsidR="00F02AEC" w:rsidRPr="00DE78C9" w14:paraId="26871269" w14:textId="77777777" w:rsidTr="00A10D66">
      <w:trPr>
        <w:trHeight w:val="423"/>
      </w:trPr>
      <w:tc>
        <w:tcPr>
          <w:tcW w:w="8080" w:type="dxa"/>
          <w:tcBorders>
            <w:top w:val="single" w:sz="4" w:space="0" w:color="auto"/>
          </w:tcBorders>
        </w:tcPr>
        <w:p w14:paraId="5FF3321B" w14:textId="77F08FD6" w:rsidR="00F02AEC" w:rsidRPr="00A10D66" w:rsidRDefault="00E662D2" w:rsidP="00DE78C9">
          <w:pPr>
            <w:ind w:left="-110"/>
            <w:rPr>
              <w:rFonts w:ascii="Arial" w:hAnsi="Arial" w:cs="Arial"/>
              <w:sz w:val="16"/>
              <w:szCs w:val="16"/>
            </w:rPr>
          </w:pPr>
          <w:r w:rsidRPr="00A10D66">
            <w:rPr>
              <w:rFonts w:ascii="Arial" w:hAnsi="Arial" w:cs="Arial"/>
              <w:sz w:val="16"/>
              <w:szCs w:val="16"/>
            </w:rPr>
            <w:t>Notice of decision to amend (or not amend) the current Poisons Standard in relation to nicotine, May 2024</w:t>
          </w:r>
        </w:p>
      </w:tc>
      <w:tc>
        <w:tcPr>
          <w:tcW w:w="1133" w:type="dxa"/>
          <w:tcBorders>
            <w:top w:val="single" w:sz="4" w:space="0" w:color="auto"/>
          </w:tcBorders>
        </w:tcPr>
        <w:sdt>
          <w:sdtPr>
            <w:rPr>
              <w:rFonts w:cstheme="minorHAnsi"/>
              <w:sz w:val="18"/>
              <w:szCs w:val="18"/>
            </w:rPr>
            <w:id w:val="11571659"/>
            <w:docPartObj>
              <w:docPartGallery w:val="Page Numbers (Top of Page)"/>
              <w:docPartUnique/>
            </w:docPartObj>
          </w:sdt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A10D66">
    <w:pPr>
      <w:rPr>
        <w:rFonts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BDA" w14:textId="77777777" w:rsidR="00C227AB" w:rsidRPr="008E3C43" w:rsidRDefault="00C227AB"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B850" w14:textId="77777777" w:rsidR="00C24759" w:rsidRDefault="00C24759" w:rsidP="00967490">
      <w:r>
        <w:separator/>
      </w:r>
    </w:p>
  </w:footnote>
  <w:footnote w:type="continuationSeparator" w:id="0">
    <w:p w14:paraId="1D4DA4BF" w14:textId="77777777" w:rsidR="00C24759" w:rsidRDefault="00C24759" w:rsidP="00967490">
      <w:r>
        <w:continuationSeparator/>
      </w:r>
    </w:p>
    <w:p w14:paraId="46B5F04E" w14:textId="77777777" w:rsidR="00C24759" w:rsidRDefault="00C24759" w:rsidP="00967490"/>
    <w:p w14:paraId="4CD0ADA9" w14:textId="77777777" w:rsidR="00C24759" w:rsidRDefault="00C24759" w:rsidP="00967490"/>
  </w:footnote>
  <w:footnote w:id="1">
    <w:p w14:paraId="799494EA" w14:textId="77777777"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w:t>
      </w:r>
      <w:r w:rsidRPr="00A10D66">
        <w:rPr>
          <w:rFonts w:cs="Arial"/>
          <w:sz w:val="16"/>
          <w:szCs w:val="16"/>
        </w:rPr>
        <w:t xml:space="preserve">For the purposes of s 52D of the </w:t>
      </w:r>
      <w:r w:rsidRPr="00A10D66">
        <w:rPr>
          <w:rFonts w:cs="Arial"/>
          <w:i/>
          <w:iCs/>
          <w:sz w:val="16"/>
          <w:szCs w:val="16"/>
        </w:rPr>
        <w:t>Therapeutic Goods Act 1989</w:t>
      </w:r>
      <w:r w:rsidRPr="00A10D66">
        <w:rPr>
          <w:rFonts w:cs="Arial"/>
          <w:sz w:val="16"/>
          <w:szCs w:val="16"/>
        </w:rPr>
        <w:t xml:space="preserve"> (Cth).</w:t>
      </w:r>
      <w:r w:rsidRPr="006119D9">
        <w:rPr>
          <w:rFonts w:asciiTheme="minorHAnsi" w:hAnsiTheme="minorHAnsi" w:cstheme="minorHAnsi"/>
          <w:sz w:val="18"/>
          <w:szCs w:val="18"/>
        </w:rPr>
        <w:t xml:space="preserve"> </w:t>
      </w:r>
    </w:p>
  </w:footnote>
  <w:footnote w:id="2">
    <w:p w14:paraId="29C9899F" w14:textId="77777777" w:rsidR="001E5D5F" w:rsidRDefault="001E5D5F" w:rsidP="001E5D5F">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32203310" w14:textId="7A0A9018" w:rsidR="00F02AEC" w:rsidRPr="00DE78C9" w:rsidRDefault="00F02AEC" w:rsidP="00DE78C9">
    <w:pPr>
      <w:jc w:val="right"/>
      <w:rPr>
        <w:rFonts w:cs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D080" w14:textId="77777777" w:rsidR="00C227AB" w:rsidRPr="00FE501F" w:rsidRDefault="00C227AB"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32A77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0921D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736516"/>
    <w:multiLevelType w:val="hybridMultilevel"/>
    <w:tmpl w:val="8A461EFE"/>
    <w:lvl w:ilvl="0" w:tplc="502880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5F057B9"/>
    <w:multiLevelType w:val="hybridMultilevel"/>
    <w:tmpl w:val="15B89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2D8D3ADF"/>
    <w:multiLevelType w:val="hybridMultilevel"/>
    <w:tmpl w:val="627A4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4FAB1631"/>
    <w:multiLevelType w:val="hybridMultilevel"/>
    <w:tmpl w:val="AFFCE16E"/>
    <w:lvl w:ilvl="0" w:tplc="C976297E">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65288B"/>
    <w:multiLevelType w:val="hybridMultilevel"/>
    <w:tmpl w:val="6CBCFEFE"/>
    <w:lvl w:ilvl="0" w:tplc="DA6C15FE">
      <w:start w:val="1"/>
      <w:numFmt w:val="lowerLetter"/>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136FC6"/>
    <w:multiLevelType w:val="hybridMultilevel"/>
    <w:tmpl w:val="B2B0B088"/>
    <w:lvl w:ilvl="0" w:tplc="F6940F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C12510"/>
    <w:multiLevelType w:val="hybridMultilevel"/>
    <w:tmpl w:val="74824250"/>
    <w:lvl w:ilvl="0" w:tplc="4BDA66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7373C7"/>
    <w:multiLevelType w:val="hybridMultilevel"/>
    <w:tmpl w:val="1F045FEE"/>
    <w:lvl w:ilvl="0" w:tplc="AFF2810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112B2E"/>
    <w:multiLevelType w:val="hybridMultilevel"/>
    <w:tmpl w:val="4978F218"/>
    <w:lvl w:ilvl="0" w:tplc="44026F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6"/>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3"/>
  </w:num>
  <w:num w:numId="3" w16cid:durableId="1248614696">
    <w:abstractNumId w:val="5"/>
  </w:num>
  <w:num w:numId="4" w16cid:durableId="297951965">
    <w:abstractNumId w:val="12"/>
  </w:num>
  <w:num w:numId="5" w16cid:durableId="1535191726">
    <w:abstractNumId w:val="8"/>
  </w:num>
  <w:num w:numId="6" w16cid:durableId="224069918">
    <w:abstractNumId w:val="10"/>
  </w:num>
  <w:num w:numId="7" w16cid:durableId="1150249122">
    <w:abstractNumId w:val="7"/>
  </w:num>
  <w:num w:numId="8" w16cid:durableId="233053789">
    <w:abstractNumId w:val="1"/>
  </w:num>
  <w:num w:numId="9" w16cid:durableId="1393187700">
    <w:abstractNumId w:val="0"/>
  </w:num>
  <w:num w:numId="10" w16cid:durableId="91820601">
    <w:abstractNumId w:val="6"/>
  </w:num>
  <w:num w:numId="11" w16cid:durableId="1223715709">
    <w:abstractNumId w:val="15"/>
  </w:num>
  <w:num w:numId="12" w16cid:durableId="1085152714">
    <w:abstractNumId w:val="13"/>
  </w:num>
  <w:num w:numId="13" w16cid:durableId="252320647">
    <w:abstractNumId w:val="16"/>
  </w:num>
  <w:num w:numId="14" w16cid:durableId="530261457">
    <w:abstractNumId w:val="17"/>
  </w:num>
  <w:num w:numId="15" w16cid:durableId="128208994">
    <w:abstractNumId w:val="2"/>
  </w:num>
  <w:num w:numId="16" w16cid:durableId="1267544943">
    <w:abstractNumId w:val="14"/>
  </w:num>
  <w:num w:numId="17" w16cid:durableId="591672100">
    <w:abstractNumId w:val="9"/>
  </w:num>
  <w:num w:numId="18" w16cid:durableId="1680886372">
    <w:abstractNumId w:val="4"/>
  </w:num>
  <w:num w:numId="19" w16cid:durableId="923339381">
    <w:abstractNumId w:val="11"/>
  </w:num>
  <w:num w:numId="20" w16cid:durableId="33589004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7A50"/>
    <w:rsid w:val="0004645C"/>
    <w:rsid w:val="00075B7B"/>
    <w:rsid w:val="00094B81"/>
    <w:rsid w:val="000D7942"/>
    <w:rsid w:val="000E2D35"/>
    <w:rsid w:val="000E4AC9"/>
    <w:rsid w:val="0012473C"/>
    <w:rsid w:val="001264B5"/>
    <w:rsid w:val="00142086"/>
    <w:rsid w:val="00175CD8"/>
    <w:rsid w:val="001C1DAC"/>
    <w:rsid w:val="001E5D5F"/>
    <w:rsid w:val="0020170D"/>
    <w:rsid w:val="002D5943"/>
    <w:rsid w:val="002E6187"/>
    <w:rsid w:val="002F1853"/>
    <w:rsid w:val="003008D8"/>
    <w:rsid w:val="00300CBB"/>
    <w:rsid w:val="00305DF9"/>
    <w:rsid w:val="00320D31"/>
    <w:rsid w:val="00321B93"/>
    <w:rsid w:val="00324626"/>
    <w:rsid w:val="0035444D"/>
    <w:rsid w:val="00365FA4"/>
    <w:rsid w:val="00390C18"/>
    <w:rsid w:val="003D73F6"/>
    <w:rsid w:val="003D796F"/>
    <w:rsid w:val="003E1AC5"/>
    <w:rsid w:val="003F5E43"/>
    <w:rsid w:val="004246B8"/>
    <w:rsid w:val="00457050"/>
    <w:rsid w:val="0046510A"/>
    <w:rsid w:val="004A321D"/>
    <w:rsid w:val="004D06D7"/>
    <w:rsid w:val="00556253"/>
    <w:rsid w:val="00563169"/>
    <w:rsid w:val="005761D5"/>
    <w:rsid w:val="005828C9"/>
    <w:rsid w:val="00582F6D"/>
    <w:rsid w:val="0058575E"/>
    <w:rsid w:val="00595FA2"/>
    <w:rsid w:val="005A405C"/>
    <w:rsid w:val="005C65E7"/>
    <w:rsid w:val="005C6712"/>
    <w:rsid w:val="005D310A"/>
    <w:rsid w:val="005E3E9A"/>
    <w:rsid w:val="006119D9"/>
    <w:rsid w:val="00616F06"/>
    <w:rsid w:val="006301B3"/>
    <w:rsid w:val="006A1F0B"/>
    <w:rsid w:val="00746990"/>
    <w:rsid w:val="0075008A"/>
    <w:rsid w:val="00750DD7"/>
    <w:rsid w:val="00757379"/>
    <w:rsid w:val="00757E6A"/>
    <w:rsid w:val="007F0A77"/>
    <w:rsid w:val="008146EC"/>
    <w:rsid w:val="00831B56"/>
    <w:rsid w:val="008329DB"/>
    <w:rsid w:val="008C70B4"/>
    <w:rsid w:val="00930D58"/>
    <w:rsid w:val="009321C7"/>
    <w:rsid w:val="0094694D"/>
    <w:rsid w:val="00967490"/>
    <w:rsid w:val="00987F94"/>
    <w:rsid w:val="009A4603"/>
    <w:rsid w:val="009A62A2"/>
    <w:rsid w:val="009E7E17"/>
    <w:rsid w:val="009F7132"/>
    <w:rsid w:val="00A00118"/>
    <w:rsid w:val="00A10D66"/>
    <w:rsid w:val="00A52A67"/>
    <w:rsid w:val="00A700CE"/>
    <w:rsid w:val="00A85C2B"/>
    <w:rsid w:val="00AA12EC"/>
    <w:rsid w:val="00AA702D"/>
    <w:rsid w:val="00AB7CBF"/>
    <w:rsid w:val="00AD0520"/>
    <w:rsid w:val="00AD799B"/>
    <w:rsid w:val="00B026EA"/>
    <w:rsid w:val="00B167C2"/>
    <w:rsid w:val="00B44A71"/>
    <w:rsid w:val="00B46BC0"/>
    <w:rsid w:val="00B560DA"/>
    <w:rsid w:val="00B70E4A"/>
    <w:rsid w:val="00B7418E"/>
    <w:rsid w:val="00BB34CD"/>
    <w:rsid w:val="00BE0386"/>
    <w:rsid w:val="00C227AB"/>
    <w:rsid w:val="00C24759"/>
    <w:rsid w:val="00C80A2D"/>
    <w:rsid w:val="00C90D75"/>
    <w:rsid w:val="00CB0550"/>
    <w:rsid w:val="00D06005"/>
    <w:rsid w:val="00D078BE"/>
    <w:rsid w:val="00D13F8A"/>
    <w:rsid w:val="00D15E47"/>
    <w:rsid w:val="00D1612F"/>
    <w:rsid w:val="00D23693"/>
    <w:rsid w:val="00D66865"/>
    <w:rsid w:val="00D7587E"/>
    <w:rsid w:val="00D918D5"/>
    <w:rsid w:val="00D93EB0"/>
    <w:rsid w:val="00DE78C9"/>
    <w:rsid w:val="00E13061"/>
    <w:rsid w:val="00E14BFC"/>
    <w:rsid w:val="00E25E09"/>
    <w:rsid w:val="00E31503"/>
    <w:rsid w:val="00E32201"/>
    <w:rsid w:val="00E370AC"/>
    <w:rsid w:val="00E42057"/>
    <w:rsid w:val="00E46184"/>
    <w:rsid w:val="00E53D3F"/>
    <w:rsid w:val="00E662D2"/>
    <w:rsid w:val="00F02AEC"/>
    <w:rsid w:val="00FA49C3"/>
    <w:rsid w:val="00FB0E87"/>
    <w:rsid w:val="00FC1EB4"/>
    <w:rsid w:val="00FD2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8C9"/>
    <w:rPr>
      <w:color w:val="000000" w:themeColor="text1"/>
      <w:sz w:val="22"/>
      <w:szCs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5A405C"/>
    <w:pPr>
      <w:numPr>
        <w:numId w:val="19"/>
      </w:numPr>
      <w:spacing w:before="120" w:after="180" w:line="240" w:lineRule="atLeast"/>
    </w:pPr>
    <w:rPr>
      <w:rFonts w:ascii="Arial" w:eastAsia="Cambria" w:hAnsi="Arial" w:cs="Arial"/>
    </w:rPr>
  </w:style>
  <w:style w:type="paragraph" w:styleId="ListBullet2">
    <w:name w:val="List Bullet 2"/>
    <w:basedOn w:val="Normal"/>
    <w:autoRedefine/>
    <w:uiPriority w:val="2"/>
    <w:qFormat/>
    <w:rsid w:val="00BE0386"/>
    <w:pPr>
      <w:numPr>
        <w:ilvl w:val="1"/>
        <w:numId w:val="1"/>
      </w:numPr>
      <w:spacing w:before="120" w:after="180" w:line="240" w:lineRule="atLeast"/>
      <w:ind w:left="850" w:hanging="425"/>
    </w:pPr>
    <w:rPr>
      <w:rFonts w:ascii="Arial" w:eastAsia="Cambria" w:hAnsi="Arial"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ascii="Arial" w:eastAsia="Cambria" w:hAnsi="Arial"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numPr>
        <w:numId w:val="2"/>
      </w:num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ascii="Arial" w:eastAsia="Cambria" w:hAnsi="Arial"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uiPriority w:val="99"/>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BE0386"/>
    <w:pPr>
      <w:spacing w:after="0" w:line="240" w:lineRule="auto"/>
    </w:pPr>
    <w:rPr>
      <w:color w:val="000000" w:themeColor="text1"/>
      <w:sz w:val="22"/>
      <w:szCs w:val="22"/>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autoRedefine/>
    <w:uiPriority w:val="34"/>
    <w:qFormat/>
    <w:rsid w:val="002E6187"/>
    <w:pPr>
      <w:numPr>
        <w:numId w:val="12"/>
      </w:numPr>
      <w:spacing w:before="120"/>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table" w:customStyle="1" w:styleId="TableTGAblue">
    <w:name w:val="Table TGA blue"/>
    <w:basedOn w:val="TableNormal"/>
    <w:uiPriority w:val="99"/>
    <w:qFormat/>
    <w:rsid w:val="001E5D5F"/>
    <w:pPr>
      <w:spacing w:after="0" w:line="240" w:lineRule="auto"/>
    </w:pPr>
    <w:rPr>
      <w:rFonts w:ascii="Cambria" w:eastAsia="Cambria" w:hAnsi="Cambria" w:cs="Times New Roman"/>
      <w:color w:val="000000"/>
      <w:kern w:val="2"/>
      <w:sz w:val="22"/>
      <w:szCs w:val="21"/>
      <w:lang w:eastAsia="en-AU"/>
      <w14:ligatures w14:val="standardContextual"/>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Revision">
    <w:name w:val="Revision"/>
    <w:hidden/>
    <w:uiPriority w:val="99"/>
    <w:semiHidden/>
    <w:rsid w:val="006301B3"/>
    <w:pPr>
      <w:spacing w:after="0" w:line="240" w:lineRule="auto"/>
    </w:pPr>
    <w:rPr>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mailto:info@tg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TotalTime>
  <Pages>8</Pages>
  <Words>1546</Words>
  <Characters>8984</Characters>
  <Application>Microsoft Office Word</Application>
  <DocSecurity>0</DocSecurity>
  <Lines>264</Lines>
  <Paragraphs>116</Paragraphs>
  <ScaleCrop>false</ScaleCrop>
  <HeadingPairs>
    <vt:vector size="2" baseType="variant">
      <vt:variant>
        <vt:lpstr>Title</vt:lpstr>
      </vt:variant>
      <vt:variant>
        <vt:i4>1</vt:i4>
      </vt:variant>
    </vt:vector>
  </HeadingPairs>
  <TitlesOfParts>
    <vt:vector size="1" baseType="lpstr">
      <vt:lpstr>Notice of decision to amend (or not amend) the current Poisons Standard in relation to nicotine</vt:lpstr>
    </vt:vector>
  </TitlesOfParts>
  <Company>Department of Health and Aged Care</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decision to amend (or not amend) the current Poisons Standard in relation to nicotine</dc:title>
  <dc:subject/>
  <dc:creator>Therapeutic Goods Administration</dc:creator>
  <cp:keywords/>
  <dc:description/>
  <cp:lastModifiedBy>PETKOVIC, Emily</cp:lastModifiedBy>
  <cp:revision>2</cp:revision>
  <dcterms:created xsi:type="dcterms:W3CDTF">2024-05-24T02:26:00Z</dcterms:created>
  <dcterms:modified xsi:type="dcterms:W3CDTF">2024-05-24T02:26:00Z</dcterms:modified>
</cp:coreProperties>
</file>