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1FBA6" w14:textId="77777777" w:rsidR="00DD7815" w:rsidRDefault="00DD7815"/>
    <w:p w14:paraId="635FCE05" w14:textId="77777777" w:rsidR="005F6958" w:rsidRDefault="005F6958"/>
    <w:p w14:paraId="6D6F70ED" w14:textId="77777777" w:rsidR="005F6958" w:rsidRDefault="005F6958"/>
    <w:p w14:paraId="674C2F81" w14:textId="39961D17" w:rsidR="005F6958" w:rsidRDefault="00DD21C5" w:rsidP="005F6958">
      <w:pPr>
        <w:pStyle w:val="Title"/>
      </w:pPr>
      <w:r>
        <w:t xml:space="preserve">Medical Devices </w:t>
      </w:r>
      <w:r>
        <w:br/>
        <w:t>Consumer Working Group</w:t>
      </w:r>
    </w:p>
    <w:p w14:paraId="70C747FE" w14:textId="358E41AA" w:rsidR="005F6958" w:rsidRDefault="00DD21C5" w:rsidP="005F6958">
      <w:pPr>
        <w:pStyle w:val="Subtitle"/>
        <w:ind w:left="0"/>
      </w:pPr>
      <w:r>
        <w:t>Terms of Reference</w:t>
      </w:r>
    </w:p>
    <w:p w14:paraId="2821DD33" w14:textId="77777777" w:rsidR="005F6958" w:rsidRDefault="005F6958"/>
    <w:p w14:paraId="362FC62B" w14:textId="77777777" w:rsidR="005F6958" w:rsidRDefault="005F6958"/>
    <w:p w14:paraId="61D234E3" w14:textId="77777777" w:rsidR="005F6958" w:rsidRDefault="005F6958"/>
    <w:p w14:paraId="5843DD6D" w14:textId="77777777" w:rsidR="005F6958" w:rsidRDefault="005F6958"/>
    <w:p w14:paraId="3E928D31" w14:textId="77777777" w:rsidR="005F6958" w:rsidRDefault="005F6958"/>
    <w:p w14:paraId="173F6E8A" w14:textId="77777777" w:rsidR="005F6958" w:rsidRDefault="005F6958"/>
    <w:p w14:paraId="77806086" w14:textId="09769D03" w:rsidR="005F6958" w:rsidRDefault="005F6958" w:rsidP="005F6958">
      <w:pPr>
        <w:pStyle w:val="Date"/>
      </w:pPr>
      <w:r>
        <w:t xml:space="preserve">Version </w:t>
      </w:r>
      <w:r w:rsidR="00DD21C5">
        <w:t>2</w:t>
      </w:r>
      <w:r>
        <w:t>.</w:t>
      </w:r>
      <w:r w:rsidR="00A22068">
        <w:t>1</w:t>
      </w:r>
      <w:r>
        <w:t>,</w:t>
      </w:r>
      <w:r w:rsidR="00217353">
        <w:t xml:space="preserve"> May</w:t>
      </w:r>
      <w:r w:rsidR="00A22068">
        <w:t xml:space="preserve"> </w:t>
      </w:r>
      <w:r w:rsidR="00DD21C5">
        <w:t>2024</w:t>
      </w:r>
    </w:p>
    <w:p w14:paraId="1303DDF5" w14:textId="77777777" w:rsidR="005F6958" w:rsidRDefault="005F6958">
      <w:r>
        <w:br w:type="page"/>
      </w:r>
    </w:p>
    <w:p w14:paraId="1666BB6D"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7E30F9A5" w14:textId="33E8F6DC" w:rsidR="0089410A" w:rsidRDefault="00DD3815" w:rsidP="004E2F19">
      <w:pPr>
        <w:pStyle w:val="LegalSubheading"/>
      </w:pPr>
      <w:bookmarkStart w:id="1" w:name="_Toc126664138"/>
      <w:r w:rsidRPr="00DD3815">
        <w:t>© Commonwealth of Australia</w:t>
      </w:r>
      <w:r w:rsidR="00F35094">
        <w:t xml:space="preserve"> 202</w:t>
      </w:r>
      <w:r w:rsidR="00DD21C5">
        <w:t>4</w:t>
      </w:r>
      <w:r w:rsidR="008E6696">
        <w:t xml:space="preserve"> </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8" w:history="1">
        <w:r w:rsidRPr="00DD3815">
          <w:rPr>
            <w:rStyle w:val="Hyperlink"/>
            <w:rFonts w:cs="Arial"/>
            <w:b/>
            <w:bCs/>
          </w:rPr>
          <w:t>tga.copyright@tga.gov.au</w:t>
        </w:r>
      </w:hyperlink>
      <w:r w:rsidRPr="00DD3815">
        <w:t>&gt;.</w:t>
      </w:r>
      <w:bookmarkEnd w:id="1"/>
    </w:p>
    <w:p w14:paraId="37E61FDC"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12610A93" w14:textId="71CE5156" w:rsidR="0089410A" w:rsidRPr="00215D48" w:rsidRDefault="0089410A" w:rsidP="0089410A">
          <w:pPr>
            <w:pStyle w:val="NonTOCheading2"/>
          </w:pPr>
          <w:r w:rsidRPr="00215D48">
            <w:t>Contents</w:t>
          </w:r>
        </w:p>
        <w:p w14:paraId="76C5DED7" w14:textId="32B7353E" w:rsidR="00EF565A" w:rsidRDefault="0089410A">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1234699" w:history="1">
            <w:r w:rsidR="00EF565A" w:rsidRPr="00853682">
              <w:rPr>
                <w:rStyle w:val="Hyperlink"/>
                <w:noProof/>
              </w:rPr>
              <w:t>Purpose</w:t>
            </w:r>
            <w:r w:rsidR="00EF565A">
              <w:rPr>
                <w:noProof/>
                <w:webHidden/>
              </w:rPr>
              <w:tab/>
            </w:r>
            <w:r w:rsidR="00EF565A">
              <w:rPr>
                <w:noProof/>
                <w:webHidden/>
              </w:rPr>
              <w:fldChar w:fldCharType="begin"/>
            </w:r>
            <w:r w:rsidR="00EF565A">
              <w:rPr>
                <w:noProof/>
                <w:webHidden/>
              </w:rPr>
              <w:instrText xml:space="preserve"> PAGEREF _Toc161234699 \h </w:instrText>
            </w:r>
            <w:r w:rsidR="00EF565A">
              <w:rPr>
                <w:noProof/>
                <w:webHidden/>
              </w:rPr>
            </w:r>
            <w:r w:rsidR="00EF565A">
              <w:rPr>
                <w:noProof/>
                <w:webHidden/>
              </w:rPr>
              <w:fldChar w:fldCharType="separate"/>
            </w:r>
            <w:r w:rsidR="00B13D31">
              <w:rPr>
                <w:noProof/>
                <w:webHidden/>
              </w:rPr>
              <w:t>4</w:t>
            </w:r>
            <w:r w:rsidR="00EF565A">
              <w:rPr>
                <w:noProof/>
                <w:webHidden/>
              </w:rPr>
              <w:fldChar w:fldCharType="end"/>
            </w:r>
          </w:hyperlink>
        </w:p>
        <w:p w14:paraId="2002E14F" w14:textId="55B2F039" w:rsidR="00EF565A" w:rsidRDefault="006D5B72">
          <w:pPr>
            <w:pStyle w:val="TOC2"/>
            <w:rPr>
              <w:rFonts w:asciiTheme="minorHAnsi" w:eastAsiaTheme="minorEastAsia" w:hAnsiTheme="minorHAnsi" w:cstheme="minorBidi"/>
              <w:noProof/>
              <w:color w:val="auto"/>
              <w:kern w:val="2"/>
              <w:sz w:val="22"/>
              <w:szCs w:val="22"/>
              <w:lang w:eastAsia="en-AU"/>
              <w14:ligatures w14:val="standardContextual"/>
            </w:rPr>
          </w:pPr>
          <w:hyperlink w:anchor="_Toc161234700" w:history="1">
            <w:r w:rsidR="00EF565A" w:rsidRPr="00853682">
              <w:rPr>
                <w:rStyle w:val="Hyperlink"/>
                <w:noProof/>
              </w:rPr>
              <w:t>Scope</w:t>
            </w:r>
            <w:r w:rsidR="00EF565A">
              <w:rPr>
                <w:noProof/>
                <w:webHidden/>
              </w:rPr>
              <w:tab/>
            </w:r>
            <w:r w:rsidR="00EF565A">
              <w:rPr>
                <w:noProof/>
                <w:webHidden/>
              </w:rPr>
              <w:fldChar w:fldCharType="begin"/>
            </w:r>
            <w:r w:rsidR="00EF565A">
              <w:rPr>
                <w:noProof/>
                <w:webHidden/>
              </w:rPr>
              <w:instrText xml:space="preserve"> PAGEREF _Toc161234700 \h </w:instrText>
            </w:r>
            <w:r w:rsidR="00EF565A">
              <w:rPr>
                <w:noProof/>
                <w:webHidden/>
              </w:rPr>
            </w:r>
            <w:r w:rsidR="00EF565A">
              <w:rPr>
                <w:noProof/>
                <w:webHidden/>
              </w:rPr>
              <w:fldChar w:fldCharType="separate"/>
            </w:r>
            <w:r w:rsidR="00B13D31">
              <w:rPr>
                <w:noProof/>
                <w:webHidden/>
              </w:rPr>
              <w:t>4</w:t>
            </w:r>
            <w:r w:rsidR="00EF565A">
              <w:rPr>
                <w:noProof/>
                <w:webHidden/>
              </w:rPr>
              <w:fldChar w:fldCharType="end"/>
            </w:r>
          </w:hyperlink>
        </w:p>
        <w:p w14:paraId="298A4946" w14:textId="5C20E86B" w:rsidR="00EF565A" w:rsidRDefault="006D5B7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1234701" w:history="1">
            <w:r w:rsidR="00EF565A" w:rsidRPr="00853682">
              <w:rPr>
                <w:rStyle w:val="Hyperlink"/>
                <w:noProof/>
              </w:rPr>
              <w:t>Terms of Reference</w:t>
            </w:r>
            <w:r w:rsidR="00EF565A">
              <w:rPr>
                <w:noProof/>
                <w:webHidden/>
              </w:rPr>
              <w:tab/>
            </w:r>
            <w:r w:rsidR="00EF565A">
              <w:rPr>
                <w:noProof/>
                <w:webHidden/>
              </w:rPr>
              <w:fldChar w:fldCharType="begin"/>
            </w:r>
            <w:r w:rsidR="00EF565A">
              <w:rPr>
                <w:noProof/>
                <w:webHidden/>
              </w:rPr>
              <w:instrText xml:space="preserve"> PAGEREF _Toc161234701 \h </w:instrText>
            </w:r>
            <w:r w:rsidR="00EF565A">
              <w:rPr>
                <w:noProof/>
                <w:webHidden/>
              </w:rPr>
            </w:r>
            <w:r w:rsidR="00EF565A">
              <w:rPr>
                <w:noProof/>
                <w:webHidden/>
              </w:rPr>
              <w:fldChar w:fldCharType="separate"/>
            </w:r>
            <w:r w:rsidR="00B13D31">
              <w:rPr>
                <w:noProof/>
                <w:webHidden/>
              </w:rPr>
              <w:t>4</w:t>
            </w:r>
            <w:r w:rsidR="00EF565A">
              <w:rPr>
                <w:noProof/>
                <w:webHidden/>
              </w:rPr>
              <w:fldChar w:fldCharType="end"/>
            </w:r>
          </w:hyperlink>
        </w:p>
        <w:p w14:paraId="3929D766" w14:textId="7A97D4A8" w:rsidR="00EF565A" w:rsidRDefault="006D5B72">
          <w:pPr>
            <w:pStyle w:val="TOC2"/>
            <w:rPr>
              <w:rFonts w:asciiTheme="minorHAnsi" w:eastAsiaTheme="minorEastAsia" w:hAnsiTheme="minorHAnsi" w:cstheme="minorBidi"/>
              <w:noProof/>
              <w:color w:val="auto"/>
              <w:kern w:val="2"/>
              <w:sz w:val="22"/>
              <w:szCs w:val="22"/>
              <w:lang w:eastAsia="en-AU"/>
              <w14:ligatures w14:val="standardContextual"/>
            </w:rPr>
          </w:pPr>
          <w:hyperlink w:anchor="_Toc161234702" w:history="1">
            <w:r w:rsidR="00EF565A" w:rsidRPr="00853682">
              <w:rPr>
                <w:rStyle w:val="Hyperlink"/>
                <w:noProof/>
              </w:rPr>
              <w:t>Role of Individual Working Group Members</w:t>
            </w:r>
            <w:r w:rsidR="00EF565A">
              <w:rPr>
                <w:noProof/>
                <w:webHidden/>
              </w:rPr>
              <w:tab/>
            </w:r>
            <w:r w:rsidR="00EF565A">
              <w:rPr>
                <w:noProof/>
                <w:webHidden/>
              </w:rPr>
              <w:fldChar w:fldCharType="begin"/>
            </w:r>
            <w:r w:rsidR="00EF565A">
              <w:rPr>
                <w:noProof/>
                <w:webHidden/>
              </w:rPr>
              <w:instrText xml:space="preserve"> PAGEREF _Toc161234702 \h </w:instrText>
            </w:r>
            <w:r w:rsidR="00EF565A">
              <w:rPr>
                <w:noProof/>
                <w:webHidden/>
              </w:rPr>
            </w:r>
            <w:r w:rsidR="00EF565A">
              <w:rPr>
                <w:noProof/>
                <w:webHidden/>
              </w:rPr>
              <w:fldChar w:fldCharType="separate"/>
            </w:r>
            <w:r w:rsidR="00B13D31">
              <w:rPr>
                <w:noProof/>
                <w:webHidden/>
              </w:rPr>
              <w:t>5</w:t>
            </w:r>
            <w:r w:rsidR="00EF565A">
              <w:rPr>
                <w:noProof/>
                <w:webHidden/>
              </w:rPr>
              <w:fldChar w:fldCharType="end"/>
            </w:r>
          </w:hyperlink>
        </w:p>
        <w:p w14:paraId="15393D26" w14:textId="1018A242" w:rsidR="00EF565A" w:rsidRDefault="006D5B7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1234703" w:history="1">
            <w:r w:rsidR="00EF565A" w:rsidRPr="00853682">
              <w:rPr>
                <w:rStyle w:val="Hyperlink"/>
                <w:noProof/>
              </w:rPr>
              <w:t>Membership</w:t>
            </w:r>
            <w:r w:rsidR="00EF565A">
              <w:rPr>
                <w:noProof/>
                <w:webHidden/>
              </w:rPr>
              <w:tab/>
            </w:r>
            <w:r w:rsidR="00EF565A">
              <w:rPr>
                <w:noProof/>
                <w:webHidden/>
              </w:rPr>
              <w:fldChar w:fldCharType="begin"/>
            </w:r>
            <w:r w:rsidR="00EF565A">
              <w:rPr>
                <w:noProof/>
                <w:webHidden/>
              </w:rPr>
              <w:instrText xml:space="preserve"> PAGEREF _Toc161234703 \h </w:instrText>
            </w:r>
            <w:r w:rsidR="00EF565A">
              <w:rPr>
                <w:noProof/>
                <w:webHidden/>
              </w:rPr>
            </w:r>
            <w:r w:rsidR="00EF565A">
              <w:rPr>
                <w:noProof/>
                <w:webHidden/>
              </w:rPr>
              <w:fldChar w:fldCharType="separate"/>
            </w:r>
            <w:r w:rsidR="00B13D31">
              <w:rPr>
                <w:noProof/>
                <w:webHidden/>
              </w:rPr>
              <w:t>5</w:t>
            </w:r>
            <w:r w:rsidR="00EF565A">
              <w:rPr>
                <w:noProof/>
                <w:webHidden/>
              </w:rPr>
              <w:fldChar w:fldCharType="end"/>
            </w:r>
          </w:hyperlink>
        </w:p>
        <w:p w14:paraId="4FEB8D28" w14:textId="460F563E" w:rsidR="00EF565A" w:rsidRDefault="006D5B7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1234704" w:history="1">
            <w:r w:rsidR="00EF565A" w:rsidRPr="00853682">
              <w:rPr>
                <w:rStyle w:val="Hyperlink"/>
                <w:noProof/>
              </w:rPr>
              <w:t>Membership Structure</w:t>
            </w:r>
            <w:r w:rsidR="00EF565A">
              <w:rPr>
                <w:noProof/>
                <w:webHidden/>
              </w:rPr>
              <w:tab/>
            </w:r>
            <w:r w:rsidR="00EF565A">
              <w:rPr>
                <w:noProof/>
                <w:webHidden/>
              </w:rPr>
              <w:fldChar w:fldCharType="begin"/>
            </w:r>
            <w:r w:rsidR="00EF565A">
              <w:rPr>
                <w:noProof/>
                <w:webHidden/>
              </w:rPr>
              <w:instrText xml:space="preserve"> PAGEREF _Toc161234704 \h </w:instrText>
            </w:r>
            <w:r w:rsidR="00EF565A">
              <w:rPr>
                <w:noProof/>
                <w:webHidden/>
              </w:rPr>
            </w:r>
            <w:r w:rsidR="00EF565A">
              <w:rPr>
                <w:noProof/>
                <w:webHidden/>
              </w:rPr>
              <w:fldChar w:fldCharType="separate"/>
            </w:r>
            <w:r w:rsidR="00B13D31">
              <w:rPr>
                <w:noProof/>
                <w:webHidden/>
              </w:rPr>
              <w:t>5</w:t>
            </w:r>
            <w:r w:rsidR="00EF565A">
              <w:rPr>
                <w:noProof/>
                <w:webHidden/>
              </w:rPr>
              <w:fldChar w:fldCharType="end"/>
            </w:r>
          </w:hyperlink>
        </w:p>
        <w:p w14:paraId="1A9313C5" w14:textId="2B67B8B5" w:rsidR="00EF565A" w:rsidRDefault="006D5B7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1234705" w:history="1">
            <w:r w:rsidR="00EF565A" w:rsidRPr="00853682">
              <w:rPr>
                <w:rStyle w:val="Hyperlink"/>
                <w:noProof/>
              </w:rPr>
              <w:t>Consumer Members</w:t>
            </w:r>
            <w:r w:rsidR="00EF565A">
              <w:rPr>
                <w:noProof/>
                <w:webHidden/>
              </w:rPr>
              <w:tab/>
            </w:r>
            <w:r w:rsidR="00EF565A">
              <w:rPr>
                <w:noProof/>
                <w:webHidden/>
              </w:rPr>
              <w:fldChar w:fldCharType="begin"/>
            </w:r>
            <w:r w:rsidR="00EF565A">
              <w:rPr>
                <w:noProof/>
                <w:webHidden/>
              </w:rPr>
              <w:instrText xml:space="preserve"> PAGEREF _Toc161234705 \h </w:instrText>
            </w:r>
            <w:r w:rsidR="00EF565A">
              <w:rPr>
                <w:noProof/>
                <w:webHidden/>
              </w:rPr>
            </w:r>
            <w:r w:rsidR="00EF565A">
              <w:rPr>
                <w:noProof/>
                <w:webHidden/>
              </w:rPr>
              <w:fldChar w:fldCharType="separate"/>
            </w:r>
            <w:r w:rsidR="00B13D31">
              <w:rPr>
                <w:noProof/>
                <w:webHidden/>
              </w:rPr>
              <w:t>6</w:t>
            </w:r>
            <w:r w:rsidR="00EF565A">
              <w:rPr>
                <w:noProof/>
                <w:webHidden/>
              </w:rPr>
              <w:fldChar w:fldCharType="end"/>
            </w:r>
          </w:hyperlink>
        </w:p>
        <w:p w14:paraId="176A370C" w14:textId="0AD34AA7" w:rsidR="00EF565A" w:rsidRDefault="006D5B72">
          <w:pPr>
            <w:pStyle w:val="TOC2"/>
            <w:rPr>
              <w:rFonts w:asciiTheme="minorHAnsi" w:eastAsiaTheme="minorEastAsia" w:hAnsiTheme="minorHAnsi" w:cstheme="minorBidi"/>
              <w:noProof/>
              <w:color w:val="auto"/>
              <w:kern w:val="2"/>
              <w:sz w:val="22"/>
              <w:szCs w:val="22"/>
              <w:lang w:eastAsia="en-AU"/>
              <w14:ligatures w14:val="standardContextual"/>
            </w:rPr>
          </w:pPr>
          <w:hyperlink w:anchor="_Toc161234706" w:history="1">
            <w:r w:rsidR="00EF565A" w:rsidRPr="00853682">
              <w:rPr>
                <w:rStyle w:val="Hyperlink"/>
                <w:noProof/>
              </w:rPr>
              <w:t>Proxy</w:t>
            </w:r>
            <w:r w:rsidR="00EF565A">
              <w:rPr>
                <w:noProof/>
                <w:webHidden/>
              </w:rPr>
              <w:tab/>
            </w:r>
            <w:r w:rsidR="00EF565A">
              <w:rPr>
                <w:noProof/>
                <w:webHidden/>
              </w:rPr>
              <w:fldChar w:fldCharType="begin"/>
            </w:r>
            <w:r w:rsidR="00EF565A">
              <w:rPr>
                <w:noProof/>
                <w:webHidden/>
              </w:rPr>
              <w:instrText xml:space="preserve"> PAGEREF _Toc161234706 \h </w:instrText>
            </w:r>
            <w:r w:rsidR="00EF565A">
              <w:rPr>
                <w:noProof/>
                <w:webHidden/>
              </w:rPr>
            </w:r>
            <w:r w:rsidR="00EF565A">
              <w:rPr>
                <w:noProof/>
                <w:webHidden/>
              </w:rPr>
              <w:fldChar w:fldCharType="separate"/>
            </w:r>
            <w:r w:rsidR="00B13D31">
              <w:rPr>
                <w:noProof/>
                <w:webHidden/>
              </w:rPr>
              <w:t>6</w:t>
            </w:r>
            <w:r w:rsidR="00EF565A">
              <w:rPr>
                <w:noProof/>
                <w:webHidden/>
              </w:rPr>
              <w:fldChar w:fldCharType="end"/>
            </w:r>
          </w:hyperlink>
        </w:p>
        <w:p w14:paraId="60CE8FF7" w14:textId="6F068E41" w:rsidR="00EF565A" w:rsidRDefault="006D5B72">
          <w:pPr>
            <w:pStyle w:val="TOC2"/>
            <w:rPr>
              <w:rFonts w:asciiTheme="minorHAnsi" w:eastAsiaTheme="minorEastAsia" w:hAnsiTheme="minorHAnsi" w:cstheme="minorBidi"/>
              <w:noProof/>
              <w:color w:val="auto"/>
              <w:kern w:val="2"/>
              <w:sz w:val="22"/>
              <w:szCs w:val="22"/>
              <w:lang w:eastAsia="en-AU"/>
              <w14:ligatures w14:val="standardContextual"/>
            </w:rPr>
          </w:pPr>
          <w:hyperlink w:anchor="_Toc161234707" w:history="1">
            <w:r w:rsidR="00EF565A" w:rsidRPr="00853682">
              <w:rPr>
                <w:rStyle w:val="Hyperlink"/>
                <w:noProof/>
              </w:rPr>
              <w:t>Resignation</w:t>
            </w:r>
            <w:r w:rsidR="00EF565A">
              <w:rPr>
                <w:noProof/>
                <w:webHidden/>
              </w:rPr>
              <w:tab/>
            </w:r>
            <w:r w:rsidR="00EF565A">
              <w:rPr>
                <w:noProof/>
                <w:webHidden/>
              </w:rPr>
              <w:fldChar w:fldCharType="begin"/>
            </w:r>
            <w:r w:rsidR="00EF565A">
              <w:rPr>
                <w:noProof/>
                <w:webHidden/>
              </w:rPr>
              <w:instrText xml:space="preserve"> PAGEREF _Toc161234707 \h </w:instrText>
            </w:r>
            <w:r w:rsidR="00EF565A">
              <w:rPr>
                <w:noProof/>
                <w:webHidden/>
              </w:rPr>
            </w:r>
            <w:r w:rsidR="00EF565A">
              <w:rPr>
                <w:noProof/>
                <w:webHidden/>
              </w:rPr>
              <w:fldChar w:fldCharType="separate"/>
            </w:r>
            <w:r w:rsidR="00B13D31">
              <w:rPr>
                <w:noProof/>
                <w:webHidden/>
              </w:rPr>
              <w:t>6</w:t>
            </w:r>
            <w:r w:rsidR="00EF565A">
              <w:rPr>
                <w:noProof/>
                <w:webHidden/>
              </w:rPr>
              <w:fldChar w:fldCharType="end"/>
            </w:r>
          </w:hyperlink>
        </w:p>
        <w:p w14:paraId="6F75D0F1" w14:textId="0372E8CC" w:rsidR="00EF565A" w:rsidRDefault="006D5B7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1234708" w:history="1">
            <w:r w:rsidR="00EF565A" w:rsidRPr="00853682">
              <w:rPr>
                <w:rStyle w:val="Hyperlink"/>
                <w:noProof/>
              </w:rPr>
              <w:t>Meeting frequency</w:t>
            </w:r>
            <w:r w:rsidR="00EF565A">
              <w:rPr>
                <w:noProof/>
                <w:webHidden/>
              </w:rPr>
              <w:tab/>
            </w:r>
            <w:r w:rsidR="00EF565A">
              <w:rPr>
                <w:noProof/>
                <w:webHidden/>
              </w:rPr>
              <w:fldChar w:fldCharType="begin"/>
            </w:r>
            <w:r w:rsidR="00EF565A">
              <w:rPr>
                <w:noProof/>
                <w:webHidden/>
              </w:rPr>
              <w:instrText xml:space="preserve"> PAGEREF _Toc161234708 \h </w:instrText>
            </w:r>
            <w:r w:rsidR="00EF565A">
              <w:rPr>
                <w:noProof/>
                <w:webHidden/>
              </w:rPr>
            </w:r>
            <w:r w:rsidR="00EF565A">
              <w:rPr>
                <w:noProof/>
                <w:webHidden/>
              </w:rPr>
              <w:fldChar w:fldCharType="separate"/>
            </w:r>
            <w:r w:rsidR="00B13D31">
              <w:rPr>
                <w:noProof/>
                <w:webHidden/>
              </w:rPr>
              <w:t>6</w:t>
            </w:r>
            <w:r w:rsidR="00EF565A">
              <w:rPr>
                <w:noProof/>
                <w:webHidden/>
              </w:rPr>
              <w:fldChar w:fldCharType="end"/>
            </w:r>
          </w:hyperlink>
        </w:p>
        <w:p w14:paraId="15DDA211" w14:textId="04B63606" w:rsidR="00EF565A" w:rsidRDefault="006D5B72">
          <w:pPr>
            <w:pStyle w:val="TOC2"/>
            <w:rPr>
              <w:rFonts w:asciiTheme="minorHAnsi" w:eastAsiaTheme="minorEastAsia" w:hAnsiTheme="minorHAnsi" w:cstheme="minorBidi"/>
              <w:noProof/>
              <w:color w:val="auto"/>
              <w:kern w:val="2"/>
              <w:sz w:val="22"/>
              <w:szCs w:val="22"/>
              <w:lang w:eastAsia="en-AU"/>
              <w14:ligatures w14:val="standardContextual"/>
            </w:rPr>
          </w:pPr>
          <w:hyperlink w:anchor="_Toc161234709" w:history="1">
            <w:r w:rsidR="00EF565A" w:rsidRPr="00853682">
              <w:rPr>
                <w:rStyle w:val="Hyperlink"/>
                <w:noProof/>
              </w:rPr>
              <w:t>Sub-working groups</w:t>
            </w:r>
            <w:r w:rsidR="00EF565A">
              <w:rPr>
                <w:noProof/>
                <w:webHidden/>
              </w:rPr>
              <w:tab/>
            </w:r>
            <w:r w:rsidR="00EF565A">
              <w:rPr>
                <w:noProof/>
                <w:webHidden/>
              </w:rPr>
              <w:fldChar w:fldCharType="begin"/>
            </w:r>
            <w:r w:rsidR="00EF565A">
              <w:rPr>
                <w:noProof/>
                <w:webHidden/>
              </w:rPr>
              <w:instrText xml:space="preserve"> PAGEREF _Toc161234709 \h </w:instrText>
            </w:r>
            <w:r w:rsidR="00EF565A">
              <w:rPr>
                <w:noProof/>
                <w:webHidden/>
              </w:rPr>
            </w:r>
            <w:r w:rsidR="00EF565A">
              <w:rPr>
                <w:noProof/>
                <w:webHidden/>
              </w:rPr>
              <w:fldChar w:fldCharType="separate"/>
            </w:r>
            <w:r w:rsidR="00B13D31">
              <w:rPr>
                <w:noProof/>
                <w:webHidden/>
              </w:rPr>
              <w:t>6</w:t>
            </w:r>
            <w:r w:rsidR="00EF565A">
              <w:rPr>
                <w:noProof/>
                <w:webHidden/>
              </w:rPr>
              <w:fldChar w:fldCharType="end"/>
            </w:r>
          </w:hyperlink>
        </w:p>
        <w:p w14:paraId="729F2B08" w14:textId="68EFB253" w:rsidR="00EF565A" w:rsidRDefault="006D5B7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1234710" w:history="1">
            <w:r w:rsidR="00EF565A" w:rsidRPr="00853682">
              <w:rPr>
                <w:rStyle w:val="Hyperlink"/>
                <w:noProof/>
              </w:rPr>
              <w:t>Remuneration</w:t>
            </w:r>
            <w:r w:rsidR="00EF565A">
              <w:rPr>
                <w:noProof/>
                <w:webHidden/>
              </w:rPr>
              <w:tab/>
            </w:r>
            <w:r w:rsidR="00EF565A">
              <w:rPr>
                <w:noProof/>
                <w:webHidden/>
              </w:rPr>
              <w:fldChar w:fldCharType="begin"/>
            </w:r>
            <w:r w:rsidR="00EF565A">
              <w:rPr>
                <w:noProof/>
                <w:webHidden/>
              </w:rPr>
              <w:instrText xml:space="preserve"> PAGEREF _Toc161234710 \h </w:instrText>
            </w:r>
            <w:r w:rsidR="00EF565A">
              <w:rPr>
                <w:noProof/>
                <w:webHidden/>
              </w:rPr>
            </w:r>
            <w:r w:rsidR="00EF565A">
              <w:rPr>
                <w:noProof/>
                <w:webHidden/>
              </w:rPr>
              <w:fldChar w:fldCharType="separate"/>
            </w:r>
            <w:r w:rsidR="00B13D31">
              <w:rPr>
                <w:noProof/>
                <w:webHidden/>
              </w:rPr>
              <w:t>7</w:t>
            </w:r>
            <w:r w:rsidR="00EF565A">
              <w:rPr>
                <w:noProof/>
                <w:webHidden/>
              </w:rPr>
              <w:fldChar w:fldCharType="end"/>
            </w:r>
          </w:hyperlink>
        </w:p>
        <w:p w14:paraId="5F42CF56" w14:textId="43B40D8D" w:rsidR="00EF565A" w:rsidRDefault="006D5B7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1234711" w:history="1">
            <w:r w:rsidR="00EF565A" w:rsidRPr="00853682">
              <w:rPr>
                <w:rStyle w:val="Hyperlink"/>
                <w:noProof/>
              </w:rPr>
              <w:t>Conflicts of Interest and Confidentiality</w:t>
            </w:r>
            <w:r w:rsidR="00EF565A">
              <w:rPr>
                <w:noProof/>
                <w:webHidden/>
              </w:rPr>
              <w:tab/>
            </w:r>
            <w:r w:rsidR="00EF565A">
              <w:rPr>
                <w:noProof/>
                <w:webHidden/>
              </w:rPr>
              <w:fldChar w:fldCharType="begin"/>
            </w:r>
            <w:r w:rsidR="00EF565A">
              <w:rPr>
                <w:noProof/>
                <w:webHidden/>
              </w:rPr>
              <w:instrText xml:space="preserve"> PAGEREF _Toc161234711 \h </w:instrText>
            </w:r>
            <w:r w:rsidR="00EF565A">
              <w:rPr>
                <w:noProof/>
                <w:webHidden/>
              </w:rPr>
            </w:r>
            <w:r w:rsidR="00EF565A">
              <w:rPr>
                <w:noProof/>
                <w:webHidden/>
              </w:rPr>
              <w:fldChar w:fldCharType="separate"/>
            </w:r>
            <w:r w:rsidR="00B13D31">
              <w:rPr>
                <w:noProof/>
                <w:webHidden/>
              </w:rPr>
              <w:t>7</w:t>
            </w:r>
            <w:r w:rsidR="00EF565A">
              <w:rPr>
                <w:noProof/>
                <w:webHidden/>
              </w:rPr>
              <w:fldChar w:fldCharType="end"/>
            </w:r>
          </w:hyperlink>
        </w:p>
        <w:p w14:paraId="2118F2C8" w14:textId="68040ECE" w:rsidR="00EF565A" w:rsidRDefault="006D5B7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1234712" w:history="1">
            <w:r w:rsidR="00EF565A" w:rsidRPr="00853682">
              <w:rPr>
                <w:rStyle w:val="Hyperlink"/>
                <w:noProof/>
              </w:rPr>
              <w:t>Secretariat</w:t>
            </w:r>
            <w:r w:rsidR="00EF565A">
              <w:rPr>
                <w:noProof/>
                <w:webHidden/>
              </w:rPr>
              <w:tab/>
            </w:r>
            <w:r w:rsidR="00EF565A">
              <w:rPr>
                <w:noProof/>
                <w:webHidden/>
              </w:rPr>
              <w:fldChar w:fldCharType="begin"/>
            </w:r>
            <w:r w:rsidR="00EF565A">
              <w:rPr>
                <w:noProof/>
                <w:webHidden/>
              </w:rPr>
              <w:instrText xml:space="preserve"> PAGEREF _Toc161234712 \h </w:instrText>
            </w:r>
            <w:r w:rsidR="00EF565A">
              <w:rPr>
                <w:noProof/>
                <w:webHidden/>
              </w:rPr>
            </w:r>
            <w:r w:rsidR="00EF565A">
              <w:rPr>
                <w:noProof/>
                <w:webHidden/>
              </w:rPr>
              <w:fldChar w:fldCharType="separate"/>
            </w:r>
            <w:r w:rsidR="00B13D31">
              <w:rPr>
                <w:noProof/>
                <w:webHidden/>
              </w:rPr>
              <w:t>7</w:t>
            </w:r>
            <w:r w:rsidR="00EF565A">
              <w:rPr>
                <w:noProof/>
                <w:webHidden/>
              </w:rPr>
              <w:fldChar w:fldCharType="end"/>
            </w:r>
          </w:hyperlink>
        </w:p>
        <w:p w14:paraId="5526A2A5" w14:textId="57CADF01" w:rsidR="00EF565A" w:rsidRDefault="006D5B7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1234713" w:history="1">
            <w:r w:rsidR="00EF565A" w:rsidRPr="00853682">
              <w:rPr>
                <w:rStyle w:val="Hyperlink"/>
                <w:noProof/>
              </w:rPr>
              <w:t>Meeting Management</w:t>
            </w:r>
            <w:r w:rsidR="00EF565A">
              <w:rPr>
                <w:noProof/>
                <w:webHidden/>
              </w:rPr>
              <w:tab/>
            </w:r>
            <w:r w:rsidR="00EF565A">
              <w:rPr>
                <w:noProof/>
                <w:webHidden/>
              </w:rPr>
              <w:fldChar w:fldCharType="begin"/>
            </w:r>
            <w:r w:rsidR="00EF565A">
              <w:rPr>
                <w:noProof/>
                <w:webHidden/>
              </w:rPr>
              <w:instrText xml:space="preserve"> PAGEREF _Toc161234713 \h </w:instrText>
            </w:r>
            <w:r w:rsidR="00EF565A">
              <w:rPr>
                <w:noProof/>
                <w:webHidden/>
              </w:rPr>
            </w:r>
            <w:r w:rsidR="00EF565A">
              <w:rPr>
                <w:noProof/>
                <w:webHidden/>
              </w:rPr>
              <w:fldChar w:fldCharType="separate"/>
            </w:r>
            <w:r w:rsidR="00B13D31">
              <w:rPr>
                <w:noProof/>
                <w:webHidden/>
              </w:rPr>
              <w:t>7</w:t>
            </w:r>
            <w:r w:rsidR="00EF565A">
              <w:rPr>
                <w:noProof/>
                <w:webHidden/>
              </w:rPr>
              <w:fldChar w:fldCharType="end"/>
            </w:r>
          </w:hyperlink>
        </w:p>
        <w:p w14:paraId="463A726D" w14:textId="1A5C8F6B" w:rsidR="00EF565A" w:rsidRDefault="006D5B7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1234714" w:history="1">
            <w:r w:rsidR="00EF565A" w:rsidRPr="00853682">
              <w:rPr>
                <w:rStyle w:val="Hyperlink"/>
                <w:noProof/>
              </w:rPr>
              <w:t>Outcomes</w:t>
            </w:r>
            <w:r w:rsidR="00EF565A">
              <w:rPr>
                <w:noProof/>
                <w:webHidden/>
              </w:rPr>
              <w:tab/>
            </w:r>
            <w:r w:rsidR="00EF565A">
              <w:rPr>
                <w:noProof/>
                <w:webHidden/>
              </w:rPr>
              <w:fldChar w:fldCharType="begin"/>
            </w:r>
            <w:r w:rsidR="00EF565A">
              <w:rPr>
                <w:noProof/>
                <w:webHidden/>
              </w:rPr>
              <w:instrText xml:space="preserve"> PAGEREF _Toc161234714 \h </w:instrText>
            </w:r>
            <w:r w:rsidR="00EF565A">
              <w:rPr>
                <w:noProof/>
                <w:webHidden/>
              </w:rPr>
            </w:r>
            <w:r w:rsidR="00EF565A">
              <w:rPr>
                <w:noProof/>
                <w:webHidden/>
              </w:rPr>
              <w:fldChar w:fldCharType="separate"/>
            </w:r>
            <w:r w:rsidR="00B13D31">
              <w:rPr>
                <w:noProof/>
                <w:webHidden/>
              </w:rPr>
              <w:t>7</w:t>
            </w:r>
            <w:r w:rsidR="00EF565A">
              <w:rPr>
                <w:noProof/>
                <w:webHidden/>
              </w:rPr>
              <w:fldChar w:fldCharType="end"/>
            </w:r>
          </w:hyperlink>
        </w:p>
        <w:p w14:paraId="0D80F09B" w14:textId="492C58E0" w:rsidR="0089410A" w:rsidRDefault="0089410A" w:rsidP="0089410A">
          <w:r w:rsidRPr="00215D48">
            <w:fldChar w:fldCharType="end"/>
          </w:r>
        </w:p>
      </w:sdtContent>
    </w:sdt>
    <w:p w14:paraId="269B1A57" w14:textId="77777777" w:rsidR="0089410A" w:rsidRDefault="0089410A"/>
    <w:p w14:paraId="274E3FA4" w14:textId="77777777" w:rsidR="00DD3815" w:rsidRDefault="00DD3815" w:rsidP="00DD3815">
      <w:pPr>
        <w:pStyle w:val="LegalSubheading"/>
        <w:rPr>
          <w:b/>
          <w:bCs/>
        </w:rPr>
      </w:pPr>
    </w:p>
    <w:p w14:paraId="7FEC4DB7" w14:textId="77777777" w:rsidR="0089410A" w:rsidRDefault="0089410A">
      <w:pPr>
        <w:rPr>
          <w:rFonts w:eastAsia="Cambria" w:cs="Times New Roman"/>
          <w:bCs/>
          <w:color w:val="333F4A"/>
          <w:sz w:val="17"/>
        </w:rPr>
      </w:pPr>
      <w:r>
        <w:rPr>
          <w:b/>
          <w:bCs/>
        </w:rPr>
        <w:br w:type="page"/>
      </w:r>
    </w:p>
    <w:p w14:paraId="0C4657E0" w14:textId="77777777" w:rsidR="00DD21C5" w:rsidRPr="00D4314E" w:rsidRDefault="00DD21C5" w:rsidP="00DD21C5">
      <w:pPr>
        <w:pStyle w:val="Heading2"/>
      </w:pPr>
      <w:bookmarkStart w:id="2" w:name="_Toc161234699"/>
      <w:bookmarkStart w:id="3" w:name="_Toc323739589"/>
      <w:bookmarkStart w:id="4" w:name="_Toc356305216"/>
      <w:r w:rsidRPr="00D4314E">
        <w:lastRenderedPageBreak/>
        <w:t>Purpose</w:t>
      </w:r>
      <w:bookmarkEnd w:id="2"/>
    </w:p>
    <w:p w14:paraId="08605EAF" w14:textId="69368287" w:rsidR="0070793C" w:rsidRPr="000F0AF9" w:rsidRDefault="00DD21C5" w:rsidP="00DD21C5">
      <w:pPr>
        <w:rPr>
          <w:lang w:eastAsia="en-AU"/>
        </w:rPr>
      </w:pPr>
      <w:r w:rsidRPr="000F0AF9">
        <w:rPr>
          <w:lang w:eastAsia="en-AU"/>
        </w:rPr>
        <w:t>The</w:t>
      </w:r>
      <w:r w:rsidR="0070793C" w:rsidRPr="000F0AF9">
        <w:rPr>
          <w:lang w:eastAsia="en-AU"/>
        </w:rPr>
        <w:t xml:space="preserve"> </w:t>
      </w:r>
      <w:r w:rsidRPr="000F0AF9">
        <w:rPr>
          <w:lang w:eastAsia="en-AU"/>
        </w:rPr>
        <w:t xml:space="preserve">Medical Devices Consumer Working Group (MDCWG) </w:t>
      </w:r>
      <w:r w:rsidR="0070793C" w:rsidRPr="000F0AF9">
        <w:rPr>
          <w:lang w:eastAsia="en-AU"/>
        </w:rPr>
        <w:t>provides</w:t>
      </w:r>
      <w:r w:rsidRPr="000F0AF9">
        <w:rPr>
          <w:lang w:eastAsia="en-AU"/>
        </w:rPr>
        <w:t xml:space="preserve"> a forum for the</w:t>
      </w:r>
      <w:r w:rsidR="00217353">
        <w:rPr>
          <w:lang w:eastAsia="en-AU"/>
        </w:rPr>
        <w:t xml:space="preserve"> </w:t>
      </w:r>
      <w:r w:rsidR="000F799B">
        <w:rPr>
          <w:lang w:eastAsia="en-AU"/>
        </w:rPr>
        <w:t xml:space="preserve">Therapeutic Goods Administration (TGA) </w:t>
      </w:r>
      <w:r w:rsidRPr="000F0AF9">
        <w:rPr>
          <w:lang w:eastAsia="en-AU"/>
        </w:rPr>
        <w:t xml:space="preserve">to </w:t>
      </w:r>
      <w:r w:rsidR="000524AC" w:rsidRPr="000F0AF9">
        <w:rPr>
          <w:lang w:eastAsia="en-AU"/>
        </w:rPr>
        <w:t xml:space="preserve">work with consumer and patient groups to </w:t>
      </w:r>
      <w:r w:rsidRPr="000F0AF9">
        <w:t>implement</w:t>
      </w:r>
      <w:r w:rsidR="0070793C" w:rsidRPr="000F0AF9">
        <w:t xml:space="preserve"> </w:t>
      </w:r>
      <w:r w:rsidRPr="000F0AF9">
        <w:t>the TGA</w:t>
      </w:r>
      <w:r w:rsidR="0070793C" w:rsidRPr="000F0AF9">
        <w:t>’s 2019</w:t>
      </w:r>
      <w:r w:rsidRPr="000F0AF9">
        <w:t xml:space="preserve"> </w:t>
      </w:r>
      <w:hyperlink r:id="rId9" w:history="1">
        <w:r w:rsidRPr="000F0AF9">
          <w:rPr>
            <w:rStyle w:val="Hyperlink"/>
            <w:rFonts w:cs="Calibri"/>
            <w:i/>
            <w:iCs/>
          </w:rPr>
          <w:t>Action Plan for Medical Devices</w:t>
        </w:r>
      </w:hyperlink>
      <w:r w:rsidR="0070793C" w:rsidRPr="000F0AF9">
        <w:t xml:space="preserve"> (Action Plan)</w:t>
      </w:r>
      <w:r w:rsidR="000524AC" w:rsidRPr="000F0AF9">
        <w:t xml:space="preserve"> and seek consumer</w:t>
      </w:r>
      <w:r w:rsidR="00A22068">
        <w:t xml:space="preserve"> </w:t>
      </w:r>
      <w:r w:rsidR="000524AC" w:rsidRPr="000F0AF9">
        <w:t>perspectives on medical devices regulatory reforms</w:t>
      </w:r>
      <w:r w:rsidR="0070793C" w:rsidRPr="000F0AF9">
        <w:t>.</w:t>
      </w:r>
      <w:r w:rsidR="00A22068">
        <w:t xml:space="preserve"> </w:t>
      </w:r>
    </w:p>
    <w:p w14:paraId="13A2A0C8" w14:textId="58894C82" w:rsidR="003A3A73" w:rsidRPr="00645EBF" w:rsidRDefault="00DD21C5" w:rsidP="00731482">
      <w:r w:rsidRPr="000F0AF9">
        <w:t>Th</w:t>
      </w:r>
      <w:r w:rsidR="0070793C" w:rsidRPr="000F0AF9">
        <w:t>e</w:t>
      </w:r>
      <w:r w:rsidR="000524AC" w:rsidRPr="000F0AF9">
        <w:t xml:space="preserve"> MDCWG ensures that medical device regulations and the reforms are patient-centred, and transparent, supporting the</w:t>
      </w:r>
      <w:r w:rsidR="000524AC" w:rsidRPr="000F0AF9" w:rsidDel="0070793C">
        <w:t xml:space="preserve"> </w:t>
      </w:r>
      <w:r w:rsidRPr="000F0AF9">
        <w:t xml:space="preserve">Action Plan </w:t>
      </w:r>
      <w:r w:rsidR="000524AC" w:rsidRPr="000F0AF9">
        <w:t xml:space="preserve">in </w:t>
      </w:r>
      <w:r w:rsidRPr="000F0AF9">
        <w:t>strengthen</w:t>
      </w:r>
      <w:r w:rsidR="000524AC" w:rsidRPr="000F0AF9">
        <w:t>ing</w:t>
      </w:r>
      <w:r w:rsidR="00731482" w:rsidRPr="000F0AF9">
        <w:t xml:space="preserve"> Australia’s regulatory system, </w:t>
      </w:r>
      <w:r w:rsidRPr="00645EBF">
        <w:t>to improve health outcomes for patients who require medical devices.</w:t>
      </w:r>
      <w:r w:rsidR="003A3A73" w:rsidRPr="00645EBF">
        <w:t xml:space="preserve"> </w:t>
      </w:r>
      <w:r w:rsidR="004245CB">
        <w:t>The MDCWG also advises on TGA’s communication and engagement with consumers.</w:t>
      </w:r>
    </w:p>
    <w:p w14:paraId="55414C14" w14:textId="77777777" w:rsidR="00DD21C5" w:rsidRPr="00D4314E" w:rsidRDefault="00DD21C5" w:rsidP="005D227F">
      <w:pPr>
        <w:pStyle w:val="Heading3"/>
      </w:pPr>
      <w:bookmarkStart w:id="5" w:name="_Toc161234700"/>
      <w:r w:rsidRPr="00D4314E">
        <w:t>Scope</w:t>
      </w:r>
      <w:bookmarkEnd w:id="5"/>
    </w:p>
    <w:p w14:paraId="140F0D3B" w14:textId="7AEBC4CC" w:rsidR="00047255" w:rsidRPr="000F0AF9" w:rsidRDefault="00DD21C5" w:rsidP="00DD21C5">
      <w:pPr>
        <w:rPr>
          <w:lang w:eastAsia="en-AU"/>
        </w:rPr>
      </w:pPr>
      <w:r w:rsidRPr="000F0AF9">
        <w:rPr>
          <w:lang w:eastAsia="en-AU"/>
        </w:rPr>
        <w:t>The MDCWG</w:t>
      </w:r>
      <w:r w:rsidR="00572DB5" w:rsidRPr="000F0AF9">
        <w:rPr>
          <w:lang w:eastAsia="en-AU"/>
        </w:rPr>
        <w:t xml:space="preserve"> </w:t>
      </w:r>
      <w:r w:rsidRPr="000F0AF9">
        <w:rPr>
          <w:lang w:eastAsia="en-AU"/>
        </w:rPr>
        <w:t>is not a decision making or approval body.</w:t>
      </w:r>
      <w:r w:rsidR="00572DB5" w:rsidRPr="000F0AF9">
        <w:rPr>
          <w:lang w:eastAsia="en-AU"/>
        </w:rPr>
        <w:t xml:space="preserve"> </w:t>
      </w:r>
      <w:r w:rsidR="00961298" w:rsidRPr="000F0AF9">
        <w:rPr>
          <w:lang w:eastAsia="en-AU"/>
        </w:rPr>
        <w:t>It plays an advisory role, lending expertise through members’ lived experience or those whom the members represent.</w:t>
      </w:r>
    </w:p>
    <w:p w14:paraId="2696E559" w14:textId="5506BEAB" w:rsidR="00DD21C5" w:rsidRPr="00D4314E" w:rsidRDefault="00DD21C5" w:rsidP="00EF565A">
      <w:pPr>
        <w:pStyle w:val="Heading2"/>
        <w:spacing w:before="360"/>
      </w:pPr>
      <w:bookmarkStart w:id="6" w:name="_Toc161234701"/>
      <w:r w:rsidRPr="00D4314E">
        <w:t>Terms of Reference</w:t>
      </w:r>
      <w:bookmarkEnd w:id="6"/>
    </w:p>
    <w:p w14:paraId="05E94959" w14:textId="77777777" w:rsidR="00DD21C5" w:rsidRPr="000F0AF9" w:rsidRDefault="00DD21C5" w:rsidP="00DD21C5">
      <w:pPr>
        <w:rPr>
          <w:lang w:eastAsia="en-AU"/>
        </w:rPr>
      </w:pPr>
      <w:r w:rsidRPr="000F0AF9">
        <w:rPr>
          <w:lang w:eastAsia="en-AU"/>
        </w:rPr>
        <w:t xml:space="preserve">The Terms of Reference of the MDCWG are to: </w:t>
      </w:r>
    </w:p>
    <w:p w14:paraId="39141FA6" w14:textId="453405A9" w:rsidR="00ED60D7" w:rsidRPr="00007377" w:rsidRDefault="00DD21C5" w:rsidP="009A4907">
      <w:pPr>
        <w:pStyle w:val="ListBullet-dotick"/>
      </w:pPr>
      <w:r w:rsidRPr="00007377">
        <w:t>Consider and provide advice on proposed actions to improve medical devices regulatory transparency,</w:t>
      </w:r>
      <w:r w:rsidR="00047255" w:rsidRPr="00007377">
        <w:t xml:space="preserve"> </w:t>
      </w:r>
      <w:r w:rsidR="00961298" w:rsidRPr="00007377">
        <w:t>including on:</w:t>
      </w:r>
    </w:p>
    <w:p w14:paraId="5CE0DED8" w14:textId="4C9097DD" w:rsidR="009B67FA" w:rsidRPr="000F0AF9" w:rsidRDefault="009B67FA" w:rsidP="00BE5FCA">
      <w:pPr>
        <w:pStyle w:val="ListBullet2"/>
        <w:rPr>
          <w:rFonts w:eastAsiaTheme="minorHAnsi" w:cstheme="minorBidi"/>
          <w:color w:val="auto"/>
          <w:lang w:eastAsia="en-AU"/>
        </w:rPr>
      </w:pPr>
      <w:r w:rsidRPr="000F0AF9">
        <w:rPr>
          <w:rFonts w:eastAsiaTheme="minorHAnsi" w:cstheme="minorBidi"/>
          <w:color w:val="auto"/>
          <w:lang w:eastAsia="en-AU"/>
        </w:rPr>
        <w:t xml:space="preserve">adverse event reporting </w:t>
      </w:r>
    </w:p>
    <w:p w14:paraId="5F19512E" w14:textId="6B3C8D94" w:rsidR="00961298" w:rsidRPr="000F0AF9" w:rsidRDefault="002A4825" w:rsidP="00961298">
      <w:pPr>
        <w:pStyle w:val="ListBullet2"/>
        <w:rPr>
          <w:rFonts w:eastAsiaTheme="minorHAnsi" w:cstheme="minorBidi"/>
          <w:color w:val="auto"/>
          <w:lang w:eastAsia="en-AU"/>
        </w:rPr>
      </w:pPr>
      <w:r w:rsidRPr="000F0AF9">
        <w:rPr>
          <w:rFonts w:eastAsiaTheme="minorHAnsi" w:cstheme="minorBidi"/>
          <w:color w:val="auto"/>
          <w:lang w:eastAsia="en-AU"/>
        </w:rPr>
        <w:t>emergi</w:t>
      </w:r>
      <w:r w:rsidR="001C5A4E" w:rsidRPr="000F0AF9">
        <w:rPr>
          <w:rFonts w:eastAsiaTheme="minorHAnsi" w:cstheme="minorBidi"/>
          <w:color w:val="auto"/>
          <w:lang w:eastAsia="en-AU"/>
        </w:rPr>
        <w:t>ng technologies and issues relating to medical devices</w:t>
      </w:r>
      <w:r w:rsidR="00961298" w:rsidRPr="000F0AF9">
        <w:rPr>
          <w:rFonts w:eastAsiaTheme="minorHAnsi" w:cstheme="minorBidi"/>
          <w:color w:val="auto"/>
          <w:lang w:eastAsia="en-AU"/>
        </w:rPr>
        <w:t xml:space="preserve"> </w:t>
      </w:r>
    </w:p>
    <w:p w14:paraId="648D080D" w14:textId="5452DF5E" w:rsidR="004245CB" w:rsidRDefault="00961298" w:rsidP="00961298">
      <w:pPr>
        <w:pStyle w:val="ListBullet2"/>
        <w:rPr>
          <w:rFonts w:eastAsiaTheme="minorHAnsi" w:cstheme="minorBidi"/>
          <w:color w:val="auto"/>
          <w:lang w:eastAsia="en-AU"/>
        </w:rPr>
      </w:pPr>
      <w:r w:rsidRPr="000F0AF9">
        <w:rPr>
          <w:rFonts w:eastAsiaTheme="minorHAnsi" w:cstheme="minorBidi"/>
          <w:color w:val="auto"/>
          <w:lang w:eastAsia="en-AU"/>
        </w:rPr>
        <w:t xml:space="preserve">electronic instruction for use </w:t>
      </w:r>
    </w:p>
    <w:p w14:paraId="61AF8FC8" w14:textId="5B3C523D" w:rsidR="00DD21C5" w:rsidRPr="000F0AF9" w:rsidRDefault="004245CB" w:rsidP="00961298">
      <w:pPr>
        <w:pStyle w:val="ListBullet2"/>
        <w:rPr>
          <w:rFonts w:eastAsiaTheme="minorHAnsi" w:cstheme="minorBidi"/>
          <w:color w:val="auto"/>
          <w:lang w:eastAsia="en-AU"/>
        </w:rPr>
      </w:pPr>
      <w:r>
        <w:rPr>
          <w:rFonts w:eastAsiaTheme="minorHAnsi" w:cstheme="minorBidi"/>
          <w:color w:val="auto"/>
          <w:lang w:eastAsia="en-AU"/>
        </w:rPr>
        <w:t xml:space="preserve">patient information leaflets, </w:t>
      </w:r>
      <w:r w:rsidR="00961298" w:rsidRPr="000F0AF9">
        <w:rPr>
          <w:rFonts w:eastAsiaTheme="minorHAnsi" w:cstheme="minorBidi"/>
          <w:color w:val="auto"/>
          <w:lang w:eastAsia="en-AU"/>
        </w:rPr>
        <w:t>and</w:t>
      </w:r>
    </w:p>
    <w:p w14:paraId="452EF1C1" w14:textId="7B6B8F36" w:rsidR="00961298" w:rsidRPr="000F0AF9" w:rsidRDefault="00602A08" w:rsidP="000F0AF9">
      <w:pPr>
        <w:pStyle w:val="ListBullet2"/>
        <w:rPr>
          <w:rFonts w:eastAsiaTheme="minorHAnsi" w:cstheme="minorBidi"/>
          <w:lang w:eastAsia="en-AU"/>
        </w:rPr>
      </w:pPr>
      <w:r w:rsidRPr="000F0AF9">
        <w:rPr>
          <w:rFonts w:eastAsiaTheme="minorHAnsi" w:cstheme="minorBidi"/>
          <w:color w:val="auto"/>
          <w:lang w:eastAsia="en-AU"/>
        </w:rPr>
        <w:t>other topics raised by the TGA or in discussions with the MDCWG</w:t>
      </w:r>
      <w:r w:rsidR="00961298" w:rsidRPr="000F0AF9">
        <w:rPr>
          <w:rFonts w:eastAsiaTheme="minorHAnsi" w:cstheme="minorBidi"/>
          <w:color w:val="auto"/>
          <w:lang w:eastAsia="en-AU"/>
        </w:rPr>
        <w:t>.</w:t>
      </w:r>
    </w:p>
    <w:p w14:paraId="272BCB31" w14:textId="22F39ED5" w:rsidR="00DD21C5" w:rsidRPr="00007377" w:rsidRDefault="00DD21C5" w:rsidP="009A4907">
      <w:pPr>
        <w:pStyle w:val="ListBullet-dotick"/>
      </w:pPr>
      <w:r w:rsidRPr="00007377">
        <w:t>Discuss concerns affecting consumer groups</w:t>
      </w:r>
      <w:r w:rsidR="009659F4" w:rsidRPr="00007377">
        <w:t>,</w:t>
      </w:r>
      <w:r w:rsidR="00786425" w:rsidRPr="00007377">
        <w:t xml:space="preserve"> including </w:t>
      </w:r>
      <w:r w:rsidR="009A4907">
        <w:t xml:space="preserve">First Nations, older Australians, </w:t>
      </w:r>
      <w:r w:rsidR="00786425" w:rsidRPr="00007377">
        <w:t>culturally and linguistically diverse</w:t>
      </w:r>
      <w:r w:rsidR="00652B22" w:rsidRPr="00007377">
        <w:t xml:space="preserve"> (CALD) </w:t>
      </w:r>
      <w:r w:rsidR="00786425" w:rsidRPr="00007377">
        <w:t xml:space="preserve">communities, people living with a disability, </w:t>
      </w:r>
      <w:r w:rsidR="000D0336" w:rsidRPr="00007377">
        <w:t xml:space="preserve">and </w:t>
      </w:r>
      <w:r w:rsidR="00786425" w:rsidRPr="00007377">
        <w:t xml:space="preserve">rural/remote </w:t>
      </w:r>
      <w:r w:rsidR="009A4907">
        <w:t>Australians</w:t>
      </w:r>
      <w:r w:rsidR="00786425" w:rsidRPr="00007377">
        <w:t xml:space="preserve">, </w:t>
      </w:r>
      <w:r w:rsidR="005D17F7" w:rsidRPr="00007377">
        <w:t>to</w:t>
      </w:r>
      <w:r w:rsidRPr="00007377">
        <w:t xml:space="preserve"> provide consumer viewpoints on medical devices</w:t>
      </w:r>
      <w:r w:rsidR="005D17F7" w:rsidRPr="00007377">
        <w:t xml:space="preserve"> and its regulation</w:t>
      </w:r>
      <w:r w:rsidRPr="00007377">
        <w:t>.</w:t>
      </w:r>
    </w:p>
    <w:p w14:paraId="2D3EC287" w14:textId="77777777" w:rsidR="00645EBF" w:rsidRPr="00007377" w:rsidRDefault="00DD21C5" w:rsidP="009A4907">
      <w:pPr>
        <w:pStyle w:val="ListBullet-dotick"/>
      </w:pPr>
      <w:r w:rsidRPr="00007377">
        <w:t>Assist the TGA with engaging with relevant stakeholders through their networks</w:t>
      </w:r>
      <w:r w:rsidR="00961298" w:rsidRPr="00007377">
        <w:t xml:space="preserve"> including empowering consumers to</w:t>
      </w:r>
      <w:r w:rsidR="00645EBF" w:rsidRPr="00007377">
        <w:t>:</w:t>
      </w:r>
    </w:p>
    <w:p w14:paraId="11D321A9" w14:textId="4C8E194B" w:rsidR="00645EBF" w:rsidRPr="009A7F56" w:rsidRDefault="00961298" w:rsidP="00645EBF">
      <w:pPr>
        <w:pStyle w:val="ListBullet2"/>
        <w:rPr>
          <w:color w:val="auto"/>
          <w:lang w:eastAsia="en-AU"/>
        </w:rPr>
      </w:pPr>
      <w:r w:rsidRPr="009A7F56">
        <w:rPr>
          <w:color w:val="auto"/>
          <w:lang w:eastAsia="en-AU"/>
        </w:rPr>
        <w:t xml:space="preserve">find </w:t>
      </w:r>
      <w:r w:rsidR="009A4907">
        <w:rPr>
          <w:color w:val="auto"/>
          <w:lang w:eastAsia="en-AU"/>
        </w:rPr>
        <w:t xml:space="preserve">and use </w:t>
      </w:r>
      <w:r w:rsidRPr="009A7F56">
        <w:rPr>
          <w:color w:val="auto"/>
          <w:lang w:eastAsia="en-AU"/>
        </w:rPr>
        <w:t xml:space="preserve">TGA developed resources and </w:t>
      </w:r>
      <w:proofErr w:type="gramStart"/>
      <w:r w:rsidRPr="009A7F56">
        <w:rPr>
          <w:color w:val="auto"/>
          <w:lang w:eastAsia="en-AU"/>
        </w:rPr>
        <w:t>information</w:t>
      </w:r>
      <w:proofErr w:type="gramEnd"/>
      <w:r w:rsidRPr="009A7F56">
        <w:rPr>
          <w:color w:val="auto"/>
          <w:lang w:eastAsia="en-AU"/>
        </w:rPr>
        <w:t xml:space="preserve">  </w:t>
      </w:r>
    </w:p>
    <w:p w14:paraId="00DACE70" w14:textId="6A35AC34" w:rsidR="00961298" w:rsidRPr="009A7F56" w:rsidRDefault="00961298" w:rsidP="00645EBF">
      <w:pPr>
        <w:pStyle w:val="ListBullet2"/>
        <w:rPr>
          <w:color w:val="auto"/>
          <w:lang w:eastAsia="en-AU"/>
        </w:rPr>
      </w:pPr>
      <w:r w:rsidRPr="009A7F56">
        <w:rPr>
          <w:color w:val="auto"/>
          <w:lang w:eastAsia="en-AU"/>
        </w:rPr>
        <w:t>ask for credible and reliable health information, to support informed decision-making</w:t>
      </w:r>
      <w:r w:rsidR="00645EBF" w:rsidRPr="009A7F56">
        <w:rPr>
          <w:color w:val="auto"/>
          <w:lang w:eastAsia="en-AU"/>
        </w:rPr>
        <w:t xml:space="preserve"> at the point of care</w:t>
      </w:r>
      <w:r w:rsidR="00990995" w:rsidRPr="009A7F56">
        <w:rPr>
          <w:color w:val="auto"/>
          <w:lang w:eastAsia="en-AU"/>
        </w:rPr>
        <w:t>, and</w:t>
      </w:r>
    </w:p>
    <w:p w14:paraId="56192333" w14:textId="5834C172" w:rsidR="00990995" w:rsidRPr="009A7F56" w:rsidRDefault="00990995" w:rsidP="000F0AF9">
      <w:pPr>
        <w:pStyle w:val="ListBullet2"/>
        <w:rPr>
          <w:color w:val="auto"/>
          <w:lang w:eastAsia="en-AU"/>
        </w:rPr>
      </w:pPr>
      <w:r w:rsidRPr="009A7F56">
        <w:rPr>
          <w:color w:val="auto"/>
          <w:lang w:eastAsia="en-AU"/>
        </w:rPr>
        <w:t>report medical devices related adverse events.</w:t>
      </w:r>
    </w:p>
    <w:p w14:paraId="3CF3C7C6" w14:textId="36D13363" w:rsidR="00CA4F94" w:rsidRPr="00007377" w:rsidRDefault="00CA4F94" w:rsidP="009A4907">
      <w:pPr>
        <w:pStyle w:val="ListBullet-dotick"/>
      </w:pPr>
      <w:r w:rsidRPr="00007377">
        <w:t xml:space="preserve">Progress activities recommended in </w:t>
      </w:r>
      <w:r w:rsidR="00645EBF" w:rsidRPr="00007377">
        <w:t xml:space="preserve">agreed </w:t>
      </w:r>
      <w:r w:rsidRPr="00007377">
        <w:t>workplans</w:t>
      </w:r>
      <w:r w:rsidR="004245CB" w:rsidRPr="00007377">
        <w:t xml:space="preserve">. These </w:t>
      </w:r>
      <w:r w:rsidR="005D17F7" w:rsidRPr="00007377">
        <w:t>may</w:t>
      </w:r>
      <w:r w:rsidR="004245CB" w:rsidRPr="00007377">
        <w:t xml:space="preserve"> include</w:t>
      </w:r>
      <w:r w:rsidR="0092519B" w:rsidRPr="00007377">
        <w:t xml:space="preserve"> co-designing</w:t>
      </w:r>
      <w:r w:rsidR="004245CB" w:rsidRPr="00007377">
        <w:t xml:space="preserve"> specific and targeted communication pieces based on particular topics. </w:t>
      </w:r>
    </w:p>
    <w:p w14:paraId="78D45F71" w14:textId="1CB745FE" w:rsidR="00FE5790" w:rsidRPr="00007377" w:rsidRDefault="00DD21C5" w:rsidP="009A4907">
      <w:pPr>
        <w:pStyle w:val="ListBullet-dotick"/>
      </w:pPr>
      <w:r w:rsidRPr="00007377">
        <w:t>Invite</w:t>
      </w:r>
      <w:r w:rsidR="00645EBF" w:rsidRPr="00007377">
        <w:t xml:space="preserve"> or suggest</w:t>
      </w:r>
      <w:r w:rsidRPr="00007377">
        <w:t xml:space="preserve"> speakers from relevant organisations to participate in conversations with the MDCWG</w:t>
      </w:r>
      <w:r w:rsidR="00602A08" w:rsidRPr="00007377">
        <w:t xml:space="preserve">, </w:t>
      </w:r>
      <w:r w:rsidRPr="00007377">
        <w:t>as required.</w:t>
      </w:r>
    </w:p>
    <w:p w14:paraId="3E04EA67" w14:textId="7DF337B8" w:rsidR="009A7F56" w:rsidRPr="00466A94" w:rsidRDefault="00A22068" w:rsidP="009A4907">
      <w:pPr>
        <w:pStyle w:val="ListBullet-dotick"/>
      </w:pPr>
      <w:r w:rsidRPr="00007377">
        <w:t>A review of the Ter</w:t>
      </w:r>
      <w:r w:rsidR="00007377" w:rsidRPr="00007377">
        <w:t>m</w:t>
      </w:r>
      <w:r w:rsidRPr="00007377">
        <w:t xml:space="preserve">s of Reference will be conducted at the end of the current membership term (to 31 January 2025). This will also include a review of the effectiveness of the MDCWG and its </w:t>
      </w:r>
      <w:r w:rsidRPr="00466A94">
        <w:t xml:space="preserve">effectiveness </w:t>
      </w:r>
      <w:r w:rsidR="0097112E" w:rsidRPr="00466A94">
        <w:t xml:space="preserve">in </w:t>
      </w:r>
      <w:r w:rsidRPr="00466A94">
        <w:t xml:space="preserve">supporting the TGA’s engagement with consumers. </w:t>
      </w:r>
    </w:p>
    <w:p w14:paraId="6BF0E097" w14:textId="16AF9F6D" w:rsidR="00F0198D" w:rsidRPr="00466A94" w:rsidRDefault="00F0198D" w:rsidP="00F36559">
      <w:pPr>
        <w:rPr>
          <w:lang w:eastAsia="en-AU"/>
        </w:rPr>
      </w:pPr>
      <w:r w:rsidRPr="00466A94">
        <w:t xml:space="preserve">For the purposes of this terms of reference, a ‘consumer’ is a medical device user; or a carer to a person who uses a medical device; and a potential user of medical devices. </w:t>
      </w:r>
    </w:p>
    <w:p w14:paraId="06A6946E" w14:textId="59F31EF7" w:rsidR="00DD21C5" w:rsidRPr="00D4314E" w:rsidRDefault="00DD21C5" w:rsidP="005D227F">
      <w:pPr>
        <w:pStyle w:val="Heading3"/>
      </w:pPr>
      <w:bookmarkStart w:id="7" w:name="_Toc161234702"/>
      <w:r w:rsidRPr="00D4314E">
        <w:lastRenderedPageBreak/>
        <w:t>Role of Individual Working Group Members</w:t>
      </w:r>
      <w:bookmarkEnd w:id="7"/>
    </w:p>
    <w:p w14:paraId="3F98EC79" w14:textId="21FD4533" w:rsidR="00DD21C5" w:rsidRPr="00961298" w:rsidRDefault="00DD21C5" w:rsidP="009A4907">
      <w:pPr>
        <w:pStyle w:val="ListBullet-dotick"/>
      </w:pPr>
      <w:r w:rsidRPr="00961298">
        <w:t>Understand the implications and outcomes of initiatives being pursued</w:t>
      </w:r>
    </w:p>
    <w:p w14:paraId="68B4A461" w14:textId="7B5865F5" w:rsidR="00DD21C5" w:rsidRPr="00961298" w:rsidRDefault="00DD21C5" w:rsidP="009A4907">
      <w:pPr>
        <w:pStyle w:val="ListBullet-dotick"/>
      </w:pPr>
      <w:r w:rsidRPr="00961298">
        <w:t>Have a broad understanding of TGA’s role and responsibilities as the National Regulatory Authority</w:t>
      </w:r>
    </w:p>
    <w:p w14:paraId="75130443" w14:textId="396E0919" w:rsidR="00DD21C5" w:rsidRPr="00961298" w:rsidRDefault="00DD21C5" w:rsidP="009A4907">
      <w:pPr>
        <w:pStyle w:val="ListBullet-dotick"/>
      </w:pPr>
      <w:r w:rsidRPr="00961298">
        <w:t>Represent their consumers' and patients' perspectives on medical device use to the TGA</w:t>
      </w:r>
    </w:p>
    <w:p w14:paraId="7597752C" w14:textId="38EE4516" w:rsidR="00DD21C5" w:rsidRPr="00961298" w:rsidRDefault="00DD21C5" w:rsidP="009A4907">
      <w:pPr>
        <w:pStyle w:val="ListBullet-dotick"/>
      </w:pPr>
      <w:r w:rsidRPr="00961298">
        <w:t>Offer feedback and guidance about stakeholder expectations and specific projects,</w:t>
      </w:r>
      <w:r w:rsidR="00652B22" w:rsidRPr="00961298">
        <w:t xml:space="preserve"> </w:t>
      </w:r>
      <w:r w:rsidR="00645EBF">
        <w:t xml:space="preserve">including </w:t>
      </w:r>
      <w:r w:rsidR="00652B22" w:rsidRPr="00961298">
        <w:t xml:space="preserve">those of </w:t>
      </w:r>
      <w:r w:rsidR="009A4907">
        <w:t xml:space="preserve">First Nations, older Australians, </w:t>
      </w:r>
      <w:r w:rsidR="00652B22" w:rsidRPr="00961298">
        <w:t>CALD, disability,</w:t>
      </w:r>
      <w:r w:rsidR="009A4907">
        <w:t xml:space="preserve"> and</w:t>
      </w:r>
      <w:r w:rsidR="00652B22" w:rsidRPr="00961298">
        <w:t xml:space="preserve"> rural/remote </w:t>
      </w:r>
      <w:proofErr w:type="gramStart"/>
      <w:r w:rsidR="009A4907">
        <w:t>Australians</w:t>
      </w:r>
      <w:proofErr w:type="gramEnd"/>
    </w:p>
    <w:p w14:paraId="4E771C7C" w14:textId="0EF23DC6" w:rsidR="00DD21C5" w:rsidRPr="00961298" w:rsidRDefault="00DD21C5" w:rsidP="009A4907">
      <w:pPr>
        <w:pStyle w:val="ListBullet-dotick"/>
      </w:pPr>
      <w:r w:rsidRPr="00961298">
        <w:t xml:space="preserve">Act as a conduit to share </w:t>
      </w:r>
      <w:r w:rsidR="00645EBF">
        <w:t xml:space="preserve">appropriate </w:t>
      </w:r>
      <w:r w:rsidR="00652B22" w:rsidRPr="00961298">
        <w:t xml:space="preserve">TGA </w:t>
      </w:r>
      <w:r w:rsidRPr="00961298">
        <w:t>information</w:t>
      </w:r>
      <w:r w:rsidR="00652B22" w:rsidRPr="00961298">
        <w:t xml:space="preserve"> (resources, public promotion material, safety precautions and alerts) </w:t>
      </w:r>
      <w:r w:rsidRPr="00961298">
        <w:t xml:space="preserve">with consumers and broader </w:t>
      </w:r>
      <w:proofErr w:type="gramStart"/>
      <w:r w:rsidRPr="00961298">
        <w:t>networks</w:t>
      </w:r>
      <w:proofErr w:type="gramEnd"/>
    </w:p>
    <w:p w14:paraId="4A8C927E" w14:textId="5D0D1772" w:rsidR="00DD21C5" w:rsidRPr="00961298" w:rsidRDefault="00DD21C5" w:rsidP="009A4907">
      <w:pPr>
        <w:pStyle w:val="ListBullet-dotick"/>
      </w:pPr>
      <w:r w:rsidRPr="00961298">
        <w:t>Consider wider consultation strategies, resource implications and implementation steps,</w:t>
      </w:r>
      <w:r w:rsidR="00652B22" w:rsidRPr="00961298">
        <w:t xml:space="preserve"> </w:t>
      </w:r>
      <w:r w:rsidR="00645EBF">
        <w:t>and suggest</w:t>
      </w:r>
      <w:r w:rsidR="00652B22" w:rsidRPr="00961298">
        <w:t xml:space="preserve"> alternate mechanisms </w:t>
      </w:r>
    </w:p>
    <w:p w14:paraId="0DDCD6A0" w14:textId="1EA69E2B" w:rsidR="00DD21C5" w:rsidRPr="00961298" w:rsidRDefault="00990995" w:rsidP="009A4907">
      <w:pPr>
        <w:pStyle w:val="ListBullet-dotick"/>
      </w:pPr>
      <w:r>
        <w:t xml:space="preserve">Be respectful of </w:t>
      </w:r>
      <w:r w:rsidR="00DD21C5" w:rsidRPr="00961298">
        <w:t xml:space="preserve">differences in opinion and approach </w:t>
      </w:r>
      <w:r>
        <w:t>including when providing feedback, and</w:t>
      </w:r>
    </w:p>
    <w:p w14:paraId="6C226C59" w14:textId="77777777" w:rsidR="00DD21C5" w:rsidRPr="00961298" w:rsidRDefault="00DD21C5" w:rsidP="009A4907">
      <w:pPr>
        <w:pStyle w:val="ListBullet-dotick"/>
      </w:pPr>
      <w:r w:rsidRPr="00961298">
        <w:t>Honour confidentiality always.</w:t>
      </w:r>
    </w:p>
    <w:p w14:paraId="7FA38352" w14:textId="117BE8DE" w:rsidR="00DD21C5" w:rsidRPr="00733700" w:rsidRDefault="00DD21C5" w:rsidP="009A7F56">
      <w:pPr>
        <w:pStyle w:val="Heading2"/>
        <w:spacing w:before="360"/>
        <w:rPr>
          <w:rFonts w:ascii="Cambria" w:hAnsi="Cambria" w:cs="Calibri"/>
          <w:sz w:val="22"/>
          <w:szCs w:val="22"/>
          <w:lang w:eastAsia="en-AU"/>
        </w:rPr>
      </w:pPr>
      <w:bookmarkStart w:id="8" w:name="_Toc161234703"/>
      <w:r w:rsidRPr="00D4314E">
        <w:t>Membership</w:t>
      </w:r>
      <w:bookmarkEnd w:id="8"/>
      <w:r w:rsidRPr="00D4314E">
        <w:t xml:space="preserve"> </w:t>
      </w:r>
    </w:p>
    <w:p w14:paraId="3EF1DDB2" w14:textId="304184A9" w:rsidR="00DD21C5" w:rsidRPr="000F0AF9" w:rsidRDefault="00DD21C5" w:rsidP="00DD21C5">
      <w:pPr>
        <w:rPr>
          <w:lang w:eastAsia="en-AU"/>
        </w:rPr>
      </w:pPr>
      <w:r w:rsidRPr="000F0AF9">
        <w:rPr>
          <w:lang w:eastAsia="en-AU"/>
        </w:rPr>
        <w:t xml:space="preserve">Each member organisation </w:t>
      </w:r>
      <w:r w:rsidR="00F0198D">
        <w:rPr>
          <w:lang w:eastAsia="en-AU"/>
        </w:rPr>
        <w:t>may</w:t>
      </w:r>
      <w:r w:rsidRPr="000F0AF9">
        <w:rPr>
          <w:lang w:eastAsia="en-AU"/>
        </w:rPr>
        <w:t xml:space="preserve"> nominate a member representative. Consumer organisations (members) will be appointed to the MDCWG subject to the endorsement of the</w:t>
      </w:r>
      <w:r w:rsidR="00A81A3A" w:rsidRPr="000F0AF9">
        <w:rPr>
          <w:lang w:eastAsia="en-AU"/>
        </w:rPr>
        <w:t xml:space="preserve"> Chair</w:t>
      </w:r>
      <w:r w:rsidR="00990995" w:rsidRPr="000F0AF9">
        <w:rPr>
          <w:lang w:eastAsia="en-AU"/>
        </w:rPr>
        <w:t>, the</w:t>
      </w:r>
      <w:r w:rsidRPr="000F0AF9">
        <w:rPr>
          <w:lang w:eastAsia="en-AU"/>
        </w:rPr>
        <w:t xml:space="preserve"> First Assistant Secretary, MDPQD. Membership will reflect a representation of consumers of medical devices. </w:t>
      </w:r>
    </w:p>
    <w:p w14:paraId="5FD2C7B5" w14:textId="77777777" w:rsidR="00DD21C5" w:rsidRPr="000F0AF9" w:rsidRDefault="00DD21C5" w:rsidP="00DD21C5">
      <w:pPr>
        <w:rPr>
          <w:lang w:eastAsia="en-AU"/>
        </w:rPr>
      </w:pPr>
      <w:r w:rsidRPr="000F0AF9">
        <w:rPr>
          <w:lang w:eastAsia="en-AU"/>
        </w:rPr>
        <w:t>In addition to consumer organisation members, the Chair may, at its discretion, invite other representatives to participate in MDCWG.</w:t>
      </w:r>
    </w:p>
    <w:p w14:paraId="6903459B" w14:textId="77777777" w:rsidR="00A81A3A" w:rsidRPr="000F0AF9" w:rsidRDefault="00DD21C5" w:rsidP="00DD21C5">
      <w:pPr>
        <w:rPr>
          <w:lang w:eastAsia="en-AU"/>
        </w:rPr>
      </w:pPr>
      <w:r w:rsidRPr="000F0AF9">
        <w:rPr>
          <w:lang w:eastAsia="en-AU"/>
        </w:rPr>
        <w:t xml:space="preserve">The Secretariat will maintain a list of appointed member organisations and their nominated representatives. </w:t>
      </w:r>
    </w:p>
    <w:p w14:paraId="74CB2C58" w14:textId="1292D9F2" w:rsidR="000F0AF9" w:rsidRDefault="00DD21C5" w:rsidP="000F0AF9">
      <w:pPr>
        <w:rPr>
          <w:lang w:eastAsia="en-AU"/>
        </w:rPr>
      </w:pPr>
      <w:r w:rsidRPr="000F0AF9">
        <w:rPr>
          <w:lang w:eastAsia="en-AU"/>
        </w:rPr>
        <w:t>Membership will be</w:t>
      </w:r>
      <w:r w:rsidR="00A523E7">
        <w:rPr>
          <w:lang w:eastAsia="en-AU"/>
        </w:rPr>
        <w:t xml:space="preserve"> until </w:t>
      </w:r>
      <w:r w:rsidR="00F4685C">
        <w:rPr>
          <w:lang w:eastAsia="en-AU"/>
        </w:rPr>
        <w:t>3</w:t>
      </w:r>
      <w:r w:rsidR="002B7EFF">
        <w:rPr>
          <w:lang w:eastAsia="en-AU"/>
        </w:rPr>
        <w:t>1</w:t>
      </w:r>
      <w:r w:rsidR="002B7EFF" w:rsidRPr="000F0AF9">
        <w:rPr>
          <w:lang w:eastAsia="en-AU"/>
        </w:rPr>
        <w:t>st</w:t>
      </w:r>
      <w:r w:rsidR="002B7EFF">
        <w:rPr>
          <w:lang w:eastAsia="en-AU"/>
        </w:rPr>
        <w:t xml:space="preserve"> </w:t>
      </w:r>
      <w:r w:rsidR="00F4685C">
        <w:rPr>
          <w:lang w:eastAsia="en-AU"/>
        </w:rPr>
        <w:t xml:space="preserve">January </w:t>
      </w:r>
      <w:r w:rsidR="00A523E7">
        <w:rPr>
          <w:lang w:eastAsia="en-AU"/>
        </w:rPr>
        <w:t xml:space="preserve">2025, with an option for a </w:t>
      </w:r>
      <w:r w:rsidR="000F0AF9">
        <w:rPr>
          <w:lang w:eastAsia="en-AU"/>
        </w:rPr>
        <w:t>12-month</w:t>
      </w:r>
      <w:r w:rsidR="00A523E7">
        <w:rPr>
          <w:lang w:eastAsia="en-AU"/>
        </w:rPr>
        <w:t xml:space="preserve"> extension.  </w:t>
      </w:r>
      <w:r w:rsidRPr="000F0AF9">
        <w:rPr>
          <w:lang w:eastAsia="en-AU"/>
        </w:rPr>
        <w:t xml:space="preserve"> </w:t>
      </w:r>
    </w:p>
    <w:p w14:paraId="23BA7C09" w14:textId="30818B56" w:rsidR="00DD21C5" w:rsidRPr="00D4314E" w:rsidRDefault="00DD21C5" w:rsidP="00DD21C5">
      <w:pPr>
        <w:pStyle w:val="Heading2"/>
      </w:pPr>
      <w:bookmarkStart w:id="9" w:name="_Toc161234704"/>
      <w:r w:rsidRPr="00D4314E">
        <w:t>Membership Structure</w:t>
      </w:r>
      <w:bookmarkEnd w:id="9"/>
    </w:p>
    <w:p w14:paraId="44351FA4" w14:textId="7D3A37F8" w:rsidR="00DD21C5" w:rsidRPr="00DD21C5" w:rsidRDefault="00DD21C5" w:rsidP="009A7F56">
      <w:pPr>
        <w:rPr>
          <w:lang w:eastAsia="en-AU"/>
        </w:rPr>
      </w:pPr>
      <w:r w:rsidRPr="00DD21C5">
        <w:rPr>
          <w:b/>
          <w:bCs/>
          <w:lang w:eastAsia="en-AU"/>
        </w:rPr>
        <w:t>Chair</w:t>
      </w:r>
      <w:r w:rsidRPr="00DD21C5">
        <w:rPr>
          <w:lang w:eastAsia="en-AU"/>
        </w:rPr>
        <w:t xml:space="preserve">: First Assistant Secretary, </w:t>
      </w:r>
      <w:r w:rsidR="006B4709">
        <w:rPr>
          <w:lang w:eastAsia="en-AU"/>
        </w:rPr>
        <w:t>MDPQD</w:t>
      </w:r>
    </w:p>
    <w:p w14:paraId="450B9D29" w14:textId="77777777" w:rsidR="00DD21C5" w:rsidRPr="00DD21C5" w:rsidRDefault="00DD21C5" w:rsidP="009A7F56">
      <w:pPr>
        <w:rPr>
          <w:b/>
          <w:bCs/>
          <w:lang w:eastAsia="en-AU"/>
        </w:rPr>
      </w:pPr>
      <w:r w:rsidRPr="00DD21C5">
        <w:rPr>
          <w:b/>
          <w:bCs/>
          <w:lang w:eastAsia="en-AU"/>
        </w:rPr>
        <w:t>Responsibilities:</w:t>
      </w:r>
    </w:p>
    <w:p w14:paraId="69990BC7" w14:textId="773751E3" w:rsidR="00DD21C5" w:rsidRPr="00961298" w:rsidRDefault="00982195" w:rsidP="009A4907">
      <w:pPr>
        <w:pStyle w:val="ListBullet-dotick"/>
      </w:pPr>
      <w:r w:rsidRPr="00961298">
        <w:t>Direct and facilitate</w:t>
      </w:r>
      <w:r w:rsidR="00DD21C5" w:rsidRPr="00961298">
        <w:t xml:space="preserve"> the business and discussion of the </w:t>
      </w:r>
      <w:r w:rsidR="00A81A3A" w:rsidRPr="00961298">
        <w:t>working group</w:t>
      </w:r>
    </w:p>
    <w:p w14:paraId="2F65C1FD" w14:textId="6CA3179D" w:rsidR="00DD21C5" w:rsidRPr="00961298" w:rsidRDefault="00DD21C5" w:rsidP="009A4907">
      <w:pPr>
        <w:pStyle w:val="ListBullet-dotick"/>
      </w:pPr>
      <w:r w:rsidRPr="00961298">
        <w:t>Monitor the progress in the Working Group activities</w:t>
      </w:r>
      <w:r w:rsidR="00982195" w:rsidRPr="00961298">
        <w:t xml:space="preserve"> and its workplan(s)</w:t>
      </w:r>
    </w:p>
    <w:p w14:paraId="6DCFC194" w14:textId="3BDF8F07" w:rsidR="00DD21C5" w:rsidRPr="00961298" w:rsidRDefault="00DD21C5" w:rsidP="009A4907">
      <w:pPr>
        <w:pStyle w:val="ListBullet-dotick"/>
      </w:pPr>
      <w:r w:rsidRPr="00961298">
        <w:t>Presi</w:t>
      </w:r>
      <w:r w:rsidR="00982195" w:rsidRPr="00961298">
        <w:t>de</w:t>
      </w:r>
      <w:r w:rsidRPr="00961298">
        <w:t xml:space="preserve"> </w:t>
      </w:r>
      <w:r w:rsidR="00982195" w:rsidRPr="00961298">
        <w:t>over</w:t>
      </w:r>
      <w:r w:rsidRPr="00961298">
        <w:t xml:space="preserve"> </w:t>
      </w:r>
      <w:r w:rsidR="00A81A3A" w:rsidRPr="00961298">
        <w:t xml:space="preserve">working group </w:t>
      </w:r>
      <w:r w:rsidRPr="00961298">
        <w:t>meetings</w:t>
      </w:r>
      <w:r w:rsidR="00990995">
        <w:t>,</w:t>
      </w:r>
      <w:r w:rsidRPr="00961298">
        <w:t xml:space="preserve"> maintaining order and guiding the meeting through the agenda items</w:t>
      </w:r>
    </w:p>
    <w:p w14:paraId="56422D38" w14:textId="26180903" w:rsidR="00DD21C5" w:rsidRPr="00961298" w:rsidRDefault="00DD21C5" w:rsidP="009A4907">
      <w:pPr>
        <w:pStyle w:val="ListBullet-dotick"/>
      </w:pPr>
      <w:r w:rsidRPr="00961298">
        <w:t>Certify</w:t>
      </w:r>
      <w:r w:rsidR="00CA4F94" w:rsidRPr="00961298">
        <w:t xml:space="preserve"> </w:t>
      </w:r>
      <w:r w:rsidRPr="00961298">
        <w:t xml:space="preserve">that the meeting occurred, </w:t>
      </w:r>
      <w:r w:rsidR="00990995">
        <w:t xml:space="preserve">attendance </w:t>
      </w:r>
      <w:r w:rsidRPr="00961298">
        <w:t>and the duration of the meeting</w:t>
      </w:r>
    </w:p>
    <w:p w14:paraId="43CDB142" w14:textId="6075F81F" w:rsidR="00DD21C5" w:rsidRPr="00961298" w:rsidRDefault="00DD21C5" w:rsidP="009A4907">
      <w:pPr>
        <w:pStyle w:val="ListBullet-dotick"/>
      </w:pPr>
      <w:r w:rsidRPr="00961298">
        <w:t>Clarify</w:t>
      </w:r>
      <w:r w:rsidR="00CA4F94" w:rsidRPr="00961298">
        <w:t xml:space="preserve"> the definitions of </w:t>
      </w:r>
      <w:r w:rsidRPr="00961298">
        <w:t xml:space="preserve">meeting, preparation time, travelling time, </w:t>
      </w:r>
      <w:r w:rsidR="00CA4F94" w:rsidRPr="00961298">
        <w:t xml:space="preserve">and </w:t>
      </w:r>
      <w:r w:rsidRPr="00961298">
        <w:t xml:space="preserve">the nature of ‘other </w:t>
      </w:r>
      <w:r w:rsidR="00CA4F94" w:rsidRPr="00961298">
        <w:t>working group-</w:t>
      </w:r>
      <w:r w:rsidRPr="00961298">
        <w:t>related business’</w:t>
      </w:r>
    </w:p>
    <w:p w14:paraId="45160ABE" w14:textId="0E7A49C3" w:rsidR="00DD21C5" w:rsidRPr="00961298" w:rsidRDefault="00DD21C5" w:rsidP="009A4907">
      <w:pPr>
        <w:pStyle w:val="ListBullet-dotick"/>
      </w:pPr>
      <w:r w:rsidRPr="00961298">
        <w:t>Mak</w:t>
      </w:r>
      <w:r w:rsidR="00CA4F94" w:rsidRPr="00961298">
        <w:t>e</w:t>
      </w:r>
      <w:r w:rsidRPr="00961298">
        <w:t xml:space="preserve"> recommendations on </w:t>
      </w:r>
      <w:r w:rsidR="00CA4F94" w:rsidRPr="00961298">
        <w:t xml:space="preserve">working group </w:t>
      </w:r>
      <w:r w:rsidRPr="00961298">
        <w:t>related expenses,</w:t>
      </w:r>
      <w:r w:rsidR="00CA4F94" w:rsidRPr="00961298">
        <w:t xml:space="preserve"> and </w:t>
      </w:r>
    </w:p>
    <w:p w14:paraId="79A6E5B9" w14:textId="250A561B" w:rsidR="00DD21C5" w:rsidRPr="00FE5790" w:rsidRDefault="00DD21C5" w:rsidP="009A4907">
      <w:pPr>
        <w:pStyle w:val="ListBullet-dotick"/>
        <w:rPr>
          <w:rFonts w:cs="Cambria"/>
        </w:rPr>
      </w:pPr>
      <w:r w:rsidRPr="00961298">
        <w:t>Present reports and/or recommendations to the Minister</w:t>
      </w:r>
      <w:r w:rsidR="00650A6F">
        <w:t xml:space="preserve"> for Health and Aged Care,</w:t>
      </w:r>
      <w:r w:rsidRPr="00961298">
        <w:t xml:space="preserve"> or Department</w:t>
      </w:r>
      <w:r w:rsidR="00650A6F">
        <w:t xml:space="preserve"> of Heath and Aged Care</w:t>
      </w:r>
      <w:r w:rsidR="00CA4F94" w:rsidRPr="00961298">
        <w:t>.</w:t>
      </w:r>
    </w:p>
    <w:p w14:paraId="0FF2B9FF" w14:textId="657FBFC4" w:rsidR="00FE5790" w:rsidRPr="00FE5790" w:rsidRDefault="00DD21C5" w:rsidP="000F0AF9">
      <w:r w:rsidRPr="004245CB">
        <w:rPr>
          <w:lang w:eastAsia="en-AU"/>
        </w:rPr>
        <w:lastRenderedPageBreak/>
        <w:t>Where the Chair is temporarily unavailable</w:t>
      </w:r>
      <w:r w:rsidR="009A7F56">
        <w:rPr>
          <w:lang w:eastAsia="en-AU"/>
        </w:rPr>
        <w:t xml:space="preserve">, </w:t>
      </w:r>
      <w:r w:rsidRPr="004245CB">
        <w:rPr>
          <w:lang w:eastAsia="en-AU"/>
        </w:rPr>
        <w:t xml:space="preserve">the Chair may choose to appoint a temporary Chair to ensure progression of the Working Group’s </w:t>
      </w:r>
      <w:r w:rsidRPr="000F0AF9">
        <w:t>agenda.</w:t>
      </w:r>
    </w:p>
    <w:p w14:paraId="1B05697B" w14:textId="74B4683E" w:rsidR="00DD21C5" w:rsidRPr="00D4314E" w:rsidRDefault="00DD21C5" w:rsidP="00FE5790">
      <w:pPr>
        <w:pStyle w:val="Heading2"/>
      </w:pPr>
      <w:bookmarkStart w:id="10" w:name="_Toc161234705"/>
      <w:r w:rsidRPr="00D4314E">
        <w:t>Consumer Members</w:t>
      </w:r>
      <w:bookmarkEnd w:id="10"/>
    </w:p>
    <w:p w14:paraId="0550C6FB" w14:textId="77777777" w:rsidR="00121078" w:rsidRDefault="00121078" w:rsidP="009A4907">
      <w:pPr>
        <w:pStyle w:val="ListBullet-dotick"/>
        <w:sectPr w:rsidR="00121078" w:rsidSect="00537B47">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39AC62F5" w14:textId="0CBF7931" w:rsidR="00DD21C5" w:rsidRPr="00961298" w:rsidRDefault="00DD21C5" w:rsidP="009A4907">
      <w:pPr>
        <w:pStyle w:val="ListBullet-dotick"/>
      </w:pPr>
      <w:r w:rsidRPr="00961298">
        <w:t xml:space="preserve">Arthritis Australia </w:t>
      </w:r>
      <w:r w:rsidR="00394754">
        <w:t>(NSW)</w:t>
      </w:r>
    </w:p>
    <w:p w14:paraId="255D3197" w14:textId="6B53487C" w:rsidR="00DD21C5" w:rsidRPr="00961298" w:rsidRDefault="00DD21C5" w:rsidP="009A4907">
      <w:pPr>
        <w:pStyle w:val="ListBullet-dotick"/>
      </w:pPr>
      <w:r w:rsidRPr="00961298">
        <w:t>Australian Patients Association</w:t>
      </w:r>
      <w:r w:rsidR="00394754">
        <w:t xml:space="preserve"> (VIC)</w:t>
      </w:r>
    </w:p>
    <w:p w14:paraId="73540411" w14:textId="179D408C" w:rsidR="00DD21C5" w:rsidRPr="00961298" w:rsidRDefault="00DD21C5" w:rsidP="009A4907">
      <w:pPr>
        <w:pStyle w:val="ListBullet-dotick"/>
      </w:pPr>
      <w:r w:rsidRPr="00961298">
        <w:t>Cancer Council Australia</w:t>
      </w:r>
      <w:r w:rsidR="00394754">
        <w:t xml:space="preserve"> (NSW)</w:t>
      </w:r>
    </w:p>
    <w:p w14:paraId="4E493CD9" w14:textId="57E9B706" w:rsidR="00DD21C5" w:rsidRPr="00961298" w:rsidRDefault="00DD21C5" w:rsidP="009A4907">
      <w:pPr>
        <w:pStyle w:val="ListBullet-dotick"/>
      </w:pPr>
      <w:r w:rsidRPr="00961298">
        <w:t>Consumers Health Forum of Australia</w:t>
      </w:r>
      <w:r w:rsidR="00394754">
        <w:t xml:space="preserve"> (ACT)</w:t>
      </w:r>
    </w:p>
    <w:p w14:paraId="6AB041BF" w14:textId="49C88DA4" w:rsidR="00DD21C5" w:rsidRPr="00961298" w:rsidRDefault="00DD21C5" w:rsidP="009A4907">
      <w:pPr>
        <w:pStyle w:val="ListBullet-dotick"/>
      </w:pPr>
      <w:r w:rsidRPr="00961298">
        <w:t>Continence Foundation of Australia</w:t>
      </w:r>
      <w:r w:rsidR="00394754">
        <w:t xml:space="preserve"> (VIC)</w:t>
      </w:r>
    </w:p>
    <w:p w14:paraId="08B27040" w14:textId="3CA45F64" w:rsidR="00DD21C5" w:rsidRPr="00961298" w:rsidRDefault="00DD21C5" w:rsidP="009A4907">
      <w:pPr>
        <w:pStyle w:val="ListBullet-dotick"/>
      </w:pPr>
      <w:r w:rsidRPr="00961298">
        <w:t>Diabetes Australia</w:t>
      </w:r>
      <w:r w:rsidR="00394754">
        <w:t xml:space="preserve"> </w:t>
      </w:r>
      <w:r w:rsidR="006E7699">
        <w:t>(QLD)</w:t>
      </w:r>
    </w:p>
    <w:p w14:paraId="4088EF69" w14:textId="1593C6E6" w:rsidR="00DD21C5" w:rsidRPr="00961298" w:rsidRDefault="00DD21C5" w:rsidP="009A4907">
      <w:pPr>
        <w:pStyle w:val="ListBullet-dotick"/>
      </w:pPr>
      <w:r w:rsidRPr="00961298">
        <w:t>Federation of Ethnic Communities’ Councils of Australia</w:t>
      </w:r>
      <w:r w:rsidR="00394754">
        <w:t xml:space="preserve"> (ACT)</w:t>
      </w:r>
    </w:p>
    <w:p w14:paraId="49BA456C" w14:textId="4AB26596" w:rsidR="00DD21C5" w:rsidRPr="00961298" w:rsidRDefault="00DD21C5" w:rsidP="009A4907">
      <w:pPr>
        <w:pStyle w:val="ListBullet-dotick"/>
      </w:pPr>
      <w:r w:rsidRPr="00961298">
        <w:t xml:space="preserve">Haemochromatosis Australia </w:t>
      </w:r>
      <w:r w:rsidR="00394754">
        <w:t>(WA)</w:t>
      </w:r>
    </w:p>
    <w:p w14:paraId="0A06229E" w14:textId="3E0EA2C9" w:rsidR="00DD21C5" w:rsidRPr="00961298" w:rsidRDefault="00DD21C5" w:rsidP="009A4907">
      <w:pPr>
        <w:pStyle w:val="ListBullet-dotick"/>
      </w:pPr>
      <w:r w:rsidRPr="00961298">
        <w:t xml:space="preserve">Haemophilia Foundation Australia </w:t>
      </w:r>
      <w:r w:rsidR="00394754">
        <w:t>(VIC)</w:t>
      </w:r>
    </w:p>
    <w:p w14:paraId="286ACDD5" w14:textId="60F064CA" w:rsidR="00DD21C5" w:rsidRPr="00961298" w:rsidRDefault="00DD21C5" w:rsidP="009A4907">
      <w:pPr>
        <w:pStyle w:val="ListBullet-dotick"/>
      </w:pPr>
      <w:r w:rsidRPr="00961298">
        <w:t xml:space="preserve">Health Consumers NSW </w:t>
      </w:r>
    </w:p>
    <w:p w14:paraId="699BD7ED" w14:textId="778FE5EE" w:rsidR="00DD21C5" w:rsidRPr="00961298" w:rsidRDefault="00DD21C5" w:rsidP="009A4907">
      <w:pPr>
        <w:pStyle w:val="ListBullet-dotick"/>
      </w:pPr>
      <w:r w:rsidRPr="00961298">
        <w:t>Lung Foundation Australia</w:t>
      </w:r>
      <w:r w:rsidR="00394754">
        <w:t xml:space="preserve"> (QLD)</w:t>
      </w:r>
    </w:p>
    <w:p w14:paraId="43407410" w14:textId="4BE9FC4F" w:rsidR="00A759FE" w:rsidRDefault="00A759FE" w:rsidP="009A4907">
      <w:pPr>
        <w:pStyle w:val="ListBullet-dotick"/>
      </w:pPr>
      <w:r>
        <w:t>Limbs</w:t>
      </w:r>
      <w:r w:rsidR="00BE6BDA">
        <w:t xml:space="preserve"> </w:t>
      </w:r>
      <w:r>
        <w:t>4</w:t>
      </w:r>
      <w:r w:rsidR="00BE6BDA">
        <w:t xml:space="preserve"> </w:t>
      </w:r>
      <w:r>
        <w:t xml:space="preserve">Life </w:t>
      </w:r>
      <w:r w:rsidR="00823D92">
        <w:t>(VIC)</w:t>
      </w:r>
    </w:p>
    <w:p w14:paraId="0BB2DB23" w14:textId="3C2A7111" w:rsidR="00121078" w:rsidRPr="00961298" w:rsidRDefault="00121078" w:rsidP="009A4907">
      <w:pPr>
        <w:pStyle w:val="ListBullet-dotick"/>
      </w:pPr>
      <w:r w:rsidRPr="00961298">
        <w:t>Multicultural Centre for Women’s Health</w:t>
      </w:r>
      <w:r w:rsidR="00394754">
        <w:t xml:space="preserve"> (VIC)</w:t>
      </w:r>
    </w:p>
    <w:p w14:paraId="09CA2497" w14:textId="20F94668" w:rsidR="006C684C" w:rsidRDefault="006C684C" w:rsidP="009A4907">
      <w:pPr>
        <w:pStyle w:val="ListBullet-dotick"/>
      </w:pPr>
      <w:r>
        <w:t>National Aboriginal and Torres Strait Islander Ageing and Aged Care Council (</w:t>
      </w:r>
      <w:r w:rsidR="00A22068">
        <w:t>NSW</w:t>
      </w:r>
      <w:r>
        <w:t>)</w:t>
      </w:r>
    </w:p>
    <w:p w14:paraId="316B9712" w14:textId="77777777" w:rsidR="006C684C" w:rsidRDefault="006C684C" w:rsidP="009A4907">
      <w:pPr>
        <w:pStyle w:val="ListBullet-dotick"/>
      </w:pPr>
      <w:r>
        <w:t xml:space="preserve">National Older Persons Reference Group (part of the Older Persons Advocacy Network) (WA) </w:t>
      </w:r>
    </w:p>
    <w:p w14:paraId="416E2523" w14:textId="77777777" w:rsidR="006C684C" w:rsidRDefault="006C684C" w:rsidP="009A4907">
      <w:pPr>
        <w:pStyle w:val="ListBullet-dotick"/>
      </w:pPr>
      <w:r>
        <w:t xml:space="preserve">National Seniors Australia (ACT) </w:t>
      </w:r>
    </w:p>
    <w:p w14:paraId="2FB24A17" w14:textId="77777777" w:rsidR="006C684C" w:rsidRDefault="006C684C" w:rsidP="009A4907">
      <w:pPr>
        <w:pStyle w:val="ListBullet-dotick"/>
      </w:pPr>
      <w:r>
        <w:t xml:space="preserve">Older Persons Advocacy Network (NSW) </w:t>
      </w:r>
    </w:p>
    <w:p w14:paraId="31AFCE94" w14:textId="7C22C704" w:rsidR="00BD2550" w:rsidRDefault="00DD21C5" w:rsidP="009A4907">
      <w:pPr>
        <w:pStyle w:val="ListBullet-dotick"/>
      </w:pPr>
      <w:r w:rsidRPr="00961298">
        <w:t xml:space="preserve">Pain Australia </w:t>
      </w:r>
      <w:r w:rsidR="00394754">
        <w:t>(ACT)</w:t>
      </w:r>
    </w:p>
    <w:p w14:paraId="4AC833E2" w14:textId="645B6C57" w:rsidR="00BD2550" w:rsidRPr="00961298" w:rsidRDefault="00BD2550" w:rsidP="009A4907">
      <w:pPr>
        <w:pStyle w:val="ListBullet-dotick"/>
      </w:pPr>
      <w:r>
        <w:t>Physical Disability Australia (</w:t>
      </w:r>
      <w:r w:rsidR="00174088">
        <w:t>QLD)</w:t>
      </w:r>
    </w:p>
    <w:p w14:paraId="6D97CCAB" w14:textId="3FDA2094" w:rsidR="006C684C" w:rsidRPr="00842E12" w:rsidRDefault="006C684C" w:rsidP="009A4907">
      <w:pPr>
        <w:pStyle w:val="ListBullet-dotick"/>
      </w:pPr>
      <w:r w:rsidRPr="00842E12">
        <w:t>Royal Flying Doctors Service</w:t>
      </w:r>
    </w:p>
    <w:p w14:paraId="0FD26253" w14:textId="085CFA97" w:rsidR="00121078" w:rsidRPr="00842E12" w:rsidRDefault="006D083E" w:rsidP="009A4907">
      <w:pPr>
        <w:pStyle w:val="ListBullet-dotick"/>
      </w:pPr>
      <w:r>
        <w:t>2</w:t>
      </w:r>
      <w:r w:rsidR="00F84520" w:rsidRPr="00842E12">
        <w:t xml:space="preserve"> </w:t>
      </w:r>
      <w:r w:rsidR="00121078" w:rsidRPr="00842E12">
        <w:t>Independent representative</w:t>
      </w:r>
      <w:r w:rsidR="00F84520" w:rsidRPr="00842E12">
        <w:t>s</w:t>
      </w:r>
      <w:r w:rsidR="00394754" w:rsidRPr="00842E12">
        <w:t xml:space="preserve"> (VIC)</w:t>
      </w:r>
    </w:p>
    <w:p w14:paraId="06EE48EE" w14:textId="142434A6" w:rsidR="006C684C" w:rsidRDefault="006C684C" w:rsidP="009A4907">
      <w:pPr>
        <w:pStyle w:val="ListBullet-dotick"/>
        <w:sectPr w:rsidR="006C684C" w:rsidSect="003B7B84">
          <w:type w:val="continuous"/>
          <w:pgSz w:w="11906" w:h="16838"/>
          <w:pgMar w:top="1440" w:right="1440" w:bottom="1440" w:left="1440" w:header="708" w:footer="708" w:gutter="0"/>
          <w:cols w:num="2" w:space="708"/>
          <w:titlePg/>
          <w:docGrid w:linePitch="360"/>
        </w:sectPr>
      </w:pPr>
    </w:p>
    <w:p w14:paraId="12866627" w14:textId="77777777" w:rsidR="00DD21C5" w:rsidRPr="00D4314E" w:rsidRDefault="00DD21C5" w:rsidP="005D227F">
      <w:pPr>
        <w:pStyle w:val="Heading3"/>
      </w:pPr>
      <w:bookmarkStart w:id="11" w:name="_Toc161234706"/>
      <w:r w:rsidRPr="00D4314E">
        <w:t>Proxy</w:t>
      </w:r>
      <w:bookmarkEnd w:id="11"/>
    </w:p>
    <w:p w14:paraId="4909A854" w14:textId="1CE3C290" w:rsidR="00DD21C5" w:rsidRPr="000F0AF9" w:rsidRDefault="00DD21C5" w:rsidP="00DD21C5">
      <w:pPr>
        <w:rPr>
          <w:lang w:eastAsia="en-AU"/>
        </w:rPr>
      </w:pPr>
      <w:r w:rsidRPr="000F0AF9">
        <w:rPr>
          <w:lang w:eastAsia="en-AU"/>
        </w:rPr>
        <w:t>Where a member representative is not available to attend a</w:t>
      </w:r>
      <w:r w:rsidR="00121078" w:rsidRPr="000F0AF9">
        <w:rPr>
          <w:lang w:eastAsia="en-AU"/>
        </w:rPr>
        <w:t xml:space="preserve"> </w:t>
      </w:r>
      <w:r w:rsidRPr="000F0AF9">
        <w:rPr>
          <w:lang w:eastAsia="en-AU"/>
        </w:rPr>
        <w:t>meeting, the member may nominate a proxy representative</w:t>
      </w:r>
      <w:r w:rsidR="009A4907">
        <w:rPr>
          <w:lang w:eastAsia="en-AU"/>
        </w:rPr>
        <w:t xml:space="preserve"> from within their organisation</w:t>
      </w:r>
      <w:r w:rsidRPr="000F0AF9">
        <w:rPr>
          <w:lang w:eastAsia="en-AU"/>
        </w:rPr>
        <w:t xml:space="preserve">. The member should inform the Secretariat prior to the meeting </w:t>
      </w:r>
      <w:r w:rsidR="000C58FC" w:rsidRPr="000F0AF9">
        <w:rPr>
          <w:lang w:eastAsia="en-AU"/>
        </w:rPr>
        <w:t xml:space="preserve">to </w:t>
      </w:r>
      <w:r w:rsidRPr="000F0AF9">
        <w:rPr>
          <w:lang w:eastAsia="en-AU"/>
        </w:rPr>
        <w:t>allow sufficient time to obtain the Chair’s approval and ensure any paperwork and declarations of interest are actioned before the meeting.</w:t>
      </w:r>
    </w:p>
    <w:p w14:paraId="128B8745" w14:textId="77777777" w:rsidR="00DD21C5" w:rsidRPr="00D4314E" w:rsidRDefault="00DD21C5" w:rsidP="005D227F">
      <w:pPr>
        <w:pStyle w:val="Heading3"/>
      </w:pPr>
      <w:bookmarkStart w:id="12" w:name="_Toc161234707"/>
      <w:r w:rsidRPr="00D4314E">
        <w:t>Resignation</w:t>
      </w:r>
      <w:bookmarkEnd w:id="12"/>
    </w:p>
    <w:p w14:paraId="062BBB4F" w14:textId="77777777" w:rsidR="0077303B" w:rsidRPr="000F0AF9" w:rsidRDefault="00DD21C5" w:rsidP="00DD21C5">
      <w:pPr>
        <w:rPr>
          <w:lang w:eastAsia="en-AU"/>
        </w:rPr>
      </w:pPr>
      <w:r w:rsidRPr="000F0AF9">
        <w:rPr>
          <w:lang w:eastAsia="en-AU"/>
        </w:rPr>
        <w:t xml:space="preserve">Where a member resigns, a new member from the organisation may be appointed. </w:t>
      </w:r>
    </w:p>
    <w:p w14:paraId="0DD112FF" w14:textId="00A99E54" w:rsidR="00DD21C5" w:rsidRPr="000F0AF9" w:rsidRDefault="00DD21C5" w:rsidP="00DD21C5">
      <w:pPr>
        <w:rPr>
          <w:lang w:eastAsia="en-AU"/>
        </w:rPr>
      </w:pPr>
      <w:r w:rsidRPr="000F0AF9">
        <w:rPr>
          <w:lang w:eastAsia="en-AU"/>
        </w:rPr>
        <w:t>The appropriate stakeholder group may nominate a candidate for consideration by the Assistant Secretary, Medical Devices Surveillance Branch, through the Secretariat.</w:t>
      </w:r>
    </w:p>
    <w:p w14:paraId="28D28B91" w14:textId="77777777" w:rsidR="00DD21C5" w:rsidRPr="00D4314E" w:rsidRDefault="00DD21C5" w:rsidP="00DD21C5">
      <w:pPr>
        <w:pStyle w:val="Heading2"/>
      </w:pPr>
      <w:bookmarkStart w:id="13" w:name="_Toc161234708"/>
      <w:r w:rsidRPr="00D4314E">
        <w:t>Meeting frequency</w:t>
      </w:r>
      <w:bookmarkEnd w:id="13"/>
    </w:p>
    <w:p w14:paraId="304105BB" w14:textId="174E9199" w:rsidR="00DD21C5" w:rsidRPr="000F0AF9" w:rsidRDefault="00DD21C5" w:rsidP="00DD21C5">
      <w:pPr>
        <w:rPr>
          <w:lang w:eastAsia="en-AU"/>
        </w:rPr>
      </w:pPr>
      <w:r w:rsidRPr="000F0AF9">
        <w:rPr>
          <w:lang w:eastAsia="en-AU"/>
        </w:rPr>
        <w:t>The MDCWG is expected to meet at least twice per year</w:t>
      </w:r>
      <w:r w:rsidR="006B4709" w:rsidRPr="000F0AF9">
        <w:rPr>
          <w:lang w:eastAsia="en-AU"/>
        </w:rPr>
        <w:t xml:space="preserve"> </w:t>
      </w:r>
      <w:r w:rsidR="000C58FC" w:rsidRPr="000F0AF9">
        <w:rPr>
          <w:lang w:eastAsia="en-AU"/>
        </w:rPr>
        <w:t xml:space="preserve">online (video conferencing) or </w:t>
      </w:r>
      <w:r w:rsidR="006B4709" w:rsidRPr="000F0AF9">
        <w:rPr>
          <w:lang w:eastAsia="en-AU"/>
        </w:rPr>
        <w:t>in-person</w:t>
      </w:r>
      <w:r w:rsidR="000C58FC" w:rsidRPr="000F0AF9">
        <w:rPr>
          <w:lang w:eastAsia="en-AU"/>
        </w:rPr>
        <w:t>. A</w:t>
      </w:r>
      <w:r w:rsidR="006B4709" w:rsidRPr="000F0AF9">
        <w:rPr>
          <w:lang w:eastAsia="en-AU"/>
        </w:rPr>
        <w:t>t least one</w:t>
      </w:r>
      <w:r w:rsidR="000C58FC" w:rsidRPr="000F0AF9">
        <w:rPr>
          <w:lang w:eastAsia="en-AU"/>
        </w:rPr>
        <w:t xml:space="preserve"> whole of working group</w:t>
      </w:r>
      <w:r w:rsidR="006B4709" w:rsidRPr="000F0AF9">
        <w:rPr>
          <w:lang w:eastAsia="en-AU"/>
        </w:rPr>
        <w:t>, in-person meeting</w:t>
      </w:r>
      <w:r w:rsidR="000C58FC" w:rsidRPr="000F0AF9">
        <w:rPr>
          <w:lang w:eastAsia="en-AU"/>
        </w:rPr>
        <w:t xml:space="preserve"> is expected per year</w:t>
      </w:r>
      <w:r w:rsidR="006B4709" w:rsidRPr="000F0AF9">
        <w:rPr>
          <w:lang w:eastAsia="en-AU"/>
        </w:rPr>
        <w:t xml:space="preserve">. </w:t>
      </w:r>
      <w:r w:rsidR="000C58FC" w:rsidRPr="000F0AF9">
        <w:rPr>
          <w:lang w:eastAsia="en-AU"/>
        </w:rPr>
        <w:t>O</w:t>
      </w:r>
      <w:r w:rsidRPr="000F0AF9">
        <w:rPr>
          <w:lang w:eastAsia="en-AU"/>
        </w:rPr>
        <w:t>ut of session meetings</w:t>
      </w:r>
      <w:r w:rsidR="006B4709" w:rsidRPr="000F0AF9">
        <w:rPr>
          <w:lang w:eastAsia="en-AU"/>
        </w:rPr>
        <w:t xml:space="preserve"> may</w:t>
      </w:r>
      <w:r w:rsidR="004868C3">
        <w:rPr>
          <w:lang w:eastAsia="en-AU"/>
        </w:rPr>
        <w:t xml:space="preserve"> be</w:t>
      </w:r>
      <w:r w:rsidR="006B4709" w:rsidRPr="000F0AF9">
        <w:rPr>
          <w:lang w:eastAsia="en-AU"/>
        </w:rPr>
        <w:t xml:space="preserve"> </w:t>
      </w:r>
      <w:r w:rsidRPr="000F0AF9">
        <w:rPr>
          <w:lang w:eastAsia="en-AU"/>
        </w:rPr>
        <w:t xml:space="preserve">arranged to address specific time-critical issues if required. </w:t>
      </w:r>
    </w:p>
    <w:p w14:paraId="4985986C" w14:textId="77777777" w:rsidR="00DD21C5" w:rsidRPr="000F0AF9" w:rsidRDefault="00DD21C5" w:rsidP="00DD21C5">
      <w:pPr>
        <w:rPr>
          <w:lang w:eastAsia="en-AU"/>
        </w:rPr>
      </w:pPr>
      <w:r w:rsidRPr="000F0AF9">
        <w:rPr>
          <w:color w:val="000000"/>
        </w:rPr>
        <w:t>The Chair can, and will, advise if there are changes to planned meetings.</w:t>
      </w:r>
    </w:p>
    <w:p w14:paraId="7C6F492A" w14:textId="77777777" w:rsidR="00FE5790" w:rsidRPr="00D4314E" w:rsidRDefault="00FE5790" w:rsidP="005D227F">
      <w:pPr>
        <w:pStyle w:val="Heading3"/>
      </w:pPr>
      <w:bookmarkStart w:id="14" w:name="_Toc161234709"/>
      <w:r w:rsidRPr="00D4314E">
        <w:t>Sub</w:t>
      </w:r>
      <w:r>
        <w:t>-working groups</w:t>
      </w:r>
      <w:bookmarkEnd w:id="14"/>
    </w:p>
    <w:p w14:paraId="5456BA0E" w14:textId="77777777" w:rsidR="00FE5790" w:rsidRPr="000F0AF9" w:rsidRDefault="00FE5790" w:rsidP="00FE5790">
      <w:pPr>
        <w:rPr>
          <w:lang w:eastAsia="en-AU"/>
        </w:rPr>
      </w:pPr>
      <w:r w:rsidRPr="000F0AF9">
        <w:rPr>
          <w:lang w:eastAsia="en-AU"/>
        </w:rPr>
        <w:t xml:space="preserve">Sub-working groups may be formed as required. The role, membership and activities of any sub-committee will be determined by the First Assistant Secretary, MDPQD. </w:t>
      </w:r>
    </w:p>
    <w:p w14:paraId="253537A2" w14:textId="77777777" w:rsidR="00DD21C5" w:rsidRPr="00DD21C5" w:rsidRDefault="00DD21C5" w:rsidP="00DD21C5">
      <w:pPr>
        <w:pStyle w:val="Heading2"/>
      </w:pPr>
      <w:bookmarkStart w:id="15" w:name="_Toc161234710"/>
      <w:r w:rsidRPr="00DD21C5">
        <w:lastRenderedPageBreak/>
        <w:t>Remuneration</w:t>
      </w:r>
      <w:bookmarkEnd w:id="15"/>
    </w:p>
    <w:p w14:paraId="05A417E0" w14:textId="09EFABC1" w:rsidR="00DD21C5" w:rsidRDefault="00DD21C5" w:rsidP="00DD21C5">
      <w:pPr>
        <w:rPr>
          <w:lang w:eastAsia="en-AU"/>
        </w:rPr>
      </w:pPr>
      <w:r w:rsidRPr="000F0AF9">
        <w:rPr>
          <w:lang w:eastAsia="en-AU"/>
        </w:rPr>
        <w:t>Reimbursement will be based</w:t>
      </w:r>
      <w:r w:rsidRPr="000F0AF9">
        <w:t xml:space="preserve"> on the Department of Health</w:t>
      </w:r>
      <w:r w:rsidR="00217353">
        <w:t xml:space="preserve"> and Aged Care</w:t>
      </w:r>
      <w:r w:rsidRPr="000F0AF9">
        <w:t xml:space="preserve">’s Remuneration Framework for Members of Non-Statutory Committees and align with </w:t>
      </w:r>
      <w:r w:rsidRPr="000F0AF9">
        <w:rPr>
          <w:lang w:eastAsia="en-AU"/>
        </w:rPr>
        <w:t xml:space="preserve">section 11 Part 2 of the </w:t>
      </w:r>
      <w:r w:rsidRPr="000F0AF9">
        <w:rPr>
          <w:i/>
          <w:lang w:eastAsia="en-AU"/>
        </w:rPr>
        <w:t>Remuneration Tribunal (Remuneration and Allowances for Holder of Part-time Public Office) Determinatio</w:t>
      </w:r>
      <w:r w:rsidR="006B4709" w:rsidRPr="000F0AF9">
        <w:rPr>
          <w:i/>
          <w:lang w:eastAsia="en-AU"/>
        </w:rPr>
        <w:t>n</w:t>
      </w:r>
      <w:r w:rsidRPr="000F0AF9">
        <w:rPr>
          <w:lang w:eastAsia="en-AU"/>
        </w:rPr>
        <w:t xml:space="preserve">.  </w:t>
      </w:r>
    </w:p>
    <w:p w14:paraId="3E8CB835" w14:textId="79769562" w:rsidR="00A523E7" w:rsidRPr="000F0AF9" w:rsidRDefault="00A523E7" w:rsidP="00DD21C5">
      <w:pPr>
        <w:rPr>
          <w:lang w:eastAsia="en-AU"/>
        </w:rPr>
      </w:pPr>
      <w:r>
        <w:rPr>
          <w:lang w:eastAsia="en-AU"/>
        </w:rPr>
        <w:t xml:space="preserve">Members may request travel assistance on a </w:t>
      </w:r>
      <w:r w:rsidR="002B7EFF">
        <w:rPr>
          <w:lang w:eastAsia="en-AU"/>
        </w:rPr>
        <w:t>case-by-case</w:t>
      </w:r>
      <w:r>
        <w:rPr>
          <w:lang w:eastAsia="en-AU"/>
        </w:rPr>
        <w:t xml:space="preserve"> basis. </w:t>
      </w:r>
    </w:p>
    <w:p w14:paraId="1EB313B9" w14:textId="77777777" w:rsidR="00DD21C5" w:rsidRPr="00D4314E" w:rsidRDefault="00DD21C5" w:rsidP="00DD21C5">
      <w:pPr>
        <w:pStyle w:val="Heading2"/>
      </w:pPr>
      <w:bookmarkStart w:id="16" w:name="_Toc161234711"/>
      <w:r w:rsidRPr="00D4314E">
        <w:t>Conflicts of Interest and Confidentiality</w:t>
      </w:r>
      <w:bookmarkEnd w:id="16"/>
    </w:p>
    <w:p w14:paraId="14B63FF3" w14:textId="2FAC37F4" w:rsidR="006B4709" w:rsidRPr="000F0AF9" w:rsidRDefault="00DD21C5" w:rsidP="00DD21C5">
      <w:pPr>
        <w:rPr>
          <w:lang w:eastAsia="en-AU"/>
        </w:rPr>
      </w:pPr>
      <w:r w:rsidRPr="000F0AF9">
        <w:rPr>
          <w:lang w:eastAsia="en-AU"/>
        </w:rPr>
        <w:t>Members shall make a</w:t>
      </w:r>
      <w:r w:rsidR="005C217D">
        <w:rPr>
          <w:lang w:eastAsia="en-AU"/>
        </w:rPr>
        <w:t>n annual</w:t>
      </w:r>
      <w:r w:rsidRPr="000F0AF9">
        <w:rPr>
          <w:lang w:eastAsia="en-AU"/>
        </w:rPr>
        <w:t xml:space="preserve"> </w:t>
      </w:r>
      <w:r w:rsidRPr="000F0AF9">
        <w:rPr>
          <w:i/>
          <w:iCs/>
          <w:lang w:eastAsia="en-AU"/>
        </w:rPr>
        <w:t>Declaration of Interest</w:t>
      </w:r>
      <w:r w:rsidRPr="000F0AF9">
        <w:rPr>
          <w:lang w:eastAsia="en-AU"/>
        </w:rPr>
        <w:t xml:space="preserve"> in support of nomination and a </w:t>
      </w:r>
      <w:r w:rsidRPr="000F0AF9">
        <w:rPr>
          <w:i/>
          <w:iCs/>
          <w:lang w:eastAsia="en-AU"/>
        </w:rPr>
        <w:t>Deed of Undertaking</w:t>
      </w:r>
      <w:r w:rsidRPr="000F0AF9">
        <w:rPr>
          <w:lang w:eastAsia="en-AU"/>
        </w:rPr>
        <w:t xml:space="preserve"> in relation to confidential information prior to commencement of membership. </w:t>
      </w:r>
    </w:p>
    <w:p w14:paraId="57085063" w14:textId="0BA00396" w:rsidR="00DD21C5" w:rsidRPr="000F0AF9" w:rsidRDefault="00DD21C5" w:rsidP="00DD21C5">
      <w:pPr>
        <w:rPr>
          <w:lang w:eastAsia="en-AU"/>
        </w:rPr>
      </w:pPr>
      <w:r w:rsidRPr="000F0AF9">
        <w:rPr>
          <w:lang w:eastAsia="en-AU"/>
        </w:rPr>
        <w:t xml:space="preserve">A </w:t>
      </w:r>
      <w:r w:rsidRPr="000F0AF9">
        <w:rPr>
          <w:i/>
          <w:iCs/>
          <w:lang w:eastAsia="en-AU"/>
        </w:rPr>
        <w:t xml:space="preserve">Meetings Declaration of Interest </w:t>
      </w:r>
      <w:r w:rsidRPr="000F0AF9">
        <w:rPr>
          <w:lang w:eastAsia="en-AU"/>
        </w:rPr>
        <w:t>form shall be sent to members prior to the issue of meeting papers.</w:t>
      </w:r>
    </w:p>
    <w:p w14:paraId="7500B7EF" w14:textId="77777777" w:rsidR="00DD21C5" w:rsidRPr="00D4314E" w:rsidRDefault="00DD21C5" w:rsidP="00DD21C5">
      <w:pPr>
        <w:pStyle w:val="Heading2"/>
      </w:pPr>
      <w:bookmarkStart w:id="17" w:name="_Toc161234712"/>
      <w:r w:rsidRPr="00D4314E">
        <w:t>Secretariat</w:t>
      </w:r>
      <w:bookmarkEnd w:id="17"/>
    </w:p>
    <w:p w14:paraId="26D6CD2C" w14:textId="503B34D1" w:rsidR="00DD21C5" w:rsidRPr="000F0AF9" w:rsidRDefault="00DD21C5" w:rsidP="00DD21C5">
      <w:pPr>
        <w:rPr>
          <w:lang w:eastAsia="en-AU"/>
        </w:rPr>
      </w:pPr>
      <w:r w:rsidRPr="000F0AF9">
        <w:rPr>
          <w:lang w:eastAsia="en-AU"/>
        </w:rPr>
        <w:t>Secretariat support for the MDCWG</w:t>
      </w:r>
      <w:r w:rsidR="006B4709" w:rsidRPr="000F0AF9">
        <w:rPr>
          <w:lang w:eastAsia="en-AU"/>
        </w:rPr>
        <w:t xml:space="preserve"> is </w:t>
      </w:r>
      <w:r w:rsidRPr="000F0AF9">
        <w:rPr>
          <w:lang w:eastAsia="en-AU"/>
        </w:rPr>
        <w:t>provided by the TGA</w:t>
      </w:r>
      <w:r w:rsidR="006B4709" w:rsidRPr="000F0AF9">
        <w:rPr>
          <w:lang w:eastAsia="en-AU"/>
        </w:rPr>
        <w:t xml:space="preserve">, who can be </w:t>
      </w:r>
      <w:r w:rsidRPr="000F0AF9">
        <w:rPr>
          <w:lang w:eastAsia="en-AU"/>
        </w:rPr>
        <w:t>contacted via email</w:t>
      </w:r>
      <w:r w:rsidR="006B4709" w:rsidRPr="000F0AF9">
        <w:rPr>
          <w:lang w:eastAsia="en-AU"/>
        </w:rPr>
        <w:t xml:space="preserve"> at </w:t>
      </w:r>
      <w:hyperlink r:id="rId14" w:history="1">
        <w:r w:rsidR="006B4709" w:rsidRPr="000F0AF9">
          <w:rPr>
            <w:rStyle w:val="Hyperlink"/>
            <w:rFonts w:cs="Cambria"/>
            <w:lang w:eastAsia="en-AU"/>
          </w:rPr>
          <w:t>dwg.tga@health.gov.au</w:t>
        </w:r>
      </w:hyperlink>
      <w:r w:rsidRPr="000F0AF9">
        <w:rPr>
          <w:lang w:eastAsia="en-AU"/>
        </w:rPr>
        <w:t xml:space="preserve">. </w:t>
      </w:r>
    </w:p>
    <w:p w14:paraId="5A2ADC06" w14:textId="7848563A" w:rsidR="00DD21C5" w:rsidRPr="000F0AF9" w:rsidRDefault="00DD21C5" w:rsidP="00DD21C5">
      <w:pPr>
        <w:rPr>
          <w:lang w:eastAsia="en-AU"/>
        </w:rPr>
      </w:pPr>
      <w:r w:rsidRPr="000F0AF9">
        <w:rPr>
          <w:lang w:eastAsia="en-AU"/>
        </w:rPr>
        <w:t>The Secretariat is responsible for providing timely and effective organisational support to the Working Group meetings</w:t>
      </w:r>
      <w:r w:rsidR="006B4709" w:rsidRPr="000F0AF9">
        <w:rPr>
          <w:lang w:eastAsia="en-AU"/>
        </w:rPr>
        <w:t xml:space="preserve">. They act as a </w:t>
      </w:r>
      <w:r w:rsidRPr="000F0AF9">
        <w:rPr>
          <w:lang w:eastAsia="en-AU"/>
        </w:rPr>
        <w:t>central point for information and advice on the Working Group meeting processes and requirements, coordinating meeting agendas and supporting papers, minute-taking,</w:t>
      </w:r>
      <w:r w:rsidR="006B4709" w:rsidRPr="000F0AF9">
        <w:rPr>
          <w:lang w:eastAsia="en-AU"/>
        </w:rPr>
        <w:t xml:space="preserve"> r</w:t>
      </w:r>
      <w:r w:rsidRPr="000F0AF9">
        <w:rPr>
          <w:lang w:eastAsia="en-AU"/>
        </w:rPr>
        <w:t>atification of minutes,</w:t>
      </w:r>
      <w:r w:rsidR="006B4709" w:rsidRPr="000F0AF9">
        <w:rPr>
          <w:lang w:eastAsia="en-AU"/>
        </w:rPr>
        <w:t xml:space="preserve"> and </w:t>
      </w:r>
      <w:r w:rsidRPr="000F0AF9">
        <w:rPr>
          <w:lang w:eastAsia="en-AU"/>
        </w:rPr>
        <w:t xml:space="preserve">coordinating action items arising from meetings. </w:t>
      </w:r>
    </w:p>
    <w:p w14:paraId="3947ADBE" w14:textId="77777777" w:rsidR="00DD21C5" w:rsidRPr="00D4314E" w:rsidRDefault="00DD21C5" w:rsidP="00DD21C5">
      <w:pPr>
        <w:pStyle w:val="Heading2"/>
      </w:pPr>
      <w:bookmarkStart w:id="18" w:name="_Toc161234713"/>
      <w:r>
        <w:t>Meeting Management</w:t>
      </w:r>
      <w:bookmarkEnd w:id="18"/>
    </w:p>
    <w:p w14:paraId="0DE12A84" w14:textId="77777777" w:rsidR="00DD21C5" w:rsidRPr="000F0AF9" w:rsidRDefault="00DD21C5" w:rsidP="00DD21C5">
      <w:pPr>
        <w:rPr>
          <w:lang w:eastAsia="en-AU"/>
        </w:rPr>
      </w:pPr>
      <w:r w:rsidRPr="000F0AF9">
        <w:rPr>
          <w:lang w:eastAsia="en-AU"/>
        </w:rPr>
        <w:t xml:space="preserve">A meeting agenda and </w:t>
      </w:r>
      <w:r w:rsidRPr="000F0AF9">
        <w:rPr>
          <w:i/>
          <w:iCs/>
          <w:lang w:eastAsia="en-AU"/>
        </w:rPr>
        <w:t xml:space="preserve">Meetings Declaration of Interest </w:t>
      </w:r>
      <w:r w:rsidRPr="000F0AF9">
        <w:rPr>
          <w:lang w:eastAsia="en-AU"/>
        </w:rPr>
        <w:t xml:space="preserve">form shall be sent to members prior to the issue of meeting papers. Once the completed </w:t>
      </w:r>
      <w:r w:rsidRPr="000F0AF9">
        <w:rPr>
          <w:i/>
          <w:iCs/>
          <w:lang w:eastAsia="en-AU"/>
        </w:rPr>
        <w:t xml:space="preserve">Meetings Declaration of Interest </w:t>
      </w:r>
      <w:r w:rsidRPr="000F0AF9">
        <w:rPr>
          <w:lang w:eastAsia="en-AU"/>
        </w:rPr>
        <w:t xml:space="preserve">form is returned by all members the meeting papers will be issued by the Secretariat. </w:t>
      </w:r>
    </w:p>
    <w:p w14:paraId="1228D14A" w14:textId="2632665A" w:rsidR="00DD21C5" w:rsidRPr="000F0AF9" w:rsidRDefault="00DD21C5" w:rsidP="00DD21C5">
      <w:pPr>
        <w:rPr>
          <w:lang w:eastAsia="en-AU"/>
        </w:rPr>
      </w:pPr>
      <w:r w:rsidRPr="000F0AF9">
        <w:rPr>
          <w:lang w:eastAsia="en-AU"/>
        </w:rPr>
        <w:t xml:space="preserve">After each meeting, draft minutes will be provided to MDCWG members for comment. </w:t>
      </w:r>
      <w:r w:rsidRPr="000F0AF9">
        <w:rPr>
          <w:lang w:eastAsia="en-AU"/>
        </w:rPr>
        <w:br/>
        <w:t xml:space="preserve">A </w:t>
      </w:r>
      <w:r w:rsidR="005C217D">
        <w:rPr>
          <w:lang w:eastAsia="en-AU"/>
        </w:rPr>
        <w:t>meeting statement</w:t>
      </w:r>
      <w:r w:rsidR="005C217D" w:rsidRPr="000F0AF9">
        <w:rPr>
          <w:lang w:eastAsia="en-AU"/>
        </w:rPr>
        <w:t xml:space="preserve"> </w:t>
      </w:r>
      <w:r w:rsidRPr="000F0AF9">
        <w:rPr>
          <w:lang w:eastAsia="en-AU"/>
        </w:rPr>
        <w:t>is subsequently prepared by the Secretariat and provided to members.</w:t>
      </w:r>
    </w:p>
    <w:p w14:paraId="42F1B45D" w14:textId="77777777" w:rsidR="00DD21C5" w:rsidRPr="000F0AF9" w:rsidRDefault="00DD21C5" w:rsidP="00DD21C5">
      <w:pPr>
        <w:rPr>
          <w:lang w:eastAsia="en-AU"/>
        </w:rPr>
      </w:pPr>
      <w:r w:rsidRPr="000F0AF9">
        <w:rPr>
          <w:lang w:eastAsia="en-AU"/>
        </w:rPr>
        <w:t>The Secretariat will aim to adhere to the following timelines:</w:t>
      </w:r>
    </w:p>
    <w:p w14:paraId="4DA11B44" w14:textId="2D28C497" w:rsidR="00DD21C5" w:rsidRPr="004245CB" w:rsidRDefault="00DD21C5" w:rsidP="009A4907">
      <w:pPr>
        <w:pStyle w:val="ListBullet-dotick"/>
      </w:pPr>
      <w:r w:rsidRPr="004245CB">
        <w:t xml:space="preserve">call for agenda items approximately </w:t>
      </w:r>
      <w:r w:rsidR="00BC316C">
        <w:t>4</w:t>
      </w:r>
      <w:r w:rsidR="00BC316C" w:rsidRPr="004245CB">
        <w:t xml:space="preserve"> </w:t>
      </w:r>
      <w:r w:rsidRPr="004245CB">
        <w:t>weeks prior to meetings</w:t>
      </w:r>
    </w:p>
    <w:p w14:paraId="389FE47C" w14:textId="4BEF876E" w:rsidR="00DD21C5" w:rsidRPr="004245CB" w:rsidRDefault="00DD21C5" w:rsidP="009A4907">
      <w:pPr>
        <w:pStyle w:val="ListBullet-dotick"/>
      </w:pPr>
      <w:r w:rsidRPr="004245CB">
        <w:t xml:space="preserve">circulate a draft agenda and </w:t>
      </w:r>
      <w:r w:rsidRPr="004245CB">
        <w:rPr>
          <w:i/>
          <w:iCs/>
        </w:rPr>
        <w:t xml:space="preserve">Meetings Declaration of Interest </w:t>
      </w:r>
      <w:r w:rsidRPr="004245CB">
        <w:t xml:space="preserve">form to members approximately </w:t>
      </w:r>
      <w:proofErr w:type="gramStart"/>
      <w:r w:rsidR="008F3A35">
        <w:t>2</w:t>
      </w:r>
      <w:r w:rsidR="009A4907">
        <w:t> </w:t>
      </w:r>
      <w:r w:rsidR="00D7686E">
        <w:t xml:space="preserve"> </w:t>
      </w:r>
      <w:r w:rsidRPr="004245CB">
        <w:t>weeks</w:t>
      </w:r>
      <w:proofErr w:type="gramEnd"/>
      <w:r w:rsidRPr="004245CB">
        <w:t xml:space="preserve"> prior to the meeting</w:t>
      </w:r>
    </w:p>
    <w:p w14:paraId="690D2849" w14:textId="436F9E09" w:rsidR="00DD21C5" w:rsidRPr="004245CB" w:rsidRDefault="00DD21C5" w:rsidP="009A4907">
      <w:pPr>
        <w:pStyle w:val="ListBullet-dotick"/>
      </w:pPr>
      <w:r w:rsidRPr="004245CB">
        <w:t>once all meeting declaration forms are returned, circulate meeting papers prior to the meeting</w:t>
      </w:r>
      <w:r w:rsidR="009A7F56">
        <w:t>,</w:t>
      </w:r>
      <w:r w:rsidRPr="004245CB">
        <w:t xml:space="preserve"> and</w:t>
      </w:r>
    </w:p>
    <w:p w14:paraId="38CF5E0C" w14:textId="01A97933" w:rsidR="00DD21C5" w:rsidRPr="004245CB" w:rsidRDefault="00DD21C5" w:rsidP="009A4907">
      <w:pPr>
        <w:pStyle w:val="ListBullet-dotick"/>
      </w:pPr>
      <w:r w:rsidRPr="004245CB">
        <w:t>circulate draft minutes</w:t>
      </w:r>
      <w:r w:rsidR="006B4709" w:rsidRPr="004245CB">
        <w:t xml:space="preserve"> and </w:t>
      </w:r>
      <w:r w:rsidR="00FE5790" w:rsidRPr="004245CB">
        <w:t>Meeting Statement</w:t>
      </w:r>
      <w:r w:rsidR="00BE5FCA" w:rsidRPr="004245CB">
        <w:t xml:space="preserve"> </w:t>
      </w:r>
      <w:r w:rsidRPr="004245CB">
        <w:t xml:space="preserve">within </w:t>
      </w:r>
      <w:r w:rsidR="00662030">
        <w:t xml:space="preserve">2 </w:t>
      </w:r>
      <w:r w:rsidRPr="004245CB">
        <w:t>weeks for comments.</w:t>
      </w:r>
    </w:p>
    <w:p w14:paraId="0657D0EC" w14:textId="77777777" w:rsidR="00DD21C5" w:rsidRPr="00256355" w:rsidRDefault="00DD21C5" w:rsidP="00DD21C5">
      <w:pPr>
        <w:pStyle w:val="Heading2"/>
      </w:pPr>
      <w:bookmarkStart w:id="19" w:name="_Toc161234714"/>
      <w:r w:rsidRPr="00DD21C5">
        <w:t>Outcomes</w:t>
      </w:r>
      <w:bookmarkEnd w:id="19"/>
    </w:p>
    <w:p w14:paraId="71F6AA0D" w14:textId="1D4E8A1D" w:rsidR="00DD21C5" w:rsidRPr="000F0AF9" w:rsidRDefault="00B25C77" w:rsidP="00DD21C5">
      <w:pPr>
        <w:rPr>
          <w:rFonts w:cs="Arial"/>
        </w:rPr>
      </w:pPr>
      <w:r w:rsidRPr="000F0AF9">
        <w:t xml:space="preserve">The </w:t>
      </w:r>
      <w:r w:rsidR="00BE5FCA" w:rsidRPr="000F0AF9">
        <w:t>Meeting Statement</w:t>
      </w:r>
      <w:r w:rsidRPr="000F0AF9">
        <w:t xml:space="preserve"> is </w:t>
      </w:r>
      <w:r w:rsidR="00DD21C5" w:rsidRPr="000F0AF9">
        <w:t>published on the TGA website followi</w:t>
      </w:r>
      <w:r w:rsidRPr="000F0AF9">
        <w:t>ng endorsement by members</w:t>
      </w:r>
      <w:r w:rsidR="00DD21C5" w:rsidRPr="000F0AF9">
        <w:t>.</w:t>
      </w:r>
    </w:p>
    <w:bookmarkEnd w:id="3"/>
    <w:bookmarkEnd w:id="4"/>
    <w:p w14:paraId="3CB33F88" w14:textId="77777777"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4263C74E" w14:textId="77777777" w:rsidTr="00F80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3992703" w14:textId="77777777" w:rsidR="0089410A" w:rsidRPr="00215D48" w:rsidRDefault="0089410A" w:rsidP="00F807B2">
            <w:bookmarkStart w:id="20" w:name="ColumnTitle_4"/>
            <w:r w:rsidRPr="00215D48">
              <w:t>Version</w:t>
            </w:r>
          </w:p>
        </w:tc>
        <w:tc>
          <w:tcPr>
            <w:tcW w:w="3242" w:type="dxa"/>
          </w:tcPr>
          <w:p w14:paraId="657A796D"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2691348C"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B99B28E"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A22068" w:rsidRPr="00215D48" w14:paraId="0A274EF1"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651D018" w14:textId="168BB5AB" w:rsidR="00A22068" w:rsidRPr="00B344E9" w:rsidRDefault="00A22068" w:rsidP="00F807B2">
            <w:pPr>
              <w:rPr>
                <w:color w:val="auto"/>
              </w:rPr>
            </w:pPr>
            <w:r w:rsidRPr="00B344E9">
              <w:rPr>
                <w:color w:val="auto"/>
              </w:rPr>
              <w:t>V2.1</w:t>
            </w:r>
          </w:p>
        </w:tc>
        <w:tc>
          <w:tcPr>
            <w:tcW w:w="3242" w:type="dxa"/>
          </w:tcPr>
          <w:p w14:paraId="4BA8F632" w14:textId="1D49C162" w:rsidR="00A22068" w:rsidRPr="00B344E9" w:rsidRDefault="001C74D0" w:rsidP="00F807B2">
            <w:pPr>
              <w:cnfStyle w:val="000000000000" w:firstRow="0" w:lastRow="0" w:firstColumn="0" w:lastColumn="0" w:oddVBand="0" w:evenVBand="0" w:oddHBand="0" w:evenHBand="0" w:firstRowFirstColumn="0" w:firstRowLastColumn="0" w:lastRowFirstColumn="0" w:lastRowLastColumn="0"/>
              <w:rPr>
                <w:color w:val="auto"/>
              </w:rPr>
            </w:pPr>
            <w:r>
              <w:rPr>
                <w:color w:val="auto"/>
              </w:rPr>
              <w:t>Publication</w:t>
            </w:r>
            <w:r w:rsidR="00242933" w:rsidRPr="00B344E9">
              <w:rPr>
                <w:color w:val="auto"/>
              </w:rPr>
              <w:t xml:space="preserve"> with MDCWG edits, following review by members in February 2024</w:t>
            </w:r>
          </w:p>
        </w:tc>
        <w:tc>
          <w:tcPr>
            <w:tcW w:w="2712" w:type="dxa"/>
          </w:tcPr>
          <w:p w14:paraId="2BF9AEF6" w14:textId="45934597" w:rsidR="00A22068" w:rsidRPr="00B344E9" w:rsidRDefault="00A22068" w:rsidP="00F807B2">
            <w:pPr>
              <w:cnfStyle w:val="000000000000" w:firstRow="0" w:lastRow="0" w:firstColumn="0" w:lastColumn="0" w:oddVBand="0" w:evenVBand="0" w:oddHBand="0" w:evenHBand="0" w:firstRowFirstColumn="0" w:firstRowLastColumn="0" w:lastRowFirstColumn="0" w:lastRowLastColumn="0"/>
              <w:rPr>
                <w:color w:val="auto"/>
              </w:rPr>
            </w:pPr>
            <w:r w:rsidRPr="00B344E9">
              <w:rPr>
                <w:color w:val="auto"/>
              </w:rPr>
              <w:t>Devices Vigilance and Policy Section</w:t>
            </w:r>
          </w:p>
        </w:tc>
        <w:tc>
          <w:tcPr>
            <w:tcW w:w="1808" w:type="dxa"/>
          </w:tcPr>
          <w:p w14:paraId="24B9E232" w14:textId="673D8B19" w:rsidR="00A22068" w:rsidRPr="00B344E9" w:rsidRDefault="00452CDA" w:rsidP="00F807B2">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 </w:t>
            </w:r>
            <w:r w:rsidR="001C74D0">
              <w:rPr>
                <w:color w:val="auto"/>
              </w:rPr>
              <w:t>May</w:t>
            </w:r>
            <w:r w:rsidR="00A22068" w:rsidRPr="00B344E9">
              <w:rPr>
                <w:color w:val="auto"/>
              </w:rPr>
              <w:t xml:space="preserve"> 2024</w:t>
            </w:r>
          </w:p>
        </w:tc>
      </w:tr>
      <w:tr w:rsidR="00DD21C5" w:rsidRPr="00215D48" w14:paraId="20893644"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0E59C50" w14:textId="15350066" w:rsidR="00DD21C5" w:rsidRPr="00215D48" w:rsidRDefault="00DD21C5" w:rsidP="00F807B2">
            <w:r>
              <w:t>V2.0</w:t>
            </w:r>
          </w:p>
        </w:tc>
        <w:tc>
          <w:tcPr>
            <w:tcW w:w="3242" w:type="dxa"/>
          </w:tcPr>
          <w:p w14:paraId="03AA61A3" w14:textId="0E2496E4" w:rsidR="00DD21C5" w:rsidRPr="00215D48" w:rsidRDefault="00DD21C5" w:rsidP="00F807B2">
            <w:pPr>
              <w:cnfStyle w:val="000000000000" w:firstRow="0" w:lastRow="0" w:firstColumn="0" w:lastColumn="0" w:oddVBand="0" w:evenVBand="0" w:oddHBand="0" w:evenHBand="0" w:firstRowFirstColumn="0" w:firstRowLastColumn="0" w:lastRowFirstColumn="0" w:lastRowLastColumn="0"/>
            </w:pPr>
            <w:r>
              <w:t>Publication with MDCWG edits, following review by members in November 2023</w:t>
            </w:r>
          </w:p>
        </w:tc>
        <w:tc>
          <w:tcPr>
            <w:tcW w:w="2712" w:type="dxa"/>
          </w:tcPr>
          <w:p w14:paraId="3A706303" w14:textId="04387359" w:rsidR="00DD21C5" w:rsidRPr="00215D48" w:rsidRDefault="00DD21C5" w:rsidP="00F807B2">
            <w:pPr>
              <w:cnfStyle w:val="000000000000" w:firstRow="0" w:lastRow="0" w:firstColumn="0" w:lastColumn="0" w:oddVBand="0" w:evenVBand="0" w:oddHBand="0" w:evenHBand="0" w:firstRowFirstColumn="0" w:firstRowLastColumn="0" w:lastRowFirstColumn="0" w:lastRowLastColumn="0"/>
            </w:pPr>
            <w:r>
              <w:t>Devices Vigilance and Policy Section</w:t>
            </w:r>
          </w:p>
        </w:tc>
        <w:tc>
          <w:tcPr>
            <w:tcW w:w="1808" w:type="dxa"/>
          </w:tcPr>
          <w:p w14:paraId="0493434B" w14:textId="00EFB8DA" w:rsidR="00DD21C5" w:rsidRPr="00215D48" w:rsidRDefault="00DD21C5" w:rsidP="00F807B2">
            <w:pPr>
              <w:cnfStyle w:val="000000000000" w:firstRow="0" w:lastRow="0" w:firstColumn="0" w:lastColumn="0" w:oddVBand="0" w:evenVBand="0" w:oddHBand="0" w:evenHBand="0" w:firstRowFirstColumn="0" w:firstRowLastColumn="0" w:lastRowFirstColumn="0" w:lastRowLastColumn="0"/>
            </w:pPr>
            <w:r>
              <w:t>January 2024</w:t>
            </w:r>
          </w:p>
        </w:tc>
      </w:tr>
      <w:tr w:rsidR="00DD21C5" w:rsidRPr="00215D48" w14:paraId="710057B9"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1492D57" w14:textId="0F7F46D6" w:rsidR="00DD21C5" w:rsidRPr="00215D48" w:rsidRDefault="00DD21C5" w:rsidP="00F807B2">
            <w:r>
              <w:t>V1.1</w:t>
            </w:r>
          </w:p>
        </w:tc>
        <w:tc>
          <w:tcPr>
            <w:tcW w:w="3242" w:type="dxa"/>
          </w:tcPr>
          <w:p w14:paraId="0F5D2405" w14:textId="0A40B165" w:rsidR="00DD21C5" w:rsidRPr="00215D48" w:rsidRDefault="00DD21C5" w:rsidP="00F807B2">
            <w:pPr>
              <w:cnfStyle w:val="000000000000" w:firstRow="0" w:lastRow="0" w:firstColumn="0" w:lastColumn="0" w:oddVBand="0" w:evenVBand="0" w:oddHBand="0" w:evenHBand="0" w:firstRowFirstColumn="0" w:firstRowLastColumn="0" w:lastRowFirstColumn="0" w:lastRowLastColumn="0"/>
            </w:pPr>
            <w:r>
              <w:t>Publication with MDCWG edits</w:t>
            </w:r>
          </w:p>
        </w:tc>
        <w:tc>
          <w:tcPr>
            <w:tcW w:w="2712" w:type="dxa"/>
          </w:tcPr>
          <w:p w14:paraId="033B9D40" w14:textId="393B694C" w:rsidR="00DD21C5" w:rsidRPr="00215D48" w:rsidRDefault="00DD21C5" w:rsidP="00F807B2">
            <w:pPr>
              <w:cnfStyle w:val="000000000000" w:firstRow="0" w:lastRow="0" w:firstColumn="0" w:lastColumn="0" w:oddVBand="0" w:evenVBand="0" w:oddHBand="0" w:evenHBand="0" w:firstRowFirstColumn="0" w:firstRowLastColumn="0" w:lastRowFirstColumn="0" w:lastRowLastColumn="0"/>
            </w:pPr>
            <w:r>
              <w:t>Devices Post Market Reforms and Reviews – Policy Team</w:t>
            </w:r>
          </w:p>
        </w:tc>
        <w:tc>
          <w:tcPr>
            <w:tcW w:w="1808" w:type="dxa"/>
          </w:tcPr>
          <w:p w14:paraId="210C5407" w14:textId="1CCDC997" w:rsidR="00DD21C5" w:rsidRPr="00215D48" w:rsidRDefault="00DD21C5" w:rsidP="00F807B2">
            <w:pPr>
              <w:cnfStyle w:val="000000000000" w:firstRow="0" w:lastRow="0" w:firstColumn="0" w:lastColumn="0" w:oddVBand="0" w:evenVBand="0" w:oddHBand="0" w:evenHBand="0" w:firstRowFirstColumn="0" w:firstRowLastColumn="0" w:lastRowFirstColumn="0" w:lastRowLastColumn="0"/>
            </w:pPr>
            <w:r>
              <w:t>February 2022</w:t>
            </w:r>
          </w:p>
        </w:tc>
      </w:tr>
      <w:bookmarkEnd w:id="20"/>
      <w:tr w:rsidR="0089410A" w:rsidRPr="00215D48" w14:paraId="0040F511"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8E1CD63" w14:textId="77777777" w:rsidR="0089410A" w:rsidRPr="00215D48" w:rsidRDefault="0089410A" w:rsidP="00F807B2">
            <w:r w:rsidRPr="00215D48">
              <w:t>V1.0</w:t>
            </w:r>
          </w:p>
        </w:tc>
        <w:tc>
          <w:tcPr>
            <w:tcW w:w="3242" w:type="dxa"/>
          </w:tcPr>
          <w:p w14:paraId="5990FE78" w14:textId="77777777" w:rsidR="0089410A" w:rsidRPr="00215D48" w:rsidRDefault="0089410A" w:rsidP="00F807B2">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2A7F2194" w14:textId="5B91B932" w:rsidR="0089410A" w:rsidRPr="00215D48" w:rsidRDefault="00DD21C5" w:rsidP="00F807B2">
            <w:pPr>
              <w:cnfStyle w:val="000000000000" w:firstRow="0" w:lastRow="0" w:firstColumn="0" w:lastColumn="0" w:oddVBand="0" w:evenVBand="0" w:oddHBand="0" w:evenHBand="0" w:firstRowFirstColumn="0" w:firstRowLastColumn="0" w:lastRowFirstColumn="0" w:lastRowLastColumn="0"/>
            </w:pPr>
            <w:r>
              <w:t>Devices Post Market Reforms and Reviews – Policy Team</w:t>
            </w:r>
          </w:p>
        </w:tc>
        <w:tc>
          <w:tcPr>
            <w:tcW w:w="1808" w:type="dxa"/>
          </w:tcPr>
          <w:p w14:paraId="6A37F864" w14:textId="3B4432FC" w:rsidR="0089410A" w:rsidRPr="00215D48" w:rsidRDefault="00DD21C5" w:rsidP="00F807B2">
            <w:pPr>
              <w:cnfStyle w:val="000000000000" w:firstRow="0" w:lastRow="0" w:firstColumn="0" w:lastColumn="0" w:oddVBand="0" w:evenVBand="0" w:oddHBand="0" w:evenHBand="0" w:firstRowFirstColumn="0" w:firstRowLastColumn="0" w:lastRowFirstColumn="0" w:lastRowLastColumn="0"/>
            </w:pPr>
            <w:r>
              <w:t>November 2021</w:t>
            </w:r>
          </w:p>
        </w:tc>
      </w:tr>
    </w:tbl>
    <w:p w14:paraId="23085995" w14:textId="77777777" w:rsidR="00B528AB" w:rsidRDefault="00B528AB" w:rsidP="00DD3815">
      <w:pPr>
        <w:pStyle w:val="LegalSubheading"/>
        <w:rPr>
          <w:b/>
          <w:bCs/>
        </w:rPr>
        <w:sectPr w:rsidR="00B528AB" w:rsidSect="00121078">
          <w:type w:val="continuous"/>
          <w:pgSz w:w="11906" w:h="16838"/>
          <w:pgMar w:top="1440" w:right="1440" w:bottom="1440" w:left="1440" w:header="708" w:footer="708" w:gutter="0"/>
          <w:cols w:space="708"/>
          <w:titlePg/>
          <w:docGrid w:linePitch="360"/>
        </w:sectPr>
      </w:pPr>
    </w:p>
    <w:p w14:paraId="12615B7C" w14:textId="77777777" w:rsidR="00B528AB" w:rsidRPr="00DD3815" w:rsidRDefault="00B528AB" w:rsidP="00DD3815">
      <w:pPr>
        <w:pStyle w:val="LegalSubheading"/>
        <w:rPr>
          <w:b/>
          <w:bCs/>
        </w:rPr>
      </w:pPr>
    </w:p>
    <w:sectPr w:rsidR="00B528AB" w:rsidRPr="00DD3815" w:rsidSect="00537B47">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80781" w14:textId="77777777" w:rsidR="00670B0D" w:rsidRDefault="00670B0D" w:rsidP="00537B47">
      <w:pPr>
        <w:spacing w:after="0" w:line="240" w:lineRule="auto"/>
      </w:pPr>
      <w:r>
        <w:separator/>
      </w:r>
    </w:p>
  </w:endnote>
  <w:endnote w:type="continuationSeparator" w:id="0">
    <w:p w14:paraId="16DA32E0" w14:textId="77777777" w:rsidR="00670B0D" w:rsidRDefault="00670B0D"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72BB" w14:textId="2222F2B0"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5E1A2534" wp14:editId="7B482235">
              <wp:simplePos x="0" y="0"/>
              <wp:positionH relativeFrom="column">
                <wp:posOffset>9525</wp:posOffset>
              </wp:positionH>
              <wp:positionV relativeFrom="paragraph">
                <wp:posOffset>-59690</wp:posOffset>
              </wp:positionV>
              <wp:extent cx="579120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86B71C" id="Straight Connector 8"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DD21C5">
      <w:t>Medical Devices Consumer Working Group | Terms of Reference</w:t>
    </w:r>
  </w:p>
  <w:p w14:paraId="291E50D1" w14:textId="50896E6A" w:rsidR="00DD3815" w:rsidRPr="00DD3815" w:rsidRDefault="00DD3815" w:rsidP="00DD3815">
    <w:pPr>
      <w:pStyle w:val="Footer"/>
    </w:pPr>
    <w:r w:rsidRPr="00DD3815">
      <w:t>V</w:t>
    </w:r>
    <w:r w:rsidR="00DD21C5">
      <w:t>2</w:t>
    </w:r>
    <w:r w:rsidRPr="00DD3815">
      <w:t xml:space="preserve">.0 </w:t>
    </w:r>
    <w:r w:rsidR="00DD21C5">
      <w:t>January 2024</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r w:rsidR="006D5B72">
      <w:fldChar w:fldCharType="begin"/>
    </w:r>
    <w:r w:rsidR="006D5B72">
      <w:instrText xml:space="preserve"> NUMPAGES  \* Arabic  \* MERGEFORMAT </w:instrText>
    </w:r>
    <w:r w:rsidR="006D5B72">
      <w:fldChar w:fldCharType="separate"/>
    </w:r>
    <w:r w:rsidRPr="00DD3815">
      <w:t>2</w:t>
    </w:r>
    <w:r w:rsidR="006D5B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236185"/>
      <w:showingPlcHdr/>
      <w:picture/>
    </w:sdtPr>
    <w:sdtEndPr/>
    <w:sdtContent>
      <w:p w14:paraId="7C8C4807" w14:textId="77777777" w:rsidR="00537B47" w:rsidRDefault="00977F26">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5D8A4BDC" wp14:editId="1ABE2ED6">
              <wp:simplePos x="0" y="0"/>
              <wp:positionH relativeFrom="column">
                <wp:posOffset>-918210</wp:posOffset>
              </wp:positionH>
              <wp:positionV relativeFrom="paragraph">
                <wp:posOffset>-4500880</wp:posOffset>
              </wp:positionV>
              <wp:extent cx="7567200" cy="5076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7E6CFF0A" w14:textId="77777777" w:rsidTr="00574690">
      <w:trPr>
        <w:trHeight w:hRule="exact" w:val="565"/>
        <w:jc w:val="center"/>
      </w:trPr>
      <w:tc>
        <w:tcPr>
          <w:tcW w:w="9145" w:type="dxa"/>
        </w:tcPr>
        <w:p w14:paraId="6A489AF1" w14:textId="77777777" w:rsidR="00B528AB" w:rsidRPr="00215D48" w:rsidRDefault="00B528AB" w:rsidP="00B528AB">
          <w:pPr>
            <w:pStyle w:val="TGASignoff"/>
          </w:pPr>
          <w:r w:rsidRPr="00215D48">
            <w:t>Therapeutic Goods Administration</w:t>
          </w:r>
        </w:p>
      </w:tc>
    </w:tr>
    <w:tr w:rsidR="00B528AB" w:rsidRPr="00215D48" w14:paraId="517FA0DE" w14:textId="77777777" w:rsidTr="00574690">
      <w:trPr>
        <w:trHeight w:val="963"/>
        <w:jc w:val="center"/>
      </w:trPr>
      <w:tc>
        <w:tcPr>
          <w:tcW w:w="9145" w:type="dxa"/>
          <w:tcMar>
            <w:top w:w="28" w:type="dxa"/>
          </w:tcMar>
        </w:tcPr>
        <w:p w14:paraId="36812DA0" w14:textId="77777777" w:rsidR="00B528AB" w:rsidRPr="00215D48" w:rsidRDefault="00B528AB" w:rsidP="00B528AB">
          <w:pPr>
            <w:pStyle w:val="Address"/>
            <w:jc w:val="center"/>
          </w:pPr>
          <w:r w:rsidRPr="00215D48">
            <w:t>PO Box 100 Woden ACT 2606 Australia</w:t>
          </w:r>
        </w:p>
        <w:p w14:paraId="14C02ADE"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2B395506"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6C18D704" w14:textId="77777777" w:rsidTr="00574690">
      <w:trPr>
        <w:trHeight w:val="251"/>
        <w:jc w:val="center"/>
      </w:trPr>
      <w:tc>
        <w:tcPr>
          <w:tcW w:w="9145" w:type="dxa"/>
          <w:tcMar>
            <w:top w:w="28" w:type="dxa"/>
          </w:tcMar>
        </w:tcPr>
        <w:p w14:paraId="284B4EC0" w14:textId="77777777" w:rsidR="00B528AB" w:rsidRPr="00215D48" w:rsidRDefault="00B528AB" w:rsidP="00B528AB">
          <w:pPr>
            <w:pStyle w:val="Address"/>
            <w:jc w:val="center"/>
          </w:pPr>
          <w:r w:rsidRPr="00215D48">
            <w:t>Reference/Publication #</w:t>
          </w:r>
        </w:p>
      </w:tc>
    </w:tr>
  </w:tbl>
  <w:p w14:paraId="0FFDA84C"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E971" w14:textId="77777777" w:rsidR="00670B0D" w:rsidRDefault="00670B0D" w:rsidP="00537B47">
      <w:pPr>
        <w:spacing w:after="0" w:line="240" w:lineRule="auto"/>
      </w:pPr>
      <w:r>
        <w:separator/>
      </w:r>
    </w:p>
  </w:footnote>
  <w:footnote w:type="continuationSeparator" w:id="0">
    <w:p w14:paraId="163C65CC" w14:textId="77777777" w:rsidR="00670B0D" w:rsidRDefault="00670B0D"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930E"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890E" w14:textId="77777777" w:rsidR="00537B47" w:rsidRDefault="005F6958" w:rsidP="005F6958">
    <w:r>
      <w:rPr>
        <w:noProof/>
      </w:rPr>
      <w:drawing>
        <wp:anchor distT="0" distB="0" distL="114300" distR="114300" simplePos="0" relativeHeight="251659264" behindDoc="1" locked="0" layoutInCell="1" allowOverlap="1" wp14:anchorId="517023B6" wp14:editId="76F7C7F0">
          <wp:simplePos x="0" y="0"/>
          <wp:positionH relativeFrom="column">
            <wp:posOffset>-228600</wp:posOffset>
          </wp:positionH>
          <wp:positionV relativeFrom="paragraph">
            <wp:posOffset>72390</wp:posOffset>
          </wp:positionV>
          <wp:extent cx="2245311" cy="521970"/>
          <wp:effectExtent l="0" t="0" r="3175" b="0"/>
          <wp:wrapNone/>
          <wp:docPr id="1" name="Picture 1" descr="Australian Government, Department of Health and Aged Care, Therapeutic Goods Administration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and Aged Care, Therapeutic Goods Administration &#10;&#10;"/>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58EE32F" wp14:editId="15AE5F4A">
          <wp:simplePos x="0" y="0"/>
          <wp:positionH relativeFrom="page">
            <wp:align>right</wp:align>
          </wp:positionH>
          <wp:positionV relativeFrom="paragraph">
            <wp:posOffset>3122930</wp:posOffset>
          </wp:positionV>
          <wp:extent cx="7553325" cy="4260356"/>
          <wp:effectExtent l="0" t="0" r="0" b="6985"/>
          <wp:wrapNone/>
          <wp:docPr id="2" name="Picture 2"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AB1A"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CA0282"/>
    <w:multiLevelType w:val="hybridMultilevel"/>
    <w:tmpl w:val="303E324A"/>
    <w:lvl w:ilvl="0" w:tplc="A1248EFE">
      <w:start w:val="1"/>
      <w:numFmt w:val="bullet"/>
      <w:pStyle w:val="ListBullet-dotick"/>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AD24AE0A"/>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C6D3F68"/>
    <w:multiLevelType w:val="multilevel"/>
    <w:tmpl w:val="79148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76020"/>
    <w:multiLevelType w:val="multilevel"/>
    <w:tmpl w:val="E28A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33B14587"/>
    <w:multiLevelType w:val="hybridMultilevel"/>
    <w:tmpl w:val="BC4648E0"/>
    <w:lvl w:ilvl="0" w:tplc="11C284B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FF145F6"/>
    <w:multiLevelType w:val="hybridMultilevel"/>
    <w:tmpl w:val="67CC6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3E2C55"/>
    <w:multiLevelType w:val="multilevel"/>
    <w:tmpl w:val="00D2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C816F1"/>
    <w:multiLevelType w:val="multilevel"/>
    <w:tmpl w:val="97EC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80A11"/>
    <w:multiLevelType w:val="hybridMultilevel"/>
    <w:tmpl w:val="AC469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9737033">
    <w:abstractNumId w:val="2"/>
  </w:num>
  <w:num w:numId="2" w16cid:durableId="1244874731">
    <w:abstractNumId w:val="7"/>
  </w:num>
  <w:num w:numId="3" w16cid:durableId="1834369178">
    <w:abstractNumId w:val="5"/>
  </w:num>
  <w:num w:numId="4" w16cid:durableId="729621980">
    <w:abstractNumId w:val="3"/>
  </w:num>
  <w:num w:numId="5" w16cid:durableId="467238759">
    <w:abstractNumId w:val="10"/>
  </w:num>
  <w:num w:numId="6" w16cid:durableId="1237932114">
    <w:abstractNumId w:val="14"/>
  </w:num>
  <w:num w:numId="7" w16cid:durableId="1799059278">
    <w:abstractNumId w:val="1"/>
  </w:num>
  <w:num w:numId="8" w16cid:durableId="1712530828">
    <w:abstractNumId w:val="7"/>
  </w:num>
  <w:num w:numId="9" w16cid:durableId="1529752905">
    <w:abstractNumId w:val="0"/>
  </w:num>
  <w:num w:numId="10" w16cid:durableId="1693191331">
    <w:abstractNumId w:val="6"/>
  </w:num>
  <w:num w:numId="11" w16cid:durableId="1110271873">
    <w:abstractNumId w:val="7"/>
  </w:num>
  <w:num w:numId="12" w16cid:durableId="991257336">
    <w:abstractNumId w:val="5"/>
  </w:num>
  <w:num w:numId="13" w16cid:durableId="1860776656">
    <w:abstractNumId w:val="15"/>
  </w:num>
  <w:num w:numId="14" w16cid:durableId="52388051">
    <w:abstractNumId w:val="5"/>
  </w:num>
  <w:num w:numId="15" w16cid:durableId="2060666817">
    <w:abstractNumId w:val="8"/>
  </w:num>
  <w:num w:numId="16" w16cid:durableId="1868326261">
    <w:abstractNumId w:val="13"/>
  </w:num>
  <w:num w:numId="17" w16cid:durableId="2033071350">
    <w:abstractNumId w:val="16"/>
  </w:num>
  <w:num w:numId="18" w16cid:durableId="2060393959">
    <w:abstractNumId w:val="9"/>
  </w:num>
  <w:num w:numId="19" w16cid:durableId="1689330318">
    <w:abstractNumId w:val="17"/>
  </w:num>
  <w:num w:numId="20" w16cid:durableId="1793859264">
    <w:abstractNumId w:val="12"/>
  </w:num>
  <w:num w:numId="21" w16cid:durableId="979503657">
    <w:abstractNumId w:val="7"/>
  </w:num>
  <w:num w:numId="22" w16cid:durableId="1066345013">
    <w:abstractNumId w:val="4"/>
  </w:num>
  <w:num w:numId="23" w16cid:durableId="1317489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C5"/>
    <w:rsid w:val="00007377"/>
    <w:rsid w:val="00047255"/>
    <w:rsid w:val="000524AC"/>
    <w:rsid w:val="000A222B"/>
    <w:rsid w:val="000C26C4"/>
    <w:rsid w:val="000C58FC"/>
    <w:rsid w:val="000D0336"/>
    <w:rsid w:val="000F0AF9"/>
    <w:rsid w:val="000F799B"/>
    <w:rsid w:val="00121078"/>
    <w:rsid w:val="0015045F"/>
    <w:rsid w:val="00155A83"/>
    <w:rsid w:val="0016606E"/>
    <w:rsid w:val="00174088"/>
    <w:rsid w:val="00197F19"/>
    <w:rsid w:val="001A1637"/>
    <w:rsid w:val="001A6E57"/>
    <w:rsid w:val="001C5A4E"/>
    <w:rsid w:val="001C74D0"/>
    <w:rsid w:val="0020324F"/>
    <w:rsid w:val="00217353"/>
    <w:rsid w:val="00242933"/>
    <w:rsid w:val="0025063F"/>
    <w:rsid w:val="002A012E"/>
    <w:rsid w:val="002A0D54"/>
    <w:rsid w:val="002A4825"/>
    <w:rsid w:val="002B5C34"/>
    <w:rsid w:val="002B7EFF"/>
    <w:rsid w:val="002D5A73"/>
    <w:rsid w:val="00321713"/>
    <w:rsid w:val="003501EC"/>
    <w:rsid w:val="00394754"/>
    <w:rsid w:val="003A2015"/>
    <w:rsid w:val="003A3A73"/>
    <w:rsid w:val="003B2DC5"/>
    <w:rsid w:val="003B7B84"/>
    <w:rsid w:val="003C5745"/>
    <w:rsid w:val="003E4D17"/>
    <w:rsid w:val="003F193F"/>
    <w:rsid w:val="0042313A"/>
    <w:rsid w:val="004245CB"/>
    <w:rsid w:val="00444E0E"/>
    <w:rsid w:val="00452CDA"/>
    <w:rsid w:val="004620DF"/>
    <w:rsid w:val="00466A94"/>
    <w:rsid w:val="004868C3"/>
    <w:rsid w:val="004C5628"/>
    <w:rsid w:val="004E2F19"/>
    <w:rsid w:val="004F18F4"/>
    <w:rsid w:val="00505C14"/>
    <w:rsid w:val="00516116"/>
    <w:rsid w:val="00537B47"/>
    <w:rsid w:val="00551F51"/>
    <w:rsid w:val="00572DB5"/>
    <w:rsid w:val="00574AB1"/>
    <w:rsid w:val="0058575E"/>
    <w:rsid w:val="005C217D"/>
    <w:rsid w:val="005D17F7"/>
    <w:rsid w:val="005D220D"/>
    <w:rsid w:val="005D227F"/>
    <w:rsid w:val="005E144A"/>
    <w:rsid w:val="005F6958"/>
    <w:rsid w:val="00602A08"/>
    <w:rsid w:val="00602D0F"/>
    <w:rsid w:val="00645EBF"/>
    <w:rsid w:val="00647138"/>
    <w:rsid w:val="00650A6F"/>
    <w:rsid w:val="00651BBE"/>
    <w:rsid w:val="00652B22"/>
    <w:rsid w:val="00655CDB"/>
    <w:rsid w:val="00662030"/>
    <w:rsid w:val="006624F6"/>
    <w:rsid w:val="00670B0D"/>
    <w:rsid w:val="00687E9D"/>
    <w:rsid w:val="0069514E"/>
    <w:rsid w:val="006B19D8"/>
    <w:rsid w:val="006B4709"/>
    <w:rsid w:val="006C684C"/>
    <w:rsid w:val="006D083E"/>
    <w:rsid w:val="006E7699"/>
    <w:rsid w:val="0070793C"/>
    <w:rsid w:val="00731482"/>
    <w:rsid w:val="007633FE"/>
    <w:rsid w:val="0077303B"/>
    <w:rsid w:val="00776DBA"/>
    <w:rsid w:val="00786425"/>
    <w:rsid w:val="007D59DA"/>
    <w:rsid w:val="007F0A77"/>
    <w:rsid w:val="007F5F27"/>
    <w:rsid w:val="00820CF4"/>
    <w:rsid w:val="00823D92"/>
    <w:rsid w:val="00830C91"/>
    <w:rsid w:val="0084212F"/>
    <w:rsid w:val="00842E12"/>
    <w:rsid w:val="008643C6"/>
    <w:rsid w:val="0089410A"/>
    <w:rsid w:val="008C7764"/>
    <w:rsid w:val="008E6696"/>
    <w:rsid w:val="008E728F"/>
    <w:rsid w:val="008F3A35"/>
    <w:rsid w:val="009124DB"/>
    <w:rsid w:val="0092519B"/>
    <w:rsid w:val="0094116D"/>
    <w:rsid w:val="00961298"/>
    <w:rsid w:val="009659F4"/>
    <w:rsid w:val="0097112E"/>
    <w:rsid w:val="00973A47"/>
    <w:rsid w:val="00977F26"/>
    <w:rsid w:val="00982195"/>
    <w:rsid w:val="00982C67"/>
    <w:rsid w:val="00990995"/>
    <w:rsid w:val="009A4907"/>
    <w:rsid w:val="009A4C15"/>
    <w:rsid w:val="009A7F56"/>
    <w:rsid w:val="009B67FA"/>
    <w:rsid w:val="009C3D3E"/>
    <w:rsid w:val="009E00E9"/>
    <w:rsid w:val="00A22068"/>
    <w:rsid w:val="00A523E7"/>
    <w:rsid w:val="00A66CC9"/>
    <w:rsid w:val="00A759FE"/>
    <w:rsid w:val="00A75DA8"/>
    <w:rsid w:val="00A81A3A"/>
    <w:rsid w:val="00AC123A"/>
    <w:rsid w:val="00AC1A1B"/>
    <w:rsid w:val="00AE650C"/>
    <w:rsid w:val="00B13D31"/>
    <w:rsid w:val="00B1431F"/>
    <w:rsid w:val="00B25C77"/>
    <w:rsid w:val="00B30963"/>
    <w:rsid w:val="00B344E9"/>
    <w:rsid w:val="00B528AB"/>
    <w:rsid w:val="00B55641"/>
    <w:rsid w:val="00BA389C"/>
    <w:rsid w:val="00BC316C"/>
    <w:rsid w:val="00BC4008"/>
    <w:rsid w:val="00BD2550"/>
    <w:rsid w:val="00BE1AFB"/>
    <w:rsid w:val="00BE5FCA"/>
    <w:rsid w:val="00BE6BDA"/>
    <w:rsid w:val="00C12A2D"/>
    <w:rsid w:val="00C36775"/>
    <w:rsid w:val="00C47116"/>
    <w:rsid w:val="00C85ABF"/>
    <w:rsid w:val="00CA4F94"/>
    <w:rsid w:val="00CC3276"/>
    <w:rsid w:val="00CD249E"/>
    <w:rsid w:val="00D13F8A"/>
    <w:rsid w:val="00D449BC"/>
    <w:rsid w:val="00D45244"/>
    <w:rsid w:val="00D7686E"/>
    <w:rsid w:val="00D82083"/>
    <w:rsid w:val="00D918D5"/>
    <w:rsid w:val="00DD21C5"/>
    <w:rsid w:val="00DD3815"/>
    <w:rsid w:val="00DD7815"/>
    <w:rsid w:val="00E12F4E"/>
    <w:rsid w:val="00E17F93"/>
    <w:rsid w:val="00E26FCF"/>
    <w:rsid w:val="00E428A2"/>
    <w:rsid w:val="00E635E9"/>
    <w:rsid w:val="00E905BC"/>
    <w:rsid w:val="00EB1567"/>
    <w:rsid w:val="00EC66BD"/>
    <w:rsid w:val="00ED60D7"/>
    <w:rsid w:val="00EE0E56"/>
    <w:rsid w:val="00EE6841"/>
    <w:rsid w:val="00EE696E"/>
    <w:rsid w:val="00EF565A"/>
    <w:rsid w:val="00F0198D"/>
    <w:rsid w:val="00F35094"/>
    <w:rsid w:val="00F36559"/>
    <w:rsid w:val="00F3668D"/>
    <w:rsid w:val="00F4685C"/>
    <w:rsid w:val="00F46DC4"/>
    <w:rsid w:val="00F50194"/>
    <w:rsid w:val="00F5677B"/>
    <w:rsid w:val="00F84520"/>
    <w:rsid w:val="00F92DB2"/>
    <w:rsid w:val="00FD3F97"/>
    <w:rsid w:val="00FE57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90C"/>
  <w15:chartTrackingRefBased/>
  <w15:docId w15:val="{2303BE89-58D4-4CFF-A128-CE8772D0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5D227F"/>
    <w:pPr>
      <w:keepNext/>
      <w:keepLines/>
      <w:spacing w:before="24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5D227F"/>
    <w:rPr>
      <w:rFonts w:eastAsia="Times New Roman" w:cs="Times New Roman"/>
      <w:b/>
      <w:bCs/>
      <w:color w:val="001871"/>
      <w:sz w:val="32"/>
      <w:szCs w:val="32"/>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BE5FCA"/>
    <w:pPr>
      <w:spacing w:before="120" w:after="180" w:line="240" w:lineRule="atLeast"/>
      <w:ind w:left="360" w:hanging="360"/>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9A4907"/>
    <w:pPr>
      <w:numPr>
        <w:numId w:val="22"/>
      </w:numPr>
      <w:tabs>
        <w:tab w:val="left" w:pos="425"/>
      </w:tabs>
    </w:pPr>
    <w:rPr>
      <w:lang w:eastAsia="en-AU"/>
    </w:r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EF565A"/>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 w:type="paragraph" w:styleId="NoSpacing">
    <w:name w:val="No Spacing"/>
    <w:uiPriority w:val="1"/>
    <w:qFormat/>
    <w:rsid w:val="00DD21C5"/>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B30963"/>
    <w:pPr>
      <w:spacing w:after="0" w:line="240" w:lineRule="auto"/>
    </w:pPr>
  </w:style>
  <w:style w:type="character" w:styleId="UnresolvedMention">
    <w:name w:val="Unresolved Mention"/>
    <w:basedOn w:val="DefaultParagraphFont"/>
    <w:uiPriority w:val="99"/>
    <w:semiHidden/>
    <w:unhideWhenUsed/>
    <w:rsid w:val="001A1637"/>
    <w:rPr>
      <w:color w:val="605E5C"/>
      <w:shd w:val="clear" w:color="auto" w:fill="E1DFDD"/>
    </w:rPr>
  </w:style>
  <w:style w:type="character" w:styleId="CommentReference">
    <w:name w:val="annotation reference"/>
    <w:basedOn w:val="DefaultParagraphFont"/>
    <w:uiPriority w:val="99"/>
    <w:semiHidden/>
    <w:unhideWhenUsed/>
    <w:rsid w:val="00A81A3A"/>
    <w:rPr>
      <w:sz w:val="16"/>
      <w:szCs w:val="16"/>
    </w:rPr>
  </w:style>
  <w:style w:type="paragraph" w:styleId="CommentText">
    <w:name w:val="annotation text"/>
    <w:basedOn w:val="Normal"/>
    <w:link w:val="CommentTextChar"/>
    <w:uiPriority w:val="99"/>
    <w:unhideWhenUsed/>
    <w:rsid w:val="00A81A3A"/>
    <w:pPr>
      <w:spacing w:line="240" w:lineRule="auto"/>
    </w:pPr>
  </w:style>
  <w:style w:type="character" w:customStyle="1" w:styleId="CommentTextChar">
    <w:name w:val="Comment Text Char"/>
    <w:basedOn w:val="DefaultParagraphFont"/>
    <w:link w:val="CommentText"/>
    <w:uiPriority w:val="99"/>
    <w:rsid w:val="00A81A3A"/>
  </w:style>
  <w:style w:type="paragraph" w:styleId="CommentSubject">
    <w:name w:val="annotation subject"/>
    <w:basedOn w:val="CommentText"/>
    <w:next w:val="CommentText"/>
    <w:link w:val="CommentSubjectChar"/>
    <w:uiPriority w:val="99"/>
    <w:semiHidden/>
    <w:unhideWhenUsed/>
    <w:rsid w:val="00A81A3A"/>
    <w:rPr>
      <w:b/>
      <w:bCs/>
    </w:rPr>
  </w:style>
  <w:style w:type="character" w:customStyle="1" w:styleId="CommentSubjectChar">
    <w:name w:val="Comment Subject Char"/>
    <w:basedOn w:val="CommentTextChar"/>
    <w:link w:val="CommentSubject"/>
    <w:uiPriority w:val="99"/>
    <w:semiHidden/>
    <w:rsid w:val="00A81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copyright@tga.gov.a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ga.gov.au/resources/publication/publications/medical-devices-reforms-action-plan-medical-devices" TargetMode="External"/><Relationship Id="rId14" Type="http://schemas.openxmlformats.org/officeDocument/2006/relationships/hyperlink" Target="mailto:dwg.tga@health.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2A922-AB7F-4ADD-99E4-5EBD50BA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0</TotalTime>
  <Pages>9</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Medical Devices Consumer Working Group: Terms of Reference</vt:lpstr>
    </vt:vector>
  </TitlesOfParts>
  <Company>Department of Health and Aged Care</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Devices Consumer Working Group: Terms of Reference</dc:title>
  <dc:subject/>
  <dc:creator>Therapeutic Goods Administration</dc:creator>
  <cp:keywords/>
  <dc:description/>
  <cp:lastModifiedBy>PETKOVIC, Emily</cp:lastModifiedBy>
  <cp:revision>2</cp:revision>
  <cp:lastPrinted>2024-05-10T02:27:00Z</cp:lastPrinted>
  <dcterms:created xsi:type="dcterms:W3CDTF">2024-05-31T04:04:00Z</dcterms:created>
  <dcterms:modified xsi:type="dcterms:W3CDTF">2024-05-31T04:04:00Z</dcterms:modified>
</cp:coreProperties>
</file>