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1166F99" w:rsidR="00F02AEC" w:rsidRPr="00215D48" w:rsidRDefault="00346EC2" w:rsidP="007452E8">
            <w:pPr>
              <w:pStyle w:val="Title"/>
            </w:pPr>
            <w:r w:rsidRPr="00346EC2">
              <w:t>Australian Public Assessment Report for</w:t>
            </w:r>
            <w:r w:rsidR="006C41C3">
              <w:t xml:space="preserve"> </w:t>
            </w:r>
            <w:bookmarkStart w:id="0" w:name="_Hlk166071466"/>
            <w:proofErr w:type="spellStart"/>
            <w:r w:rsidR="006C41C3">
              <w:t>Omvoh</w:t>
            </w:r>
            <w:bookmarkEnd w:id="0"/>
            <w:proofErr w:type="spellEnd"/>
            <w:r>
              <w:fldChar w:fldCharType="begin"/>
            </w:r>
            <w:r>
              <w:instrText xml:space="preserve"> DOCVARIABLE vault_nd_878d9306-241d-40ae-9e1b-05d20e8f626d \* MERGEFORMAT </w:instrText>
            </w:r>
            <w:r>
              <w:fldChar w:fldCharType="separate"/>
            </w:r>
            <w:r w:rsidR="005605B4">
              <w:t xml:space="preserve"> </w:t>
            </w:r>
            <w:r>
              <w:fldChar w:fldCharType="end"/>
            </w:r>
          </w:p>
        </w:tc>
      </w:tr>
      <w:tr w:rsidR="00F02AEC" w:rsidRPr="00215D48" w14:paraId="318A40A3" w14:textId="77777777" w:rsidTr="00346EC2">
        <w:trPr>
          <w:trHeight w:val="995"/>
        </w:trPr>
        <w:tc>
          <w:tcPr>
            <w:tcW w:w="8720" w:type="dxa"/>
          </w:tcPr>
          <w:p w14:paraId="1AA7C701" w14:textId="14EC6A5C" w:rsidR="00F02AEC" w:rsidRPr="00215D48" w:rsidRDefault="00346EC2" w:rsidP="007452E8">
            <w:pPr>
              <w:pStyle w:val="Subtitle"/>
              <w:ind w:left="0"/>
            </w:pPr>
            <w:r w:rsidRPr="00346EC2">
              <w:t>Active ingredient</w:t>
            </w:r>
            <w:r w:rsidR="003A11CE">
              <w:t xml:space="preserve">: </w:t>
            </w:r>
            <w:bookmarkStart w:id="1" w:name="_Hlk166071519"/>
            <w:r w:rsidR="003A11CE" w:rsidRPr="003A11CE">
              <w:t>Mirikizuma</w:t>
            </w:r>
            <w:r w:rsidR="003A11CE">
              <w:t>b</w:t>
            </w:r>
            <w:bookmarkEnd w:id="1"/>
          </w:p>
        </w:tc>
      </w:tr>
      <w:tr w:rsidR="00346EC2" w:rsidRPr="00215D48" w14:paraId="362CCAE4" w14:textId="77777777" w:rsidTr="007452E8">
        <w:trPr>
          <w:trHeight w:val="1916"/>
        </w:trPr>
        <w:tc>
          <w:tcPr>
            <w:tcW w:w="8720" w:type="dxa"/>
          </w:tcPr>
          <w:p w14:paraId="709C45C0" w14:textId="5C00516B" w:rsidR="00346EC2" w:rsidRPr="00215D48" w:rsidRDefault="00346EC2" w:rsidP="007452E8">
            <w:pPr>
              <w:pStyle w:val="Subtitle"/>
              <w:ind w:left="0"/>
            </w:pPr>
            <w:r w:rsidRPr="00346EC2">
              <w:t>Sponsor:</w:t>
            </w:r>
            <w:r w:rsidR="006C5FE6">
              <w:t xml:space="preserve"> </w:t>
            </w:r>
            <w:bookmarkStart w:id="2" w:name="_Hlk166071531"/>
            <w:r w:rsidR="006C5FE6" w:rsidRPr="006C5FE6">
              <w:t>Eli Lilly Australia Pty Ltd</w:t>
            </w:r>
            <w:bookmarkEnd w:id="2"/>
          </w:p>
        </w:tc>
      </w:tr>
      <w:tr w:rsidR="00F02AEC" w:rsidRPr="00215D48" w14:paraId="37F2AA1F" w14:textId="77777777" w:rsidTr="007452E8">
        <w:tc>
          <w:tcPr>
            <w:tcW w:w="8720" w:type="dxa"/>
          </w:tcPr>
          <w:p w14:paraId="1FDE8DCD" w14:textId="68A6D519" w:rsidR="00F02AEC" w:rsidRPr="00215D48" w:rsidRDefault="006C5FE6" w:rsidP="007452E8">
            <w:pPr>
              <w:pStyle w:val="Date"/>
            </w:pPr>
            <w:r>
              <w:t>March</w:t>
            </w:r>
            <w:r w:rsidR="00F02AEC" w:rsidRPr="00215D48">
              <w:t xml:space="preserve"> </w:t>
            </w:r>
            <w:r>
              <w:t>2024</w:t>
            </w:r>
          </w:p>
        </w:tc>
      </w:tr>
    </w:tbl>
    <w:p w14:paraId="73752706" w14:textId="77777777" w:rsidR="00F02AEC" w:rsidRPr="00215D48" w:rsidRDefault="00F02AEC" w:rsidP="007452E8">
      <w:pPr>
        <w:pStyle w:val="ListBullet"/>
        <w:numPr>
          <w:ilvl w:val="0"/>
          <w:numId w:val="0"/>
        </w:numPr>
        <w:sectPr w:rsidR="00F02AEC" w:rsidRPr="00215D48" w:rsidSect="0086673A">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3EF0B304" w:rsidR="00346EC2" w:rsidRPr="001F6CBA" w:rsidRDefault="00346EC2" w:rsidP="00346EC2">
      <w:pPr>
        <w:pStyle w:val="NonTOCHeading20"/>
      </w:pPr>
      <w:r w:rsidRPr="001F6CBA">
        <w:lastRenderedPageBreak/>
        <w:t>About the Therapeutic Goods Administration (TGA)</w:t>
      </w:r>
      <w:r w:rsidR="0099632D">
        <w:fldChar w:fldCharType="begin"/>
      </w:r>
      <w:r w:rsidR="0099632D">
        <w:instrText xml:space="preserve"> DOCVARIABLE vault_nd_b6384e53-4105-4896-9f96-bc2ebf8e4c73 \* MERGEFORMAT </w:instrText>
      </w:r>
      <w:r w:rsidR="0099632D">
        <w:fldChar w:fldCharType="separate"/>
      </w:r>
      <w:r w:rsidR="005605B4">
        <w:t xml:space="preserve"> </w:t>
      </w:r>
      <w:r w:rsidR="0099632D">
        <w:fldChar w:fldCharType="end"/>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6D8177F3"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0EC3280A" w:rsidR="00346EC2" w:rsidRDefault="00346EC2" w:rsidP="00346EC2">
      <w:pPr>
        <w:pStyle w:val="NonTOCHeading20"/>
      </w:pPr>
      <w:r>
        <w:t>About AusPARs</w:t>
      </w:r>
      <w:r w:rsidR="0099632D">
        <w:fldChar w:fldCharType="begin"/>
      </w:r>
      <w:r w:rsidR="0099632D">
        <w:instrText xml:space="preserve"> DOCVARIABLE vault_nd_3f5e9e83-afc3-477d-9dfd-8a5ffcc0ddba \* MERGEFORMAT </w:instrText>
      </w:r>
      <w:r w:rsidR="0099632D">
        <w:fldChar w:fldCharType="separate"/>
      </w:r>
      <w:r w:rsidR="005605B4">
        <w:t xml:space="preserve"> </w:t>
      </w:r>
      <w:r w:rsidR="0099632D">
        <w:fldChar w:fldCharType="end"/>
      </w:r>
    </w:p>
    <w:p w14:paraId="631B2209" w14:textId="2AA0ADD0"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1CEF8974" w:rsidR="00F02AEC" w:rsidRPr="00E1198B" w:rsidRDefault="00F02AEC" w:rsidP="00FE087C">
      <w:pPr>
        <w:pStyle w:val="LegalSubheading"/>
        <w:spacing w:before="3600"/>
      </w:pPr>
      <w:r w:rsidRPr="00BA0DFC">
        <w:t>Copyright</w:t>
      </w:r>
      <w:r w:rsidR="0099632D">
        <w:fldChar w:fldCharType="begin"/>
      </w:r>
      <w:r w:rsidR="0099632D">
        <w:instrText xml:space="preserve"> DOCVARIABLE vault_nd_e77886ff-4686-422b-9897-94198325703a \* MERGEFORMAT </w:instrText>
      </w:r>
      <w:r w:rsidR="0099632D">
        <w:fldChar w:fldCharType="separate"/>
      </w:r>
      <w:r w:rsidR="005605B4">
        <w:t xml:space="preserve"> </w:t>
      </w:r>
      <w:r w:rsidR="0099632D">
        <w:fldChar w:fldCharType="end"/>
      </w:r>
    </w:p>
    <w:p w14:paraId="170A8A5D" w14:textId="28E7BE93"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3FEE348" w:rsidR="00F02AEC" w:rsidRPr="00215D48" w:rsidRDefault="00F02AEC" w:rsidP="007452E8">
          <w:pPr>
            <w:pStyle w:val="NonTOCheading2"/>
          </w:pPr>
          <w:r w:rsidRPr="00215D48">
            <w:t>Contents</w:t>
          </w:r>
          <w:r w:rsidR="0099632D">
            <w:fldChar w:fldCharType="begin"/>
          </w:r>
          <w:r w:rsidR="0099632D">
            <w:instrText xml:space="preserve"> DOCVARIABLE vault_nd_4f7eeb7f-ddfb-4435-9882-b0084dfa9f37 \* MERGEFORMAT </w:instrText>
          </w:r>
          <w:r w:rsidR="0099632D">
            <w:fldChar w:fldCharType="separate"/>
          </w:r>
          <w:r w:rsidR="005605B4">
            <w:t xml:space="preserve"> </w:t>
          </w:r>
          <w:r w:rsidR="0099632D">
            <w:fldChar w:fldCharType="end"/>
          </w:r>
        </w:p>
        <w:p w14:paraId="0723FA6D" w14:textId="22D49AB5" w:rsidR="00D777FF"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60629010" w:history="1">
            <w:r w:rsidR="00D777FF" w:rsidRPr="00597344">
              <w:rPr>
                <w:rStyle w:val="Hyperlink"/>
                <w:noProof/>
              </w:rPr>
              <w:t>List of abbreviations</w:t>
            </w:r>
            <w:r w:rsidR="00D777FF">
              <w:rPr>
                <w:noProof/>
                <w:webHidden/>
              </w:rPr>
              <w:tab/>
            </w:r>
            <w:r w:rsidR="00D777FF">
              <w:rPr>
                <w:noProof/>
                <w:webHidden/>
              </w:rPr>
              <w:fldChar w:fldCharType="begin"/>
            </w:r>
            <w:r w:rsidR="00D777FF">
              <w:rPr>
                <w:noProof/>
                <w:webHidden/>
              </w:rPr>
              <w:instrText xml:space="preserve"> PAGEREF _Toc160629010 \h </w:instrText>
            </w:r>
            <w:r w:rsidR="00D777FF">
              <w:rPr>
                <w:noProof/>
                <w:webHidden/>
              </w:rPr>
            </w:r>
            <w:r w:rsidR="00D777FF">
              <w:rPr>
                <w:noProof/>
                <w:webHidden/>
              </w:rPr>
              <w:fldChar w:fldCharType="separate"/>
            </w:r>
            <w:r w:rsidR="00D777FF">
              <w:rPr>
                <w:noProof/>
                <w:webHidden/>
              </w:rPr>
              <w:t>4</w:t>
            </w:r>
            <w:r w:rsidR="00D777FF">
              <w:rPr>
                <w:noProof/>
                <w:webHidden/>
              </w:rPr>
              <w:fldChar w:fldCharType="end"/>
            </w:r>
          </w:hyperlink>
        </w:p>
        <w:p w14:paraId="0A4AE3C5" w14:textId="3001234F" w:rsidR="00D777FF" w:rsidRDefault="0099632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629011" w:history="1">
            <w:r w:rsidR="00D777FF" w:rsidRPr="00597344">
              <w:rPr>
                <w:rStyle w:val="Hyperlink"/>
                <w:noProof/>
              </w:rPr>
              <w:t>Product submission</w:t>
            </w:r>
            <w:r w:rsidR="00D777FF">
              <w:rPr>
                <w:noProof/>
                <w:webHidden/>
              </w:rPr>
              <w:tab/>
            </w:r>
            <w:r w:rsidR="00D777FF">
              <w:rPr>
                <w:noProof/>
                <w:webHidden/>
              </w:rPr>
              <w:fldChar w:fldCharType="begin"/>
            </w:r>
            <w:r w:rsidR="00D777FF">
              <w:rPr>
                <w:noProof/>
                <w:webHidden/>
              </w:rPr>
              <w:instrText xml:space="preserve"> PAGEREF _Toc160629011 \h </w:instrText>
            </w:r>
            <w:r w:rsidR="00D777FF">
              <w:rPr>
                <w:noProof/>
                <w:webHidden/>
              </w:rPr>
            </w:r>
            <w:r w:rsidR="00D777FF">
              <w:rPr>
                <w:noProof/>
                <w:webHidden/>
              </w:rPr>
              <w:fldChar w:fldCharType="separate"/>
            </w:r>
            <w:r w:rsidR="00D777FF">
              <w:rPr>
                <w:noProof/>
                <w:webHidden/>
              </w:rPr>
              <w:t>6</w:t>
            </w:r>
            <w:r w:rsidR="00D777FF">
              <w:rPr>
                <w:noProof/>
                <w:webHidden/>
              </w:rPr>
              <w:fldChar w:fldCharType="end"/>
            </w:r>
          </w:hyperlink>
        </w:p>
        <w:p w14:paraId="7610AA92" w14:textId="524D59A5" w:rsidR="00D777FF" w:rsidRDefault="0099632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629012" w:history="1">
            <w:r w:rsidR="00D777FF" w:rsidRPr="00597344">
              <w:rPr>
                <w:rStyle w:val="Hyperlink"/>
                <w:noProof/>
                <w:lang w:eastAsia="en-AU"/>
              </w:rPr>
              <w:t>Submission details</w:t>
            </w:r>
            <w:r w:rsidR="00D777FF">
              <w:rPr>
                <w:noProof/>
                <w:webHidden/>
              </w:rPr>
              <w:tab/>
            </w:r>
            <w:r w:rsidR="00D777FF">
              <w:rPr>
                <w:noProof/>
                <w:webHidden/>
              </w:rPr>
              <w:fldChar w:fldCharType="begin"/>
            </w:r>
            <w:r w:rsidR="00D777FF">
              <w:rPr>
                <w:noProof/>
                <w:webHidden/>
              </w:rPr>
              <w:instrText xml:space="preserve"> PAGEREF _Toc160629012 \h </w:instrText>
            </w:r>
            <w:r w:rsidR="00D777FF">
              <w:rPr>
                <w:noProof/>
                <w:webHidden/>
              </w:rPr>
            </w:r>
            <w:r w:rsidR="00D777FF">
              <w:rPr>
                <w:noProof/>
                <w:webHidden/>
              </w:rPr>
              <w:fldChar w:fldCharType="separate"/>
            </w:r>
            <w:r w:rsidR="00D777FF">
              <w:rPr>
                <w:noProof/>
                <w:webHidden/>
              </w:rPr>
              <w:t>6</w:t>
            </w:r>
            <w:r w:rsidR="00D777FF">
              <w:rPr>
                <w:noProof/>
                <w:webHidden/>
              </w:rPr>
              <w:fldChar w:fldCharType="end"/>
            </w:r>
          </w:hyperlink>
        </w:p>
        <w:p w14:paraId="786C911B" w14:textId="3B03C221" w:rsidR="00D777FF" w:rsidRDefault="0099632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629013" w:history="1">
            <w:r w:rsidR="00D777FF" w:rsidRPr="00597344">
              <w:rPr>
                <w:rStyle w:val="Hyperlink"/>
                <w:noProof/>
              </w:rPr>
              <w:t>Product background</w:t>
            </w:r>
            <w:r w:rsidR="00D777FF">
              <w:rPr>
                <w:noProof/>
                <w:webHidden/>
              </w:rPr>
              <w:tab/>
            </w:r>
            <w:r w:rsidR="00D777FF">
              <w:rPr>
                <w:noProof/>
                <w:webHidden/>
              </w:rPr>
              <w:fldChar w:fldCharType="begin"/>
            </w:r>
            <w:r w:rsidR="00D777FF">
              <w:rPr>
                <w:noProof/>
                <w:webHidden/>
              </w:rPr>
              <w:instrText xml:space="preserve"> PAGEREF _Toc160629013 \h </w:instrText>
            </w:r>
            <w:r w:rsidR="00D777FF">
              <w:rPr>
                <w:noProof/>
                <w:webHidden/>
              </w:rPr>
            </w:r>
            <w:r w:rsidR="00D777FF">
              <w:rPr>
                <w:noProof/>
                <w:webHidden/>
              </w:rPr>
              <w:fldChar w:fldCharType="separate"/>
            </w:r>
            <w:r w:rsidR="00D777FF">
              <w:rPr>
                <w:noProof/>
                <w:webHidden/>
              </w:rPr>
              <w:t>7</w:t>
            </w:r>
            <w:r w:rsidR="00D777FF">
              <w:rPr>
                <w:noProof/>
                <w:webHidden/>
              </w:rPr>
              <w:fldChar w:fldCharType="end"/>
            </w:r>
          </w:hyperlink>
        </w:p>
        <w:p w14:paraId="7807B290" w14:textId="0BB74740" w:rsidR="00D777FF" w:rsidRDefault="0099632D">
          <w:pPr>
            <w:pStyle w:val="TOC3"/>
            <w:rPr>
              <w:rFonts w:asciiTheme="minorHAnsi" w:eastAsiaTheme="minorEastAsia" w:hAnsiTheme="minorHAnsi" w:cstheme="minorBidi"/>
              <w:b w:val="0"/>
              <w:noProof/>
              <w:color w:val="auto"/>
              <w:kern w:val="2"/>
              <w:szCs w:val="22"/>
              <w:lang w:eastAsia="en-AU"/>
              <w14:ligatures w14:val="standardContextual"/>
            </w:rPr>
          </w:pPr>
          <w:hyperlink w:anchor="_Toc160629014" w:history="1">
            <w:r w:rsidR="00D777FF" w:rsidRPr="00597344">
              <w:rPr>
                <w:rStyle w:val="Hyperlink"/>
                <w:noProof/>
              </w:rPr>
              <w:t>The disease/condition</w:t>
            </w:r>
            <w:r w:rsidR="00D777FF">
              <w:rPr>
                <w:noProof/>
                <w:webHidden/>
              </w:rPr>
              <w:tab/>
            </w:r>
            <w:r w:rsidR="00D777FF">
              <w:rPr>
                <w:noProof/>
                <w:webHidden/>
              </w:rPr>
              <w:fldChar w:fldCharType="begin"/>
            </w:r>
            <w:r w:rsidR="00D777FF">
              <w:rPr>
                <w:noProof/>
                <w:webHidden/>
              </w:rPr>
              <w:instrText xml:space="preserve"> PAGEREF _Toc160629014 \h </w:instrText>
            </w:r>
            <w:r w:rsidR="00D777FF">
              <w:rPr>
                <w:noProof/>
                <w:webHidden/>
              </w:rPr>
            </w:r>
            <w:r w:rsidR="00D777FF">
              <w:rPr>
                <w:noProof/>
                <w:webHidden/>
              </w:rPr>
              <w:fldChar w:fldCharType="separate"/>
            </w:r>
            <w:r w:rsidR="00D777FF">
              <w:rPr>
                <w:noProof/>
                <w:webHidden/>
              </w:rPr>
              <w:t>7</w:t>
            </w:r>
            <w:r w:rsidR="00D777FF">
              <w:rPr>
                <w:noProof/>
                <w:webHidden/>
              </w:rPr>
              <w:fldChar w:fldCharType="end"/>
            </w:r>
          </w:hyperlink>
        </w:p>
        <w:p w14:paraId="5A5A44F5" w14:textId="3DA1877B" w:rsidR="00D777FF" w:rsidRDefault="0099632D">
          <w:pPr>
            <w:pStyle w:val="TOC3"/>
            <w:rPr>
              <w:rFonts w:asciiTheme="minorHAnsi" w:eastAsiaTheme="minorEastAsia" w:hAnsiTheme="minorHAnsi" w:cstheme="minorBidi"/>
              <w:b w:val="0"/>
              <w:noProof/>
              <w:color w:val="auto"/>
              <w:kern w:val="2"/>
              <w:szCs w:val="22"/>
              <w:lang w:eastAsia="en-AU"/>
              <w14:ligatures w14:val="standardContextual"/>
            </w:rPr>
          </w:pPr>
          <w:hyperlink w:anchor="_Toc160629015" w:history="1">
            <w:r w:rsidR="00D777FF" w:rsidRPr="00597344">
              <w:rPr>
                <w:rStyle w:val="Hyperlink"/>
                <w:noProof/>
              </w:rPr>
              <w:t>Current treatment options</w:t>
            </w:r>
            <w:r w:rsidR="00D777FF">
              <w:rPr>
                <w:noProof/>
                <w:webHidden/>
              </w:rPr>
              <w:tab/>
            </w:r>
            <w:r w:rsidR="00D777FF">
              <w:rPr>
                <w:noProof/>
                <w:webHidden/>
              </w:rPr>
              <w:fldChar w:fldCharType="begin"/>
            </w:r>
            <w:r w:rsidR="00D777FF">
              <w:rPr>
                <w:noProof/>
                <w:webHidden/>
              </w:rPr>
              <w:instrText xml:space="preserve"> PAGEREF _Toc160629015 \h </w:instrText>
            </w:r>
            <w:r w:rsidR="00D777FF">
              <w:rPr>
                <w:noProof/>
                <w:webHidden/>
              </w:rPr>
            </w:r>
            <w:r w:rsidR="00D777FF">
              <w:rPr>
                <w:noProof/>
                <w:webHidden/>
              </w:rPr>
              <w:fldChar w:fldCharType="separate"/>
            </w:r>
            <w:r w:rsidR="00D777FF">
              <w:rPr>
                <w:noProof/>
                <w:webHidden/>
              </w:rPr>
              <w:t>7</w:t>
            </w:r>
            <w:r w:rsidR="00D777FF">
              <w:rPr>
                <w:noProof/>
                <w:webHidden/>
              </w:rPr>
              <w:fldChar w:fldCharType="end"/>
            </w:r>
          </w:hyperlink>
        </w:p>
        <w:p w14:paraId="54145494" w14:textId="1A9C29ED" w:rsidR="00D777FF" w:rsidRDefault="0099632D">
          <w:pPr>
            <w:pStyle w:val="TOC3"/>
            <w:rPr>
              <w:rFonts w:asciiTheme="minorHAnsi" w:eastAsiaTheme="minorEastAsia" w:hAnsiTheme="minorHAnsi" w:cstheme="minorBidi"/>
              <w:b w:val="0"/>
              <w:noProof/>
              <w:color w:val="auto"/>
              <w:kern w:val="2"/>
              <w:szCs w:val="22"/>
              <w:lang w:eastAsia="en-AU"/>
              <w14:ligatures w14:val="standardContextual"/>
            </w:rPr>
          </w:pPr>
          <w:hyperlink w:anchor="_Toc160629016" w:history="1">
            <w:r w:rsidR="00D777FF" w:rsidRPr="00597344">
              <w:rPr>
                <w:rStyle w:val="Hyperlink"/>
                <w:noProof/>
              </w:rPr>
              <w:t>Assessing disease and response in clinical trials</w:t>
            </w:r>
            <w:r w:rsidR="00D777FF">
              <w:rPr>
                <w:noProof/>
                <w:webHidden/>
              </w:rPr>
              <w:tab/>
            </w:r>
            <w:r w:rsidR="00D777FF">
              <w:rPr>
                <w:noProof/>
                <w:webHidden/>
              </w:rPr>
              <w:fldChar w:fldCharType="begin"/>
            </w:r>
            <w:r w:rsidR="00D777FF">
              <w:rPr>
                <w:noProof/>
                <w:webHidden/>
              </w:rPr>
              <w:instrText xml:space="preserve"> PAGEREF _Toc160629016 \h </w:instrText>
            </w:r>
            <w:r w:rsidR="00D777FF">
              <w:rPr>
                <w:noProof/>
                <w:webHidden/>
              </w:rPr>
            </w:r>
            <w:r w:rsidR="00D777FF">
              <w:rPr>
                <w:noProof/>
                <w:webHidden/>
              </w:rPr>
              <w:fldChar w:fldCharType="separate"/>
            </w:r>
            <w:r w:rsidR="00D777FF">
              <w:rPr>
                <w:noProof/>
                <w:webHidden/>
              </w:rPr>
              <w:t>8</w:t>
            </w:r>
            <w:r w:rsidR="00D777FF">
              <w:rPr>
                <w:noProof/>
                <w:webHidden/>
              </w:rPr>
              <w:fldChar w:fldCharType="end"/>
            </w:r>
          </w:hyperlink>
        </w:p>
        <w:p w14:paraId="2AFD88FC" w14:textId="1FE595F6" w:rsidR="00D777FF" w:rsidRDefault="0099632D">
          <w:pPr>
            <w:pStyle w:val="TOC3"/>
            <w:rPr>
              <w:rFonts w:asciiTheme="minorHAnsi" w:eastAsiaTheme="minorEastAsia" w:hAnsiTheme="minorHAnsi" w:cstheme="minorBidi"/>
              <w:b w:val="0"/>
              <w:noProof/>
              <w:color w:val="auto"/>
              <w:kern w:val="2"/>
              <w:szCs w:val="22"/>
              <w:lang w:eastAsia="en-AU"/>
              <w14:ligatures w14:val="standardContextual"/>
            </w:rPr>
          </w:pPr>
          <w:hyperlink w:anchor="_Toc160629017" w:history="1">
            <w:r w:rsidR="00D777FF" w:rsidRPr="00597344">
              <w:rPr>
                <w:rStyle w:val="Hyperlink"/>
                <w:noProof/>
              </w:rPr>
              <w:t>Clinical rationale</w:t>
            </w:r>
            <w:r w:rsidR="00D777FF">
              <w:rPr>
                <w:noProof/>
                <w:webHidden/>
              </w:rPr>
              <w:tab/>
            </w:r>
            <w:r w:rsidR="00D777FF">
              <w:rPr>
                <w:noProof/>
                <w:webHidden/>
              </w:rPr>
              <w:fldChar w:fldCharType="begin"/>
            </w:r>
            <w:r w:rsidR="00D777FF">
              <w:rPr>
                <w:noProof/>
                <w:webHidden/>
              </w:rPr>
              <w:instrText xml:space="preserve"> PAGEREF _Toc160629017 \h </w:instrText>
            </w:r>
            <w:r w:rsidR="00D777FF">
              <w:rPr>
                <w:noProof/>
                <w:webHidden/>
              </w:rPr>
            </w:r>
            <w:r w:rsidR="00D777FF">
              <w:rPr>
                <w:noProof/>
                <w:webHidden/>
              </w:rPr>
              <w:fldChar w:fldCharType="separate"/>
            </w:r>
            <w:r w:rsidR="00D777FF">
              <w:rPr>
                <w:noProof/>
                <w:webHidden/>
              </w:rPr>
              <w:t>9</w:t>
            </w:r>
            <w:r w:rsidR="00D777FF">
              <w:rPr>
                <w:noProof/>
                <w:webHidden/>
              </w:rPr>
              <w:fldChar w:fldCharType="end"/>
            </w:r>
          </w:hyperlink>
        </w:p>
        <w:p w14:paraId="5B7CEF81" w14:textId="6D552078" w:rsidR="00D777FF" w:rsidRDefault="0099632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629018" w:history="1">
            <w:r w:rsidR="00D777FF" w:rsidRPr="00597344">
              <w:rPr>
                <w:rStyle w:val="Hyperlink"/>
                <w:noProof/>
              </w:rPr>
              <w:t>Regulatory status</w:t>
            </w:r>
            <w:r w:rsidR="00D777FF">
              <w:rPr>
                <w:noProof/>
                <w:webHidden/>
              </w:rPr>
              <w:tab/>
            </w:r>
            <w:r w:rsidR="00D777FF">
              <w:rPr>
                <w:noProof/>
                <w:webHidden/>
              </w:rPr>
              <w:fldChar w:fldCharType="begin"/>
            </w:r>
            <w:r w:rsidR="00D777FF">
              <w:rPr>
                <w:noProof/>
                <w:webHidden/>
              </w:rPr>
              <w:instrText xml:space="preserve"> PAGEREF _Toc160629018 \h </w:instrText>
            </w:r>
            <w:r w:rsidR="00D777FF">
              <w:rPr>
                <w:noProof/>
                <w:webHidden/>
              </w:rPr>
            </w:r>
            <w:r w:rsidR="00D777FF">
              <w:rPr>
                <w:noProof/>
                <w:webHidden/>
              </w:rPr>
              <w:fldChar w:fldCharType="separate"/>
            </w:r>
            <w:r w:rsidR="00D777FF">
              <w:rPr>
                <w:noProof/>
                <w:webHidden/>
              </w:rPr>
              <w:t>10</w:t>
            </w:r>
            <w:r w:rsidR="00D777FF">
              <w:rPr>
                <w:noProof/>
                <w:webHidden/>
              </w:rPr>
              <w:fldChar w:fldCharType="end"/>
            </w:r>
          </w:hyperlink>
        </w:p>
        <w:p w14:paraId="62FD1E66" w14:textId="6479F40F" w:rsidR="00D777FF" w:rsidRDefault="0099632D">
          <w:pPr>
            <w:pStyle w:val="TOC3"/>
            <w:rPr>
              <w:rFonts w:asciiTheme="minorHAnsi" w:eastAsiaTheme="minorEastAsia" w:hAnsiTheme="minorHAnsi" w:cstheme="minorBidi"/>
              <w:b w:val="0"/>
              <w:noProof/>
              <w:color w:val="auto"/>
              <w:kern w:val="2"/>
              <w:szCs w:val="22"/>
              <w:lang w:eastAsia="en-AU"/>
              <w14:ligatures w14:val="standardContextual"/>
            </w:rPr>
          </w:pPr>
          <w:hyperlink w:anchor="_Toc160629019" w:history="1">
            <w:r w:rsidR="00D777FF" w:rsidRPr="00597344">
              <w:rPr>
                <w:rStyle w:val="Hyperlink"/>
                <w:noProof/>
              </w:rPr>
              <w:t>Australian regulatory status</w:t>
            </w:r>
            <w:r w:rsidR="00D777FF">
              <w:rPr>
                <w:noProof/>
                <w:webHidden/>
              </w:rPr>
              <w:tab/>
            </w:r>
            <w:r w:rsidR="00D777FF">
              <w:rPr>
                <w:noProof/>
                <w:webHidden/>
              </w:rPr>
              <w:fldChar w:fldCharType="begin"/>
            </w:r>
            <w:r w:rsidR="00D777FF">
              <w:rPr>
                <w:noProof/>
                <w:webHidden/>
              </w:rPr>
              <w:instrText xml:space="preserve"> PAGEREF _Toc160629019 \h </w:instrText>
            </w:r>
            <w:r w:rsidR="00D777FF">
              <w:rPr>
                <w:noProof/>
                <w:webHidden/>
              </w:rPr>
            </w:r>
            <w:r w:rsidR="00D777FF">
              <w:rPr>
                <w:noProof/>
                <w:webHidden/>
              </w:rPr>
              <w:fldChar w:fldCharType="separate"/>
            </w:r>
            <w:r w:rsidR="00D777FF">
              <w:rPr>
                <w:noProof/>
                <w:webHidden/>
              </w:rPr>
              <w:t>10</w:t>
            </w:r>
            <w:r w:rsidR="00D777FF">
              <w:rPr>
                <w:noProof/>
                <w:webHidden/>
              </w:rPr>
              <w:fldChar w:fldCharType="end"/>
            </w:r>
          </w:hyperlink>
        </w:p>
        <w:p w14:paraId="23841688" w14:textId="029CA089" w:rsidR="00D777FF" w:rsidRDefault="0099632D">
          <w:pPr>
            <w:pStyle w:val="TOC3"/>
            <w:rPr>
              <w:rFonts w:asciiTheme="minorHAnsi" w:eastAsiaTheme="minorEastAsia" w:hAnsiTheme="minorHAnsi" w:cstheme="minorBidi"/>
              <w:b w:val="0"/>
              <w:noProof/>
              <w:color w:val="auto"/>
              <w:kern w:val="2"/>
              <w:szCs w:val="22"/>
              <w:lang w:eastAsia="en-AU"/>
              <w14:ligatures w14:val="standardContextual"/>
            </w:rPr>
          </w:pPr>
          <w:hyperlink w:anchor="_Toc160629020" w:history="1">
            <w:r w:rsidR="00D777FF" w:rsidRPr="00597344">
              <w:rPr>
                <w:rStyle w:val="Hyperlink"/>
                <w:noProof/>
              </w:rPr>
              <w:t>Foreign regulatory status</w:t>
            </w:r>
            <w:r w:rsidR="00D777FF">
              <w:rPr>
                <w:noProof/>
                <w:webHidden/>
              </w:rPr>
              <w:tab/>
            </w:r>
            <w:r w:rsidR="00D777FF">
              <w:rPr>
                <w:noProof/>
                <w:webHidden/>
              </w:rPr>
              <w:fldChar w:fldCharType="begin"/>
            </w:r>
            <w:r w:rsidR="00D777FF">
              <w:rPr>
                <w:noProof/>
                <w:webHidden/>
              </w:rPr>
              <w:instrText xml:space="preserve"> PAGEREF _Toc160629020 \h </w:instrText>
            </w:r>
            <w:r w:rsidR="00D777FF">
              <w:rPr>
                <w:noProof/>
                <w:webHidden/>
              </w:rPr>
            </w:r>
            <w:r w:rsidR="00D777FF">
              <w:rPr>
                <w:noProof/>
                <w:webHidden/>
              </w:rPr>
              <w:fldChar w:fldCharType="separate"/>
            </w:r>
            <w:r w:rsidR="00D777FF">
              <w:rPr>
                <w:noProof/>
                <w:webHidden/>
              </w:rPr>
              <w:t>10</w:t>
            </w:r>
            <w:r w:rsidR="00D777FF">
              <w:rPr>
                <w:noProof/>
                <w:webHidden/>
              </w:rPr>
              <w:fldChar w:fldCharType="end"/>
            </w:r>
          </w:hyperlink>
        </w:p>
        <w:p w14:paraId="1D613354" w14:textId="21A13B09" w:rsidR="00D777FF" w:rsidRDefault="0099632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629021" w:history="1">
            <w:r w:rsidR="00D777FF" w:rsidRPr="00597344">
              <w:rPr>
                <w:rStyle w:val="Hyperlink"/>
                <w:noProof/>
              </w:rPr>
              <w:t>Registration timeline</w:t>
            </w:r>
            <w:r w:rsidR="00D777FF">
              <w:rPr>
                <w:noProof/>
                <w:webHidden/>
              </w:rPr>
              <w:tab/>
            </w:r>
            <w:r w:rsidR="00D777FF">
              <w:rPr>
                <w:noProof/>
                <w:webHidden/>
              </w:rPr>
              <w:fldChar w:fldCharType="begin"/>
            </w:r>
            <w:r w:rsidR="00D777FF">
              <w:rPr>
                <w:noProof/>
                <w:webHidden/>
              </w:rPr>
              <w:instrText xml:space="preserve"> PAGEREF _Toc160629021 \h </w:instrText>
            </w:r>
            <w:r w:rsidR="00D777FF">
              <w:rPr>
                <w:noProof/>
                <w:webHidden/>
              </w:rPr>
            </w:r>
            <w:r w:rsidR="00D777FF">
              <w:rPr>
                <w:noProof/>
                <w:webHidden/>
              </w:rPr>
              <w:fldChar w:fldCharType="separate"/>
            </w:r>
            <w:r w:rsidR="00D777FF">
              <w:rPr>
                <w:noProof/>
                <w:webHidden/>
              </w:rPr>
              <w:t>11</w:t>
            </w:r>
            <w:r w:rsidR="00D777FF">
              <w:rPr>
                <w:noProof/>
                <w:webHidden/>
              </w:rPr>
              <w:fldChar w:fldCharType="end"/>
            </w:r>
          </w:hyperlink>
        </w:p>
        <w:p w14:paraId="34FAE1C7" w14:textId="3C9FBD78" w:rsidR="00D777FF" w:rsidRDefault="0099632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629022" w:history="1">
            <w:r w:rsidR="00D777FF" w:rsidRPr="00597344">
              <w:rPr>
                <w:rStyle w:val="Hyperlink"/>
                <w:noProof/>
              </w:rPr>
              <w:t>Submission overview and risk/benefit assessment</w:t>
            </w:r>
            <w:r w:rsidR="00D777FF">
              <w:rPr>
                <w:noProof/>
                <w:webHidden/>
              </w:rPr>
              <w:tab/>
            </w:r>
            <w:r w:rsidR="00D777FF">
              <w:rPr>
                <w:noProof/>
                <w:webHidden/>
              </w:rPr>
              <w:fldChar w:fldCharType="begin"/>
            </w:r>
            <w:r w:rsidR="00D777FF">
              <w:rPr>
                <w:noProof/>
                <w:webHidden/>
              </w:rPr>
              <w:instrText xml:space="preserve"> PAGEREF _Toc160629022 \h </w:instrText>
            </w:r>
            <w:r w:rsidR="00D777FF">
              <w:rPr>
                <w:noProof/>
                <w:webHidden/>
              </w:rPr>
            </w:r>
            <w:r w:rsidR="00D777FF">
              <w:rPr>
                <w:noProof/>
                <w:webHidden/>
              </w:rPr>
              <w:fldChar w:fldCharType="separate"/>
            </w:r>
            <w:r w:rsidR="00D777FF">
              <w:rPr>
                <w:noProof/>
                <w:webHidden/>
              </w:rPr>
              <w:t>12</w:t>
            </w:r>
            <w:r w:rsidR="00D777FF">
              <w:rPr>
                <w:noProof/>
                <w:webHidden/>
              </w:rPr>
              <w:fldChar w:fldCharType="end"/>
            </w:r>
          </w:hyperlink>
        </w:p>
        <w:p w14:paraId="17B454FB" w14:textId="2B0C60FE" w:rsidR="00D777FF" w:rsidRDefault="0099632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629023" w:history="1">
            <w:r w:rsidR="00D777FF" w:rsidRPr="00597344">
              <w:rPr>
                <w:rStyle w:val="Hyperlink"/>
                <w:noProof/>
              </w:rPr>
              <w:t>Quality</w:t>
            </w:r>
            <w:r w:rsidR="00D777FF">
              <w:rPr>
                <w:noProof/>
                <w:webHidden/>
              </w:rPr>
              <w:tab/>
            </w:r>
            <w:r w:rsidR="00D777FF">
              <w:rPr>
                <w:noProof/>
                <w:webHidden/>
              </w:rPr>
              <w:fldChar w:fldCharType="begin"/>
            </w:r>
            <w:r w:rsidR="00D777FF">
              <w:rPr>
                <w:noProof/>
                <w:webHidden/>
              </w:rPr>
              <w:instrText xml:space="preserve"> PAGEREF _Toc160629023 \h </w:instrText>
            </w:r>
            <w:r w:rsidR="00D777FF">
              <w:rPr>
                <w:noProof/>
                <w:webHidden/>
              </w:rPr>
            </w:r>
            <w:r w:rsidR="00D777FF">
              <w:rPr>
                <w:noProof/>
                <w:webHidden/>
              </w:rPr>
              <w:fldChar w:fldCharType="separate"/>
            </w:r>
            <w:r w:rsidR="00D777FF">
              <w:rPr>
                <w:noProof/>
                <w:webHidden/>
              </w:rPr>
              <w:t>12</w:t>
            </w:r>
            <w:r w:rsidR="00D777FF">
              <w:rPr>
                <w:noProof/>
                <w:webHidden/>
              </w:rPr>
              <w:fldChar w:fldCharType="end"/>
            </w:r>
          </w:hyperlink>
        </w:p>
        <w:p w14:paraId="7C2CD1CF" w14:textId="79EE5D6C" w:rsidR="00D777FF" w:rsidRDefault="0099632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629024" w:history="1">
            <w:r w:rsidR="00D777FF" w:rsidRPr="00597344">
              <w:rPr>
                <w:rStyle w:val="Hyperlink"/>
                <w:noProof/>
              </w:rPr>
              <w:t>Nonclinical</w:t>
            </w:r>
            <w:r w:rsidR="00D777FF">
              <w:rPr>
                <w:noProof/>
                <w:webHidden/>
              </w:rPr>
              <w:tab/>
            </w:r>
            <w:r w:rsidR="00D777FF">
              <w:rPr>
                <w:noProof/>
                <w:webHidden/>
              </w:rPr>
              <w:fldChar w:fldCharType="begin"/>
            </w:r>
            <w:r w:rsidR="00D777FF">
              <w:rPr>
                <w:noProof/>
                <w:webHidden/>
              </w:rPr>
              <w:instrText xml:space="preserve"> PAGEREF _Toc160629024 \h </w:instrText>
            </w:r>
            <w:r w:rsidR="00D777FF">
              <w:rPr>
                <w:noProof/>
                <w:webHidden/>
              </w:rPr>
            </w:r>
            <w:r w:rsidR="00D777FF">
              <w:rPr>
                <w:noProof/>
                <w:webHidden/>
              </w:rPr>
              <w:fldChar w:fldCharType="separate"/>
            </w:r>
            <w:r w:rsidR="00D777FF">
              <w:rPr>
                <w:noProof/>
                <w:webHidden/>
              </w:rPr>
              <w:t>13</w:t>
            </w:r>
            <w:r w:rsidR="00D777FF">
              <w:rPr>
                <w:noProof/>
                <w:webHidden/>
              </w:rPr>
              <w:fldChar w:fldCharType="end"/>
            </w:r>
          </w:hyperlink>
        </w:p>
        <w:p w14:paraId="5E79EDFB" w14:textId="115AC1A0" w:rsidR="00D777FF" w:rsidRDefault="0099632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629025" w:history="1">
            <w:r w:rsidR="00D777FF" w:rsidRPr="00597344">
              <w:rPr>
                <w:rStyle w:val="Hyperlink"/>
                <w:noProof/>
              </w:rPr>
              <w:t>Clinical</w:t>
            </w:r>
            <w:r w:rsidR="00D777FF">
              <w:rPr>
                <w:noProof/>
                <w:webHidden/>
              </w:rPr>
              <w:tab/>
            </w:r>
            <w:r w:rsidR="00D777FF">
              <w:rPr>
                <w:noProof/>
                <w:webHidden/>
              </w:rPr>
              <w:fldChar w:fldCharType="begin"/>
            </w:r>
            <w:r w:rsidR="00D777FF">
              <w:rPr>
                <w:noProof/>
                <w:webHidden/>
              </w:rPr>
              <w:instrText xml:space="preserve"> PAGEREF _Toc160629025 \h </w:instrText>
            </w:r>
            <w:r w:rsidR="00D777FF">
              <w:rPr>
                <w:noProof/>
                <w:webHidden/>
              </w:rPr>
            </w:r>
            <w:r w:rsidR="00D777FF">
              <w:rPr>
                <w:noProof/>
                <w:webHidden/>
              </w:rPr>
              <w:fldChar w:fldCharType="separate"/>
            </w:r>
            <w:r w:rsidR="00D777FF">
              <w:rPr>
                <w:noProof/>
                <w:webHidden/>
              </w:rPr>
              <w:t>15</w:t>
            </w:r>
            <w:r w:rsidR="00D777FF">
              <w:rPr>
                <w:noProof/>
                <w:webHidden/>
              </w:rPr>
              <w:fldChar w:fldCharType="end"/>
            </w:r>
          </w:hyperlink>
        </w:p>
        <w:p w14:paraId="06AB92B9" w14:textId="6AFE5D70" w:rsidR="00D777FF" w:rsidRDefault="0099632D">
          <w:pPr>
            <w:pStyle w:val="TOC3"/>
            <w:rPr>
              <w:rFonts w:asciiTheme="minorHAnsi" w:eastAsiaTheme="minorEastAsia" w:hAnsiTheme="minorHAnsi" w:cstheme="minorBidi"/>
              <w:b w:val="0"/>
              <w:noProof/>
              <w:color w:val="auto"/>
              <w:kern w:val="2"/>
              <w:szCs w:val="22"/>
              <w:lang w:eastAsia="en-AU"/>
              <w14:ligatures w14:val="standardContextual"/>
            </w:rPr>
          </w:pPr>
          <w:hyperlink w:anchor="_Toc160629026" w:history="1">
            <w:r w:rsidR="00D777FF" w:rsidRPr="00597344">
              <w:rPr>
                <w:rStyle w:val="Hyperlink"/>
                <w:noProof/>
              </w:rPr>
              <w:t>Summary of clinical studies</w:t>
            </w:r>
            <w:r w:rsidR="00D777FF">
              <w:rPr>
                <w:noProof/>
                <w:webHidden/>
              </w:rPr>
              <w:tab/>
            </w:r>
            <w:r w:rsidR="00D777FF">
              <w:rPr>
                <w:noProof/>
                <w:webHidden/>
              </w:rPr>
              <w:fldChar w:fldCharType="begin"/>
            </w:r>
            <w:r w:rsidR="00D777FF">
              <w:rPr>
                <w:noProof/>
                <w:webHidden/>
              </w:rPr>
              <w:instrText xml:space="preserve"> PAGEREF _Toc160629026 \h </w:instrText>
            </w:r>
            <w:r w:rsidR="00D777FF">
              <w:rPr>
                <w:noProof/>
                <w:webHidden/>
              </w:rPr>
            </w:r>
            <w:r w:rsidR="00D777FF">
              <w:rPr>
                <w:noProof/>
                <w:webHidden/>
              </w:rPr>
              <w:fldChar w:fldCharType="separate"/>
            </w:r>
            <w:r w:rsidR="00D777FF">
              <w:rPr>
                <w:noProof/>
                <w:webHidden/>
              </w:rPr>
              <w:t>15</w:t>
            </w:r>
            <w:r w:rsidR="00D777FF">
              <w:rPr>
                <w:noProof/>
                <w:webHidden/>
              </w:rPr>
              <w:fldChar w:fldCharType="end"/>
            </w:r>
          </w:hyperlink>
        </w:p>
        <w:p w14:paraId="7F288331" w14:textId="6E3611DD" w:rsidR="00D777FF" w:rsidRDefault="0099632D">
          <w:pPr>
            <w:pStyle w:val="TOC3"/>
            <w:rPr>
              <w:rFonts w:asciiTheme="minorHAnsi" w:eastAsiaTheme="minorEastAsia" w:hAnsiTheme="minorHAnsi" w:cstheme="minorBidi"/>
              <w:b w:val="0"/>
              <w:noProof/>
              <w:color w:val="auto"/>
              <w:kern w:val="2"/>
              <w:szCs w:val="22"/>
              <w:lang w:eastAsia="en-AU"/>
              <w14:ligatures w14:val="standardContextual"/>
            </w:rPr>
          </w:pPr>
          <w:hyperlink w:anchor="_Toc160629027" w:history="1">
            <w:r w:rsidR="00D777FF" w:rsidRPr="00597344">
              <w:rPr>
                <w:rStyle w:val="Hyperlink"/>
                <w:noProof/>
              </w:rPr>
              <w:t>Pharmacology</w:t>
            </w:r>
            <w:r w:rsidR="00D777FF">
              <w:rPr>
                <w:noProof/>
                <w:webHidden/>
              </w:rPr>
              <w:tab/>
            </w:r>
            <w:r w:rsidR="00D777FF">
              <w:rPr>
                <w:noProof/>
                <w:webHidden/>
              </w:rPr>
              <w:fldChar w:fldCharType="begin"/>
            </w:r>
            <w:r w:rsidR="00D777FF">
              <w:rPr>
                <w:noProof/>
                <w:webHidden/>
              </w:rPr>
              <w:instrText xml:space="preserve"> PAGEREF _Toc160629027 \h </w:instrText>
            </w:r>
            <w:r w:rsidR="00D777FF">
              <w:rPr>
                <w:noProof/>
                <w:webHidden/>
              </w:rPr>
            </w:r>
            <w:r w:rsidR="00D777FF">
              <w:rPr>
                <w:noProof/>
                <w:webHidden/>
              </w:rPr>
              <w:fldChar w:fldCharType="separate"/>
            </w:r>
            <w:r w:rsidR="00D777FF">
              <w:rPr>
                <w:noProof/>
                <w:webHidden/>
              </w:rPr>
              <w:t>15</w:t>
            </w:r>
            <w:r w:rsidR="00D777FF">
              <w:rPr>
                <w:noProof/>
                <w:webHidden/>
              </w:rPr>
              <w:fldChar w:fldCharType="end"/>
            </w:r>
          </w:hyperlink>
        </w:p>
        <w:p w14:paraId="503DF3A6" w14:textId="3DE5D809" w:rsidR="00D777FF" w:rsidRDefault="0099632D">
          <w:pPr>
            <w:pStyle w:val="TOC3"/>
            <w:rPr>
              <w:rFonts w:asciiTheme="minorHAnsi" w:eastAsiaTheme="minorEastAsia" w:hAnsiTheme="minorHAnsi" w:cstheme="minorBidi"/>
              <w:b w:val="0"/>
              <w:noProof/>
              <w:color w:val="auto"/>
              <w:kern w:val="2"/>
              <w:szCs w:val="22"/>
              <w:lang w:eastAsia="en-AU"/>
              <w14:ligatures w14:val="standardContextual"/>
            </w:rPr>
          </w:pPr>
          <w:hyperlink w:anchor="_Toc160629028" w:history="1">
            <w:r w:rsidR="00D777FF" w:rsidRPr="00597344">
              <w:rPr>
                <w:rStyle w:val="Hyperlink"/>
                <w:noProof/>
              </w:rPr>
              <w:t>Efficacy</w:t>
            </w:r>
            <w:r w:rsidR="00D777FF">
              <w:rPr>
                <w:noProof/>
                <w:webHidden/>
              </w:rPr>
              <w:tab/>
            </w:r>
            <w:r w:rsidR="00D777FF">
              <w:rPr>
                <w:noProof/>
                <w:webHidden/>
              </w:rPr>
              <w:fldChar w:fldCharType="begin"/>
            </w:r>
            <w:r w:rsidR="00D777FF">
              <w:rPr>
                <w:noProof/>
                <w:webHidden/>
              </w:rPr>
              <w:instrText xml:space="preserve"> PAGEREF _Toc160629028 \h </w:instrText>
            </w:r>
            <w:r w:rsidR="00D777FF">
              <w:rPr>
                <w:noProof/>
                <w:webHidden/>
              </w:rPr>
            </w:r>
            <w:r w:rsidR="00D777FF">
              <w:rPr>
                <w:noProof/>
                <w:webHidden/>
              </w:rPr>
              <w:fldChar w:fldCharType="separate"/>
            </w:r>
            <w:r w:rsidR="00D777FF">
              <w:rPr>
                <w:noProof/>
                <w:webHidden/>
              </w:rPr>
              <w:t>21</w:t>
            </w:r>
            <w:r w:rsidR="00D777FF">
              <w:rPr>
                <w:noProof/>
                <w:webHidden/>
              </w:rPr>
              <w:fldChar w:fldCharType="end"/>
            </w:r>
          </w:hyperlink>
        </w:p>
        <w:p w14:paraId="73B90317" w14:textId="5C405E9D" w:rsidR="00D777FF" w:rsidRDefault="0099632D">
          <w:pPr>
            <w:pStyle w:val="TOC3"/>
            <w:rPr>
              <w:rFonts w:asciiTheme="minorHAnsi" w:eastAsiaTheme="minorEastAsia" w:hAnsiTheme="minorHAnsi" w:cstheme="minorBidi"/>
              <w:b w:val="0"/>
              <w:noProof/>
              <w:color w:val="auto"/>
              <w:kern w:val="2"/>
              <w:szCs w:val="22"/>
              <w:lang w:eastAsia="en-AU"/>
              <w14:ligatures w14:val="standardContextual"/>
            </w:rPr>
          </w:pPr>
          <w:hyperlink w:anchor="_Toc160629029" w:history="1">
            <w:r w:rsidR="00D777FF" w:rsidRPr="00597344">
              <w:rPr>
                <w:rStyle w:val="Hyperlink"/>
                <w:noProof/>
              </w:rPr>
              <w:t>Safety</w:t>
            </w:r>
            <w:r w:rsidR="00D777FF">
              <w:rPr>
                <w:noProof/>
                <w:webHidden/>
              </w:rPr>
              <w:tab/>
            </w:r>
            <w:r w:rsidR="00D777FF">
              <w:rPr>
                <w:noProof/>
                <w:webHidden/>
              </w:rPr>
              <w:fldChar w:fldCharType="begin"/>
            </w:r>
            <w:r w:rsidR="00D777FF">
              <w:rPr>
                <w:noProof/>
                <w:webHidden/>
              </w:rPr>
              <w:instrText xml:space="preserve"> PAGEREF _Toc160629029 \h </w:instrText>
            </w:r>
            <w:r w:rsidR="00D777FF">
              <w:rPr>
                <w:noProof/>
                <w:webHidden/>
              </w:rPr>
            </w:r>
            <w:r w:rsidR="00D777FF">
              <w:rPr>
                <w:noProof/>
                <w:webHidden/>
              </w:rPr>
              <w:fldChar w:fldCharType="separate"/>
            </w:r>
            <w:r w:rsidR="00D777FF">
              <w:rPr>
                <w:noProof/>
                <w:webHidden/>
              </w:rPr>
              <w:t>30</w:t>
            </w:r>
            <w:r w:rsidR="00D777FF">
              <w:rPr>
                <w:noProof/>
                <w:webHidden/>
              </w:rPr>
              <w:fldChar w:fldCharType="end"/>
            </w:r>
          </w:hyperlink>
        </w:p>
        <w:p w14:paraId="1BB876C1" w14:textId="67985759" w:rsidR="00D777FF" w:rsidRDefault="0099632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629030" w:history="1">
            <w:r w:rsidR="00D777FF" w:rsidRPr="00597344">
              <w:rPr>
                <w:rStyle w:val="Hyperlink"/>
                <w:noProof/>
                <w:lang w:eastAsia="en-AU"/>
              </w:rPr>
              <w:t>Risk management plan</w:t>
            </w:r>
            <w:r w:rsidR="00D777FF">
              <w:rPr>
                <w:noProof/>
                <w:webHidden/>
              </w:rPr>
              <w:tab/>
            </w:r>
            <w:r w:rsidR="00D777FF">
              <w:rPr>
                <w:noProof/>
                <w:webHidden/>
              </w:rPr>
              <w:fldChar w:fldCharType="begin"/>
            </w:r>
            <w:r w:rsidR="00D777FF">
              <w:rPr>
                <w:noProof/>
                <w:webHidden/>
              </w:rPr>
              <w:instrText xml:space="preserve"> PAGEREF _Toc160629030 \h </w:instrText>
            </w:r>
            <w:r w:rsidR="00D777FF">
              <w:rPr>
                <w:noProof/>
                <w:webHidden/>
              </w:rPr>
            </w:r>
            <w:r w:rsidR="00D777FF">
              <w:rPr>
                <w:noProof/>
                <w:webHidden/>
              </w:rPr>
              <w:fldChar w:fldCharType="separate"/>
            </w:r>
            <w:r w:rsidR="00D777FF">
              <w:rPr>
                <w:noProof/>
                <w:webHidden/>
              </w:rPr>
              <w:t>37</w:t>
            </w:r>
            <w:r w:rsidR="00D777FF">
              <w:rPr>
                <w:noProof/>
                <w:webHidden/>
              </w:rPr>
              <w:fldChar w:fldCharType="end"/>
            </w:r>
          </w:hyperlink>
        </w:p>
        <w:p w14:paraId="0EB08516" w14:textId="05D9AA41" w:rsidR="00D777FF" w:rsidRDefault="0099632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629031" w:history="1">
            <w:r w:rsidR="00D777FF" w:rsidRPr="00597344">
              <w:rPr>
                <w:rStyle w:val="Hyperlink"/>
                <w:noProof/>
              </w:rPr>
              <w:t>Risk-benefit analysis</w:t>
            </w:r>
            <w:r w:rsidR="00D777FF">
              <w:rPr>
                <w:noProof/>
                <w:webHidden/>
              </w:rPr>
              <w:tab/>
            </w:r>
            <w:r w:rsidR="00D777FF">
              <w:rPr>
                <w:noProof/>
                <w:webHidden/>
              </w:rPr>
              <w:fldChar w:fldCharType="begin"/>
            </w:r>
            <w:r w:rsidR="00D777FF">
              <w:rPr>
                <w:noProof/>
                <w:webHidden/>
              </w:rPr>
              <w:instrText xml:space="preserve"> PAGEREF _Toc160629031 \h </w:instrText>
            </w:r>
            <w:r w:rsidR="00D777FF">
              <w:rPr>
                <w:noProof/>
                <w:webHidden/>
              </w:rPr>
            </w:r>
            <w:r w:rsidR="00D777FF">
              <w:rPr>
                <w:noProof/>
                <w:webHidden/>
              </w:rPr>
              <w:fldChar w:fldCharType="separate"/>
            </w:r>
            <w:r w:rsidR="00D777FF">
              <w:rPr>
                <w:noProof/>
                <w:webHidden/>
              </w:rPr>
              <w:t>38</w:t>
            </w:r>
            <w:r w:rsidR="00D777FF">
              <w:rPr>
                <w:noProof/>
                <w:webHidden/>
              </w:rPr>
              <w:fldChar w:fldCharType="end"/>
            </w:r>
          </w:hyperlink>
        </w:p>
        <w:p w14:paraId="24EE4E99" w14:textId="72D4F2F0" w:rsidR="00D777FF" w:rsidRDefault="0099632D">
          <w:pPr>
            <w:pStyle w:val="TOC3"/>
            <w:rPr>
              <w:rFonts w:asciiTheme="minorHAnsi" w:eastAsiaTheme="minorEastAsia" w:hAnsiTheme="minorHAnsi" w:cstheme="minorBidi"/>
              <w:b w:val="0"/>
              <w:noProof/>
              <w:color w:val="auto"/>
              <w:kern w:val="2"/>
              <w:szCs w:val="22"/>
              <w:lang w:eastAsia="en-AU"/>
              <w14:ligatures w14:val="standardContextual"/>
            </w:rPr>
          </w:pPr>
          <w:hyperlink w:anchor="_Toc160629032" w:history="1">
            <w:r w:rsidR="00D777FF" w:rsidRPr="00597344">
              <w:rPr>
                <w:rStyle w:val="Hyperlink"/>
                <w:noProof/>
              </w:rPr>
              <w:t>Delegate’s considerations</w:t>
            </w:r>
            <w:r w:rsidR="00D777FF">
              <w:rPr>
                <w:noProof/>
                <w:webHidden/>
              </w:rPr>
              <w:tab/>
            </w:r>
            <w:r w:rsidR="00D777FF">
              <w:rPr>
                <w:noProof/>
                <w:webHidden/>
              </w:rPr>
              <w:fldChar w:fldCharType="begin"/>
            </w:r>
            <w:r w:rsidR="00D777FF">
              <w:rPr>
                <w:noProof/>
                <w:webHidden/>
              </w:rPr>
              <w:instrText xml:space="preserve"> PAGEREF _Toc160629032 \h </w:instrText>
            </w:r>
            <w:r w:rsidR="00D777FF">
              <w:rPr>
                <w:noProof/>
                <w:webHidden/>
              </w:rPr>
            </w:r>
            <w:r w:rsidR="00D777FF">
              <w:rPr>
                <w:noProof/>
                <w:webHidden/>
              </w:rPr>
              <w:fldChar w:fldCharType="separate"/>
            </w:r>
            <w:r w:rsidR="00D777FF">
              <w:rPr>
                <w:noProof/>
                <w:webHidden/>
              </w:rPr>
              <w:t>38</w:t>
            </w:r>
            <w:r w:rsidR="00D777FF">
              <w:rPr>
                <w:noProof/>
                <w:webHidden/>
              </w:rPr>
              <w:fldChar w:fldCharType="end"/>
            </w:r>
          </w:hyperlink>
        </w:p>
        <w:p w14:paraId="654A007F" w14:textId="1E1C315E" w:rsidR="00D777FF" w:rsidRDefault="0099632D">
          <w:pPr>
            <w:pStyle w:val="TOC3"/>
            <w:rPr>
              <w:rFonts w:asciiTheme="minorHAnsi" w:eastAsiaTheme="minorEastAsia" w:hAnsiTheme="minorHAnsi" w:cstheme="minorBidi"/>
              <w:b w:val="0"/>
              <w:noProof/>
              <w:color w:val="auto"/>
              <w:kern w:val="2"/>
              <w:szCs w:val="22"/>
              <w:lang w:eastAsia="en-AU"/>
              <w14:ligatures w14:val="standardContextual"/>
            </w:rPr>
          </w:pPr>
          <w:hyperlink w:anchor="_Toc160629033" w:history="1">
            <w:r w:rsidR="00D777FF" w:rsidRPr="00597344">
              <w:rPr>
                <w:rStyle w:val="Hyperlink"/>
                <w:noProof/>
              </w:rPr>
              <w:t>Proposed action</w:t>
            </w:r>
            <w:r w:rsidR="00D777FF">
              <w:rPr>
                <w:noProof/>
                <w:webHidden/>
              </w:rPr>
              <w:tab/>
            </w:r>
            <w:r w:rsidR="00D777FF">
              <w:rPr>
                <w:noProof/>
                <w:webHidden/>
              </w:rPr>
              <w:fldChar w:fldCharType="begin"/>
            </w:r>
            <w:r w:rsidR="00D777FF">
              <w:rPr>
                <w:noProof/>
                <w:webHidden/>
              </w:rPr>
              <w:instrText xml:space="preserve"> PAGEREF _Toc160629033 \h </w:instrText>
            </w:r>
            <w:r w:rsidR="00D777FF">
              <w:rPr>
                <w:noProof/>
                <w:webHidden/>
              </w:rPr>
            </w:r>
            <w:r w:rsidR="00D777FF">
              <w:rPr>
                <w:noProof/>
                <w:webHidden/>
              </w:rPr>
              <w:fldChar w:fldCharType="separate"/>
            </w:r>
            <w:r w:rsidR="00D777FF">
              <w:rPr>
                <w:noProof/>
                <w:webHidden/>
              </w:rPr>
              <w:t>40</w:t>
            </w:r>
            <w:r w:rsidR="00D777FF">
              <w:rPr>
                <w:noProof/>
                <w:webHidden/>
              </w:rPr>
              <w:fldChar w:fldCharType="end"/>
            </w:r>
          </w:hyperlink>
        </w:p>
        <w:p w14:paraId="6301FBD3" w14:textId="064F3076" w:rsidR="00D777FF" w:rsidRDefault="0099632D">
          <w:pPr>
            <w:pStyle w:val="TOC3"/>
            <w:rPr>
              <w:rFonts w:asciiTheme="minorHAnsi" w:eastAsiaTheme="minorEastAsia" w:hAnsiTheme="minorHAnsi" w:cstheme="minorBidi"/>
              <w:b w:val="0"/>
              <w:noProof/>
              <w:color w:val="auto"/>
              <w:kern w:val="2"/>
              <w:szCs w:val="22"/>
              <w:lang w:eastAsia="en-AU"/>
              <w14:ligatures w14:val="standardContextual"/>
            </w:rPr>
          </w:pPr>
          <w:hyperlink w:anchor="_Toc160629034" w:history="1">
            <w:r w:rsidR="00D777FF" w:rsidRPr="00597344">
              <w:rPr>
                <w:rStyle w:val="Hyperlink"/>
                <w:noProof/>
              </w:rPr>
              <w:t>Advisory Committee considerations</w:t>
            </w:r>
            <w:r w:rsidR="00D777FF">
              <w:rPr>
                <w:noProof/>
                <w:webHidden/>
              </w:rPr>
              <w:tab/>
            </w:r>
            <w:r w:rsidR="00D777FF">
              <w:rPr>
                <w:noProof/>
                <w:webHidden/>
              </w:rPr>
              <w:fldChar w:fldCharType="begin"/>
            </w:r>
            <w:r w:rsidR="00D777FF">
              <w:rPr>
                <w:noProof/>
                <w:webHidden/>
              </w:rPr>
              <w:instrText xml:space="preserve"> PAGEREF _Toc160629034 \h </w:instrText>
            </w:r>
            <w:r w:rsidR="00D777FF">
              <w:rPr>
                <w:noProof/>
                <w:webHidden/>
              </w:rPr>
            </w:r>
            <w:r w:rsidR="00D777FF">
              <w:rPr>
                <w:noProof/>
                <w:webHidden/>
              </w:rPr>
              <w:fldChar w:fldCharType="separate"/>
            </w:r>
            <w:r w:rsidR="00D777FF">
              <w:rPr>
                <w:noProof/>
                <w:webHidden/>
              </w:rPr>
              <w:t>40</w:t>
            </w:r>
            <w:r w:rsidR="00D777FF">
              <w:rPr>
                <w:noProof/>
                <w:webHidden/>
              </w:rPr>
              <w:fldChar w:fldCharType="end"/>
            </w:r>
          </w:hyperlink>
        </w:p>
        <w:p w14:paraId="5E26B8E0" w14:textId="2000DA7A" w:rsidR="00D777FF" w:rsidRDefault="0099632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629035" w:history="1">
            <w:r w:rsidR="00D777FF" w:rsidRPr="00597344">
              <w:rPr>
                <w:rStyle w:val="Hyperlink"/>
                <w:noProof/>
              </w:rPr>
              <w:t>Outcome</w:t>
            </w:r>
            <w:r w:rsidR="00D777FF">
              <w:rPr>
                <w:noProof/>
                <w:webHidden/>
              </w:rPr>
              <w:tab/>
            </w:r>
            <w:r w:rsidR="00D777FF">
              <w:rPr>
                <w:noProof/>
                <w:webHidden/>
              </w:rPr>
              <w:fldChar w:fldCharType="begin"/>
            </w:r>
            <w:r w:rsidR="00D777FF">
              <w:rPr>
                <w:noProof/>
                <w:webHidden/>
              </w:rPr>
              <w:instrText xml:space="preserve"> PAGEREF _Toc160629035 \h </w:instrText>
            </w:r>
            <w:r w:rsidR="00D777FF">
              <w:rPr>
                <w:noProof/>
                <w:webHidden/>
              </w:rPr>
            </w:r>
            <w:r w:rsidR="00D777FF">
              <w:rPr>
                <w:noProof/>
                <w:webHidden/>
              </w:rPr>
              <w:fldChar w:fldCharType="separate"/>
            </w:r>
            <w:r w:rsidR="00D777FF">
              <w:rPr>
                <w:noProof/>
                <w:webHidden/>
              </w:rPr>
              <w:t>41</w:t>
            </w:r>
            <w:r w:rsidR="00D777FF">
              <w:rPr>
                <w:noProof/>
                <w:webHidden/>
              </w:rPr>
              <w:fldChar w:fldCharType="end"/>
            </w:r>
          </w:hyperlink>
        </w:p>
        <w:p w14:paraId="0E8F4072" w14:textId="1D2B2182" w:rsidR="00D777FF" w:rsidRDefault="0099632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629036" w:history="1">
            <w:r w:rsidR="00D777FF" w:rsidRPr="00597344">
              <w:rPr>
                <w:rStyle w:val="Hyperlink"/>
                <w:noProof/>
              </w:rPr>
              <w:t>Specific conditions of registration applying to these goods</w:t>
            </w:r>
            <w:r w:rsidR="00D777FF">
              <w:rPr>
                <w:noProof/>
                <w:webHidden/>
              </w:rPr>
              <w:tab/>
            </w:r>
            <w:r w:rsidR="00D777FF">
              <w:rPr>
                <w:noProof/>
                <w:webHidden/>
              </w:rPr>
              <w:fldChar w:fldCharType="begin"/>
            </w:r>
            <w:r w:rsidR="00D777FF">
              <w:rPr>
                <w:noProof/>
                <w:webHidden/>
              </w:rPr>
              <w:instrText xml:space="preserve"> PAGEREF _Toc160629036 \h </w:instrText>
            </w:r>
            <w:r w:rsidR="00D777FF">
              <w:rPr>
                <w:noProof/>
                <w:webHidden/>
              </w:rPr>
            </w:r>
            <w:r w:rsidR="00D777FF">
              <w:rPr>
                <w:noProof/>
                <w:webHidden/>
              </w:rPr>
              <w:fldChar w:fldCharType="separate"/>
            </w:r>
            <w:r w:rsidR="00D777FF">
              <w:rPr>
                <w:noProof/>
                <w:webHidden/>
              </w:rPr>
              <w:t>41</w:t>
            </w:r>
            <w:r w:rsidR="00D777FF">
              <w:rPr>
                <w:noProof/>
                <w:webHidden/>
              </w:rPr>
              <w:fldChar w:fldCharType="end"/>
            </w:r>
          </w:hyperlink>
        </w:p>
        <w:p w14:paraId="28A80B70" w14:textId="377FC134" w:rsidR="00D777FF" w:rsidRDefault="0099632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629037" w:history="1">
            <w:r w:rsidR="00D777FF" w:rsidRPr="00597344">
              <w:rPr>
                <w:rStyle w:val="Hyperlink"/>
                <w:noProof/>
              </w:rPr>
              <w:t>Attachment 1. Product Information</w:t>
            </w:r>
            <w:r w:rsidR="00D777FF">
              <w:rPr>
                <w:noProof/>
                <w:webHidden/>
              </w:rPr>
              <w:tab/>
            </w:r>
            <w:r w:rsidR="00D777FF">
              <w:rPr>
                <w:noProof/>
                <w:webHidden/>
              </w:rPr>
              <w:fldChar w:fldCharType="begin"/>
            </w:r>
            <w:r w:rsidR="00D777FF">
              <w:rPr>
                <w:noProof/>
                <w:webHidden/>
              </w:rPr>
              <w:instrText xml:space="preserve"> PAGEREF _Toc160629037 \h </w:instrText>
            </w:r>
            <w:r w:rsidR="00D777FF">
              <w:rPr>
                <w:noProof/>
                <w:webHidden/>
              </w:rPr>
            </w:r>
            <w:r w:rsidR="00D777FF">
              <w:rPr>
                <w:noProof/>
                <w:webHidden/>
              </w:rPr>
              <w:fldChar w:fldCharType="separate"/>
            </w:r>
            <w:r w:rsidR="00D777FF">
              <w:rPr>
                <w:noProof/>
                <w:webHidden/>
              </w:rPr>
              <w:t>42</w:t>
            </w:r>
            <w:r w:rsidR="00D777FF">
              <w:rPr>
                <w:noProof/>
                <w:webHidden/>
              </w:rPr>
              <w:fldChar w:fldCharType="end"/>
            </w:r>
          </w:hyperlink>
        </w:p>
        <w:p w14:paraId="77659F2D" w14:textId="51CBA01A"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B981BCC" w:rsidR="00324B33" w:rsidRDefault="00324B33" w:rsidP="00324B33">
      <w:pPr>
        <w:pStyle w:val="Heading2"/>
      </w:pPr>
      <w:bookmarkStart w:id="3" w:name="_Toc98931917"/>
      <w:bookmarkStart w:id="4" w:name="_Toc103679287"/>
      <w:bookmarkStart w:id="5" w:name="_Toc160629010"/>
      <w:bookmarkStart w:id="6" w:name="_Toc323739589"/>
      <w:bookmarkStart w:id="7" w:name="_Toc356305216"/>
      <w:r>
        <w:lastRenderedPageBreak/>
        <w:t>List of abbreviations</w:t>
      </w:r>
      <w:bookmarkEnd w:id="3"/>
      <w:bookmarkEnd w:id="4"/>
      <w:bookmarkEnd w:id="5"/>
      <w:r w:rsidR="005605B4">
        <w:fldChar w:fldCharType="begin"/>
      </w:r>
      <w:r w:rsidR="005605B4">
        <w:instrText xml:space="preserve"> DOCVARIABLE vault_nd_e0609848-5ebd-49a1-83ed-8dea36d950b4 \* MERGEFORMAT </w:instrText>
      </w:r>
      <w:r w:rsidR="005605B4">
        <w:fldChar w:fldCharType="separate"/>
      </w:r>
      <w:r w:rsidR="005605B4">
        <w:t xml:space="preserve"> </w:t>
      </w:r>
      <w:r w:rsidR="005605B4">
        <w:fldChar w:fldCharType="end"/>
      </w:r>
    </w:p>
    <w:tbl>
      <w:tblPr>
        <w:tblStyle w:val="TableTGAblue2023"/>
        <w:tblW w:w="9430" w:type="dxa"/>
        <w:tblLook w:val="04A0" w:firstRow="1" w:lastRow="0" w:firstColumn="1" w:lastColumn="0" w:noHBand="0" w:noVBand="1"/>
      </w:tblPr>
      <w:tblGrid>
        <w:gridCol w:w="2263"/>
        <w:gridCol w:w="7167"/>
      </w:tblGrid>
      <w:tr w:rsidR="00D777FF" w:rsidRPr="003D71A1" w14:paraId="2E52BB39" w14:textId="77777777" w:rsidTr="00972B56">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5F2F45BC" w14:textId="77777777" w:rsidR="00D777FF" w:rsidRPr="007C71D5" w:rsidRDefault="00D777FF" w:rsidP="00972B56">
            <w:pPr>
              <w:rPr>
                <w:szCs w:val="22"/>
              </w:rPr>
            </w:pPr>
            <w:bookmarkStart w:id="8" w:name="_Hlk133418605"/>
            <w:r w:rsidRPr="007C71D5">
              <w:rPr>
                <w:szCs w:val="22"/>
              </w:rPr>
              <w:t>Abbreviation</w:t>
            </w:r>
          </w:p>
        </w:tc>
        <w:tc>
          <w:tcPr>
            <w:tcW w:w="7167" w:type="dxa"/>
          </w:tcPr>
          <w:p w14:paraId="33932081" w14:textId="77777777" w:rsidR="00D777FF" w:rsidRPr="007C71D5" w:rsidRDefault="00D777FF" w:rsidP="00972B56">
            <w:pPr>
              <w:cnfStyle w:val="100000000000" w:firstRow="1" w:lastRow="0" w:firstColumn="0" w:lastColumn="0" w:oddVBand="0" w:evenVBand="0" w:oddHBand="0" w:evenHBand="0" w:firstRowFirstColumn="0" w:firstRowLastColumn="0" w:lastRowFirstColumn="0" w:lastRowLastColumn="0"/>
              <w:rPr>
                <w:szCs w:val="22"/>
              </w:rPr>
            </w:pPr>
            <w:r w:rsidRPr="007C71D5">
              <w:rPr>
                <w:szCs w:val="22"/>
              </w:rPr>
              <w:t>Meaning</w:t>
            </w:r>
          </w:p>
        </w:tc>
      </w:tr>
      <w:tr w:rsidR="00D777FF" w:rsidRPr="002B2C82" w14:paraId="64227065"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6E542B0" w14:textId="77777777" w:rsidR="00D777FF" w:rsidRPr="002F7258" w:rsidRDefault="00D777FF" w:rsidP="00972B56">
            <w:pPr>
              <w:rPr>
                <w:rFonts w:cstheme="minorHAnsi"/>
                <w:szCs w:val="40"/>
              </w:rPr>
            </w:pPr>
            <w:r w:rsidRPr="002F7258">
              <w:rPr>
                <w:rFonts w:cstheme="minorHAnsi"/>
                <w:szCs w:val="40"/>
              </w:rPr>
              <w:t>5ASA</w:t>
            </w:r>
          </w:p>
        </w:tc>
        <w:tc>
          <w:tcPr>
            <w:tcW w:w="7167" w:type="dxa"/>
          </w:tcPr>
          <w:p w14:paraId="143C30A2"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szCs w:val="40"/>
              </w:rPr>
            </w:pPr>
            <w:r w:rsidRPr="002F7258">
              <w:rPr>
                <w:szCs w:val="40"/>
              </w:rPr>
              <w:t>5-aminosalicylates</w:t>
            </w:r>
          </w:p>
        </w:tc>
      </w:tr>
      <w:tr w:rsidR="00D777FF" w:rsidRPr="002B2C82" w14:paraId="4C4C4FAA"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83EBFB7" w14:textId="77777777" w:rsidR="00D777FF" w:rsidRPr="002F7258" w:rsidRDefault="00D777FF" w:rsidP="00972B56">
            <w:pPr>
              <w:rPr>
                <w:rFonts w:cstheme="minorHAnsi"/>
                <w:szCs w:val="24"/>
              </w:rPr>
            </w:pPr>
            <w:r w:rsidRPr="002F7258">
              <w:rPr>
                <w:rFonts w:cstheme="minorHAnsi"/>
                <w:szCs w:val="24"/>
              </w:rPr>
              <w:t>ACM</w:t>
            </w:r>
          </w:p>
        </w:tc>
        <w:tc>
          <w:tcPr>
            <w:tcW w:w="7167" w:type="dxa"/>
          </w:tcPr>
          <w:p w14:paraId="3A4D8DF9"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F7258">
              <w:rPr>
                <w:szCs w:val="24"/>
              </w:rPr>
              <w:t>Advisory Committee on Medicines</w:t>
            </w:r>
          </w:p>
        </w:tc>
      </w:tr>
      <w:tr w:rsidR="00D777FF" w:rsidRPr="002B2C82" w14:paraId="08C876F7"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6990E2B" w14:textId="77777777" w:rsidR="00D777FF" w:rsidRPr="002F7258" w:rsidRDefault="00D777FF" w:rsidP="00972B56">
            <w:pPr>
              <w:rPr>
                <w:rFonts w:cstheme="minorHAnsi"/>
                <w:szCs w:val="40"/>
              </w:rPr>
            </w:pPr>
            <w:r w:rsidRPr="002F7258">
              <w:rPr>
                <w:rFonts w:cstheme="minorHAnsi"/>
                <w:szCs w:val="40"/>
              </w:rPr>
              <w:t>ADA</w:t>
            </w:r>
          </w:p>
        </w:tc>
        <w:tc>
          <w:tcPr>
            <w:tcW w:w="7167" w:type="dxa"/>
          </w:tcPr>
          <w:p w14:paraId="58C14031"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szCs w:val="40"/>
              </w:rPr>
            </w:pPr>
            <w:r w:rsidRPr="002F7258">
              <w:rPr>
                <w:szCs w:val="40"/>
              </w:rPr>
              <w:t>Antidrug antibody</w:t>
            </w:r>
          </w:p>
        </w:tc>
      </w:tr>
      <w:tr w:rsidR="00D777FF" w:rsidRPr="002B2C82" w14:paraId="5F35D233"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D888912" w14:textId="77777777" w:rsidR="00D777FF" w:rsidRPr="002F7258" w:rsidRDefault="00D777FF" w:rsidP="00972B56">
            <w:pPr>
              <w:rPr>
                <w:rFonts w:cstheme="minorHAnsi"/>
                <w:szCs w:val="32"/>
              </w:rPr>
            </w:pPr>
            <w:r w:rsidRPr="002F7258">
              <w:rPr>
                <w:rFonts w:cstheme="minorHAnsi"/>
                <w:szCs w:val="32"/>
              </w:rPr>
              <w:t>ARTG</w:t>
            </w:r>
          </w:p>
        </w:tc>
        <w:tc>
          <w:tcPr>
            <w:tcW w:w="7167" w:type="dxa"/>
          </w:tcPr>
          <w:p w14:paraId="49FF38E0"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32"/>
              </w:rPr>
            </w:pPr>
            <w:r w:rsidRPr="002F7258">
              <w:rPr>
                <w:rFonts w:cstheme="minorHAnsi"/>
                <w:szCs w:val="32"/>
              </w:rPr>
              <w:t>Australian Register of Therapeutic Goods</w:t>
            </w:r>
          </w:p>
        </w:tc>
      </w:tr>
      <w:tr w:rsidR="00D777FF" w:rsidRPr="002B2C82" w14:paraId="40B0AC3A"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ECDCCCA" w14:textId="77777777" w:rsidR="00D777FF" w:rsidRPr="002F7258" w:rsidRDefault="00D777FF" w:rsidP="00972B56">
            <w:pPr>
              <w:rPr>
                <w:rFonts w:cstheme="minorHAnsi"/>
                <w:szCs w:val="40"/>
              </w:rPr>
            </w:pPr>
            <w:r w:rsidRPr="002F7258">
              <w:rPr>
                <w:rFonts w:cstheme="minorHAnsi"/>
                <w:szCs w:val="40"/>
              </w:rPr>
              <w:t>BMI</w:t>
            </w:r>
          </w:p>
        </w:tc>
        <w:tc>
          <w:tcPr>
            <w:tcW w:w="7167" w:type="dxa"/>
          </w:tcPr>
          <w:p w14:paraId="28362831"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szCs w:val="40"/>
              </w:rPr>
            </w:pPr>
            <w:r w:rsidRPr="002F7258">
              <w:rPr>
                <w:szCs w:val="40"/>
              </w:rPr>
              <w:t>Body mass index</w:t>
            </w:r>
          </w:p>
        </w:tc>
      </w:tr>
      <w:tr w:rsidR="00D777FF" w:rsidRPr="002B2C82" w14:paraId="0E78E783"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4CC1166" w14:textId="77777777" w:rsidR="00D777FF" w:rsidRPr="002F7258" w:rsidRDefault="00D777FF" w:rsidP="00972B56">
            <w:pPr>
              <w:rPr>
                <w:rFonts w:cstheme="minorHAnsi"/>
                <w:szCs w:val="32"/>
              </w:rPr>
            </w:pPr>
            <w:r w:rsidRPr="002F7258">
              <w:rPr>
                <w:rFonts w:cstheme="minorHAnsi"/>
                <w:szCs w:val="32"/>
              </w:rPr>
              <w:t>CI</w:t>
            </w:r>
          </w:p>
        </w:tc>
        <w:tc>
          <w:tcPr>
            <w:tcW w:w="7167" w:type="dxa"/>
          </w:tcPr>
          <w:p w14:paraId="33C45836"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32"/>
              </w:rPr>
            </w:pPr>
            <w:r w:rsidRPr="002F7258">
              <w:rPr>
                <w:rFonts w:cstheme="minorHAnsi"/>
                <w:szCs w:val="32"/>
              </w:rPr>
              <w:t>Confidence interval</w:t>
            </w:r>
          </w:p>
        </w:tc>
      </w:tr>
      <w:tr w:rsidR="00D777FF" w:rsidRPr="002B2C82" w14:paraId="269C0D9E"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F56428A" w14:textId="77777777" w:rsidR="00D777FF" w:rsidRPr="002F7258" w:rsidRDefault="00D777FF" w:rsidP="00972B56">
            <w:pPr>
              <w:rPr>
                <w:rFonts w:cstheme="minorHAnsi"/>
                <w:szCs w:val="32"/>
              </w:rPr>
            </w:pPr>
            <w:r w:rsidRPr="002F7258">
              <w:rPr>
                <w:rFonts w:cstheme="minorHAnsi"/>
                <w:szCs w:val="32"/>
              </w:rPr>
              <w:t>CL</w:t>
            </w:r>
          </w:p>
        </w:tc>
        <w:tc>
          <w:tcPr>
            <w:tcW w:w="7167" w:type="dxa"/>
          </w:tcPr>
          <w:p w14:paraId="3B437995"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32"/>
              </w:rPr>
            </w:pPr>
            <w:r w:rsidRPr="002F7258">
              <w:rPr>
                <w:rFonts w:cstheme="minorHAnsi"/>
                <w:szCs w:val="32"/>
              </w:rPr>
              <w:t>Clearance</w:t>
            </w:r>
          </w:p>
        </w:tc>
      </w:tr>
      <w:tr w:rsidR="00D777FF" w:rsidRPr="002B2C82" w14:paraId="58FE60A7"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BC31AA0" w14:textId="77777777" w:rsidR="00D777FF" w:rsidRPr="002F7258" w:rsidRDefault="00D777FF" w:rsidP="00972B56">
            <w:pPr>
              <w:rPr>
                <w:rFonts w:cstheme="minorHAnsi"/>
                <w:color w:val="auto"/>
                <w:szCs w:val="22"/>
              </w:rPr>
            </w:pPr>
            <w:r w:rsidRPr="002F7258">
              <w:rPr>
                <w:rFonts w:cstheme="minorHAnsi"/>
                <w:color w:val="auto"/>
                <w:szCs w:val="22"/>
              </w:rPr>
              <w:t>CMI</w:t>
            </w:r>
          </w:p>
        </w:tc>
        <w:tc>
          <w:tcPr>
            <w:tcW w:w="7167" w:type="dxa"/>
          </w:tcPr>
          <w:p w14:paraId="16E136C2"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F7258">
              <w:rPr>
                <w:rFonts w:cstheme="minorHAnsi"/>
                <w:color w:val="auto"/>
                <w:szCs w:val="22"/>
              </w:rPr>
              <w:t>Consumer Medicines Information</w:t>
            </w:r>
          </w:p>
        </w:tc>
      </w:tr>
      <w:tr w:rsidR="00D777FF" w:rsidRPr="002B2C82" w14:paraId="123A0672"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1CEDF01" w14:textId="77777777" w:rsidR="00D777FF" w:rsidRPr="002F7258" w:rsidRDefault="00D777FF" w:rsidP="00972B56">
            <w:pPr>
              <w:rPr>
                <w:rFonts w:cstheme="minorHAnsi"/>
                <w:szCs w:val="40"/>
              </w:rPr>
            </w:pPr>
            <w:r w:rsidRPr="002F7258">
              <w:rPr>
                <w:rFonts w:cstheme="minorHAnsi"/>
                <w:szCs w:val="40"/>
              </w:rPr>
              <w:t>CPD</w:t>
            </w:r>
          </w:p>
        </w:tc>
        <w:tc>
          <w:tcPr>
            <w:tcW w:w="7167" w:type="dxa"/>
          </w:tcPr>
          <w:p w14:paraId="684DF843"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40"/>
              </w:rPr>
            </w:pPr>
            <w:r w:rsidRPr="002F7258">
              <w:rPr>
                <w:rFonts w:cstheme="minorHAnsi"/>
                <w:szCs w:val="40"/>
              </w:rPr>
              <w:t>Certified Product Details</w:t>
            </w:r>
          </w:p>
        </w:tc>
      </w:tr>
      <w:tr w:rsidR="00D777FF" w:rsidRPr="002B2C82" w14:paraId="44140447"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71610AA" w14:textId="77777777" w:rsidR="00D777FF" w:rsidRPr="002F7258" w:rsidRDefault="00D777FF" w:rsidP="00972B56">
            <w:pPr>
              <w:rPr>
                <w:rFonts w:cstheme="minorHAnsi"/>
                <w:szCs w:val="32"/>
              </w:rPr>
            </w:pPr>
            <w:r w:rsidRPr="002F7258">
              <w:rPr>
                <w:rFonts w:cstheme="minorHAnsi"/>
                <w:szCs w:val="32"/>
              </w:rPr>
              <w:t>CRP</w:t>
            </w:r>
          </w:p>
        </w:tc>
        <w:tc>
          <w:tcPr>
            <w:tcW w:w="7167" w:type="dxa"/>
          </w:tcPr>
          <w:p w14:paraId="048A2E04"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32"/>
              </w:rPr>
            </w:pPr>
            <w:r w:rsidRPr="002F7258">
              <w:rPr>
                <w:rFonts w:cstheme="minorHAnsi"/>
                <w:szCs w:val="32"/>
              </w:rPr>
              <w:t>C-reactive protein</w:t>
            </w:r>
          </w:p>
        </w:tc>
      </w:tr>
      <w:tr w:rsidR="00D777FF" w:rsidRPr="00106388" w14:paraId="1A62DDE7"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EF4F3CE" w14:textId="77777777" w:rsidR="00D777FF" w:rsidRPr="002F7258" w:rsidRDefault="00D777FF" w:rsidP="00972B56">
            <w:pPr>
              <w:rPr>
                <w:rFonts w:cstheme="minorHAnsi"/>
                <w:szCs w:val="40"/>
              </w:rPr>
            </w:pPr>
            <w:r w:rsidRPr="002F7258">
              <w:rPr>
                <w:rFonts w:cstheme="minorHAnsi"/>
                <w:szCs w:val="40"/>
              </w:rPr>
              <w:t>CYP</w:t>
            </w:r>
          </w:p>
        </w:tc>
        <w:tc>
          <w:tcPr>
            <w:tcW w:w="7167" w:type="dxa"/>
          </w:tcPr>
          <w:p w14:paraId="263A01C6"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40"/>
              </w:rPr>
            </w:pPr>
            <w:r w:rsidRPr="002F7258">
              <w:rPr>
                <w:rFonts w:cstheme="minorHAnsi"/>
                <w:szCs w:val="40"/>
              </w:rPr>
              <w:t>Cytochrome P450</w:t>
            </w:r>
          </w:p>
        </w:tc>
      </w:tr>
      <w:tr w:rsidR="00D777FF" w:rsidRPr="00106388" w14:paraId="69443444"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DE799A5" w14:textId="77777777" w:rsidR="00D777FF" w:rsidRPr="002F7258" w:rsidRDefault="00D777FF" w:rsidP="00972B56">
            <w:pPr>
              <w:rPr>
                <w:rFonts w:cstheme="minorHAnsi"/>
                <w:szCs w:val="32"/>
              </w:rPr>
            </w:pPr>
            <w:r w:rsidRPr="002F7258">
              <w:rPr>
                <w:rFonts w:cstheme="minorHAnsi"/>
                <w:szCs w:val="32"/>
              </w:rPr>
              <w:t>DLP</w:t>
            </w:r>
          </w:p>
        </w:tc>
        <w:tc>
          <w:tcPr>
            <w:tcW w:w="7167" w:type="dxa"/>
          </w:tcPr>
          <w:p w14:paraId="18FE27A9"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32"/>
              </w:rPr>
            </w:pPr>
            <w:r w:rsidRPr="002F7258">
              <w:rPr>
                <w:rFonts w:cstheme="minorHAnsi"/>
                <w:szCs w:val="32"/>
              </w:rPr>
              <w:t>Data lock point</w:t>
            </w:r>
          </w:p>
        </w:tc>
      </w:tr>
      <w:tr w:rsidR="00D777FF" w:rsidRPr="002B2C82" w14:paraId="23CF7385"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896058B" w14:textId="77777777" w:rsidR="00D777FF" w:rsidRPr="002F7258" w:rsidRDefault="00D777FF" w:rsidP="00972B56">
            <w:pPr>
              <w:rPr>
                <w:rFonts w:cstheme="minorHAnsi"/>
                <w:szCs w:val="200"/>
              </w:rPr>
            </w:pPr>
            <w:proofErr w:type="spellStart"/>
            <w:r w:rsidRPr="002F7258">
              <w:rPr>
                <w:rFonts w:cstheme="minorHAnsi"/>
                <w:szCs w:val="200"/>
              </w:rPr>
              <w:t>eCOA</w:t>
            </w:r>
            <w:proofErr w:type="spellEnd"/>
          </w:p>
        </w:tc>
        <w:tc>
          <w:tcPr>
            <w:tcW w:w="7167" w:type="dxa"/>
          </w:tcPr>
          <w:p w14:paraId="2E5F9477"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szCs w:val="200"/>
              </w:rPr>
            </w:pPr>
            <w:r w:rsidRPr="002F7258">
              <w:rPr>
                <w:szCs w:val="200"/>
              </w:rPr>
              <w:t>Electronic clinical outcome assessment</w:t>
            </w:r>
          </w:p>
        </w:tc>
      </w:tr>
      <w:tr w:rsidR="00D777FF" w:rsidRPr="002B2C82" w14:paraId="5EC06C2B"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88F8A6F" w14:textId="77777777" w:rsidR="00D777FF" w:rsidRPr="002F7258" w:rsidRDefault="00D777FF" w:rsidP="00972B56">
            <w:pPr>
              <w:rPr>
                <w:rFonts w:cstheme="minorHAnsi"/>
                <w:szCs w:val="160"/>
              </w:rPr>
            </w:pPr>
            <w:r w:rsidRPr="002F7258">
              <w:rPr>
                <w:rFonts w:cstheme="minorHAnsi"/>
                <w:szCs w:val="160"/>
              </w:rPr>
              <w:t>EMA</w:t>
            </w:r>
          </w:p>
        </w:tc>
        <w:tc>
          <w:tcPr>
            <w:tcW w:w="7167" w:type="dxa"/>
          </w:tcPr>
          <w:p w14:paraId="65BEAB59"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szCs w:val="160"/>
              </w:rPr>
            </w:pPr>
            <w:r w:rsidRPr="002F7258">
              <w:rPr>
                <w:szCs w:val="160"/>
              </w:rPr>
              <w:t>European Medicines Agency</w:t>
            </w:r>
          </w:p>
        </w:tc>
      </w:tr>
      <w:tr w:rsidR="00D777FF" w:rsidRPr="002B2C82" w14:paraId="3B6A65EE"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7028A9C" w14:textId="77777777" w:rsidR="00D777FF" w:rsidRPr="002F7258" w:rsidRDefault="00D777FF" w:rsidP="00972B56">
            <w:pPr>
              <w:rPr>
                <w:rFonts w:cstheme="minorHAnsi"/>
                <w:szCs w:val="200"/>
              </w:rPr>
            </w:pPr>
            <w:r w:rsidRPr="002F7258">
              <w:rPr>
                <w:rFonts w:cstheme="minorHAnsi"/>
                <w:szCs w:val="200"/>
              </w:rPr>
              <w:t>ES</w:t>
            </w:r>
          </w:p>
        </w:tc>
        <w:tc>
          <w:tcPr>
            <w:tcW w:w="7167" w:type="dxa"/>
          </w:tcPr>
          <w:p w14:paraId="578C461B" w14:textId="77777777" w:rsidR="00D777FF" w:rsidRPr="002F7258" w:rsidRDefault="00D777FF" w:rsidP="00972B56">
            <w:pPr>
              <w:tabs>
                <w:tab w:val="left" w:pos="2445"/>
              </w:tabs>
              <w:cnfStyle w:val="000000000000" w:firstRow="0" w:lastRow="0" w:firstColumn="0" w:lastColumn="0" w:oddVBand="0" w:evenVBand="0" w:oddHBand="0" w:evenHBand="0" w:firstRowFirstColumn="0" w:firstRowLastColumn="0" w:lastRowFirstColumn="0" w:lastRowLastColumn="0"/>
              <w:rPr>
                <w:szCs w:val="200"/>
              </w:rPr>
            </w:pPr>
            <w:r w:rsidRPr="002F7258">
              <w:rPr>
                <w:szCs w:val="200"/>
              </w:rPr>
              <w:t>Endoscopic score</w:t>
            </w:r>
          </w:p>
        </w:tc>
      </w:tr>
      <w:tr w:rsidR="00D777FF" w:rsidRPr="002B2C82" w14:paraId="6F28FF64"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BD5396B" w14:textId="77777777" w:rsidR="00D777FF" w:rsidRPr="002F7258" w:rsidRDefault="00D777FF" w:rsidP="00972B56">
            <w:pPr>
              <w:rPr>
                <w:rFonts w:cstheme="minorHAnsi"/>
                <w:szCs w:val="160"/>
              </w:rPr>
            </w:pPr>
            <w:r w:rsidRPr="002F7258">
              <w:rPr>
                <w:rFonts w:cstheme="minorHAnsi"/>
                <w:szCs w:val="160"/>
              </w:rPr>
              <w:t>EU</w:t>
            </w:r>
          </w:p>
        </w:tc>
        <w:tc>
          <w:tcPr>
            <w:tcW w:w="7167" w:type="dxa"/>
          </w:tcPr>
          <w:p w14:paraId="3E08B588" w14:textId="77777777" w:rsidR="00D777FF" w:rsidRPr="002F7258" w:rsidRDefault="00D777FF" w:rsidP="00972B56">
            <w:pPr>
              <w:tabs>
                <w:tab w:val="left" w:pos="2445"/>
              </w:tabs>
              <w:cnfStyle w:val="000000000000" w:firstRow="0" w:lastRow="0" w:firstColumn="0" w:lastColumn="0" w:oddVBand="0" w:evenVBand="0" w:oddHBand="0" w:evenHBand="0" w:firstRowFirstColumn="0" w:firstRowLastColumn="0" w:lastRowFirstColumn="0" w:lastRowLastColumn="0"/>
              <w:rPr>
                <w:szCs w:val="160"/>
              </w:rPr>
            </w:pPr>
            <w:r w:rsidRPr="002F7258">
              <w:rPr>
                <w:szCs w:val="160"/>
              </w:rPr>
              <w:t>European Union</w:t>
            </w:r>
          </w:p>
        </w:tc>
      </w:tr>
      <w:tr w:rsidR="00D777FF" w:rsidRPr="002B2C82" w14:paraId="6D7D8958"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2DA8921" w14:textId="77777777" w:rsidR="00D777FF" w:rsidRPr="002F7258" w:rsidRDefault="00D777FF" w:rsidP="00972B56">
            <w:pPr>
              <w:rPr>
                <w:rFonts w:cstheme="minorHAnsi"/>
                <w:szCs w:val="96"/>
              </w:rPr>
            </w:pPr>
            <w:r w:rsidRPr="002F7258">
              <w:rPr>
                <w:rFonts w:cstheme="minorHAnsi"/>
                <w:szCs w:val="96"/>
              </w:rPr>
              <w:t>FDA</w:t>
            </w:r>
          </w:p>
        </w:tc>
        <w:tc>
          <w:tcPr>
            <w:tcW w:w="7167" w:type="dxa"/>
          </w:tcPr>
          <w:p w14:paraId="64CB7CBF"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szCs w:val="96"/>
              </w:rPr>
            </w:pPr>
            <w:r w:rsidRPr="002F7258">
              <w:rPr>
                <w:szCs w:val="96"/>
              </w:rPr>
              <w:t>United States Food and Drug Administration</w:t>
            </w:r>
          </w:p>
        </w:tc>
      </w:tr>
      <w:tr w:rsidR="00D777FF" w:rsidRPr="002B2C82" w14:paraId="45EC40C1"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40AECA2" w14:textId="77777777" w:rsidR="00D777FF" w:rsidRPr="002F7258" w:rsidRDefault="00D777FF" w:rsidP="00972B56">
            <w:pPr>
              <w:rPr>
                <w:rFonts w:cstheme="minorHAnsi"/>
                <w:szCs w:val="160"/>
              </w:rPr>
            </w:pPr>
            <w:r w:rsidRPr="002F7258">
              <w:rPr>
                <w:rFonts w:cstheme="minorHAnsi"/>
                <w:szCs w:val="160"/>
              </w:rPr>
              <w:t>IL</w:t>
            </w:r>
          </w:p>
        </w:tc>
        <w:tc>
          <w:tcPr>
            <w:tcW w:w="7167" w:type="dxa"/>
          </w:tcPr>
          <w:p w14:paraId="3224B97A"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szCs w:val="160"/>
              </w:rPr>
            </w:pPr>
            <w:r w:rsidRPr="002F7258">
              <w:rPr>
                <w:szCs w:val="160"/>
              </w:rPr>
              <w:t>Interleukin</w:t>
            </w:r>
          </w:p>
        </w:tc>
      </w:tr>
      <w:tr w:rsidR="00D777FF" w:rsidRPr="002B2C82" w14:paraId="408C4AC6"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37D183D" w14:textId="77777777" w:rsidR="00D777FF" w:rsidRPr="002F7258" w:rsidRDefault="00D777FF" w:rsidP="00972B56">
            <w:pPr>
              <w:rPr>
                <w:rFonts w:cstheme="minorHAnsi"/>
                <w:szCs w:val="96"/>
              </w:rPr>
            </w:pPr>
            <w:r w:rsidRPr="002F7258">
              <w:rPr>
                <w:rFonts w:cstheme="minorHAnsi"/>
                <w:szCs w:val="96"/>
              </w:rPr>
              <w:t>ITT</w:t>
            </w:r>
          </w:p>
        </w:tc>
        <w:tc>
          <w:tcPr>
            <w:tcW w:w="7167" w:type="dxa"/>
          </w:tcPr>
          <w:p w14:paraId="411793C2"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szCs w:val="96"/>
              </w:rPr>
            </w:pPr>
            <w:r w:rsidRPr="002F7258">
              <w:rPr>
                <w:szCs w:val="96"/>
              </w:rPr>
              <w:t>Intent to treat</w:t>
            </w:r>
          </w:p>
        </w:tc>
      </w:tr>
      <w:tr w:rsidR="00D777FF" w:rsidRPr="002B2C82" w14:paraId="39C96D11"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11D6AD7" w14:textId="77777777" w:rsidR="00D777FF" w:rsidRPr="002F7258" w:rsidRDefault="00D777FF" w:rsidP="00972B56">
            <w:pPr>
              <w:rPr>
                <w:iCs/>
                <w:szCs w:val="48"/>
              </w:rPr>
            </w:pPr>
            <w:r w:rsidRPr="002F7258">
              <w:rPr>
                <w:iCs/>
                <w:szCs w:val="48"/>
              </w:rPr>
              <w:t>IV</w:t>
            </w:r>
          </w:p>
        </w:tc>
        <w:tc>
          <w:tcPr>
            <w:tcW w:w="7167" w:type="dxa"/>
          </w:tcPr>
          <w:p w14:paraId="40989CF0"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iCs/>
                <w:szCs w:val="48"/>
              </w:rPr>
            </w:pPr>
            <w:r w:rsidRPr="002F7258">
              <w:rPr>
                <w:iCs/>
                <w:szCs w:val="48"/>
              </w:rPr>
              <w:t>Intravenous</w:t>
            </w:r>
          </w:p>
        </w:tc>
      </w:tr>
      <w:tr w:rsidR="00D777FF" w:rsidRPr="002B2C82" w14:paraId="0310698D"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F6A02C2" w14:textId="77777777" w:rsidR="00D777FF" w:rsidRPr="002F7258" w:rsidRDefault="00D777FF" w:rsidP="00972B56">
            <w:pPr>
              <w:rPr>
                <w:iCs/>
                <w:szCs w:val="40"/>
              </w:rPr>
            </w:pPr>
            <w:r w:rsidRPr="002F7258">
              <w:rPr>
                <w:iCs/>
                <w:szCs w:val="40"/>
              </w:rPr>
              <w:t>JAK</w:t>
            </w:r>
          </w:p>
        </w:tc>
        <w:tc>
          <w:tcPr>
            <w:tcW w:w="7167" w:type="dxa"/>
          </w:tcPr>
          <w:p w14:paraId="20F8C7A9"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iCs/>
                <w:szCs w:val="40"/>
              </w:rPr>
            </w:pPr>
            <w:r w:rsidRPr="002F7258">
              <w:rPr>
                <w:iCs/>
                <w:szCs w:val="40"/>
              </w:rPr>
              <w:t>Janus kinase</w:t>
            </w:r>
          </w:p>
        </w:tc>
      </w:tr>
      <w:tr w:rsidR="00D777FF" w:rsidRPr="002B2C82" w14:paraId="26752409"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7AE00D2" w14:textId="77777777" w:rsidR="00D777FF" w:rsidRPr="002F7258" w:rsidRDefault="00D777FF" w:rsidP="00972B56">
            <w:pPr>
              <w:rPr>
                <w:iCs/>
                <w:szCs w:val="48"/>
              </w:rPr>
            </w:pPr>
            <w:proofErr w:type="spellStart"/>
            <w:r w:rsidRPr="002F7258">
              <w:rPr>
                <w:iCs/>
                <w:szCs w:val="48"/>
              </w:rPr>
              <w:t>mITT</w:t>
            </w:r>
            <w:proofErr w:type="spellEnd"/>
          </w:p>
        </w:tc>
        <w:tc>
          <w:tcPr>
            <w:tcW w:w="7167" w:type="dxa"/>
          </w:tcPr>
          <w:p w14:paraId="59622D6A"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iCs/>
                <w:szCs w:val="48"/>
              </w:rPr>
            </w:pPr>
            <w:r w:rsidRPr="002F7258">
              <w:rPr>
                <w:iCs/>
                <w:szCs w:val="48"/>
              </w:rPr>
              <w:t>Modified intent to treat</w:t>
            </w:r>
          </w:p>
        </w:tc>
      </w:tr>
      <w:tr w:rsidR="00D777FF" w:rsidRPr="002B2C82" w14:paraId="59EC9628"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6F42FA7" w14:textId="77777777" w:rsidR="00D777FF" w:rsidRPr="002F7258" w:rsidRDefault="00D777FF" w:rsidP="00972B56">
            <w:pPr>
              <w:rPr>
                <w:iCs/>
                <w:szCs w:val="40"/>
              </w:rPr>
            </w:pPr>
            <w:proofErr w:type="spellStart"/>
            <w:r w:rsidRPr="002F7258">
              <w:rPr>
                <w:iCs/>
                <w:szCs w:val="40"/>
              </w:rPr>
              <w:t>mMs</w:t>
            </w:r>
            <w:proofErr w:type="spellEnd"/>
          </w:p>
        </w:tc>
        <w:tc>
          <w:tcPr>
            <w:tcW w:w="7167" w:type="dxa"/>
          </w:tcPr>
          <w:p w14:paraId="10D51753"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iCs/>
                <w:szCs w:val="40"/>
              </w:rPr>
            </w:pPr>
            <w:r w:rsidRPr="002F7258">
              <w:rPr>
                <w:iCs/>
                <w:szCs w:val="40"/>
              </w:rPr>
              <w:t>Modified Mayo score</w:t>
            </w:r>
          </w:p>
        </w:tc>
      </w:tr>
      <w:tr w:rsidR="00D777FF" w:rsidRPr="002B2C82" w14:paraId="5106DC6A"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4494F8D" w14:textId="77777777" w:rsidR="00D777FF" w:rsidRPr="002F7258" w:rsidRDefault="00D777FF" w:rsidP="00972B56">
            <w:pPr>
              <w:rPr>
                <w:rFonts w:cstheme="minorHAnsi"/>
                <w:szCs w:val="24"/>
              </w:rPr>
            </w:pPr>
            <w:r w:rsidRPr="002F7258">
              <w:rPr>
                <w:rFonts w:cstheme="minorHAnsi"/>
                <w:szCs w:val="24"/>
              </w:rPr>
              <w:t>PD</w:t>
            </w:r>
          </w:p>
        </w:tc>
        <w:tc>
          <w:tcPr>
            <w:tcW w:w="7167" w:type="dxa"/>
          </w:tcPr>
          <w:p w14:paraId="6B7DB7F3"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F7258">
              <w:rPr>
                <w:rFonts w:cstheme="minorHAnsi"/>
                <w:szCs w:val="24"/>
              </w:rPr>
              <w:t>Pharmacodynamic(s)</w:t>
            </w:r>
          </w:p>
        </w:tc>
      </w:tr>
      <w:tr w:rsidR="00D777FF" w:rsidRPr="002B2C82" w14:paraId="0473BA41"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F42A128" w14:textId="77777777" w:rsidR="00D777FF" w:rsidRPr="002F7258" w:rsidRDefault="00D777FF" w:rsidP="00972B56">
            <w:pPr>
              <w:rPr>
                <w:rFonts w:cstheme="minorHAnsi"/>
                <w:color w:val="auto"/>
                <w:szCs w:val="22"/>
              </w:rPr>
            </w:pPr>
            <w:r w:rsidRPr="002F7258">
              <w:rPr>
                <w:rFonts w:cstheme="minorHAnsi"/>
                <w:color w:val="auto"/>
                <w:szCs w:val="22"/>
              </w:rPr>
              <w:t>PI</w:t>
            </w:r>
          </w:p>
        </w:tc>
        <w:tc>
          <w:tcPr>
            <w:tcW w:w="7167" w:type="dxa"/>
          </w:tcPr>
          <w:p w14:paraId="0A2D3C6C"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F7258">
              <w:rPr>
                <w:rFonts w:cstheme="minorHAnsi"/>
                <w:color w:val="auto"/>
                <w:szCs w:val="22"/>
              </w:rPr>
              <w:t>Product Information</w:t>
            </w:r>
          </w:p>
        </w:tc>
      </w:tr>
      <w:tr w:rsidR="00D777FF" w:rsidRPr="002B2C82" w14:paraId="50D81461"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6BCF9DF" w14:textId="77777777" w:rsidR="00D777FF" w:rsidRPr="002F7258" w:rsidRDefault="00D777FF" w:rsidP="00972B56">
            <w:pPr>
              <w:rPr>
                <w:rFonts w:cstheme="minorHAnsi"/>
                <w:szCs w:val="24"/>
              </w:rPr>
            </w:pPr>
            <w:r w:rsidRPr="002F7258">
              <w:rPr>
                <w:rFonts w:cstheme="minorHAnsi"/>
                <w:szCs w:val="24"/>
              </w:rPr>
              <w:t>PK</w:t>
            </w:r>
          </w:p>
        </w:tc>
        <w:tc>
          <w:tcPr>
            <w:tcW w:w="7167" w:type="dxa"/>
          </w:tcPr>
          <w:p w14:paraId="7ACACAEE"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F7258">
              <w:rPr>
                <w:rFonts w:cstheme="minorHAnsi"/>
                <w:szCs w:val="24"/>
              </w:rPr>
              <w:t>Pharmacokinetic(s)</w:t>
            </w:r>
          </w:p>
        </w:tc>
      </w:tr>
      <w:tr w:rsidR="00D777FF" w:rsidRPr="002B2C82" w14:paraId="4CA96396"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C92BA43" w14:textId="77777777" w:rsidR="00D777FF" w:rsidRPr="002F7258" w:rsidRDefault="00D777FF" w:rsidP="00972B56">
            <w:pPr>
              <w:rPr>
                <w:rFonts w:cstheme="minorHAnsi"/>
                <w:szCs w:val="40"/>
              </w:rPr>
            </w:pPr>
            <w:r w:rsidRPr="002F7258">
              <w:rPr>
                <w:rFonts w:cstheme="minorHAnsi"/>
                <w:szCs w:val="40"/>
              </w:rPr>
              <w:t>PopPK</w:t>
            </w:r>
          </w:p>
        </w:tc>
        <w:tc>
          <w:tcPr>
            <w:tcW w:w="7167" w:type="dxa"/>
          </w:tcPr>
          <w:p w14:paraId="74005AD4"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40"/>
              </w:rPr>
            </w:pPr>
            <w:r w:rsidRPr="002F7258">
              <w:rPr>
                <w:rFonts w:cstheme="minorHAnsi"/>
                <w:szCs w:val="40"/>
              </w:rPr>
              <w:t>Population pharmacokinetic(s)</w:t>
            </w:r>
          </w:p>
        </w:tc>
      </w:tr>
      <w:tr w:rsidR="00D777FF" w:rsidRPr="002B2C82" w14:paraId="2BF4A476"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95E52FA" w14:textId="77777777" w:rsidR="00D777FF" w:rsidRPr="002F7258" w:rsidRDefault="00D777FF" w:rsidP="00972B56">
            <w:pPr>
              <w:rPr>
                <w:rFonts w:cstheme="minorHAnsi"/>
                <w:szCs w:val="32"/>
              </w:rPr>
            </w:pPr>
            <w:r w:rsidRPr="002F7258">
              <w:rPr>
                <w:rFonts w:cstheme="minorHAnsi"/>
                <w:szCs w:val="32"/>
              </w:rPr>
              <w:t>RB</w:t>
            </w:r>
          </w:p>
        </w:tc>
        <w:tc>
          <w:tcPr>
            <w:tcW w:w="7167" w:type="dxa"/>
          </w:tcPr>
          <w:p w14:paraId="52A2005C" w14:textId="77777777" w:rsidR="00D777FF" w:rsidRPr="002F7258" w:rsidRDefault="00D777FF" w:rsidP="00972B56">
            <w:pPr>
              <w:tabs>
                <w:tab w:val="center" w:pos="3532"/>
              </w:tabs>
              <w:cnfStyle w:val="000000000000" w:firstRow="0" w:lastRow="0" w:firstColumn="0" w:lastColumn="0" w:oddVBand="0" w:evenVBand="0" w:oddHBand="0" w:evenHBand="0" w:firstRowFirstColumn="0" w:firstRowLastColumn="0" w:lastRowFirstColumn="0" w:lastRowLastColumn="0"/>
              <w:rPr>
                <w:szCs w:val="32"/>
              </w:rPr>
            </w:pPr>
            <w:r w:rsidRPr="002F7258">
              <w:rPr>
                <w:szCs w:val="32"/>
              </w:rPr>
              <w:t>Rectal bleeding</w:t>
            </w:r>
          </w:p>
        </w:tc>
      </w:tr>
      <w:tr w:rsidR="00D777FF" w:rsidRPr="002B2C82" w14:paraId="3A7EC727"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35610F1" w14:textId="77777777" w:rsidR="00D777FF" w:rsidRPr="002F7258" w:rsidRDefault="00D777FF" w:rsidP="00972B56">
            <w:pPr>
              <w:rPr>
                <w:rFonts w:cstheme="minorHAnsi"/>
                <w:color w:val="auto"/>
                <w:szCs w:val="22"/>
              </w:rPr>
            </w:pPr>
            <w:r w:rsidRPr="002F7258">
              <w:rPr>
                <w:rFonts w:cstheme="minorHAnsi"/>
                <w:color w:val="auto"/>
                <w:szCs w:val="22"/>
              </w:rPr>
              <w:t>RMP</w:t>
            </w:r>
          </w:p>
        </w:tc>
        <w:tc>
          <w:tcPr>
            <w:tcW w:w="7167" w:type="dxa"/>
          </w:tcPr>
          <w:p w14:paraId="77D4D1BA" w14:textId="77777777" w:rsidR="00D777FF" w:rsidRPr="002F7258" w:rsidRDefault="00D777FF" w:rsidP="00972B56">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F7258">
              <w:rPr>
                <w:rFonts w:cstheme="minorHAnsi"/>
                <w:color w:val="auto"/>
                <w:szCs w:val="22"/>
              </w:rPr>
              <w:t>Risk management plan</w:t>
            </w:r>
          </w:p>
        </w:tc>
      </w:tr>
      <w:tr w:rsidR="00D777FF" w:rsidRPr="002B2C82" w14:paraId="22786C43"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CAB034D" w14:textId="77777777" w:rsidR="00D777FF" w:rsidRPr="002F7258" w:rsidRDefault="00D777FF" w:rsidP="00972B56">
            <w:pPr>
              <w:rPr>
                <w:rFonts w:cstheme="minorHAnsi"/>
                <w:szCs w:val="24"/>
              </w:rPr>
            </w:pPr>
            <w:r w:rsidRPr="002F7258">
              <w:rPr>
                <w:rFonts w:cstheme="minorHAnsi"/>
                <w:szCs w:val="24"/>
              </w:rPr>
              <w:t>SC</w:t>
            </w:r>
          </w:p>
        </w:tc>
        <w:tc>
          <w:tcPr>
            <w:tcW w:w="7167" w:type="dxa"/>
          </w:tcPr>
          <w:p w14:paraId="37AA7C89" w14:textId="77777777" w:rsidR="00D777FF" w:rsidRPr="002F7258" w:rsidRDefault="00D777FF" w:rsidP="00972B56">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szCs w:val="24"/>
              </w:rPr>
            </w:pPr>
            <w:r w:rsidRPr="002F7258">
              <w:rPr>
                <w:szCs w:val="24"/>
              </w:rPr>
              <w:t>Subcutaneous</w:t>
            </w:r>
          </w:p>
        </w:tc>
      </w:tr>
      <w:tr w:rsidR="00D777FF" w:rsidRPr="002B2C82" w14:paraId="045F9C01"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0DE0DAD" w14:textId="77777777" w:rsidR="00D777FF" w:rsidRPr="002F7258" w:rsidRDefault="00D777FF" w:rsidP="00972B56">
            <w:pPr>
              <w:rPr>
                <w:szCs w:val="32"/>
              </w:rPr>
            </w:pPr>
            <w:r w:rsidRPr="002F7258">
              <w:rPr>
                <w:szCs w:val="32"/>
              </w:rPr>
              <w:t>SF</w:t>
            </w:r>
          </w:p>
        </w:tc>
        <w:tc>
          <w:tcPr>
            <w:tcW w:w="7167" w:type="dxa"/>
          </w:tcPr>
          <w:p w14:paraId="61BF5653" w14:textId="77777777" w:rsidR="00D777FF" w:rsidRPr="002F7258" w:rsidRDefault="00D777FF" w:rsidP="00972B56">
            <w:pPr>
              <w:tabs>
                <w:tab w:val="center" w:pos="3532"/>
              </w:tabs>
              <w:cnfStyle w:val="000000000000" w:firstRow="0" w:lastRow="0" w:firstColumn="0" w:lastColumn="0" w:oddVBand="0" w:evenVBand="0" w:oddHBand="0" w:evenHBand="0" w:firstRowFirstColumn="0" w:firstRowLastColumn="0" w:lastRowFirstColumn="0" w:lastRowLastColumn="0"/>
              <w:rPr>
                <w:szCs w:val="32"/>
              </w:rPr>
            </w:pPr>
            <w:r w:rsidRPr="002F7258">
              <w:rPr>
                <w:szCs w:val="32"/>
              </w:rPr>
              <w:t>Stool frequency</w:t>
            </w:r>
          </w:p>
        </w:tc>
      </w:tr>
      <w:tr w:rsidR="00D777FF" w:rsidRPr="002B2C82" w14:paraId="655042F8"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2F075E1" w14:textId="77777777" w:rsidR="00D777FF" w:rsidRPr="002F7258" w:rsidRDefault="00D777FF" w:rsidP="00972B56">
            <w:pPr>
              <w:rPr>
                <w:rFonts w:cstheme="minorHAnsi"/>
                <w:szCs w:val="22"/>
              </w:rPr>
            </w:pPr>
            <w:r w:rsidRPr="002F7258">
              <w:rPr>
                <w:rFonts w:cstheme="minorHAnsi"/>
                <w:szCs w:val="22"/>
              </w:rPr>
              <w:t>T</w:t>
            </w:r>
            <w:r w:rsidRPr="002F7258">
              <w:rPr>
                <w:rFonts w:cstheme="minorHAnsi"/>
                <w:szCs w:val="22"/>
                <w:vertAlign w:val="subscript"/>
              </w:rPr>
              <w:t>1/2</w:t>
            </w:r>
          </w:p>
        </w:tc>
        <w:tc>
          <w:tcPr>
            <w:tcW w:w="7167" w:type="dxa"/>
          </w:tcPr>
          <w:p w14:paraId="3DE71653"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22"/>
              </w:rPr>
            </w:pPr>
            <w:r w:rsidRPr="002F7258">
              <w:rPr>
                <w:rFonts w:cstheme="minorHAnsi"/>
                <w:szCs w:val="22"/>
              </w:rPr>
              <w:t>Half-life</w:t>
            </w:r>
          </w:p>
        </w:tc>
      </w:tr>
      <w:tr w:rsidR="00D777FF" w:rsidRPr="002B2C82" w14:paraId="6A5E15F9"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326159C" w14:textId="77777777" w:rsidR="00D777FF" w:rsidRPr="002F7258" w:rsidRDefault="00D777FF" w:rsidP="00972B56">
            <w:pPr>
              <w:rPr>
                <w:rFonts w:cstheme="minorHAnsi"/>
                <w:szCs w:val="32"/>
              </w:rPr>
            </w:pPr>
            <w:r w:rsidRPr="002F7258">
              <w:rPr>
                <w:rFonts w:cstheme="minorHAnsi"/>
                <w:szCs w:val="32"/>
              </w:rPr>
              <w:lastRenderedPageBreak/>
              <w:t>TEAE</w:t>
            </w:r>
          </w:p>
        </w:tc>
        <w:tc>
          <w:tcPr>
            <w:tcW w:w="7167" w:type="dxa"/>
          </w:tcPr>
          <w:p w14:paraId="7717E2A0"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32"/>
              </w:rPr>
            </w:pPr>
            <w:r w:rsidRPr="002F7258">
              <w:rPr>
                <w:rFonts w:cstheme="minorHAnsi"/>
                <w:szCs w:val="32"/>
              </w:rPr>
              <w:t>Treatment-emergent adverse event</w:t>
            </w:r>
          </w:p>
        </w:tc>
      </w:tr>
      <w:tr w:rsidR="00D777FF" w:rsidRPr="002B2C82" w14:paraId="51F68F97"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67DE96B" w14:textId="77777777" w:rsidR="00D777FF" w:rsidRPr="002F7258" w:rsidRDefault="00D777FF" w:rsidP="00972B56">
            <w:pPr>
              <w:rPr>
                <w:rFonts w:cstheme="minorHAnsi"/>
                <w:color w:val="auto"/>
                <w:szCs w:val="22"/>
              </w:rPr>
            </w:pPr>
            <w:r w:rsidRPr="002F7258">
              <w:rPr>
                <w:rFonts w:cstheme="minorHAnsi"/>
                <w:color w:val="auto"/>
                <w:szCs w:val="22"/>
              </w:rPr>
              <w:t>TGA</w:t>
            </w:r>
          </w:p>
        </w:tc>
        <w:tc>
          <w:tcPr>
            <w:tcW w:w="7167" w:type="dxa"/>
          </w:tcPr>
          <w:p w14:paraId="1770804C"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F7258">
              <w:rPr>
                <w:rFonts w:cstheme="minorHAnsi"/>
                <w:color w:val="auto"/>
                <w:szCs w:val="22"/>
              </w:rPr>
              <w:t>Therapeutic Goods Administration</w:t>
            </w:r>
          </w:p>
        </w:tc>
      </w:tr>
      <w:tr w:rsidR="00D777FF" w:rsidRPr="002B2C82" w14:paraId="5B5A0AD4"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AEF8598" w14:textId="77777777" w:rsidR="00D777FF" w:rsidRPr="002F7258" w:rsidRDefault="00D777FF" w:rsidP="00972B56">
            <w:pPr>
              <w:rPr>
                <w:rFonts w:cstheme="minorHAnsi"/>
                <w:szCs w:val="32"/>
              </w:rPr>
            </w:pPr>
            <w:r w:rsidRPr="002F7258">
              <w:rPr>
                <w:rFonts w:cstheme="minorHAnsi"/>
                <w:szCs w:val="32"/>
              </w:rPr>
              <w:t>TNF</w:t>
            </w:r>
          </w:p>
        </w:tc>
        <w:tc>
          <w:tcPr>
            <w:tcW w:w="7167" w:type="dxa"/>
          </w:tcPr>
          <w:p w14:paraId="51E50E15"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32"/>
              </w:rPr>
            </w:pPr>
            <w:r w:rsidRPr="002F7258">
              <w:rPr>
                <w:szCs w:val="32"/>
              </w:rPr>
              <w:t>Tumour necrosis factor</w:t>
            </w:r>
          </w:p>
        </w:tc>
      </w:tr>
      <w:tr w:rsidR="00D777FF" w:rsidRPr="002B2C82" w14:paraId="7D48EA26" w14:textId="77777777" w:rsidTr="00972B56">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85E40A2" w14:textId="77777777" w:rsidR="00D777FF" w:rsidRPr="002F7258" w:rsidRDefault="00D777FF" w:rsidP="00972B56">
            <w:pPr>
              <w:rPr>
                <w:rFonts w:cstheme="minorHAnsi"/>
                <w:szCs w:val="24"/>
              </w:rPr>
            </w:pPr>
            <w:r w:rsidRPr="002F7258">
              <w:rPr>
                <w:rFonts w:cstheme="minorHAnsi"/>
                <w:szCs w:val="24"/>
              </w:rPr>
              <w:t>UC</w:t>
            </w:r>
          </w:p>
        </w:tc>
        <w:tc>
          <w:tcPr>
            <w:tcW w:w="7167" w:type="dxa"/>
          </w:tcPr>
          <w:p w14:paraId="42E2439E" w14:textId="77777777" w:rsidR="00D777FF" w:rsidRPr="002F7258" w:rsidRDefault="00D777FF" w:rsidP="00972B56">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F7258">
              <w:rPr>
                <w:rFonts w:cstheme="minorHAnsi"/>
                <w:szCs w:val="24"/>
              </w:rPr>
              <w:t>Ulcerative colitis</w:t>
            </w:r>
          </w:p>
        </w:tc>
      </w:tr>
      <w:bookmarkEnd w:id="8"/>
    </w:tbl>
    <w:p w14:paraId="58578454" w14:textId="396689CD" w:rsidR="00324B33" w:rsidRPr="00D777FF" w:rsidRDefault="00324B33" w:rsidP="00D777FF"/>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217A2F7A" w:rsidR="00324B33" w:rsidRDefault="00324B33" w:rsidP="00324B33">
      <w:pPr>
        <w:pStyle w:val="Heading2"/>
      </w:pPr>
      <w:bookmarkStart w:id="9" w:name="_Toc103679288"/>
      <w:bookmarkStart w:id="10" w:name="_Toc160629011"/>
      <w:r>
        <w:lastRenderedPageBreak/>
        <w:t>Product submission</w:t>
      </w:r>
      <w:bookmarkEnd w:id="9"/>
      <w:bookmarkEnd w:id="10"/>
      <w:r w:rsidR="005605B4">
        <w:fldChar w:fldCharType="begin"/>
      </w:r>
      <w:r w:rsidR="005605B4">
        <w:instrText xml:space="preserve"> DOCVARIABLE vault_nd_b41da5cb-d784-48e5-84c1-a461c0545798 \* MERGEFORMAT </w:instrText>
      </w:r>
      <w:r w:rsidR="005605B4">
        <w:fldChar w:fldCharType="separate"/>
      </w:r>
      <w:r w:rsidR="005605B4">
        <w:t xml:space="preserve"> </w:t>
      </w:r>
      <w:r w:rsidR="005605B4">
        <w:fldChar w:fldCharType="end"/>
      </w:r>
    </w:p>
    <w:p w14:paraId="21D559DF" w14:textId="14B38DCE" w:rsidR="00324B33" w:rsidRDefault="00324B33" w:rsidP="00324B33">
      <w:pPr>
        <w:pStyle w:val="Heading3"/>
        <w:rPr>
          <w:lang w:eastAsia="en-AU"/>
        </w:rPr>
      </w:pPr>
      <w:bookmarkStart w:id="11" w:name="_Toc247691502"/>
      <w:bookmarkStart w:id="12" w:name="_Toc314842483"/>
      <w:bookmarkStart w:id="13" w:name="_Toc103679289"/>
      <w:bookmarkStart w:id="14" w:name="_Toc160629012"/>
      <w:r>
        <w:rPr>
          <w:lang w:eastAsia="en-AU"/>
        </w:rPr>
        <w:t>Submission details</w:t>
      </w:r>
      <w:bookmarkEnd w:id="11"/>
      <w:bookmarkEnd w:id="12"/>
      <w:bookmarkEnd w:id="13"/>
      <w:bookmarkEnd w:id="14"/>
      <w:r w:rsidR="005605B4">
        <w:rPr>
          <w:lang w:eastAsia="en-AU"/>
        </w:rPr>
        <w:fldChar w:fldCharType="begin"/>
      </w:r>
      <w:r w:rsidR="005605B4">
        <w:rPr>
          <w:lang w:eastAsia="en-AU"/>
        </w:rPr>
        <w:instrText xml:space="preserve"> DOCVARIABLE vault_nd_ddcf1c52-e0c7-4d21-9545-13e330d41d92 \* MERGEFORMAT </w:instrText>
      </w:r>
      <w:r w:rsidR="005605B4">
        <w:rPr>
          <w:lang w:eastAsia="en-AU"/>
        </w:rPr>
        <w:fldChar w:fldCharType="separate"/>
      </w:r>
      <w:r w:rsidR="005605B4">
        <w:rPr>
          <w:lang w:eastAsia="en-AU"/>
        </w:rPr>
        <w:t xml:space="preserve"> </w:t>
      </w:r>
      <w:r w:rsidR="005605B4">
        <w:rPr>
          <w:lang w:eastAsia="en-AU"/>
        </w:rPr>
        <w:fldChar w:fldCharType="end"/>
      </w:r>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17A7A3C5" w:rsidR="00324B33" w:rsidRPr="00BD5DBD" w:rsidRDefault="00324B33" w:rsidP="007452E8">
            <w:pPr>
              <w:rPr>
                <w:i/>
                <w:szCs w:val="22"/>
              </w:rPr>
            </w:pPr>
            <w:r w:rsidRPr="00BD5DBD">
              <w:rPr>
                <w:i/>
                <w:szCs w:val="22"/>
              </w:rPr>
              <w:t>Type of submission:</w:t>
            </w:r>
          </w:p>
        </w:tc>
        <w:tc>
          <w:tcPr>
            <w:tcW w:w="3423" w:type="pct"/>
          </w:tcPr>
          <w:p w14:paraId="4F07C303" w14:textId="60F469D1" w:rsidR="00324B33" w:rsidRPr="00BD5DBD" w:rsidRDefault="00324B33" w:rsidP="007452E8">
            <w:pPr>
              <w:rPr>
                <w:szCs w:val="22"/>
              </w:rPr>
            </w:pPr>
            <w:r w:rsidRPr="00BD5DBD">
              <w:rPr>
                <w:szCs w:val="22"/>
              </w:rPr>
              <w:t xml:space="preserve">New </w:t>
            </w:r>
            <w:r w:rsidR="005A7A4F">
              <w:rPr>
                <w:szCs w:val="22"/>
              </w:rPr>
              <w:t>biological</w:t>
            </w:r>
            <w:r w:rsidR="000F781F">
              <w:rPr>
                <w:szCs w:val="22"/>
              </w:rPr>
              <w:t xml:space="preserve"> entity</w:t>
            </w:r>
          </w:p>
        </w:tc>
      </w:tr>
      <w:tr w:rsidR="00324B33" w:rsidRPr="00BD5DBD" w14:paraId="13482B61" w14:textId="77777777" w:rsidTr="00F865A7">
        <w:tc>
          <w:tcPr>
            <w:tcW w:w="1577" w:type="pct"/>
          </w:tcPr>
          <w:p w14:paraId="2C427FCF" w14:textId="7241E220" w:rsidR="00324B33" w:rsidRPr="00BD5DBD" w:rsidRDefault="00324B33" w:rsidP="007452E8">
            <w:pPr>
              <w:rPr>
                <w:i/>
                <w:szCs w:val="22"/>
              </w:rPr>
            </w:pPr>
            <w:r w:rsidRPr="00BD5DBD">
              <w:rPr>
                <w:i/>
                <w:szCs w:val="22"/>
              </w:rPr>
              <w:t>Product name:</w:t>
            </w:r>
          </w:p>
        </w:tc>
        <w:tc>
          <w:tcPr>
            <w:tcW w:w="3423" w:type="pct"/>
          </w:tcPr>
          <w:p w14:paraId="0E2DEF76" w14:textId="2C1EF97C" w:rsidR="00324B33" w:rsidRPr="00BD5DBD" w:rsidRDefault="005A7A4F" w:rsidP="007452E8">
            <w:pPr>
              <w:rPr>
                <w:szCs w:val="22"/>
              </w:rPr>
            </w:pPr>
            <w:proofErr w:type="spellStart"/>
            <w:r>
              <w:rPr>
                <w:szCs w:val="22"/>
              </w:rPr>
              <w:t>Omvoh</w:t>
            </w:r>
            <w:proofErr w:type="spellEnd"/>
          </w:p>
        </w:tc>
      </w:tr>
      <w:tr w:rsidR="00324B33" w:rsidRPr="00BD5DBD" w14:paraId="01255B5B" w14:textId="77777777" w:rsidTr="00F865A7">
        <w:tc>
          <w:tcPr>
            <w:tcW w:w="1577" w:type="pct"/>
          </w:tcPr>
          <w:p w14:paraId="52B4F3D7" w14:textId="59B6EB32" w:rsidR="00324B33" w:rsidRPr="00BD5DBD" w:rsidRDefault="00324B33" w:rsidP="007452E8">
            <w:pPr>
              <w:rPr>
                <w:i/>
                <w:szCs w:val="22"/>
              </w:rPr>
            </w:pPr>
            <w:r w:rsidRPr="00BD5DBD">
              <w:rPr>
                <w:i/>
                <w:szCs w:val="22"/>
              </w:rPr>
              <w:t>Active ingredient:</w:t>
            </w:r>
          </w:p>
        </w:tc>
        <w:tc>
          <w:tcPr>
            <w:tcW w:w="3423" w:type="pct"/>
          </w:tcPr>
          <w:p w14:paraId="02FB6383" w14:textId="720D6814" w:rsidR="00324B33" w:rsidRPr="00BD5DBD" w:rsidRDefault="005A7A4F" w:rsidP="007452E8">
            <w:pPr>
              <w:rPr>
                <w:szCs w:val="22"/>
              </w:rPr>
            </w:pPr>
            <w:r>
              <w:rPr>
                <w:szCs w:val="22"/>
              </w:rPr>
              <w:t>Mirikizumab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79603352"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33498A4E" w:rsidR="00AE1947" w:rsidRPr="00BD5DBD" w:rsidRDefault="00776B7F" w:rsidP="00972B56">
            <w:pPr>
              <w:rPr>
                <w:szCs w:val="22"/>
              </w:rPr>
            </w:pPr>
            <w:r>
              <w:rPr>
                <w:szCs w:val="22"/>
              </w:rPr>
              <w:t>26 September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0704AC63" w:rsidR="00324B33" w:rsidRPr="00BD5DBD" w:rsidRDefault="00E81183" w:rsidP="007452E8">
            <w:pPr>
              <w:rPr>
                <w:szCs w:val="22"/>
              </w:rPr>
            </w:pPr>
            <w:r>
              <w:rPr>
                <w:szCs w:val="22"/>
              </w:rPr>
              <w:t>27 September 2023</w:t>
            </w:r>
          </w:p>
        </w:tc>
      </w:tr>
      <w:tr w:rsidR="00324B33" w:rsidRPr="00BD5DBD" w14:paraId="547E08D7" w14:textId="77777777" w:rsidTr="00F865A7">
        <w:tc>
          <w:tcPr>
            <w:tcW w:w="1577" w:type="pct"/>
          </w:tcPr>
          <w:p w14:paraId="5030EF30" w14:textId="52ABF2F8" w:rsidR="00324B33" w:rsidRPr="00BD5DBD" w:rsidRDefault="00324B33" w:rsidP="007452E8">
            <w:pPr>
              <w:rPr>
                <w:i/>
                <w:szCs w:val="22"/>
              </w:rPr>
            </w:pPr>
            <w:r w:rsidRPr="00BD5DBD">
              <w:rPr>
                <w:i/>
                <w:szCs w:val="22"/>
              </w:rPr>
              <w:t>ARTG number</w:t>
            </w:r>
            <w:r w:rsidR="00DE5EBD">
              <w:rPr>
                <w:i/>
                <w:szCs w:val="22"/>
              </w:rPr>
              <w:t>s</w:t>
            </w:r>
            <w:r w:rsidRPr="00BD5DBD">
              <w:rPr>
                <w:i/>
                <w:szCs w:val="22"/>
              </w:rPr>
              <w:t>:</w:t>
            </w:r>
          </w:p>
        </w:tc>
        <w:tc>
          <w:tcPr>
            <w:tcW w:w="3423" w:type="pct"/>
          </w:tcPr>
          <w:p w14:paraId="0054E912" w14:textId="4684C5E6" w:rsidR="00324B33" w:rsidRPr="00BD5DBD" w:rsidRDefault="002F2272" w:rsidP="007452E8">
            <w:pPr>
              <w:rPr>
                <w:szCs w:val="22"/>
              </w:rPr>
            </w:pPr>
            <w:r w:rsidRPr="002F2272">
              <w:rPr>
                <w:szCs w:val="22"/>
              </w:rPr>
              <w:t>391347, 391348</w:t>
            </w:r>
            <w:r>
              <w:rPr>
                <w:szCs w:val="22"/>
              </w:rPr>
              <w:t xml:space="preserve"> and</w:t>
            </w:r>
            <w:r w:rsidRPr="002F2272">
              <w:rPr>
                <w:szCs w:val="22"/>
              </w:rPr>
              <w:t xml:space="preserve"> 391349</w:t>
            </w:r>
          </w:p>
        </w:tc>
      </w:tr>
      <w:tr w:rsidR="00324B33" w:rsidRPr="00BD5DBD" w14:paraId="7618393F" w14:textId="77777777" w:rsidTr="00F865A7">
        <w:tc>
          <w:tcPr>
            <w:tcW w:w="1577" w:type="pct"/>
          </w:tcPr>
          <w:p w14:paraId="6C24CEB6" w14:textId="640E68A6"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1407EAA7"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4DBEAB73" w14:textId="77777777" w:rsidR="00324B33" w:rsidRDefault="00E33943" w:rsidP="007452E8">
            <w:pPr>
              <w:rPr>
                <w:szCs w:val="22"/>
              </w:rPr>
            </w:pPr>
            <w:r w:rsidRPr="00E33943">
              <w:rPr>
                <w:szCs w:val="22"/>
              </w:rPr>
              <w:t>Eli Lilly Australia Pty Ltd</w:t>
            </w:r>
          </w:p>
          <w:p w14:paraId="68DD94B0" w14:textId="2FB1FC8D" w:rsidR="00E33943" w:rsidRPr="00BD5DBD" w:rsidRDefault="00FB100F" w:rsidP="007452E8">
            <w:pPr>
              <w:rPr>
                <w:szCs w:val="22"/>
              </w:rPr>
            </w:pPr>
            <w:r w:rsidRPr="00FB100F">
              <w:rPr>
                <w:szCs w:val="22"/>
              </w:rPr>
              <w:t>Level 9, 60 Margaret Street, Sydney NSW 2000</w:t>
            </w:r>
          </w:p>
        </w:tc>
      </w:tr>
      <w:tr w:rsidR="00324B33" w:rsidRPr="00BD5DBD" w14:paraId="5322B989" w14:textId="77777777" w:rsidTr="00F865A7">
        <w:tc>
          <w:tcPr>
            <w:tcW w:w="1577" w:type="pct"/>
          </w:tcPr>
          <w:p w14:paraId="24F217E3" w14:textId="762CE03F" w:rsidR="00324B33" w:rsidRPr="00BD5DBD" w:rsidRDefault="00324B33" w:rsidP="007452E8">
            <w:pPr>
              <w:rPr>
                <w:i/>
                <w:szCs w:val="22"/>
              </w:rPr>
            </w:pPr>
            <w:r w:rsidRPr="00BD5DBD">
              <w:rPr>
                <w:i/>
                <w:szCs w:val="22"/>
              </w:rPr>
              <w:t>Dose forms:</w:t>
            </w:r>
          </w:p>
        </w:tc>
        <w:tc>
          <w:tcPr>
            <w:tcW w:w="3423" w:type="pct"/>
          </w:tcPr>
          <w:p w14:paraId="768B254C" w14:textId="73879A54" w:rsidR="00324B33" w:rsidRPr="00BD5DBD" w:rsidRDefault="003B5D70" w:rsidP="007452E8">
            <w:pPr>
              <w:rPr>
                <w:szCs w:val="22"/>
              </w:rPr>
            </w:pPr>
            <w:r w:rsidRPr="003B5D70">
              <w:rPr>
                <w:szCs w:val="22"/>
              </w:rPr>
              <w:t>Concentrate for solution for infusion</w:t>
            </w:r>
            <w:r>
              <w:rPr>
                <w:szCs w:val="22"/>
              </w:rPr>
              <w:t xml:space="preserve"> and </w:t>
            </w:r>
            <w:r w:rsidRPr="003B5D70">
              <w:rPr>
                <w:szCs w:val="22"/>
              </w:rPr>
              <w:t>solution for injection</w:t>
            </w:r>
          </w:p>
        </w:tc>
      </w:tr>
      <w:tr w:rsidR="00324B33" w:rsidRPr="00BD5DBD" w14:paraId="115243E6" w14:textId="77777777" w:rsidTr="00F865A7">
        <w:tc>
          <w:tcPr>
            <w:tcW w:w="1577" w:type="pct"/>
          </w:tcPr>
          <w:p w14:paraId="7634B062" w14:textId="7B1BEFDE" w:rsidR="00324B33" w:rsidRPr="00BD5DBD" w:rsidRDefault="00324B33" w:rsidP="007452E8">
            <w:pPr>
              <w:rPr>
                <w:i/>
                <w:szCs w:val="22"/>
              </w:rPr>
            </w:pPr>
            <w:r w:rsidRPr="00BD5DBD">
              <w:rPr>
                <w:i/>
                <w:szCs w:val="22"/>
              </w:rPr>
              <w:t>Strengths:</w:t>
            </w:r>
          </w:p>
        </w:tc>
        <w:tc>
          <w:tcPr>
            <w:tcW w:w="3423" w:type="pct"/>
          </w:tcPr>
          <w:p w14:paraId="5E5F83DB" w14:textId="73875C84" w:rsidR="00324B33" w:rsidRPr="00BD5DBD" w:rsidRDefault="009C3AEB" w:rsidP="007452E8">
            <w:pPr>
              <w:rPr>
                <w:szCs w:val="22"/>
              </w:rPr>
            </w:pPr>
            <w:r w:rsidRPr="00F14070">
              <w:t>100 mg/mL</w:t>
            </w:r>
            <w:r w:rsidR="00F357D1">
              <w:t xml:space="preserve"> and</w:t>
            </w:r>
            <w:r w:rsidRPr="00F14070">
              <w:t xml:space="preserve"> 300 mg/15 mL</w:t>
            </w:r>
          </w:p>
        </w:tc>
      </w:tr>
      <w:tr w:rsidR="00324B33" w:rsidRPr="00BD5DBD" w14:paraId="34B07BA6" w14:textId="77777777" w:rsidTr="00F865A7">
        <w:tc>
          <w:tcPr>
            <w:tcW w:w="1577" w:type="pct"/>
          </w:tcPr>
          <w:p w14:paraId="1C039224" w14:textId="7B1F138E" w:rsidR="00324B33" w:rsidRPr="00BD5DBD" w:rsidRDefault="00324B33" w:rsidP="007452E8">
            <w:pPr>
              <w:rPr>
                <w:i/>
                <w:szCs w:val="22"/>
              </w:rPr>
            </w:pPr>
            <w:r w:rsidRPr="00BD5DBD">
              <w:rPr>
                <w:i/>
                <w:szCs w:val="22"/>
              </w:rPr>
              <w:t>Containers:</w:t>
            </w:r>
          </w:p>
        </w:tc>
        <w:tc>
          <w:tcPr>
            <w:tcW w:w="3423" w:type="pct"/>
          </w:tcPr>
          <w:p w14:paraId="500A42C6" w14:textId="5BE15215" w:rsidR="00324B33" w:rsidRPr="00F357D1" w:rsidRDefault="00F357D1" w:rsidP="007452E8">
            <w:r>
              <w:t>A</w:t>
            </w:r>
            <w:r w:rsidRPr="00F14070">
              <w:t>utoinjector (pre-filled pen), pre-filled syringe</w:t>
            </w:r>
            <w:r>
              <w:t xml:space="preserve"> and</w:t>
            </w:r>
            <w:r w:rsidRPr="00F14070">
              <w:t xml:space="preserve"> vial</w:t>
            </w:r>
          </w:p>
        </w:tc>
      </w:tr>
      <w:tr w:rsidR="00324B33" w:rsidRPr="00BD5DBD" w14:paraId="176B6773" w14:textId="77777777" w:rsidTr="00F865A7">
        <w:tc>
          <w:tcPr>
            <w:tcW w:w="1577" w:type="pct"/>
          </w:tcPr>
          <w:p w14:paraId="71846159" w14:textId="4931C814" w:rsidR="00324B33" w:rsidRPr="00BD5DBD" w:rsidRDefault="00324B33" w:rsidP="007452E8">
            <w:pPr>
              <w:rPr>
                <w:i/>
                <w:szCs w:val="22"/>
              </w:rPr>
            </w:pPr>
            <w:r w:rsidRPr="00BD5DBD">
              <w:rPr>
                <w:i/>
                <w:szCs w:val="22"/>
              </w:rPr>
              <w:t>Pack sizes:</w:t>
            </w:r>
          </w:p>
        </w:tc>
        <w:tc>
          <w:tcPr>
            <w:tcW w:w="3423" w:type="pct"/>
          </w:tcPr>
          <w:p w14:paraId="76AB8251" w14:textId="77777777" w:rsidR="005A321C" w:rsidRPr="005A321C" w:rsidRDefault="005A321C" w:rsidP="005A321C">
            <w:pPr>
              <w:rPr>
                <w:szCs w:val="22"/>
              </w:rPr>
            </w:pPr>
            <w:r w:rsidRPr="005A321C">
              <w:rPr>
                <w:szCs w:val="22"/>
              </w:rPr>
              <w:t>One vial</w:t>
            </w:r>
          </w:p>
          <w:p w14:paraId="7E978F8F" w14:textId="2588502E" w:rsidR="00324B33" w:rsidRPr="00BD5DBD" w:rsidRDefault="005A321C" w:rsidP="005A321C">
            <w:pPr>
              <w:rPr>
                <w:szCs w:val="22"/>
              </w:rPr>
            </w:pPr>
            <w:r w:rsidRPr="005A321C">
              <w:rPr>
                <w:szCs w:val="22"/>
              </w:rPr>
              <w:t>2, 4, 6 autoinjector and pre-filled syringe</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04A0E204" w:rsidR="00324B33" w:rsidRPr="0026148E" w:rsidRDefault="006A68E8" w:rsidP="0026148E">
            <w:pPr>
              <w:rPr>
                <w:i/>
                <w:iCs/>
                <w:szCs w:val="22"/>
              </w:rPr>
            </w:pPr>
            <w:proofErr w:type="spellStart"/>
            <w:r w:rsidRPr="0026148E">
              <w:rPr>
                <w:i/>
                <w:iCs/>
                <w:szCs w:val="22"/>
              </w:rPr>
              <w:t>O</w:t>
            </w:r>
            <w:r w:rsidR="0026148E" w:rsidRPr="0026148E">
              <w:rPr>
                <w:i/>
                <w:iCs/>
                <w:szCs w:val="22"/>
              </w:rPr>
              <w:t>mvoh</w:t>
            </w:r>
            <w:proofErr w:type="spellEnd"/>
            <w:r w:rsidRPr="0026148E">
              <w:rPr>
                <w:i/>
                <w:iCs/>
                <w:szCs w:val="22"/>
              </w:rPr>
              <w:t xml:space="preserve"> is indicated for the treatment of moderately to severely active ulcerative colitis</w:t>
            </w:r>
            <w:r w:rsidR="0026148E" w:rsidRPr="0026148E">
              <w:rPr>
                <w:i/>
                <w:iCs/>
                <w:szCs w:val="22"/>
              </w:rPr>
              <w:t xml:space="preserve"> </w:t>
            </w:r>
            <w:r w:rsidRPr="0026148E">
              <w:rPr>
                <w:i/>
                <w:iCs/>
                <w:szCs w:val="22"/>
              </w:rPr>
              <w:t xml:space="preserve">(UC) in adult patients who have had an inadequate response </w:t>
            </w:r>
            <w:proofErr w:type="gramStart"/>
            <w:r w:rsidRPr="0026148E">
              <w:rPr>
                <w:i/>
                <w:iCs/>
                <w:szCs w:val="22"/>
              </w:rPr>
              <w:t>with,</w:t>
            </w:r>
            <w:proofErr w:type="gramEnd"/>
            <w:r w:rsidRPr="0026148E">
              <w:rPr>
                <w:i/>
                <w:iCs/>
                <w:szCs w:val="22"/>
              </w:rPr>
              <w:t xml:space="preserve"> lost response to, or</w:t>
            </w:r>
            <w:r w:rsidR="0026148E" w:rsidRPr="0026148E">
              <w:rPr>
                <w:i/>
                <w:iCs/>
                <w:szCs w:val="22"/>
              </w:rPr>
              <w:t xml:space="preserve"> </w:t>
            </w:r>
            <w:r w:rsidRPr="0026148E">
              <w:rPr>
                <w:i/>
                <w:iCs/>
                <w:szCs w:val="22"/>
              </w:rPr>
              <w:t>were intolerant to conventional therapy or a biological medicine, or have medical</w:t>
            </w:r>
            <w:r w:rsidR="0026148E" w:rsidRPr="0026148E">
              <w:rPr>
                <w:i/>
                <w:iCs/>
                <w:szCs w:val="22"/>
              </w:rPr>
              <w:t xml:space="preserve"> </w:t>
            </w:r>
            <w:r w:rsidRPr="0026148E">
              <w:rPr>
                <w:i/>
                <w:iCs/>
                <w:szCs w:val="22"/>
              </w:rPr>
              <w:t>contraindications to such therapies.</w:t>
            </w:r>
          </w:p>
        </w:tc>
      </w:tr>
      <w:tr w:rsidR="00324B33" w:rsidRPr="00BD5DBD" w14:paraId="5AFDEED3" w14:textId="77777777" w:rsidTr="00F865A7">
        <w:tc>
          <w:tcPr>
            <w:tcW w:w="1577" w:type="pct"/>
          </w:tcPr>
          <w:p w14:paraId="03884BD1" w14:textId="0D96BE11" w:rsidR="00324B33" w:rsidRPr="00BD5DBD" w:rsidRDefault="00324B33" w:rsidP="007452E8">
            <w:pPr>
              <w:rPr>
                <w:i/>
                <w:szCs w:val="22"/>
              </w:rPr>
            </w:pPr>
            <w:r w:rsidRPr="00BD5DBD">
              <w:rPr>
                <w:i/>
                <w:szCs w:val="22"/>
              </w:rPr>
              <w:t>Rout</w:t>
            </w:r>
            <w:r w:rsidR="006B2EBF">
              <w:rPr>
                <w:i/>
                <w:szCs w:val="22"/>
              </w:rPr>
              <w:t>e</w:t>
            </w:r>
            <w:r w:rsidRPr="00BD5DBD">
              <w:rPr>
                <w:i/>
                <w:szCs w:val="22"/>
              </w:rPr>
              <w:t>s of administration:</w:t>
            </w:r>
          </w:p>
        </w:tc>
        <w:tc>
          <w:tcPr>
            <w:tcW w:w="3423" w:type="pct"/>
          </w:tcPr>
          <w:p w14:paraId="1ED1357E" w14:textId="48833DE2" w:rsidR="00324B33" w:rsidRPr="00BD5DBD" w:rsidRDefault="009874C0" w:rsidP="007452E8">
            <w:pPr>
              <w:rPr>
                <w:szCs w:val="22"/>
              </w:rPr>
            </w:pPr>
            <w:r w:rsidRPr="009874C0">
              <w:rPr>
                <w:szCs w:val="22"/>
              </w:rPr>
              <w:t>Subcutaneous</w:t>
            </w:r>
            <w:r>
              <w:rPr>
                <w:szCs w:val="22"/>
              </w:rPr>
              <w:t>, and</w:t>
            </w:r>
            <w:r w:rsidRPr="009874C0">
              <w:rPr>
                <w:szCs w:val="22"/>
              </w:rPr>
              <w:t xml:space="preserve"> intravenous infusion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14D42B50" w14:textId="77777777" w:rsidR="008F68FE" w:rsidRPr="008F68FE" w:rsidRDefault="008F68FE" w:rsidP="008F68FE">
            <w:pPr>
              <w:rPr>
                <w:szCs w:val="22"/>
              </w:rPr>
            </w:pPr>
            <w:r w:rsidRPr="008F68FE">
              <w:rPr>
                <w:szCs w:val="22"/>
              </w:rPr>
              <w:t xml:space="preserve">Therapy with </w:t>
            </w:r>
            <w:proofErr w:type="spellStart"/>
            <w:r w:rsidRPr="008F68FE">
              <w:rPr>
                <w:szCs w:val="22"/>
              </w:rPr>
              <w:t>Omvoh</w:t>
            </w:r>
            <w:proofErr w:type="spellEnd"/>
            <w:r w:rsidRPr="008F68FE">
              <w:rPr>
                <w:szCs w:val="22"/>
              </w:rPr>
              <w:t xml:space="preserve"> is intended for use under the guidance and supervision of a healthcare professional experienced in the diagnosis and treatment of ulcerative colitis.</w:t>
            </w:r>
          </w:p>
          <w:p w14:paraId="2A8E5F20" w14:textId="77777777" w:rsidR="008F68FE" w:rsidRPr="008F68FE" w:rsidRDefault="008F68FE" w:rsidP="008F68FE">
            <w:pPr>
              <w:rPr>
                <w:szCs w:val="22"/>
              </w:rPr>
            </w:pPr>
            <w:proofErr w:type="spellStart"/>
            <w:r w:rsidRPr="008F68FE">
              <w:rPr>
                <w:szCs w:val="22"/>
              </w:rPr>
              <w:t>Omvoh</w:t>
            </w:r>
            <w:proofErr w:type="spellEnd"/>
            <w:r w:rsidRPr="008F68FE">
              <w:rPr>
                <w:szCs w:val="22"/>
              </w:rPr>
              <w:t xml:space="preserve"> is single use in one patient on one occasion only.</w:t>
            </w:r>
          </w:p>
          <w:p w14:paraId="4BD4ECF7" w14:textId="396AA236" w:rsidR="00666911" w:rsidRDefault="008F68FE" w:rsidP="008F68FE">
            <w:pPr>
              <w:rPr>
                <w:szCs w:val="22"/>
              </w:rPr>
            </w:pPr>
            <w:r w:rsidRPr="008F68FE">
              <w:rPr>
                <w:szCs w:val="22"/>
              </w:rPr>
              <w:t>Recommended dose regimen is different for induction and maintenance dose.</w:t>
            </w:r>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6DD08FE8" w14:textId="77777777" w:rsidR="00652BD7" w:rsidRDefault="00652BD7" w:rsidP="007967C3">
            <w:r>
              <w:t>B1</w:t>
            </w:r>
          </w:p>
          <w:p w14:paraId="554D6214" w14:textId="3B854A10" w:rsidR="00A62E28" w:rsidRPr="00A62E28" w:rsidRDefault="00A62E28" w:rsidP="00A62E28">
            <w:pPr>
              <w:rPr>
                <w:szCs w:val="22"/>
              </w:rPr>
            </w:pPr>
            <w:r w:rsidRPr="00A62E28">
              <w:rPr>
                <w:szCs w:val="22"/>
              </w:rPr>
              <w:t xml:space="preserve">Drugs which have been taken by only a limited number of pregnant women and women of childbearing age, without an increase in the frequency of malformation or other direct or </w:t>
            </w:r>
            <w:r w:rsidRPr="00A62E28">
              <w:rPr>
                <w:szCs w:val="22"/>
              </w:rPr>
              <w:lastRenderedPageBreak/>
              <w:t>indirect harmful effects on the human fetus having been observed.</w:t>
            </w:r>
          </w:p>
          <w:p w14:paraId="5820A06C" w14:textId="14B87E46" w:rsidR="00652BD7" w:rsidRDefault="00A62E28" w:rsidP="00A62E28">
            <w:pPr>
              <w:rPr>
                <w:szCs w:val="22"/>
              </w:rPr>
            </w:pPr>
            <w:r w:rsidRPr="00A62E28">
              <w:rPr>
                <w:szCs w:val="22"/>
              </w:rPr>
              <w:t>Studies in animals have not shown evidence of an increased occurrence of fetal damage.</w:t>
            </w:r>
          </w:p>
          <w:p w14:paraId="76497789" w14:textId="31EB20A1" w:rsidR="0017005C" w:rsidRPr="00BD5DBD" w:rsidRDefault="0070330F" w:rsidP="00652BD7">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2D1772A" w:rsidR="00324B33" w:rsidRDefault="00324B33" w:rsidP="00324B33">
      <w:pPr>
        <w:pStyle w:val="Heading3"/>
      </w:pPr>
      <w:bookmarkStart w:id="15" w:name="_Toc247691503"/>
      <w:bookmarkStart w:id="16" w:name="_Toc314842484"/>
      <w:bookmarkStart w:id="17" w:name="_Toc103679290"/>
      <w:bookmarkStart w:id="18" w:name="_Toc160629013"/>
      <w:r>
        <w:lastRenderedPageBreak/>
        <w:t>Product background</w:t>
      </w:r>
      <w:bookmarkEnd w:id="15"/>
      <w:bookmarkEnd w:id="16"/>
      <w:bookmarkEnd w:id="17"/>
      <w:bookmarkEnd w:id="18"/>
      <w:r w:rsidR="005605B4">
        <w:fldChar w:fldCharType="begin"/>
      </w:r>
      <w:r w:rsidR="005605B4">
        <w:instrText xml:space="preserve"> DOCVARIABLE vault_nd_86e32f7b-a569-490c-a2f9-f57f80b59682 \* MERGEFORMAT </w:instrText>
      </w:r>
      <w:r w:rsidR="005605B4">
        <w:fldChar w:fldCharType="separate"/>
      </w:r>
      <w:r w:rsidR="005605B4">
        <w:t xml:space="preserve"> </w:t>
      </w:r>
      <w:r w:rsidR="005605B4">
        <w:fldChar w:fldCharType="end"/>
      </w:r>
    </w:p>
    <w:p w14:paraId="59BF31D1" w14:textId="7C374CFF" w:rsidR="001500A8" w:rsidRDefault="00324B33" w:rsidP="00065839">
      <w:r w:rsidRPr="00065839">
        <w:t xml:space="preserve">This AusPAR describes the submission by </w:t>
      </w:r>
      <w:r w:rsidR="00520E70" w:rsidRPr="00520E70">
        <w:t>Eli Lilly Australia Pty Ltd</w:t>
      </w:r>
      <w:r w:rsidRPr="00065839">
        <w:t xml:space="preserve"> (the sponsor) to register </w:t>
      </w:r>
      <w:proofErr w:type="spellStart"/>
      <w:r w:rsidR="00206082">
        <w:t>Omvoh</w:t>
      </w:r>
      <w:proofErr w:type="spellEnd"/>
      <w:r w:rsidR="00206082">
        <w:t xml:space="preserve"> </w:t>
      </w:r>
      <w:r w:rsidRPr="00065839">
        <w:t>(</w:t>
      </w:r>
      <w:proofErr w:type="spellStart"/>
      <w:r w:rsidR="00206082">
        <w:t>mirikizumab</w:t>
      </w:r>
      <w:proofErr w:type="spellEnd"/>
      <w:r w:rsidRPr="00065839">
        <w:t xml:space="preserve">) </w:t>
      </w:r>
      <w:r w:rsidR="007F5564">
        <w:t>100</w:t>
      </w:r>
      <w:r w:rsidR="00EE0B90">
        <w:t xml:space="preserve"> mg/mL and </w:t>
      </w:r>
      <w:r w:rsidR="00EE0B90" w:rsidRPr="00EE0B90">
        <w:t>300</w:t>
      </w:r>
      <w:r w:rsidR="00EE0B90">
        <w:t> mg/15 mL, concentrate for solution for infusion and solution for injection,</w:t>
      </w:r>
      <w:r w:rsidR="002F1A0D">
        <w:t xml:space="preserve"> autoinjector (pre-filled pen), pre-filled syringe and vial, </w:t>
      </w:r>
      <w:r w:rsidRPr="00065839">
        <w:t>for the following proposed indication:</w:t>
      </w:r>
      <w:r w:rsidR="00D63760" w:rsidRPr="00065839">
        <w:rPr>
          <w:vertAlign w:val="superscript"/>
        </w:rPr>
        <w:footnoteReference w:id="2"/>
      </w:r>
    </w:p>
    <w:p w14:paraId="220B108C" w14:textId="05D5FFFA" w:rsidR="002F1A0D" w:rsidRPr="00AE0C16" w:rsidRDefault="00AE0C16" w:rsidP="00AE0C16">
      <w:pPr>
        <w:ind w:left="720"/>
        <w:rPr>
          <w:i/>
          <w:iCs/>
        </w:rPr>
      </w:pPr>
      <w:r w:rsidRPr="00AE0C16">
        <w:rPr>
          <w:i/>
          <w:iCs/>
        </w:rPr>
        <w:t xml:space="preserve">Treatment of moderately to severely active ulcerative colitis (UC) in patients who have had an inadequate response </w:t>
      </w:r>
      <w:proofErr w:type="gramStart"/>
      <w:r w:rsidRPr="00AE0C16">
        <w:rPr>
          <w:i/>
          <w:iCs/>
        </w:rPr>
        <w:t>with,</w:t>
      </w:r>
      <w:proofErr w:type="gramEnd"/>
      <w:r w:rsidRPr="00AE0C16">
        <w:rPr>
          <w:i/>
          <w:iCs/>
        </w:rPr>
        <w:t xml:space="preserve"> lost response to, or were intolerant to conventional therapy or a biologic treatment or a Janus kinase (JAK) inhibitor, or have medical contraindications to such therapies.</w:t>
      </w:r>
    </w:p>
    <w:p w14:paraId="1E63A2AE" w14:textId="04DD8876" w:rsidR="00CB6813" w:rsidRDefault="004444B0" w:rsidP="00CB6813">
      <w:pPr>
        <w:pStyle w:val="Heading4"/>
      </w:pPr>
      <w:bookmarkStart w:id="19" w:name="_Toc160629014"/>
      <w:bookmarkStart w:id="20" w:name="_Toc314842485"/>
      <w:bookmarkStart w:id="21" w:name="_Toc247691504"/>
      <w:r>
        <w:t>The d</w:t>
      </w:r>
      <w:r w:rsidR="00CB6813" w:rsidRPr="00C12D65">
        <w:t>isease</w:t>
      </w:r>
      <w:r w:rsidR="00E01E1E">
        <w:t>/condition</w:t>
      </w:r>
      <w:bookmarkEnd w:id="19"/>
      <w:r w:rsidR="005605B4">
        <w:fldChar w:fldCharType="begin"/>
      </w:r>
      <w:r w:rsidR="005605B4">
        <w:instrText xml:space="preserve"> DOCVARIABLE vault_nd_4af9471a-a353-46d1-b2ef-329a9ec33073 \* MERGEFORMAT </w:instrText>
      </w:r>
      <w:r w:rsidR="005605B4">
        <w:fldChar w:fldCharType="separate"/>
      </w:r>
      <w:r w:rsidR="005605B4">
        <w:t xml:space="preserve"> </w:t>
      </w:r>
      <w:r w:rsidR="005605B4">
        <w:fldChar w:fldCharType="end"/>
      </w:r>
    </w:p>
    <w:p w14:paraId="4542F9B3" w14:textId="473D0A52" w:rsidR="008456C3" w:rsidRPr="00F77953" w:rsidRDefault="008456C3" w:rsidP="00F77953">
      <w:r w:rsidRPr="00F77953">
        <w:t xml:space="preserve">One of two major forms of inflammatory bowel disease, ulcerative </w:t>
      </w:r>
      <w:r w:rsidRPr="000F781F">
        <w:t xml:space="preserve">colitis </w:t>
      </w:r>
      <w:r w:rsidR="005655D6" w:rsidRPr="000F781F">
        <w:t>(UC)</w:t>
      </w:r>
      <w:r w:rsidR="005655D6">
        <w:t xml:space="preserve"> </w:t>
      </w:r>
      <w:r w:rsidRPr="00F77953">
        <w:t>is characterised by episodes of mucosal colonic inflammation extending proximally from the rectum in a continuous fashion. Common symptoms include diarrhoea, which may be bloody, as well as urgency, abdominal pain and tenesmus. Severity of symptoms ranges from mild (</w:t>
      </w:r>
      <w:r w:rsidR="005D33A8">
        <w:t>for example,</w:t>
      </w:r>
      <w:r w:rsidRPr="00F77953">
        <w:t xml:space="preserve"> four or fewer bowel motions daily) to severe, with frequent episodes of bloody diarrhoea and systemic toxicity (</w:t>
      </w:r>
      <w:r w:rsidR="005D33A8">
        <w:t>for example,</w:t>
      </w:r>
      <w:r w:rsidRPr="00F77953">
        <w:t xml:space="preserve"> fever, fatigue, weight loss). Fulminant colitis requiring colectomy can occur.</w:t>
      </w:r>
    </w:p>
    <w:p w14:paraId="050AFDC2" w14:textId="31FB3829" w:rsidR="008456C3" w:rsidRPr="00F77953" w:rsidRDefault="008456C3" w:rsidP="00F77953">
      <w:r w:rsidRPr="00F77953">
        <w:t xml:space="preserve">Extraintestinal manifestations include arthritis, uveitis and primary sclerosing cholangitis. Complications, aside from those related to fulminant colitis, include </w:t>
      </w:r>
      <w:proofErr w:type="spellStart"/>
      <w:r w:rsidRPr="00F77953">
        <w:t>stricturing</w:t>
      </w:r>
      <w:proofErr w:type="spellEnd"/>
      <w:r w:rsidRPr="00F77953">
        <w:t xml:space="preserve"> and colorectal cancer. Despite the significant morbidity described, overall mortality rates in UC are only slightly higher than the general population (hazard ratio 1.2</w:t>
      </w:r>
      <w:r w:rsidR="00DF5599">
        <w:t>)</w:t>
      </w:r>
      <w:r w:rsidRPr="00F77953">
        <w:t>.</w:t>
      </w:r>
      <w:r w:rsidR="00B627BA">
        <w:rPr>
          <w:rStyle w:val="FootnoteReference"/>
        </w:rPr>
        <w:footnoteReference w:id="3"/>
      </w:r>
      <w:r w:rsidRPr="00F77953">
        <w:t xml:space="preserve"> Other studies show overall mortality rates that are the same as the general population.</w:t>
      </w:r>
    </w:p>
    <w:p w14:paraId="255E083A" w14:textId="3F9E355B" w:rsidR="00CB6813" w:rsidRDefault="00CB6813" w:rsidP="0027011C">
      <w:pPr>
        <w:pStyle w:val="Heading4"/>
        <w:pageBreakBefore/>
      </w:pPr>
      <w:bookmarkStart w:id="22" w:name="_Toc160629015"/>
      <w:r>
        <w:lastRenderedPageBreak/>
        <w:t>Current treatment options</w:t>
      </w:r>
      <w:bookmarkEnd w:id="22"/>
      <w:r w:rsidR="005605B4">
        <w:fldChar w:fldCharType="begin"/>
      </w:r>
      <w:r w:rsidR="005605B4">
        <w:instrText xml:space="preserve"> DOCVARIABLE vault_nd_a242e255-d0f1-4308-bfb7-6972ef8f1e74 \* MERGEFORMAT </w:instrText>
      </w:r>
      <w:r w:rsidR="005605B4">
        <w:fldChar w:fldCharType="separate"/>
      </w:r>
      <w:r w:rsidR="005605B4">
        <w:t xml:space="preserve"> </w:t>
      </w:r>
      <w:r w:rsidR="005605B4">
        <w:fldChar w:fldCharType="end"/>
      </w:r>
    </w:p>
    <w:p w14:paraId="0627695E" w14:textId="77780FF3" w:rsidR="00A4098B" w:rsidRPr="00A4098B" w:rsidRDefault="00A4098B" w:rsidP="00A4098B">
      <w:r w:rsidRPr="00A4098B">
        <w:t xml:space="preserve">Treatment aims to achieve disease modification, rather than just symptom control. There is an emphasis on earlier use of effective therapies to achieve and maintain corticosteroid-free remission and endoscopic healing. Distal disease may be treated with topical </w:t>
      </w:r>
      <w:r w:rsidR="000F781F">
        <w:t>5-</w:t>
      </w:r>
      <w:r w:rsidR="009A1769" w:rsidRPr="009A1769">
        <w:t>aminosalicylate</w:t>
      </w:r>
      <w:r w:rsidR="009A1769">
        <w:t xml:space="preserve"> </w:t>
      </w:r>
      <w:r w:rsidR="009A1769" w:rsidRPr="000F781F">
        <w:t>(</w:t>
      </w:r>
      <w:r w:rsidRPr="000F781F">
        <w:t>5ASA</w:t>
      </w:r>
      <w:r w:rsidR="009A1769">
        <w:t>)</w:t>
      </w:r>
      <w:r w:rsidRPr="00A4098B">
        <w:t xml:space="preserve"> agents or corticosteroids. Mild, but more proximal disease, may be treated with oral 5ASA agents. Moderate disease usually requires oral corticosteroids, but they are not suitable for long term use due to toxicity. In patients who have not responded adequately to the above treatments or in whom corticosteroids are unable to be weaned, as well as those with more severe disease, further lines of therapy include oral drugs </w:t>
      </w:r>
      <w:r w:rsidR="00284C6D">
        <w:t xml:space="preserve">(for example, </w:t>
      </w:r>
      <w:r w:rsidRPr="00A4098B">
        <w:t>azathioprine) and biological medicines (</w:t>
      </w:r>
      <w:r w:rsidR="00284C6D">
        <w:t xml:space="preserve">for example, </w:t>
      </w:r>
      <w:r w:rsidRPr="00A4098B">
        <w:t>infliximab).</w:t>
      </w:r>
    </w:p>
    <w:p w14:paraId="3101EFAD" w14:textId="155F1457" w:rsidR="00A4098B" w:rsidRDefault="00A4098B" w:rsidP="00A4098B">
      <w:r w:rsidRPr="00A4098B">
        <w:t xml:space="preserve">The </w:t>
      </w:r>
      <w:r w:rsidR="00284C6D">
        <w:t>Australian Register of Therapeu</w:t>
      </w:r>
      <w:r w:rsidR="00284C6D" w:rsidRPr="000F781F">
        <w:t>tic Goods (</w:t>
      </w:r>
      <w:r w:rsidRPr="000F781F">
        <w:t>ARTG</w:t>
      </w:r>
      <w:r w:rsidR="00284C6D" w:rsidRPr="000F781F">
        <w:t>)</w:t>
      </w:r>
      <w:r w:rsidRPr="000F781F">
        <w:t xml:space="preserve"> entries</w:t>
      </w:r>
      <w:r w:rsidRPr="00A4098B">
        <w:t xml:space="preserve"> for drugs with an indication for ulcerative colitis are as follows</w:t>
      </w:r>
      <w:r w:rsidR="00284C6D">
        <w:t>:</w:t>
      </w:r>
    </w:p>
    <w:p w14:paraId="46FAF662" w14:textId="77777777" w:rsidR="00E7129C" w:rsidRDefault="00E7129C" w:rsidP="00E7129C">
      <w:pPr>
        <w:pStyle w:val="ListBullet"/>
      </w:pPr>
      <w:r>
        <w:t>Topical agents given per rectum:</w:t>
      </w:r>
    </w:p>
    <w:p w14:paraId="24CADC94" w14:textId="77777777" w:rsidR="00E7129C" w:rsidRDefault="00E7129C" w:rsidP="00E7129C">
      <w:pPr>
        <w:pStyle w:val="ListBullet2"/>
      </w:pPr>
      <w:r>
        <w:t xml:space="preserve">5ASA drug - </w:t>
      </w:r>
      <w:proofErr w:type="spellStart"/>
      <w:r>
        <w:t>mesalazine</w:t>
      </w:r>
      <w:proofErr w:type="spellEnd"/>
    </w:p>
    <w:p w14:paraId="157CDE7A" w14:textId="34A1E34F" w:rsidR="00E7129C" w:rsidRDefault="00E7129C" w:rsidP="00E7129C">
      <w:pPr>
        <w:pStyle w:val="ListBullet2"/>
      </w:pPr>
      <w:r>
        <w:t xml:space="preserve">Corticosteroids </w:t>
      </w:r>
      <w:r w:rsidR="000F781F">
        <w:t>-</w:t>
      </w:r>
      <w:r>
        <w:t xml:space="preserve"> budesonide, hydrocortisone, prednisolone</w:t>
      </w:r>
    </w:p>
    <w:p w14:paraId="42DD9B68" w14:textId="77777777" w:rsidR="00E7129C" w:rsidRDefault="00E7129C" w:rsidP="00E7129C">
      <w:pPr>
        <w:pStyle w:val="ListBullet"/>
      </w:pPr>
      <w:r>
        <w:t>Small molecule oral drugs:</w:t>
      </w:r>
    </w:p>
    <w:p w14:paraId="4A9FBC86" w14:textId="4E7092E5" w:rsidR="00E7129C" w:rsidRDefault="00E7129C" w:rsidP="00E7129C">
      <w:pPr>
        <w:pStyle w:val="ListBullet2"/>
      </w:pPr>
      <w:r>
        <w:t xml:space="preserve">5ASA drugs </w:t>
      </w:r>
      <w:r w:rsidR="000F781F">
        <w:t>-</w:t>
      </w:r>
      <w:r>
        <w:t xml:space="preserve"> </w:t>
      </w:r>
      <w:proofErr w:type="spellStart"/>
      <w:r>
        <w:t>mesalazine</w:t>
      </w:r>
      <w:proofErr w:type="spellEnd"/>
      <w:r>
        <w:t xml:space="preserve">, sulfasalazine, </w:t>
      </w:r>
      <w:proofErr w:type="spellStart"/>
      <w:r>
        <w:t>balsalazide</w:t>
      </w:r>
      <w:proofErr w:type="spellEnd"/>
      <w:r>
        <w:t xml:space="preserve">, </w:t>
      </w:r>
      <w:proofErr w:type="spellStart"/>
      <w:r>
        <w:t>olsalazine</w:t>
      </w:r>
      <w:proofErr w:type="spellEnd"/>
    </w:p>
    <w:p w14:paraId="6D102F0D" w14:textId="1D68B271" w:rsidR="00E7129C" w:rsidRDefault="00E7129C" w:rsidP="00E7129C">
      <w:pPr>
        <w:pStyle w:val="ListBullet2"/>
      </w:pPr>
      <w:r>
        <w:t xml:space="preserve">Corticosteroids </w:t>
      </w:r>
      <w:r w:rsidR="000F781F">
        <w:t>-</w:t>
      </w:r>
      <w:r>
        <w:t xml:space="preserve"> prednisolone, dexamethasone, budesonide</w:t>
      </w:r>
    </w:p>
    <w:p w14:paraId="20EA05C7" w14:textId="0C12E2C5" w:rsidR="00E7129C" w:rsidRDefault="00671B1C" w:rsidP="00E7129C">
      <w:pPr>
        <w:pStyle w:val="ListBullet2"/>
      </w:pPr>
      <w:r w:rsidRPr="00671B1C">
        <w:t>Janus kinase</w:t>
      </w:r>
      <w:r>
        <w:t xml:space="preserve"> (</w:t>
      </w:r>
      <w:r w:rsidR="00E7129C" w:rsidRPr="000F781F">
        <w:t>JAK</w:t>
      </w:r>
      <w:r>
        <w:t>)</w:t>
      </w:r>
      <w:r w:rsidR="00E7129C">
        <w:t xml:space="preserve"> inhibitors </w:t>
      </w:r>
      <w:r w:rsidR="000F781F">
        <w:t>-</w:t>
      </w:r>
      <w:r w:rsidR="00E7129C">
        <w:t xml:space="preserve"> tofacitinib, upadacitinib</w:t>
      </w:r>
    </w:p>
    <w:p w14:paraId="4CEC671A" w14:textId="77777777" w:rsidR="00E7129C" w:rsidRDefault="00E7129C" w:rsidP="00E7129C">
      <w:pPr>
        <w:pStyle w:val="ListBullet2"/>
      </w:pPr>
      <w:r>
        <w:t>Sphingosine 1-phosphate receptor modulator - ozanimod</w:t>
      </w:r>
    </w:p>
    <w:p w14:paraId="243C390C" w14:textId="77777777" w:rsidR="00E7129C" w:rsidRDefault="00E7129C" w:rsidP="00E7129C">
      <w:pPr>
        <w:pStyle w:val="ListBullet2"/>
      </w:pPr>
      <w:r>
        <w:t>Whilst commonly used, thiopurine drugs do not have specific UC indications in the ARTG.</w:t>
      </w:r>
    </w:p>
    <w:p w14:paraId="09F021A8" w14:textId="77777777" w:rsidR="00E7129C" w:rsidRDefault="00E7129C" w:rsidP="00A4136D">
      <w:pPr>
        <w:pStyle w:val="ListBullet"/>
      </w:pPr>
      <w:r>
        <w:t>Biological drugs:</w:t>
      </w:r>
    </w:p>
    <w:p w14:paraId="5C47CEF8" w14:textId="35D5CCE3" w:rsidR="00E7129C" w:rsidRDefault="004F05DF" w:rsidP="00A4136D">
      <w:pPr>
        <w:pStyle w:val="ListBullet2"/>
      </w:pPr>
      <w:r w:rsidRPr="004F05DF">
        <w:t>Tumo</w:t>
      </w:r>
      <w:r w:rsidR="000F781F">
        <w:t>u</w:t>
      </w:r>
      <w:r w:rsidRPr="004F05DF">
        <w:t xml:space="preserve">r necrosis </w:t>
      </w:r>
      <w:r w:rsidRPr="000F781F">
        <w:t>factor (</w:t>
      </w:r>
      <w:r w:rsidR="00E7129C" w:rsidRPr="000F781F">
        <w:t>TNF</w:t>
      </w:r>
      <w:r w:rsidRPr="000F781F">
        <w:t>)</w:t>
      </w:r>
      <w:r w:rsidR="000F781F" w:rsidRPr="000F781F">
        <w:t xml:space="preserve"> </w:t>
      </w:r>
      <w:r w:rsidR="00E7129C" w:rsidRPr="000F781F">
        <w:t>- antagonist</w:t>
      </w:r>
      <w:r w:rsidR="00E7129C">
        <w:t xml:space="preserve"> drugs </w:t>
      </w:r>
      <w:r w:rsidR="000F781F">
        <w:t>-</w:t>
      </w:r>
      <w:r w:rsidR="00E7129C">
        <w:t xml:space="preserve"> infliximab, adalimumab, golimumab </w:t>
      </w:r>
    </w:p>
    <w:p w14:paraId="49DBEEFD" w14:textId="77777777" w:rsidR="00E7129C" w:rsidRDefault="00E7129C" w:rsidP="00A4136D">
      <w:pPr>
        <w:pStyle w:val="ListBullet2"/>
      </w:pPr>
      <w:r w:rsidRPr="0067786A">
        <w:t>α4β</w:t>
      </w:r>
      <w:r>
        <w:t>7 integrin inhibitor - vedolizumab</w:t>
      </w:r>
    </w:p>
    <w:p w14:paraId="156C3329" w14:textId="178D15D9" w:rsidR="00E7129C" w:rsidRDefault="00E7129C" w:rsidP="00A4136D">
      <w:pPr>
        <w:pStyle w:val="ListBullet2"/>
      </w:pPr>
      <w:r w:rsidRPr="000F781F">
        <w:t xml:space="preserve">Combined </w:t>
      </w:r>
      <w:r w:rsidR="000F781F" w:rsidRPr="000F781F">
        <w:t>i</w:t>
      </w:r>
      <w:r w:rsidR="005D27F9" w:rsidRPr="000F781F">
        <w:t>nterleukin (IL) 12</w:t>
      </w:r>
      <w:r w:rsidRPr="000F781F">
        <w:t>/IL</w:t>
      </w:r>
      <w:r w:rsidR="000F781F">
        <w:t>-</w:t>
      </w:r>
      <w:r>
        <w:t xml:space="preserve">23 inhibitor </w:t>
      </w:r>
      <w:r w:rsidR="000F781F">
        <w:t>-</w:t>
      </w:r>
      <w:r>
        <w:t xml:space="preserve"> </w:t>
      </w:r>
      <w:proofErr w:type="spellStart"/>
      <w:r>
        <w:t>ustekinumab</w:t>
      </w:r>
      <w:proofErr w:type="spellEnd"/>
    </w:p>
    <w:p w14:paraId="7C7C3E3E" w14:textId="5A14FB91" w:rsidR="00E7129C" w:rsidRDefault="00E7129C" w:rsidP="00E7129C">
      <w:r>
        <w:t xml:space="preserve">Ustekinumab is the Australian registered biological medicine most similar to mirikizumab and is </w:t>
      </w:r>
      <w:r w:rsidR="00A4136D">
        <w:t>‘</w:t>
      </w:r>
      <w:r>
        <w:t>indicated for the treatment of adult patients with moderately to severely active ulcerative colitis</w:t>
      </w:r>
      <w:r w:rsidR="00A4136D">
        <w:t>’</w:t>
      </w:r>
      <w:r>
        <w:t>.</w:t>
      </w:r>
    </w:p>
    <w:p w14:paraId="74895D8A" w14:textId="36D046F8" w:rsidR="001E69C3" w:rsidRDefault="001E69C3" w:rsidP="001E69C3">
      <w:pPr>
        <w:pStyle w:val="Heading4"/>
      </w:pPr>
      <w:bookmarkStart w:id="23" w:name="_Toc160629016"/>
      <w:r>
        <w:t>Assessing disease and response in clinical trials</w:t>
      </w:r>
      <w:bookmarkEnd w:id="23"/>
      <w:r w:rsidR="005605B4">
        <w:fldChar w:fldCharType="begin"/>
      </w:r>
      <w:r w:rsidR="005605B4">
        <w:instrText xml:space="preserve"> DOCVARIABLE vault_nd_aed7d029-bf73-4bcd-b6db-40bb5c6c822c \* MERGEFORMAT </w:instrText>
      </w:r>
      <w:r w:rsidR="005605B4">
        <w:fldChar w:fldCharType="separate"/>
      </w:r>
      <w:r w:rsidR="005605B4">
        <w:t xml:space="preserve"> </w:t>
      </w:r>
      <w:r w:rsidR="005605B4">
        <w:fldChar w:fldCharType="end"/>
      </w:r>
    </w:p>
    <w:p w14:paraId="7D2FE0AC" w14:textId="74B90A85" w:rsidR="00F3111E" w:rsidRPr="00F3111E" w:rsidRDefault="00F3111E" w:rsidP="00F3111E">
      <w:r w:rsidRPr="00F3111E">
        <w:t>Many scoring tools for UC have been developed, beginning with Truelove and Witt’s 1955 study, which included clinical symptoms, laboratory values and endoscopic assessment.</w:t>
      </w:r>
      <w:r w:rsidR="006B2D80">
        <w:rPr>
          <w:rStyle w:val="FootnoteReference"/>
        </w:rPr>
        <w:footnoteReference w:id="4"/>
      </w:r>
      <w:r w:rsidRPr="00F3111E">
        <w:t xml:space="preserve"> Since 1987, one of the most utilised scoring systems has been the Mayo Score, shown in </w:t>
      </w:r>
      <w:r w:rsidRPr="00F3111E">
        <w:fldChar w:fldCharType="begin"/>
      </w:r>
      <w:r w:rsidRPr="00F3111E">
        <w:instrText xml:space="preserve"> REF _Ref128577505 \h </w:instrText>
      </w:r>
      <w:r>
        <w:instrText xml:space="preserve"> \* MERGEFORMAT </w:instrText>
      </w:r>
      <w:r w:rsidRPr="00F3111E">
        <w:fldChar w:fldCharType="separate"/>
      </w:r>
      <w:r w:rsidR="00D777FF">
        <w:t>Table 1</w:t>
      </w:r>
      <w:r w:rsidRPr="00F3111E">
        <w:fldChar w:fldCharType="end"/>
      </w:r>
      <w:r w:rsidRPr="00F3111E">
        <w:t>.</w:t>
      </w:r>
      <w:r w:rsidR="00A77957">
        <w:rPr>
          <w:rStyle w:val="FootnoteReference"/>
        </w:rPr>
        <w:footnoteReference w:id="5"/>
      </w:r>
      <w:r w:rsidRPr="00F3111E">
        <w:t xml:space="preserve"> Due to concerns about assessment of mucosal friability (part of endoscopic score) and physician’s global assessment, a modified </w:t>
      </w:r>
      <w:r w:rsidRPr="000F781F">
        <w:t xml:space="preserve">Mayo score has been developed which excludes these problematic </w:t>
      </w:r>
      <w:r w:rsidRPr="000F781F">
        <w:lastRenderedPageBreak/>
        <w:t>components. The modified Mayo Score (</w:t>
      </w:r>
      <w:proofErr w:type="spellStart"/>
      <w:r w:rsidRPr="000F781F">
        <w:t>mMS</w:t>
      </w:r>
      <w:proofErr w:type="spellEnd"/>
      <w:r w:rsidRPr="000F781F">
        <w:t>) gives</w:t>
      </w:r>
      <w:r w:rsidRPr="00F3111E">
        <w:t xml:space="preserve"> a maximum score of 9 and consists of stool frequency, rectal </w:t>
      </w:r>
      <w:proofErr w:type="gramStart"/>
      <w:r w:rsidRPr="00F3111E">
        <w:t>bleeding</w:t>
      </w:r>
      <w:proofErr w:type="gramEnd"/>
      <w:r w:rsidRPr="00F3111E">
        <w:t xml:space="preserve"> and endoscopic components (</w:t>
      </w:r>
      <w:r w:rsidRPr="00F3111E">
        <w:fldChar w:fldCharType="begin"/>
      </w:r>
      <w:r w:rsidRPr="00F3111E">
        <w:instrText xml:space="preserve"> REF _Ref136359027 \h </w:instrText>
      </w:r>
      <w:r>
        <w:instrText xml:space="preserve"> \* MERGEFORMAT </w:instrText>
      </w:r>
      <w:r w:rsidRPr="00F3111E">
        <w:fldChar w:fldCharType="separate"/>
      </w:r>
      <w:r w:rsidR="00D777FF">
        <w:t>Figure 1</w:t>
      </w:r>
      <w:r w:rsidRPr="00F3111E">
        <w:fldChar w:fldCharType="end"/>
      </w:r>
      <w:r w:rsidRPr="00F3111E">
        <w:t>).</w:t>
      </w:r>
    </w:p>
    <w:p w14:paraId="30CB1B60" w14:textId="68C8C9B4" w:rsidR="00F3111E" w:rsidRPr="00F3111E" w:rsidRDefault="00F3111E" w:rsidP="00F3111E">
      <w:r w:rsidRPr="00F3111E">
        <w:t xml:space="preserve">The </w:t>
      </w:r>
      <w:r w:rsidR="00653E0B">
        <w:t>United States Food and Drug Administration (</w:t>
      </w:r>
      <w:r w:rsidRPr="000F781F">
        <w:t>FDA</w:t>
      </w:r>
      <w:r w:rsidR="00653E0B">
        <w:t>)</w:t>
      </w:r>
      <w:r w:rsidRPr="00F3111E">
        <w:t xml:space="preserve"> recommends </w:t>
      </w:r>
      <w:proofErr w:type="spellStart"/>
      <w:r w:rsidRPr="00F3111E">
        <w:t>mMS</w:t>
      </w:r>
      <w:proofErr w:type="spellEnd"/>
      <w:r w:rsidRPr="00F3111E">
        <w:t xml:space="preserve"> use to define the primary efficacy assessment in clinical trials of clinical remission, which is an </w:t>
      </w:r>
      <w:proofErr w:type="spellStart"/>
      <w:r w:rsidRPr="00F3111E">
        <w:t>mMS</w:t>
      </w:r>
      <w:proofErr w:type="spellEnd"/>
      <w:r w:rsidRPr="00F3111E">
        <w:t xml:space="preserve"> 0 </w:t>
      </w:r>
      <w:r w:rsidR="005D0D1B">
        <w:t xml:space="preserve">to </w:t>
      </w:r>
      <w:r w:rsidRPr="00F3111E">
        <w:t>2 (stool frequency 0 or 1; rectal bleeding 0; endoscopy score 0 or 1).</w:t>
      </w:r>
      <w:r w:rsidR="005D0D1B">
        <w:rPr>
          <w:rStyle w:val="FootnoteReference"/>
        </w:rPr>
        <w:footnoteReference w:id="6"/>
      </w:r>
      <w:r w:rsidRPr="00F3111E">
        <w:t xml:space="preserve"> The FDA defines clinical response, an important secondary endpoint for trials, as a decrease from </w:t>
      </w:r>
      <w:r w:rsidR="00791A03">
        <w:t>B</w:t>
      </w:r>
      <w:r w:rsidRPr="00F3111E">
        <w:t xml:space="preserve">aseline </w:t>
      </w:r>
      <w:proofErr w:type="spellStart"/>
      <w:r w:rsidRPr="00F3111E">
        <w:t>mMS</w:t>
      </w:r>
      <w:proofErr w:type="spellEnd"/>
      <w:r w:rsidRPr="00F3111E">
        <w:t xml:space="preserve"> of at least 2 points and 30%, as well a decrease in rectal bleeding score of at least 1 or an absolute rectal bleeding score of 0</w:t>
      </w:r>
      <w:r w:rsidR="000F781F">
        <w:t xml:space="preserve"> out of </w:t>
      </w:r>
      <w:r w:rsidRPr="00F3111E">
        <w:t xml:space="preserve">1. The TGA adopted </w:t>
      </w:r>
      <w:r w:rsidR="00022541">
        <w:t>European Medi</w:t>
      </w:r>
      <w:r w:rsidR="00022541" w:rsidRPr="000F781F">
        <w:t>cines Agency (</w:t>
      </w:r>
      <w:r w:rsidRPr="000F781F">
        <w:t>EMA</w:t>
      </w:r>
      <w:r w:rsidR="00022541" w:rsidRPr="000F781F">
        <w:t>)</w:t>
      </w:r>
      <w:r w:rsidRPr="000F781F">
        <w:t xml:space="preserve"> guideline</w:t>
      </w:r>
      <w:r w:rsidRPr="00F3111E">
        <w:t xml:space="preserve"> does indicate that remission should be the primary outcome, </w:t>
      </w:r>
      <w:proofErr w:type="gramStart"/>
      <w:r w:rsidRPr="00F3111E">
        <w:t>however</w:t>
      </w:r>
      <w:proofErr w:type="gramEnd"/>
      <w:r w:rsidRPr="00F3111E">
        <w:t xml:space="preserve"> does not advocate a particular scoring system to use.</w:t>
      </w:r>
      <w:r w:rsidR="00022541">
        <w:rPr>
          <w:rStyle w:val="FootnoteReference"/>
        </w:rPr>
        <w:footnoteReference w:id="7"/>
      </w:r>
    </w:p>
    <w:p w14:paraId="7AE5F322" w14:textId="0517A53E" w:rsidR="00F3111E" w:rsidRDefault="00F3111E" w:rsidP="00760B9E">
      <w:pPr>
        <w:pStyle w:val="TableTitle"/>
      </w:pPr>
      <w:bookmarkStart w:id="24" w:name="_Ref128577505"/>
      <w:r>
        <w:t xml:space="preserve">Table </w:t>
      </w:r>
      <w:fldSimple w:instr=" SEQ Table \* ARABIC ">
        <w:r w:rsidR="00D777FF">
          <w:rPr>
            <w:noProof/>
          </w:rPr>
          <w:t>1</w:t>
        </w:r>
      </w:fldSimple>
      <w:bookmarkEnd w:id="24"/>
      <w:r w:rsidR="00760B9E">
        <w:rPr>
          <w:noProof/>
        </w:rPr>
        <w:t>:</w:t>
      </w:r>
      <w:r>
        <w:t xml:space="preserve"> Mayo </w:t>
      </w:r>
      <w:r w:rsidR="000F781F">
        <w:t>s</w:t>
      </w:r>
      <w:r>
        <w:t>core</w:t>
      </w:r>
      <w:r w:rsidR="0099632D">
        <w:fldChar w:fldCharType="begin"/>
      </w:r>
      <w:r w:rsidR="0099632D">
        <w:instrText xml:space="preserve"> DOCVARIABLE vault_nd_896591be-ec7a-4d6a-a12d-cba396de0ddf \* MERGEFORMAT </w:instrText>
      </w:r>
      <w:r w:rsidR="0099632D">
        <w:fldChar w:fldCharType="separate"/>
      </w:r>
      <w:r w:rsidR="005605B4">
        <w:t xml:space="preserve"> </w:t>
      </w:r>
      <w:r w:rsidR="0099632D">
        <w:fldChar w:fldCharType="end"/>
      </w:r>
    </w:p>
    <w:p w14:paraId="62AD6792" w14:textId="77777777" w:rsidR="00F3111E" w:rsidRDefault="00F3111E" w:rsidP="00F3111E">
      <w:r>
        <w:rPr>
          <w:noProof/>
        </w:rPr>
        <w:drawing>
          <wp:inline distT="0" distB="0" distL="0" distR="0" wp14:anchorId="69E9FD57" wp14:editId="0BDE0D80">
            <wp:extent cx="5731510" cy="2774315"/>
            <wp:effectExtent l="0" t="0" r="2540" b="6985"/>
            <wp:docPr id="1" name="Picture 1" descr="Mayo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yo score"/>
                    <pic:cNvPicPr/>
                  </pic:nvPicPr>
                  <pic:blipFill>
                    <a:blip r:embed="rId21"/>
                    <a:stretch>
                      <a:fillRect/>
                    </a:stretch>
                  </pic:blipFill>
                  <pic:spPr>
                    <a:xfrm>
                      <a:off x="0" y="0"/>
                      <a:ext cx="5731510" cy="2774315"/>
                    </a:xfrm>
                    <a:prstGeom prst="rect">
                      <a:avLst/>
                    </a:prstGeom>
                  </pic:spPr>
                </pic:pic>
              </a:graphicData>
            </a:graphic>
          </wp:inline>
        </w:drawing>
      </w:r>
    </w:p>
    <w:p w14:paraId="77E66B68" w14:textId="2219FB62" w:rsidR="00F3111E" w:rsidRDefault="00F3111E" w:rsidP="0024563B">
      <w:pPr>
        <w:pStyle w:val="FigureTitle"/>
      </w:pPr>
      <w:bookmarkStart w:id="25" w:name="_Ref136359027"/>
      <w:r>
        <w:t xml:space="preserve">Figure </w:t>
      </w:r>
      <w:fldSimple w:instr=" SEQ Figure \* ARABIC ">
        <w:r w:rsidR="00D777FF">
          <w:rPr>
            <w:noProof/>
          </w:rPr>
          <w:t>1</w:t>
        </w:r>
      </w:fldSimple>
      <w:bookmarkEnd w:id="25"/>
      <w:r w:rsidR="0024563B">
        <w:rPr>
          <w:noProof/>
        </w:rPr>
        <w:t>:</w:t>
      </w:r>
      <w:r>
        <w:t xml:space="preserve"> Endoscopic </w:t>
      </w:r>
      <w:r w:rsidR="000F781F">
        <w:t>c</w:t>
      </w:r>
      <w:r>
        <w:t xml:space="preserve">omponents of Mayo </w:t>
      </w:r>
      <w:r w:rsidR="000F781F">
        <w:t>s</w:t>
      </w:r>
      <w:r>
        <w:t>core</w:t>
      </w:r>
      <w:r w:rsidR="0099632D">
        <w:fldChar w:fldCharType="begin"/>
      </w:r>
      <w:r w:rsidR="0099632D">
        <w:instrText xml:space="preserve"> DOCVARIABLE vault_nd_1a08d316-e942-48dc-92a7-63611288e4e1 \* MERGEFORMAT </w:instrText>
      </w:r>
      <w:r w:rsidR="0099632D">
        <w:fldChar w:fldCharType="separate"/>
      </w:r>
      <w:r w:rsidR="005605B4">
        <w:t xml:space="preserve"> </w:t>
      </w:r>
      <w:r w:rsidR="0099632D">
        <w:fldChar w:fldCharType="end"/>
      </w:r>
    </w:p>
    <w:p w14:paraId="5DB362D9" w14:textId="77777777" w:rsidR="00F3111E" w:rsidRDefault="00F3111E" w:rsidP="00F3111E">
      <w:r>
        <w:rPr>
          <w:noProof/>
        </w:rPr>
        <w:drawing>
          <wp:inline distT="0" distB="0" distL="0" distR="0" wp14:anchorId="7BA5EA4F" wp14:editId="6505908F">
            <wp:extent cx="4369636" cy="2343150"/>
            <wp:effectExtent l="0" t="0" r="0" b="0"/>
            <wp:docPr id="2" name="Picture 2" descr="Endoscopic components of Mayo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ndoscopic components of Mayo score"/>
                    <pic:cNvPicPr/>
                  </pic:nvPicPr>
                  <pic:blipFill rotWithShape="1">
                    <a:blip r:embed="rId22"/>
                    <a:srcRect t="22937" b="8244"/>
                    <a:stretch/>
                  </pic:blipFill>
                  <pic:spPr bwMode="auto">
                    <a:xfrm>
                      <a:off x="0" y="0"/>
                      <a:ext cx="4374262" cy="2345631"/>
                    </a:xfrm>
                    <a:prstGeom prst="rect">
                      <a:avLst/>
                    </a:prstGeom>
                    <a:ln>
                      <a:noFill/>
                    </a:ln>
                    <a:extLst>
                      <a:ext uri="{53640926-AAD7-44D8-BBD7-CCE9431645EC}">
                        <a14:shadowObscured xmlns:a14="http://schemas.microsoft.com/office/drawing/2010/main"/>
                      </a:ext>
                    </a:extLst>
                  </pic:spPr>
                </pic:pic>
              </a:graphicData>
            </a:graphic>
          </wp:inline>
        </w:drawing>
      </w:r>
    </w:p>
    <w:p w14:paraId="2C5DC33B" w14:textId="4E9D1C2B" w:rsidR="00284C6D" w:rsidRPr="00A4098B" w:rsidRDefault="00F3111E" w:rsidP="00A4098B">
      <w:r w:rsidRPr="0024563B">
        <w:t xml:space="preserve">In addition to these clinical/endoscopic systems, commonly used biomarkers, both in research and clinical care, include </w:t>
      </w:r>
      <w:r w:rsidR="00A70F48" w:rsidRPr="00A70F48">
        <w:t xml:space="preserve">C-reactive </w:t>
      </w:r>
      <w:r w:rsidR="00A70F48" w:rsidRPr="000F781F">
        <w:t>protein (</w:t>
      </w:r>
      <w:r w:rsidRPr="000F781F">
        <w:t>CRP</w:t>
      </w:r>
      <w:r w:rsidR="00A70F48" w:rsidRPr="000F781F">
        <w:t>)</w:t>
      </w:r>
      <w:r w:rsidRPr="000F781F">
        <w:t xml:space="preserve"> and</w:t>
      </w:r>
      <w:r w:rsidRPr="0024563B">
        <w:t xml:space="preserve"> faecal calprotectin.</w:t>
      </w:r>
    </w:p>
    <w:p w14:paraId="37C47E09" w14:textId="1AAE19C7" w:rsidR="00CB6813" w:rsidRDefault="00CB6813" w:rsidP="00CB6813">
      <w:pPr>
        <w:pStyle w:val="Heading4"/>
      </w:pPr>
      <w:bookmarkStart w:id="26" w:name="_Toc160629017"/>
      <w:r>
        <w:lastRenderedPageBreak/>
        <w:t>C</w:t>
      </w:r>
      <w:r w:rsidRPr="00DE1344">
        <w:t>linical rational</w:t>
      </w:r>
      <w:r w:rsidR="0025785B">
        <w:t>e</w:t>
      </w:r>
      <w:bookmarkEnd w:id="26"/>
      <w:r w:rsidR="005605B4">
        <w:fldChar w:fldCharType="begin"/>
      </w:r>
      <w:r w:rsidR="005605B4">
        <w:instrText xml:space="preserve"> DOCVARIABLE vault_nd_69cd41f0-c198-44d3-91cd-a37df516fa31 \* MERGEFORMAT </w:instrText>
      </w:r>
      <w:r w:rsidR="005605B4">
        <w:fldChar w:fldCharType="separate"/>
      </w:r>
      <w:r w:rsidR="005605B4">
        <w:t xml:space="preserve"> </w:t>
      </w:r>
      <w:r w:rsidR="005605B4">
        <w:fldChar w:fldCharType="end"/>
      </w:r>
    </w:p>
    <w:p w14:paraId="255C37CE" w14:textId="412FDFEE" w:rsidR="009C6644" w:rsidRPr="000D5711" w:rsidRDefault="009C6644" w:rsidP="000D5711">
      <w:r w:rsidRPr="000D5711">
        <w:t xml:space="preserve">Mirikizumab is a humanised </w:t>
      </w:r>
      <w:r w:rsidR="00402EE9" w:rsidRPr="000D5711">
        <w:t xml:space="preserve">immunoglobulin </w:t>
      </w:r>
      <w:r w:rsidR="003E411E" w:rsidRPr="000D5711">
        <w:t xml:space="preserve">G4 </w:t>
      </w:r>
      <w:r w:rsidRPr="000D5711">
        <w:t>monoclonal antibody that inhibits interleukin</w:t>
      </w:r>
      <w:r w:rsidR="000F781F">
        <w:noBreakHyphen/>
      </w:r>
      <w:r w:rsidRPr="000D5711">
        <w:t>23p19 (</w:t>
      </w:r>
      <w:r w:rsidRPr="000F781F">
        <w:t>IL-23p19</w:t>
      </w:r>
      <w:r w:rsidRPr="000D5711">
        <w:t>). It binds with high affinity and specificity to the p19 subunit of IL</w:t>
      </w:r>
      <w:r w:rsidR="003E411E" w:rsidRPr="000D5711">
        <w:noBreakHyphen/>
      </w:r>
      <w:r w:rsidRPr="000D5711">
        <w:t>23, a proinflammatory cytokine implicated in various inflammatory diseases, including ulcerative colitis. IL-23 has two components, the p40 and p19 subunits. As it shares p40 with IL</w:t>
      </w:r>
      <w:r w:rsidR="000D5711" w:rsidRPr="000D5711">
        <w:noBreakHyphen/>
      </w:r>
      <w:r w:rsidRPr="000D5711">
        <w:t>12, targeting p19 results in specificity for IL-23, which may improve clinical safety. This is on the basis that IL-12 is important for tumour immunity and protection from infection.</w:t>
      </w:r>
    </w:p>
    <w:p w14:paraId="63570430" w14:textId="05273BAB" w:rsidR="009C6644" w:rsidRPr="009C6644" w:rsidRDefault="009C6644" w:rsidP="009C6644">
      <w:r>
        <w:t>Three other monoclonal antibodies that appear on the ARTG selectively inhibit IL-23.</w:t>
      </w:r>
      <w:r w:rsidR="00AC2D1D">
        <w:t xml:space="preserve"> </w:t>
      </w:r>
      <w:r>
        <w:t xml:space="preserve">Risankizumab is indicated for psoriasis, psoriatic arthritis and Crohn’s disease. </w:t>
      </w:r>
      <w:proofErr w:type="spellStart"/>
      <w:r>
        <w:t>Guselkumab</w:t>
      </w:r>
      <w:proofErr w:type="spellEnd"/>
      <w:r>
        <w:t xml:space="preserve"> is indicated for plaque psoriasis and psoriatic arthritis. Tildrakizumab is indicated for plaque psoriasis. Another monoclonal antibody efficacious in ulcerative colitis, </w:t>
      </w:r>
      <w:proofErr w:type="spellStart"/>
      <w:r>
        <w:t>ustekinumab</w:t>
      </w:r>
      <w:proofErr w:type="spellEnd"/>
      <w:r>
        <w:t>, targets both IL-12 and IL-23. As well as infections and hypersensitivity reactions, rare serious toxicities associated with these agents have included non-infectious pneumonia and reversible posterior leukoencephalopathy syndrome (</w:t>
      </w:r>
      <w:proofErr w:type="spellStart"/>
      <w:r>
        <w:t>ustekinumab</w:t>
      </w:r>
      <w:proofErr w:type="spellEnd"/>
      <w:r>
        <w:t>) and hepatotoxicity (</w:t>
      </w:r>
      <w:proofErr w:type="spellStart"/>
      <w:r>
        <w:t>risankizumab</w:t>
      </w:r>
      <w:proofErr w:type="spellEnd"/>
      <w:r>
        <w:t>). There may be concern for malignancy on the basis of immunosuppression effects and some clinical trial data.</w:t>
      </w:r>
    </w:p>
    <w:p w14:paraId="0D615854" w14:textId="08A841ED" w:rsidR="00324B33" w:rsidRPr="003F31A2" w:rsidRDefault="00324B33" w:rsidP="00324B33">
      <w:pPr>
        <w:pStyle w:val="Heading3"/>
      </w:pPr>
      <w:bookmarkStart w:id="27" w:name="_Toc103679291"/>
      <w:bookmarkStart w:id="28" w:name="_Toc160629018"/>
      <w:r>
        <w:t>Regulatory status</w:t>
      </w:r>
      <w:bookmarkEnd w:id="20"/>
      <w:bookmarkEnd w:id="21"/>
      <w:bookmarkEnd w:id="27"/>
      <w:bookmarkEnd w:id="28"/>
      <w:r w:rsidR="005605B4">
        <w:fldChar w:fldCharType="begin"/>
      </w:r>
      <w:r w:rsidR="005605B4">
        <w:instrText xml:space="preserve"> DOCVARIABLE vault_nd_9fe33974-7897-4cc3-87dc-5a97395aa39f \* MERGEFORMAT </w:instrText>
      </w:r>
      <w:r w:rsidR="005605B4">
        <w:fldChar w:fldCharType="separate"/>
      </w:r>
      <w:r w:rsidR="005605B4">
        <w:t xml:space="preserve"> </w:t>
      </w:r>
      <w:r w:rsidR="005605B4">
        <w:fldChar w:fldCharType="end"/>
      </w:r>
    </w:p>
    <w:p w14:paraId="72C889D6" w14:textId="3C13CCE3" w:rsidR="0017005C" w:rsidRPr="00BD5DBD" w:rsidRDefault="0017005C" w:rsidP="00741AB9">
      <w:pPr>
        <w:pStyle w:val="Heading4"/>
      </w:pPr>
      <w:bookmarkStart w:id="29" w:name="_Toc160629019"/>
      <w:r w:rsidRPr="00BD5DBD">
        <w:t>Australian regulatory</w:t>
      </w:r>
      <w:r>
        <w:t xml:space="preserve"> sta</w:t>
      </w:r>
      <w:r w:rsidR="0025785B">
        <w:t>t</w:t>
      </w:r>
      <w:r>
        <w:t>us</w:t>
      </w:r>
      <w:bookmarkEnd w:id="29"/>
      <w:r w:rsidR="005605B4">
        <w:fldChar w:fldCharType="begin"/>
      </w:r>
      <w:r w:rsidR="005605B4">
        <w:instrText xml:space="preserve"> DOCVARIABLE vault_nd_a8334f2d-5fa5-41f5-bdbf-02a11295ab2c \* MERGEFORMAT </w:instrText>
      </w:r>
      <w:r w:rsidR="005605B4">
        <w:fldChar w:fldCharType="separate"/>
      </w:r>
      <w:r w:rsidR="005605B4">
        <w:t xml:space="preserve"> </w:t>
      </w:r>
      <w:r w:rsidR="005605B4">
        <w:fldChar w:fldCharType="end"/>
      </w:r>
    </w:p>
    <w:p w14:paraId="6A8633FA" w14:textId="3151EBEE" w:rsidR="00324B33" w:rsidRDefault="00324B33" w:rsidP="00324B33">
      <w:pPr>
        <w:rPr>
          <w:szCs w:val="22"/>
        </w:rPr>
      </w:pPr>
      <w:r w:rsidRPr="00BD5DBD">
        <w:rPr>
          <w:szCs w:val="22"/>
        </w:rPr>
        <w:t xml:space="preserve">This product is considered a </w:t>
      </w:r>
      <w:r w:rsidR="008C754C" w:rsidRPr="00BD5DBD">
        <w:rPr>
          <w:szCs w:val="22"/>
        </w:rPr>
        <w:t xml:space="preserve">new </w:t>
      </w:r>
      <w:r w:rsidRPr="00BD5DBD">
        <w:rPr>
          <w:szCs w:val="22"/>
        </w:rPr>
        <w:t>biological entity</w:t>
      </w:r>
      <w:r w:rsidR="00AC2D1D">
        <w:rPr>
          <w:szCs w:val="22"/>
        </w:rPr>
        <w:t xml:space="preserve"> </w:t>
      </w:r>
      <w:r w:rsidRPr="00BD5DBD">
        <w:rPr>
          <w:szCs w:val="22"/>
        </w:rPr>
        <w:t>for Australian regulatory purposes.</w:t>
      </w:r>
    </w:p>
    <w:p w14:paraId="4E5286C0" w14:textId="76C6EE8E" w:rsidR="00891C6C" w:rsidRDefault="0017005C" w:rsidP="008A5DCB">
      <w:pPr>
        <w:pStyle w:val="Heading4"/>
      </w:pPr>
      <w:bookmarkStart w:id="30" w:name="_Toc160629020"/>
      <w:r>
        <w:t>Foreign</w:t>
      </w:r>
      <w:r w:rsidRPr="00BD5DBD">
        <w:t xml:space="preserve"> regulatory</w:t>
      </w:r>
      <w:r>
        <w:t xml:space="preserve"> status</w:t>
      </w:r>
      <w:bookmarkEnd w:id="30"/>
      <w:r w:rsidR="005605B4">
        <w:fldChar w:fldCharType="begin"/>
      </w:r>
      <w:r w:rsidR="005605B4">
        <w:instrText xml:space="preserve"> DOCVARIABLE vault_nd_f326a203-3dab-4605-a142-a3bbc25ff40c \* MERGEFORMAT </w:instrText>
      </w:r>
      <w:r w:rsidR="005605B4">
        <w:fldChar w:fldCharType="separate"/>
      </w:r>
      <w:r w:rsidR="005605B4">
        <w:t xml:space="preserve"> </w:t>
      </w:r>
      <w:r w:rsidR="005605B4">
        <w:fldChar w:fldCharType="end"/>
      </w:r>
    </w:p>
    <w:p w14:paraId="3C09389F" w14:textId="112FEED4" w:rsidR="00C133AB" w:rsidRDefault="00C133AB" w:rsidP="00C133AB">
      <w:pPr>
        <w:rPr>
          <w:i/>
          <w:color w:val="007099"/>
        </w:rPr>
      </w:pPr>
      <w:r w:rsidRPr="00BD5DBD">
        <w:rPr>
          <w:szCs w:val="22"/>
        </w:rPr>
        <w:t xml:space="preserve">This submission was evaluated as part of the </w:t>
      </w:r>
      <w:hyperlink r:id="rId23" w:history="1">
        <w:r w:rsidRPr="00BD5DBD">
          <w:rPr>
            <w:rStyle w:val="Hyperlink"/>
            <w:szCs w:val="22"/>
          </w:rPr>
          <w:t>Australia-Canada-Singapore-Switzerland-United Kingdom (ACCESS) Consortium</w:t>
        </w:r>
      </w:hyperlink>
      <w:r w:rsidRPr="00BD5DBD">
        <w:rPr>
          <w:szCs w:val="22"/>
        </w:rPr>
        <w:t xml:space="preserve"> with work-sharing between the TGA</w:t>
      </w:r>
      <w:r w:rsidR="008A5DCB">
        <w:rPr>
          <w:szCs w:val="22"/>
        </w:rPr>
        <w:t xml:space="preserve"> and </w:t>
      </w:r>
      <w:r w:rsidRPr="00774789">
        <w:t>Swissmedic</w:t>
      </w:r>
      <w:r w:rsidR="008A5DCB">
        <w:t xml:space="preserve">. </w:t>
      </w:r>
      <w:r w:rsidRPr="00BD5DBD">
        <w:rPr>
          <w:szCs w:val="22"/>
        </w:rPr>
        <w:t xml:space="preserve">Each regulator made independent decisions regarding </w:t>
      </w:r>
      <w:r w:rsidRPr="0017005C">
        <w:t xml:space="preserve">approval </w:t>
      </w:r>
      <w:r w:rsidRPr="00774789">
        <w:t>(market authorisation) of the new medicine</w:t>
      </w:r>
      <w:r w:rsidR="00333369">
        <w:t>.</w:t>
      </w:r>
    </w:p>
    <w:p w14:paraId="7FDF4A0B" w14:textId="36C65EBB"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p>
    <w:p w14:paraId="19B9E0AC" w14:textId="214338A8" w:rsidR="00324B33" w:rsidRDefault="00324B33" w:rsidP="00324B33">
      <w:pPr>
        <w:pStyle w:val="TableTitle"/>
      </w:pPr>
      <w:bookmarkStart w:id="31" w:name="_Ref99705479"/>
      <w:r>
        <w:t xml:space="preserve">Table </w:t>
      </w:r>
      <w:fldSimple w:instr=" SEQ Table \* ARABIC ">
        <w:r w:rsidR="00D777FF">
          <w:rPr>
            <w:noProof/>
          </w:rPr>
          <w:t>2</w:t>
        </w:r>
      </w:fldSimple>
      <w:bookmarkEnd w:id="31"/>
      <w:r>
        <w:t>: International regulatory status</w:t>
      </w:r>
      <w:r w:rsidR="007A3E09">
        <w:t xml:space="preserve"> at the time of product registration.</w:t>
      </w:r>
      <w:r w:rsidR="0099632D">
        <w:fldChar w:fldCharType="begin"/>
      </w:r>
      <w:r w:rsidR="0099632D">
        <w:instrText xml:space="preserve"> DOCVARIABLE vault_nd_c8925a72-4f21-48b4-946c-0d343b75100b \* MERGEFORMAT </w:instrText>
      </w:r>
      <w:r w:rsidR="0099632D">
        <w:fldChar w:fldCharType="separate"/>
      </w:r>
      <w:r w:rsidR="005605B4">
        <w:t xml:space="preserve"> </w:t>
      </w:r>
      <w:r w:rsidR="0099632D">
        <w:fldChar w:fldCharType="end"/>
      </w:r>
    </w:p>
    <w:tbl>
      <w:tblPr>
        <w:tblStyle w:val="TableTGAblue2023"/>
        <w:tblW w:w="5000" w:type="pct"/>
        <w:tblLook w:val="04A0" w:firstRow="1" w:lastRow="0" w:firstColumn="1" w:lastColumn="0" w:noHBand="0" w:noVBand="1"/>
      </w:tblPr>
      <w:tblGrid>
        <w:gridCol w:w="1725"/>
        <w:gridCol w:w="2180"/>
        <w:gridCol w:w="2013"/>
        <w:gridCol w:w="3142"/>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7AEEC090" w:rsidR="00324B33" w:rsidRPr="00D01DDB" w:rsidRDefault="00000122" w:rsidP="00324B33">
            <w:pPr>
              <w:rPr>
                <w:szCs w:val="22"/>
              </w:rPr>
            </w:pPr>
            <w:r>
              <w:rPr>
                <w:szCs w:val="22"/>
              </w:rPr>
              <w:t>European Union</w:t>
            </w:r>
          </w:p>
        </w:tc>
        <w:tc>
          <w:tcPr>
            <w:tcW w:w="1018" w:type="pct"/>
          </w:tcPr>
          <w:p w14:paraId="4FA5DDA9" w14:textId="02B3EE1D" w:rsidR="00324B33" w:rsidRPr="00D01DDB" w:rsidRDefault="005C4C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April 2022</w:t>
            </w:r>
          </w:p>
        </w:tc>
        <w:tc>
          <w:tcPr>
            <w:tcW w:w="1173" w:type="pct"/>
          </w:tcPr>
          <w:p w14:paraId="29358393" w14:textId="2D8CF742"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5C4C42">
              <w:rPr>
                <w:szCs w:val="22"/>
              </w:rPr>
              <w:t>26</w:t>
            </w:r>
            <w:r w:rsidR="000F781F">
              <w:rPr>
                <w:szCs w:val="22"/>
              </w:rPr>
              <w:t> </w:t>
            </w:r>
            <w:r w:rsidR="005C4C42">
              <w:rPr>
                <w:szCs w:val="22"/>
              </w:rPr>
              <w:t>May 2023</w:t>
            </w:r>
          </w:p>
        </w:tc>
        <w:tc>
          <w:tcPr>
            <w:tcW w:w="1795" w:type="pct"/>
          </w:tcPr>
          <w:p w14:paraId="05055674" w14:textId="538AF089" w:rsidR="00324B33" w:rsidRPr="00BA652E" w:rsidRDefault="00BA652E" w:rsidP="00BA652E">
            <w:pPr>
              <w:cnfStyle w:val="000000000000" w:firstRow="0" w:lastRow="0" w:firstColumn="0" w:lastColumn="0" w:oddVBand="0" w:evenVBand="0" w:oddHBand="0" w:evenHBand="0" w:firstRowFirstColumn="0" w:firstRowLastColumn="0" w:lastRowFirstColumn="0" w:lastRowLastColumn="0"/>
              <w:rPr>
                <w:i/>
                <w:iCs/>
                <w:szCs w:val="22"/>
              </w:rPr>
            </w:pPr>
            <w:proofErr w:type="spellStart"/>
            <w:r w:rsidRPr="00BA652E">
              <w:rPr>
                <w:i/>
                <w:iCs/>
                <w:szCs w:val="22"/>
              </w:rPr>
              <w:t>Omvoh</w:t>
            </w:r>
            <w:proofErr w:type="spellEnd"/>
            <w:r w:rsidRPr="00BA652E">
              <w:rPr>
                <w:i/>
                <w:iCs/>
                <w:szCs w:val="22"/>
              </w:rPr>
              <w:t xml:space="preserve"> is indicated for the treatment of adult patients with moderately to severely active ulcerative colitis who have had an inadequate response </w:t>
            </w:r>
            <w:proofErr w:type="gramStart"/>
            <w:r w:rsidRPr="00BA652E">
              <w:rPr>
                <w:i/>
                <w:iCs/>
                <w:szCs w:val="22"/>
              </w:rPr>
              <w:t>with,</w:t>
            </w:r>
            <w:proofErr w:type="gramEnd"/>
            <w:r w:rsidRPr="00BA652E">
              <w:rPr>
                <w:i/>
                <w:iCs/>
                <w:szCs w:val="22"/>
              </w:rPr>
              <w:t xml:space="preserve"> lost response to, or were intolerant to either conventional therapy or a biologic treatment.</w:t>
            </w:r>
          </w:p>
        </w:tc>
      </w:tr>
      <w:tr w:rsidR="00324B3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435A7836" w:rsidR="00324B33" w:rsidRPr="00D01DDB" w:rsidRDefault="00BC782B" w:rsidP="00324B33">
            <w:pPr>
              <w:rPr>
                <w:szCs w:val="22"/>
              </w:rPr>
            </w:pPr>
            <w:r>
              <w:rPr>
                <w:szCs w:val="22"/>
              </w:rPr>
              <w:lastRenderedPageBreak/>
              <w:t>United Kingdom</w:t>
            </w:r>
          </w:p>
        </w:tc>
        <w:tc>
          <w:tcPr>
            <w:tcW w:w="1018" w:type="pct"/>
          </w:tcPr>
          <w:p w14:paraId="1D871E57" w14:textId="05744230" w:rsidR="00324B33" w:rsidRPr="00D01DDB" w:rsidRDefault="002B75E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September 2022</w:t>
            </w:r>
          </w:p>
        </w:tc>
        <w:tc>
          <w:tcPr>
            <w:tcW w:w="1173" w:type="pct"/>
          </w:tcPr>
          <w:p w14:paraId="63A3A9D3" w14:textId="3C591680" w:rsidR="00324B33" w:rsidRPr="00D01DDB" w:rsidRDefault="002B75E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28 June 2023</w:t>
            </w:r>
          </w:p>
        </w:tc>
        <w:tc>
          <w:tcPr>
            <w:tcW w:w="1795" w:type="pct"/>
          </w:tcPr>
          <w:p w14:paraId="17C650B8" w14:textId="7381B082" w:rsidR="00324B33" w:rsidRPr="00D01DDB" w:rsidRDefault="00E72415" w:rsidP="00324B33">
            <w:pPr>
              <w:cnfStyle w:val="000000000000" w:firstRow="0" w:lastRow="0" w:firstColumn="0" w:lastColumn="0" w:oddVBand="0" w:evenVBand="0" w:oddHBand="0" w:evenHBand="0" w:firstRowFirstColumn="0" w:firstRowLastColumn="0" w:lastRowFirstColumn="0" w:lastRowLastColumn="0"/>
              <w:rPr>
                <w:szCs w:val="22"/>
              </w:rPr>
            </w:pPr>
            <w:proofErr w:type="spellStart"/>
            <w:r w:rsidRPr="00BA652E">
              <w:rPr>
                <w:i/>
                <w:iCs/>
                <w:szCs w:val="22"/>
              </w:rPr>
              <w:t>Omvoh</w:t>
            </w:r>
            <w:proofErr w:type="spellEnd"/>
            <w:r w:rsidRPr="00BA652E">
              <w:rPr>
                <w:i/>
                <w:iCs/>
                <w:szCs w:val="22"/>
              </w:rPr>
              <w:t xml:space="preserve"> is indicated for the treatment of adult patients with moderately to severely active ulcerative colitis who have had an inadequate response </w:t>
            </w:r>
            <w:proofErr w:type="gramStart"/>
            <w:r w:rsidRPr="00BA652E">
              <w:rPr>
                <w:i/>
                <w:iCs/>
                <w:szCs w:val="22"/>
              </w:rPr>
              <w:t>with,</w:t>
            </w:r>
            <w:proofErr w:type="gramEnd"/>
            <w:r w:rsidRPr="00BA652E">
              <w:rPr>
                <w:i/>
                <w:iCs/>
                <w:szCs w:val="22"/>
              </w:rPr>
              <w:t xml:space="preserve"> lost response to, or were intolerant to either conventional therapy or a biologic treatment.</w:t>
            </w:r>
          </w:p>
        </w:tc>
      </w:tr>
      <w:tr w:rsidR="004416DB" w:rsidRPr="00D01DDB" w14:paraId="33EB6DEE"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2896F197" w14:textId="38971CA4" w:rsidR="004416DB" w:rsidRDefault="004416DB" w:rsidP="00324B33">
            <w:pPr>
              <w:rPr>
                <w:szCs w:val="22"/>
              </w:rPr>
            </w:pPr>
            <w:r>
              <w:rPr>
                <w:szCs w:val="22"/>
              </w:rPr>
              <w:t>Japan</w:t>
            </w:r>
          </w:p>
        </w:tc>
        <w:tc>
          <w:tcPr>
            <w:tcW w:w="1018" w:type="pct"/>
          </w:tcPr>
          <w:p w14:paraId="41BEE899" w14:textId="470BDFF7" w:rsidR="004416DB" w:rsidRPr="00D01DDB" w:rsidRDefault="00A1188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May 2022</w:t>
            </w:r>
          </w:p>
        </w:tc>
        <w:tc>
          <w:tcPr>
            <w:tcW w:w="1173" w:type="pct"/>
          </w:tcPr>
          <w:p w14:paraId="53EE1F01" w14:textId="10203B96" w:rsidR="004416DB" w:rsidRPr="00D01DDB" w:rsidRDefault="00A1188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27 March 2023</w:t>
            </w:r>
          </w:p>
        </w:tc>
        <w:tc>
          <w:tcPr>
            <w:tcW w:w="1795" w:type="pct"/>
          </w:tcPr>
          <w:p w14:paraId="2CE7D610" w14:textId="12177C2B" w:rsidR="00E72415" w:rsidRPr="00E72415" w:rsidRDefault="00E72415" w:rsidP="00E72415">
            <w:pPr>
              <w:cnfStyle w:val="000000000000" w:firstRow="0" w:lastRow="0" w:firstColumn="0" w:lastColumn="0" w:oddVBand="0" w:evenVBand="0" w:oddHBand="0" w:evenHBand="0" w:firstRowFirstColumn="0" w:firstRowLastColumn="0" w:lastRowFirstColumn="0" w:lastRowLastColumn="0"/>
              <w:rPr>
                <w:i/>
                <w:iCs/>
                <w:szCs w:val="22"/>
              </w:rPr>
            </w:pPr>
            <w:r w:rsidRPr="00E72415">
              <w:rPr>
                <w:i/>
                <w:iCs/>
                <w:szCs w:val="22"/>
              </w:rPr>
              <w:t>For moderate to severe ulcerative colitis who have inadequate response to conventional therapy(</w:t>
            </w:r>
            <w:proofErr w:type="spellStart"/>
            <w:r w:rsidRPr="00E72415">
              <w:rPr>
                <w:i/>
                <w:iCs/>
                <w:szCs w:val="22"/>
              </w:rPr>
              <w:t>ies</w:t>
            </w:r>
            <w:proofErr w:type="spellEnd"/>
            <w:r w:rsidRPr="00E72415">
              <w:rPr>
                <w:i/>
                <w:iCs/>
                <w:szCs w:val="22"/>
              </w:rPr>
              <w:t>).</w:t>
            </w:r>
          </w:p>
          <w:p w14:paraId="71285901" w14:textId="1DE7FDFA" w:rsidR="004416DB" w:rsidRPr="00D01DDB" w:rsidRDefault="00E72415" w:rsidP="00E72415">
            <w:pPr>
              <w:cnfStyle w:val="000000000000" w:firstRow="0" w:lastRow="0" w:firstColumn="0" w:lastColumn="0" w:oddVBand="0" w:evenVBand="0" w:oddHBand="0" w:evenHBand="0" w:firstRowFirstColumn="0" w:firstRowLastColumn="0" w:lastRowFirstColumn="0" w:lastRowLastColumn="0"/>
              <w:rPr>
                <w:szCs w:val="22"/>
              </w:rPr>
            </w:pPr>
            <w:r w:rsidRPr="00E72415">
              <w:rPr>
                <w:i/>
                <w:iCs/>
                <w:szCs w:val="22"/>
              </w:rPr>
              <w:t>(Conventional therapy(</w:t>
            </w:r>
            <w:proofErr w:type="spellStart"/>
            <w:r w:rsidRPr="00E72415">
              <w:rPr>
                <w:i/>
                <w:iCs/>
                <w:szCs w:val="22"/>
              </w:rPr>
              <w:t>ies</w:t>
            </w:r>
            <w:proofErr w:type="spellEnd"/>
            <w:r w:rsidRPr="00E72415">
              <w:rPr>
                <w:i/>
                <w:iCs/>
                <w:szCs w:val="22"/>
              </w:rPr>
              <w:t>): existing therapy(</w:t>
            </w:r>
            <w:proofErr w:type="spellStart"/>
            <w:r w:rsidRPr="00E72415">
              <w:rPr>
                <w:i/>
                <w:iCs/>
                <w:szCs w:val="22"/>
              </w:rPr>
              <w:t>ies</w:t>
            </w:r>
            <w:proofErr w:type="spellEnd"/>
            <w:r w:rsidRPr="00E72415">
              <w:rPr>
                <w:i/>
                <w:iCs/>
                <w:szCs w:val="22"/>
              </w:rPr>
              <w:t>), which include biologics and JAK inhibitors)</w:t>
            </w:r>
          </w:p>
        </w:tc>
      </w:tr>
      <w:tr w:rsidR="004416DB" w:rsidRPr="00D01DDB" w14:paraId="5C2689A0"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78F621AA" w14:textId="574E6C13" w:rsidR="004416DB" w:rsidRDefault="004416DB" w:rsidP="00324B33">
            <w:pPr>
              <w:rPr>
                <w:szCs w:val="22"/>
              </w:rPr>
            </w:pPr>
            <w:r>
              <w:rPr>
                <w:szCs w:val="22"/>
              </w:rPr>
              <w:t>United States of America</w:t>
            </w:r>
          </w:p>
        </w:tc>
        <w:tc>
          <w:tcPr>
            <w:tcW w:w="1018" w:type="pct"/>
          </w:tcPr>
          <w:p w14:paraId="15766B93" w14:textId="05505A2B" w:rsidR="004416DB" w:rsidRPr="00D01DDB" w:rsidRDefault="00A1188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March </w:t>
            </w:r>
            <w:r w:rsidR="0065162C">
              <w:rPr>
                <w:szCs w:val="22"/>
              </w:rPr>
              <w:t>2022</w:t>
            </w:r>
          </w:p>
        </w:tc>
        <w:tc>
          <w:tcPr>
            <w:tcW w:w="1173" w:type="pct"/>
          </w:tcPr>
          <w:p w14:paraId="7B09A0C5" w14:textId="77F595D0" w:rsidR="004416DB" w:rsidRPr="00D01DDB" w:rsidRDefault="00A1668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 October 2023</w:t>
            </w:r>
            <w:r w:rsidR="00AB5DB7">
              <w:rPr>
                <w:szCs w:val="22"/>
              </w:rPr>
              <w:t xml:space="preserve"> </w:t>
            </w:r>
          </w:p>
        </w:tc>
        <w:tc>
          <w:tcPr>
            <w:tcW w:w="1795" w:type="pct"/>
          </w:tcPr>
          <w:p w14:paraId="3B699283" w14:textId="31E2398E" w:rsidR="004416DB" w:rsidRPr="00D01DDB" w:rsidRDefault="00A16688" w:rsidP="00324B33">
            <w:pPr>
              <w:cnfStyle w:val="000000000000" w:firstRow="0" w:lastRow="0" w:firstColumn="0" w:lastColumn="0" w:oddVBand="0" w:evenVBand="0" w:oddHBand="0" w:evenHBand="0" w:firstRowFirstColumn="0" w:firstRowLastColumn="0" w:lastRowFirstColumn="0" w:lastRowLastColumn="0"/>
              <w:rPr>
                <w:szCs w:val="22"/>
              </w:rPr>
            </w:pPr>
            <w:r w:rsidRPr="00A16688">
              <w:rPr>
                <w:szCs w:val="22"/>
              </w:rPr>
              <w:t>OMVOH is indicated for the treatment of moderately to severely active ulcerative colitis in adults</w:t>
            </w:r>
          </w:p>
        </w:tc>
      </w:tr>
      <w:tr w:rsidR="004416DB" w:rsidRPr="00D01DDB" w14:paraId="5D2D8171"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59D4E415" w14:textId="77C6DE7B" w:rsidR="004416DB" w:rsidRDefault="005C4C42" w:rsidP="00324B33">
            <w:pPr>
              <w:rPr>
                <w:szCs w:val="22"/>
              </w:rPr>
            </w:pPr>
            <w:r>
              <w:rPr>
                <w:szCs w:val="22"/>
              </w:rPr>
              <w:t>Switzerland</w:t>
            </w:r>
          </w:p>
        </w:tc>
        <w:tc>
          <w:tcPr>
            <w:tcW w:w="1018" w:type="pct"/>
          </w:tcPr>
          <w:p w14:paraId="573EE0F4" w14:textId="0AFCEE4D" w:rsidR="004416DB" w:rsidRPr="00D01DDB" w:rsidRDefault="0065162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June 2022</w:t>
            </w:r>
          </w:p>
        </w:tc>
        <w:tc>
          <w:tcPr>
            <w:tcW w:w="1173" w:type="pct"/>
          </w:tcPr>
          <w:p w14:paraId="2248DCFD" w14:textId="15676A5A" w:rsidR="004416DB" w:rsidRPr="00D01DDB" w:rsidRDefault="0065162C"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c>
          <w:tcPr>
            <w:tcW w:w="1795" w:type="pct"/>
          </w:tcPr>
          <w:p w14:paraId="6052A269" w14:textId="69062E8C" w:rsidR="004416DB" w:rsidRPr="00D01DDB" w:rsidRDefault="0065162C"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r w:rsidR="005C4C42" w:rsidRPr="00D01DDB" w14:paraId="274DFF38"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675597A" w14:textId="3463793C" w:rsidR="005C4C42" w:rsidRDefault="005C4C42" w:rsidP="00324B33">
            <w:pPr>
              <w:rPr>
                <w:szCs w:val="22"/>
              </w:rPr>
            </w:pPr>
            <w:r>
              <w:rPr>
                <w:szCs w:val="22"/>
              </w:rPr>
              <w:t>Canada</w:t>
            </w:r>
          </w:p>
        </w:tc>
        <w:tc>
          <w:tcPr>
            <w:tcW w:w="1018" w:type="pct"/>
          </w:tcPr>
          <w:p w14:paraId="1EF685D9" w14:textId="1354289B" w:rsidR="005C4C42" w:rsidRPr="00D01DDB" w:rsidRDefault="0065162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July 2022</w:t>
            </w:r>
          </w:p>
        </w:tc>
        <w:tc>
          <w:tcPr>
            <w:tcW w:w="1173" w:type="pct"/>
          </w:tcPr>
          <w:p w14:paraId="72799837" w14:textId="4EC6C51E" w:rsidR="005C4C42" w:rsidRPr="00D01DDB" w:rsidRDefault="00A16688" w:rsidP="00324B33">
            <w:pPr>
              <w:cnfStyle w:val="000000000000" w:firstRow="0" w:lastRow="0" w:firstColumn="0" w:lastColumn="0" w:oddVBand="0" w:evenVBand="0" w:oddHBand="0" w:evenHBand="0" w:firstRowFirstColumn="0" w:firstRowLastColumn="0" w:lastRowFirstColumn="0" w:lastRowLastColumn="0"/>
              <w:rPr>
                <w:szCs w:val="22"/>
              </w:rPr>
            </w:pPr>
            <w:r w:rsidRPr="00A16688">
              <w:rPr>
                <w:szCs w:val="22"/>
              </w:rPr>
              <w:t>20 July 2023</w:t>
            </w:r>
          </w:p>
        </w:tc>
        <w:tc>
          <w:tcPr>
            <w:tcW w:w="1795" w:type="pct"/>
          </w:tcPr>
          <w:p w14:paraId="3DD173A3" w14:textId="3A84E325" w:rsidR="005C4C42" w:rsidRPr="00D01DDB" w:rsidRDefault="00A16688" w:rsidP="00324B33">
            <w:pPr>
              <w:cnfStyle w:val="000000000000" w:firstRow="0" w:lastRow="0" w:firstColumn="0" w:lastColumn="0" w:oddVBand="0" w:evenVBand="0" w:oddHBand="0" w:evenHBand="0" w:firstRowFirstColumn="0" w:firstRowLastColumn="0" w:lastRowFirstColumn="0" w:lastRowLastColumn="0"/>
              <w:rPr>
                <w:szCs w:val="22"/>
              </w:rPr>
            </w:pPr>
            <w:r w:rsidRPr="00A16688">
              <w:rPr>
                <w:szCs w:val="22"/>
              </w:rPr>
              <w:t>OMVOH (mirikizumab) is indicated for the treatment of adult patients with moderately to severely active ulcerative colitis who have had an inadequate response, loss of response, or were intolerant to conventional therapy, a biologic treatment, or a Janus kinase (JAK) inhibitor</w:t>
            </w:r>
          </w:p>
        </w:tc>
      </w:tr>
    </w:tbl>
    <w:p w14:paraId="6D92589C" w14:textId="238C15EE" w:rsidR="00324B33" w:rsidRDefault="00324B33" w:rsidP="006278D0">
      <w:pPr>
        <w:pStyle w:val="Heading2"/>
        <w:pageBreakBefore/>
      </w:pPr>
      <w:bookmarkStart w:id="32" w:name="_Toc504480011"/>
      <w:bookmarkStart w:id="33" w:name="_Toc103679293"/>
      <w:bookmarkStart w:id="34" w:name="_Toc160629021"/>
      <w:r>
        <w:lastRenderedPageBreak/>
        <w:t>Registration timeline</w:t>
      </w:r>
      <w:bookmarkEnd w:id="32"/>
      <w:bookmarkEnd w:id="33"/>
      <w:bookmarkEnd w:id="34"/>
      <w:r w:rsidR="005605B4">
        <w:fldChar w:fldCharType="begin"/>
      </w:r>
      <w:r w:rsidR="005605B4">
        <w:instrText xml:space="preserve"> DOCVARIABLE vault_nd_c081580f-ca38-4252-98b0-8ece993d9210 \* MERGEFORMAT </w:instrText>
      </w:r>
      <w:r w:rsidR="005605B4">
        <w:fldChar w:fldCharType="separate"/>
      </w:r>
      <w:r w:rsidR="005605B4">
        <w:t xml:space="preserve"> </w:t>
      </w:r>
      <w:r w:rsidR="005605B4">
        <w:fldChar w:fldCharType="end"/>
      </w:r>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4B2B0CE1" w14:textId="421FCAAD" w:rsidR="00535DFE" w:rsidRPr="001426D2" w:rsidRDefault="00477C4E" w:rsidP="001426D2">
      <w:pPr>
        <w:rPr>
          <w:szCs w:val="22"/>
        </w:rPr>
      </w:pPr>
      <w:r w:rsidRPr="00BD5DBD">
        <w:rPr>
          <w:szCs w:val="22"/>
        </w:rPr>
        <w:t xml:space="preserve">This submission was evaluated under the </w:t>
      </w:r>
      <w:hyperlink r:id="rId24" w:history="1">
        <w:r w:rsidRPr="00BD5DBD">
          <w:rPr>
            <w:rStyle w:val="Hyperlink"/>
            <w:szCs w:val="22"/>
          </w:rPr>
          <w:t>standard prescription medicines registration process</w:t>
        </w:r>
      </w:hyperlink>
      <w:r w:rsidRPr="00BD5DBD">
        <w:rPr>
          <w:szCs w:val="22"/>
        </w:rPr>
        <w:t>.</w:t>
      </w:r>
    </w:p>
    <w:p w14:paraId="44628C5F" w14:textId="5958E24E" w:rsidR="00324B33" w:rsidRDefault="00324B33" w:rsidP="002C1232">
      <w:pPr>
        <w:pStyle w:val="TableTitle"/>
      </w:pPr>
      <w:r w:rsidRPr="002C1232">
        <w:t xml:space="preserve">Table </w:t>
      </w:r>
      <w:fldSimple w:instr=" SEQ Table \* ARABIC ">
        <w:r w:rsidR="00D777FF">
          <w:rPr>
            <w:noProof/>
          </w:rPr>
          <w:t>3</w:t>
        </w:r>
      </w:fldSimple>
      <w:r w:rsidRPr="002C1232">
        <w:t xml:space="preserve">: Timeline for Submission </w:t>
      </w:r>
      <w:r w:rsidR="001426D2" w:rsidRPr="00AD526A">
        <w:t>PM-2022-02424-1-1</w:t>
      </w:r>
      <w:r w:rsidR="0099632D">
        <w:fldChar w:fldCharType="begin"/>
      </w:r>
      <w:r w:rsidR="0099632D">
        <w:instrText xml:space="preserve"> DOCVARIABLE vault_nd_c2f66e9e-a6ab-4650-a59e-46b2a4e9f034 \* MERGEFORMAT </w:instrText>
      </w:r>
      <w:r w:rsidR="0099632D">
        <w:fldChar w:fldCharType="separate"/>
      </w:r>
      <w:r w:rsidR="005605B4">
        <w:t xml:space="preserve"> </w:t>
      </w:r>
      <w:r w:rsidR="0099632D">
        <w:fldChar w:fldCharType="end"/>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627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6278D0">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E679D1">
            <w:r w:rsidRPr="00E679D1">
              <w:t>Submission dossier accepted and first round evaluation commenced</w:t>
            </w:r>
          </w:p>
        </w:tc>
        <w:tc>
          <w:tcPr>
            <w:tcW w:w="2410" w:type="dxa"/>
          </w:tcPr>
          <w:p w14:paraId="2963D9D8" w14:textId="00AB4B2C" w:rsidR="00324B33" w:rsidRPr="00D01DDB" w:rsidRDefault="00221EE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July 2022</w:t>
            </w:r>
          </w:p>
        </w:tc>
      </w:tr>
      <w:tr w:rsidR="00324B33" w:rsidRPr="00D01DDB" w14:paraId="53437815" w14:textId="77777777" w:rsidTr="006278D0">
        <w:tc>
          <w:tcPr>
            <w:cnfStyle w:val="001000000000" w:firstRow="0" w:lastRow="0" w:firstColumn="1" w:lastColumn="0" w:oddVBand="0" w:evenVBand="0" w:oddHBand="0" w:evenHBand="0" w:firstRowFirstColumn="0" w:firstRowLastColumn="0" w:lastRowFirstColumn="0" w:lastRowLastColumn="0"/>
            <w:tcW w:w="6232" w:type="dxa"/>
          </w:tcPr>
          <w:p w14:paraId="4C037D4E" w14:textId="2B0CE255" w:rsidR="00324B33" w:rsidRPr="00E679D1" w:rsidRDefault="00324B33" w:rsidP="00E679D1">
            <w:r w:rsidRPr="00E679D1">
              <w:t>First round evaluation completed</w:t>
            </w:r>
          </w:p>
        </w:tc>
        <w:tc>
          <w:tcPr>
            <w:tcW w:w="2410" w:type="dxa"/>
          </w:tcPr>
          <w:p w14:paraId="3CEAFAAB" w14:textId="31CC5F84" w:rsidR="00324B33" w:rsidRPr="00D01DDB" w:rsidRDefault="003A718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25 November 2022</w:t>
            </w:r>
          </w:p>
        </w:tc>
      </w:tr>
      <w:tr w:rsidR="00324B33" w:rsidRPr="00D01DDB" w14:paraId="60DA57CC" w14:textId="77777777" w:rsidTr="006278D0">
        <w:tc>
          <w:tcPr>
            <w:cnfStyle w:val="001000000000" w:firstRow="0" w:lastRow="0" w:firstColumn="1" w:lastColumn="0" w:oddVBand="0" w:evenVBand="0" w:oddHBand="0" w:evenHBand="0" w:firstRowFirstColumn="0" w:firstRowLastColumn="0" w:lastRowFirstColumn="0" w:lastRowLastColumn="0"/>
            <w:tcW w:w="6232" w:type="dxa"/>
          </w:tcPr>
          <w:p w14:paraId="02EA1147" w14:textId="2853A422" w:rsidR="00324B33" w:rsidRPr="00E679D1" w:rsidRDefault="00324B33" w:rsidP="00E679D1">
            <w:r w:rsidRPr="00E679D1">
              <w:t>Sponsor provides responses on questions raised in first round evaluation</w:t>
            </w:r>
          </w:p>
        </w:tc>
        <w:tc>
          <w:tcPr>
            <w:tcW w:w="2410" w:type="dxa"/>
          </w:tcPr>
          <w:p w14:paraId="68A577C1" w14:textId="2418F619" w:rsidR="00324B33" w:rsidRPr="00D01DDB" w:rsidRDefault="00D10A9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January 2023</w:t>
            </w:r>
          </w:p>
        </w:tc>
      </w:tr>
      <w:tr w:rsidR="00324B33" w:rsidRPr="00D01DDB" w14:paraId="767E33A4" w14:textId="77777777" w:rsidTr="006278D0">
        <w:tc>
          <w:tcPr>
            <w:cnfStyle w:val="001000000000" w:firstRow="0" w:lastRow="0" w:firstColumn="1" w:lastColumn="0" w:oddVBand="0" w:evenVBand="0" w:oddHBand="0" w:evenHBand="0" w:firstRowFirstColumn="0" w:firstRowLastColumn="0" w:lastRowFirstColumn="0" w:lastRowLastColumn="0"/>
            <w:tcW w:w="6232" w:type="dxa"/>
          </w:tcPr>
          <w:p w14:paraId="4AFC5B50" w14:textId="2BCC6A3E" w:rsidR="00324B33" w:rsidRPr="00E679D1" w:rsidRDefault="00324B33" w:rsidP="00E679D1">
            <w:r w:rsidRPr="00E679D1">
              <w:t>Second round evaluation completed</w:t>
            </w:r>
          </w:p>
        </w:tc>
        <w:tc>
          <w:tcPr>
            <w:tcW w:w="2410" w:type="dxa"/>
          </w:tcPr>
          <w:p w14:paraId="4E47DF62" w14:textId="022A6AA0" w:rsidR="00324B33" w:rsidRPr="00D01DDB" w:rsidRDefault="003A718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March 2023</w:t>
            </w:r>
          </w:p>
        </w:tc>
      </w:tr>
      <w:tr w:rsidR="00020FF2" w:rsidRPr="00D01DDB" w14:paraId="6BE6DD33" w14:textId="77777777" w:rsidTr="006278D0">
        <w:tc>
          <w:tcPr>
            <w:cnfStyle w:val="001000000000" w:firstRow="0" w:lastRow="0" w:firstColumn="1" w:lastColumn="0" w:oddVBand="0" w:evenVBand="0" w:oddHBand="0" w:evenHBand="0" w:firstRowFirstColumn="0" w:firstRowLastColumn="0" w:lastRowFirstColumn="0" w:lastRowLastColumn="0"/>
            <w:tcW w:w="6232" w:type="dxa"/>
          </w:tcPr>
          <w:p w14:paraId="14764CC8" w14:textId="43DE44A7" w:rsidR="00020FF2" w:rsidRPr="00E679D1" w:rsidRDefault="00020FF2" w:rsidP="00020FF2">
            <w:r>
              <w:t xml:space="preserve">Sponsor’s </w:t>
            </w:r>
            <w:r w:rsidRPr="00020FF2">
              <w:t>notification to the TGA of errors/omissions in evaluation reports</w:t>
            </w:r>
          </w:p>
        </w:tc>
        <w:tc>
          <w:tcPr>
            <w:tcW w:w="2410" w:type="dxa"/>
          </w:tcPr>
          <w:p w14:paraId="196C5433" w14:textId="047CD035" w:rsidR="00020FF2" w:rsidRPr="00D01DDB" w:rsidRDefault="00815C6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April 2023</w:t>
            </w:r>
          </w:p>
        </w:tc>
      </w:tr>
      <w:tr w:rsidR="00324B33" w:rsidRPr="00D01DDB" w14:paraId="302FCB45" w14:textId="77777777" w:rsidTr="006278D0">
        <w:tc>
          <w:tcPr>
            <w:cnfStyle w:val="001000000000" w:firstRow="0" w:lastRow="0" w:firstColumn="1" w:lastColumn="0" w:oddVBand="0" w:evenVBand="0" w:oddHBand="0" w:evenHBand="0" w:firstRowFirstColumn="0" w:firstRowLastColumn="0" w:lastRowFirstColumn="0" w:lastRowLastColumn="0"/>
            <w:tcW w:w="6232" w:type="dxa"/>
          </w:tcPr>
          <w:p w14:paraId="716E9DC1" w14:textId="1A2EF4A3" w:rsidR="00324B33" w:rsidRPr="00D01DDB" w:rsidRDefault="00324B33" w:rsidP="00324B33">
            <w:pPr>
              <w:rPr>
                <w:szCs w:val="22"/>
              </w:rPr>
            </w:pPr>
            <w:r w:rsidRPr="00D01DDB">
              <w:rPr>
                <w:szCs w:val="22"/>
              </w:rPr>
              <w:t>Delegate’s</w:t>
            </w:r>
            <w:r w:rsidR="00500D68">
              <w:rPr>
                <w:rStyle w:val="FootnoteReference"/>
                <w:szCs w:val="22"/>
              </w:rPr>
              <w:footnoteReference w:id="8"/>
            </w:r>
            <w:r w:rsidRPr="00D01DDB">
              <w:rPr>
                <w:szCs w:val="22"/>
              </w:rPr>
              <w:t xml:space="preserve"> Overall benefit-risk assessment </w:t>
            </w:r>
            <w:r w:rsidRPr="003A718C">
              <w:rPr>
                <w:color w:val="auto"/>
                <w:szCs w:val="22"/>
              </w:rPr>
              <w:t>and request for Advisory Committee advice</w:t>
            </w:r>
          </w:p>
        </w:tc>
        <w:tc>
          <w:tcPr>
            <w:tcW w:w="2410" w:type="dxa"/>
          </w:tcPr>
          <w:p w14:paraId="3BA6EF79" w14:textId="30B40082" w:rsidR="00324B33" w:rsidRPr="00D01DDB" w:rsidRDefault="00E02A2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June 2023</w:t>
            </w:r>
          </w:p>
        </w:tc>
      </w:tr>
      <w:tr w:rsidR="00324B33" w:rsidRPr="00D01DDB" w14:paraId="5832EBC8" w14:textId="77777777" w:rsidTr="006278D0">
        <w:tc>
          <w:tcPr>
            <w:cnfStyle w:val="001000000000" w:firstRow="0" w:lastRow="0" w:firstColumn="1" w:lastColumn="0" w:oddVBand="0" w:evenVBand="0" w:oddHBand="0" w:evenHBand="0" w:firstRowFirstColumn="0" w:firstRowLastColumn="0" w:lastRowFirstColumn="0" w:lastRowLastColumn="0"/>
            <w:tcW w:w="6232" w:type="dxa"/>
          </w:tcPr>
          <w:p w14:paraId="720592DE" w14:textId="1F72CD22" w:rsidR="00324B33" w:rsidRPr="00E679D1" w:rsidRDefault="00324B33" w:rsidP="00E679D1">
            <w:r w:rsidRPr="00E679D1">
              <w:t>Sponsor’s pre-Advisory Committee response</w:t>
            </w:r>
          </w:p>
        </w:tc>
        <w:tc>
          <w:tcPr>
            <w:tcW w:w="2410" w:type="dxa"/>
          </w:tcPr>
          <w:p w14:paraId="5AE04841" w14:textId="7E412771" w:rsidR="00324B33" w:rsidRPr="00D01DDB" w:rsidRDefault="00815C6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July 2023</w:t>
            </w:r>
          </w:p>
        </w:tc>
      </w:tr>
      <w:tr w:rsidR="00324B33" w:rsidRPr="00D01DDB" w14:paraId="5754F7AC" w14:textId="77777777" w:rsidTr="006278D0">
        <w:tc>
          <w:tcPr>
            <w:cnfStyle w:val="001000000000" w:firstRow="0" w:lastRow="0" w:firstColumn="1" w:lastColumn="0" w:oddVBand="0" w:evenVBand="0" w:oddHBand="0" w:evenHBand="0" w:firstRowFirstColumn="0" w:firstRowLastColumn="0" w:lastRowFirstColumn="0" w:lastRowLastColumn="0"/>
            <w:tcW w:w="6232" w:type="dxa"/>
          </w:tcPr>
          <w:p w14:paraId="789DE187" w14:textId="123446EE" w:rsidR="00324B33" w:rsidRPr="00E679D1" w:rsidRDefault="00324B33" w:rsidP="00E679D1">
            <w:r w:rsidRPr="00E679D1">
              <w:t>Advisory Committee meeting</w:t>
            </w:r>
          </w:p>
        </w:tc>
        <w:tc>
          <w:tcPr>
            <w:tcW w:w="2410" w:type="dxa"/>
          </w:tcPr>
          <w:p w14:paraId="5BE1EDE7" w14:textId="511C3733" w:rsidR="00324B33" w:rsidRPr="00D01DDB" w:rsidRDefault="00BF782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and 4 August 2023</w:t>
            </w:r>
          </w:p>
        </w:tc>
      </w:tr>
      <w:tr w:rsidR="00324B33" w:rsidRPr="00D01DDB" w14:paraId="6E5D32FE" w14:textId="77777777" w:rsidTr="006278D0">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t>Registration decision (Outcome)</w:t>
            </w:r>
          </w:p>
        </w:tc>
        <w:tc>
          <w:tcPr>
            <w:tcW w:w="2410" w:type="dxa"/>
          </w:tcPr>
          <w:p w14:paraId="62987ABD" w14:textId="7E5BF4A1" w:rsidR="00324B33" w:rsidRPr="00D01DDB" w:rsidRDefault="00FC46A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 September 2023</w:t>
            </w:r>
          </w:p>
        </w:tc>
      </w:tr>
      <w:tr w:rsidR="00324B33" w:rsidRPr="00D01DDB" w14:paraId="6DDCDDA4" w14:textId="77777777" w:rsidTr="006278D0">
        <w:tc>
          <w:tcPr>
            <w:cnfStyle w:val="001000000000" w:firstRow="0" w:lastRow="0" w:firstColumn="1" w:lastColumn="0" w:oddVBand="0" w:evenVBand="0" w:oddHBand="0" w:evenHBand="0" w:firstRowFirstColumn="0" w:firstRowLastColumn="0" w:lastRowFirstColumn="0" w:lastRowLastColumn="0"/>
            <w:tcW w:w="6232"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410" w:type="dxa"/>
          </w:tcPr>
          <w:p w14:paraId="5A8923FD" w14:textId="43A86BFE" w:rsidR="00324B33" w:rsidRPr="00D01DDB" w:rsidRDefault="00FC46A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September 2023</w:t>
            </w:r>
          </w:p>
        </w:tc>
      </w:tr>
      <w:tr w:rsidR="00324B33" w:rsidRPr="00D01DDB" w14:paraId="56D922E2" w14:textId="77777777" w:rsidTr="006278D0">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762E24AE" w:rsidR="00324B33" w:rsidRPr="00D01DDB" w:rsidRDefault="00FC46A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191</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1967CCA0" w:rsidR="00C22214" w:rsidRPr="00792A32" w:rsidRDefault="00C22214" w:rsidP="00C22214">
      <w:pPr>
        <w:pStyle w:val="Heading2"/>
      </w:pPr>
      <w:bookmarkStart w:id="35" w:name="_Toc196046504"/>
      <w:bookmarkStart w:id="36" w:name="_Toc247691527"/>
      <w:bookmarkStart w:id="37" w:name="_Toc314842510"/>
      <w:bookmarkStart w:id="38" w:name="_Toc103679294"/>
      <w:bookmarkStart w:id="39" w:name="_Toc160629022"/>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5"/>
      <w:bookmarkEnd w:id="36"/>
      <w:bookmarkEnd w:id="37"/>
      <w:bookmarkEnd w:id="38"/>
      <w:bookmarkEnd w:id="39"/>
      <w:r w:rsidR="005605B4">
        <w:fldChar w:fldCharType="begin"/>
      </w:r>
      <w:r w:rsidR="005605B4">
        <w:instrText xml:space="preserve"> DOCVARIABLE vault_nd_793e436c-8198-4008-9890-c384fd32c867 \* MERGEFORMAT </w:instrText>
      </w:r>
      <w:r w:rsidR="005605B4">
        <w:fldChar w:fldCharType="separate"/>
      </w:r>
      <w:r w:rsidR="005605B4">
        <w:t xml:space="preserve"> </w:t>
      </w:r>
      <w:r w:rsidR="005605B4">
        <w:fldChar w:fldCharType="end"/>
      </w:r>
    </w:p>
    <w:p w14:paraId="51B31CAB" w14:textId="12D0FC50" w:rsidR="00C22214" w:rsidRPr="00553D31" w:rsidRDefault="00C22214" w:rsidP="00553D31">
      <w:pPr>
        <w:rPr>
          <w:szCs w:val="22"/>
        </w:rPr>
      </w:pPr>
      <w:bookmarkStart w:id="40" w:name="_Toc247691528"/>
      <w:bookmarkStart w:id="41" w:name="_Toc314842511"/>
      <w:r w:rsidRPr="00BD5DBD">
        <w:rPr>
          <w:szCs w:val="22"/>
        </w:rPr>
        <w:t>A summary of the TGA’s assessment for this submission is provided below.</w:t>
      </w:r>
    </w:p>
    <w:p w14:paraId="5F5FAA14" w14:textId="77777777" w:rsidR="00C22214" w:rsidRPr="00BD5DBD" w:rsidRDefault="00C22214" w:rsidP="00C22214">
      <w:pPr>
        <w:rPr>
          <w:szCs w:val="22"/>
        </w:rPr>
      </w:pPr>
      <w:r w:rsidRPr="00BD5DBD">
        <w:rPr>
          <w:szCs w:val="22"/>
        </w:rPr>
        <w:t>This section is a TGA summary of wording used in TGA’s evaluation report, which discussed numerous aspects of overseas evaluation reports and included some information that was commercial-in-confidence.</w:t>
      </w:r>
    </w:p>
    <w:p w14:paraId="33103826" w14:textId="77777777" w:rsidR="00553D31" w:rsidRDefault="007072A1" w:rsidP="00966EF1">
      <w:pPr>
        <w:rPr>
          <w:szCs w:val="22"/>
        </w:rPr>
      </w:pPr>
      <w:r w:rsidRPr="00BD5DBD">
        <w:rPr>
          <w:szCs w:val="22"/>
        </w:rPr>
        <w:t>The following guideline was referred to by the Delegate as being relevant to this submission:</w:t>
      </w:r>
      <w:r w:rsidR="006A277A" w:rsidRPr="00BD5DBD">
        <w:rPr>
          <w:szCs w:val="22"/>
        </w:rPr>
        <w:t xml:space="preserve"> </w:t>
      </w:r>
    </w:p>
    <w:p w14:paraId="61FC7B00" w14:textId="2CF147E9" w:rsidR="004D0F04" w:rsidRDefault="004D0F04" w:rsidP="004D0F04">
      <w:pPr>
        <w:pStyle w:val="ListBullet"/>
        <w:numPr>
          <w:ilvl w:val="0"/>
          <w:numId w:val="14"/>
        </w:numPr>
        <w:spacing w:after="120"/>
        <w:ind w:left="357" w:hanging="357"/>
      </w:pPr>
      <w:r>
        <w:t xml:space="preserve">EMA: </w:t>
      </w:r>
      <w:hyperlink r:id="rId25" w:history="1">
        <w:r w:rsidRPr="00EE3862">
          <w:rPr>
            <w:rStyle w:val="Hyperlink"/>
          </w:rPr>
          <w:t>Guideline on the Development of New Medicinal Products for the Treatment of Ulcerative Colitis</w:t>
        </w:r>
      </w:hyperlink>
      <w:r>
        <w:t xml:space="preserve"> (</w:t>
      </w:r>
      <w:r w:rsidRPr="00C52BF5">
        <w:t>CHMP/EWP/18463/2006</w:t>
      </w:r>
      <w:r>
        <w:t>)</w:t>
      </w:r>
    </w:p>
    <w:p w14:paraId="2E078B8A" w14:textId="77777777" w:rsidR="004D0F04" w:rsidRDefault="004D0F04" w:rsidP="004D0F04">
      <w:pPr>
        <w:pStyle w:val="ListBullet"/>
        <w:numPr>
          <w:ilvl w:val="0"/>
          <w:numId w:val="0"/>
        </w:numPr>
        <w:ind w:left="357"/>
      </w:pPr>
      <w:r>
        <w:t>TGA-adopted, effective date: 8 April 2009</w:t>
      </w:r>
    </w:p>
    <w:p w14:paraId="60F8963E" w14:textId="174569FD" w:rsidR="00553D31" w:rsidRPr="00326D7E" w:rsidRDefault="004D0F04" w:rsidP="00326D7E">
      <w:r w:rsidRPr="00326D7E">
        <w:lastRenderedPageBreak/>
        <w:t xml:space="preserve">Note: </w:t>
      </w:r>
      <w:r w:rsidR="00326D7E" w:rsidRPr="00326D7E">
        <w:t>Although not TGA-adopted, the EMA released a revision to the above guideline in 2018 (CHMP/EWP/18463/2006 Rev.1)</w:t>
      </w:r>
    </w:p>
    <w:p w14:paraId="37F5A1C0" w14:textId="375A0DDC" w:rsidR="00C22214" w:rsidRDefault="00C22214" w:rsidP="00C22214">
      <w:pPr>
        <w:pStyle w:val="Heading3"/>
      </w:pPr>
      <w:bookmarkStart w:id="42" w:name="_Toc103679295"/>
      <w:bookmarkStart w:id="43" w:name="_Toc160629023"/>
      <w:r>
        <w:t>Quality</w:t>
      </w:r>
      <w:bookmarkEnd w:id="40"/>
      <w:bookmarkEnd w:id="41"/>
      <w:bookmarkEnd w:id="42"/>
      <w:bookmarkEnd w:id="43"/>
      <w:r w:rsidR="005605B4">
        <w:fldChar w:fldCharType="begin"/>
      </w:r>
      <w:r w:rsidR="005605B4">
        <w:instrText xml:space="preserve"> DOCVARIABLE vault_nd_1421b3d4-480e-4bb7-8000-1e6f5e1b2ca6 \* MERGEFORMAT </w:instrText>
      </w:r>
      <w:r w:rsidR="005605B4">
        <w:fldChar w:fldCharType="separate"/>
      </w:r>
      <w:r w:rsidR="005605B4">
        <w:t xml:space="preserve"> </w:t>
      </w:r>
      <w:r w:rsidR="005605B4">
        <w:fldChar w:fldCharType="end"/>
      </w:r>
    </w:p>
    <w:p w14:paraId="17839CE1" w14:textId="77777777" w:rsidR="004E71DB" w:rsidRPr="00244BDA" w:rsidRDefault="004E71DB" w:rsidP="00244BDA">
      <w:r w:rsidRPr="00244BDA">
        <w:t>A primary evaluation, as well as, evaluations of infectious disease/viral safety, container safety, microbiology (sterility) and endotoxin, have been undertaken.</w:t>
      </w:r>
    </w:p>
    <w:p w14:paraId="2F26229B" w14:textId="16A7BA31" w:rsidR="004E71DB" w:rsidRPr="00244BDA" w:rsidRDefault="004E71DB" w:rsidP="00244BDA">
      <w:r w:rsidRPr="00244BDA">
        <w:t xml:space="preserve">The molecular weight of mirikizumab is approximately 143,766 Da comprising two identical kappa light chains and two identical gamma heavy chains. It is produced using recombinant DNA technology and a cultivation process with nutritive feeds. Purification following bioreactor harvest includes </w:t>
      </w:r>
      <w:r w:rsidR="00244BDA" w:rsidRPr="00244BDA">
        <w:t>two</w:t>
      </w:r>
      <w:r w:rsidRPr="00244BDA">
        <w:t xml:space="preserve"> chromatography steps, viral inactivation/clearance, ultrafiltration/diafiltration, final formulation and final filtration. The purification process has been described in sufficient detail and is acceptable. The overall quality of the active substance has been demonstrated. Active substance manufacturing is in Ireland.</w:t>
      </w:r>
    </w:p>
    <w:p w14:paraId="650A56FE" w14:textId="307D9E13" w:rsidR="004E71DB" w:rsidRPr="00A112E4" w:rsidRDefault="004E71DB" w:rsidP="00A112E4">
      <w:r w:rsidRPr="00A112E4">
        <w:t xml:space="preserve">Specification for the active substance, including testing for appearance, purity, identity, quantity, potency, charge heterogeneity, endotoxins/bioburden and polysorbate 80, was acceptable. At the request of the TGA, the </w:t>
      </w:r>
      <w:r w:rsidR="00A112E4" w:rsidRPr="00A112E4">
        <w:t>s</w:t>
      </w:r>
      <w:r w:rsidRPr="00A112E4">
        <w:t>ponsor will submit active substance specifications after results for an additional 30 batches are available. This will be submitted to the TGA in a minor variation at the conclusion of the study.</w:t>
      </w:r>
    </w:p>
    <w:p w14:paraId="58B84170" w14:textId="75C2407B" w:rsidR="004E71DB" w:rsidRPr="00A112E4" w:rsidRDefault="004E71DB" w:rsidP="00A112E4">
      <w:r w:rsidRPr="00A112E4">
        <w:t xml:space="preserve">The drug product is manufactured into </w:t>
      </w:r>
      <w:r w:rsidR="00A112E4">
        <w:t>three</w:t>
      </w:r>
      <w:r w:rsidRPr="00A112E4">
        <w:t xml:space="preserve"> presentations:</w:t>
      </w:r>
    </w:p>
    <w:p w14:paraId="2FB3467F" w14:textId="330C1C8F" w:rsidR="004E71DB" w:rsidRPr="00A112E4" w:rsidRDefault="004E71DB" w:rsidP="00A112E4">
      <w:pPr>
        <w:pStyle w:val="ListBullet"/>
      </w:pPr>
      <w:r w:rsidRPr="00A112E4">
        <w:t>300</w:t>
      </w:r>
      <w:r w:rsidR="009D044C">
        <w:t> </w:t>
      </w:r>
      <w:r w:rsidRPr="00A112E4">
        <w:t>mg/15</w:t>
      </w:r>
      <w:r w:rsidR="009D044C">
        <w:t> </w:t>
      </w:r>
      <w:r w:rsidRPr="00A112E4">
        <w:t>mL (20</w:t>
      </w:r>
      <w:r w:rsidR="009D044C">
        <w:t> </w:t>
      </w:r>
      <w:r w:rsidRPr="00A112E4">
        <w:t>mg/mL) concentrated injection vial for intravenous infusion in 20</w:t>
      </w:r>
      <w:r w:rsidR="009D044C">
        <w:t> </w:t>
      </w:r>
      <w:r w:rsidRPr="00A112E4">
        <w:t>ml vial (type I glass) with a synthetic rubber stopper, an aluminium seal and a polypropylene flip-off cap.</w:t>
      </w:r>
    </w:p>
    <w:p w14:paraId="0BA443B1" w14:textId="676BE741" w:rsidR="004E71DB" w:rsidRPr="00A112E4" w:rsidRDefault="004E71DB" w:rsidP="00A112E4">
      <w:pPr>
        <w:pStyle w:val="ListBullet"/>
      </w:pPr>
      <w:r w:rsidRPr="00A112E4">
        <w:t>100</w:t>
      </w:r>
      <w:r w:rsidR="009D044C">
        <w:t> </w:t>
      </w:r>
      <w:r w:rsidRPr="00A112E4">
        <w:t xml:space="preserve">mg/mL solution in autoinjector (pre-filled pen) for subcutaneous injection in </w:t>
      </w:r>
      <w:r w:rsidR="009D044C">
        <w:t>1 </w:t>
      </w:r>
      <w:r w:rsidRPr="00A112E4">
        <w:t>ml syringe (type 1 glass) with attached 27G x 1/2” needle, polypropylene needle shield, and elastomer polymer plunger stopper.</w:t>
      </w:r>
    </w:p>
    <w:p w14:paraId="37C590B4" w14:textId="5B3B32C8" w:rsidR="004E71DB" w:rsidRPr="00A112E4" w:rsidRDefault="004E71DB" w:rsidP="00A112E4">
      <w:pPr>
        <w:pStyle w:val="ListBullet"/>
      </w:pPr>
      <w:r w:rsidRPr="00A112E4">
        <w:t>100</w:t>
      </w:r>
      <w:r w:rsidR="009D044C">
        <w:t> </w:t>
      </w:r>
      <w:r w:rsidRPr="00A112E4">
        <w:t>mg/mL solution in pre-filled syringe for subcutaneous injection in 1</w:t>
      </w:r>
      <w:r w:rsidR="009D044C">
        <w:t> </w:t>
      </w:r>
      <w:r w:rsidRPr="00A112E4">
        <w:t>ml syringe (type 1 glass) with attached 27G x 1/2” needle, polypropylene needle shield, and elastomer polymer plunger stopper.</w:t>
      </w:r>
    </w:p>
    <w:p w14:paraId="314D1418" w14:textId="77777777" w:rsidR="004E71DB" w:rsidRPr="00A93800" w:rsidRDefault="004E71DB" w:rsidP="00A93800">
      <w:r w:rsidRPr="00A93800">
        <w:t>The excipients are sodium citrate dihydrate, citric acid, sodium chloride, polysorbate 80 and water for injection. All the excipients are standard pharmaceutical ingredients.</w:t>
      </w:r>
    </w:p>
    <w:p w14:paraId="7508BA3A" w14:textId="6B10C3A4" w:rsidR="004E71DB" w:rsidRPr="00A93800" w:rsidRDefault="004E71DB" w:rsidP="00A93800">
      <w:r w:rsidRPr="00A93800">
        <w:t>The manufacturing has been adequately described and consists of buffer excipient solution compounding, drug product formulation compounding, sterile filtration, aseptic filling, stoppering and sealing and visual inspection. Of note, the drug product is consistent with what was used in the</w:t>
      </w:r>
      <w:r w:rsidR="0042715C" w:rsidRPr="00A93800">
        <w:t xml:space="preserve"> P</w:t>
      </w:r>
      <w:r w:rsidRPr="00A93800">
        <w:t xml:space="preserve">hase </w:t>
      </w:r>
      <w:r w:rsidR="0042715C" w:rsidRPr="00A93800">
        <w:t>III</w:t>
      </w:r>
      <w:r w:rsidRPr="00A93800">
        <w:t xml:space="preserve"> clinical trials. The manufacturing of this stage takes place at Eli Lily and Company in Indiana, USA. Swissmedic and the TGA have asked the </w:t>
      </w:r>
      <w:r w:rsidR="0042715C" w:rsidRPr="00A93800">
        <w:t>s</w:t>
      </w:r>
      <w:r w:rsidRPr="00A93800">
        <w:t>ponsor to provide additional batch data for drug product manufactured from drug substance manufactured at the Kinsale, Ireland, site. The results of this will be submitted to the TGA in a minor variation application.</w:t>
      </w:r>
    </w:p>
    <w:p w14:paraId="6ADD3748" w14:textId="77777777" w:rsidR="004E71DB" w:rsidRDefault="004E71DB" w:rsidP="004E71DB">
      <w:pPr>
        <w:rPr>
          <w:iCs/>
        </w:rPr>
      </w:pPr>
      <w:r>
        <w:rPr>
          <w:iCs/>
        </w:rPr>
        <w:t>Batch release quality control includes testing of identity, quantity, potency, purity, charge heterogeneity, sterility, bacterial endotoxin and several other general tests.</w:t>
      </w:r>
    </w:p>
    <w:p w14:paraId="439EBADE" w14:textId="5C956974" w:rsidR="004E71DB" w:rsidRDefault="004E71DB" w:rsidP="004E71DB">
      <w:pPr>
        <w:rPr>
          <w:iCs/>
        </w:rPr>
      </w:pPr>
      <w:r>
        <w:rPr>
          <w:iCs/>
        </w:rPr>
        <w:t xml:space="preserve">The recommended storage condition (drug product) is 24 months when stored at 2 </w:t>
      </w:r>
      <w:r w:rsidR="00A93800">
        <w:rPr>
          <w:iCs/>
        </w:rPr>
        <w:t xml:space="preserve">to </w:t>
      </w:r>
      <w:r>
        <w:rPr>
          <w:iCs/>
        </w:rPr>
        <w:t>8</w:t>
      </w:r>
      <w:r w:rsidR="002F17B5">
        <w:rPr>
          <w:iCs/>
        </w:rPr>
        <w:t> </w:t>
      </w:r>
      <w:r w:rsidR="002F17B5">
        <w:rPr>
          <w:iCs/>
          <w:vertAlign w:val="superscript"/>
        </w:rPr>
        <w:t>°</w:t>
      </w:r>
      <w:r>
        <w:rPr>
          <w:iCs/>
        </w:rPr>
        <w:t>C and protected from light. The in-use recommended storage conditions are:</w:t>
      </w:r>
    </w:p>
    <w:p w14:paraId="3B73BE46" w14:textId="7B64625E" w:rsidR="004E71DB" w:rsidRPr="002F17B5" w:rsidRDefault="004E71DB" w:rsidP="002F17B5">
      <w:pPr>
        <w:pStyle w:val="ListBullet"/>
      </w:pPr>
      <w:r w:rsidRPr="002F17B5">
        <w:t>14 days for the pre-filled syringe and autoinjector at no more than 30</w:t>
      </w:r>
      <w:r w:rsidR="002F17B5">
        <w:t> °</w:t>
      </w:r>
      <w:r w:rsidRPr="002F17B5">
        <w:t>C</w:t>
      </w:r>
    </w:p>
    <w:p w14:paraId="62576549" w14:textId="507AE4E2" w:rsidR="004E71DB" w:rsidRPr="002F17B5" w:rsidRDefault="004E71DB" w:rsidP="002F17B5">
      <w:pPr>
        <w:pStyle w:val="ListBullet"/>
      </w:pPr>
      <w:r w:rsidRPr="002F17B5">
        <w:t>96 total hours (including a maximum of 10 hours at temperature up to 25</w:t>
      </w:r>
      <w:r w:rsidR="00EB1027">
        <w:t> °</w:t>
      </w:r>
      <w:r w:rsidRPr="002F17B5">
        <w:t>C) at 2</w:t>
      </w:r>
      <w:r w:rsidR="00EB1027">
        <w:t xml:space="preserve"> to </w:t>
      </w:r>
      <w:r w:rsidRPr="002F17B5">
        <w:t>8</w:t>
      </w:r>
      <w:r w:rsidR="00EB1027">
        <w:t> °</w:t>
      </w:r>
      <w:r w:rsidRPr="002F17B5">
        <w:t>C when diluted in 0.9% sodium chloride solution.</w:t>
      </w:r>
    </w:p>
    <w:p w14:paraId="4DD583E6" w14:textId="2D815BD9" w:rsidR="004E71DB" w:rsidRPr="002F17B5" w:rsidRDefault="004E71DB" w:rsidP="002F17B5">
      <w:pPr>
        <w:pStyle w:val="ListBullet"/>
      </w:pPr>
      <w:r w:rsidRPr="002F17B5">
        <w:lastRenderedPageBreak/>
        <w:t>48 total hours (including a maximum of 5 hours at temperature up to 25</w:t>
      </w:r>
      <w:r w:rsidR="00EB1027">
        <w:t> °</w:t>
      </w:r>
      <w:r w:rsidRPr="002F17B5">
        <w:t>C) at 2</w:t>
      </w:r>
      <w:r w:rsidR="00EB1027">
        <w:t xml:space="preserve"> to </w:t>
      </w:r>
      <w:r w:rsidRPr="002F17B5">
        <w:t>8</w:t>
      </w:r>
      <w:r w:rsidR="00EB1027">
        <w:t> °</w:t>
      </w:r>
      <w:r w:rsidRPr="002F17B5">
        <w:t>C when diluted in 5% dextrose solution.</w:t>
      </w:r>
    </w:p>
    <w:p w14:paraId="3905D749" w14:textId="61C375B3" w:rsidR="00B61A41" w:rsidRDefault="004E71DB" w:rsidP="004E71DB">
      <w:pPr>
        <w:rPr>
          <w:iCs/>
        </w:rPr>
      </w:pPr>
      <w:r>
        <w:rPr>
          <w:iCs/>
        </w:rPr>
        <w:t xml:space="preserve">The </w:t>
      </w:r>
      <w:r w:rsidR="00EB1027">
        <w:rPr>
          <w:iCs/>
        </w:rPr>
        <w:t xml:space="preserve">quality evaluation </w:t>
      </w:r>
      <w:r>
        <w:rPr>
          <w:iCs/>
        </w:rPr>
        <w:t>had no objection on quality grounds for approval of mirikizumab</w:t>
      </w:r>
      <w:r w:rsidR="00B61A41">
        <w:rPr>
          <w:iCs/>
        </w:rPr>
        <w:t>.</w:t>
      </w:r>
    </w:p>
    <w:p w14:paraId="765E7F8B" w14:textId="27BF5287" w:rsidR="00CC3539" w:rsidRDefault="006E7CA0" w:rsidP="006E7CA0">
      <w:r>
        <w:t xml:space="preserve">The quality evaluation recommended conditions of registration relating to the </w:t>
      </w:r>
      <w:r w:rsidR="007F0A4F">
        <w:t>C</w:t>
      </w:r>
      <w:r w:rsidR="00CC3539">
        <w:t xml:space="preserve">ertified </w:t>
      </w:r>
      <w:r w:rsidR="007F0A4F">
        <w:t>P</w:t>
      </w:r>
      <w:r w:rsidR="00CC3539">
        <w:t xml:space="preserve">roduct </w:t>
      </w:r>
      <w:r w:rsidR="007F0A4F">
        <w:t>D</w:t>
      </w:r>
      <w:r w:rsidR="00CC3539">
        <w:t>et</w:t>
      </w:r>
      <w:r w:rsidR="00CC3539" w:rsidRPr="000F781F">
        <w:t xml:space="preserve">ails </w:t>
      </w:r>
      <w:r w:rsidR="007F0A4F" w:rsidRPr="000F781F">
        <w:t>(CPD) and</w:t>
      </w:r>
      <w:r w:rsidR="007F0A4F">
        <w:t xml:space="preserve"> product samples for laboratory testing.</w:t>
      </w:r>
    </w:p>
    <w:p w14:paraId="3B56427B" w14:textId="75FA4AA8" w:rsidR="0065205C" w:rsidRPr="0065205C" w:rsidRDefault="0065205C" w:rsidP="0065205C">
      <w:r w:rsidRPr="0065205C">
        <w:t xml:space="preserve">Although not conditions of registration, the </w:t>
      </w:r>
      <w:r>
        <w:t>s</w:t>
      </w:r>
      <w:r w:rsidRPr="0065205C">
        <w:t>ponsor has agreed to submit two post-registration minor variation applications, as mentioned above.</w:t>
      </w:r>
    </w:p>
    <w:p w14:paraId="2BE90AAE" w14:textId="562ED5D5" w:rsidR="00C22214" w:rsidRDefault="00C22214" w:rsidP="00C22214">
      <w:pPr>
        <w:pStyle w:val="Heading3"/>
      </w:pPr>
      <w:bookmarkStart w:id="44" w:name="_Toc314842512"/>
      <w:bookmarkStart w:id="45" w:name="_Toc103679296"/>
      <w:bookmarkStart w:id="46" w:name="_Toc160629024"/>
      <w:r>
        <w:t>Nonclinical</w:t>
      </w:r>
      <w:bookmarkEnd w:id="44"/>
      <w:bookmarkEnd w:id="45"/>
      <w:bookmarkEnd w:id="46"/>
      <w:r w:rsidR="005605B4">
        <w:fldChar w:fldCharType="begin"/>
      </w:r>
      <w:r w:rsidR="005605B4">
        <w:instrText xml:space="preserve"> DOCVARIABLE vault_nd_820d36ce-98c1-49e6-bb8b-00376dbca582 \* MERGEFORMAT </w:instrText>
      </w:r>
      <w:r w:rsidR="005605B4">
        <w:fldChar w:fldCharType="separate"/>
      </w:r>
      <w:r w:rsidR="005605B4">
        <w:t xml:space="preserve"> </w:t>
      </w:r>
      <w:r w:rsidR="005605B4">
        <w:fldChar w:fldCharType="end"/>
      </w:r>
    </w:p>
    <w:p w14:paraId="53B4EFBA" w14:textId="598A6551" w:rsidR="00864C01" w:rsidRPr="00DD436E" w:rsidRDefault="00864C01" w:rsidP="00DD436E">
      <w:r w:rsidRPr="00DD436E">
        <w:t xml:space="preserve">The submitted </w:t>
      </w:r>
      <w:r w:rsidR="00DD436E">
        <w:t xml:space="preserve">nonclinical </w:t>
      </w:r>
      <w:r w:rsidRPr="00DD436E">
        <w:t xml:space="preserve">dossier was in accordance with the relevant </w:t>
      </w:r>
      <w:r w:rsidR="000F781F" w:rsidRPr="000F781F">
        <w:t>International Council for Harmonisation (European Medicine Agency, European Union)</w:t>
      </w:r>
      <w:r w:rsidR="000F781F">
        <w:t xml:space="preserve"> </w:t>
      </w:r>
      <w:r w:rsidRPr="00DD436E">
        <w:t xml:space="preserve">guideline. The overall quality of the nonclinical dossier was generally </w:t>
      </w:r>
      <w:proofErr w:type="gramStart"/>
      <w:r w:rsidRPr="00DD436E">
        <w:t>high</w:t>
      </w:r>
      <w:proofErr w:type="gramEnd"/>
      <w:r w:rsidRPr="00DD436E">
        <w:t xml:space="preserve"> and all safety studies were </w:t>
      </w:r>
      <w:r w:rsidR="00150DFD">
        <w:t xml:space="preserve">Good Laboratory Practice </w:t>
      </w:r>
      <w:r w:rsidR="000F781F">
        <w:t xml:space="preserve">(GLP) </w:t>
      </w:r>
      <w:r w:rsidRPr="00DD436E">
        <w:t xml:space="preserve">compliant. There were no nonclinical objections to the registration of </w:t>
      </w:r>
      <w:proofErr w:type="spellStart"/>
      <w:r w:rsidRPr="00DD436E">
        <w:t>O</w:t>
      </w:r>
      <w:r w:rsidR="008A1A6A">
        <w:t>mvoh</w:t>
      </w:r>
      <w:proofErr w:type="spellEnd"/>
      <w:r w:rsidRPr="00DD436E">
        <w:t>. Amendments to the initially submitted Product In</w:t>
      </w:r>
      <w:r w:rsidRPr="000F781F">
        <w:t>formation</w:t>
      </w:r>
      <w:r w:rsidR="001B3834" w:rsidRPr="000F781F">
        <w:t xml:space="preserve"> (PI)</w:t>
      </w:r>
      <w:r w:rsidRPr="00DD436E">
        <w:t xml:space="preserve"> were requested.</w:t>
      </w:r>
    </w:p>
    <w:p w14:paraId="5F5D9AA5" w14:textId="05CD87EE" w:rsidR="00864C01" w:rsidRPr="00DD436E" w:rsidRDefault="00864C01" w:rsidP="00DD436E">
      <w:r w:rsidRPr="00DD436E">
        <w:t>Mirikizumab binds with picomolar affinity to the p19 domain of IL</w:t>
      </w:r>
      <w:r w:rsidR="003557EF">
        <w:noBreakHyphen/>
      </w:r>
      <w:r w:rsidRPr="00DD436E">
        <w:t>23 and inhibits binding to the IL</w:t>
      </w:r>
      <w:r w:rsidR="003557EF">
        <w:noBreakHyphen/>
      </w:r>
      <w:r w:rsidRPr="00DD436E">
        <w:t>23 receptor. IL</w:t>
      </w:r>
      <w:r w:rsidR="003557EF">
        <w:noBreakHyphen/>
      </w:r>
      <w:r w:rsidRPr="00DD436E">
        <w:t>23 can still interact with the IL</w:t>
      </w:r>
      <w:r w:rsidR="003557EF">
        <w:noBreakHyphen/>
      </w:r>
      <w:r w:rsidRPr="00DD436E">
        <w:t xml:space="preserve">12 receptor (via its p40 domain). Mirikizumab did not bind to IL-12 or related interleukins (IL-27 or IL-35). In mouse splenocytes and human peripheral blood mononuclear cells, mirikizumab inhibited IL-23 induced IL-17 production, and this is thought to represent at least part of its mechanism of action in ulcerative colitis. </w:t>
      </w:r>
      <w:r w:rsidRPr="00E469C9">
        <w:rPr>
          <w:i/>
          <w:iCs/>
        </w:rPr>
        <w:t>In vitro</w:t>
      </w:r>
      <w:r w:rsidRPr="00DD436E">
        <w:t xml:space="preserve"> efficacy was observed in the picomolar range, which is well below the maintenance trough concentration of 12</w:t>
      </w:r>
      <w:r w:rsidR="00E469C9">
        <w:t> </w:t>
      </w:r>
      <w:r w:rsidRPr="00DD436E">
        <w:t>n</w:t>
      </w:r>
      <w:r w:rsidR="000F781F">
        <w:t>m</w:t>
      </w:r>
      <w:r w:rsidRPr="00DD436E">
        <w:t>.</w:t>
      </w:r>
    </w:p>
    <w:p w14:paraId="2502913F" w14:textId="0607A4CD" w:rsidR="00864C01" w:rsidRPr="00DD436E" w:rsidRDefault="00864C01" w:rsidP="00DD436E">
      <w:r w:rsidRPr="00DD436E">
        <w:t>Cynomolgus monkey was the only suitable pre-clinical species for mirikizumab. A murine anti IL</w:t>
      </w:r>
      <w:r w:rsidR="00E469C9">
        <w:noBreakHyphen/>
      </w:r>
      <w:r w:rsidRPr="00DD436E">
        <w:t xml:space="preserve">23 specific antibody was developed and used for </w:t>
      </w:r>
      <w:r w:rsidR="000F781F" w:rsidRPr="00DD436E">
        <w:t>proof-of-concept</w:t>
      </w:r>
      <w:r w:rsidRPr="00DD436E">
        <w:t xml:space="preserve"> studies. The surrogate antibody showed efficacy in a T-cell transfer model of ulcerative colitis. A higher dose showed limited efficacy and the reason for these findings was not explored.</w:t>
      </w:r>
    </w:p>
    <w:p w14:paraId="6E8AE78A" w14:textId="206B3286" w:rsidR="00864C01" w:rsidRPr="00DD436E" w:rsidRDefault="00864C01" w:rsidP="00DD436E">
      <w:r w:rsidRPr="00DD436E">
        <w:t xml:space="preserve">As expected, </w:t>
      </w:r>
      <w:r w:rsidRPr="00140161">
        <w:rPr>
          <w:i/>
          <w:iCs/>
        </w:rPr>
        <w:t>in vitro</w:t>
      </w:r>
      <w:r w:rsidRPr="00DD436E">
        <w:t xml:space="preserve"> mirikizumab did not bind </w:t>
      </w:r>
      <w:proofErr w:type="spellStart"/>
      <w:r w:rsidRPr="00DD436E">
        <w:t>FcγI</w:t>
      </w:r>
      <w:proofErr w:type="spellEnd"/>
      <w:r w:rsidRPr="00DD436E">
        <w:t xml:space="preserve">, </w:t>
      </w:r>
      <w:proofErr w:type="spellStart"/>
      <w:r w:rsidRPr="00DD436E">
        <w:t>IIa</w:t>
      </w:r>
      <w:proofErr w:type="spellEnd"/>
      <w:r w:rsidRPr="00DD436E">
        <w:t xml:space="preserve"> or IIIa or C1q, indicating limited ability to induce cell dependant or antibody dependant cytotoxicity or complement activation. Mirikizumab can however bind to the neonatal Fc recepto</w:t>
      </w:r>
      <w:r w:rsidR="005044E7">
        <w:t>r</w:t>
      </w:r>
      <w:r w:rsidRPr="00DD436E">
        <w:t>. No mirikizumab specific staining was seen in cynomolgus monkey or human tissues. Secondary pharmacology studies did not identify potential for off-target effects.</w:t>
      </w:r>
    </w:p>
    <w:p w14:paraId="61E1882D" w14:textId="309C891E" w:rsidR="00864C01" w:rsidRPr="00DD436E" w:rsidRDefault="00864C01" w:rsidP="00DD436E">
      <w:r w:rsidRPr="00DD436E">
        <w:t>Safety pharmacology was evaluated in the repeat dose toxicity studies in cynomolgus monkeys and did not have significant findings. No pharmacologically</w:t>
      </w:r>
      <w:r w:rsidR="005044E7">
        <w:t xml:space="preserve"> </w:t>
      </w:r>
      <w:r w:rsidRPr="00DD436E">
        <w:t xml:space="preserve">mediated toxicity was seen in monkeys dosed to an </w:t>
      </w:r>
      <w:r w:rsidR="00F02371">
        <w:t>Area under the concentration time curve</w:t>
      </w:r>
      <w:r w:rsidRPr="00DD436E">
        <w:t xml:space="preserve"> exposure </w:t>
      </w:r>
      <w:r w:rsidR="00F02371" w:rsidRPr="00DD436E">
        <w:t>116-fold</w:t>
      </w:r>
      <w:r w:rsidRPr="00DD436E">
        <w:t xml:space="preserve"> higher than expected in humans. One animal at the highest dose experience haematological and biochemical findings consistent with haemolytic anaemia.</w:t>
      </w:r>
    </w:p>
    <w:p w14:paraId="243207AE" w14:textId="7B6240E8" w:rsidR="00864C01" w:rsidRPr="00DD436E" w:rsidRDefault="00864C01" w:rsidP="00DD436E">
      <w:r w:rsidRPr="00DD436E">
        <w:t xml:space="preserve">There were no specific carcinogenicity studies and no signal from the </w:t>
      </w:r>
      <w:proofErr w:type="gramStart"/>
      <w:r w:rsidRPr="00DD436E">
        <w:t>6 month</w:t>
      </w:r>
      <w:proofErr w:type="gramEnd"/>
      <w:r w:rsidRPr="00DD436E">
        <w:t xml:space="preserve"> cynomolgus monkey toxicology studies. There are mechanistic arguments for both pro</w:t>
      </w:r>
      <w:r w:rsidR="000F781F">
        <w:t>-</w:t>
      </w:r>
      <w:r w:rsidRPr="00DD436E">
        <w:t xml:space="preserve"> and anticarcinogenic effects. The carcinogenic potential is therefore currently inconclusive</w:t>
      </w:r>
      <w:r w:rsidR="005B11AA">
        <w:t>,</w:t>
      </w:r>
      <w:r w:rsidRPr="00DD436E">
        <w:t xml:space="preserve"> and malignancy should be identified as an important potential risk in the</w:t>
      </w:r>
      <w:r w:rsidR="005B11AA">
        <w:t xml:space="preserve"> risk management plan (</w:t>
      </w:r>
      <w:r w:rsidRPr="00DD436E">
        <w:t>RMP</w:t>
      </w:r>
      <w:r w:rsidR="001B3834">
        <w:t xml:space="preserve">; </w:t>
      </w:r>
      <w:r w:rsidRPr="00DD436E">
        <w:t>nonclinical safety specification). Warnings in the PI are also warranted.</w:t>
      </w:r>
    </w:p>
    <w:p w14:paraId="2E5D762E" w14:textId="23282DF6" w:rsidR="00864C01" w:rsidRPr="00DD436E" w:rsidRDefault="00864C01" w:rsidP="00DD436E">
      <w:r w:rsidRPr="00DD436E">
        <w:t>An enhanced pre-</w:t>
      </w:r>
      <w:r w:rsidR="00C76FAC">
        <w:t xml:space="preserve"> and </w:t>
      </w:r>
      <w:r w:rsidRPr="00DD436E">
        <w:t xml:space="preserve">postnatal study in cynomolgus monkeys was conducted, which included ultrasound during pregnancy and assessment of infants from birth to age 6 months. The exposure ratio was 79 compared with humans. There was significant infant exposure to mirikizumab as detected after birth. There were no significant findings in this study and immune system development appeared normal (although infant exposure could cause immune </w:t>
      </w:r>
      <w:r w:rsidRPr="00DD436E">
        <w:lastRenderedPageBreak/>
        <w:t>suppression). No effects on fertility were found in the toxicology studies (based on reproductive organ assessment).</w:t>
      </w:r>
    </w:p>
    <w:p w14:paraId="528B7FA0" w14:textId="0D6D337A" w:rsidR="00864C01" w:rsidRPr="00DD436E" w:rsidRDefault="00864C01" w:rsidP="00DD436E">
      <w:r w:rsidRPr="00DD436E">
        <w:t xml:space="preserve">The </w:t>
      </w:r>
      <w:r w:rsidR="00EB291B">
        <w:t>s</w:t>
      </w:r>
      <w:r w:rsidRPr="00DD436E">
        <w:t>ponsor proposed a pregnancy category D</w:t>
      </w:r>
      <w:r w:rsidR="00EB291B">
        <w:t>;</w:t>
      </w:r>
      <w:r w:rsidR="00EB291B">
        <w:rPr>
          <w:rStyle w:val="FootnoteReference"/>
        </w:rPr>
        <w:footnoteReference w:id="9"/>
      </w:r>
      <w:r w:rsidRPr="00DD436E">
        <w:t xml:space="preserve"> and the nonclinical evaluat</w:t>
      </w:r>
      <w:r w:rsidR="0001436F">
        <w:t>ion</w:t>
      </w:r>
      <w:r w:rsidRPr="00DD436E">
        <w:t xml:space="preserve"> considered B1 as the appropriate category.</w:t>
      </w:r>
      <w:r w:rsidR="00EB291B">
        <w:rPr>
          <w:rStyle w:val="FootnoteReference"/>
        </w:rPr>
        <w:footnoteReference w:id="10"/>
      </w:r>
    </w:p>
    <w:p w14:paraId="00225234" w14:textId="77777777" w:rsidR="00D777FF" w:rsidRDefault="00864C01" w:rsidP="00DD436E">
      <w:r w:rsidRPr="00DD436E">
        <w:t xml:space="preserve">The </w:t>
      </w:r>
      <w:r w:rsidR="00EC2C68">
        <w:t xml:space="preserve">nonclinical evaluation </w:t>
      </w:r>
      <w:r w:rsidRPr="00DD436E">
        <w:t>proposed changes to the Product Information in sections 4.6, 5.1, 5,2 and 5.3</w:t>
      </w:r>
      <w:r w:rsidR="00D777FF">
        <w:t>.</w:t>
      </w:r>
    </w:p>
    <w:p w14:paraId="000DE6CA" w14:textId="37D4F75C" w:rsidR="00864C01" w:rsidRPr="00DD436E" w:rsidRDefault="00864C01" w:rsidP="00DD436E">
      <w:r w:rsidRPr="00DD436E">
        <w:t xml:space="preserve">The changes made to the PI and RMP by </w:t>
      </w:r>
      <w:r w:rsidR="00AC54BE">
        <w:t>the s</w:t>
      </w:r>
      <w:r w:rsidRPr="00DD436E">
        <w:t>ponsor have been found to be acceptable and no further action is required.</w:t>
      </w:r>
    </w:p>
    <w:p w14:paraId="35B580A5" w14:textId="3F50588F" w:rsidR="00C22214" w:rsidRDefault="00C22214" w:rsidP="008804CF">
      <w:pPr>
        <w:pStyle w:val="Heading3"/>
      </w:pPr>
      <w:bookmarkStart w:id="47" w:name="_Toc247691530"/>
      <w:bookmarkStart w:id="48" w:name="_Toc314842513"/>
      <w:bookmarkStart w:id="49" w:name="_Toc103679297"/>
      <w:bookmarkStart w:id="50" w:name="_Toc160629025"/>
      <w:r>
        <w:t>Clinical</w:t>
      </w:r>
      <w:bookmarkEnd w:id="47"/>
      <w:bookmarkEnd w:id="48"/>
      <w:bookmarkEnd w:id="49"/>
      <w:bookmarkEnd w:id="50"/>
      <w:r w:rsidR="005605B4">
        <w:fldChar w:fldCharType="begin"/>
      </w:r>
      <w:r w:rsidR="005605B4">
        <w:instrText xml:space="preserve"> DOCVARIABLE vault_nd_a56076bf-1c6e-4d8a-b29f-6e836038a4fd \* MERGEFORMAT </w:instrText>
      </w:r>
      <w:r w:rsidR="005605B4">
        <w:fldChar w:fldCharType="separate"/>
      </w:r>
      <w:r w:rsidR="005605B4">
        <w:t xml:space="preserve"> </w:t>
      </w:r>
      <w:r w:rsidR="005605B4">
        <w:fldChar w:fldCharType="end"/>
      </w:r>
    </w:p>
    <w:p w14:paraId="32B0DEDA" w14:textId="78B99242" w:rsidR="00C22214" w:rsidRPr="00433318" w:rsidRDefault="00C22214" w:rsidP="00433318">
      <w:pPr>
        <w:pStyle w:val="Heading4"/>
      </w:pPr>
      <w:bookmarkStart w:id="51" w:name="_Toc98931928"/>
      <w:bookmarkStart w:id="52" w:name="_Toc160629026"/>
      <w:r>
        <w:t>Summary of clinical studies</w:t>
      </w:r>
      <w:bookmarkEnd w:id="51"/>
      <w:bookmarkEnd w:id="52"/>
      <w:r w:rsidR="005605B4">
        <w:fldChar w:fldCharType="begin"/>
      </w:r>
      <w:r w:rsidR="005605B4">
        <w:instrText xml:space="preserve"> DOCVARIABLE vault_nd_26d03255-fd2e-41eb-a75b-60c9c4b1239d \* MERGEFORMAT </w:instrText>
      </w:r>
      <w:r w:rsidR="005605B4">
        <w:fldChar w:fldCharType="separate"/>
      </w:r>
      <w:r w:rsidR="005605B4">
        <w:t xml:space="preserve"> </w:t>
      </w:r>
      <w:r w:rsidR="005605B4">
        <w:fldChar w:fldCharType="end"/>
      </w:r>
    </w:p>
    <w:p w14:paraId="46622364" w14:textId="2C728F95" w:rsidR="00C22214" w:rsidRPr="00BD5DBD" w:rsidRDefault="00C22214" w:rsidP="00C22214">
      <w:pPr>
        <w:rPr>
          <w:szCs w:val="22"/>
        </w:rPr>
      </w:pPr>
      <w:r w:rsidRPr="00BD5DBD">
        <w:rPr>
          <w:szCs w:val="22"/>
        </w:rPr>
        <w:t>The clinical dossier consisted of</w:t>
      </w:r>
      <w:r w:rsidR="007357B9" w:rsidRPr="00BD5DBD">
        <w:rPr>
          <w:szCs w:val="22"/>
        </w:rPr>
        <w:t>:</w:t>
      </w:r>
      <w:r w:rsidRPr="00BD5DBD">
        <w:rPr>
          <w:szCs w:val="22"/>
        </w:rPr>
        <w:t xml:space="preserve"> </w:t>
      </w:r>
    </w:p>
    <w:p w14:paraId="3DF49722" w14:textId="1BFC4854" w:rsidR="00C22214" w:rsidRPr="00BD5DBD" w:rsidRDefault="000F781F" w:rsidP="00C22214">
      <w:pPr>
        <w:pStyle w:val="ListBullet"/>
        <w:rPr>
          <w:szCs w:val="22"/>
        </w:rPr>
      </w:pPr>
      <w:r>
        <w:rPr>
          <w:szCs w:val="22"/>
        </w:rPr>
        <w:t>Thirteen</w:t>
      </w:r>
      <w:r w:rsidR="00C22214" w:rsidRPr="00BD5DBD">
        <w:rPr>
          <w:szCs w:val="22"/>
        </w:rPr>
        <w:t xml:space="preserve"> Phase I studies</w:t>
      </w:r>
    </w:p>
    <w:p w14:paraId="6B56CB17" w14:textId="289B59B1" w:rsidR="00C22214" w:rsidRDefault="000F781F" w:rsidP="00C22214">
      <w:pPr>
        <w:pStyle w:val="ListBullet"/>
        <w:rPr>
          <w:szCs w:val="22"/>
        </w:rPr>
      </w:pPr>
      <w:r>
        <w:rPr>
          <w:szCs w:val="22"/>
        </w:rPr>
        <w:t>Three</w:t>
      </w:r>
      <w:r w:rsidR="00C22214" w:rsidRPr="00BD5DBD">
        <w:rPr>
          <w:szCs w:val="22"/>
        </w:rPr>
        <w:t xml:space="preserve"> Phase II studies</w:t>
      </w:r>
    </w:p>
    <w:p w14:paraId="6DE87382" w14:textId="3E553E95" w:rsidR="000F781F" w:rsidRPr="00BD5DBD" w:rsidRDefault="000F781F" w:rsidP="00C22214">
      <w:pPr>
        <w:pStyle w:val="ListBullet"/>
        <w:rPr>
          <w:szCs w:val="22"/>
        </w:rPr>
      </w:pPr>
      <w:r>
        <w:rPr>
          <w:szCs w:val="22"/>
        </w:rPr>
        <w:t>Eight Phase III studies</w:t>
      </w:r>
    </w:p>
    <w:p w14:paraId="37D3F0EC" w14:textId="5131C76B" w:rsidR="004B165B" w:rsidRDefault="004B165B" w:rsidP="004B165B">
      <w:pPr>
        <w:pStyle w:val="Heading4"/>
      </w:pPr>
      <w:bookmarkStart w:id="53" w:name="_Toc160629027"/>
      <w:r w:rsidRPr="00AA53F4">
        <w:t>Pharmacology</w:t>
      </w:r>
      <w:bookmarkEnd w:id="53"/>
      <w:r w:rsidR="005605B4">
        <w:fldChar w:fldCharType="begin"/>
      </w:r>
      <w:r w:rsidR="005605B4">
        <w:instrText xml:space="preserve"> DOCVARIABLE vault_nd_aedfecbf-4fe3-4960-b5dc-91dab7d32185 \* MERGEFORMAT </w:instrText>
      </w:r>
      <w:r w:rsidR="005605B4">
        <w:fldChar w:fldCharType="separate"/>
      </w:r>
      <w:r w:rsidR="005605B4">
        <w:t xml:space="preserve"> </w:t>
      </w:r>
      <w:r w:rsidR="005605B4">
        <w:fldChar w:fldCharType="end"/>
      </w:r>
    </w:p>
    <w:p w14:paraId="58CE652D" w14:textId="77777777" w:rsidR="004B165B" w:rsidRPr="0070186C" w:rsidRDefault="004B165B" w:rsidP="0070186C">
      <w:r w:rsidRPr="0070186C">
        <w:t>Four mirikizumab formulations were used in clinical development:</w:t>
      </w:r>
    </w:p>
    <w:p w14:paraId="010C4837" w14:textId="0413F820" w:rsidR="004B165B" w:rsidRPr="0070186C" w:rsidRDefault="004B165B" w:rsidP="0070186C">
      <w:pPr>
        <w:pStyle w:val="ListBullet"/>
      </w:pPr>
      <w:r w:rsidRPr="0070186C">
        <w:t>Initial lyophilised formulation (</w:t>
      </w:r>
      <w:r w:rsidR="0039242A">
        <w:t>P</w:t>
      </w:r>
      <w:r w:rsidRPr="0070186C">
        <w:t xml:space="preserve">hase </w:t>
      </w:r>
      <w:r w:rsidR="0039242A">
        <w:t>I</w:t>
      </w:r>
      <w:r w:rsidRPr="0070186C">
        <w:t xml:space="preserve"> and </w:t>
      </w:r>
      <w:r w:rsidR="0039242A">
        <w:t>P</w:t>
      </w:r>
      <w:r w:rsidRPr="0070186C">
        <w:t xml:space="preserve">hase </w:t>
      </w:r>
      <w:r w:rsidR="0039242A">
        <w:t>II</w:t>
      </w:r>
      <w:r w:rsidRPr="0070186C">
        <w:t xml:space="preserve"> studies)</w:t>
      </w:r>
      <w:r w:rsidR="0039242A">
        <w:t>.</w:t>
      </w:r>
    </w:p>
    <w:p w14:paraId="4F3B29CA" w14:textId="36FCD901" w:rsidR="004B165B" w:rsidRPr="0070186C" w:rsidRDefault="004B165B" w:rsidP="0070186C">
      <w:pPr>
        <w:pStyle w:val="ListBullet"/>
      </w:pPr>
      <w:r w:rsidRPr="0070186C">
        <w:t>300</w:t>
      </w:r>
      <w:r w:rsidR="0039242A">
        <w:t> </w:t>
      </w:r>
      <w:r w:rsidRPr="0070186C">
        <w:t>mg/15</w:t>
      </w:r>
      <w:r w:rsidR="0039242A">
        <w:t> </w:t>
      </w:r>
      <w:r w:rsidRPr="0070186C">
        <w:t>mL solution for intravenous infusion</w:t>
      </w:r>
      <w:r w:rsidR="0039242A">
        <w:t>.</w:t>
      </w:r>
    </w:p>
    <w:p w14:paraId="2BBF12FC" w14:textId="1B0AC5C5" w:rsidR="004B165B" w:rsidRPr="0070186C" w:rsidRDefault="004B165B" w:rsidP="0070186C">
      <w:pPr>
        <w:pStyle w:val="ListBullet"/>
      </w:pPr>
      <w:r w:rsidRPr="0070186C">
        <w:t>100</w:t>
      </w:r>
      <w:r w:rsidR="0039242A">
        <w:t> </w:t>
      </w:r>
      <w:r w:rsidRPr="0070186C">
        <w:t>mg/mL solution for subcutaneous injection</w:t>
      </w:r>
      <w:r w:rsidR="0039242A">
        <w:t>.</w:t>
      </w:r>
    </w:p>
    <w:p w14:paraId="5C48225D" w14:textId="7ACA3B94" w:rsidR="004B165B" w:rsidRPr="0070186C" w:rsidRDefault="004B165B" w:rsidP="0070186C">
      <w:pPr>
        <w:pStyle w:val="ListBullet"/>
      </w:pPr>
      <w:r w:rsidRPr="0070186C">
        <w:t>125</w:t>
      </w:r>
      <w:r w:rsidR="0039242A">
        <w:t> </w:t>
      </w:r>
      <w:r w:rsidRPr="0070186C">
        <w:t>mg/mL, which was developed for the psoriasis indication but identical to the above solution except for concentration (</w:t>
      </w:r>
      <w:r w:rsidR="001110F9">
        <w:t>P</w:t>
      </w:r>
      <w:r w:rsidRPr="0070186C">
        <w:t xml:space="preserve">hase </w:t>
      </w:r>
      <w:r w:rsidR="001110F9">
        <w:t>I</w:t>
      </w:r>
      <w:r w:rsidRPr="0070186C">
        <w:t xml:space="preserve"> biopharmaceutical bridging study)</w:t>
      </w:r>
      <w:r w:rsidR="001110F9">
        <w:t>.</w:t>
      </w:r>
    </w:p>
    <w:p w14:paraId="565B3B4D" w14:textId="2D414196" w:rsidR="004B165B" w:rsidRPr="001110F9" w:rsidRDefault="004B165B" w:rsidP="001110F9">
      <w:r w:rsidRPr="001110F9">
        <w:t>A 100</w:t>
      </w:r>
      <w:r w:rsidR="001110F9" w:rsidRPr="001110F9">
        <w:t> </w:t>
      </w:r>
      <w:r w:rsidRPr="001110F9">
        <w:t>mg/mL solution in single-use prefilled syringe and a single-use prefilled autoinjector have been developed for maintenance dosing.</w:t>
      </w:r>
    </w:p>
    <w:p w14:paraId="04FED9EF" w14:textId="45DEE81C" w:rsidR="004B165B" w:rsidRPr="005834EA" w:rsidRDefault="004B165B" w:rsidP="005834EA">
      <w:r w:rsidRPr="005834EA">
        <w:t>The lyophilized and solution formulations, as well as the syringe and autoinjector presentations, were appropriately bridged (</w:t>
      </w:r>
      <w:r w:rsidR="005834EA">
        <w:t>S</w:t>
      </w:r>
      <w:r w:rsidRPr="005834EA">
        <w:t>tudies AMAE, AMAL</w:t>
      </w:r>
      <w:r w:rsidR="000F781F">
        <w:t xml:space="preserve"> and </w:t>
      </w:r>
      <w:r w:rsidRPr="005834EA">
        <w:t>AMBW). Of note, the absolute bioavailability of the subcutaneous solution formulation was found to be 31% (</w:t>
      </w:r>
      <w:r w:rsidR="000F781F">
        <w:t>two</w:t>
      </w:r>
      <w:r w:rsidRPr="005834EA">
        <w:t xml:space="preserve"> </w:t>
      </w:r>
      <w:r w:rsidR="003C132F">
        <w:t>times</w:t>
      </w:r>
      <w:r w:rsidRPr="005834EA">
        <w:t xml:space="preserve"> 1</w:t>
      </w:r>
      <w:r w:rsidR="003C132F">
        <w:t> </w:t>
      </w:r>
      <w:r w:rsidRPr="005834EA">
        <w:t>mL of 125</w:t>
      </w:r>
      <w:r w:rsidR="003C132F">
        <w:t> </w:t>
      </w:r>
      <w:r w:rsidRPr="005834EA">
        <w:t>mg/mL solution). Administration into various sites (upper arm, abdomen, thigh) resulted in a maximum of 22% difference in mean exposure.</w:t>
      </w:r>
    </w:p>
    <w:p w14:paraId="3FFB5AF3" w14:textId="38461F2B" w:rsidR="004B165B" w:rsidRDefault="004B165B" w:rsidP="004B165B">
      <w:r>
        <w:t xml:space="preserve">Human factor evaluations of the </w:t>
      </w:r>
      <w:r w:rsidR="003C132F">
        <w:t xml:space="preserve">pre-filled syringe </w:t>
      </w:r>
      <w:r>
        <w:t xml:space="preserve">and </w:t>
      </w:r>
      <w:r w:rsidR="00E35273">
        <w:t xml:space="preserve">autoinjector </w:t>
      </w:r>
      <w:r>
        <w:t xml:space="preserve">were not conducted for this submission, as they have already been evaluated and approved for other </w:t>
      </w:r>
      <w:r w:rsidR="00E35273">
        <w:t>sponsor</w:t>
      </w:r>
      <w:r>
        <w:t xml:space="preserve"> products (Taltz and </w:t>
      </w:r>
      <w:proofErr w:type="spellStart"/>
      <w:r>
        <w:t>Emgality</w:t>
      </w:r>
      <w:proofErr w:type="spellEnd"/>
      <w:r>
        <w:t>)</w:t>
      </w:r>
      <w:r w:rsidRPr="008B1FDA">
        <w:t>.</w:t>
      </w:r>
    </w:p>
    <w:p w14:paraId="28DCEDCD" w14:textId="0D95F94D" w:rsidR="004B165B" w:rsidRDefault="004B165B" w:rsidP="004B165B">
      <w:pPr>
        <w:pStyle w:val="Heading5"/>
        <w:rPr>
          <w:b w:val="0"/>
        </w:rPr>
      </w:pPr>
      <w:r w:rsidRPr="00AA53F4">
        <w:lastRenderedPageBreak/>
        <w:t>Pharmacokinetics</w:t>
      </w:r>
      <w:r w:rsidR="0099632D">
        <w:fldChar w:fldCharType="begin"/>
      </w:r>
      <w:r w:rsidR="0099632D">
        <w:instrText xml:space="preserve"> DOCVARIABLE vault_nd_9aabe4b7-3c58-4f40-8093-2ccc073d0e60 \* MERGEFORMAT </w:instrText>
      </w:r>
      <w:r w:rsidR="0099632D">
        <w:fldChar w:fldCharType="separate"/>
      </w:r>
      <w:r w:rsidR="005605B4">
        <w:t xml:space="preserve"> </w:t>
      </w:r>
      <w:r w:rsidR="0099632D">
        <w:fldChar w:fldCharType="end"/>
      </w:r>
    </w:p>
    <w:p w14:paraId="3E9B9CED" w14:textId="00E2F2A9" w:rsidR="004B165B" w:rsidRDefault="004B165B" w:rsidP="004B165B">
      <w:r>
        <w:t xml:space="preserve">The submitted </w:t>
      </w:r>
      <w:r w:rsidR="00E35273">
        <w:t>P</w:t>
      </w:r>
      <w:r>
        <w:t xml:space="preserve">hase </w:t>
      </w:r>
      <w:r w:rsidR="00E35273">
        <w:t>I</w:t>
      </w:r>
      <w:r>
        <w:t xml:space="preserve"> studies included both healthy volunteers and subjects with psoriasis.</w:t>
      </w:r>
    </w:p>
    <w:p w14:paraId="72E00690" w14:textId="4EF89E54" w:rsidR="004B165B" w:rsidRPr="00E35273" w:rsidRDefault="004B165B" w:rsidP="00E35273">
      <w:r w:rsidRPr="00E35273">
        <w:t xml:space="preserve">Other formulation related studies, assessing safety, tolerability and exposure, submitted in the dossier, but not referenced here further, were </w:t>
      </w:r>
      <w:r w:rsidR="002070CD">
        <w:t xml:space="preserve">Studies </w:t>
      </w:r>
      <w:r w:rsidRPr="00E35273">
        <w:t>AABA, AMBV, AABC, AMAQ, AMAR and AMBE.</w:t>
      </w:r>
    </w:p>
    <w:p w14:paraId="1768B3AF" w14:textId="57DA0DAF" w:rsidR="004B165B" w:rsidRPr="002D6595" w:rsidRDefault="004B165B" w:rsidP="002D6595">
      <w:r w:rsidRPr="002D6595">
        <w:t xml:space="preserve">Study AMAA was a single dose study in 40 patients with psoriasis and </w:t>
      </w:r>
      <w:r w:rsidR="002070CD">
        <w:t>five</w:t>
      </w:r>
      <w:r w:rsidRPr="002D6595">
        <w:t xml:space="preserve"> healthy subjects to investigate the safety, tolerability, </w:t>
      </w:r>
      <w:r w:rsidR="002070CD" w:rsidRPr="000F781F">
        <w:t>pharmacokinetics (PK)</w:t>
      </w:r>
      <w:r w:rsidR="002070CD">
        <w:t xml:space="preserve"> </w:t>
      </w:r>
      <w:r w:rsidRPr="002D6595">
        <w:t xml:space="preserve">and </w:t>
      </w:r>
      <w:r w:rsidR="002070CD" w:rsidRPr="000F781F">
        <w:t>pharmacodynamics (</w:t>
      </w:r>
      <w:r w:rsidRPr="000F781F">
        <w:t>PD</w:t>
      </w:r>
      <w:r w:rsidR="002070CD" w:rsidRPr="000F781F">
        <w:t>)</w:t>
      </w:r>
      <w:r w:rsidRPr="002D6595">
        <w:t xml:space="preserve"> of subcutaneous and intravenous mirikizumab. Patients with psoriasis received single intravenous doses of 5</w:t>
      </w:r>
      <w:r w:rsidR="002070CD">
        <w:t> </w:t>
      </w:r>
      <w:r w:rsidRPr="002D6595">
        <w:t>mg, 20</w:t>
      </w:r>
      <w:r w:rsidR="002070CD">
        <w:t> </w:t>
      </w:r>
      <w:r w:rsidRPr="002D6595">
        <w:t>mg, 60</w:t>
      </w:r>
      <w:r w:rsidR="002070CD">
        <w:t> </w:t>
      </w:r>
      <w:r w:rsidRPr="002D6595">
        <w:t>mg, 120</w:t>
      </w:r>
      <w:r w:rsidR="002070CD">
        <w:t> </w:t>
      </w:r>
      <w:r w:rsidRPr="002D6595">
        <w:t>mg, 200</w:t>
      </w:r>
      <w:r w:rsidR="002070CD">
        <w:t> </w:t>
      </w:r>
      <w:r w:rsidRPr="002D6595">
        <w:t>mg, 350</w:t>
      </w:r>
      <w:r w:rsidR="002070CD">
        <w:t> </w:t>
      </w:r>
      <w:r w:rsidRPr="002D6595">
        <w:t>mg or 600</w:t>
      </w:r>
      <w:r w:rsidR="002070CD">
        <w:t> </w:t>
      </w:r>
      <w:r w:rsidRPr="002D6595">
        <w:t>mg. Healthy subjects received a single subcutaneous 120</w:t>
      </w:r>
      <w:r w:rsidR="002070CD">
        <w:t> </w:t>
      </w:r>
      <w:r w:rsidRPr="002D6595">
        <w:t xml:space="preserve">mg dose. Mirikizumab concentrations followed a bi-exponential decline following intravenous dosing. Exposure was dose </w:t>
      </w:r>
      <w:proofErr w:type="gramStart"/>
      <w:r w:rsidRPr="002D6595">
        <w:t>proportional</w:t>
      </w:r>
      <w:proofErr w:type="gramEnd"/>
      <w:r w:rsidRPr="002D6595">
        <w:t xml:space="preserve"> and the geometric mean </w:t>
      </w:r>
      <w:r w:rsidR="00A87974">
        <w:t>half</w:t>
      </w:r>
      <w:r w:rsidR="00A87974">
        <w:noBreakHyphen/>
        <w:t xml:space="preserve">life </w:t>
      </w:r>
      <w:r w:rsidR="00A87974" w:rsidRPr="000F781F">
        <w:t>(</w:t>
      </w:r>
      <w:r w:rsidRPr="000F781F">
        <w:t>t</w:t>
      </w:r>
      <w:r w:rsidRPr="000F781F">
        <w:rPr>
          <w:vertAlign w:val="subscript"/>
        </w:rPr>
        <w:t>1/2</w:t>
      </w:r>
      <w:r w:rsidR="00A87974" w:rsidRPr="000F781F">
        <w:t>)</w:t>
      </w:r>
      <w:r w:rsidRPr="002D6595">
        <w:t xml:space="preserve"> was 10.5 days. The subcutaneous bioavailability of the </w:t>
      </w:r>
      <w:r w:rsidRPr="00A87974">
        <w:t>120</w:t>
      </w:r>
      <w:r w:rsidR="00A87974">
        <w:t> </w:t>
      </w:r>
      <w:r w:rsidRPr="00A87974">
        <w:t>mg</w:t>
      </w:r>
      <w:r w:rsidRPr="002D6595">
        <w:t xml:space="preserve"> dose was 40%.</w:t>
      </w:r>
    </w:p>
    <w:p w14:paraId="26C1ED4F" w14:textId="427474DE" w:rsidR="004B165B" w:rsidRPr="00A87974" w:rsidRDefault="004B165B" w:rsidP="00A87974">
      <w:r w:rsidRPr="00A87974">
        <w:t>Study AMAD was a single dose study in 51 healthy Japanese subjects and 25 healthy Caucasian subjects to investigate the safety, tolerability, PK and PD of mirikizumab. Intravenous doses studied were 60</w:t>
      </w:r>
      <w:r w:rsidR="00A75DDD">
        <w:t> mg</w:t>
      </w:r>
      <w:r w:rsidRPr="00A87974">
        <w:t>, 200</w:t>
      </w:r>
      <w:r w:rsidR="00A75DDD">
        <w:t> mg</w:t>
      </w:r>
      <w:r w:rsidRPr="00A87974">
        <w:t>, 600</w:t>
      </w:r>
      <w:r w:rsidR="00A75DDD">
        <w:t> mg</w:t>
      </w:r>
      <w:r w:rsidRPr="00A87974">
        <w:t>, 1200</w:t>
      </w:r>
      <w:r w:rsidR="00A75DDD">
        <w:t> mg</w:t>
      </w:r>
      <w:r w:rsidRPr="00A87974">
        <w:t xml:space="preserve"> and 2400</w:t>
      </w:r>
      <w:r w:rsidR="00A75DDD">
        <w:t> </w:t>
      </w:r>
      <w:r w:rsidRPr="00A87974">
        <w:t>mg, as well as a 200</w:t>
      </w:r>
      <w:r w:rsidR="00A75DDD">
        <w:t> </w:t>
      </w:r>
      <w:r w:rsidRPr="00A87974">
        <w:t>mg subcutaneous dose. Mirikizumab concentrations showed a bi-exponential decline following intravenous administration (</w:t>
      </w:r>
      <w:r w:rsidRPr="00A87974">
        <w:fldChar w:fldCharType="begin"/>
      </w:r>
      <w:r w:rsidRPr="00A87974">
        <w:instrText xml:space="preserve"> REF _Ref128992149 \h </w:instrText>
      </w:r>
      <w:r w:rsidR="00A87974">
        <w:instrText xml:space="preserve"> \* MERGEFORMAT </w:instrText>
      </w:r>
      <w:r w:rsidRPr="00A87974">
        <w:fldChar w:fldCharType="separate"/>
      </w:r>
      <w:r w:rsidR="00D777FF">
        <w:t>Figure 2</w:t>
      </w:r>
      <w:r w:rsidRPr="00A87974">
        <w:fldChar w:fldCharType="end"/>
      </w:r>
      <w:r w:rsidRPr="00A87974">
        <w:t xml:space="preserve">). Exposure was dose </w:t>
      </w:r>
      <w:proofErr w:type="gramStart"/>
      <w:r w:rsidRPr="00A87974">
        <w:t>proportional</w:t>
      </w:r>
      <w:proofErr w:type="gramEnd"/>
      <w:r w:rsidRPr="00A87974">
        <w:t xml:space="preserve"> and a geometric mean t</w:t>
      </w:r>
      <w:r w:rsidRPr="00A75DDD">
        <w:rPr>
          <w:vertAlign w:val="subscript"/>
        </w:rPr>
        <w:t xml:space="preserve">1/2 </w:t>
      </w:r>
      <w:r w:rsidRPr="00A87974">
        <w:t>was 10.7</w:t>
      </w:r>
      <w:r w:rsidR="00A75DDD">
        <w:t> </w:t>
      </w:r>
      <w:r w:rsidRPr="00A87974">
        <w:t>days. The bioavailability of the 200</w:t>
      </w:r>
      <w:r w:rsidR="00A75DDD">
        <w:t> </w:t>
      </w:r>
      <w:r w:rsidRPr="00A87974">
        <w:t xml:space="preserve">mg subcutaneous dose was 40%. </w:t>
      </w:r>
      <w:r w:rsidR="00A75DDD">
        <w:t>Time to maximum concentration</w:t>
      </w:r>
      <w:r w:rsidRPr="00A87974">
        <w:t xml:space="preserve"> following subcutaneous administration was 72 hours. </w:t>
      </w:r>
      <w:r w:rsidR="00A75DDD">
        <w:t>Pharmacokinetic</w:t>
      </w:r>
      <w:r w:rsidRPr="00A87974">
        <w:t xml:space="preserve"> parameters were comparable between Japanese and Caucasian subjects.</w:t>
      </w:r>
    </w:p>
    <w:p w14:paraId="3883F5AE" w14:textId="7190012D" w:rsidR="004B165B" w:rsidRDefault="004B165B" w:rsidP="00A75DDD">
      <w:pPr>
        <w:pStyle w:val="FigureTitle"/>
      </w:pPr>
      <w:bookmarkStart w:id="54" w:name="_Ref128992149"/>
      <w:r>
        <w:t xml:space="preserve">Figure </w:t>
      </w:r>
      <w:fldSimple w:instr=" SEQ Figure \* ARABIC ">
        <w:r w:rsidR="00D777FF">
          <w:rPr>
            <w:noProof/>
          </w:rPr>
          <w:t>2</w:t>
        </w:r>
      </w:fldSimple>
      <w:bookmarkEnd w:id="54"/>
      <w:r w:rsidR="00A75DDD">
        <w:rPr>
          <w:noProof/>
        </w:rPr>
        <w:t>:</w:t>
      </w:r>
      <w:r>
        <w:t xml:space="preserve"> Mirikizumab concentration-time profile following single dose in healthy Japanese and Caucasian subjects</w:t>
      </w:r>
      <w:r w:rsidR="0099632D">
        <w:fldChar w:fldCharType="begin"/>
      </w:r>
      <w:r w:rsidR="0099632D">
        <w:instrText xml:space="preserve"> DOCVARIABLE vault_nd_da7455cb-95fa-4889-95d3-15b734db31a4 \* MERGEFORMAT </w:instrText>
      </w:r>
      <w:r w:rsidR="0099632D">
        <w:fldChar w:fldCharType="separate"/>
      </w:r>
      <w:r w:rsidR="005605B4">
        <w:t xml:space="preserve"> </w:t>
      </w:r>
      <w:r w:rsidR="0099632D">
        <w:fldChar w:fldCharType="end"/>
      </w:r>
    </w:p>
    <w:p w14:paraId="3974F0F9" w14:textId="77777777" w:rsidR="004B165B" w:rsidRPr="00570A44" w:rsidRDefault="004B165B" w:rsidP="004B165B">
      <w:r>
        <w:rPr>
          <w:noProof/>
        </w:rPr>
        <w:drawing>
          <wp:inline distT="0" distB="0" distL="0" distR="0" wp14:anchorId="1E16A23D" wp14:editId="46784B26">
            <wp:extent cx="4864100" cy="3597554"/>
            <wp:effectExtent l="0" t="0" r="0" b="3175"/>
            <wp:docPr id="4" name="Picture 4" descr="Mirikizumab concentration-time profile following single dose in healthy Japanese and Caucasian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rikizumab concentration-time profile following single dose in healthy Japanese and Caucasian subjects"/>
                    <pic:cNvPicPr/>
                  </pic:nvPicPr>
                  <pic:blipFill rotWithShape="1">
                    <a:blip r:embed="rId26"/>
                    <a:srcRect r="8265"/>
                    <a:stretch/>
                  </pic:blipFill>
                  <pic:spPr bwMode="auto">
                    <a:xfrm>
                      <a:off x="0" y="0"/>
                      <a:ext cx="4866957" cy="3599667"/>
                    </a:xfrm>
                    <a:prstGeom prst="rect">
                      <a:avLst/>
                    </a:prstGeom>
                    <a:ln>
                      <a:noFill/>
                    </a:ln>
                    <a:extLst>
                      <a:ext uri="{53640926-AAD7-44D8-BBD7-CCE9431645EC}">
                        <a14:shadowObscured xmlns:a14="http://schemas.microsoft.com/office/drawing/2010/main"/>
                      </a:ext>
                    </a:extLst>
                  </pic:spPr>
                </pic:pic>
              </a:graphicData>
            </a:graphic>
          </wp:inline>
        </w:drawing>
      </w:r>
    </w:p>
    <w:p w14:paraId="564D555A" w14:textId="01315C15" w:rsidR="004B165B" w:rsidRPr="00A75DDD" w:rsidRDefault="004B165B" w:rsidP="00A75DDD">
      <w:r w:rsidRPr="00A75DDD">
        <w:t>Study AMBD was a single dose study in 60 healthy Chinese subjects to investigate the safety, tolerability, PK and PD of mirikizumab. Intravenous doses studied were 300</w:t>
      </w:r>
      <w:r w:rsidR="00A75DDD">
        <w:t> mg</w:t>
      </w:r>
      <w:r w:rsidRPr="00A75DDD">
        <w:t>, 600</w:t>
      </w:r>
      <w:r w:rsidR="00A75DDD">
        <w:t> mg</w:t>
      </w:r>
      <w:r w:rsidRPr="00A75DDD">
        <w:t xml:space="preserve"> and 1200</w:t>
      </w:r>
      <w:r w:rsidR="00A75DDD">
        <w:t> </w:t>
      </w:r>
      <w:r w:rsidRPr="00A75DDD">
        <w:t>mg. In addition, 200</w:t>
      </w:r>
      <w:r w:rsidR="00A75DDD">
        <w:t> </w:t>
      </w:r>
      <w:r w:rsidRPr="00A75DDD">
        <w:t>mg and 400</w:t>
      </w:r>
      <w:r w:rsidR="00A75DDD">
        <w:t> </w:t>
      </w:r>
      <w:r w:rsidRPr="00A75DDD">
        <w:t>mg subcutaneous doses were studied. Bioavailability of the 200</w:t>
      </w:r>
      <w:r w:rsidR="00A75DDD">
        <w:t> </w:t>
      </w:r>
      <w:r w:rsidRPr="00A75DDD">
        <w:t>mg subcutaneous dose was 42.8% and of the 400</w:t>
      </w:r>
      <w:r w:rsidR="00A75DDD">
        <w:t> </w:t>
      </w:r>
      <w:r w:rsidRPr="00A75DDD">
        <w:t>mg dose was 34.2%.</w:t>
      </w:r>
    </w:p>
    <w:p w14:paraId="6FD02FD0" w14:textId="1D4C746A" w:rsidR="004B165B" w:rsidRPr="00A75DDD" w:rsidRDefault="004B165B" w:rsidP="00A75DDD">
      <w:r w:rsidRPr="00A75DDD">
        <w:lastRenderedPageBreak/>
        <w:t>Study AMBP investigated the effect of five 250</w:t>
      </w:r>
      <w:r w:rsidR="00A75DDD">
        <w:t> </w:t>
      </w:r>
      <w:r w:rsidRPr="00A75DDD">
        <w:t xml:space="preserve">mg </w:t>
      </w:r>
      <w:r w:rsidR="00CA4C16">
        <w:t xml:space="preserve">every </w:t>
      </w:r>
      <w:r w:rsidR="002A7C0F">
        <w:t>4</w:t>
      </w:r>
      <w:r w:rsidR="00CA4C16">
        <w:t xml:space="preserve"> weeks</w:t>
      </w:r>
      <w:r w:rsidRPr="00A75DDD">
        <w:t xml:space="preserve"> subcutaneous doses of mirikizumab on the exposure to a drug cocktail of </w:t>
      </w:r>
      <w:r w:rsidR="007E20D9" w:rsidRPr="007E20D9">
        <w:t xml:space="preserve">Cytochrome P450 </w:t>
      </w:r>
      <w:r w:rsidR="00295877">
        <w:t>(</w:t>
      </w:r>
      <w:r w:rsidRPr="000F781F">
        <w:t>CYP</w:t>
      </w:r>
      <w:r w:rsidR="00295877" w:rsidRPr="000F781F">
        <w:t>)</w:t>
      </w:r>
      <w:r w:rsidRPr="000F781F">
        <w:t xml:space="preserve"> substrates</w:t>
      </w:r>
      <w:r w:rsidRPr="00A75DDD">
        <w:t xml:space="preserve"> in 29 patients with moderate</w:t>
      </w:r>
      <w:r w:rsidR="00CA4C16">
        <w:noBreakHyphen/>
      </w:r>
      <w:r w:rsidRPr="00A75DDD">
        <w:t>to-severe psoriasis. The CYP cocktail included midazolam (CYP3A), warfarin (S-warfarin CYP2C9), dextromethorphan (CYP2D6), omeprazole (CYP2C19) and caffeine (CYP1A2). Pre- and post-mirikizumab probe drug exposures were comparable, consistent with no clinically meaningful effect on CYP activity.</w:t>
      </w:r>
    </w:p>
    <w:p w14:paraId="20C741C4" w14:textId="786D3125" w:rsidR="004B165B" w:rsidRDefault="004B165B" w:rsidP="004B165B">
      <w:r>
        <w:t>Based on data from these studies, the pharmacokinetics in healthy volunteers following either 300</w:t>
      </w:r>
      <w:r w:rsidR="00A43966">
        <w:t> </w:t>
      </w:r>
      <w:r>
        <w:t xml:space="preserve">mg </w:t>
      </w:r>
      <w:r w:rsidR="00A43966">
        <w:t>intravenous (</w:t>
      </w:r>
      <w:r>
        <w:t>IV</w:t>
      </w:r>
      <w:r w:rsidR="00A43966">
        <w:t>)</w:t>
      </w:r>
      <w:r>
        <w:t xml:space="preserve"> or 200</w:t>
      </w:r>
      <w:r w:rsidR="00A43966">
        <w:t> </w:t>
      </w:r>
      <w:r>
        <w:t xml:space="preserve">mg </w:t>
      </w:r>
      <w:r w:rsidR="00A43966">
        <w:t>subcutaneous (</w:t>
      </w:r>
      <w:r>
        <w:t>SC</w:t>
      </w:r>
      <w:r w:rsidR="00A43966">
        <w:t>)</w:t>
      </w:r>
      <w:r>
        <w:t xml:space="preserve"> are as summarised in </w:t>
      </w:r>
      <w:r>
        <w:fldChar w:fldCharType="begin"/>
      </w:r>
      <w:r>
        <w:instrText xml:space="preserve"> REF _Ref128993161 \h </w:instrText>
      </w:r>
      <w:r>
        <w:fldChar w:fldCharType="separate"/>
      </w:r>
      <w:r w:rsidR="00D777FF">
        <w:t xml:space="preserve">Table </w:t>
      </w:r>
      <w:r w:rsidR="00D777FF">
        <w:rPr>
          <w:noProof/>
        </w:rPr>
        <w:t>4</w:t>
      </w:r>
      <w:r>
        <w:fldChar w:fldCharType="end"/>
      </w:r>
      <w:r>
        <w:t>.</w:t>
      </w:r>
    </w:p>
    <w:p w14:paraId="1732B1C8" w14:textId="419D111A" w:rsidR="004B165B" w:rsidRDefault="004B165B" w:rsidP="00A43966">
      <w:pPr>
        <w:pStyle w:val="TableTitle"/>
      </w:pPr>
      <w:bookmarkStart w:id="55" w:name="_Ref128993161"/>
      <w:r>
        <w:t xml:space="preserve">Table </w:t>
      </w:r>
      <w:fldSimple w:instr=" SEQ Table \* ARABIC ">
        <w:r w:rsidR="00D777FF">
          <w:rPr>
            <w:noProof/>
          </w:rPr>
          <w:t>4</w:t>
        </w:r>
      </w:fldSimple>
      <w:bookmarkEnd w:id="55"/>
      <w:r w:rsidR="00A43966">
        <w:rPr>
          <w:noProof/>
        </w:rPr>
        <w:t>:</w:t>
      </w:r>
      <w:r>
        <w:rPr>
          <w:noProof/>
        </w:rPr>
        <w:t xml:space="preserve"> Summary of mirikizumab </w:t>
      </w:r>
      <w:r w:rsidR="00A43966">
        <w:rPr>
          <w:noProof/>
        </w:rPr>
        <w:t xml:space="preserve">pharmacokinetics </w:t>
      </w:r>
      <w:r>
        <w:rPr>
          <w:noProof/>
        </w:rPr>
        <w:t>in healthy subjects</w:t>
      </w:r>
      <w:r w:rsidR="005605B4">
        <w:rPr>
          <w:noProof/>
        </w:rPr>
        <w:fldChar w:fldCharType="begin"/>
      </w:r>
      <w:r w:rsidR="005605B4">
        <w:rPr>
          <w:noProof/>
        </w:rPr>
        <w:instrText xml:space="preserve"> DOCVARIABLE vault_nd_70eb25bd-9bb5-4b6e-ba8c-5b304daace7e \* MERGEFORMAT </w:instrText>
      </w:r>
      <w:r w:rsidR="005605B4">
        <w:rPr>
          <w:noProof/>
        </w:rPr>
        <w:fldChar w:fldCharType="separate"/>
      </w:r>
      <w:r w:rsidR="005605B4">
        <w:rPr>
          <w:noProof/>
        </w:rPr>
        <w:t xml:space="preserve"> </w:t>
      </w:r>
      <w:r w:rsidR="005605B4">
        <w:rPr>
          <w:noProof/>
        </w:rPr>
        <w:fldChar w:fldCharType="end"/>
      </w:r>
    </w:p>
    <w:p w14:paraId="0EDAF444" w14:textId="77777777" w:rsidR="004B165B" w:rsidRPr="002C2C4C" w:rsidRDefault="004B165B" w:rsidP="004B165B">
      <w:r>
        <w:rPr>
          <w:noProof/>
        </w:rPr>
        <w:drawing>
          <wp:inline distT="0" distB="0" distL="0" distR="0" wp14:anchorId="67E6D7A3" wp14:editId="7EA8A0C9">
            <wp:extent cx="5731510" cy="3038475"/>
            <wp:effectExtent l="0" t="0" r="2540" b="9525"/>
            <wp:docPr id="5" name="Picture 5" descr="Summary of mirikizumab pharmacokinetics in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mmary of mirikizumab pharmacokinetics in healthy subjects"/>
                    <pic:cNvPicPr/>
                  </pic:nvPicPr>
                  <pic:blipFill rotWithShape="1">
                    <a:blip r:embed="rId27"/>
                    <a:srcRect b="4243"/>
                    <a:stretch/>
                  </pic:blipFill>
                  <pic:spPr bwMode="auto">
                    <a:xfrm>
                      <a:off x="0" y="0"/>
                      <a:ext cx="5731510" cy="3038475"/>
                    </a:xfrm>
                    <a:prstGeom prst="rect">
                      <a:avLst/>
                    </a:prstGeom>
                    <a:ln>
                      <a:noFill/>
                    </a:ln>
                    <a:extLst>
                      <a:ext uri="{53640926-AAD7-44D8-BBD7-CCE9431645EC}">
                        <a14:shadowObscured xmlns:a14="http://schemas.microsoft.com/office/drawing/2010/main"/>
                      </a:ext>
                    </a:extLst>
                  </pic:spPr>
                </pic:pic>
              </a:graphicData>
            </a:graphic>
          </wp:inline>
        </w:drawing>
      </w:r>
    </w:p>
    <w:p w14:paraId="00D9876F" w14:textId="2BC379CB" w:rsidR="004B165B" w:rsidRDefault="004B165B" w:rsidP="004B165B">
      <w:pPr>
        <w:pStyle w:val="Heading5"/>
        <w:rPr>
          <w:color w:val="auto"/>
        </w:rPr>
      </w:pPr>
      <w:r w:rsidRPr="00AA53F4">
        <w:t xml:space="preserve">Population </w:t>
      </w:r>
      <w:r w:rsidR="00AF66AB">
        <w:t xml:space="preserve">pharmacokinetics </w:t>
      </w:r>
      <w:r w:rsidRPr="00AA53F4">
        <w:t>data</w:t>
      </w:r>
      <w:r w:rsidR="0099632D">
        <w:fldChar w:fldCharType="begin"/>
      </w:r>
      <w:r w:rsidR="0099632D">
        <w:instrText xml:space="preserve"> DOCVARIABLE vault_nd_cc9cede1-8ee2-4371-a948-74601d80ea46 \* MERGEFORMAT </w:instrText>
      </w:r>
      <w:r w:rsidR="0099632D">
        <w:fldChar w:fldCharType="separate"/>
      </w:r>
      <w:r w:rsidR="005605B4">
        <w:t xml:space="preserve"> </w:t>
      </w:r>
      <w:r w:rsidR="0099632D">
        <w:fldChar w:fldCharType="end"/>
      </w:r>
    </w:p>
    <w:p w14:paraId="342D5FAD" w14:textId="0D5436BF" w:rsidR="004B165B" w:rsidRPr="00AF66AB" w:rsidRDefault="004B165B" w:rsidP="00AF66AB">
      <w:r w:rsidRPr="00AF66AB">
        <w:t xml:space="preserve">Studies AMAC, AMAN and AMBG were the pivotal studies submitted in support of the UC indication and are described in detail below. These studies </w:t>
      </w:r>
      <w:r w:rsidRPr="000F781F">
        <w:t>provided the mirikizumab time</w:t>
      </w:r>
      <w:r w:rsidR="00AF66AB" w:rsidRPr="000F781F">
        <w:t xml:space="preserve"> </w:t>
      </w:r>
      <w:r w:rsidRPr="000F781F">
        <w:t xml:space="preserve">concentration dataset that was subjected to </w:t>
      </w:r>
      <w:r w:rsidR="00AF66AB" w:rsidRPr="000F781F">
        <w:t>population pharmacokinetics (</w:t>
      </w:r>
      <w:r w:rsidRPr="000F781F">
        <w:t>popPK</w:t>
      </w:r>
      <w:r w:rsidR="00AF66AB" w:rsidRPr="000F781F">
        <w:t>)</w:t>
      </w:r>
      <w:r w:rsidRPr="000F781F">
        <w:t xml:space="preserve"> analysis. The </w:t>
      </w:r>
      <w:r w:rsidR="001B41F3" w:rsidRPr="000F781F">
        <w:t>s</w:t>
      </w:r>
      <w:r w:rsidRPr="000F781F">
        <w:t xml:space="preserve">ponsor developed a PopPK model based on the </w:t>
      </w:r>
      <w:r w:rsidR="001B41F3" w:rsidRPr="000F781F">
        <w:t>P</w:t>
      </w:r>
      <w:r w:rsidRPr="000F781F">
        <w:t xml:space="preserve">hase </w:t>
      </w:r>
      <w:r w:rsidR="001B41F3" w:rsidRPr="000F781F">
        <w:t>II</w:t>
      </w:r>
      <w:r w:rsidRPr="000F781F">
        <w:t xml:space="preserve"> study (</w:t>
      </w:r>
      <w:r w:rsidR="001B41F3" w:rsidRPr="000F781F">
        <w:t xml:space="preserve">Study </w:t>
      </w:r>
      <w:r w:rsidRPr="000F781F">
        <w:t>AMAC) and another</w:t>
      </w:r>
      <w:r w:rsidRPr="00AF66AB">
        <w:t xml:space="preserve"> one based on the </w:t>
      </w:r>
      <w:r w:rsidR="001B41F3">
        <w:t>P</w:t>
      </w:r>
      <w:r w:rsidRPr="00AF66AB">
        <w:t xml:space="preserve">hase </w:t>
      </w:r>
      <w:r w:rsidR="001B41F3">
        <w:t>III</w:t>
      </w:r>
      <w:r w:rsidRPr="00AF66AB">
        <w:t xml:space="preserve"> studies (</w:t>
      </w:r>
      <w:r w:rsidR="001B41F3">
        <w:t xml:space="preserve">Study </w:t>
      </w:r>
      <w:r w:rsidRPr="00AF66AB">
        <w:t>AMAN</w:t>
      </w:r>
      <w:r w:rsidR="001B41F3">
        <w:t xml:space="preserve"> and Study </w:t>
      </w:r>
      <w:r w:rsidRPr="00AF66AB">
        <w:t>AMBG). Both models produced similar results.</w:t>
      </w:r>
    </w:p>
    <w:p w14:paraId="4BBC4C16" w14:textId="492ABBDE" w:rsidR="004B165B" w:rsidRPr="001B41F3" w:rsidRDefault="004B165B" w:rsidP="001B41F3">
      <w:r w:rsidRPr="001B41F3">
        <w:t xml:space="preserve">The PK was described using a 2-compartment model with first-order absorption. Covariates retained in the final popPK model were body weight (increased body weight -&gt; increased </w:t>
      </w:r>
      <w:r w:rsidR="00E86676">
        <w:t>clearance</w:t>
      </w:r>
      <w:r w:rsidRPr="001B41F3">
        <w:t xml:space="preserve"> and </w:t>
      </w:r>
      <w:r w:rsidR="00E86676">
        <w:t>volume of distribution</w:t>
      </w:r>
      <w:r w:rsidRPr="001B41F3">
        <w:t xml:space="preserve">), time-varying albumin concentration (reduced albumin -&gt; increased </w:t>
      </w:r>
      <w:r w:rsidR="000F781F">
        <w:t>clearance</w:t>
      </w:r>
      <w:r w:rsidRPr="001B41F3">
        <w:t xml:space="preserve">) and </w:t>
      </w:r>
      <w:r w:rsidR="006F6F5B">
        <w:t>body mass inde</w:t>
      </w:r>
      <w:r w:rsidR="006F6F5B" w:rsidRPr="000F781F">
        <w:t>x (</w:t>
      </w:r>
      <w:r w:rsidRPr="000F781F">
        <w:t>BMI</w:t>
      </w:r>
      <w:r w:rsidR="006F6F5B" w:rsidRPr="000F781F">
        <w:t>)</w:t>
      </w:r>
      <w:r w:rsidRPr="001B41F3">
        <w:t xml:space="preserve"> (lower BMI -&gt; increased bioavailability). The model predicted influence of body weight on exposure are shown in </w:t>
      </w:r>
      <w:r w:rsidRPr="001B41F3">
        <w:fldChar w:fldCharType="begin"/>
      </w:r>
      <w:r w:rsidRPr="001B41F3">
        <w:instrText xml:space="preserve"> REF _Ref136437578 \h </w:instrText>
      </w:r>
      <w:r w:rsidR="001B41F3">
        <w:instrText xml:space="preserve"> \* MERGEFORMAT </w:instrText>
      </w:r>
      <w:r w:rsidRPr="001B41F3">
        <w:fldChar w:fldCharType="separate"/>
      </w:r>
      <w:r w:rsidR="00D777FF">
        <w:t>Figure 3</w:t>
      </w:r>
      <w:r w:rsidRPr="001B41F3">
        <w:fldChar w:fldCharType="end"/>
      </w:r>
      <w:r w:rsidRPr="001B41F3">
        <w:t xml:space="preserve">. These covariates were not considered clinically relevant and do not require dose adjustment. The residual error in the </w:t>
      </w:r>
      <w:r w:rsidR="00B77B5E">
        <w:t>P</w:t>
      </w:r>
      <w:r w:rsidRPr="001B41F3">
        <w:t xml:space="preserve">hase </w:t>
      </w:r>
      <w:r w:rsidR="00B77B5E">
        <w:t>III</w:t>
      </w:r>
      <w:r w:rsidRPr="001B41F3">
        <w:t xml:space="preserve"> analysis was 19.6%.</w:t>
      </w:r>
    </w:p>
    <w:p w14:paraId="11BFBDFA" w14:textId="112B26C6" w:rsidR="004B165B" w:rsidRPr="001B41F3" w:rsidRDefault="004B165B" w:rsidP="001B41F3">
      <w:r w:rsidRPr="001B41F3">
        <w:t>Simulation of 1000 patients receiving the proposed induction dose (300</w:t>
      </w:r>
      <w:r w:rsidR="00B77B5E">
        <w:t> </w:t>
      </w:r>
      <w:r w:rsidRPr="001B41F3">
        <w:t>mg</w:t>
      </w:r>
      <w:r w:rsidR="000F781F">
        <w:t xml:space="preserve"> intravenous (</w:t>
      </w:r>
      <w:r w:rsidRPr="001B41F3">
        <w:t>IV</w:t>
      </w:r>
      <w:r w:rsidR="000F781F">
        <w:t>)</w:t>
      </w:r>
      <w:r w:rsidR="00060E20">
        <w:t xml:space="preserve"> </w:t>
      </w:r>
      <w:r w:rsidR="00B77B5E">
        <w:t>every</w:t>
      </w:r>
      <w:r w:rsidR="00060E20">
        <w:t xml:space="preserve"> </w:t>
      </w:r>
      <w:r w:rsidR="002A7C0F">
        <w:t>4</w:t>
      </w:r>
      <w:r w:rsidR="00060E20">
        <w:t xml:space="preserve"> weeks)</w:t>
      </w:r>
      <w:r w:rsidRPr="001B41F3">
        <w:t xml:space="preserve"> and the proposed maintenance dose (200</w:t>
      </w:r>
      <w:r w:rsidR="00D51D9F">
        <w:t> </w:t>
      </w:r>
      <w:r w:rsidRPr="001B41F3">
        <w:t xml:space="preserve">mg </w:t>
      </w:r>
      <w:r w:rsidR="000F781F">
        <w:t>subcutaneous (</w:t>
      </w:r>
      <w:r w:rsidRPr="001B41F3">
        <w:t>SC</w:t>
      </w:r>
      <w:r w:rsidR="000F781F">
        <w:t>)</w:t>
      </w:r>
      <w:r w:rsidRPr="001B41F3">
        <w:t xml:space="preserve"> </w:t>
      </w:r>
      <w:r w:rsidR="00D51D9F">
        <w:t xml:space="preserve">every </w:t>
      </w:r>
      <w:r w:rsidR="002A7C0F">
        <w:t xml:space="preserve">4 </w:t>
      </w:r>
      <w:r w:rsidR="00D51D9F">
        <w:t>weeks)</w:t>
      </w:r>
      <w:r w:rsidRPr="001B41F3">
        <w:t xml:space="preserve"> was conducted, as shown in </w:t>
      </w:r>
      <w:r w:rsidRPr="001B41F3">
        <w:fldChar w:fldCharType="begin"/>
      </w:r>
      <w:r w:rsidRPr="001B41F3">
        <w:instrText xml:space="preserve"> REF _Ref129001320 \h </w:instrText>
      </w:r>
      <w:r w:rsidR="001B41F3">
        <w:instrText xml:space="preserve"> \* MERGEFORMAT </w:instrText>
      </w:r>
      <w:r w:rsidRPr="001B41F3">
        <w:fldChar w:fldCharType="separate"/>
      </w:r>
      <w:r w:rsidR="00D777FF" w:rsidRPr="0080440A">
        <w:t xml:space="preserve">Figure </w:t>
      </w:r>
      <w:r w:rsidR="00D777FF">
        <w:t>4</w:t>
      </w:r>
      <w:r w:rsidRPr="001B41F3">
        <w:fldChar w:fldCharType="end"/>
      </w:r>
      <w:r w:rsidRPr="001B41F3">
        <w:t xml:space="preserve"> (the figure also demonstrates the predicted overlap in exposure between the regimens).</w:t>
      </w:r>
    </w:p>
    <w:p w14:paraId="6F3D40CE" w14:textId="65732F69" w:rsidR="004B165B" w:rsidRDefault="004B165B" w:rsidP="00D82485">
      <w:pPr>
        <w:pStyle w:val="FigureTitle"/>
      </w:pPr>
      <w:bookmarkStart w:id="56" w:name="_Ref136437578"/>
      <w:r>
        <w:lastRenderedPageBreak/>
        <w:t xml:space="preserve">Figure </w:t>
      </w:r>
      <w:fldSimple w:instr=" SEQ Figure \* ARABIC ">
        <w:r w:rsidR="00D777FF">
          <w:rPr>
            <w:noProof/>
          </w:rPr>
          <w:t>3</w:t>
        </w:r>
      </w:fldSimple>
      <w:bookmarkEnd w:id="56"/>
      <w:r w:rsidR="00D82485">
        <w:rPr>
          <w:noProof/>
        </w:rPr>
        <w:t>:</w:t>
      </w:r>
      <w:r>
        <w:t xml:space="preserve"> Box plot of relationship between mirikizumab exposure and bod</w:t>
      </w:r>
      <w:r w:rsidR="00B16F1D">
        <w:t>y</w:t>
      </w:r>
      <w:r>
        <w:t xml:space="preserve"> weight with 300</w:t>
      </w:r>
      <w:r w:rsidR="00B16F1D">
        <w:t> </w:t>
      </w:r>
      <w:r>
        <w:t xml:space="preserve">mg </w:t>
      </w:r>
      <w:r w:rsidR="00B16F1D">
        <w:t xml:space="preserve">intravenous every </w:t>
      </w:r>
      <w:r w:rsidR="002A7C0F">
        <w:t>4</w:t>
      </w:r>
      <w:r w:rsidR="00B16F1D">
        <w:t xml:space="preserve"> weeks </w:t>
      </w:r>
      <w:r>
        <w:t xml:space="preserve">from the </w:t>
      </w:r>
      <w:r w:rsidR="00B16F1D">
        <w:t>P</w:t>
      </w:r>
      <w:r>
        <w:t xml:space="preserve">hase </w:t>
      </w:r>
      <w:r w:rsidR="00B16F1D">
        <w:t xml:space="preserve">III population </w:t>
      </w:r>
      <w:r w:rsidR="000F781F">
        <w:t xml:space="preserve">pharmacokinetics </w:t>
      </w:r>
      <w:r>
        <w:t>analysis</w:t>
      </w:r>
      <w:r w:rsidR="0099632D">
        <w:fldChar w:fldCharType="begin"/>
      </w:r>
      <w:r w:rsidR="0099632D">
        <w:instrText xml:space="preserve"> DOCVARIABLE vault_nd_057b9ba5-7a13-47fa-9d27-167c0fce5b9e \* MERGEFORMAT </w:instrText>
      </w:r>
      <w:r w:rsidR="0099632D">
        <w:fldChar w:fldCharType="separate"/>
      </w:r>
      <w:r w:rsidR="005605B4">
        <w:t xml:space="preserve"> </w:t>
      </w:r>
      <w:r w:rsidR="0099632D">
        <w:fldChar w:fldCharType="end"/>
      </w:r>
    </w:p>
    <w:p w14:paraId="7EBDB4F0" w14:textId="39E3D639" w:rsidR="00A442A3" w:rsidRDefault="00A442A3" w:rsidP="006278D0">
      <w:r>
        <w:rPr>
          <w:noProof/>
        </w:rPr>
        <w:drawing>
          <wp:inline distT="0" distB="0" distL="0" distR="0" wp14:anchorId="749E1308" wp14:editId="4292148F">
            <wp:extent cx="5670550" cy="2355850"/>
            <wp:effectExtent l="0" t="0" r="6350" b="6350"/>
            <wp:docPr id="22" name="Picture 22" descr="Box plot of relationship between mirikizumab exposure and body weight with 300 mg intravenous every 4 weeks from the Phase III population pharmacokinetic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ox plot of relationship between mirikizumab exposure and body weight with 300 mg intravenous every 4 weeks from the Phase III population pharmacokinetics analysis"/>
                    <pic:cNvPicPr/>
                  </pic:nvPicPr>
                  <pic:blipFill rotWithShape="1">
                    <a:blip r:embed="rId28"/>
                    <a:srcRect l="1544" b="35668"/>
                    <a:stretch/>
                  </pic:blipFill>
                  <pic:spPr bwMode="auto">
                    <a:xfrm>
                      <a:off x="0" y="0"/>
                      <a:ext cx="5670550" cy="2355850"/>
                    </a:xfrm>
                    <a:prstGeom prst="rect">
                      <a:avLst/>
                    </a:prstGeom>
                    <a:ln>
                      <a:noFill/>
                    </a:ln>
                    <a:extLst>
                      <a:ext uri="{53640926-AAD7-44D8-BBD7-CCE9431645EC}">
                        <a14:shadowObscured xmlns:a14="http://schemas.microsoft.com/office/drawing/2010/main"/>
                      </a:ext>
                    </a:extLst>
                  </pic:spPr>
                </pic:pic>
              </a:graphicData>
            </a:graphic>
          </wp:inline>
        </w:drawing>
      </w:r>
    </w:p>
    <w:p w14:paraId="7F55F76F" w14:textId="35429A34" w:rsidR="0080440A" w:rsidRDefault="0080440A" w:rsidP="00C80B31">
      <w:pPr>
        <w:pStyle w:val="FigureDescription"/>
      </w:pPr>
      <w:r>
        <w:t xml:space="preserve">Abbreviations: </w:t>
      </w:r>
      <w:proofErr w:type="spellStart"/>
      <w:proofErr w:type="gramStart"/>
      <w:r>
        <w:t>AUC</w:t>
      </w:r>
      <w:r w:rsidRPr="0080440A">
        <w:rPr>
          <w:vertAlign w:val="subscript"/>
        </w:rPr>
        <w:t>tau,ss</w:t>
      </w:r>
      <w:proofErr w:type="spellEnd"/>
      <w:proofErr w:type="gramEnd"/>
      <w:r w:rsidRPr="0080440A">
        <w:rPr>
          <w:vertAlign w:val="subscript"/>
        </w:rPr>
        <w:t xml:space="preserve"> </w:t>
      </w:r>
      <w:r>
        <w:t>= area under the concentration versus time curve during 1</w:t>
      </w:r>
      <w:r w:rsidR="00C80B31">
        <w:t xml:space="preserve"> </w:t>
      </w:r>
      <w:r>
        <w:t>dosing interval at steady</w:t>
      </w:r>
      <w:r w:rsidR="00D777FF">
        <w:t xml:space="preserve"> </w:t>
      </w:r>
      <w:r w:rsidR="00C80B31">
        <w:t>s</w:t>
      </w:r>
      <w:r>
        <w:t>tate, C</w:t>
      </w:r>
      <w:r w:rsidRPr="0080440A">
        <w:rPr>
          <w:vertAlign w:val="subscript"/>
        </w:rPr>
        <w:t>max</w:t>
      </w:r>
      <w:r>
        <w:t xml:space="preserve"> = maximum concentration during a dosing interval</w:t>
      </w:r>
      <w:r w:rsidR="00C80B31">
        <w:t xml:space="preserve"> </w:t>
      </w:r>
      <w:r>
        <w:t>at steady state, IV = intravenous, PK</w:t>
      </w:r>
      <w:r w:rsidR="00C80B31">
        <w:t> </w:t>
      </w:r>
      <w:r>
        <w:t>=</w:t>
      </w:r>
      <w:r w:rsidR="00C80B31">
        <w:t> </w:t>
      </w:r>
      <w:r>
        <w:t>pharmacokinetics, PopPK = population</w:t>
      </w:r>
      <w:r w:rsidR="00C80B31">
        <w:t xml:space="preserve"> </w:t>
      </w:r>
      <w:r>
        <w:t>pharmacokinetics, Q = quartile, Q4W = every 4 weeks.</w:t>
      </w:r>
    </w:p>
    <w:p w14:paraId="070916DF" w14:textId="4A1D2F7F" w:rsidR="0080440A" w:rsidRPr="0080440A" w:rsidRDefault="0080440A" w:rsidP="00C80B31">
      <w:pPr>
        <w:pStyle w:val="FigureDescription"/>
      </w:pPr>
      <w:r>
        <w:t>Note: The horizontal line in each box represents the median; the top and bottom sides</w:t>
      </w:r>
      <w:r w:rsidR="00C80B31">
        <w:t xml:space="preserve"> </w:t>
      </w:r>
      <w:r>
        <w:t>of the box represent the 75th and 25th percentiles; the whiskers extend to the 95th and</w:t>
      </w:r>
      <w:r w:rsidR="00C80B31">
        <w:t xml:space="preserve"> </w:t>
      </w:r>
      <w:r>
        <w:t>5th percentiles; and circles represent data points outside of 5th or 95th percentile.</w:t>
      </w:r>
    </w:p>
    <w:p w14:paraId="5E23B192" w14:textId="16D4BA83" w:rsidR="004B165B" w:rsidRDefault="004B165B" w:rsidP="008A768F">
      <w:pPr>
        <w:pStyle w:val="FigureTitle"/>
      </w:pPr>
      <w:bookmarkStart w:id="57" w:name="_Ref129001320"/>
      <w:r w:rsidRPr="0080440A">
        <w:t xml:space="preserve">Figure </w:t>
      </w:r>
      <w:fldSimple w:instr=" SEQ Figure \* ARABIC ">
        <w:r w:rsidR="00D777FF">
          <w:rPr>
            <w:noProof/>
          </w:rPr>
          <w:t>4</w:t>
        </w:r>
      </w:fldSimple>
      <w:bookmarkEnd w:id="57"/>
      <w:r w:rsidR="00036EAA" w:rsidRPr="0080440A">
        <w:t>:</w:t>
      </w:r>
      <w:r w:rsidRPr="0080440A">
        <w:t xml:space="preserve"> Model predicted concentration-time profiles for induction and maintenance dosing</w:t>
      </w:r>
      <w:r w:rsidR="0099632D">
        <w:fldChar w:fldCharType="begin"/>
      </w:r>
      <w:r w:rsidR="0099632D">
        <w:instrText xml:space="preserve"> DOCVARIABLE vault_nd_440f5dc3-0162-48d5-817b-4dd3499bae1d \* MERGEFORMAT </w:instrText>
      </w:r>
      <w:r w:rsidR="0099632D">
        <w:fldChar w:fldCharType="separate"/>
      </w:r>
      <w:r w:rsidR="005605B4">
        <w:t xml:space="preserve"> </w:t>
      </w:r>
      <w:r w:rsidR="0099632D">
        <w:fldChar w:fldCharType="end"/>
      </w:r>
    </w:p>
    <w:p w14:paraId="40486589" w14:textId="46B5B192" w:rsidR="008A768F" w:rsidRPr="00C2143B" w:rsidRDefault="008A768F" w:rsidP="00C2143B">
      <w:r w:rsidRPr="00C2143B">
        <w:rPr>
          <w:noProof/>
        </w:rPr>
        <w:drawing>
          <wp:inline distT="0" distB="0" distL="0" distR="0" wp14:anchorId="436A06C1" wp14:editId="479A2B98">
            <wp:extent cx="4306053" cy="3384550"/>
            <wp:effectExtent l="0" t="0" r="0" b="6350"/>
            <wp:docPr id="23" name="Picture 23" descr="Model predicted concentration-time profiles for induction and maintenance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odel predicted concentration-time profiles for induction and maintenance dosing"/>
                    <pic:cNvPicPr/>
                  </pic:nvPicPr>
                  <pic:blipFill>
                    <a:blip r:embed="rId29"/>
                    <a:stretch>
                      <a:fillRect/>
                    </a:stretch>
                  </pic:blipFill>
                  <pic:spPr>
                    <a:xfrm>
                      <a:off x="0" y="0"/>
                      <a:ext cx="4322754" cy="3397677"/>
                    </a:xfrm>
                    <a:prstGeom prst="rect">
                      <a:avLst/>
                    </a:prstGeom>
                  </pic:spPr>
                </pic:pic>
              </a:graphicData>
            </a:graphic>
          </wp:inline>
        </w:drawing>
      </w:r>
    </w:p>
    <w:p w14:paraId="20F5D50C" w14:textId="062EB820" w:rsidR="00C2143B" w:rsidRPr="00C2143B" w:rsidRDefault="00C2143B" w:rsidP="00AF48DA">
      <w:pPr>
        <w:pStyle w:val="FigureDescription"/>
      </w:pPr>
      <w:r w:rsidRPr="00C2143B">
        <w:t>Abbreviations: IV</w:t>
      </w:r>
      <w:r>
        <w:t xml:space="preserve"> </w:t>
      </w:r>
      <w:r w:rsidRPr="00C2143B">
        <w:t>=</w:t>
      </w:r>
      <w:r>
        <w:t xml:space="preserve"> </w:t>
      </w:r>
      <w:r w:rsidRPr="00C2143B">
        <w:t>intravenous</w:t>
      </w:r>
      <w:r>
        <w:t>,</w:t>
      </w:r>
      <w:r w:rsidRPr="00C2143B">
        <w:t xml:space="preserve"> PK = pharmacokinetics</w:t>
      </w:r>
      <w:r>
        <w:t xml:space="preserve">, </w:t>
      </w:r>
      <w:r w:rsidRPr="00C2143B">
        <w:t>Q4W = every 4 weeks</w:t>
      </w:r>
      <w:r>
        <w:t>,</w:t>
      </w:r>
      <w:r w:rsidRPr="00C2143B">
        <w:t xml:space="preserve"> </w:t>
      </w:r>
      <w:r>
        <w:t>S</w:t>
      </w:r>
      <w:r w:rsidRPr="00C2143B">
        <w:t>C</w:t>
      </w:r>
      <w:r>
        <w:t> </w:t>
      </w:r>
      <w:r w:rsidRPr="00C2143B">
        <w:t>=</w:t>
      </w:r>
      <w:r>
        <w:t> </w:t>
      </w:r>
      <w:r w:rsidRPr="00C2143B">
        <w:t>subcutaneous.</w:t>
      </w:r>
    </w:p>
    <w:p w14:paraId="6021898E" w14:textId="10C504B4" w:rsidR="008A768F" w:rsidRPr="00C2143B" w:rsidRDefault="00C2143B" w:rsidP="00AF48DA">
      <w:pPr>
        <w:pStyle w:val="FigureDescription"/>
      </w:pPr>
      <w:r w:rsidRPr="00C2143B">
        <w:t>Note: Simulation of 1000 patients was conducted using baseline covariates in the</w:t>
      </w:r>
      <w:r>
        <w:t xml:space="preserve"> </w:t>
      </w:r>
      <w:r w:rsidRPr="00C2143B">
        <w:t>AMAN/AMBG dataset. The solid black and beige line depict the median predicted</w:t>
      </w:r>
      <w:r>
        <w:t xml:space="preserve"> </w:t>
      </w:r>
      <w:r w:rsidRPr="00C2143B">
        <w:t>concentration profile for 300</w:t>
      </w:r>
      <w:r>
        <w:t> </w:t>
      </w:r>
      <w:r w:rsidRPr="00C2143B">
        <w:t xml:space="preserve">mg intravenous dose Q4W </w:t>
      </w:r>
      <w:r w:rsidR="00AF48DA">
        <w:t>f</w:t>
      </w:r>
      <w:r w:rsidRPr="00C2143B">
        <w:t>rom Weeks 0 to 12 and 200</w:t>
      </w:r>
      <w:r>
        <w:t> </w:t>
      </w:r>
      <w:r w:rsidRPr="00C2143B">
        <w:t>mg subcutaneous dose Q4W from Weeks 24 to 36 respectively, and the shaded area</w:t>
      </w:r>
      <w:r w:rsidR="00AF48DA">
        <w:t xml:space="preserve"> </w:t>
      </w:r>
      <w:r w:rsidRPr="00C2143B">
        <w:t>defines the 90% prediction interval of the simulated data.</w:t>
      </w:r>
    </w:p>
    <w:p w14:paraId="52460112" w14:textId="1ABA94B5" w:rsidR="004B165B" w:rsidRDefault="004B165B" w:rsidP="00324BBD">
      <w:pPr>
        <w:pStyle w:val="Heading6"/>
      </w:pPr>
      <w:r>
        <w:lastRenderedPageBreak/>
        <w:t xml:space="preserve">Model predicted </w:t>
      </w:r>
      <w:r w:rsidR="00324BBD">
        <w:t>pharmacokinetic</w:t>
      </w:r>
      <w:r>
        <w:t xml:space="preserve"> parameters in patients with </w:t>
      </w:r>
      <w:r w:rsidR="00324BBD">
        <w:t>ulcerative colitis</w:t>
      </w:r>
      <w:r w:rsidR="0099632D">
        <w:fldChar w:fldCharType="begin"/>
      </w:r>
      <w:r w:rsidR="0099632D">
        <w:instrText xml:space="preserve"> DOCVARIABLE vault_nd_2b03b8be-14ba-4706-8f32-5ca06646fd6e \* MERGEFORMAT </w:instrText>
      </w:r>
      <w:r w:rsidR="0099632D">
        <w:fldChar w:fldCharType="separate"/>
      </w:r>
      <w:r w:rsidR="005605B4">
        <w:t xml:space="preserve"> </w:t>
      </w:r>
      <w:r w:rsidR="0099632D">
        <w:fldChar w:fldCharType="end"/>
      </w:r>
    </w:p>
    <w:p w14:paraId="62A3E22F" w14:textId="62B96E34" w:rsidR="004B165B" w:rsidRPr="00324BBD" w:rsidRDefault="004B165B" w:rsidP="00324BBD">
      <w:r w:rsidRPr="00324BBD">
        <w:t>The estimated geometric mean bioavailability of 200</w:t>
      </w:r>
      <w:r w:rsidR="00324BBD">
        <w:t> </w:t>
      </w:r>
      <w:r w:rsidRPr="00324BBD">
        <w:t>mg SC dose in patients with UC was 44%. The model did not predict differences in exposure based on injection site. The estimated geometric mean volume of distribution was 4.83</w:t>
      </w:r>
      <w:r w:rsidR="00E961EA">
        <w:t> </w:t>
      </w:r>
      <w:r w:rsidRPr="00324BBD">
        <w:t>L (3.19 in the central compartment). The estimated geometric mean systemic clearance was 0.0229</w:t>
      </w:r>
      <w:r w:rsidR="00E961EA">
        <w:t> </w:t>
      </w:r>
      <w:r w:rsidRPr="00324BBD">
        <w:t>L/h. The geometric mean t</w:t>
      </w:r>
      <w:r w:rsidRPr="00E961EA">
        <w:rPr>
          <w:vertAlign w:val="subscript"/>
        </w:rPr>
        <w:t xml:space="preserve">1/2 </w:t>
      </w:r>
      <w:r w:rsidRPr="00324BBD">
        <w:t>was 9.3</w:t>
      </w:r>
      <w:r w:rsidR="000F781F">
        <w:t> </w:t>
      </w:r>
      <w:r w:rsidRPr="00324BBD">
        <w:t>days.</w:t>
      </w:r>
    </w:p>
    <w:p w14:paraId="44290C53" w14:textId="77777777" w:rsidR="004B165B" w:rsidRPr="00324BBD" w:rsidRDefault="004B165B" w:rsidP="00324BBD">
      <w:r w:rsidRPr="00324BBD">
        <w:t>Immunogenicity was not found to be a statistically significant factor affecting mirikizumab clearance. The low numbers of patients with high titre antidrug antibodies could potentially influence the ability of the model to detect an effect.</w:t>
      </w:r>
    </w:p>
    <w:p w14:paraId="75CAB187" w14:textId="77777777" w:rsidR="004B165B" w:rsidRPr="00324BBD" w:rsidRDefault="004B165B" w:rsidP="00324BBD">
      <w:r w:rsidRPr="00324BBD">
        <w:t>Age, sex and race were not significant covariates for mirikizumab exposure.</w:t>
      </w:r>
    </w:p>
    <w:p w14:paraId="7C097F07" w14:textId="1D8D4C12" w:rsidR="004B165B" w:rsidRDefault="004B165B" w:rsidP="004B165B">
      <w:pPr>
        <w:pStyle w:val="Heading5"/>
        <w:rPr>
          <w:b w:val="0"/>
          <w:color w:val="7295D2" w:themeColor="accent1" w:themeTint="BF"/>
        </w:rPr>
      </w:pPr>
      <w:r w:rsidRPr="00AA53F4">
        <w:t>Pharmacodynamics</w:t>
      </w:r>
      <w:r w:rsidR="0099632D">
        <w:fldChar w:fldCharType="begin"/>
      </w:r>
      <w:r w:rsidR="0099632D">
        <w:instrText xml:space="preserve"> DOCVARIABLE vault_nd_b9b06c9f-9807-47a8-b439-5454d743743a \* MERGEFORMAT </w:instrText>
      </w:r>
      <w:r w:rsidR="0099632D">
        <w:fldChar w:fldCharType="separate"/>
      </w:r>
      <w:r w:rsidR="005605B4">
        <w:t xml:space="preserve"> </w:t>
      </w:r>
      <w:r w:rsidR="0099632D">
        <w:fldChar w:fldCharType="end"/>
      </w:r>
    </w:p>
    <w:p w14:paraId="135B1A78" w14:textId="46109EC4" w:rsidR="004B165B" w:rsidRDefault="004B165B" w:rsidP="004B165B">
      <w:r>
        <w:t xml:space="preserve">Several studies provided </w:t>
      </w:r>
      <w:r w:rsidR="0013635D">
        <w:t>PD</w:t>
      </w:r>
      <w:r>
        <w:t xml:space="preserve"> data during the development program. This section includes only those details necessary to appreciate the PD effects.</w:t>
      </w:r>
    </w:p>
    <w:p w14:paraId="291328DD" w14:textId="3D5274E3" w:rsidR="004B165B" w:rsidRPr="0013635D" w:rsidRDefault="004B165B" w:rsidP="0013635D">
      <w:r w:rsidRPr="0013635D">
        <w:t xml:space="preserve">Phase </w:t>
      </w:r>
      <w:r w:rsidR="0013635D" w:rsidRPr="0013635D">
        <w:t>II</w:t>
      </w:r>
      <w:r w:rsidRPr="0013635D">
        <w:t xml:space="preserve"> </w:t>
      </w:r>
      <w:r w:rsidR="0013635D">
        <w:t>S</w:t>
      </w:r>
      <w:r w:rsidRPr="0013635D">
        <w:t>tudy AMAC demonstrated statistically significant reductions in IL-17A and IL-22 (downstream cytokines following IL-23 activation) with mirikizumab 50</w:t>
      </w:r>
      <w:r w:rsidR="0013635D">
        <w:t> </w:t>
      </w:r>
      <w:r w:rsidRPr="0013635D">
        <w:t>mg, 200</w:t>
      </w:r>
      <w:r w:rsidR="0013635D">
        <w:t> </w:t>
      </w:r>
      <w:r w:rsidRPr="0013635D">
        <w:t>mg and 600</w:t>
      </w:r>
      <w:r w:rsidR="0013635D">
        <w:t> </w:t>
      </w:r>
      <w:r w:rsidRPr="0013635D">
        <w:t xml:space="preserve">mg IV </w:t>
      </w:r>
      <w:r w:rsidR="0013635D">
        <w:t xml:space="preserve">every </w:t>
      </w:r>
      <w:r w:rsidR="002A7C0F">
        <w:t xml:space="preserve">4 </w:t>
      </w:r>
      <w:r w:rsidR="0013635D">
        <w:t>weeks</w:t>
      </w:r>
      <w:r w:rsidRPr="0013635D">
        <w:t>, consistent with its mechanism of action.</w:t>
      </w:r>
    </w:p>
    <w:p w14:paraId="5F1373C2" w14:textId="0F24AF09" w:rsidR="004B165B" w:rsidRPr="0013635D" w:rsidRDefault="004B165B" w:rsidP="0013635D">
      <w:r w:rsidRPr="0013635D">
        <w:t xml:space="preserve">Phase </w:t>
      </w:r>
      <w:r w:rsidR="0013635D">
        <w:t>III</w:t>
      </w:r>
      <w:r w:rsidRPr="0013635D">
        <w:t xml:space="preserve"> induction </w:t>
      </w:r>
      <w:r w:rsidR="0013635D">
        <w:t>S</w:t>
      </w:r>
      <w:r w:rsidRPr="0013635D">
        <w:t xml:space="preserve">tudy AMAN demonstrated a statistically significant reduction in CRP at </w:t>
      </w:r>
      <w:r w:rsidR="002F32C9">
        <w:t>W</w:t>
      </w:r>
      <w:r w:rsidRPr="0013635D">
        <w:t>eek 12 compared with placebo (least squares mean difference of -3.7</w:t>
      </w:r>
      <w:r w:rsidR="002F32C9">
        <w:t> </w:t>
      </w:r>
      <w:r w:rsidRPr="0013635D">
        <w:t xml:space="preserve">mg/L). Among patients with a CRP </w:t>
      </w:r>
      <w:r w:rsidR="002F32C9">
        <w:t>greater than</w:t>
      </w:r>
      <w:r w:rsidRPr="0013635D">
        <w:t xml:space="preserve"> 6</w:t>
      </w:r>
      <w:r w:rsidR="002F32C9">
        <w:t> </w:t>
      </w:r>
      <w:r w:rsidRPr="0013635D">
        <w:t xml:space="preserve">mg/L at </w:t>
      </w:r>
      <w:r w:rsidR="002F32C9">
        <w:t>B</w:t>
      </w:r>
      <w:r w:rsidRPr="0013635D">
        <w:t>aseline, there was an absolute difference of 24.8% between mirikizumab and placebo, in the percentage of patients achieving a CRP 6 mg/L</w:t>
      </w:r>
      <w:r w:rsidR="002F32C9">
        <w:t xml:space="preserve"> or less</w:t>
      </w:r>
      <w:r w:rsidRPr="0013635D">
        <w:t xml:space="preserve">. There were comparable differences found in </w:t>
      </w:r>
      <w:r w:rsidR="002F32C9">
        <w:t>P</w:t>
      </w:r>
      <w:r w:rsidRPr="0013635D">
        <w:t xml:space="preserve">hase </w:t>
      </w:r>
      <w:r w:rsidR="002F32C9">
        <w:t>III</w:t>
      </w:r>
      <w:r w:rsidRPr="0013635D">
        <w:t xml:space="preserve"> maintenance </w:t>
      </w:r>
      <w:r w:rsidR="002F32C9">
        <w:t>S</w:t>
      </w:r>
      <w:r w:rsidRPr="0013635D">
        <w:t>tudy AMBG.</w:t>
      </w:r>
    </w:p>
    <w:p w14:paraId="084CD2A4" w14:textId="7EC1C7EC" w:rsidR="004B165B" w:rsidRPr="002F32C9" w:rsidRDefault="004B165B" w:rsidP="002F32C9">
      <w:r w:rsidRPr="002F32C9">
        <w:t xml:space="preserve">Study AMAN demonstrated a statistically significant reduction in faecal calprotectin at </w:t>
      </w:r>
      <w:r w:rsidR="00B3737C">
        <w:t>W</w:t>
      </w:r>
      <w:r w:rsidRPr="002F32C9">
        <w:t>eek 12 compared with placebo (least squares mean difference of -936</w:t>
      </w:r>
      <w:r w:rsidR="00B3737C">
        <w:t> </w:t>
      </w:r>
      <w:r w:rsidRPr="002F32C9">
        <w:t xml:space="preserve">mg/kg). Among patients with calprotectin </w:t>
      </w:r>
      <w:r w:rsidR="00B3737C">
        <w:t>greater than</w:t>
      </w:r>
      <w:r w:rsidRPr="002F32C9">
        <w:t xml:space="preserve"> 250</w:t>
      </w:r>
      <w:r w:rsidR="00B3737C">
        <w:t> </w:t>
      </w:r>
      <w:r w:rsidRPr="002F32C9">
        <w:t xml:space="preserve">mg/kg at </w:t>
      </w:r>
      <w:r w:rsidR="00B3737C">
        <w:t>B</w:t>
      </w:r>
      <w:r w:rsidRPr="002F32C9">
        <w:t>aseline, there was an absolute difference of 14.6% between mirikizumab and placebo, in the percentage of patient</w:t>
      </w:r>
      <w:r w:rsidR="000F781F">
        <w:t>s</w:t>
      </w:r>
      <w:r w:rsidRPr="002F32C9">
        <w:t xml:space="preserve"> achieving a calprotectin 250</w:t>
      </w:r>
      <w:r w:rsidR="00B3737C">
        <w:t> </w:t>
      </w:r>
      <w:r w:rsidRPr="002F32C9">
        <w:t>mg/kg</w:t>
      </w:r>
      <w:r w:rsidR="00B3737C">
        <w:t xml:space="preserve"> or less</w:t>
      </w:r>
      <w:r w:rsidRPr="002F32C9">
        <w:t xml:space="preserve"> at </w:t>
      </w:r>
      <w:r w:rsidR="00B3737C">
        <w:t>W</w:t>
      </w:r>
      <w:r w:rsidRPr="002F32C9">
        <w:t xml:space="preserve">eek 12. In </w:t>
      </w:r>
      <w:r w:rsidR="00B3737C">
        <w:t>S</w:t>
      </w:r>
      <w:r w:rsidRPr="002F32C9">
        <w:t xml:space="preserve">tudy AMBG, among patients who initially responded to mirikizumab induction and were then randomised to either maintenance mirikizumab or placebo, the mean calprotectin at </w:t>
      </w:r>
      <w:r w:rsidR="00B3737C">
        <w:t>W</w:t>
      </w:r>
      <w:r w:rsidRPr="002F32C9">
        <w:t>eek 40 was 1023</w:t>
      </w:r>
      <w:r w:rsidR="00B3737C">
        <w:t> </w:t>
      </w:r>
      <w:r w:rsidRPr="002F32C9">
        <w:t>mg/kg with mirikizumab and 1863</w:t>
      </w:r>
      <w:r w:rsidR="00B3737C">
        <w:t> </w:t>
      </w:r>
      <w:r w:rsidRPr="002F32C9">
        <w:t>mg/kg with placebo.</w:t>
      </w:r>
    </w:p>
    <w:p w14:paraId="0639860B" w14:textId="14834286" w:rsidR="004B165B" w:rsidRPr="00B3737C" w:rsidRDefault="004B165B" w:rsidP="00B3737C">
      <w:r w:rsidRPr="00B3737C">
        <w:t xml:space="preserve">Dose finding </w:t>
      </w:r>
      <w:r w:rsidR="00B3737C">
        <w:t>S</w:t>
      </w:r>
      <w:r w:rsidRPr="00B3737C">
        <w:t xml:space="preserve">tudy AMAC was a </w:t>
      </w:r>
      <w:r w:rsidR="00B3737C">
        <w:t>P</w:t>
      </w:r>
      <w:r w:rsidRPr="00B3737C">
        <w:t xml:space="preserve">hase </w:t>
      </w:r>
      <w:r w:rsidR="00B3737C">
        <w:t>II</w:t>
      </w:r>
      <w:r w:rsidRPr="00B3737C">
        <w:t xml:space="preserve">, randomised, double blind, </w:t>
      </w:r>
      <w:proofErr w:type="gramStart"/>
      <w:r w:rsidRPr="00B3737C">
        <w:t>placebo</w:t>
      </w:r>
      <w:r w:rsidR="00B3737C">
        <w:t xml:space="preserve"> </w:t>
      </w:r>
      <w:r w:rsidRPr="00B3737C">
        <w:t>controlled</w:t>
      </w:r>
      <w:proofErr w:type="gramEnd"/>
      <w:r w:rsidRPr="00B3737C">
        <w:t xml:space="preserve"> study of exposure-based mirikizumab dosing at 50</w:t>
      </w:r>
      <w:r w:rsidR="00B3737C">
        <w:t> </w:t>
      </w:r>
      <w:r w:rsidRPr="00B3737C">
        <w:t>mg, 200</w:t>
      </w:r>
      <w:r w:rsidR="00B3737C">
        <w:t> </w:t>
      </w:r>
      <w:r w:rsidRPr="00B3737C">
        <w:t>mg and 600</w:t>
      </w:r>
      <w:r w:rsidR="00B3737C">
        <w:t> </w:t>
      </w:r>
      <w:r w:rsidRPr="00B3737C">
        <w:t>mg. The study involved 249 patients. Mirikizumab was given by IV infusion every 4 weeks. Doses were adjusted upwards in 73% of the 50</w:t>
      </w:r>
      <w:r w:rsidR="00B3737C">
        <w:t> </w:t>
      </w:r>
      <w:r w:rsidRPr="00B3737C">
        <w:t>mg group and 43.5% of the 200</w:t>
      </w:r>
      <w:r w:rsidR="00B3737C">
        <w:t> </w:t>
      </w:r>
      <w:r w:rsidRPr="00B3737C">
        <w:t>mg group, such as that the average dose in the latter group was 250</w:t>
      </w:r>
      <w:r w:rsidR="00B3737C">
        <w:t> </w:t>
      </w:r>
      <w:r w:rsidRPr="00B3737C">
        <w:t>mg. Patients in the 200</w:t>
      </w:r>
      <w:r w:rsidR="00B3737C">
        <w:t> </w:t>
      </w:r>
      <w:r w:rsidRPr="00B3737C">
        <w:t>mg group achieved superior efficacy for clinical response, clinical remission and endoscopic improvement (same as the pivotal studies).</w:t>
      </w:r>
    </w:p>
    <w:p w14:paraId="67D80AC4" w14:textId="60D5C574" w:rsidR="004B165B" w:rsidRPr="00AE4B09" w:rsidRDefault="004B165B" w:rsidP="00AE4B09">
      <w:r w:rsidRPr="00AE4B09">
        <w:t xml:space="preserve">The </w:t>
      </w:r>
      <w:proofErr w:type="gramStart"/>
      <w:r w:rsidRPr="00AE4B09">
        <w:t>12 week</w:t>
      </w:r>
      <w:proofErr w:type="gramEnd"/>
      <w:r w:rsidRPr="00AE4B09">
        <w:t xml:space="preserve"> induction phase was followed by a maintenance phase, whereby responders were re-randomised to either mirikizumab 200</w:t>
      </w:r>
      <w:r w:rsidR="00AE4B09">
        <w:t> </w:t>
      </w:r>
      <w:r w:rsidRPr="00AE4B09">
        <w:t xml:space="preserve">mg </w:t>
      </w:r>
      <w:r w:rsidR="00AE4B09">
        <w:t xml:space="preserve">every </w:t>
      </w:r>
      <w:r w:rsidR="002A7C0F">
        <w:t>4</w:t>
      </w:r>
      <w:r w:rsidR="00AE4B09">
        <w:t xml:space="preserve"> weeks </w:t>
      </w:r>
      <w:r w:rsidRPr="00AE4B09">
        <w:t xml:space="preserve">or </w:t>
      </w:r>
      <w:r w:rsidR="00AE4B09">
        <w:t>every 12 weeks.</w:t>
      </w:r>
      <w:r w:rsidRPr="00AE4B09">
        <w:t xml:space="preserve"> Whilst efficacy was observed in both groups, the </w:t>
      </w:r>
      <w:r w:rsidR="00AE4B09">
        <w:t>every 4 weeks</w:t>
      </w:r>
      <w:r w:rsidRPr="00AE4B09">
        <w:t xml:space="preserve"> treatment group had a numerically greater treatment effect with less fluctuation in symptom scores. The </w:t>
      </w:r>
      <w:r w:rsidR="00396425">
        <w:t xml:space="preserve">every </w:t>
      </w:r>
      <w:r w:rsidR="002A7C0F">
        <w:t>4</w:t>
      </w:r>
      <w:r w:rsidR="00396425">
        <w:t xml:space="preserve"> weeks</w:t>
      </w:r>
      <w:r w:rsidRPr="00AE4B09">
        <w:t xml:space="preserve"> regimen also resulted in trough concentrations that were comparable to those in the 200</w:t>
      </w:r>
      <w:r w:rsidR="00396425">
        <w:t> </w:t>
      </w:r>
      <w:r w:rsidRPr="00AE4B09">
        <w:t>mg IV induction study.</w:t>
      </w:r>
      <w:r w:rsidR="00D777FF">
        <w:t xml:space="preserve"> </w:t>
      </w:r>
      <w:r w:rsidRPr="00AE4B09">
        <w:t>The induction period demonstrated benefit on the major efficacy measures (clinical remission, clinical response, endoscopic response, symptomatic response) that tended to be maximal at the 200</w:t>
      </w:r>
      <w:r w:rsidR="00396425">
        <w:t> </w:t>
      </w:r>
      <w:r w:rsidRPr="00AE4B09">
        <w:t xml:space="preserve">mg IV </w:t>
      </w:r>
      <w:r w:rsidR="00396425">
        <w:t xml:space="preserve">every </w:t>
      </w:r>
      <w:r w:rsidR="002A7C0F">
        <w:t>4</w:t>
      </w:r>
      <w:r w:rsidR="00396425">
        <w:t xml:space="preserve"> weeks </w:t>
      </w:r>
      <w:r w:rsidRPr="00AE4B09">
        <w:t>dose (</w:t>
      </w:r>
      <w:r w:rsidRPr="00AE4B09">
        <w:fldChar w:fldCharType="begin"/>
      </w:r>
      <w:r w:rsidRPr="00AE4B09">
        <w:instrText xml:space="preserve"> REF _Ref129005292 \h </w:instrText>
      </w:r>
      <w:r w:rsidR="00AE4B09">
        <w:instrText xml:space="preserve"> \* MERGEFORMAT </w:instrText>
      </w:r>
      <w:r w:rsidRPr="00AE4B09">
        <w:fldChar w:fldCharType="separate"/>
      </w:r>
      <w:r w:rsidR="00D777FF">
        <w:t>Figure 5</w:t>
      </w:r>
      <w:r w:rsidRPr="00AE4B09">
        <w:fldChar w:fldCharType="end"/>
      </w:r>
      <w:r w:rsidRPr="00AE4B09">
        <w:t>). This study supported the use of 300</w:t>
      </w:r>
      <w:r w:rsidR="00396425">
        <w:t> </w:t>
      </w:r>
      <w:r w:rsidRPr="00AE4B09">
        <w:t xml:space="preserve">mg as the </w:t>
      </w:r>
      <w:r w:rsidR="00396425">
        <w:t>P</w:t>
      </w:r>
      <w:r w:rsidRPr="00AE4B09">
        <w:t xml:space="preserve">hase </w:t>
      </w:r>
      <w:r w:rsidR="00396425">
        <w:t>III</w:t>
      </w:r>
      <w:r w:rsidRPr="00AE4B09">
        <w:t xml:space="preserve"> induction dose (note that the 200</w:t>
      </w:r>
      <w:r w:rsidR="00396425">
        <w:t> </w:t>
      </w:r>
      <w:r w:rsidRPr="00AE4B09">
        <w:t>mg cohort actually received an average dose of 250</w:t>
      </w:r>
      <w:r w:rsidR="00BC03F7">
        <w:t> </w:t>
      </w:r>
      <w:r w:rsidRPr="00AE4B09">
        <w:t>mg due to protocol-defined dose adjustments).</w:t>
      </w:r>
    </w:p>
    <w:p w14:paraId="6621F8F0" w14:textId="3CEBC7F4" w:rsidR="004B165B" w:rsidRDefault="004B165B" w:rsidP="00540794">
      <w:pPr>
        <w:pStyle w:val="FigureTitle"/>
      </w:pPr>
      <w:bookmarkStart w:id="58" w:name="_Ref129005292"/>
      <w:r>
        <w:lastRenderedPageBreak/>
        <w:t xml:space="preserve">Figure </w:t>
      </w:r>
      <w:fldSimple w:instr=" SEQ Figure \* ARABIC ">
        <w:r w:rsidR="00D777FF">
          <w:rPr>
            <w:noProof/>
          </w:rPr>
          <w:t>5</w:t>
        </w:r>
      </w:fldSimple>
      <w:bookmarkEnd w:id="58"/>
      <w:r w:rsidR="00BC03F7">
        <w:rPr>
          <w:noProof/>
        </w:rPr>
        <w:t>:</w:t>
      </w:r>
      <w:r>
        <w:t xml:space="preserve"> </w:t>
      </w:r>
      <w:r w:rsidR="00BC03F7">
        <w:t>R</w:t>
      </w:r>
      <w:r>
        <w:t xml:space="preserve">ates at </w:t>
      </w:r>
      <w:r w:rsidR="00BC03F7">
        <w:t>W</w:t>
      </w:r>
      <w:r>
        <w:t>eek 12 for efficacy endpoints relative to average concentration in patients receiving placebo, 50</w:t>
      </w:r>
      <w:r w:rsidR="00BC03F7">
        <w:t> </w:t>
      </w:r>
      <w:r>
        <w:t>mg, 200</w:t>
      </w:r>
      <w:r w:rsidR="00BC03F7">
        <w:t> </w:t>
      </w:r>
      <w:r>
        <w:t>mg or 600</w:t>
      </w:r>
      <w:r w:rsidR="00BC03F7">
        <w:t> </w:t>
      </w:r>
      <w:r>
        <w:t>mg</w:t>
      </w:r>
      <w:r w:rsidR="0099632D">
        <w:fldChar w:fldCharType="begin"/>
      </w:r>
      <w:r w:rsidR="0099632D">
        <w:instrText xml:space="preserve"> DOCVARIABLE vaul</w:instrText>
      </w:r>
      <w:r w:rsidR="0099632D">
        <w:instrText xml:space="preserve">t_nd_f7159861-af68-4ddd-ae65-bdf3be0fc42b \* MERGEFORMAT </w:instrText>
      </w:r>
      <w:r w:rsidR="0099632D">
        <w:fldChar w:fldCharType="separate"/>
      </w:r>
      <w:r w:rsidR="005605B4">
        <w:t xml:space="preserve"> </w:t>
      </w:r>
      <w:r w:rsidR="0099632D">
        <w:fldChar w:fldCharType="end"/>
      </w:r>
    </w:p>
    <w:p w14:paraId="7E311DD2" w14:textId="61CEBEFE" w:rsidR="00797EA2" w:rsidRDefault="00797EA2" w:rsidP="006278D0">
      <w:r>
        <w:rPr>
          <w:noProof/>
        </w:rPr>
        <w:drawing>
          <wp:inline distT="0" distB="0" distL="0" distR="0" wp14:anchorId="5382071D" wp14:editId="440CB4E3">
            <wp:extent cx="5009497" cy="3244850"/>
            <wp:effectExtent l="0" t="0" r="1270" b="0"/>
            <wp:docPr id="24" name="Picture 24" descr="Rates at Week 12 for efficacy endpoints relative to average concentration in patients receiving placebo, 50 mg, 200 mg or 60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ates at Week 12 for efficacy endpoints relative to average concentration in patients receiving placebo, 50 mg, 200 mg or 600 mg"/>
                    <pic:cNvPicPr/>
                  </pic:nvPicPr>
                  <pic:blipFill>
                    <a:blip r:embed="rId30"/>
                    <a:stretch>
                      <a:fillRect/>
                    </a:stretch>
                  </pic:blipFill>
                  <pic:spPr>
                    <a:xfrm>
                      <a:off x="0" y="0"/>
                      <a:ext cx="5019025" cy="3251022"/>
                    </a:xfrm>
                    <a:prstGeom prst="rect">
                      <a:avLst/>
                    </a:prstGeom>
                  </pic:spPr>
                </pic:pic>
              </a:graphicData>
            </a:graphic>
          </wp:inline>
        </w:drawing>
      </w:r>
    </w:p>
    <w:p w14:paraId="34858776" w14:textId="77777777" w:rsidR="00540794" w:rsidRDefault="00540794" w:rsidP="00540794">
      <w:pPr>
        <w:pStyle w:val="FigureDescription"/>
      </w:pPr>
      <w:r>
        <w:t>Abbreviation: PK = pharmacokinetics.</w:t>
      </w:r>
    </w:p>
    <w:p w14:paraId="5D3085A6" w14:textId="48FD7B6E" w:rsidR="00540794" w:rsidRDefault="00540794" w:rsidP="00540794">
      <w:pPr>
        <w:pStyle w:val="FigureDescription"/>
      </w:pPr>
      <w:r>
        <w:t>Note: Concentration points are at the median of the PK model-estimated average concentration in the placebo, 50 mg, 200 mg, and 600 mg cohorts from left to right.</w:t>
      </w:r>
    </w:p>
    <w:p w14:paraId="0914B1E4" w14:textId="7E1657E4" w:rsidR="004B165B" w:rsidRPr="00540794" w:rsidRDefault="004B165B" w:rsidP="00540794">
      <w:r w:rsidRPr="00540794">
        <w:t xml:space="preserve">Exposure-response analysis of </w:t>
      </w:r>
      <w:r w:rsidR="00540794">
        <w:t xml:space="preserve">Study </w:t>
      </w:r>
      <w:r w:rsidRPr="00540794">
        <w:t>AMAC using both observed values and model estimated values indicated a plateauing of effect (change in modified Mayo score) between 200</w:t>
      </w:r>
      <w:r w:rsidR="00540794">
        <w:t> </w:t>
      </w:r>
      <w:r w:rsidRPr="00540794">
        <w:t>mg and 600</w:t>
      </w:r>
      <w:r w:rsidR="00540794">
        <w:t> </w:t>
      </w:r>
      <w:r w:rsidRPr="00540794">
        <w:t xml:space="preserve">mg </w:t>
      </w:r>
      <w:r w:rsidR="00540794">
        <w:t xml:space="preserve">every </w:t>
      </w:r>
      <w:r w:rsidR="002A7C0F">
        <w:t xml:space="preserve">4 </w:t>
      </w:r>
      <w:r w:rsidR="00540794">
        <w:t>weeks</w:t>
      </w:r>
      <w:r w:rsidRPr="00540794">
        <w:t xml:space="preserve">, further supporting the </w:t>
      </w:r>
      <w:r w:rsidR="00540794">
        <w:t>P</w:t>
      </w:r>
      <w:r w:rsidRPr="00540794">
        <w:t xml:space="preserve">hase </w:t>
      </w:r>
      <w:r w:rsidR="00540794">
        <w:t>III</w:t>
      </w:r>
      <w:r w:rsidRPr="00540794">
        <w:t xml:space="preserve"> doses (</w:t>
      </w:r>
      <w:r w:rsidRPr="00540794">
        <w:fldChar w:fldCharType="begin"/>
      </w:r>
      <w:r w:rsidRPr="00540794">
        <w:instrText xml:space="preserve"> REF _Ref136513687 \h </w:instrText>
      </w:r>
      <w:r w:rsidR="00540794">
        <w:instrText xml:space="preserve"> \* MERGEFORMAT </w:instrText>
      </w:r>
      <w:r w:rsidRPr="00540794">
        <w:fldChar w:fldCharType="separate"/>
      </w:r>
      <w:r w:rsidR="00D777FF">
        <w:t>Figure 6</w:t>
      </w:r>
      <w:r w:rsidRPr="00540794">
        <w:fldChar w:fldCharType="end"/>
      </w:r>
      <w:r w:rsidRPr="00540794">
        <w:t>).</w:t>
      </w:r>
    </w:p>
    <w:p w14:paraId="79F91BB7" w14:textId="27B32A03" w:rsidR="004B165B" w:rsidRDefault="004B165B" w:rsidP="00C07EE9">
      <w:pPr>
        <w:pStyle w:val="FigureTitle"/>
      </w:pPr>
      <w:bookmarkStart w:id="59" w:name="_Ref136513687"/>
      <w:r>
        <w:t xml:space="preserve">Figure </w:t>
      </w:r>
      <w:fldSimple w:instr=" SEQ Figure \* ARABIC ">
        <w:r w:rsidR="00D777FF">
          <w:rPr>
            <w:noProof/>
          </w:rPr>
          <w:t>6</w:t>
        </w:r>
      </w:fldSimple>
      <w:bookmarkEnd w:id="59"/>
      <w:r w:rsidR="00540794">
        <w:t>: Study AMAC</w:t>
      </w:r>
      <w:r w:rsidR="000F781F">
        <w:t>,</w:t>
      </w:r>
      <w:r w:rsidR="00C07EE9">
        <w:t xml:space="preserve"> </w:t>
      </w:r>
      <w:r w:rsidR="005F7646">
        <w:t>o</w:t>
      </w:r>
      <w:r>
        <w:t>bserved and model predicted change in</w:t>
      </w:r>
      <w:r w:rsidR="00C07EE9">
        <w:t xml:space="preserve"> modified Mayo </w:t>
      </w:r>
      <w:r w:rsidR="000F781F">
        <w:t>s</w:t>
      </w:r>
      <w:r w:rsidR="00C07EE9">
        <w:t>core at W</w:t>
      </w:r>
      <w:r>
        <w:t>eek 12</w:t>
      </w:r>
      <w:r w:rsidR="0099632D">
        <w:fldChar w:fldCharType="begin"/>
      </w:r>
      <w:r w:rsidR="0099632D">
        <w:instrText xml:space="preserve"> DOCVARIABLE vault_nd_c5c1089</w:instrText>
      </w:r>
      <w:r w:rsidR="0099632D">
        <w:instrText xml:space="preserve">1-a79d-4ddc-bb85-78f48bbe709e \* MERGEFORMAT </w:instrText>
      </w:r>
      <w:r w:rsidR="0099632D">
        <w:fldChar w:fldCharType="separate"/>
      </w:r>
      <w:r w:rsidR="005605B4">
        <w:t xml:space="preserve"> </w:t>
      </w:r>
      <w:r w:rsidR="0099632D">
        <w:fldChar w:fldCharType="end"/>
      </w:r>
    </w:p>
    <w:p w14:paraId="4B569237" w14:textId="2AC8650E" w:rsidR="00E42735" w:rsidRDefault="00E42735" w:rsidP="006278D0">
      <w:r>
        <w:rPr>
          <w:noProof/>
        </w:rPr>
        <w:drawing>
          <wp:inline distT="0" distB="0" distL="0" distR="0" wp14:anchorId="64D9916A" wp14:editId="65C4C81E">
            <wp:extent cx="4856672" cy="3528717"/>
            <wp:effectExtent l="0" t="0" r="1270" b="0"/>
            <wp:docPr id="25" name="Picture 25" descr="Study AMAC, observed and model predicted change in modified Mayo score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y AMAC, observed and model predicted change in modified Mayo score at Week 12"/>
                    <pic:cNvPicPr/>
                  </pic:nvPicPr>
                  <pic:blipFill>
                    <a:blip r:embed="rId31"/>
                    <a:stretch>
                      <a:fillRect/>
                    </a:stretch>
                  </pic:blipFill>
                  <pic:spPr>
                    <a:xfrm>
                      <a:off x="0" y="0"/>
                      <a:ext cx="4867748" cy="3536765"/>
                    </a:xfrm>
                    <a:prstGeom prst="rect">
                      <a:avLst/>
                    </a:prstGeom>
                  </pic:spPr>
                </pic:pic>
              </a:graphicData>
            </a:graphic>
          </wp:inline>
        </w:drawing>
      </w:r>
    </w:p>
    <w:p w14:paraId="191C6E16" w14:textId="77777777" w:rsidR="00D777FF" w:rsidRDefault="004B165B" w:rsidP="00C865D5">
      <w:r w:rsidRPr="00C865D5">
        <w:lastRenderedPageBreak/>
        <w:t xml:space="preserve">The two maintenance regimens studied in </w:t>
      </w:r>
      <w:r w:rsidR="00C865D5">
        <w:t xml:space="preserve">Study </w:t>
      </w:r>
      <w:r w:rsidRPr="00C865D5">
        <w:t>AMAC (200</w:t>
      </w:r>
      <w:r w:rsidR="00C865D5">
        <w:t> </w:t>
      </w:r>
      <w:r w:rsidRPr="00C865D5">
        <w:t xml:space="preserve">mg </w:t>
      </w:r>
      <w:r w:rsidR="00C865D5">
        <w:t xml:space="preserve">every </w:t>
      </w:r>
      <w:r w:rsidR="002A7C0F">
        <w:t xml:space="preserve">4 </w:t>
      </w:r>
      <w:r w:rsidR="00C865D5">
        <w:t xml:space="preserve">weeks or every </w:t>
      </w:r>
      <w:r w:rsidR="0069149D">
        <w:t>12</w:t>
      </w:r>
      <w:r w:rsidR="002A7C0F">
        <w:t> </w:t>
      </w:r>
      <w:r w:rsidR="0069149D">
        <w:t>weeks</w:t>
      </w:r>
      <w:r w:rsidRPr="00C865D5">
        <w:t xml:space="preserve">) were analysed for response in terms of symptomatic remission and symptomatic score (based on stool frequency and rectal bleeding). </w:t>
      </w:r>
      <w:r w:rsidR="0069149D">
        <w:t xml:space="preserve">Every </w:t>
      </w:r>
      <w:r w:rsidR="002A7C0F">
        <w:t>4</w:t>
      </w:r>
      <w:r w:rsidR="0069149D">
        <w:t xml:space="preserve"> weeks</w:t>
      </w:r>
      <w:r w:rsidRPr="00C865D5">
        <w:t xml:space="preserve"> dosing was associated with better control of the symptom score, which tended to increase (</w:t>
      </w:r>
      <w:r w:rsidR="00530B38">
        <w:t>that is,</w:t>
      </w:r>
      <w:r w:rsidRPr="00C865D5">
        <w:t xml:space="preserve"> symptoms became worse) prior to dosing with </w:t>
      </w:r>
      <w:r w:rsidR="00530B38" w:rsidRPr="00C865D5">
        <w:t>every</w:t>
      </w:r>
      <w:r w:rsidR="00530B38">
        <w:t xml:space="preserve"> 12 weeks</w:t>
      </w:r>
      <w:r w:rsidRPr="00C865D5">
        <w:t xml:space="preserve"> dosing frequency. As well as providing pharmacodynamic information, </w:t>
      </w:r>
      <w:r w:rsidR="00207B16">
        <w:t xml:space="preserve">Study </w:t>
      </w:r>
      <w:r w:rsidRPr="00C865D5">
        <w:t>AMAC is considered as a supportive efficacy study</w:t>
      </w:r>
      <w:r w:rsidR="00D777FF">
        <w:t>.</w:t>
      </w:r>
    </w:p>
    <w:p w14:paraId="355C9815" w14:textId="0BB0CB77" w:rsidR="004B165B" w:rsidRPr="00C865D5" w:rsidRDefault="004B165B" w:rsidP="00C865D5">
      <w:pPr>
        <w:pStyle w:val="Heading5"/>
      </w:pPr>
      <w:r w:rsidRPr="00C865D5">
        <w:t xml:space="preserve">Population </w:t>
      </w:r>
      <w:r w:rsidR="00C865D5">
        <w:t>pharmacokinetics/pharmacodynamics</w:t>
      </w:r>
      <w:r w:rsidR="0099632D">
        <w:fldChar w:fldCharType="begin"/>
      </w:r>
      <w:r w:rsidR="0099632D">
        <w:instrText xml:space="preserve"> DOCVARIABLE vault_nd_51cd0130-5358-</w:instrText>
      </w:r>
      <w:r w:rsidR="0099632D">
        <w:instrText xml:space="preserve">4a6f-be2a-f8b19c2555f9 \* MERGEFORMAT </w:instrText>
      </w:r>
      <w:r w:rsidR="0099632D">
        <w:fldChar w:fldCharType="separate"/>
      </w:r>
      <w:r w:rsidR="005605B4">
        <w:t xml:space="preserve"> </w:t>
      </w:r>
      <w:r w:rsidR="0099632D">
        <w:fldChar w:fldCharType="end"/>
      </w:r>
    </w:p>
    <w:p w14:paraId="3C433179" w14:textId="69DCD7FC" w:rsidR="004B165B" w:rsidRPr="00C865D5" w:rsidRDefault="004B165B" w:rsidP="00C865D5">
      <w:r w:rsidRPr="00C865D5">
        <w:t>A linear relationship (rather than</w:t>
      </w:r>
      <w:r w:rsidR="008F3554">
        <w:t xml:space="preserve"> maximum effect</w:t>
      </w:r>
      <w:r w:rsidRPr="00C865D5">
        <w:t xml:space="preserve"> relationship) between average concentration and various efficacy endpoints was found to best describe the observed data. The following covariates were found to have a negative impact on placebo effect parameters</w:t>
      </w:r>
      <w:r w:rsidR="000F781F">
        <w:t>,</w:t>
      </w:r>
      <w:r w:rsidRPr="00C865D5">
        <w:t xml:space="preserve"> prior biologic experience, higher baseline scores for endoscopy, rectal bleeding and stool frequency. No covariates were found to impact the mirikizumab effect parameters.</w:t>
      </w:r>
    </w:p>
    <w:p w14:paraId="78CDD29C" w14:textId="2EA7C852" w:rsidR="004B165B" w:rsidRDefault="004B165B" w:rsidP="004B165B">
      <w:pPr>
        <w:pStyle w:val="Heading4"/>
      </w:pPr>
      <w:bookmarkStart w:id="60" w:name="_Toc160629028"/>
      <w:r w:rsidRPr="00AA53F4">
        <w:t>Efficacy</w:t>
      </w:r>
      <w:bookmarkEnd w:id="60"/>
      <w:r w:rsidR="005605B4">
        <w:fldChar w:fldCharType="begin"/>
      </w:r>
      <w:r w:rsidR="005605B4">
        <w:instrText xml:space="preserve"> DOCVARIABLE vault_nd_bd9716ae-af79-4596-ba15-a0278f141f13 \* MERGEFORMAT </w:instrText>
      </w:r>
      <w:r w:rsidR="005605B4">
        <w:fldChar w:fldCharType="separate"/>
      </w:r>
      <w:r w:rsidR="005605B4">
        <w:t xml:space="preserve"> </w:t>
      </w:r>
      <w:r w:rsidR="005605B4">
        <w:fldChar w:fldCharType="end"/>
      </w:r>
    </w:p>
    <w:p w14:paraId="0B159AD8" w14:textId="24C45960" w:rsidR="004B165B" w:rsidRPr="00CD2DE4" w:rsidRDefault="004B165B" w:rsidP="00CD2DE4">
      <w:r w:rsidRPr="00CD2DE4">
        <w:t xml:space="preserve">The pivotal efficacy studies were induction </w:t>
      </w:r>
      <w:r w:rsidR="00CD2DE4">
        <w:t>S</w:t>
      </w:r>
      <w:r w:rsidRPr="00CD2DE4">
        <w:t xml:space="preserve">tudy AMAN, multiple arm maintenance/withdrawal/reinduction/rescue </w:t>
      </w:r>
      <w:r w:rsidR="00CD2DE4">
        <w:t>S</w:t>
      </w:r>
      <w:r w:rsidRPr="00CD2DE4">
        <w:t xml:space="preserve">tudy AMBG and open label long term extension </w:t>
      </w:r>
      <w:r w:rsidR="00CD2DE4">
        <w:t>S</w:t>
      </w:r>
      <w:r w:rsidRPr="00CD2DE4">
        <w:t>tudy AMAP (</w:t>
      </w:r>
      <w:r w:rsidRPr="00CD2DE4">
        <w:fldChar w:fldCharType="begin"/>
      </w:r>
      <w:r w:rsidRPr="00CD2DE4">
        <w:instrText xml:space="preserve"> REF _Ref129008390 \h </w:instrText>
      </w:r>
      <w:r w:rsidR="00CD2DE4">
        <w:instrText xml:space="preserve"> \* MERGEFORMAT </w:instrText>
      </w:r>
      <w:r w:rsidRPr="00CD2DE4">
        <w:fldChar w:fldCharType="separate"/>
      </w:r>
      <w:r w:rsidR="00D777FF">
        <w:t>Figure 7</w:t>
      </w:r>
      <w:r w:rsidRPr="00CD2DE4">
        <w:fldChar w:fldCharType="end"/>
      </w:r>
      <w:r w:rsidRPr="00CD2DE4">
        <w:t>).</w:t>
      </w:r>
    </w:p>
    <w:p w14:paraId="56E200CC" w14:textId="7CB7DFFF" w:rsidR="004B165B" w:rsidRDefault="004B165B" w:rsidP="00233CDC">
      <w:pPr>
        <w:pStyle w:val="FigureTitle"/>
      </w:pPr>
      <w:bookmarkStart w:id="61" w:name="_Ref129008390"/>
      <w:r>
        <w:t xml:space="preserve">Figure </w:t>
      </w:r>
      <w:fldSimple w:instr=" SEQ Figure \* ARABIC ">
        <w:r w:rsidR="00D777FF">
          <w:rPr>
            <w:noProof/>
          </w:rPr>
          <w:t>7</w:t>
        </w:r>
      </w:fldSimple>
      <w:bookmarkEnd w:id="61"/>
      <w:r w:rsidR="00233CDC">
        <w:rPr>
          <w:noProof/>
        </w:rPr>
        <w:t>:</w:t>
      </w:r>
      <w:r>
        <w:t xml:space="preserve"> Pivotal Phase </w:t>
      </w:r>
      <w:r w:rsidR="00233CDC">
        <w:t>III</w:t>
      </w:r>
      <w:r>
        <w:t xml:space="preserve"> clinical studies</w:t>
      </w:r>
      <w:r w:rsidR="0099632D">
        <w:fldChar w:fldCharType="begin"/>
      </w:r>
      <w:r w:rsidR="0099632D">
        <w:instrText xml:space="preserve"> DOCVARIABLE vault_nd_92c147f8-173f-405e-977b-cd4ad4820845 \* MERGEFORMAT </w:instrText>
      </w:r>
      <w:r w:rsidR="0099632D">
        <w:fldChar w:fldCharType="separate"/>
      </w:r>
      <w:r w:rsidR="005605B4">
        <w:t xml:space="preserve"> </w:t>
      </w:r>
      <w:r w:rsidR="0099632D">
        <w:fldChar w:fldCharType="end"/>
      </w:r>
    </w:p>
    <w:p w14:paraId="4C71BFB3" w14:textId="091B95FC" w:rsidR="00485113" w:rsidRDefault="00485113" w:rsidP="006278D0">
      <w:r>
        <w:rPr>
          <w:noProof/>
        </w:rPr>
        <w:drawing>
          <wp:inline distT="0" distB="0" distL="0" distR="0" wp14:anchorId="02558A2A" wp14:editId="651BC826">
            <wp:extent cx="5759450" cy="2266950"/>
            <wp:effectExtent l="0" t="0" r="0" b="0"/>
            <wp:docPr id="26" name="Picture 26" descr="Pivotal Phase III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votal Phase III clinical studies"/>
                    <pic:cNvPicPr/>
                  </pic:nvPicPr>
                  <pic:blipFill rotWithShape="1">
                    <a:blip r:embed="rId32"/>
                    <a:srcRect b="40540"/>
                    <a:stretch/>
                  </pic:blipFill>
                  <pic:spPr bwMode="auto">
                    <a:xfrm>
                      <a:off x="0" y="0"/>
                      <a:ext cx="5759450" cy="2266950"/>
                    </a:xfrm>
                    <a:prstGeom prst="rect">
                      <a:avLst/>
                    </a:prstGeom>
                    <a:ln>
                      <a:noFill/>
                    </a:ln>
                    <a:extLst>
                      <a:ext uri="{53640926-AAD7-44D8-BBD7-CCE9431645EC}">
                        <a14:shadowObscured xmlns:a14="http://schemas.microsoft.com/office/drawing/2010/main"/>
                      </a:ext>
                    </a:extLst>
                  </pic:spPr>
                </pic:pic>
              </a:graphicData>
            </a:graphic>
          </wp:inline>
        </w:drawing>
      </w:r>
    </w:p>
    <w:p w14:paraId="47C50064" w14:textId="13ECDB8F" w:rsidR="003B155C" w:rsidRDefault="003B155C" w:rsidP="00DF24D5">
      <w:pPr>
        <w:pStyle w:val="FigureDescription"/>
      </w:pPr>
      <w:r>
        <w:t>Abbreviations: IV = intravenous, LOR = loss of response, MIRI = mirikizumab, MMS = modified Mayo score, NR = non-responder, OL = open-label, PBO = placebo, Q4W = every 4 weeks, R = responder, RB = rectal bleeding, SC = subcutaneous, W = week.</w:t>
      </w:r>
    </w:p>
    <w:p w14:paraId="3348D30B" w14:textId="60C16145" w:rsidR="003B155C" w:rsidRDefault="003B155C" w:rsidP="00DF24D5">
      <w:pPr>
        <w:pStyle w:val="FigureDescription"/>
      </w:pPr>
      <w:r>
        <w:t xml:space="preserve">a Responders at Week 12 of Study AMAN are defined as achieving a decrease in the MMS of at least 2 points and at least 30% decrease from </w:t>
      </w:r>
      <w:r w:rsidR="00DF24D5">
        <w:t>B</w:t>
      </w:r>
      <w:r>
        <w:t>aseline, and a decrease of</w:t>
      </w:r>
      <w:r w:rsidR="00DF24D5">
        <w:t xml:space="preserve"> </w:t>
      </w:r>
      <w:r>
        <w:t xml:space="preserve">at least 1 point in the RB </w:t>
      </w:r>
      <w:proofErr w:type="spellStart"/>
      <w:r>
        <w:t>subscore</w:t>
      </w:r>
      <w:proofErr w:type="spellEnd"/>
      <w:r>
        <w:t xml:space="preserve"> from </w:t>
      </w:r>
      <w:r w:rsidR="00DF24D5">
        <w:t>B</w:t>
      </w:r>
      <w:r>
        <w:t>aseline or an RB score of 0 or 1.</w:t>
      </w:r>
    </w:p>
    <w:p w14:paraId="37457205" w14:textId="78973CCA" w:rsidR="004B165B" w:rsidRDefault="003B155C" w:rsidP="00DF24D5">
      <w:pPr>
        <w:pStyle w:val="FigureDescription"/>
      </w:pPr>
      <w:r>
        <w:t xml:space="preserve">b Includes patients who completed the Phase </w:t>
      </w:r>
      <w:r w:rsidR="00DF24D5">
        <w:t>II</w:t>
      </w:r>
      <w:r>
        <w:t xml:space="preserve"> Study I6T-MC-AMAC (not shown).</w:t>
      </w:r>
    </w:p>
    <w:p w14:paraId="7E33F078" w14:textId="7CDA5B4B" w:rsidR="004B165B" w:rsidRPr="006C2E76" w:rsidRDefault="004B165B" w:rsidP="00DF24D5">
      <w:pPr>
        <w:pStyle w:val="Heading5"/>
      </w:pPr>
      <w:r w:rsidRPr="006C2E76">
        <w:t>Pivotal induction study</w:t>
      </w:r>
      <w:r w:rsidR="0099632D">
        <w:fldChar w:fldCharType="begin"/>
      </w:r>
      <w:r w:rsidR="0099632D">
        <w:instrText xml:space="preserve"> DOCVARIABLE vault_nd_38c37b60-1e68-4c7a-abaf-2d81fabf5a41 \* MERGEFORMAT </w:instrText>
      </w:r>
      <w:r w:rsidR="0099632D">
        <w:fldChar w:fldCharType="separate"/>
      </w:r>
      <w:r w:rsidR="005605B4">
        <w:t xml:space="preserve"> </w:t>
      </w:r>
      <w:r w:rsidR="0099632D">
        <w:fldChar w:fldCharType="end"/>
      </w:r>
    </w:p>
    <w:p w14:paraId="299D36D0" w14:textId="2DDF5BF0" w:rsidR="004B165B" w:rsidRPr="00DF24D5" w:rsidRDefault="000F781F" w:rsidP="00DF24D5">
      <w:r w:rsidRPr="000F781F">
        <w:t xml:space="preserve">Study </w:t>
      </w:r>
      <w:r w:rsidR="004B165B" w:rsidRPr="000F781F">
        <w:t xml:space="preserve">AMAN (also known as LUCENT 1) was a </w:t>
      </w:r>
      <w:r w:rsidR="00DF24D5" w:rsidRPr="000F781F">
        <w:t>P</w:t>
      </w:r>
      <w:r w:rsidR="004B165B" w:rsidRPr="000F781F">
        <w:t xml:space="preserve">hase </w:t>
      </w:r>
      <w:r w:rsidR="00DF24D5" w:rsidRPr="000F781F">
        <w:t>III</w:t>
      </w:r>
      <w:r w:rsidR="004B165B" w:rsidRPr="000F781F">
        <w:t>, multicentre</w:t>
      </w:r>
      <w:r w:rsidRPr="000F781F">
        <w:t>,</w:t>
      </w:r>
      <w:r w:rsidR="004B165B" w:rsidRPr="000F781F">
        <w:t xml:space="preserve"> randomised, double</w:t>
      </w:r>
      <w:r w:rsidR="00DF24D5" w:rsidRPr="000F781F">
        <w:t xml:space="preserve"> </w:t>
      </w:r>
      <w:r w:rsidR="004B165B" w:rsidRPr="000F781F">
        <w:t xml:space="preserve">blind, </w:t>
      </w:r>
      <w:proofErr w:type="gramStart"/>
      <w:r w:rsidR="004B165B" w:rsidRPr="000F781F">
        <w:t>placebo</w:t>
      </w:r>
      <w:r w:rsidR="00DF24D5" w:rsidRPr="000F781F">
        <w:t xml:space="preserve"> </w:t>
      </w:r>
      <w:r w:rsidR="004B165B" w:rsidRPr="000F781F">
        <w:t>controlled</w:t>
      </w:r>
      <w:proofErr w:type="gramEnd"/>
      <w:r w:rsidR="004B165B" w:rsidRPr="000F781F">
        <w:t xml:space="preserve"> induction study of mirikizumab in conventional-failed and biologic/JAK</w:t>
      </w:r>
      <w:r w:rsidR="00806718" w:rsidRPr="000F781F">
        <w:t xml:space="preserve"> </w:t>
      </w:r>
      <w:r w:rsidR="004B165B" w:rsidRPr="000F781F">
        <w:t>i</w:t>
      </w:r>
      <w:r w:rsidR="00806718" w:rsidRPr="000F781F">
        <w:t>nhibitor</w:t>
      </w:r>
      <w:r w:rsidR="004B165B" w:rsidRPr="000F781F">
        <w:t xml:space="preserve">-failed patients with moderately to severely active ulcerative colitis. It was conducted at 471 centres in Australia, the </w:t>
      </w:r>
      <w:r w:rsidR="007B426B" w:rsidRPr="000F781F">
        <w:t>United States of America (</w:t>
      </w:r>
      <w:r w:rsidR="004B165B" w:rsidRPr="000F781F">
        <w:t>US</w:t>
      </w:r>
      <w:r w:rsidR="00806718" w:rsidRPr="000F781F">
        <w:t>A</w:t>
      </w:r>
      <w:r w:rsidR="007B426B" w:rsidRPr="000F781F">
        <w:t>)</w:t>
      </w:r>
      <w:r w:rsidR="004B165B" w:rsidRPr="000F781F">
        <w:t>, Mexico, Canada,</w:t>
      </w:r>
      <w:r w:rsidR="007B426B" w:rsidRPr="000F781F">
        <w:t xml:space="preserve"> the United Kingdom (</w:t>
      </w:r>
      <w:r w:rsidR="004B165B" w:rsidRPr="000F781F">
        <w:t>UK</w:t>
      </w:r>
      <w:r w:rsidR="007B426B" w:rsidRPr="000F781F">
        <w:t>)</w:t>
      </w:r>
      <w:r w:rsidR="004B165B" w:rsidRPr="000F781F">
        <w:t xml:space="preserve">, multiple </w:t>
      </w:r>
      <w:r w:rsidR="007B426B" w:rsidRPr="000F781F">
        <w:t>European Union (</w:t>
      </w:r>
      <w:r w:rsidR="004B165B" w:rsidRPr="000F781F">
        <w:t>EU</w:t>
      </w:r>
      <w:r w:rsidR="007B426B" w:rsidRPr="000F781F">
        <w:t>)</w:t>
      </w:r>
      <w:r w:rsidR="004B165B" w:rsidRPr="000F781F">
        <w:t xml:space="preserve"> states, China, Japan, South Korea and other countries.</w:t>
      </w:r>
    </w:p>
    <w:p w14:paraId="0F4C8FEC" w14:textId="3451FD46" w:rsidR="004B165B" w:rsidRPr="007B426B" w:rsidRDefault="004B165B" w:rsidP="007B426B">
      <w:r w:rsidRPr="007B426B">
        <w:lastRenderedPageBreak/>
        <w:t xml:space="preserve">The primary endpoint was the proportion of patients in clinical remission at </w:t>
      </w:r>
      <w:r w:rsidR="008D56CB">
        <w:t>W</w:t>
      </w:r>
      <w:r w:rsidRPr="007B426B">
        <w:t xml:space="preserve">eek 12. Clinical remission was defined according to the following modified Mayo </w:t>
      </w:r>
      <w:r w:rsidRPr="000F781F">
        <w:t>score (</w:t>
      </w:r>
      <w:proofErr w:type="spellStart"/>
      <w:r w:rsidR="000F781F" w:rsidRPr="000F781F">
        <w:t>m</w:t>
      </w:r>
      <w:r w:rsidRPr="000F781F">
        <w:t>M</w:t>
      </w:r>
      <w:r w:rsidR="000F781F" w:rsidRPr="000F781F">
        <w:t>s</w:t>
      </w:r>
      <w:proofErr w:type="spellEnd"/>
      <w:r w:rsidRPr="000F781F">
        <w:t>) components</w:t>
      </w:r>
      <w:r w:rsidRPr="007B426B">
        <w:t>:</w:t>
      </w:r>
    </w:p>
    <w:p w14:paraId="073A19B8" w14:textId="361522BD" w:rsidR="004B165B" w:rsidRPr="008D56CB" w:rsidRDefault="004B165B" w:rsidP="008D56CB">
      <w:pPr>
        <w:pStyle w:val="ListBullet"/>
      </w:pPr>
      <w:r w:rsidRPr="008D56CB">
        <w:t>Stool frequenc</w:t>
      </w:r>
      <w:r w:rsidRPr="000F781F">
        <w:t>y (SF)</w:t>
      </w:r>
      <w:r w:rsidRPr="008D56CB">
        <w:t xml:space="preserve"> = 0 or 1, with 1 point </w:t>
      </w:r>
      <w:r w:rsidR="008D56CB">
        <w:t xml:space="preserve">or greater </w:t>
      </w:r>
      <w:r w:rsidRPr="008D56CB">
        <w:t xml:space="preserve">decrease from </w:t>
      </w:r>
      <w:r w:rsidR="008D56CB">
        <w:t>B</w:t>
      </w:r>
      <w:r w:rsidRPr="008D56CB">
        <w:t>aseline</w:t>
      </w:r>
    </w:p>
    <w:p w14:paraId="5AF9582C" w14:textId="77777777" w:rsidR="004B165B" w:rsidRPr="008D56CB" w:rsidRDefault="004B165B" w:rsidP="008D56CB">
      <w:pPr>
        <w:pStyle w:val="ListBullet"/>
      </w:pPr>
      <w:r w:rsidRPr="008D56CB">
        <w:t xml:space="preserve">Rectal bleeding </w:t>
      </w:r>
      <w:r w:rsidRPr="000F781F">
        <w:t>(RB)</w:t>
      </w:r>
      <w:r w:rsidRPr="008D56CB">
        <w:t xml:space="preserve"> = 0</w:t>
      </w:r>
    </w:p>
    <w:p w14:paraId="2AB86FE5" w14:textId="77777777" w:rsidR="004B165B" w:rsidRPr="008D56CB" w:rsidRDefault="004B165B" w:rsidP="008D56CB">
      <w:pPr>
        <w:pStyle w:val="ListBullet"/>
      </w:pPr>
      <w:r w:rsidRPr="008D56CB">
        <w:t xml:space="preserve">Endoscopic score </w:t>
      </w:r>
      <w:r w:rsidRPr="000F781F">
        <w:t>(ES)</w:t>
      </w:r>
      <w:r w:rsidRPr="008D56CB">
        <w:t xml:space="preserve"> = 0 or 1 (excluding friability)</w:t>
      </w:r>
    </w:p>
    <w:p w14:paraId="00A96ADA" w14:textId="77777777" w:rsidR="004B165B" w:rsidRPr="00DE23EF" w:rsidRDefault="004B165B" w:rsidP="00DE23EF">
      <w:r w:rsidRPr="00DE23EF">
        <w:t>The secondary endpoints were:</w:t>
      </w:r>
    </w:p>
    <w:p w14:paraId="71301713" w14:textId="77777777" w:rsidR="00EC53B7" w:rsidRDefault="004B165B" w:rsidP="00EC53B7">
      <w:pPr>
        <w:pStyle w:val="ListBullet"/>
      </w:pPr>
      <w:r w:rsidRPr="00DE23EF">
        <w:t xml:space="preserve">Proportion of patients in alternate clinical remission at </w:t>
      </w:r>
      <w:r w:rsidR="00DE23EF" w:rsidRPr="00DE23EF">
        <w:t>W</w:t>
      </w:r>
      <w:r w:rsidRPr="00DE23EF">
        <w:t>eek 12, with alternate clinical remission defined by</w:t>
      </w:r>
    </w:p>
    <w:p w14:paraId="20DF4363" w14:textId="31A2924B" w:rsidR="00EC53B7" w:rsidRDefault="000F781F" w:rsidP="00EC53B7">
      <w:pPr>
        <w:pStyle w:val="ListBullet2"/>
      </w:pPr>
      <w:r>
        <w:t>s</w:t>
      </w:r>
      <w:r w:rsidR="00D2641C">
        <w:t xml:space="preserve">tool frequency </w:t>
      </w:r>
      <w:r w:rsidR="004B165B" w:rsidRPr="00DE23EF">
        <w:t>sub</w:t>
      </w:r>
      <w:r w:rsidR="00D2641C">
        <w:t>-</w:t>
      </w:r>
      <w:r w:rsidR="004B165B" w:rsidRPr="00DE23EF">
        <w:t>score = 0 or 1, and</w:t>
      </w:r>
    </w:p>
    <w:p w14:paraId="1D5CC522" w14:textId="70A971AE" w:rsidR="00EC53B7" w:rsidRDefault="000F781F" w:rsidP="00EC53B7">
      <w:pPr>
        <w:pStyle w:val="ListBullet2"/>
      </w:pPr>
      <w:r>
        <w:t>r</w:t>
      </w:r>
      <w:r w:rsidR="00D2641C">
        <w:t xml:space="preserve">ectal bleeding </w:t>
      </w:r>
      <w:r w:rsidR="004B165B" w:rsidRPr="00DE23EF">
        <w:t>sub</w:t>
      </w:r>
      <w:r w:rsidR="00D2641C">
        <w:t>-</w:t>
      </w:r>
      <w:r w:rsidR="004B165B" w:rsidRPr="00DE23EF">
        <w:t>score = 0, and</w:t>
      </w:r>
    </w:p>
    <w:p w14:paraId="7E74EBAF" w14:textId="22384D04" w:rsidR="004B165B" w:rsidRPr="00DE23EF" w:rsidRDefault="000F781F" w:rsidP="00EC53B7">
      <w:pPr>
        <w:pStyle w:val="ListBullet2"/>
      </w:pPr>
      <w:r>
        <w:t>e</w:t>
      </w:r>
      <w:r w:rsidR="00D2641C">
        <w:t>ndoscopic score</w:t>
      </w:r>
      <w:r w:rsidR="004B165B" w:rsidRPr="00DE23EF">
        <w:t xml:space="preserve"> = 0 or 1 (excluding friability)</w:t>
      </w:r>
    </w:p>
    <w:p w14:paraId="5842E2AB" w14:textId="2425A684" w:rsidR="00D2641C" w:rsidRDefault="004B165B" w:rsidP="00D2641C">
      <w:pPr>
        <w:pStyle w:val="ListBullet"/>
      </w:pPr>
      <w:r w:rsidRPr="00DE23EF">
        <w:t xml:space="preserve">Proportion of patients in clinical response at </w:t>
      </w:r>
      <w:r w:rsidR="00D2641C">
        <w:t>W</w:t>
      </w:r>
      <w:r w:rsidRPr="00DE23EF">
        <w:t xml:space="preserve">eek 12, based on the </w:t>
      </w:r>
      <w:proofErr w:type="spellStart"/>
      <w:r w:rsidR="000F781F">
        <w:t>m</w:t>
      </w:r>
      <w:r w:rsidRPr="00DE23EF">
        <w:t>M</w:t>
      </w:r>
      <w:r w:rsidR="000F781F">
        <w:t>s</w:t>
      </w:r>
      <w:proofErr w:type="spellEnd"/>
      <w:r w:rsidRPr="00DE23EF">
        <w:t xml:space="preserve"> and defined as:</w:t>
      </w:r>
    </w:p>
    <w:p w14:paraId="5BF7C50F" w14:textId="5B4B0EAD" w:rsidR="00D2641C" w:rsidRDefault="004B165B" w:rsidP="00D2641C">
      <w:pPr>
        <w:pStyle w:val="ListBullet2"/>
      </w:pPr>
      <w:r w:rsidRPr="00DE23EF">
        <w:t xml:space="preserve">a decrease in the </w:t>
      </w:r>
      <w:proofErr w:type="spellStart"/>
      <w:r w:rsidR="000F781F">
        <w:t>m</w:t>
      </w:r>
      <w:r w:rsidRPr="00DE23EF">
        <w:t>M</w:t>
      </w:r>
      <w:r w:rsidR="000F781F">
        <w:t>s</w:t>
      </w:r>
      <w:proofErr w:type="spellEnd"/>
      <w:r w:rsidRPr="00DE23EF">
        <w:t xml:space="preserve"> of 2 points</w:t>
      </w:r>
      <w:r w:rsidR="009C0D5B">
        <w:t xml:space="preserve"> or greater</w:t>
      </w:r>
      <w:r w:rsidRPr="00DE23EF">
        <w:t xml:space="preserve"> and </w:t>
      </w:r>
      <w:r w:rsidR="009C0D5B">
        <w:t>3</w:t>
      </w:r>
      <w:r w:rsidRPr="00DE23EF">
        <w:t>0%</w:t>
      </w:r>
      <w:r w:rsidR="009C0D5B">
        <w:t xml:space="preserve"> or greater</w:t>
      </w:r>
      <w:r w:rsidRPr="00DE23EF">
        <w:t xml:space="preserve"> decrease from </w:t>
      </w:r>
      <w:r w:rsidR="009C0D5B">
        <w:t>B</w:t>
      </w:r>
      <w:r w:rsidRPr="00DE23EF">
        <w:t>aseline, and</w:t>
      </w:r>
    </w:p>
    <w:p w14:paraId="66828525" w14:textId="459E3394" w:rsidR="004B165B" w:rsidRPr="00DE23EF" w:rsidRDefault="004B165B" w:rsidP="00D2641C">
      <w:pPr>
        <w:pStyle w:val="ListBullet2"/>
      </w:pPr>
      <w:r w:rsidRPr="00DE23EF">
        <w:t>a decrease of 1 point</w:t>
      </w:r>
      <w:r w:rsidR="009C0D5B">
        <w:t xml:space="preserve"> or more</w:t>
      </w:r>
      <w:r w:rsidRPr="00DE23EF">
        <w:t xml:space="preserve"> in the RB sub</w:t>
      </w:r>
      <w:r w:rsidR="009C0D5B">
        <w:t>-</w:t>
      </w:r>
      <w:r w:rsidRPr="00DE23EF">
        <w:t xml:space="preserve">score from </w:t>
      </w:r>
      <w:r w:rsidR="009C0D5B">
        <w:t>B</w:t>
      </w:r>
      <w:r w:rsidRPr="00DE23EF">
        <w:t>aseline or an RB score of 0 or 1</w:t>
      </w:r>
    </w:p>
    <w:p w14:paraId="383AC976" w14:textId="40352C0D" w:rsidR="004B165B" w:rsidRPr="00DE23EF" w:rsidRDefault="004B165B" w:rsidP="009C0D5B">
      <w:pPr>
        <w:pStyle w:val="ListBullet"/>
      </w:pPr>
      <w:r w:rsidRPr="00DE23EF">
        <w:t xml:space="preserve">Proportion of patients with endoscopic remission at </w:t>
      </w:r>
      <w:r w:rsidR="009C0D5B">
        <w:t>W</w:t>
      </w:r>
      <w:r w:rsidRPr="00DE23EF">
        <w:t>eek 12, defined as EB = 0 or 1 (excluding friability)</w:t>
      </w:r>
    </w:p>
    <w:p w14:paraId="424F98B9" w14:textId="1F2E2FC9" w:rsidR="004B165B" w:rsidRPr="00DE23EF" w:rsidRDefault="004B165B" w:rsidP="009C0D5B">
      <w:pPr>
        <w:pStyle w:val="ListBullet"/>
      </w:pPr>
      <w:r w:rsidRPr="00DE23EF">
        <w:t xml:space="preserve">Proportion of patients in symptomatic remission at </w:t>
      </w:r>
      <w:r w:rsidR="003A5181">
        <w:t>W</w:t>
      </w:r>
      <w:r w:rsidRPr="00DE23EF">
        <w:t>eek 4, defined as SF = 0 or 1 with a 1</w:t>
      </w:r>
      <w:r w:rsidR="003A5181">
        <w:t> </w:t>
      </w:r>
      <w:r w:rsidRPr="00DE23EF">
        <w:t xml:space="preserve">point </w:t>
      </w:r>
      <w:r w:rsidR="003A5181">
        <w:t xml:space="preserve">or greater </w:t>
      </w:r>
      <w:r w:rsidRPr="00DE23EF">
        <w:t xml:space="preserve">decrease from </w:t>
      </w:r>
      <w:r w:rsidR="003A5181">
        <w:t>Ba</w:t>
      </w:r>
      <w:r w:rsidRPr="00DE23EF">
        <w:t>seline and RB = 0</w:t>
      </w:r>
    </w:p>
    <w:p w14:paraId="02A2B76B" w14:textId="0A78F900" w:rsidR="004B165B" w:rsidRPr="003A5181" w:rsidRDefault="004B165B" w:rsidP="003A5181">
      <w:pPr>
        <w:pStyle w:val="ListBullet"/>
        <w:rPr>
          <w:lang w:val="en-GB"/>
        </w:rPr>
      </w:pPr>
      <w:r w:rsidRPr="003A5181">
        <w:rPr>
          <w:lang w:val="en-GB"/>
        </w:rPr>
        <w:t xml:space="preserve">Proportion of patients in symptomatic remission at </w:t>
      </w:r>
      <w:r w:rsidR="003A5181">
        <w:rPr>
          <w:lang w:val="en-GB"/>
        </w:rPr>
        <w:t>W</w:t>
      </w:r>
      <w:r w:rsidRPr="003A5181">
        <w:rPr>
          <w:lang w:val="en-GB"/>
        </w:rPr>
        <w:t>eek 12, defined as SF = 0 or 1 with a 1</w:t>
      </w:r>
      <w:r w:rsidR="003A5181">
        <w:rPr>
          <w:lang w:val="en-GB"/>
        </w:rPr>
        <w:t> </w:t>
      </w:r>
      <w:r w:rsidRPr="003A5181">
        <w:rPr>
          <w:lang w:val="en-GB"/>
        </w:rPr>
        <w:t>point</w:t>
      </w:r>
      <w:r w:rsidR="003A5181">
        <w:rPr>
          <w:lang w:val="en-GB"/>
        </w:rPr>
        <w:t xml:space="preserve"> or greater</w:t>
      </w:r>
      <w:r w:rsidRPr="003A5181">
        <w:rPr>
          <w:lang w:val="en-GB"/>
        </w:rPr>
        <w:t xml:space="preserve"> decrease from </w:t>
      </w:r>
      <w:r w:rsidR="003A5181">
        <w:rPr>
          <w:lang w:val="en-GB"/>
        </w:rPr>
        <w:t>B</w:t>
      </w:r>
      <w:r w:rsidRPr="003A5181">
        <w:rPr>
          <w:lang w:val="en-GB"/>
        </w:rPr>
        <w:t>aseline and RB = 0</w:t>
      </w:r>
    </w:p>
    <w:p w14:paraId="74B1DCED" w14:textId="5DF1EEAB" w:rsidR="003A5181" w:rsidRPr="003A5181" w:rsidRDefault="004B165B" w:rsidP="003A5181">
      <w:pPr>
        <w:pStyle w:val="ListBullet"/>
      </w:pPr>
      <w:r w:rsidRPr="003A5181">
        <w:t xml:space="preserve">Proportion of patients in the biologic-failed population in clinical response at </w:t>
      </w:r>
      <w:r w:rsidR="003A5181">
        <w:t>W</w:t>
      </w:r>
      <w:r w:rsidRPr="003A5181">
        <w:t xml:space="preserve">eek 12. Clinical response is based on the </w:t>
      </w:r>
      <w:proofErr w:type="spellStart"/>
      <w:r w:rsidR="000F781F">
        <w:t>m</w:t>
      </w:r>
      <w:r w:rsidRPr="003A5181">
        <w:t>M</w:t>
      </w:r>
      <w:r w:rsidR="000F781F">
        <w:t>s</w:t>
      </w:r>
      <w:proofErr w:type="spellEnd"/>
      <w:r w:rsidRPr="003A5181">
        <w:t xml:space="preserve"> and is defined as:</w:t>
      </w:r>
    </w:p>
    <w:p w14:paraId="410EDAFB" w14:textId="4CB66389" w:rsidR="003A5181" w:rsidRDefault="004B165B" w:rsidP="003A5181">
      <w:pPr>
        <w:pStyle w:val="ListBullet2"/>
      </w:pPr>
      <w:r w:rsidRPr="003A5181">
        <w:t xml:space="preserve">a decrease in the </w:t>
      </w:r>
      <w:proofErr w:type="spellStart"/>
      <w:r w:rsidR="000F781F">
        <w:t>m</w:t>
      </w:r>
      <w:r w:rsidRPr="003A5181">
        <w:t>M</w:t>
      </w:r>
      <w:r w:rsidR="000F781F">
        <w:t>s</w:t>
      </w:r>
      <w:proofErr w:type="spellEnd"/>
      <w:r w:rsidRPr="003A5181">
        <w:t xml:space="preserve"> of 2 points</w:t>
      </w:r>
      <w:r w:rsidR="003A5181">
        <w:t xml:space="preserve"> or greater</w:t>
      </w:r>
      <w:r w:rsidRPr="003A5181">
        <w:t xml:space="preserve"> and 30% </w:t>
      </w:r>
      <w:r w:rsidR="003A5181">
        <w:t xml:space="preserve">or greater </w:t>
      </w:r>
      <w:r w:rsidRPr="003A5181">
        <w:t xml:space="preserve">decrease from </w:t>
      </w:r>
      <w:r w:rsidR="003A5181">
        <w:t>B</w:t>
      </w:r>
      <w:r w:rsidRPr="003A5181">
        <w:t>aseline, and</w:t>
      </w:r>
    </w:p>
    <w:p w14:paraId="37633EEA" w14:textId="502A02FC" w:rsidR="004B165B" w:rsidRPr="003A5181" w:rsidRDefault="004B165B" w:rsidP="003A5181">
      <w:pPr>
        <w:pStyle w:val="ListBullet2"/>
      </w:pPr>
      <w:r w:rsidRPr="003A5181">
        <w:t>a decrease of 1 point</w:t>
      </w:r>
      <w:r w:rsidR="003A5181">
        <w:t xml:space="preserve"> or greater</w:t>
      </w:r>
      <w:r w:rsidRPr="003A5181">
        <w:t xml:space="preserve"> in the RB sub</w:t>
      </w:r>
      <w:r w:rsidR="003A5181">
        <w:t>-</w:t>
      </w:r>
      <w:r w:rsidRPr="003A5181">
        <w:t xml:space="preserve">score from </w:t>
      </w:r>
      <w:r w:rsidR="003A5181">
        <w:t>B</w:t>
      </w:r>
      <w:r w:rsidRPr="003A5181">
        <w:t>aseline or an RB score of 0 or 1</w:t>
      </w:r>
    </w:p>
    <w:p w14:paraId="757175F1" w14:textId="749E48BC" w:rsidR="004B165B" w:rsidRPr="003A5181" w:rsidRDefault="004B165B" w:rsidP="003A5181">
      <w:pPr>
        <w:pStyle w:val="ListBullet"/>
      </w:pPr>
      <w:r w:rsidRPr="003A5181">
        <w:t xml:space="preserve">Change from </w:t>
      </w:r>
      <w:r w:rsidR="003A5181">
        <w:t>B</w:t>
      </w:r>
      <w:r w:rsidRPr="003A5181">
        <w:t xml:space="preserve">aseline in the </w:t>
      </w:r>
      <w:r w:rsidR="000F781F">
        <w:t>u</w:t>
      </w:r>
      <w:r w:rsidRPr="003A5181">
        <w:t xml:space="preserve">rgency </w:t>
      </w:r>
      <w:r w:rsidR="000F781F">
        <w:t>n</w:t>
      </w:r>
      <w:r w:rsidRPr="003A5181">
        <w:t xml:space="preserve">umeric </w:t>
      </w:r>
      <w:r w:rsidR="000F781F">
        <w:t>r</w:t>
      </w:r>
      <w:r w:rsidRPr="003A5181">
        <w:t xml:space="preserve">ating </w:t>
      </w:r>
      <w:r w:rsidR="000F781F">
        <w:t>s</w:t>
      </w:r>
      <w:r w:rsidRPr="003A5181">
        <w:t>cale score</w:t>
      </w:r>
    </w:p>
    <w:p w14:paraId="6395A2CD" w14:textId="0DB53C6D" w:rsidR="003A5181" w:rsidRDefault="004B165B" w:rsidP="003A5181">
      <w:pPr>
        <w:pStyle w:val="ListBullet"/>
      </w:pPr>
      <w:r w:rsidRPr="003A5181">
        <w:t xml:space="preserve">Proportion of patients with histologic-endoscopic mucosal improvement at </w:t>
      </w:r>
      <w:r w:rsidR="003A5181">
        <w:t>W</w:t>
      </w:r>
      <w:r w:rsidRPr="003A5181">
        <w:t>eek 12, defined as achieving both:</w:t>
      </w:r>
    </w:p>
    <w:p w14:paraId="39275230" w14:textId="77777777" w:rsidR="003A5181" w:rsidRDefault="004B165B" w:rsidP="003A5181">
      <w:pPr>
        <w:pStyle w:val="ListBullet2"/>
      </w:pPr>
      <w:r w:rsidRPr="003A5181">
        <w:t xml:space="preserve">histologic improvement, defined using </w:t>
      </w:r>
      <w:proofErr w:type="spellStart"/>
      <w:r w:rsidRPr="003A5181">
        <w:t>Geboes</w:t>
      </w:r>
      <w:proofErr w:type="spellEnd"/>
      <w:r w:rsidRPr="003A5181">
        <w:t xml:space="preserve"> scoring system with neutrophil infiltration in 5% of crypts, no crypt destruction, and no erosions, ulcerations, or granulation tissue, and</w:t>
      </w:r>
    </w:p>
    <w:p w14:paraId="1CC694B7" w14:textId="740E1FC7" w:rsidR="004B165B" w:rsidRPr="003A5181" w:rsidRDefault="004B165B" w:rsidP="003A5181">
      <w:pPr>
        <w:pStyle w:val="ListBullet2"/>
      </w:pPr>
      <w:r w:rsidRPr="003A5181">
        <w:t>endoscopic remission, defined as ES = 0 or 1 (excluding friability)</w:t>
      </w:r>
    </w:p>
    <w:p w14:paraId="0943F532" w14:textId="322146EB" w:rsidR="004B165B" w:rsidRPr="003A5181" w:rsidRDefault="004B165B" w:rsidP="003A5181">
      <w:r w:rsidRPr="003A5181">
        <w:t>Multiple other (</w:t>
      </w:r>
      <w:r w:rsidR="003A5181" w:rsidRPr="003A5181">
        <w:t>that is,</w:t>
      </w:r>
      <w:r w:rsidRPr="003A5181">
        <w:t xml:space="preserve"> exploratory) endpoints were included.</w:t>
      </w:r>
    </w:p>
    <w:p w14:paraId="0F2221EF" w14:textId="77777777" w:rsidR="004B165B" w:rsidRPr="003A5181" w:rsidRDefault="004B165B" w:rsidP="003A5181">
      <w:r w:rsidRPr="003A5181">
        <w:t>Major inclusion criteria were:</w:t>
      </w:r>
    </w:p>
    <w:p w14:paraId="2B7C8C17" w14:textId="77777777" w:rsidR="004B165B" w:rsidRPr="003A5181" w:rsidRDefault="004B165B" w:rsidP="003A5181">
      <w:pPr>
        <w:pStyle w:val="ListBullet"/>
      </w:pPr>
      <w:r w:rsidRPr="003A5181">
        <w:t>Males and females between 18 and 80 years of age</w:t>
      </w:r>
    </w:p>
    <w:p w14:paraId="64172605" w14:textId="660A9B0E" w:rsidR="004B165B" w:rsidRPr="003A5181" w:rsidRDefault="003A5181" w:rsidP="003A5181">
      <w:pPr>
        <w:pStyle w:val="ListBullet"/>
      </w:pPr>
      <w:r>
        <w:t xml:space="preserve">Ulcerative colitis </w:t>
      </w:r>
      <w:r w:rsidR="004B165B" w:rsidRPr="003A5181">
        <w:t>diagnosis of 3 months</w:t>
      </w:r>
      <w:r w:rsidR="006C39DB">
        <w:t xml:space="preserve"> or longer</w:t>
      </w:r>
      <w:r w:rsidR="004B165B" w:rsidRPr="003A5181">
        <w:t xml:space="preserve"> duration</w:t>
      </w:r>
    </w:p>
    <w:p w14:paraId="671A7B96" w14:textId="42CB2CEF" w:rsidR="004B165B" w:rsidRPr="003A5181" w:rsidRDefault="006C39DB" w:rsidP="003A5181">
      <w:pPr>
        <w:pStyle w:val="ListBullet"/>
      </w:pPr>
      <w:r>
        <w:lastRenderedPageBreak/>
        <w:t>Modified Mayo score</w:t>
      </w:r>
      <w:r w:rsidR="004B165B" w:rsidRPr="003A5181">
        <w:t xml:space="preserve"> of 4 to 9, including an ES of 2</w:t>
      </w:r>
      <w:r>
        <w:t xml:space="preserve"> or greater</w:t>
      </w:r>
      <w:r w:rsidR="004B165B" w:rsidRPr="003A5181">
        <w:t xml:space="preserve"> within 14 days of </w:t>
      </w:r>
      <w:r>
        <w:t>B</w:t>
      </w:r>
      <w:r w:rsidR="004B165B" w:rsidRPr="003A5181">
        <w:t>aseline</w:t>
      </w:r>
    </w:p>
    <w:p w14:paraId="7E04074D" w14:textId="77777777" w:rsidR="004B165B" w:rsidRPr="00F430C0" w:rsidRDefault="004B165B" w:rsidP="000F781F">
      <w:pPr>
        <w:pStyle w:val="ListBullet"/>
      </w:pPr>
      <w:r w:rsidRPr="003A5181">
        <w:t xml:space="preserve">Inadequate response, loss of response or intolerance to conventional or biologic (anti-TNF </w:t>
      </w:r>
      <w:r w:rsidRPr="00F430C0">
        <w:t>or anti-integrin) therapies, or tofacitinib</w:t>
      </w:r>
    </w:p>
    <w:p w14:paraId="7B98FEB1" w14:textId="77777777" w:rsidR="004B165B" w:rsidRPr="00F430C0" w:rsidRDefault="004B165B" w:rsidP="00F430C0">
      <w:r w:rsidRPr="00F430C0">
        <w:t>Major exclusion criteria were:</w:t>
      </w:r>
    </w:p>
    <w:p w14:paraId="376FD7E5" w14:textId="6FE93399" w:rsidR="004B165B" w:rsidRPr="00F430C0" w:rsidRDefault="004B2B76" w:rsidP="004B2B76">
      <w:pPr>
        <w:pStyle w:val="ListBullet"/>
      </w:pPr>
      <w:r>
        <w:t>Ulcerative colitis</w:t>
      </w:r>
      <w:r w:rsidR="004B165B" w:rsidRPr="00F430C0">
        <w:t xml:space="preserve"> limited to the rectum</w:t>
      </w:r>
    </w:p>
    <w:p w14:paraId="58BA2EF4" w14:textId="77777777" w:rsidR="004B165B" w:rsidRPr="00F430C0" w:rsidRDefault="004B165B" w:rsidP="004B2B76">
      <w:pPr>
        <w:pStyle w:val="ListBullet"/>
      </w:pPr>
      <w:r w:rsidRPr="00F430C0">
        <w:t>Extensive colonic resection</w:t>
      </w:r>
    </w:p>
    <w:p w14:paraId="79A81A68" w14:textId="77777777" w:rsidR="004B165B" w:rsidRPr="00F430C0" w:rsidRDefault="004B165B" w:rsidP="004B2B76">
      <w:pPr>
        <w:pStyle w:val="ListBullet"/>
      </w:pPr>
      <w:r w:rsidRPr="00F430C0">
        <w:t>Stricture/stenosis of small bowel or colon</w:t>
      </w:r>
    </w:p>
    <w:p w14:paraId="410A0AD5" w14:textId="77777777" w:rsidR="004B165B" w:rsidRPr="00F430C0" w:rsidRDefault="004B165B" w:rsidP="004B2B76">
      <w:pPr>
        <w:pStyle w:val="ListBullet"/>
      </w:pPr>
      <w:r w:rsidRPr="00F430C0">
        <w:t>Toxic megacolon</w:t>
      </w:r>
    </w:p>
    <w:p w14:paraId="394E5B61" w14:textId="77777777" w:rsidR="004B165B" w:rsidRPr="00F430C0" w:rsidRDefault="004B165B" w:rsidP="004B2B76">
      <w:pPr>
        <w:pStyle w:val="ListBullet"/>
      </w:pPr>
      <w:r w:rsidRPr="00F430C0">
        <w:t>Unresected colonic adenoma</w:t>
      </w:r>
    </w:p>
    <w:p w14:paraId="0E147574" w14:textId="77777777" w:rsidR="004B165B" w:rsidRPr="00F430C0" w:rsidRDefault="004B165B" w:rsidP="004B2B76">
      <w:pPr>
        <w:pStyle w:val="ListBullet"/>
      </w:pPr>
      <w:r w:rsidRPr="00F430C0">
        <w:t>Colonic dysplasia</w:t>
      </w:r>
    </w:p>
    <w:p w14:paraId="41EA951E" w14:textId="77777777" w:rsidR="004B165B" w:rsidRPr="00F430C0" w:rsidRDefault="004B165B" w:rsidP="004B2B76">
      <w:pPr>
        <w:pStyle w:val="ListBullet"/>
      </w:pPr>
      <w:r w:rsidRPr="00F430C0">
        <w:t>Gastrointestinal cancer</w:t>
      </w:r>
    </w:p>
    <w:p w14:paraId="5F677FA8" w14:textId="42BDA0B0" w:rsidR="004B165B" w:rsidRPr="00F430C0" w:rsidRDefault="004B165B" w:rsidP="004B2B76">
      <w:pPr>
        <w:pStyle w:val="ListBullet"/>
      </w:pPr>
      <w:r w:rsidRPr="00F430C0">
        <w:t xml:space="preserve">Prior treatment with </w:t>
      </w:r>
      <w:r w:rsidR="004B2B76">
        <w:t>three</w:t>
      </w:r>
      <w:r w:rsidRPr="00F430C0">
        <w:t xml:space="preserve"> or more biologic therapies</w:t>
      </w:r>
    </w:p>
    <w:p w14:paraId="20992F1E" w14:textId="12F54647" w:rsidR="004B165B" w:rsidRPr="002A6C06" w:rsidRDefault="004B165B" w:rsidP="002A6C06">
      <w:r w:rsidRPr="002A6C06">
        <w:t>Stable concomitant therapy was permitted with oral 5ASA, oral corticosteroids, azathioprine, 6</w:t>
      </w:r>
      <w:r w:rsidR="002A6C06">
        <w:noBreakHyphen/>
      </w:r>
      <w:r w:rsidRPr="002A6C06">
        <w:t>MP or methotrexate.</w:t>
      </w:r>
    </w:p>
    <w:p w14:paraId="2FB158A2" w14:textId="74BB8DFB" w:rsidR="004B165B" w:rsidRPr="002A6C06" w:rsidRDefault="004B165B" w:rsidP="002A6C06">
      <w:r w:rsidRPr="00AF100D">
        <w:t>Following screening and eligibility, patients were randomised 3:1 to receive either mirikizumab 300</w:t>
      </w:r>
      <w:r w:rsidR="002A6C06" w:rsidRPr="00AF100D">
        <w:t> </w:t>
      </w:r>
      <w:r w:rsidRPr="00AF100D">
        <w:t xml:space="preserve">mg IV </w:t>
      </w:r>
      <w:r w:rsidR="002A6C06" w:rsidRPr="00AF100D">
        <w:t xml:space="preserve">every </w:t>
      </w:r>
      <w:r w:rsidR="00106502" w:rsidRPr="00AF100D">
        <w:t>4</w:t>
      </w:r>
      <w:r w:rsidR="002A6C06" w:rsidRPr="00AF100D">
        <w:t xml:space="preserve"> weeks </w:t>
      </w:r>
      <w:r w:rsidRPr="00AF100D">
        <w:t>or placebo</w:t>
      </w:r>
      <w:r w:rsidR="002A6C06" w:rsidRPr="00AF100D">
        <w:t xml:space="preserve"> every </w:t>
      </w:r>
      <w:r w:rsidR="00106502" w:rsidRPr="00AF100D">
        <w:t xml:space="preserve">4 </w:t>
      </w:r>
      <w:r w:rsidR="002A6C06" w:rsidRPr="00AF100D">
        <w:t>weeks</w:t>
      </w:r>
      <w:r w:rsidRPr="00AF100D">
        <w:t xml:space="preserve"> for a </w:t>
      </w:r>
      <w:proofErr w:type="gramStart"/>
      <w:r w:rsidRPr="00AF100D">
        <w:t>12 week</w:t>
      </w:r>
      <w:proofErr w:type="gramEnd"/>
      <w:r w:rsidRPr="00AF100D">
        <w:t xml:space="preserve"> period. Patients who did not continue on to </w:t>
      </w:r>
      <w:r w:rsidR="00AF100D">
        <w:t>S</w:t>
      </w:r>
      <w:r w:rsidRPr="00AF100D">
        <w:t>tudy AMBG were followed for 16 weeks following their treatment.</w:t>
      </w:r>
    </w:p>
    <w:p w14:paraId="41A2044F" w14:textId="3F0DC76A" w:rsidR="004B165B" w:rsidRPr="002A6C06" w:rsidRDefault="004B165B" w:rsidP="002A6C06">
      <w:r w:rsidRPr="002A6C06">
        <w:t>There were a number of mitigations implemented as emergency measures (subsequently formalised as amendments) to manage the impact of COVID</w:t>
      </w:r>
      <w:r w:rsidR="00AF100D">
        <w:noBreakHyphen/>
      </w:r>
      <w:r w:rsidRPr="002A6C06">
        <w:t xml:space="preserve">19 on the running of the study. An error in the device used to capture patient reported information </w:t>
      </w:r>
      <w:r w:rsidRPr="000F781F">
        <w:t xml:space="preserve">led to incorrectly transcribed data from Turkey and Poland (using </w:t>
      </w:r>
      <w:r w:rsidR="001576F3" w:rsidRPr="000F781F">
        <w:t>electronic clinical outcome assessment (</w:t>
      </w:r>
      <w:proofErr w:type="spellStart"/>
      <w:r w:rsidRPr="000F781F">
        <w:t>eCOA</w:t>
      </w:r>
      <w:proofErr w:type="spellEnd"/>
      <w:r w:rsidR="001576F3" w:rsidRPr="000F781F">
        <w:t>)</w:t>
      </w:r>
      <w:r w:rsidRPr="000F781F">
        <w:t xml:space="preserve"> devices</w:t>
      </w:r>
      <w:r w:rsidRPr="002A6C06">
        <w:t>) and the exclusion of 117 patients from the primary efficacy analysis (they were, however, included in the safety analysis). Sensitivity analyses were conducted to investigate the impact of these events on the results.</w:t>
      </w:r>
    </w:p>
    <w:p w14:paraId="7F8C3325" w14:textId="7E1E7CF6" w:rsidR="004B165B" w:rsidRPr="002A6C06" w:rsidRDefault="004B165B" w:rsidP="002A6C06">
      <w:r w:rsidRPr="002A6C06">
        <w:t xml:space="preserve">The primary efficacy population was the modified intent to </w:t>
      </w:r>
      <w:r w:rsidRPr="000F781F">
        <w:t>treat (</w:t>
      </w:r>
      <w:proofErr w:type="spellStart"/>
      <w:r w:rsidRPr="000F781F">
        <w:t>mITT</w:t>
      </w:r>
      <w:proofErr w:type="spellEnd"/>
      <w:r w:rsidRPr="000F781F">
        <w:t>)</w:t>
      </w:r>
      <w:r w:rsidRPr="002A6C06">
        <w:t xml:space="preserve"> population. The primary and major secondary endpoints were analysed using the Cochran-Mantel-Haenszel test at a significance level of 0.00125. The study intended to randomise 1160 patients, with 1044</w:t>
      </w:r>
      <w:r w:rsidR="002832E0">
        <w:t> </w:t>
      </w:r>
      <w:r w:rsidRPr="002A6C06">
        <w:t>completers. Half of the group would be conventional</w:t>
      </w:r>
      <w:r w:rsidR="00296B03">
        <w:t xml:space="preserve"> </w:t>
      </w:r>
      <w:proofErr w:type="gramStart"/>
      <w:r w:rsidRPr="002A6C06">
        <w:t>failed</w:t>
      </w:r>
      <w:proofErr w:type="gramEnd"/>
      <w:r w:rsidRPr="002A6C06">
        <w:t xml:space="preserve"> and half biologic failed. The predicted remission rates were 23% v</w:t>
      </w:r>
      <w:r w:rsidR="00296B03">
        <w:t>ersus</w:t>
      </w:r>
      <w:r w:rsidRPr="002A6C06">
        <w:t xml:space="preserve"> 7.8% in the overall population. The sample size would provide 90% power to demonstrate superiority of mirikizumab at a 2-sided significance of 0.00125. The major secondary endpoints were controlled for multiplicity through a prespecified graphical multiple testing approach to control overall type 1 error rate at 2-sided alpha of 0.00125.</w:t>
      </w:r>
    </w:p>
    <w:p w14:paraId="40931A96" w14:textId="565FFC27" w:rsidR="004B165B" w:rsidRPr="002832E0" w:rsidRDefault="004B165B" w:rsidP="002832E0">
      <w:r w:rsidRPr="002832E0">
        <w:t xml:space="preserve">The </w:t>
      </w:r>
      <w:r w:rsidR="000F781F">
        <w:t>intent to treat (</w:t>
      </w:r>
      <w:r w:rsidRPr="002832E0">
        <w:t>ITT</w:t>
      </w:r>
      <w:r w:rsidR="000F781F">
        <w:t>)</w:t>
      </w:r>
      <w:r w:rsidRPr="002832E0">
        <w:t xml:space="preserve"> population consisted of 1281 patients and the </w:t>
      </w:r>
      <w:proofErr w:type="spellStart"/>
      <w:r w:rsidRPr="002832E0">
        <w:t>mITT</w:t>
      </w:r>
      <w:proofErr w:type="spellEnd"/>
      <w:r w:rsidRPr="002832E0">
        <w:t xml:space="preserve"> population, following removal of the subjects from Poland and Turkey affected by the transcription error, consisted of 1162</w:t>
      </w:r>
      <w:r w:rsidR="002832E0">
        <w:t> </w:t>
      </w:r>
      <w:r w:rsidRPr="002832E0">
        <w:t>subjects. A per protocol population was also analysed. Baseline demographics were similar across the treatment groups, with mean age 41.3</w:t>
      </w:r>
      <w:r w:rsidR="002832E0">
        <w:t xml:space="preserve"> to </w:t>
      </w:r>
      <w:r w:rsidRPr="002832E0">
        <w:t>42.9, mean weight 70.9</w:t>
      </w:r>
      <w:r w:rsidR="002832E0">
        <w:t xml:space="preserve"> kg to </w:t>
      </w:r>
      <w:r w:rsidRPr="002832E0">
        <w:t>72.6</w:t>
      </w:r>
      <w:r w:rsidR="002832E0">
        <w:t> </w:t>
      </w:r>
      <w:r w:rsidRPr="002832E0">
        <w:t>kg and mean BMI 24.50</w:t>
      </w:r>
      <w:r w:rsidR="002832E0">
        <w:t xml:space="preserve"> to </w:t>
      </w:r>
      <w:r w:rsidRPr="002832E0">
        <w:t>25. Subjects were mainly male (56.1</w:t>
      </w:r>
      <w:r w:rsidR="002832E0">
        <w:t xml:space="preserve"> to </w:t>
      </w:r>
      <w:r w:rsidRPr="002832E0">
        <w:t xml:space="preserve">61.1%), </w:t>
      </w:r>
      <w:r w:rsidR="000F781F">
        <w:t>W</w:t>
      </w:r>
      <w:r w:rsidRPr="002832E0">
        <w:t>hite (71.5</w:t>
      </w:r>
      <w:r w:rsidR="002832E0">
        <w:t xml:space="preserve"> to </w:t>
      </w:r>
      <w:r w:rsidRPr="002832E0">
        <w:t>74.7%) or Asian (23.2</w:t>
      </w:r>
      <w:r w:rsidR="002832E0">
        <w:t xml:space="preserve"> to </w:t>
      </w:r>
      <w:r w:rsidRPr="002832E0">
        <w:t>26%).</w:t>
      </w:r>
    </w:p>
    <w:p w14:paraId="666FC7FA" w14:textId="3F84BA4F" w:rsidR="004B165B" w:rsidRPr="002832E0" w:rsidRDefault="004B165B" w:rsidP="002832E0">
      <w:r w:rsidRPr="002832E0">
        <w:t>Baseline disease characteristics included a mean modified Mayo score of 6.5, left sided colitis in 62.7</w:t>
      </w:r>
      <w:r w:rsidR="002832E0">
        <w:t xml:space="preserve"> to </w:t>
      </w:r>
      <w:r w:rsidRPr="002832E0">
        <w:t xml:space="preserve">64.2% and an endoscopic score of 3 (indicating severe disease) in 66.1 </w:t>
      </w:r>
      <w:r w:rsidR="002832E0">
        <w:t>to</w:t>
      </w:r>
      <w:r w:rsidRPr="002832E0">
        <w:t xml:space="preserve"> 68.3%. In terms of prior therapy, 42.5% had received biological medicines, 3.8% tofacitinib, 78.4% systemic corticosteroids and 43.5% immunomodulators (</w:t>
      </w:r>
      <w:r w:rsidR="002832E0">
        <w:t>that is,</w:t>
      </w:r>
      <w:r w:rsidRPr="002832E0">
        <w:t xml:space="preserve"> thiopurines and methotrexate). </w:t>
      </w:r>
      <w:r w:rsidRPr="002832E0">
        <w:lastRenderedPageBreak/>
        <w:fldChar w:fldCharType="begin"/>
      </w:r>
      <w:r w:rsidRPr="002832E0">
        <w:instrText xml:space="preserve"> REF _Ref137117815 \h </w:instrText>
      </w:r>
      <w:r w:rsidR="002A6C06" w:rsidRPr="002832E0">
        <w:instrText xml:space="preserve"> \* MERGEFORMAT </w:instrText>
      </w:r>
      <w:r w:rsidRPr="002832E0">
        <w:fldChar w:fldCharType="separate"/>
      </w:r>
      <w:r w:rsidR="00D777FF">
        <w:t>Table 5</w:t>
      </w:r>
      <w:r w:rsidRPr="002832E0">
        <w:fldChar w:fldCharType="end"/>
      </w:r>
      <w:r w:rsidRPr="002832E0">
        <w:t xml:space="preserve"> shows the proportion of subjects in the </w:t>
      </w:r>
      <w:proofErr w:type="spellStart"/>
      <w:r w:rsidRPr="002832E0">
        <w:t>mITT</w:t>
      </w:r>
      <w:proofErr w:type="spellEnd"/>
      <w:r w:rsidRPr="002832E0">
        <w:t xml:space="preserve"> population who had failed various therapies. Of note is the small proportion of subjects with tofacitinib failure. Concomitant use of oral 5ASA drugs was common (74%), as was systemic corticosteroids (38.4 to 40.4%) and immunomodulators (24%) or combinations of the latter two classes.</w:t>
      </w:r>
    </w:p>
    <w:p w14:paraId="657C2034" w14:textId="22C2DE03" w:rsidR="004B165B" w:rsidRDefault="004B165B" w:rsidP="0020316C">
      <w:pPr>
        <w:pStyle w:val="TableTitle"/>
      </w:pPr>
      <w:bookmarkStart w:id="62" w:name="_Ref137117815"/>
      <w:r>
        <w:t xml:space="preserve">Table </w:t>
      </w:r>
      <w:fldSimple w:instr=" SEQ Table \* ARABIC ">
        <w:r w:rsidR="00D777FF">
          <w:rPr>
            <w:noProof/>
          </w:rPr>
          <w:t>5</w:t>
        </w:r>
      </w:fldSimple>
      <w:bookmarkEnd w:id="62"/>
      <w:r w:rsidR="0020316C">
        <w:rPr>
          <w:noProof/>
        </w:rPr>
        <w:t>:</w:t>
      </w:r>
      <w:r>
        <w:t xml:space="preserve"> Prior </w:t>
      </w:r>
      <w:r w:rsidR="00CC4C6C">
        <w:t xml:space="preserve">ulcerative colitis </w:t>
      </w:r>
      <w:r>
        <w:t xml:space="preserve">therapies </w:t>
      </w:r>
      <w:r w:rsidR="00CC4C6C">
        <w:t>failed, modified intent to treat</w:t>
      </w:r>
      <w:r w:rsidR="0099632D">
        <w:fldChar w:fldCharType="begin"/>
      </w:r>
      <w:r w:rsidR="0099632D">
        <w:instrText xml:space="preserve"> DOCVARIABLE vault_nd_1d5795b7-9760-43f3-a272-9b1bb9dca9b1 \* MERGEFORMAT </w:instrText>
      </w:r>
      <w:r w:rsidR="0099632D">
        <w:fldChar w:fldCharType="separate"/>
      </w:r>
      <w:r w:rsidR="005605B4">
        <w:t xml:space="preserve"> </w:t>
      </w:r>
      <w:r w:rsidR="0099632D">
        <w:fldChar w:fldCharType="end"/>
      </w:r>
    </w:p>
    <w:p w14:paraId="65EC67B8" w14:textId="77777777" w:rsidR="004B165B" w:rsidRDefault="004B165B" w:rsidP="004B165B">
      <w:r>
        <w:rPr>
          <w:noProof/>
        </w:rPr>
        <w:drawing>
          <wp:inline distT="0" distB="0" distL="0" distR="0" wp14:anchorId="7C207CFC" wp14:editId="3E170E9E">
            <wp:extent cx="5486400" cy="2649855"/>
            <wp:effectExtent l="0" t="0" r="0" b="0"/>
            <wp:docPr id="19" name="Picture 19" descr="Prior ulcerative colitis therapies failed, modified intent to 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rior ulcerative colitis therapies failed, modified intent to treat"/>
                    <pic:cNvPicPr/>
                  </pic:nvPicPr>
                  <pic:blipFill rotWithShape="1">
                    <a:blip r:embed="rId33"/>
                    <a:srcRect l="2659" t="3246" r="1618"/>
                    <a:stretch/>
                  </pic:blipFill>
                  <pic:spPr bwMode="auto">
                    <a:xfrm>
                      <a:off x="0" y="0"/>
                      <a:ext cx="5486400" cy="2649855"/>
                    </a:xfrm>
                    <a:prstGeom prst="rect">
                      <a:avLst/>
                    </a:prstGeom>
                    <a:ln>
                      <a:noFill/>
                    </a:ln>
                    <a:extLst>
                      <a:ext uri="{53640926-AAD7-44D8-BBD7-CCE9431645EC}">
                        <a14:shadowObscured xmlns:a14="http://schemas.microsoft.com/office/drawing/2010/main"/>
                      </a:ext>
                    </a:extLst>
                  </pic:spPr>
                </pic:pic>
              </a:graphicData>
            </a:graphic>
          </wp:inline>
        </w:drawing>
      </w:r>
    </w:p>
    <w:p w14:paraId="29EC9CC8" w14:textId="6D31E6F9" w:rsidR="004B165B" w:rsidRPr="00410AF5" w:rsidRDefault="004B165B" w:rsidP="00410AF5">
      <w:r w:rsidRPr="00410AF5">
        <w:t xml:space="preserve">In the </w:t>
      </w:r>
      <w:proofErr w:type="spellStart"/>
      <w:r w:rsidRPr="00410AF5">
        <w:t>mITT</w:t>
      </w:r>
      <w:proofErr w:type="spellEnd"/>
      <w:r w:rsidRPr="00410AF5">
        <w:t xml:space="preserve"> population (</w:t>
      </w:r>
      <w:r w:rsidR="0020316C" w:rsidRPr="00410AF5">
        <w:t>that is,</w:t>
      </w:r>
      <w:r w:rsidRPr="00410AF5">
        <w:t xml:space="preserve"> main efficacy population) the primary efficacy outcome of clinical remission occurred in 24.2% in mirikizumab arm and 13.3% in placebo arm, leading to a risk difference of 11.1% (</w:t>
      </w:r>
      <w:r w:rsidR="00410AF5" w:rsidRPr="00410AF5">
        <w:t xml:space="preserve">confidence interval </w:t>
      </w:r>
      <w:r w:rsidR="00410AF5" w:rsidRPr="000F781F">
        <w:t>(</w:t>
      </w:r>
      <w:r w:rsidRPr="000F781F">
        <w:t>CI</w:t>
      </w:r>
      <w:r w:rsidR="00410AF5" w:rsidRPr="000F781F">
        <w:t>)</w:t>
      </w:r>
      <w:r w:rsidRPr="00410AF5">
        <w:t xml:space="preserve"> 3.2</w:t>
      </w:r>
      <w:r w:rsidR="00410AF5" w:rsidRPr="00410AF5">
        <w:t xml:space="preserve"> to </w:t>
      </w:r>
      <w:r w:rsidRPr="00410AF5">
        <w:t>19.1%;</w:t>
      </w:r>
      <w:r w:rsidR="00410AF5" w:rsidRPr="00410AF5">
        <w:t xml:space="preserve"> </w:t>
      </w:r>
      <w:r w:rsidRPr="00410AF5">
        <w:t>p</w:t>
      </w:r>
      <w:r w:rsidR="00410AF5" w:rsidRPr="00410AF5">
        <w:t> </w:t>
      </w:r>
      <w:r w:rsidRPr="00410AF5">
        <w:t>=</w:t>
      </w:r>
      <w:r w:rsidR="00410AF5" w:rsidRPr="00410AF5">
        <w:t> </w:t>
      </w:r>
      <w:r w:rsidRPr="00410AF5">
        <w:t>0.00006). Statistically significant results were found for all major secondary endpoints as well (</w:t>
      </w:r>
      <w:r w:rsidRPr="00410AF5">
        <w:fldChar w:fldCharType="begin"/>
      </w:r>
      <w:r w:rsidRPr="00410AF5">
        <w:instrText xml:space="preserve"> REF _Ref129097229 \h </w:instrText>
      </w:r>
      <w:r w:rsidR="0020316C" w:rsidRPr="00410AF5">
        <w:instrText xml:space="preserve"> \* MERGEFORMAT </w:instrText>
      </w:r>
      <w:r w:rsidRPr="00410AF5">
        <w:fldChar w:fldCharType="separate"/>
      </w:r>
      <w:r w:rsidR="00D777FF" w:rsidRPr="00410AF5">
        <w:t xml:space="preserve">Table </w:t>
      </w:r>
      <w:r w:rsidR="00D777FF">
        <w:t>6</w:t>
      </w:r>
      <w:r w:rsidRPr="00410AF5">
        <w:fldChar w:fldCharType="end"/>
      </w:r>
      <w:r w:rsidRPr="00410AF5">
        <w:t>).</w:t>
      </w:r>
    </w:p>
    <w:p w14:paraId="75477461" w14:textId="5A60063E" w:rsidR="004B165B" w:rsidRPr="00410AF5" w:rsidRDefault="004B165B" w:rsidP="00410AF5">
      <w:pPr>
        <w:pStyle w:val="TableTitle"/>
      </w:pPr>
      <w:bookmarkStart w:id="63" w:name="_Ref129097229"/>
      <w:r w:rsidRPr="00410AF5">
        <w:lastRenderedPageBreak/>
        <w:t xml:space="preserve">Table </w:t>
      </w:r>
      <w:fldSimple w:instr=" SEQ Table \* ARABIC ">
        <w:r w:rsidR="00D777FF">
          <w:rPr>
            <w:noProof/>
          </w:rPr>
          <w:t>6</w:t>
        </w:r>
      </w:fldSimple>
      <w:bookmarkEnd w:id="63"/>
      <w:r w:rsidR="00410AF5" w:rsidRPr="00410AF5">
        <w:t>:</w:t>
      </w:r>
      <w:r w:rsidRPr="00410AF5">
        <w:t xml:space="preserve"> Summary of primary and major secondary endpoints, </w:t>
      </w:r>
      <w:r w:rsidR="00410AF5">
        <w:t>modified intent to treat</w:t>
      </w:r>
      <w:r w:rsidR="0099632D">
        <w:fldChar w:fldCharType="begin"/>
      </w:r>
      <w:r w:rsidR="0099632D">
        <w:instrText xml:space="preserve"> DOCVARIABLE vault_nd_f2847d17-556c-47c6-8d6a-8b75b2bae835 \* MERGEFORMAT </w:instrText>
      </w:r>
      <w:r w:rsidR="0099632D">
        <w:fldChar w:fldCharType="separate"/>
      </w:r>
      <w:r w:rsidR="005605B4">
        <w:t xml:space="preserve"> </w:t>
      </w:r>
      <w:r w:rsidR="0099632D">
        <w:fldChar w:fldCharType="end"/>
      </w:r>
    </w:p>
    <w:p w14:paraId="51489144" w14:textId="77777777" w:rsidR="004B165B" w:rsidRPr="00410AF5" w:rsidRDefault="004B165B" w:rsidP="00410AF5">
      <w:r w:rsidRPr="00410AF5">
        <w:rPr>
          <w:noProof/>
        </w:rPr>
        <w:drawing>
          <wp:inline distT="0" distB="0" distL="0" distR="0" wp14:anchorId="78B4006D" wp14:editId="59501CA6">
            <wp:extent cx="5553710" cy="6443345"/>
            <wp:effectExtent l="0" t="0" r="8890" b="0"/>
            <wp:docPr id="9" name="Picture 9" descr="Summary of primary and major secondary endpoints, modified intent to 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mmary of primary and major secondary endpoints, modified intent to treat"/>
                    <pic:cNvPicPr/>
                  </pic:nvPicPr>
                  <pic:blipFill rotWithShape="1">
                    <a:blip r:embed="rId34"/>
                    <a:srcRect l="3102" t="1552"/>
                    <a:stretch/>
                  </pic:blipFill>
                  <pic:spPr bwMode="auto">
                    <a:xfrm>
                      <a:off x="0" y="0"/>
                      <a:ext cx="5553710" cy="6443345"/>
                    </a:xfrm>
                    <a:prstGeom prst="rect">
                      <a:avLst/>
                    </a:prstGeom>
                    <a:ln>
                      <a:noFill/>
                    </a:ln>
                    <a:extLst>
                      <a:ext uri="{53640926-AAD7-44D8-BBD7-CCE9431645EC}">
                        <a14:shadowObscured xmlns:a14="http://schemas.microsoft.com/office/drawing/2010/main"/>
                      </a:ext>
                    </a:extLst>
                  </pic:spPr>
                </pic:pic>
              </a:graphicData>
            </a:graphic>
          </wp:inline>
        </w:drawing>
      </w:r>
    </w:p>
    <w:p w14:paraId="67F9CA6C" w14:textId="2C5DFFDC" w:rsidR="004B165B" w:rsidRPr="00410AF5" w:rsidRDefault="004B165B" w:rsidP="00410AF5">
      <w:r w:rsidRPr="00410AF5">
        <w:t>Subgroup analysis of patients who were biologic/JAK</w:t>
      </w:r>
      <w:r w:rsidR="00410AF5">
        <w:t xml:space="preserve"> inhibitor</w:t>
      </w:r>
      <w:r w:rsidRPr="00410AF5">
        <w:t xml:space="preserve"> naïve, failed at least one biologic/JAK</w:t>
      </w:r>
      <w:r w:rsidR="00410AF5">
        <w:t xml:space="preserve"> inhibitor</w:t>
      </w:r>
      <w:r w:rsidRPr="00410AF5">
        <w:t xml:space="preserve"> and failed </w:t>
      </w:r>
      <w:r w:rsidR="00410AF5">
        <w:t>more than one</w:t>
      </w:r>
      <w:r w:rsidRPr="00410AF5">
        <w:t xml:space="preserve"> biologic/JAK</w:t>
      </w:r>
      <w:r w:rsidR="00410AF5">
        <w:t xml:space="preserve"> inh</w:t>
      </w:r>
      <w:r w:rsidR="00F0767C">
        <w:t>i</w:t>
      </w:r>
      <w:r w:rsidR="00410AF5">
        <w:t>bitor</w:t>
      </w:r>
      <w:r w:rsidRPr="00410AF5">
        <w:t>, mirikizumab generally remained superior to placebo for primary and major secondary endpoints. There tended to be a reduction in effect size in the biologic/JAK</w:t>
      </w:r>
      <w:r w:rsidR="00F0767C">
        <w:t xml:space="preserve"> inhibitor</w:t>
      </w:r>
      <w:r w:rsidRPr="00410AF5">
        <w:t xml:space="preserve"> experienced subgroup. For the primary outcome, the risk difference was 15.1% (CI 8.3</w:t>
      </w:r>
      <w:r w:rsidR="00F0767C">
        <w:t xml:space="preserve"> to </w:t>
      </w:r>
      <w:r w:rsidRPr="00410AF5">
        <w:t>21.9%) in the naïve group, 6.8% (CI 0.5</w:t>
      </w:r>
      <w:r w:rsidR="00F0767C">
        <w:t xml:space="preserve"> to </w:t>
      </w:r>
      <w:r w:rsidRPr="00410AF5">
        <w:t xml:space="preserve">13%) in the failed at least </w:t>
      </w:r>
      <w:r w:rsidR="004D0306">
        <w:t>one</w:t>
      </w:r>
      <w:r w:rsidRPr="00410AF5">
        <w:t xml:space="preserve"> biologic/JAK</w:t>
      </w:r>
      <w:r w:rsidR="004D0306">
        <w:t xml:space="preserve"> inhibitor</w:t>
      </w:r>
      <w:r w:rsidRPr="00410AF5">
        <w:t xml:space="preserve"> group and 7.6% (CI -0.3</w:t>
      </w:r>
      <w:r w:rsidR="004D0306">
        <w:t xml:space="preserve"> to </w:t>
      </w:r>
      <w:r w:rsidRPr="00410AF5">
        <w:t xml:space="preserve">15.5%) in the failed </w:t>
      </w:r>
      <w:r w:rsidR="004D0306">
        <w:t xml:space="preserve">more than one </w:t>
      </w:r>
      <w:r w:rsidRPr="00410AF5">
        <w:t>biologic/JAK</w:t>
      </w:r>
      <w:r w:rsidR="004D0306">
        <w:t xml:space="preserve"> inhibitor</w:t>
      </w:r>
      <w:r w:rsidRPr="00410AF5">
        <w:t>.</w:t>
      </w:r>
    </w:p>
    <w:p w14:paraId="74D78093" w14:textId="4A9C89BB" w:rsidR="004B165B" w:rsidRDefault="004B165B" w:rsidP="004B165B">
      <w:r>
        <w:t xml:space="preserve">Sensitivity analyses looking at the impact of </w:t>
      </w:r>
      <w:proofErr w:type="spellStart"/>
      <w:r>
        <w:t>eCOA</w:t>
      </w:r>
      <w:proofErr w:type="spellEnd"/>
      <w:r>
        <w:t xml:space="preserve"> transcription errors in Poland and Turkey, missed endoscopies, loss to follow-up and protocol deviations (</w:t>
      </w:r>
      <w:r w:rsidR="00694139">
        <w:t>that is,</w:t>
      </w:r>
      <w:r>
        <w:t xml:space="preserve"> comparing the </w:t>
      </w:r>
      <w:proofErr w:type="spellStart"/>
      <w:r>
        <w:t>mITT</w:t>
      </w:r>
      <w:proofErr w:type="spellEnd"/>
      <w:r>
        <w:t xml:space="preserve"> to </w:t>
      </w:r>
      <w:r w:rsidRPr="000F781F">
        <w:t>the ITT population</w:t>
      </w:r>
      <w:r>
        <w:t>) found results consistent with the primary efficacy population described above.</w:t>
      </w:r>
    </w:p>
    <w:p w14:paraId="00225C7E" w14:textId="2D2E4803" w:rsidR="004B165B" w:rsidRPr="007F6C0E" w:rsidRDefault="004B165B" w:rsidP="00791EAD">
      <w:pPr>
        <w:pStyle w:val="Heading5"/>
      </w:pPr>
      <w:r w:rsidRPr="006C2E76">
        <w:lastRenderedPageBreak/>
        <w:t xml:space="preserve">Pivotal </w:t>
      </w:r>
      <w:r w:rsidR="00791EAD">
        <w:t>m</w:t>
      </w:r>
      <w:r w:rsidRPr="006C2E76">
        <w:t xml:space="preserve">aintenance </w:t>
      </w:r>
      <w:r w:rsidR="00791EAD">
        <w:t>s</w:t>
      </w:r>
      <w:r w:rsidRPr="006C2E76">
        <w:t>tudy</w:t>
      </w:r>
      <w:r w:rsidR="0099632D">
        <w:fldChar w:fldCharType="begin"/>
      </w:r>
      <w:r w:rsidR="0099632D">
        <w:instrText xml:space="preserve"> DOCVARIABLE vault_nd_f27d0c5f-97d3-4776-a48b-a6f844138c26 \* MERGEFORMAT </w:instrText>
      </w:r>
      <w:r w:rsidR="0099632D">
        <w:fldChar w:fldCharType="separate"/>
      </w:r>
      <w:r w:rsidR="005605B4">
        <w:t xml:space="preserve"> </w:t>
      </w:r>
      <w:r w:rsidR="0099632D">
        <w:fldChar w:fldCharType="end"/>
      </w:r>
    </w:p>
    <w:p w14:paraId="4142F509" w14:textId="2D230700" w:rsidR="004B165B" w:rsidRPr="002313E4" w:rsidRDefault="004B165B" w:rsidP="002313E4">
      <w:r w:rsidRPr="002313E4">
        <w:t xml:space="preserve">Study AMBG (also known as LUCENT2) was a </w:t>
      </w:r>
      <w:r w:rsidR="002313E4">
        <w:t>P</w:t>
      </w:r>
      <w:r w:rsidRPr="002313E4">
        <w:t xml:space="preserve">hase </w:t>
      </w:r>
      <w:r w:rsidR="002313E4">
        <w:t>III</w:t>
      </w:r>
      <w:r w:rsidRPr="002313E4">
        <w:t>, multicentre, randomised, double</w:t>
      </w:r>
      <w:r w:rsidR="002313E4">
        <w:t xml:space="preserve"> </w:t>
      </w:r>
      <w:r w:rsidRPr="002313E4">
        <w:t xml:space="preserve">blind, </w:t>
      </w:r>
      <w:proofErr w:type="gramStart"/>
      <w:r w:rsidRPr="002313E4">
        <w:t>placebo</w:t>
      </w:r>
      <w:r w:rsidR="002313E4">
        <w:t xml:space="preserve"> </w:t>
      </w:r>
      <w:r w:rsidRPr="002313E4">
        <w:t>controlled</w:t>
      </w:r>
      <w:proofErr w:type="gramEnd"/>
      <w:r w:rsidRPr="002313E4">
        <w:t xml:space="preserve"> maintenance study of mirikizumab in patients with moderately to severely active ulcerative colitis. It was conducted in 368 centres across Europe, North America, South America, Asia and Oceania. The duration of the study for the primary efficacy outcome was 40</w:t>
      </w:r>
      <w:r w:rsidR="002313E4">
        <w:t> </w:t>
      </w:r>
      <w:r w:rsidRPr="002313E4">
        <w:t>weeks and the dossier contained data until this point.</w:t>
      </w:r>
    </w:p>
    <w:p w14:paraId="40BF3B01" w14:textId="31C279A6" w:rsidR="004B165B" w:rsidRPr="002313E4" w:rsidRDefault="004B165B" w:rsidP="002313E4">
      <w:r w:rsidRPr="002313E4">
        <w:t>Whilst it was primarily a maintenance study in those who had responded to mirikizumab induction, it also addressed other questions related to ongoing therapy post initial induction (</w:t>
      </w:r>
      <w:r w:rsidR="00EA1557">
        <w:t>that is,</w:t>
      </w:r>
      <w:r w:rsidRPr="002313E4">
        <w:t xml:space="preserve"> extended induction and rescue therapy). Accordingly, the following groups were studied (</w:t>
      </w:r>
      <w:r w:rsidRPr="002313E4">
        <w:fldChar w:fldCharType="begin"/>
      </w:r>
      <w:r w:rsidRPr="002313E4">
        <w:instrText xml:space="preserve"> REF _Ref129163481 \h </w:instrText>
      </w:r>
      <w:r w:rsidR="002313E4">
        <w:instrText xml:space="preserve"> \* MERGEFORMAT </w:instrText>
      </w:r>
      <w:r w:rsidRPr="002313E4">
        <w:fldChar w:fldCharType="separate"/>
      </w:r>
      <w:r w:rsidR="00D777FF">
        <w:t>Figure 8</w:t>
      </w:r>
      <w:r w:rsidRPr="002313E4">
        <w:fldChar w:fldCharType="end"/>
      </w:r>
      <w:r w:rsidRPr="002313E4">
        <w:t>):</w:t>
      </w:r>
    </w:p>
    <w:p w14:paraId="03476A56" w14:textId="1DEEC7E8" w:rsidR="004B165B" w:rsidRPr="00EA1557" w:rsidRDefault="004B165B" w:rsidP="006278D0">
      <w:pPr>
        <w:pStyle w:val="Numberbullet0"/>
      </w:pPr>
      <w:r w:rsidRPr="00EA1557">
        <w:t>Responders to mirikizumab in induction study were randomised 2:1 to blinded mirikizumab 200</w:t>
      </w:r>
      <w:r w:rsidR="00733D46">
        <w:t> </w:t>
      </w:r>
      <w:r w:rsidRPr="00EA1557">
        <w:t xml:space="preserve">mg SC </w:t>
      </w:r>
      <w:r w:rsidR="00733D46">
        <w:t>every 4 weeks</w:t>
      </w:r>
      <w:r w:rsidRPr="00EA1557">
        <w:t xml:space="preserve"> or placebo for 40 weeks. This was the only fully blinded, </w:t>
      </w:r>
      <w:proofErr w:type="gramStart"/>
      <w:r w:rsidRPr="00EA1557">
        <w:t>placebo controlled</w:t>
      </w:r>
      <w:proofErr w:type="gramEnd"/>
      <w:r w:rsidRPr="00EA1557">
        <w:t xml:space="preserve"> cohort in </w:t>
      </w:r>
      <w:r w:rsidR="00733D46">
        <w:t xml:space="preserve">Study </w:t>
      </w:r>
      <w:r w:rsidRPr="00EA1557">
        <w:t>AMBG. Patients in this cohort could receive open</w:t>
      </w:r>
      <w:r w:rsidR="00733D46">
        <w:t xml:space="preserve"> </w:t>
      </w:r>
      <w:r w:rsidRPr="00EA1557">
        <w:t>label rescue mirikizumab 300</w:t>
      </w:r>
      <w:r w:rsidR="00733D46">
        <w:t> </w:t>
      </w:r>
      <w:r w:rsidRPr="00EA1557">
        <w:t xml:space="preserve">mg IV </w:t>
      </w:r>
      <w:r w:rsidR="00733D46">
        <w:t>every 4 weeks</w:t>
      </w:r>
      <w:r w:rsidRPr="00EA1557">
        <w:t xml:space="preserve"> if they experienced loss of response between </w:t>
      </w:r>
      <w:r w:rsidR="008D6710">
        <w:t>W</w:t>
      </w:r>
      <w:r w:rsidRPr="00EA1557">
        <w:t>eeks</w:t>
      </w:r>
      <w:r w:rsidR="008D6710">
        <w:t> </w:t>
      </w:r>
      <w:r w:rsidRPr="00EA1557">
        <w:t>12 and 28.</w:t>
      </w:r>
    </w:p>
    <w:p w14:paraId="65C717F7" w14:textId="73889106" w:rsidR="004B165B" w:rsidRPr="00EA1557" w:rsidRDefault="004B165B" w:rsidP="00EA1557">
      <w:pPr>
        <w:pStyle w:val="Numberbullet0"/>
      </w:pPr>
      <w:r w:rsidRPr="00EA1557">
        <w:t xml:space="preserve">Responders to placebo in induction study, </w:t>
      </w:r>
      <w:proofErr w:type="gramStart"/>
      <w:r w:rsidRPr="00EA1557">
        <w:t>continued on</w:t>
      </w:r>
      <w:proofErr w:type="gramEnd"/>
      <w:r w:rsidRPr="00EA1557">
        <w:t xml:space="preserve"> blinded placebo for 40 weeks. If patients in this group lost response between </w:t>
      </w:r>
      <w:r w:rsidR="00D7057E">
        <w:t>W</w:t>
      </w:r>
      <w:r w:rsidRPr="00EA1557">
        <w:t>eeks 12 and 28, they received open label mirikizumab 300</w:t>
      </w:r>
      <w:r w:rsidR="0089792B">
        <w:t> </w:t>
      </w:r>
      <w:r w:rsidRPr="00EA1557">
        <w:t xml:space="preserve">mg IV </w:t>
      </w:r>
      <w:r w:rsidR="0089792B">
        <w:t>every 4 weeks</w:t>
      </w:r>
      <w:r w:rsidRPr="00EA1557">
        <w:t xml:space="preserve"> for 12 weeks (</w:t>
      </w:r>
      <w:r w:rsidR="0089792B">
        <w:t>that is,</w:t>
      </w:r>
      <w:r w:rsidRPr="00EA1557">
        <w:t xml:space="preserve"> an induction dose, essentially their first experience with active drug).</w:t>
      </w:r>
    </w:p>
    <w:p w14:paraId="21EF5DD0" w14:textId="213EDB71" w:rsidR="004B165B" w:rsidRPr="00EA1557" w:rsidRDefault="004B165B" w:rsidP="00EA1557">
      <w:pPr>
        <w:pStyle w:val="Numberbullet0"/>
      </w:pPr>
      <w:r w:rsidRPr="00EA1557">
        <w:t>Non-responders following the induction study were treated with open</w:t>
      </w:r>
      <w:r w:rsidR="0089792B">
        <w:t xml:space="preserve"> </w:t>
      </w:r>
      <w:r w:rsidRPr="00EA1557">
        <w:t>label mirikizumab 300</w:t>
      </w:r>
      <w:r w:rsidR="0089792B">
        <w:t> </w:t>
      </w:r>
      <w:r w:rsidRPr="00EA1557">
        <w:t xml:space="preserve">mg IV </w:t>
      </w:r>
      <w:r w:rsidR="0089792B">
        <w:t>every 4 weeks</w:t>
      </w:r>
      <w:r w:rsidRPr="00EA1557">
        <w:t xml:space="preserve"> (</w:t>
      </w:r>
      <w:r w:rsidR="0089792B">
        <w:t>that is,</w:t>
      </w:r>
      <w:r w:rsidRPr="00EA1557">
        <w:t xml:space="preserve"> first induction for those who had received placebo and repeat induction for those who had received mirikizumab). Responders in this cohort could then continue maintenance dosing.</w:t>
      </w:r>
    </w:p>
    <w:p w14:paraId="76EEC170" w14:textId="1C0EFD1F" w:rsidR="004B165B" w:rsidRDefault="004B165B" w:rsidP="0089792B">
      <w:pPr>
        <w:pStyle w:val="FigureTitle"/>
      </w:pPr>
      <w:bookmarkStart w:id="64" w:name="_Ref129163481"/>
      <w:bookmarkStart w:id="65" w:name="_Ref129177109"/>
      <w:r>
        <w:t xml:space="preserve">Figure </w:t>
      </w:r>
      <w:fldSimple w:instr=" SEQ Figure \* ARABIC ">
        <w:r w:rsidR="00D777FF">
          <w:rPr>
            <w:noProof/>
          </w:rPr>
          <w:t>8</w:t>
        </w:r>
      </w:fldSimple>
      <w:bookmarkEnd w:id="64"/>
      <w:r w:rsidR="0089792B">
        <w:rPr>
          <w:noProof/>
        </w:rPr>
        <w:t>: Study</w:t>
      </w:r>
      <w:r>
        <w:t xml:space="preserve"> </w:t>
      </w:r>
      <w:r w:rsidRPr="002445D1">
        <w:rPr>
          <w:bCs/>
        </w:rPr>
        <w:t>AMBG</w:t>
      </w:r>
      <w:r>
        <w:t xml:space="preserve"> design</w:t>
      </w:r>
      <w:bookmarkEnd w:id="65"/>
      <w:r w:rsidR="005605B4">
        <w:fldChar w:fldCharType="begin"/>
      </w:r>
      <w:r w:rsidR="005605B4">
        <w:instrText xml:space="preserve"> DOCVARIABLE vault_nd_16079e7c-1cf1-4703-aff5-e7fc1698f53e \* MERGEFORMAT </w:instrText>
      </w:r>
      <w:r w:rsidR="005605B4">
        <w:fldChar w:fldCharType="separate"/>
      </w:r>
      <w:r w:rsidR="005605B4">
        <w:t xml:space="preserve"> </w:t>
      </w:r>
      <w:r w:rsidR="005605B4">
        <w:fldChar w:fldCharType="end"/>
      </w:r>
    </w:p>
    <w:p w14:paraId="407FCD77" w14:textId="77777777" w:rsidR="004B165B" w:rsidRDefault="004B165B" w:rsidP="004B165B">
      <w:r>
        <w:rPr>
          <w:noProof/>
        </w:rPr>
        <w:drawing>
          <wp:inline distT="0" distB="0" distL="0" distR="0" wp14:anchorId="75EE2C03" wp14:editId="1651D395">
            <wp:extent cx="5731510" cy="3435350"/>
            <wp:effectExtent l="0" t="0" r="2540" b="0"/>
            <wp:docPr id="10" name="Picture 10" descr="Study AMBG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AMBG design"/>
                    <pic:cNvPicPr/>
                  </pic:nvPicPr>
                  <pic:blipFill rotWithShape="1">
                    <a:blip r:embed="rId35"/>
                    <a:srcRect b="1922"/>
                    <a:stretch/>
                  </pic:blipFill>
                  <pic:spPr bwMode="auto">
                    <a:xfrm>
                      <a:off x="0" y="0"/>
                      <a:ext cx="5731510" cy="3435350"/>
                    </a:xfrm>
                    <a:prstGeom prst="rect">
                      <a:avLst/>
                    </a:prstGeom>
                    <a:ln>
                      <a:noFill/>
                    </a:ln>
                    <a:extLst>
                      <a:ext uri="{53640926-AAD7-44D8-BBD7-CCE9431645EC}">
                        <a14:shadowObscured xmlns:a14="http://schemas.microsoft.com/office/drawing/2010/main"/>
                      </a:ext>
                    </a:extLst>
                  </pic:spPr>
                </pic:pic>
              </a:graphicData>
            </a:graphic>
          </wp:inline>
        </w:drawing>
      </w:r>
    </w:p>
    <w:p w14:paraId="726D6867" w14:textId="2CFB2870" w:rsidR="004B165B" w:rsidRPr="00956E2F" w:rsidRDefault="004B165B" w:rsidP="006278D0">
      <w:pPr>
        <w:pageBreakBefore/>
      </w:pPr>
      <w:r w:rsidRPr="00EC444C">
        <w:lastRenderedPageBreak/>
        <w:t xml:space="preserve">The primary outcome was the proportion of patients in clinical remission at </w:t>
      </w:r>
      <w:r w:rsidR="00956E2F">
        <w:t>W</w:t>
      </w:r>
      <w:r w:rsidRPr="00EC444C">
        <w:t xml:space="preserve">eek 40 who were responders to mirikizumab at </w:t>
      </w:r>
      <w:r w:rsidR="00956E2F">
        <w:t>W</w:t>
      </w:r>
      <w:r w:rsidRPr="00EC444C">
        <w:t xml:space="preserve">eek 12 in the induction study. Clinical remission was defined using the </w:t>
      </w:r>
      <w:proofErr w:type="spellStart"/>
      <w:r w:rsidR="000F781F">
        <w:t>m</w:t>
      </w:r>
      <w:r w:rsidRPr="00EC444C">
        <w:t>M</w:t>
      </w:r>
      <w:r w:rsidR="000F781F">
        <w:t>s</w:t>
      </w:r>
      <w:proofErr w:type="spellEnd"/>
      <w:r w:rsidRPr="00EC444C">
        <w:t xml:space="preserve"> as in the induction study (and therefore represents equivalent ongoing disease control):</w:t>
      </w:r>
    </w:p>
    <w:p w14:paraId="6A4B20D8" w14:textId="7CE9A042" w:rsidR="004B165B" w:rsidRPr="00956E2F" w:rsidRDefault="004B165B" w:rsidP="00956E2F">
      <w:pPr>
        <w:pStyle w:val="ListBullet"/>
      </w:pPr>
      <w:r w:rsidRPr="00956E2F">
        <w:t>Stool frequency (SF) = 0 or 1, with 1 point</w:t>
      </w:r>
      <w:r w:rsidR="00BE39CF">
        <w:t xml:space="preserve"> or greater</w:t>
      </w:r>
      <w:r w:rsidRPr="00956E2F">
        <w:t xml:space="preserve"> decrease from </w:t>
      </w:r>
      <w:r w:rsidR="00BE39CF">
        <w:t>B</w:t>
      </w:r>
      <w:r w:rsidRPr="00956E2F">
        <w:t>aseline</w:t>
      </w:r>
    </w:p>
    <w:p w14:paraId="5F37DEC0" w14:textId="77777777" w:rsidR="004B165B" w:rsidRPr="00956E2F" w:rsidRDefault="004B165B" w:rsidP="00956E2F">
      <w:pPr>
        <w:pStyle w:val="ListBullet"/>
      </w:pPr>
      <w:r w:rsidRPr="00956E2F">
        <w:t>Rectal bleeding (RB) = 0</w:t>
      </w:r>
    </w:p>
    <w:p w14:paraId="7D69553F" w14:textId="77777777" w:rsidR="004B165B" w:rsidRPr="00956E2F" w:rsidRDefault="004B165B" w:rsidP="00956E2F">
      <w:pPr>
        <w:pStyle w:val="ListBullet"/>
      </w:pPr>
      <w:r w:rsidRPr="00956E2F">
        <w:t>Endoscopic score (ES) = 0 or 1 (excluding friability)</w:t>
      </w:r>
    </w:p>
    <w:p w14:paraId="4CF8487F" w14:textId="77777777" w:rsidR="004B165B" w:rsidRPr="00BE39CF" w:rsidRDefault="004B165B" w:rsidP="00BE39CF">
      <w:r w:rsidRPr="00BE39CF">
        <w:t>The secondary endpoints were:</w:t>
      </w:r>
    </w:p>
    <w:p w14:paraId="3B23A202" w14:textId="0585C6A4" w:rsidR="008A2625" w:rsidRDefault="004B165B" w:rsidP="008A2625">
      <w:pPr>
        <w:pStyle w:val="ListBullet"/>
      </w:pPr>
      <w:r w:rsidRPr="00BE39CF">
        <w:t xml:space="preserve">Proportion of patients in alternate clinical remission at </w:t>
      </w:r>
      <w:r w:rsidR="000F781F">
        <w:t>W</w:t>
      </w:r>
      <w:r w:rsidRPr="00BE39CF">
        <w:t>eek 40, defined as</w:t>
      </w:r>
    </w:p>
    <w:p w14:paraId="23527F67" w14:textId="54770699" w:rsidR="008A2625" w:rsidRDefault="004B165B" w:rsidP="008A2625">
      <w:pPr>
        <w:pStyle w:val="ListBullet2"/>
      </w:pPr>
      <w:r w:rsidRPr="00BE39CF">
        <w:t>stool frequency (SF) sub</w:t>
      </w:r>
      <w:r w:rsidR="00174544">
        <w:t>-</w:t>
      </w:r>
      <w:r w:rsidRPr="00BE39CF">
        <w:t>score = 0 or 1, and</w:t>
      </w:r>
    </w:p>
    <w:p w14:paraId="0881C433" w14:textId="754507A0" w:rsidR="008A2625" w:rsidRDefault="004B165B" w:rsidP="008A2625">
      <w:pPr>
        <w:pStyle w:val="ListBullet2"/>
      </w:pPr>
      <w:r w:rsidRPr="00BE39CF">
        <w:t>rectal bleeding (RB) sub</w:t>
      </w:r>
      <w:r w:rsidR="00174544">
        <w:t>-</w:t>
      </w:r>
      <w:r w:rsidRPr="00BE39CF">
        <w:t>score = 0, and</w:t>
      </w:r>
    </w:p>
    <w:p w14:paraId="6C021EA7" w14:textId="695F576D" w:rsidR="004B165B" w:rsidRPr="00BE39CF" w:rsidRDefault="004B165B" w:rsidP="008A2625">
      <w:pPr>
        <w:pStyle w:val="ListBullet2"/>
      </w:pPr>
      <w:r w:rsidRPr="00BE39CF">
        <w:t>endoscopic score (ES) = 0 or 1 (excluding friability)</w:t>
      </w:r>
    </w:p>
    <w:p w14:paraId="285EE9CD" w14:textId="36947E2D" w:rsidR="004B165B" w:rsidRPr="00BE39CF" w:rsidRDefault="004B165B" w:rsidP="008A2625">
      <w:pPr>
        <w:pStyle w:val="ListBullet"/>
      </w:pPr>
      <w:r w:rsidRPr="00BE39CF">
        <w:t xml:space="preserve">Proportion of patients with endoscopic remission at </w:t>
      </w:r>
      <w:r w:rsidR="00174544">
        <w:t>W</w:t>
      </w:r>
      <w:r w:rsidRPr="00BE39CF">
        <w:t>eek 40, defined as EB = 0 or 1 (excluding friability)</w:t>
      </w:r>
    </w:p>
    <w:p w14:paraId="5C3C1E22" w14:textId="5595DD3E" w:rsidR="004B165B" w:rsidRPr="00BE39CF" w:rsidRDefault="004B165B" w:rsidP="008A2625">
      <w:pPr>
        <w:pStyle w:val="ListBullet"/>
      </w:pPr>
      <w:r w:rsidRPr="00BE39CF">
        <w:t xml:space="preserve">Change from induction baseline in the </w:t>
      </w:r>
      <w:r w:rsidR="000F781F">
        <w:t>u</w:t>
      </w:r>
      <w:r w:rsidRPr="00BE39CF">
        <w:t xml:space="preserve">rgency </w:t>
      </w:r>
      <w:r w:rsidR="000F781F">
        <w:t>n</w:t>
      </w:r>
      <w:r w:rsidRPr="00BE39CF">
        <w:t xml:space="preserve">umeric </w:t>
      </w:r>
      <w:r w:rsidR="000F781F">
        <w:t>r</w:t>
      </w:r>
      <w:r w:rsidRPr="00BE39CF">
        <w:t xml:space="preserve">ating </w:t>
      </w:r>
      <w:r w:rsidR="000F781F">
        <w:t>s</w:t>
      </w:r>
      <w:r w:rsidRPr="00BE39CF">
        <w:t>cale score</w:t>
      </w:r>
    </w:p>
    <w:p w14:paraId="3634B94D" w14:textId="2C532C34" w:rsidR="008A2625" w:rsidRDefault="004B165B" w:rsidP="008A2625">
      <w:pPr>
        <w:pStyle w:val="ListBullet"/>
      </w:pPr>
      <w:r w:rsidRPr="00BE39CF">
        <w:t xml:space="preserve">Proportion of patients with histologic-endoscopic mucosal remission at </w:t>
      </w:r>
      <w:r w:rsidR="00E777D0">
        <w:t>W</w:t>
      </w:r>
      <w:r w:rsidRPr="00BE39CF">
        <w:t>eek 40, defined as:</w:t>
      </w:r>
    </w:p>
    <w:p w14:paraId="7E5C08CE" w14:textId="0DD38BFA" w:rsidR="008A2625" w:rsidRDefault="004B165B" w:rsidP="008A2625">
      <w:pPr>
        <w:pStyle w:val="ListBullet2"/>
      </w:pPr>
      <w:r w:rsidRPr="00BE39CF">
        <w:t xml:space="preserve">histologic remission with resolution of mucosal neutrophils, defined using the </w:t>
      </w:r>
      <w:proofErr w:type="spellStart"/>
      <w:r w:rsidRPr="00BE39CF">
        <w:t>Geboes</w:t>
      </w:r>
      <w:proofErr w:type="spellEnd"/>
      <w:r w:rsidRPr="00BE39CF">
        <w:t xml:space="preserve"> scoring system with sub</w:t>
      </w:r>
      <w:r w:rsidR="00E777D0">
        <w:t>-</w:t>
      </w:r>
      <w:r w:rsidRPr="00BE39CF">
        <w:t>scores of 0 for grades: 2b (lamina propria neutrophils), 3 (neutrophils in epithelium), 4 (crypt destruction), 5 (erosion or ulceration), and</w:t>
      </w:r>
    </w:p>
    <w:p w14:paraId="095CF531" w14:textId="60C9BED1" w:rsidR="004B165B" w:rsidRPr="00BE39CF" w:rsidRDefault="004B165B" w:rsidP="008A2625">
      <w:pPr>
        <w:pStyle w:val="ListBullet2"/>
      </w:pPr>
      <w:r w:rsidRPr="00BE39CF">
        <w:t>endoscopic remission, defined as ES = 0 or 1 (excluding friability)</w:t>
      </w:r>
    </w:p>
    <w:p w14:paraId="0658669F" w14:textId="609CBB27" w:rsidR="008A2625" w:rsidRDefault="004B165B" w:rsidP="00174544">
      <w:pPr>
        <w:pStyle w:val="ListBullet"/>
      </w:pPr>
      <w:r w:rsidRPr="00BE39CF">
        <w:t xml:space="preserve">Corticosteroid-free remission without surgery at </w:t>
      </w:r>
      <w:r w:rsidR="00E777D0">
        <w:t>W</w:t>
      </w:r>
      <w:r w:rsidRPr="00BE39CF">
        <w:t>eek 40, defined as</w:t>
      </w:r>
    </w:p>
    <w:p w14:paraId="07BB5B76" w14:textId="4FC8BFB9" w:rsidR="008A2625" w:rsidRDefault="004B165B" w:rsidP="00174544">
      <w:pPr>
        <w:pStyle w:val="ListBullet2"/>
      </w:pPr>
      <w:r w:rsidRPr="00BE39CF">
        <w:t xml:space="preserve">clinical remission at </w:t>
      </w:r>
      <w:r w:rsidR="00E777D0">
        <w:t>W</w:t>
      </w:r>
      <w:r w:rsidRPr="00BE39CF">
        <w:t>eek 40</w:t>
      </w:r>
    </w:p>
    <w:p w14:paraId="3B4087E8" w14:textId="593EFC08" w:rsidR="00174544" w:rsidRDefault="004B165B" w:rsidP="00174544">
      <w:pPr>
        <w:pStyle w:val="ListBullet2"/>
      </w:pPr>
      <w:r w:rsidRPr="00BE39CF">
        <w:t xml:space="preserve">symptomatic remission at </w:t>
      </w:r>
      <w:r w:rsidR="00E777D0">
        <w:t>W</w:t>
      </w:r>
      <w:r w:rsidRPr="00BE39CF">
        <w:t>eek 28, and</w:t>
      </w:r>
    </w:p>
    <w:p w14:paraId="4E370F6C" w14:textId="1B7A69D6" w:rsidR="004B165B" w:rsidRPr="00BE39CF" w:rsidRDefault="004B165B" w:rsidP="00174544">
      <w:pPr>
        <w:pStyle w:val="ListBullet2"/>
      </w:pPr>
      <w:r w:rsidRPr="00BE39CF">
        <w:t xml:space="preserve">no corticosteroid </w:t>
      </w:r>
      <w:proofErr w:type="gramStart"/>
      <w:r w:rsidRPr="00BE39CF">
        <w:t>use</w:t>
      </w:r>
      <w:proofErr w:type="gramEnd"/>
      <w:r w:rsidRPr="00BE39CF">
        <w:t xml:space="preserve"> for more than 12 weeks prior to </w:t>
      </w:r>
      <w:r w:rsidR="00E777D0">
        <w:t>W</w:t>
      </w:r>
      <w:r w:rsidRPr="00BE39CF">
        <w:t>eek 40</w:t>
      </w:r>
    </w:p>
    <w:p w14:paraId="7F30EF90" w14:textId="0B275A1E" w:rsidR="00174544" w:rsidRDefault="004B165B" w:rsidP="00174544">
      <w:pPr>
        <w:pStyle w:val="ListBullet"/>
      </w:pPr>
      <w:r w:rsidRPr="00BE39CF">
        <w:t xml:space="preserve">Proportion of patients with Urgency Remission at </w:t>
      </w:r>
      <w:r w:rsidR="003B227A">
        <w:t>W</w:t>
      </w:r>
      <w:r w:rsidRPr="00BE39CF">
        <w:t>eek 40, defined as</w:t>
      </w:r>
    </w:p>
    <w:p w14:paraId="31578C09" w14:textId="5A4B7DF3" w:rsidR="004B165B" w:rsidRPr="00BE39CF" w:rsidRDefault="000F781F" w:rsidP="00174544">
      <w:pPr>
        <w:pStyle w:val="ListBullet2"/>
      </w:pPr>
      <w:r>
        <w:t>u</w:t>
      </w:r>
      <w:r w:rsidR="004B165B" w:rsidRPr="00BE39CF">
        <w:t xml:space="preserve">rgency </w:t>
      </w:r>
      <w:r>
        <w:t>n</w:t>
      </w:r>
      <w:r w:rsidR="00B952A3">
        <w:t xml:space="preserve">umeric </w:t>
      </w:r>
      <w:r>
        <w:t>r</w:t>
      </w:r>
      <w:r w:rsidR="00B952A3">
        <w:t xml:space="preserve">ating </w:t>
      </w:r>
      <w:r>
        <w:t>s</w:t>
      </w:r>
      <w:r w:rsidR="00B952A3">
        <w:t xml:space="preserve">cale </w:t>
      </w:r>
      <w:r w:rsidR="004B165B" w:rsidRPr="00BE39CF">
        <w:t>= 0 or 1</w:t>
      </w:r>
    </w:p>
    <w:p w14:paraId="76C7A687" w14:textId="3714BC9C" w:rsidR="00174544" w:rsidRDefault="004B165B" w:rsidP="00174544">
      <w:pPr>
        <w:pStyle w:val="ListBullet"/>
      </w:pPr>
      <w:r w:rsidRPr="00BE39CF">
        <w:t xml:space="preserve">Proportion of patients who were in clinical remission at </w:t>
      </w:r>
      <w:r w:rsidR="0063793C">
        <w:t>W</w:t>
      </w:r>
      <w:r w:rsidRPr="00BE39CF">
        <w:t xml:space="preserve">eek 40 among patients in clinical remission at </w:t>
      </w:r>
      <w:r w:rsidR="005C4025">
        <w:t>W</w:t>
      </w:r>
      <w:r w:rsidRPr="00BE39CF">
        <w:t xml:space="preserve">eek 12 in </w:t>
      </w:r>
      <w:r w:rsidR="005C4025">
        <w:t>S</w:t>
      </w:r>
      <w:r w:rsidRPr="00BE39CF">
        <w:t>tudy AMAN, with clinical remission is defined as</w:t>
      </w:r>
      <w:r w:rsidR="00174544">
        <w:t>:</w:t>
      </w:r>
    </w:p>
    <w:p w14:paraId="13118B6A" w14:textId="2E455D2D" w:rsidR="00174544" w:rsidRDefault="004B165B" w:rsidP="00174544">
      <w:pPr>
        <w:pStyle w:val="ListBullet2"/>
      </w:pPr>
      <w:r w:rsidRPr="00BE39CF">
        <w:t>stool frequency (SF) sub</w:t>
      </w:r>
      <w:r w:rsidR="005C4025">
        <w:t>-</w:t>
      </w:r>
      <w:r w:rsidRPr="00BE39CF">
        <w:t>score = 0 or 1 with a 1</w:t>
      </w:r>
      <w:r w:rsidR="005C4025">
        <w:t xml:space="preserve"> </w:t>
      </w:r>
      <w:r w:rsidRPr="00BE39CF">
        <w:t>point</w:t>
      </w:r>
      <w:r w:rsidR="005C4025">
        <w:t xml:space="preserve"> or greater</w:t>
      </w:r>
      <w:r w:rsidRPr="00BE39CF">
        <w:t xml:space="preserve"> decrease from </w:t>
      </w:r>
      <w:r w:rsidR="005C4025">
        <w:t>B</w:t>
      </w:r>
      <w:r w:rsidRPr="00BE39CF">
        <w:t>aseline, and</w:t>
      </w:r>
    </w:p>
    <w:p w14:paraId="57034318" w14:textId="26D1659B" w:rsidR="00174544" w:rsidRDefault="004B165B" w:rsidP="00174544">
      <w:pPr>
        <w:pStyle w:val="ListBullet2"/>
      </w:pPr>
      <w:r w:rsidRPr="00BE39CF">
        <w:t>rectal bleeding (RB) sub</w:t>
      </w:r>
      <w:r w:rsidR="005C4025">
        <w:t>-</w:t>
      </w:r>
      <w:r w:rsidRPr="00BE39CF">
        <w:t>score = 0, and</w:t>
      </w:r>
    </w:p>
    <w:p w14:paraId="06A3FB08" w14:textId="1973176F" w:rsidR="004B165B" w:rsidRPr="00BE39CF" w:rsidRDefault="004B165B" w:rsidP="00174544">
      <w:pPr>
        <w:pStyle w:val="ListBullet2"/>
      </w:pPr>
      <w:r w:rsidRPr="00BE39CF">
        <w:t>endoscopic score (ES) = 0 or 1 (excluding friability)</w:t>
      </w:r>
    </w:p>
    <w:p w14:paraId="5BE21980" w14:textId="15429EB3" w:rsidR="004B165B" w:rsidRPr="00BE39CF" w:rsidRDefault="004B165B" w:rsidP="00BE39CF">
      <w:r w:rsidRPr="00BE39CF">
        <w:t xml:space="preserve">A </w:t>
      </w:r>
      <w:r w:rsidRPr="00174544">
        <w:t>large number of other endpoints were also included</w:t>
      </w:r>
      <w:r w:rsidR="00FD486C">
        <w:t>.</w:t>
      </w:r>
    </w:p>
    <w:p w14:paraId="0BF93B2A" w14:textId="650E785D" w:rsidR="004B165B" w:rsidRDefault="004B165B" w:rsidP="004B165B">
      <w:r w:rsidRPr="00EC7CB5">
        <w:t xml:space="preserve">As patients entered this study from </w:t>
      </w:r>
      <w:r w:rsidR="00EC7CB5">
        <w:t xml:space="preserve">Study </w:t>
      </w:r>
      <w:r w:rsidRPr="00EC7CB5">
        <w:t xml:space="preserve">AMAN, inclusion and exclusion criteria from that study are applicable. Patients were required to have received at least </w:t>
      </w:r>
      <w:r w:rsidR="00555AA2">
        <w:t>one</w:t>
      </w:r>
      <w:r w:rsidRPr="00EC7CB5">
        <w:t xml:space="preserve"> dose of study drug in </w:t>
      </w:r>
      <w:r w:rsidR="00555AA2">
        <w:t xml:space="preserve">Study </w:t>
      </w:r>
      <w:r w:rsidRPr="00EC7CB5">
        <w:t xml:space="preserve">AMAN and to have had a </w:t>
      </w:r>
      <w:r w:rsidR="00555AA2">
        <w:t>W</w:t>
      </w:r>
      <w:r w:rsidRPr="00EC7CB5">
        <w:t>eek 12 endoscopy. Further exclusion</w:t>
      </w:r>
      <w:r w:rsidR="00555AA2">
        <w:t>s</w:t>
      </w:r>
      <w:r w:rsidRPr="00EC7CB5">
        <w:t xml:space="preserve"> were applied based on events during </w:t>
      </w:r>
      <w:r w:rsidR="00555AA2">
        <w:t xml:space="preserve">Study </w:t>
      </w:r>
      <w:r w:rsidRPr="00EC7CB5">
        <w:t xml:space="preserve">AMAN, including being diagnosed with Crohn’s or indeterminate colitis, a </w:t>
      </w:r>
      <w:r w:rsidRPr="00EC7CB5">
        <w:lastRenderedPageBreak/>
        <w:t>bowel resection, colonic</w:t>
      </w:r>
      <w:r>
        <w:t xml:space="preserve"> dysplasia or gastrointestinal cancer, an unresected adenomatous polyp, clinically important infection, latent </w:t>
      </w:r>
      <w:r w:rsidR="00950900">
        <w:t>tuberculosis</w:t>
      </w:r>
      <w:r>
        <w:t>, a prohibited medication or pregnancy.</w:t>
      </w:r>
    </w:p>
    <w:p w14:paraId="735F70CE" w14:textId="29AA8DA1" w:rsidR="004B165B" w:rsidRPr="00950900" w:rsidRDefault="004B165B" w:rsidP="00950900">
      <w:r w:rsidRPr="00950900">
        <w:t xml:space="preserve">In terms of concomitant medications, of note was a requirement for patients who were taking oral corticosteroids during the induction study and were responders (or became responders following a further </w:t>
      </w:r>
      <w:r w:rsidR="00781535">
        <w:t>every 4 weeks</w:t>
      </w:r>
      <w:r w:rsidRPr="00950900">
        <w:t xml:space="preserve"> IV dosing, according to the </w:t>
      </w:r>
      <w:r w:rsidR="000F781F">
        <w:t>second</w:t>
      </w:r>
      <w:r w:rsidRPr="00950900">
        <w:t xml:space="preserve"> and </w:t>
      </w:r>
      <w:r w:rsidR="000F781F">
        <w:t>third</w:t>
      </w:r>
      <w:r w:rsidRPr="00950900">
        <w:t xml:space="preserve"> cohorts described above) to undertake a taper. Instructions for tapering are found in the protocol and it was to be completed by </w:t>
      </w:r>
      <w:r w:rsidR="00CB57BC">
        <w:t>W</w:t>
      </w:r>
      <w:r w:rsidRPr="00950900">
        <w:t xml:space="preserve">eek 12 in </w:t>
      </w:r>
      <w:r w:rsidR="00CB57BC">
        <w:t xml:space="preserve">Study </w:t>
      </w:r>
      <w:r w:rsidRPr="00950900">
        <w:t>AMBG.</w:t>
      </w:r>
    </w:p>
    <w:p w14:paraId="2F7771AB" w14:textId="54C02E68" w:rsidR="004B165B" w:rsidRPr="00A3740F" w:rsidRDefault="004B165B" w:rsidP="00A3740F">
      <w:r w:rsidRPr="00A3740F">
        <w:t xml:space="preserve">Similar to </w:t>
      </w:r>
      <w:r w:rsidR="00A3740F">
        <w:t xml:space="preserve">Study </w:t>
      </w:r>
      <w:r w:rsidRPr="00A3740F">
        <w:t xml:space="preserve">AMAN, there were transcription errors using the </w:t>
      </w:r>
      <w:proofErr w:type="spellStart"/>
      <w:r w:rsidRPr="00A3740F">
        <w:t>eCOA</w:t>
      </w:r>
      <w:proofErr w:type="spellEnd"/>
      <w:r w:rsidRPr="00A3740F">
        <w:t xml:space="preserve"> device for patients in Turkey and Poland, who were excluded from the primary efficacy population (</w:t>
      </w:r>
      <w:r w:rsidR="00C27955">
        <w:t>that is,</w:t>
      </w:r>
      <w:r w:rsidRPr="00A3740F">
        <w:t xml:space="preserve"> the </w:t>
      </w:r>
      <w:proofErr w:type="spellStart"/>
      <w:r w:rsidRPr="00A3740F">
        <w:t>mITT</w:t>
      </w:r>
      <w:proofErr w:type="spellEnd"/>
      <w:r w:rsidRPr="00A3740F">
        <w:t xml:space="preserve"> population). As with the induction study, they were included in the safety population and also included in sensitivity analyses (using the ITT population).</w:t>
      </w:r>
    </w:p>
    <w:p w14:paraId="14507714" w14:textId="392D56B7" w:rsidR="004B165B" w:rsidRPr="00C27955" w:rsidRDefault="004B165B" w:rsidP="00C27955">
      <w:r w:rsidRPr="00C27955">
        <w:t xml:space="preserve">In terms of sample size 1044 patients were expected to enter </w:t>
      </w:r>
      <w:r w:rsidR="00C27955">
        <w:t xml:space="preserve">Study </w:t>
      </w:r>
      <w:r w:rsidRPr="00C27955">
        <w:t>AMBG, with 459 as clinical responders to mirikizumab. Of these 459, 306 would then be randomised to 200</w:t>
      </w:r>
      <w:r w:rsidR="00C27955">
        <w:t> </w:t>
      </w:r>
      <w:r w:rsidRPr="00C27955">
        <w:t xml:space="preserve">mg SC </w:t>
      </w:r>
      <w:r w:rsidR="00C27955">
        <w:t>every 4</w:t>
      </w:r>
      <w:r w:rsidR="000F781F">
        <w:t> </w:t>
      </w:r>
      <w:r w:rsidR="00C27955">
        <w:t>weeks</w:t>
      </w:r>
      <w:r w:rsidRPr="00C27955">
        <w:t xml:space="preserve"> and 153 to placebo. Within this group of responders (n</w:t>
      </w:r>
      <w:r w:rsidR="00C27955">
        <w:t> </w:t>
      </w:r>
      <w:r w:rsidRPr="00C27955">
        <w:t>=</w:t>
      </w:r>
      <w:r w:rsidR="00C27955">
        <w:t> </w:t>
      </w:r>
      <w:r w:rsidRPr="00C27955">
        <w:t xml:space="preserve">169), 113 being randomised to mirikizumab maintenance would be classified as in remission, and 56 randomised to placebo would be classified as in remission. The study would detect a difference between mirikizumab and placebo in the primary efficacy outcome (assuming a difference of 35% between the groups) in this group of 169 remitters with power </w:t>
      </w:r>
      <w:r w:rsidR="005D3426">
        <w:t>greater than</w:t>
      </w:r>
      <w:r w:rsidRPr="00C27955">
        <w:t xml:space="preserve"> 90% and 2-sided 0.05 significance level. Categorical endpoints were assessed with the Cochran-Mantel-Haenszel chi-squared test and continuous variables using the mixed-effects model of repeated measures. For the secondary endpoints, multiplicity was controlled using a prespecified scheme at overall type 1 error rate of 0.05 (</w:t>
      </w:r>
      <w:r w:rsidRPr="00C27955">
        <w:fldChar w:fldCharType="begin"/>
      </w:r>
      <w:r w:rsidRPr="00C27955">
        <w:instrText xml:space="preserve"> REF _Ref129169149 \h </w:instrText>
      </w:r>
      <w:r w:rsidR="00C27955">
        <w:instrText xml:space="preserve"> \* MERGEFORMAT </w:instrText>
      </w:r>
      <w:r w:rsidRPr="00C27955">
        <w:fldChar w:fldCharType="separate"/>
      </w:r>
      <w:r w:rsidR="00D777FF">
        <w:t>Figure 9</w:t>
      </w:r>
      <w:r w:rsidRPr="00C27955">
        <w:fldChar w:fldCharType="end"/>
      </w:r>
      <w:r w:rsidRPr="00C27955">
        <w:t>).</w:t>
      </w:r>
    </w:p>
    <w:p w14:paraId="6DF4F874" w14:textId="03276651" w:rsidR="004B165B" w:rsidRDefault="004B165B" w:rsidP="005D3426">
      <w:pPr>
        <w:pStyle w:val="FigureTitle"/>
      </w:pPr>
      <w:bookmarkStart w:id="66" w:name="_Ref129169149"/>
      <w:r>
        <w:t xml:space="preserve">Figure </w:t>
      </w:r>
      <w:fldSimple w:instr=" SEQ Figure \* ARABIC ">
        <w:r w:rsidR="00D777FF">
          <w:rPr>
            <w:noProof/>
          </w:rPr>
          <w:t>9</w:t>
        </w:r>
      </w:fldSimple>
      <w:bookmarkEnd w:id="66"/>
      <w:r w:rsidR="005D3426">
        <w:rPr>
          <w:noProof/>
        </w:rPr>
        <w:t xml:space="preserve">: </w:t>
      </w:r>
      <w:r w:rsidR="005D3426">
        <w:t xml:space="preserve">Study </w:t>
      </w:r>
      <w:r w:rsidR="005D3426" w:rsidRPr="002445D1">
        <w:rPr>
          <w:bCs/>
        </w:rPr>
        <w:t>AMBG</w:t>
      </w:r>
      <w:r w:rsidR="005D3426">
        <w:t xml:space="preserve"> m</w:t>
      </w:r>
      <w:r>
        <w:t>ultiplicity control</w:t>
      </w:r>
      <w:r w:rsidR="0099632D">
        <w:fldChar w:fldCharType="begin"/>
      </w:r>
      <w:r w:rsidR="0099632D">
        <w:instrText xml:space="preserve"> DOCVARIABLE vault_nd_a0396478-ac03-444c-9667-7a726abdd6ba \* MERGEFORMAT </w:instrText>
      </w:r>
      <w:r w:rsidR="0099632D">
        <w:fldChar w:fldCharType="separate"/>
      </w:r>
      <w:r w:rsidR="005605B4">
        <w:t xml:space="preserve"> </w:t>
      </w:r>
      <w:r w:rsidR="0099632D">
        <w:fldChar w:fldCharType="end"/>
      </w:r>
    </w:p>
    <w:p w14:paraId="69EC7133" w14:textId="77777777" w:rsidR="004B165B" w:rsidRDefault="004B165B" w:rsidP="004B165B">
      <w:r>
        <w:rPr>
          <w:noProof/>
        </w:rPr>
        <w:drawing>
          <wp:inline distT="0" distB="0" distL="0" distR="0" wp14:anchorId="2DD4A13D" wp14:editId="78D7AE3C">
            <wp:extent cx="5658928" cy="3968021"/>
            <wp:effectExtent l="0" t="0" r="0" b="0"/>
            <wp:docPr id="7" name="Picture 7" descr="Study AMBG multiplicity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AMBG multiplicity control"/>
                    <pic:cNvPicPr/>
                  </pic:nvPicPr>
                  <pic:blipFill>
                    <a:blip r:embed="rId36"/>
                    <a:stretch>
                      <a:fillRect/>
                    </a:stretch>
                  </pic:blipFill>
                  <pic:spPr>
                    <a:xfrm>
                      <a:off x="0" y="0"/>
                      <a:ext cx="5662144" cy="3970276"/>
                    </a:xfrm>
                    <a:prstGeom prst="rect">
                      <a:avLst/>
                    </a:prstGeom>
                  </pic:spPr>
                </pic:pic>
              </a:graphicData>
            </a:graphic>
          </wp:inline>
        </w:drawing>
      </w:r>
    </w:p>
    <w:p w14:paraId="2EBFA37F" w14:textId="427328D5" w:rsidR="004B165B" w:rsidRPr="005D3426" w:rsidRDefault="004B165B" w:rsidP="006278D0">
      <w:r w:rsidRPr="005D3426">
        <w:t xml:space="preserve">In total 1177 patients comprised the ITT population and 1073 comprised the </w:t>
      </w:r>
      <w:proofErr w:type="spellStart"/>
      <w:r w:rsidRPr="005D3426">
        <w:t>mITT</w:t>
      </w:r>
      <w:proofErr w:type="spellEnd"/>
      <w:r w:rsidRPr="005D3426">
        <w:t xml:space="preserve"> population (</w:t>
      </w:r>
      <w:r w:rsidR="00031B9D">
        <w:t>that is,</w:t>
      </w:r>
      <w:r w:rsidRPr="005D3426">
        <w:t xml:space="preserve"> 104 patients excluded due to </w:t>
      </w:r>
      <w:proofErr w:type="spellStart"/>
      <w:r w:rsidRPr="005D3426">
        <w:t>eCOA</w:t>
      </w:r>
      <w:proofErr w:type="spellEnd"/>
      <w:r w:rsidRPr="005D3426">
        <w:t xml:space="preserve"> transcription error). For the primary efficacy analysis (</w:t>
      </w:r>
      <w:r w:rsidR="00031B9D">
        <w:t xml:space="preserve">that is, </w:t>
      </w:r>
      <w:r w:rsidRPr="005D3426">
        <w:t xml:space="preserve">the first cohort described above), 544 mirikizumab induction responders were </w:t>
      </w:r>
      <w:r w:rsidRPr="005D3426">
        <w:lastRenderedPageBreak/>
        <w:t>randomised to maintenance placebo (n</w:t>
      </w:r>
      <w:r w:rsidR="00031B9D">
        <w:t> </w:t>
      </w:r>
      <w:r w:rsidRPr="005D3426">
        <w:t>=</w:t>
      </w:r>
      <w:r w:rsidR="00031B9D">
        <w:t> </w:t>
      </w:r>
      <w:r w:rsidRPr="005D3426">
        <w:t>179) or mirikizumab (n</w:t>
      </w:r>
      <w:r w:rsidR="00031B9D">
        <w:t> </w:t>
      </w:r>
      <w:r w:rsidRPr="005D3426">
        <w:t>=</w:t>
      </w:r>
      <w:r w:rsidR="00031B9D">
        <w:t> </w:t>
      </w:r>
      <w:r w:rsidRPr="005D3426">
        <w:t>365). Of the placebo group 60.9% completed treatment, 16.8% discontinued treatment and 22.3% entered the loss of response rescue period. Of the mirikizumab group, 88.8% completed treatment, 6% discontinued treatment and 5.2% entered the loss of response period.</w:t>
      </w:r>
    </w:p>
    <w:p w14:paraId="08EFFD2E" w14:textId="43933B40" w:rsidR="004B165B" w:rsidRPr="005D3426" w:rsidRDefault="004B165B" w:rsidP="005D3426">
      <w:r w:rsidRPr="005D3426">
        <w:t xml:space="preserve">Baseline demographics were generally well balanced across the new treatment groups in </w:t>
      </w:r>
      <w:r w:rsidR="00FB5C26">
        <w:t>S</w:t>
      </w:r>
      <w:r w:rsidRPr="005D3426">
        <w:t>tudy</w:t>
      </w:r>
      <w:r w:rsidR="000F781F">
        <w:t> </w:t>
      </w:r>
      <w:r w:rsidRPr="005D3426">
        <w:t xml:space="preserve">AMBG. Concomitant medication use included oral </w:t>
      </w:r>
      <w:proofErr w:type="spellStart"/>
      <w:r w:rsidR="000F781F" w:rsidRPr="000F781F">
        <w:t>aminosalicylates</w:t>
      </w:r>
      <w:proofErr w:type="spellEnd"/>
      <w:r w:rsidRPr="005D3426">
        <w:t xml:space="preserve"> (75.4% overall), systemic corticosteroids (39.1% overall) and immunomodulators (23% overall).</w:t>
      </w:r>
    </w:p>
    <w:p w14:paraId="79D09078" w14:textId="7FA67B0B" w:rsidR="004B165B" w:rsidRDefault="004B165B" w:rsidP="005D3426">
      <w:r w:rsidRPr="005D3426">
        <w:t xml:space="preserve">For the primary efficacy outcome, 25.1% of the placebo arm and 49.9% of the mirikizumab arm, were in clinical remission at </w:t>
      </w:r>
      <w:r w:rsidR="00FB5C26">
        <w:t>W</w:t>
      </w:r>
      <w:r w:rsidRPr="005D3426">
        <w:t>eek 40. The risk difference was 23.2% (CI 15.2</w:t>
      </w:r>
      <w:r w:rsidR="00FB5C26">
        <w:t xml:space="preserve"> to </w:t>
      </w:r>
      <w:r w:rsidRPr="005D3426">
        <w:t>31.2;</w:t>
      </w:r>
      <w:r w:rsidR="00FB5C26">
        <w:t xml:space="preserve"> </w:t>
      </w:r>
      <w:r w:rsidRPr="005D3426">
        <w:t>p</w:t>
      </w:r>
      <w:r w:rsidR="00FB5C26">
        <w:t> </w:t>
      </w:r>
      <w:r w:rsidRPr="005D3426">
        <w:t xml:space="preserve">&lt;0.001). </w:t>
      </w:r>
      <w:proofErr w:type="gramStart"/>
      <w:r w:rsidRPr="005D3426">
        <w:t>All of</w:t>
      </w:r>
      <w:proofErr w:type="gramEnd"/>
      <w:r w:rsidRPr="005D3426">
        <w:t xml:space="preserve"> the secondary endpoints showed statistically significant differences (</w:t>
      </w:r>
      <w:r w:rsidR="000A4C6C">
        <w:fldChar w:fldCharType="begin"/>
      </w:r>
      <w:r w:rsidR="000A4C6C">
        <w:instrText xml:space="preserve"> REF _Ref160521511 \h </w:instrText>
      </w:r>
      <w:r w:rsidR="000A4C6C">
        <w:fldChar w:fldCharType="separate"/>
      </w:r>
      <w:r w:rsidR="00D777FF">
        <w:t xml:space="preserve">Table </w:t>
      </w:r>
      <w:r w:rsidR="00D777FF">
        <w:rPr>
          <w:noProof/>
        </w:rPr>
        <w:t>7</w:t>
      </w:r>
      <w:r w:rsidR="000A4C6C">
        <w:fldChar w:fldCharType="end"/>
      </w:r>
      <w:r w:rsidRPr="005D3426">
        <w:t xml:space="preserve">). Of note and favouring mirikizumab, there was a 21.3% difference in corticosteroid-free remission without surgery, a 19.9% difference in </w:t>
      </w:r>
      <w:proofErr w:type="spellStart"/>
      <w:r w:rsidRPr="005D3426">
        <w:t>histo</w:t>
      </w:r>
      <w:proofErr w:type="spellEnd"/>
      <w:r w:rsidRPr="005D3426">
        <w:t>-endoscopic mucosal remission and an 18.1% difference in bowel urgency remission.</w:t>
      </w:r>
    </w:p>
    <w:p w14:paraId="07F7FC02" w14:textId="479BC729" w:rsidR="000A4C6C" w:rsidRPr="005D3426" w:rsidRDefault="000A4C6C" w:rsidP="006278D0">
      <w:pPr>
        <w:pStyle w:val="TableTitle"/>
      </w:pPr>
      <w:bookmarkStart w:id="67" w:name="_Ref160521511"/>
      <w:r>
        <w:t xml:space="preserve">Table </w:t>
      </w:r>
      <w:fldSimple w:instr=" SEQ Table \* ARABIC ">
        <w:r w:rsidR="00D777FF">
          <w:rPr>
            <w:noProof/>
          </w:rPr>
          <w:t>7</w:t>
        </w:r>
      </w:fldSimple>
      <w:bookmarkEnd w:id="67"/>
      <w:r>
        <w:t xml:space="preserve">: </w:t>
      </w:r>
      <w:r w:rsidRPr="000A4C6C">
        <w:t xml:space="preserve">Study AMBG </w:t>
      </w:r>
      <w:r w:rsidR="000F781F">
        <w:t>p</w:t>
      </w:r>
      <w:r w:rsidRPr="000A4C6C">
        <w:t>rimary and major secondary endpoints at Week 40</w:t>
      </w:r>
      <w:r w:rsidR="0099632D">
        <w:fldChar w:fldCharType="begin"/>
      </w:r>
      <w:r w:rsidR="0099632D">
        <w:instrText xml:space="preserve"> DOCVARIABLE vault_nd_15764d32-89ef-4278-91d7-7a11919cb685 \* MERGEFORMAT </w:instrText>
      </w:r>
      <w:r w:rsidR="0099632D">
        <w:fldChar w:fldCharType="separate"/>
      </w:r>
      <w:r w:rsidR="005605B4">
        <w:t xml:space="preserve"> </w:t>
      </w:r>
      <w:r w:rsidR="0099632D">
        <w:fldChar w:fldCharType="end"/>
      </w:r>
    </w:p>
    <w:p w14:paraId="1CD6CD69" w14:textId="77777777" w:rsidR="004B165B" w:rsidRDefault="004B165B" w:rsidP="006278D0">
      <w:r>
        <w:rPr>
          <w:noProof/>
        </w:rPr>
        <w:drawing>
          <wp:inline distT="0" distB="0" distL="0" distR="0" wp14:anchorId="472F52FB" wp14:editId="397385E5">
            <wp:extent cx="5184476" cy="5688998"/>
            <wp:effectExtent l="0" t="0" r="0" b="6985"/>
            <wp:docPr id="20" name="Picture 20" descr="Study AMBG primary and major secondary endpoints at We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AMBG primary and major secondary endpoints at Week 40"/>
                    <pic:cNvPicPr/>
                  </pic:nvPicPr>
                  <pic:blipFill rotWithShape="1">
                    <a:blip r:embed="rId37"/>
                    <a:srcRect l="2659"/>
                    <a:stretch/>
                  </pic:blipFill>
                  <pic:spPr bwMode="auto">
                    <a:xfrm>
                      <a:off x="0" y="0"/>
                      <a:ext cx="5193602" cy="5699012"/>
                    </a:xfrm>
                    <a:prstGeom prst="rect">
                      <a:avLst/>
                    </a:prstGeom>
                    <a:ln>
                      <a:noFill/>
                    </a:ln>
                    <a:extLst>
                      <a:ext uri="{53640926-AAD7-44D8-BBD7-CCE9431645EC}">
                        <a14:shadowObscured xmlns:a14="http://schemas.microsoft.com/office/drawing/2010/main"/>
                      </a:ext>
                    </a:extLst>
                  </pic:spPr>
                </pic:pic>
              </a:graphicData>
            </a:graphic>
          </wp:inline>
        </w:drawing>
      </w:r>
    </w:p>
    <w:p w14:paraId="7792EAA4" w14:textId="3A7CAC28" w:rsidR="004B165B" w:rsidRPr="000A4C6C" w:rsidRDefault="004B165B" w:rsidP="000A4C6C">
      <w:r w:rsidRPr="000A4C6C">
        <w:t>Note the similar efficacy in terms of the primary outcome, regardless of the patient’s prior experience with biologics or JAK inhibitors (</w:t>
      </w:r>
      <w:r w:rsidRPr="000A4C6C">
        <w:fldChar w:fldCharType="begin"/>
      </w:r>
      <w:r w:rsidRPr="000A4C6C">
        <w:instrText xml:space="preserve"> REF _Ref129175455 \h </w:instrText>
      </w:r>
      <w:r w:rsidR="000A4C6C">
        <w:instrText xml:space="preserve"> \* MERGEFORMAT </w:instrText>
      </w:r>
      <w:r w:rsidRPr="000A4C6C">
        <w:fldChar w:fldCharType="separate"/>
      </w:r>
      <w:r w:rsidR="00D777FF">
        <w:t>Table 8</w:t>
      </w:r>
      <w:r w:rsidRPr="000A4C6C">
        <w:fldChar w:fldCharType="end"/>
      </w:r>
      <w:r w:rsidRPr="000A4C6C">
        <w:t>). Also note the similar risk difference for patients entering the study, regardless of whether they were a responder or a remitter.</w:t>
      </w:r>
    </w:p>
    <w:p w14:paraId="78F8BFD5" w14:textId="5C0CE6D3" w:rsidR="004B165B" w:rsidRDefault="004B165B" w:rsidP="00686986">
      <w:pPr>
        <w:pStyle w:val="TableTitle"/>
      </w:pPr>
      <w:bookmarkStart w:id="68" w:name="_Ref129175455"/>
      <w:r>
        <w:lastRenderedPageBreak/>
        <w:t xml:space="preserve">Table </w:t>
      </w:r>
      <w:fldSimple w:instr=" SEQ Table \* ARABIC ">
        <w:r w:rsidR="00D777FF">
          <w:rPr>
            <w:noProof/>
          </w:rPr>
          <w:t>8</w:t>
        </w:r>
      </w:fldSimple>
      <w:bookmarkEnd w:id="68"/>
      <w:r w:rsidR="00686986">
        <w:rPr>
          <w:noProof/>
        </w:rPr>
        <w:t>:</w:t>
      </w:r>
      <w:r>
        <w:t xml:space="preserve"> Primary efficacy outcome based on prior treatment experience</w:t>
      </w:r>
      <w:r w:rsidR="0099632D">
        <w:fldChar w:fldCharType="begin"/>
      </w:r>
      <w:r w:rsidR="0099632D">
        <w:instrText xml:space="preserve"> DOCVARIABLE vault_nd_9d7ca7b2-5030-4f08-b1a6-5457f145e095 \* MERGEFORMAT </w:instrText>
      </w:r>
      <w:r w:rsidR="0099632D">
        <w:fldChar w:fldCharType="separate"/>
      </w:r>
      <w:r w:rsidR="005605B4">
        <w:t xml:space="preserve"> </w:t>
      </w:r>
      <w:r w:rsidR="0099632D">
        <w:fldChar w:fldCharType="end"/>
      </w:r>
    </w:p>
    <w:p w14:paraId="036C904B" w14:textId="489E92A7" w:rsidR="00F550C9" w:rsidRDefault="00F550C9" w:rsidP="006278D0">
      <w:r>
        <w:rPr>
          <w:noProof/>
        </w:rPr>
        <w:drawing>
          <wp:inline distT="0" distB="0" distL="0" distR="0" wp14:anchorId="066CE078" wp14:editId="60CE7C34">
            <wp:extent cx="5759450" cy="746760"/>
            <wp:effectExtent l="0" t="0" r="0" b="0"/>
            <wp:docPr id="3" name="Picture 3" descr="Primary efficacy outcome based on prior treatment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imary efficacy outcome based on prior treatment experience"/>
                    <pic:cNvPicPr/>
                  </pic:nvPicPr>
                  <pic:blipFill>
                    <a:blip r:embed="rId38"/>
                    <a:stretch>
                      <a:fillRect/>
                    </a:stretch>
                  </pic:blipFill>
                  <pic:spPr>
                    <a:xfrm>
                      <a:off x="0" y="0"/>
                      <a:ext cx="5759450" cy="746760"/>
                    </a:xfrm>
                    <a:prstGeom prst="rect">
                      <a:avLst/>
                    </a:prstGeom>
                  </pic:spPr>
                </pic:pic>
              </a:graphicData>
            </a:graphic>
          </wp:inline>
        </w:drawing>
      </w:r>
    </w:p>
    <w:p w14:paraId="145972F5" w14:textId="497EA3CF" w:rsidR="004B165B" w:rsidRPr="00F14093" w:rsidRDefault="00593B1F" w:rsidP="00593B1F">
      <w:pPr>
        <w:pStyle w:val="Heading5"/>
      </w:pPr>
      <w:r>
        <w:t>P</w:t>
      </w:r>
      <w:r w:rsidR="004B165B" w:rsidRPr="00F14093">
        <w:t>lacebo non-responders in induction study</w:t>
      </w:r>
      <w:r w:rsidR="0099632D">
        <w:fldChar w:fldCharType="begin"/>
      </w:r>
      <w:r w:rsidR="0099632D">
        <w:instrText xml:space="preserve"> DOCVARIABLE vault_nd_6d</w:instrText>
      </w:r>
      <w:r w:rsidR="0099632D">
        <w:instrText xml:space="preserve">d9db39-1d1b-4e0f-a086-451f6ecb875f \* MERGEFORMAT </w:instrText>
      </w:r>
      <w:r w:rsidR="0099632D">
        <w:fldChar w:fldCharType="separate"/>
      </w:r>
      <w:r w:rsidR="005605B4">
        <w:t xml:space="preserve"> </w:t>
      </w:r>
      <w:r w:rsidR="0099632D">
        <w:fldChar w:fldCharType="end"/>
      </w:r>
    </w:p>
    <w:p w14:paraId="469BEB2F" w14:textId="70396827" w:rsidR="004B165B" w:rsidRPr="0099547D" w:rsidRDefault="004B165B" w:rsidP="0099547D">
      <w:r w:rsidRPr="0099547D">
        <w:t xml:space="preserve">Of 133 placebo induction non-responders 20.3% achieved clinical remission at </w:t>
      </w:r>
      <w:r w:rsidR="0099547D">
        <w:t>W</w:t>
      </w:r>
      <w:r w:rsidRPr="0099547D">
        <w:t>eek 12 following open label mirikizumab 300</w:t>
      </w:r>
      <w:r w:rsidR="0099547D">
        <w:t> </w:t>
      </w:r>
      <w:r w:rsidRPr="0099547D">
        <w:t xml:space="preserve">mg IV </w:t>
      </w:r>
      <w:r w:rsidR="0099547D">
        <w:t xml:space="preserve">every 4 weeks </w:t>
      </w:r>
      <w:r w:rsidRPr="0099547D">
        <w:t>(</w:t>
      </w:r>
      <w:r w:rsidR="0099547D">
        <w:t>that is,</w:t>
      </w:r>
      <w:r w:rsidRPr="0099547D">
        <w:t xml:space="preserve"> similar as primary efficacy outcome in </w:t>
      </w:r>
      <w:r w:rsidR="00D47895">
        <w:t>S</w:t>
      </w:r>
      <w:r w:rsidRPr="0099547D">
        <w:t xml:space="preserve">tudy AMAN). Patients who were at least responders at </w:t>
      </w:r>
      <w:r w:rsidR="00D47895">
        <w:t>W</w:t>
      </w:r>
      <w:r w:rsidRPr="0099547D">
        <w:t xml:space="preserve">eek 12 could continue in an open label maintenance study. Of 86 in this maintenance study 39.5% achieved clinical remission at </w:t>
      </w:r>
      <w:r w:rsidR="00D47895">
        <w:t>W</w:t>
      </w:r>
      <w:r w:rsidRPr="0099547D">
        <w:t>eek 40.</w:t>
      </w:r>
    </w:p>
    <w:p w14:paraId="669A3D2B" w14:textId="05F38C8A" w:rsidR="004B165B" w:rsidRPr="00F14093" w:rsidRDefault="00593B1F" w:rsidP="00593B1F">
      <w:pPr>
        <w:pStyle w:val="Heading5"/>
      </w:pPr>
      <w:r>
        <w:t>M</w:t>
      </w:r>
      <w:r w:rsidR="004B165B" w:rsidRPr="00F14093">
        <w:t>irikizumab non-responders in induction study</w:t>
      </w:r>
      <w:r w:rsidR="0099632D">
        <w:fldChar w:fldCharType="begin"/>
      </w:r>
      <w:r w:rsidR="0099632D">
        <w:instrText xml:space="preserve"> DOCVARIABLE vault_nd_1370e79e-a4f2-4c71-aca4-4aefa6935f28 \* MERGEFORMAT </w:instrText>
      </w:r>
      <w:r w:rsidR="0099632D">
        <w:fldChar w:fldCharType="separate"/>
      </w:r>
      <w:r w:rsidR="005605B4">
        <w:t xml:space="preserve"> </w:t>
      </w:r>
      <w:r w:rsidR="0099632D">
        <w:fldChar w:fldCharType="end"/>
      </w:r>
    </w:p>
    <w:p w14:paraId="46298552" w14:textId="07079CB7" w:rsidR="004B165B" w:rsidRPr="00D47895" w:rsidRDefault="004B165B" w:rsidP="00D47895">
      <w:r w:rsidRPr="00D47895">
        <w:t xml:space="preserve">Of 272 mirikizumab induction non-responders, 11.4% achieved clinical remission at </w:t>
      </w:r>
      <w:r w:rsidR="00D47895">
        <w:t>W</w:t>
      </w:r>
      <w:r w:rsidRPr="00D47895">
        <w:t>eek 12 after open</w:t>
      </w:r>
      <w:r w:rsidR="00D47895">
        <w:t xml:space="preserve"> </w:t>
      </w:r>
      <w:r w:rsidRPr="00D47895">
        <w:t>label mirikizumab 300</w:t>
      </w:r>
      <w:r w:rsidR="00D47895">
        <w:t> </w:t>
      </w:r>
      <w:r w:rsidRPr="00D47895">
        <w:t xml:space="preserve">mg IV </w:t>
      </w:r>
      <w:r w:rsidR="00D47895">
        <w:t>every 4 weeks</w:t>
      </w:r>
      <w:r w:rsidRPr="00D47895">
        <w:t xml:space="preserve"> (</w:t>
      </w:r>
      <w:r w:rsidR="00D47895">
        <w:t>that is,</w:t>
      </w:r>
      <w:r w:rsidRPr="00D47895">
        <w:t xml:space="preserve"> </w:t>
      </w:r>
      <w:r w:rsidR="000F781F">
        <w:t>six</w:t>
      </w:r>
      <w:r w:rsidRPr="00D47895">
        <w:t xml:space="preserve"> 300</w:t>
      </w:r>
      <w:r w:rsidR="00D47895">
        <w:t> </w:t>
      </w:r>
      <w:r w:rsidRPr="00D47895">
        <w:t xml:space="preserve">mg </w:t>
      </w:r>
      <w:r w:rsidR="00D47895">
        <w:t xml:space="preserve">every 4 weeks </w:t>
      </w:r>
      <w:r w:rsidRPr="00D47895">
        <w:t xml:space="preserve">doses). Of those achieving at least clinical response at </w:t>
      </w:r>
      <w:r w:rsidR="00D47895">
        <w:t>W</w:t>
      </w:r>
      <w:r w:rsidRPr="00D47895">
        <w:t xml:space="preserve">eek 12, 36.1% had achieved clinical remission at </w:t>
      </w:r>
      <w:r w:rsidR="00D47895">
        <w:t>W</w:t>
      </w:r>
      <w:r w:rsidRPr="00D47895">
        <w:t>eek 40.</w:t>
      </w:r>
    </w:p>
    <w:p w14:paraId="41EC6771" w14:textId="0901F545" w:rsidR="004B165B" w:rsidRPr="005749E9" w:rsidRDefault="0099547D" w:rsidP="0099547D">
      <w:pPr>
        <w:pStyle w:val="Heading5"/>
      </w:pPr>
      <w:r>
        <w:t>R</w:t>
      </w:r>
      <w:r w:rsidR="004B165B" w:rsidRPr="005749E9">
        <w:t>escue therapy for loss of response</w:t>
      </w:r>
      <w:r w:rsidR="0099632D">
        <w:fldChar w:fldCharType="begin"/>
      </w:r>
      <w:r w:rsidR="0099632D">
        <w:instrText xml:space="preserve"> DOCVARIABLE vault_nd_5930c973-dc84-4fb9-ba8e-ac60c9f171a1 \* MERGEFORMAT </w:instrText>
      </w:r>
      <w:r w:rsidR="0099632D">
        <w:fldChar w:fldCharType="separate"/>
      </w:r>
      <w:r w:rsidR="005605B4">
        <w:t xml:space="preserve"> </w:t>
      </w:r>
      <w:r w:rsidR="0099632D">
        <w:fldChar w:fldCharType="end"/>
      </w:r>
    </w:p>
    <w:p w14:paraId="25492CEC" w14:textId="2240A3BD" w:rsidR="004B165B" w:rsidRDefault="004B165B" w:rsidP="004B165B">
      <w:r>
        <w:t xml:space="preserve">In the </w:t>
      </w:r>
      <w:proofErr w:type="gramStart"/>
      <w:r>
        <w:t>placebo</w:t>
      </w:r>
      <w:r w:rsidR="00D47895">
        <w:t xml:space="preserve"> </w:t>
      </w:r>
      <w:r>
        <w:t>controlled</w:t>
      </w:r>
      <w:proofErr w:type="gramEnd"/>
      <w:r>
        <w:t xml:space="preserve"> maintenance study, amongst those that experienced loss of response (40 in placebo arm and 19 in the mirikizumab arm), re-induction with</w:t>
      </w:r>
      <w:r w:rsidR="00D47895">
        <w:t xml:space="preserve"> three</w:t>
      </w:r>
      <w:r>
        <w:t xml:space="preserve"> mirikizumab 300</w:t>
      </w:r>
      <w:r w:rsidR="00D47895">
        <w:t> </w:t>
      </w:r>
      <w:r>
        <w:t xml:space="preserve">mg IV </w:t>
      </w:r>
      <w:r w:rsidR="00D47895">
        <w:t xml:space="preserve">every 4 weeks doses </w:t>
      </w:r>
      <w:r>
        <w:t>led to symptomatic response (77.5% in placebo loss of response group and 63.2% in mirikizumab loss of response group) or remission (60% in placebo loss of response group and 36.8% in mirikizumab loss of response group</w:t>
      </w:r>
      <w:r w:rsidR="00FA2EC6">
        <w:t>)</w:t>
      </w:r>
      <w:r>
        <w:t>.</w:t>
      </w:r>
    </w:p>
    <w:p w14:paraId="034D2F88" w14:textId="77777777" w:rsidR="004B165B" w:rsidRPr="00BF3638" w:rsidRDefault="004B165B" w:rsidP="00BF3638">
      <w:r w:rsidRPr="00BF3638">
        <w:t xml:space="preserve">Sensitivity analyses, including the potential influence of excluding the patients in Turkey and Poland affected by </w:t>
      </w:r>
      <w:proofErr w:type="spellStart"/>
      <w:r w:rsidRPr="00BF3638">
        <w:t>eCOA</w:t>
      </w:r>
      <w:proofErr w:type="spellEnd"/>
      <w:r w:rsidRPr="00BF3638">
        <w:t xml:space="preserve"> errors, were consistent with the primary </w:t>
      </w:r>
      <w:proofErr w:type="spellStart"/>
      <w:r w:rsidRPr="00BF3638">
        <w:t>mITT</w:t>
      </w:r>
      <w:proofErr w:type="spellEnd"/>
      <w:r w:rsidRPr="00BF3638">
        <w:t xml:space="preserve"> analysis.</w:t>
      </w:r>
    </w:p>
    <w:p w14:paraId="4325270F" w14:textId="61E75623" w:rsidR="004B165B" w:rsidRPr="00BF3638" w:rsidRDefault="004B165B" w:rsidP="00BF3638">
      <w:r w:rsidRPr="00BF3638">
        <w:t xml:space="preserve">Supportive efficacy </w:t>
      </w:r>
      <w:r w:rsidR="00BF3638">
        <w:t>S</w:t>
      </w:r>
      <w:r w:rsidRPr="00BF3638">
        <w:t>tudy AMAC has been described above in the Pharmacodynamics section.</w:t>
      </w:r>
    </w:p>
    <w:p w14:paraId="03583C34" w14:textId="3AFD122F" w:rsidR="004B165B" w:rsidRDefault="004B165B" w:rsidP="004B165B">
      <w:pPr>
        <w:pStyle w:val="Heading4"/>
      </w:pPr>
      <w:bookmarkStart w:id="69" w:name="_Toc160629029"/>
      <w:r w:rsidRPr="00AA53F4">
        <w:t>Safety</w:t>
      </w:r>
      <w:bookmarkEnd w:id="69"/>
      <w:r w:rsidR="005605B4">
        <w:fldChar w:fldCharType="begin"/>
      </w:r>
      <w:r w:rsidR="005605B4">
        <w:instrText xml:space="preserve"> DOCVARIABLE vault_nd_a5851ffa-4418-4ea4-9436-d63c34c42aff \* MERGEFORMAT </w:instrText>
      </w:r>
      <w:r w:rsidR="005605B4">
        <w:fldChar w:fldCharType="separate"/>
      </w:r>
      <w:r w:rsidR="005605B4">
        <w:t xml:space="preserve"> </w:t>
      </w:r>
      <w:r w:rsidR="005605B4">
        <w:fldChar w:fldCharType="end"/>
      </w:r>
    </w:p>
    <w:p w14:paraId="6B0A4186" w14:textId="7CC23EBC" w:rsidR="004B165B" w:rsidRPr="00F41E81" w:rsidRDefault="004B165B" w:rsidP="00F41E81">
      <w:r w:rsidRPr="00F41E81">
        <w:t xml:space="preserve">The core safety data has been obtained from </w:t>
      </w:r>
      <w:r w:rsidR="00F41E81">
        <w:t>S</w:t>
      </w:r>
      <w:r w:rsidRPr="00F41E81">
        <w:t>tudies AMAC, AMAN and AMBG, all previously described. Limited data from the long</w:t>
      </w:r>
      <w:r w:rsidR="00D777FF">
        <w:t>-</w:t>
      </w:r>
      <w:r w:rsidRPr="00F41E81">
        <w:t xml:space="preserve">term extension </w:t>
      </w:r>
      <w:r w:rsidR="00F41E81">
        <w:t>S</w:t>
      </w:r>
      <w:r w:rsidRPr="00F41E81">
        <w:t xml:space="preserve">tudy AMAP has also been considered. Further safety data from </w:t>
      </w:r>
      <w:r w:rsidR="00F41E81">
        <w:t>tw</w:t>
      </w:r>
      <w:r w:rsidR="00D777FF">
        <w:t>o</w:t>
      </w:r>
      <w:r w:rsidRPr="00F41E81">
        <w:t xml:space="preserve"> studies in Crohn’s disease (</w:t>
      </w:r>
      <w:r w:rsidR="00F41E81">
        <w:t xml:space="preserve">Studies </w:t>
      </w:r>
      <w:r w:rsidRPr="00F41E81">
        <w:t>AMAG</w:t>
      </w:r>
      <w:r w:rsidR="00F41E81">
        <w:t xml:space="preserve"> and </w:t>
      </w:r>
      <w:r w:rsidRPr="00F41E81">
        <w:t xml:space="preserve">AMAX) and </w:t>
      </w:r>
      <w:r w:rsidR="00F41E81">
        <w:t>five</w:t>
      </w:r>
      <w:r w:rsidRPr="00F41E81">
        <w:t xml:space="preserve"> studies in psoriasis (</w:t>
      </w:r>
      <w:r w:rsidR="00F41E81">
        <w:t xml:space="preserve">Studies </w:t>
      </w:r>
      <w:r w:rsidRPr="00F41E81">
        <w:t>AMBP, AMAF, AMAK, AMAJ</w:t>
      </w:r>
      <w:r w:rsidR="00F41E81">
        <w:t xml:space="preserve"> and </w:t>
      </w:r>
      <w:r w:rsidRPr="00F41E81">
        <w:t>AMAH) were screened for potentially prohibitive safety signals.</w:t>
      </w:r>
    </w:p>
    <w:p w14:paraId="03809916" w14:textId="281F0066" w:rsidR="004B165B" w:rsidRPr="00F41E81" w:rsidRDefault="004B165B" w:rsidP="00F41E81">
      <w:r w:rsidRPr="00F41E81">
        <w:t xml:space="preserve">The </w:t>
      </w:r>
      <w:proofErr w:type="gramStart"/>
      <w:r w:rsidRPr="00F41E81">
        <w:t>all UC</w:t>
      </w:r>
      <w:proofErr w:type="gramEnd"/>
      <w:r w:rsidRPr="00F41E81">
        <w:t xml:space="preserve"> data set includes 1442 patients who were exposed to any dose of mirikizumab during clinical development. It represents 2250.9 patient</w:t>
      </w:r>
      <w:r w:rsidR="00846A6F">
        <w:t xml:space="preserve"> </w:t>
      </w:r>
      <w:r w:rsidRPr="00F41E81">
        <w:t xml:space="preserve">years of exposure. The UC </w:t>
      </w:r>
      <w:r w:rsidR="00846A6F">
        <w:t>t</w:t>
      </w:r>
      <w:r w:rsidRPr="00F41E81">
        <w:t>reatment regimen set includes patients who were exposed to mirikizumab for induction followed by maintenance over 52 weeks and consists of 389 patients (88.9% of whom were dosed to at least 52 weeks). It represents 391.8 patient</w:t>
      </w:r>
      <w:r w:rsidR="00846A6F">
        <w:t xml:space="preserve"> </w:t>
      </w:r>
      <w:r w:rsidRPr="00F41E81">
        <w:t>years of exposure and is the long-term dataset required for registration. The all mirikizumab exposure set, with 3798 patients (7801 patient</w:t>
      </w:r>
      <w:r w:rsidR="00846A6F">
        <w:t xml:space="preserve"> </w:t>
      </w:r>
      <w:r w:rsidRPr="00F41E81">
        <w:t>years), includes patients from the UC, Crohn’s and psoriasis clinical development programs.</w:t>
      </w:r>
    </w:p>
    <w:p w14:paraId="1930AD29" w14:textId="209A578D" w:rsidR="00D777FF" w:rsidRDefault="004D6E1C" w:rsidP="004B165B">
      <w:r>
        <w:t xml:space="preserve">Treatment-emergent adverse </w:t>
      </w:r>
      <w:r w:rsidRPr="00D777FF">
        <w:t>events (</w:t>
      </w:r>
      <w:r w:rsidR="004B165B" w:rsidRPr="00D777FF">
        <w:t>TEAEs</w:t>
      </w:r>
      <w:r w:rsidRPr="00D777FF">
        <w:t>)</w:t>
      </w:r>
      <w:r w:rsidR="004B165B" w:rsidRPr="00D777FF">
        <w:t xml:space="preserve"> were</w:t>
      </w:r>
      <w:r w:rsidR="004B165B" w:rsidRPr="004D6E1C">
        <w:t xml:space="preserve"> common. There was </w:t>
      </w:r>
      <w:r>
        <w:t xml:space="preserve">one </w:t>
      </w:r>
      <w:r w:rsidR="004B165B" w:rsidRPr="004D6E1C">
        <w:t xml:space="preserve">death in the UC program whilst receiving active treatment (in placebo arm of maintenance </w:t>
      </w:r>
      <w:proofErr w:type="gramStart"/>
      <w:r w:rsidR="004B165B" w:rsidRPr="004D6E1C">
        <w:t>study, but</w:t>
      </w:r>
      <w:proofErr w:type="gramEnd"/>
      <w:r w:rsidR="004B165B" w:rsidRPr="004D6E1C">
        <w:t xml:space="preserve"> had received mirikizumab for induction prior) and 11 in the overall clinical program (including Crohn’s and psoriasis). </w:t>
      </w:r>
      <w:r w:rsidR="00AB442C">
        <w:t>Serious adverse events</w:t>
      </w:r>
      <w:r w:rsidR="004B165B" w:rsidRPr="004D6E1C">
        <w:t xml:space="preserve"> occurred at a higher rate in placebo arms v</w:t>
      </w:r>
      <w:r w:rsidR="00AB442C">
        <w:t xml:space="preserve">ersus </w:t>
      </w:r>
      <w:r w:rsidR="004B165B" w:rsidRPr="004D6E1C">
        <w:t>the mirikizumab arms of both the induction study (24 per 100 patient</w:t>
      </w:r>
      <w:r w:rsidR="00AB442C">
        <w:t xml:space="preserve"> </w:t>
      </w:r>
      <w:r w:rsidR="004B165B" w:rsidRPr="004D6E1C">
        <w:t>years v</w:t>
      </w:r>
      <w:r w:rsidR="00AB442C">
        <w:t>ersus</w:t>
      </w:r>
      <w:r w:rsidR="004B165B" w:rsidRPr="004D6E1C">
        <w:t xml:space="preserve"> 12.3 per 100 </w:t>
      </w:r>
      <w:r w:rsidR="004B165B" w:rsidRPr="004D6E1C">
        <w:lastRenderedPageBreak/>
        <w:t>patient</w:t>
      </w:r>
      <w:r w:rsidR="00AB442C">
        <w:t xml:space="preserve"> </w:t>
      </w:r>
      <w:r w:rsidR="004B165B" w:rsidRPr="004D6E1C">
        <w:t>years, respectively) and maintenance study (12.8 per 100 patient</w:t>
      </w:r>
      <w:r w:rsidR="00AB442C">
        <w:t xml:space="preserve"> </w:t>
      </w:r>
      <w:r w:rsidR="004B165B" w:rsidRPr="004D6E1C">
        <w:t>years v</w:t>
      </w:r>
      <w:r w:rsidR="00AB442C">
        <w:t>ersus</w:t>
      </w:r>
      <w:r w:rsidR="004B165B" w:rsidRPr="004D6E1C">
        <w:t xml:space="preserve"> 4.6 per 100 patient</w:t>
      </w:r>
      <w:r w:rsidR="00AB442C">
        <w:t xml:space="preserve"> </w:t>
      </w:r>
      <w:r w:rsidR="004B165B" w:rsidRPr="004D6E1C">
        <w:t xml:space="preserve">years). Discontinuation due to </w:t>
      </w:r>
      <w:r w:rsidR="00AB442C">
        <w:t>adverse events</w:t>
      </w:r>
      <w:r w:rsidR="004B165B" w:rsidRPr="004D6E1C">
        <w:t xml:space="preserve"> was also more common in placebo arms </w:t>
      </w:r>
      <w:r w:rsidR="00AB442C">
        <w:t>versus</w:t>
      </w:r>
      <w:r w:rsidR="004B165B" w:rsidRPr="004D6E1C">
        <w:t xml:space="preserve"> </w:t>
      </w:r>
      <w:proofErr w:type="spellStart"/>
      <w:r w:rsidR="004B165B" w:rsidRPr="004D6E1C">
        <w:t>mirikizumab</w:t>
      </w:r>
      <w:proofErr w:type="spellEnd"/>
      <w:r w:rsidR="004B165B" w:rsidRPr="004D6E1C">
        <w:t xml:space="preserve"> arms (</w:t>
      </w:r>
      <w:r w:rsidR="004B165B" w:rsidRPr="004D6E1C">
        <w:fldChar w:fldCharType="begin"/>
      </w:r>
      <w:r w:rsidR="004B165B" w:rsidRPr="004D6E1C">
        <w:instrText xml:space="preserve"> REF _Ref129180415 \h </w:instrText>
      </w:r>
      <w:r>
        <w:instrText xml:space="preserve"> \* MERGEFORMAT </w:instrText>
      </w:r>
      <w:r w:rsidR="004B165B" w:rsidRPr="004D6E1C">
        <w:fldChar w:fldCharType="separate"/>
      </w:r>
      <w:r w:rsidR="00D777FF">
        <w:t>Table 9</w:t>
      </w:r>
      <w:r w:rsidR="004B165B" w:rsidRPr="004D6E1C">
        <w:fldChar w:fldCharType="end"/>
      </w:r>
      <w:r w:rsidR="004B165B" w:rsidRPr="004D6E1C">
        <w:t xml:space="preserve">). In </w:t>
      </w:r>
      <w:r w:rsidR="00AB442C">
        <w:t xml:space="preserve">Study </w:t>
      </w:r>
      <w:r w:rsidR="004B165B" w:rsidRPr="004D6E1C">
        <w:t xml:space="preserve">AMAN and </w:t>
      </w:r>
      <w:r w:rsidR="00AB442C">
        <w:t xml:space="preserve">Study </w:t>
      </w:r>
      <w:r w:rsidR="004B165B" w:rsidRPr="004D6E1C">
        <w:t xml:space="preserve">AMBG, severe </w:t>
      </w:r>
      <w:r w:rsidR="00D777FF">
        <w:t>adverse events</w:t>
      </w:r>
      <w:r w:rsidR="004B165B" w:rsidRPr="004D6E1C">
        <w:t xml:space="preserve"> were more common with placebo than with mirikizumab</w:t>
      </w:r>
      <w:r w:rsidR="00D777FF">
        <w:t>.</w:t>
      </w:r>
    </w:p>
    <w:p w14:paraId="6443920C" w14:textId="6280A7D6" w:rsidR="004B165B" w:rsidRDefault="004B165B" w:rsidP="00AB442C">
      <w:pPr>
        <w:pStyle w:val="TableTitle"/>
      </w:pPr>
      <w:bookmarkStart w:id="70" w:name="_Ref129180415"/>
      <w:bookmarkStart w:id="71" w:name="_Ref129180412"/>
      <w:r>
        <w:t xml:space="preserve">Table </w:t>
      </w:r>
      <w:fldSimple w:instr=" SEQ Table \* ARABIC ">
        <w:r w:rsidR="00D777FF">
          <w:rPr>
            <w:noProof/>
          </w:rPr>
          <w:t>9</w:t>
        </w:r>
      </w:fldSimple>
      <w:bookmarkEnd w:id="70"/>
      <w:r w:rsidR="00AB442C">
        <w:t xml:space="preserve">: </w:t>
      </w:r>
      <w:r>
        <w:t xml:space="preserve">Adverse events across all </w:t>
      </w:r>
      <w:r w:rsidR="00AB442C">
        <w:t xml:space="preserve">ulcerative colitis </w:t>
      </w:r>
      <w:r>
        <w:t>clinical studies</w:t>
      </w:r>
      <w:bookmarkEnd w:id="71"/>
      <w:r w:rsidR="005605B4">
        <w:fldChar w:fldCharType="begin"/>
      </w:r>
      <w:r w:rsidR="005605B4">
        <w:instrText xml:space="preserve"> DOCVARIABLE vault_nd_09caf4d6-cb37-4868-88c3-0c9c41a2c33c \* MERGEFORMAT </w:instrText>
      </w:r>
      <w:r w:rsidR="005605B4">
        <w:fldChar w:fldCharType="separate"/>
      </w:r>
      <w:r w:rsidR="005605B4">
        <w:t xml:space="preserve"> </w:t>
      </w:r>
      <w:r w:rsidR="005605B4">
        <w:fldChar w:fldCharType="end"/>
      </w:r>
    </w:p>
    <w:p w14:paraId="00FDFA8D" w14:textId="24FDE285" w:rsidR="00951DDA" w:rsidRDefault="00951DDA" w:rsidP="006278D0">
      <w:r>
        <w:rPr>
          <w:noProof/>
        </w:rPr>
        <w:drawing>
          <wp:inline distT="0" distB="0" distL="0" distR="0" wp14:anchorId="3AE7BC9E" wp14:editId="37D40136">
            <wp:extent cx="5759450" cy="2199005"/>
            <wp:effectExtent l="0" t="0" r="0" b="0"/>
            <wp:docPr id="6" name="Picture 6" descr="Adverse events across all ulcerative colitis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dverse events across all ulcerative colitis clinical studies"/>
                    <pic:cNvPicPr/>
                  </pic:nvPicPr>
                  <pic:blipFill>
                    <a:blip r:embed="rId39"/>
                    <a:stretch>
                      <a:fillRect/>
                    </a:stretch>
                  </pic:blipFill>
                  <pic:spPr>
                    <a:xfrm>
                      <a:off x="0" y="0"/>
                      <a:ext cx="5759450" cy="2199005"/>
                    </a:xfrm>
                    <a:prstGeom prst="rect">
                      <a:avLst/>
                    </a:prstGeom>
                  </pic:spPr>
                </pic:pic>
              </a:graphicData>
            </a:graphic>
          </wp:inline>
        </w:drawing>
      </w:r>
    </w:p>
    <w:p w14:paraId="791A3498" w14:textId="728169BF" w:rsidR="004B165B" w:rsidRPr="00951DDA" w:rsidRDefault="004B165B" w:rsidP="00951DDA">
      <w:r w:rsidRPr="00951DDA">
        <w:t xml:space="preserve">In terms of </w:t>
      </w:r>
      <w:r w:rsidR="00D777FF">
        <w:t>serious adverse events</w:t>
      </w:r>
      <w:r w:rsidRPr="00951DDA">
        <w:t xml:space="preserve"> in </w:t>
      </w:r>
      <w:r w:rsidR="00951DDA">
        <w:t xml:space="preserve">Study </w:t>
      </w:r>
      <w:r w:rsidRPr="00951DDA">
        <w:t xml:space="preserve">AMAN, all were single cases except for ulcerative colitis (3.1% with placebo and 0.8% with mirikizumab). In </w:t>
      </w:r>
      <w:r w:rsidR="009C0695">
        <w:t xml:space="preserve">Study </w:t>
      </w:r>
      <w:r w:rsidRPr="00951DDA">
        <w:t xml:space="preserve">AMBG all were single cases except for ulcerative colitis. For patients discontinuing in </w:t>
      </w:r>
      <w:r w:rsidR="009C0695">
        <w:t xml:space="preserve">Study </w:t>
      </w:r>
      <w:r w:rsidRPr="00951DDA">
        <w:t>AMAN, 20% (3</w:t>
      </w:r>
      <w:r w:rsidR="009C0695">
        <w:t xml:space="preserve"> out of </w:t>
      </w:r>
      <w:r w:rsidRPr="00951DDA">
        <w:t xml:space="preserve">15) assigned to mirikizumab stopped due to infusion-related hypersensitivity (0 in the placebo group). In </w:t>
      </w:r>
      <w:r w:rsidR="009C0695">
        <w:t>S</w:t>
      </w:r>
      <w:r w:rsidRPr="00951DDA">
        <w:t xml:space="preserve">tudy AMBG, of those discontinuing, </w:t>
      </w:r>
      <w:r w:rsidR="009C0695">
        <w:t>one</w:t>
      </w:r>
      <w:r w:rsidRPr="00951DDA">
        <w:t xml:space="preserve"> discontinued (1</w:t>
      </w:r>
      <w:r w:rsidR="009C0695">
        <w:t xml:space="preserve"> out of </w:t>
      </w:r>
      <w:r w:rsidRPr="00951DDA">
        <w:t xml:space="preserve">6) due to autoimmune hepatitis and </w:t>
      </w:r>
      <w:r w:rsidR="009C0695">
        <w:t>one</w:t>
      </w:r>
      <w:r w:rsidRPr="00951DDA">
        <w:t xml:space="preserve"> discontinued (1</w:t>
      </w:r>
      <w:r w:rsidR="009C0695">
        <w:t xml:space="preserve"> out of </w:t>
      </w:r>
      <w:r w:rsidRPr="00951DDA">
        <w:t>6) due to gastric cancer.</w:t>
      </w:r>
    </w:p>
    <w:p w14:paraId="7D609C22" w14:textId="3782DED6" w:rsidR="004B165B" w:rsidRPr="00951DDA" w:rsidRDefault="004B165B" w:rsidP="00951DDA">
      <w:r w:rsidRPr="00951DDA">
        <w:t>During the induction study</w:t>
      </w:r>
      <w:r w:rsidR="00A15E60">
        <w:t xml:space="preserve"> (Study </w:t>
      </w:r>
      <w:r w:rsidR="00A15E60" w:rsidRPr="00951DDA">
        <w:t>AMAN</w:t>
      </w:r>
      <w:r w:rsidR="00A15E60">
        <w:t>)</w:t>
      </w:r>
      <w:r w:rsidRPr="00951DDA">
        <w:t>, common TEAE</w:t>
      </w:r>
      <w:r w:rsidR="00D777FF">
        <w:t>s</w:t>
      </w:r>
      <w:r w:rsidRPr="00951DDA">
        <w:t xml:space="preserve"> by system order class occurring with noticeably different frequencies in the placebo v</w:t>
      </w:r>
      <w:r w:rsidR="00A15E60">
        <w:t>ersus</w:t>
      </w:r>
      <w:r w:rsidRPr="00951DDA">
        <w:t xml:space="preserve"> mirikizumab arm were gastrointestinal disorders (15% and 10.5%, respectively), blood and lymphatic disorders (9.3% and 6.3%, respectively) and reproductive system and breast disorders (0.3% and 0.9%, respectively).</w:t>
      </w:r>
    </w:p>
    <w:p w14:paraId="7E52BA5C" w14:textId="5254FA24" w:rsidR="004B165B" w:rsidRPr="00951DDA" w:rsidRDefault="004B165B" w:rsidP="00951DDA">
      <w:r w:rsidRPr="00951DDA">
        <w:t>During placebo-controlled maintenance study</w:t>
      </w:r>
      <w:r w:rsidR="00E87AB8">
        <w:t xml:space="preserve"> (Study </w:t>
      </w:r>
      <w:r w:rsidR="00E87AB8" w:rsidRPr="00951DDA">
        <w:t>AMBG</w:t>
      </w:r>
      <w:r w:rsidR="00E87AB8">
        <w:t>)</w:t>
      </w:r>
      <w:r w:rsidRPr="00951DDA">
        <w:t>, common TEAE</w:t>
      </w:r>
      <w:r w:rsidR="00D777FF">
        <w:t>s</w:t>
      </w:r>
      <w:r w:rsidRPr="00951DDA">
        <w:t xml:space="preserve"> by system organ class occurring with noticeably different frequencies in the placebo v</w:t>
      </w:r>
      <w:r w:rsidR="00E87AB8">
        <w:t xml:space="preserve">ersus </w:t>
      </w:r>
      <w:r w:rsidRPr="00951DDA">
        <w:t>mirikizumab arms were gastrointestinal disorders (36.5% and 21.3%, respectively), general disorders and administration site conditions (9.9% and 16.7%</w:t>
      </w:r>
      <w:r w:rsidR="00D777FF">
        <w:t>,</w:t>
      </w:r>
      <w:r w:rsidRPr="00951DDA">
        <w:t xml:space="preserve"> respectively), skin and subcutaneous disorders (6.8% and 11.3%, respectively), nervous system disorders (4.7% and 8%, respectively), respiratory, thoracic and mediastinal disorders (3.1% and 6.9%, respectively), blood and lymphatic system disorders (6.3% and 3.9%, respectively), eye disorders (1% and 3.1%</w:t>
      </w:r>
      <w:r w:rsidR="00D777FF">
        <w:t>,</w:t>
      </w:r>
      <w:r w:rsidRPr="00951DDA">
        <w:t xml:space="preserve"> respectively), surgical and medical procedures (0% and 2.1%, respectively) and reproductive system and breast disorders (0% and 1.5%, respectively).</w:t>
      </w:r>
    </w:p>
    <w:p w14:paraId="46C45EEC" w14:textId="7013BA8B" w:rsidR="004B165B" w:rsidRPr="00951DDA" w:rsidRDefault="004B165B" w:rsidP="00951DDA">
      <w:r w:rsidRPr="00951DDA">
        <w:t>The specific TEAEs from the above system organ class (</w:t>
      </w:r>
      <w:r w:rsidR="00FC4601">
        <w:t xml:space="preserve">Study </w:t>
      </w:r>
      <w:r w:rsidRPr="00951DDA">
        <w:t>AMBG) that contributed most to differences between placebo v</w:t>
      </w:r>
      <w:r w:rsidR="00FC4601">
        <w:t>ersus</w:t>
      </w:r>
      <w:r w:rsidRPr="00951DDA">
        <w:t xml:space="preserve"> mirikizumab, were ulcerative colitis (20.8% v</w:t>
      </w:r>
      <w:r w:rsidR="00FC4601">
        <w:t>ersus</w:t>
      </w:r>
      <w:r w:rsidRPr="00951DDA">
        <w:t xml:space="preserve"> 6.7%), diarrhoea (0.5% v</w:t>
      </w:r>
      <w:r w:rsidR="00FC4601">
        <w:t>ersus</w:t>
      </w:r>
      <w:r w:rsidRPr="00951DDA">
        <w:t xml:space="preserve"> 2.6%), </w:t>
      </w:r>
      <w:r w:rsidR="00A16688" w:rsidRPr="00951DDA">
        <w:t>gastroesophageal</w:t>
      </w:r>
      <w:r w:rsidRPr="00951DDA">
        <w:t xml:space="preserve"> reflux (0.5% v</w:t>
      </w:r>
      <w:r w:rsidR="00FC4601">
        <w:t>ersus</w:t>
      </w:r>
      <w:r w:rsidRPr="00951DDA">
        <w:t xml:space="preserve"> 2.6%), injection site pain (3.1% v</w:t>
      </w:r>
      <w:r w:rsidR="00FC4601">
        <w:t>ersus</w:t>
      </w:r>
      <w:r w:rsidRPr="00951DDA">
        <w:t xml:space="preserve"> 4.4%), injection site reaction (0.5% v</w:t>
      </w:r>
      <w:r w:rsidR="00FC4601">
        <w:t>ersus</w:t>
      </w:r>
      <w:r w:rsidRPr="00951DDA">
        <w:t xml:space="preserve"> 3.3%), arthralgia (4.2% v</w:t>
      </w:r>
      <w:r w:rsidR="00FC4601">
        <w:t>ersus</w:t>
      </w:r>
      <w:r w:rsidRPr="00951DDA">
        <w:t xml:space="preserve"> 6.7%), rash (0% v</w:t>
      </w:r>
      <w:r w:rsidR="00FC4601">
        <w:t>ersus</w:t>
      </w:r>
      <w:r w:rsidRPr="00951DDA">
        <w:t xml:space="preserve"> 3.6%) and hypertension (0.5% v</w:t>
      </w:r>
      <w:r w:rsidR="00FC4601">
        <w:t>ersus</w:t>
      </w:r>
      <w:r w:rsidRPr="00951DDA">
        <w:t xml:space="preserve"> 2.3%).</w:t>
      </w:r>
    </w:p>
    <w:p w14:paraId="4E22B08F" w14:textId="1303EA22" w:rsidR="004B165B" w:rsidRDefault="004B165B" w:rsidP="001A0C02">
      <w:pPr>
        <w:pStyle w:val="Heading5"/>
      </w:pPr>
      <w:r>
        <w:t>Laboratory findings and vital signs</w:t>
      </w:r>
      <w:r w:rsidR="0099632D">
        <w:fldChar w:fldCharType="begin"/>
      </w:r>
      <w:r w:rsidR="0099632D">
        <w:instrText xml:space="preserve"> DOCVARIABLE vault_nd_2c735f97-ef36-4f2c-8279-33f570dee5f3 \* MERGEFORMAT </w:instrText>
      </w:r>
      <w:r w:rsidR="0099632D">
        <w:fldChar w:fldCharType="separate"/>
      </w:r>
      <w:r w:rsidR="005605B4">
        <w:t xml:space="preserve"> </w:t>
      </w:r>
      <w:r w:rsidR="0099632D">
        <w:fldChar w:fldCharType="end"/>
      </w:r>
    </w:p>
    <w:p w14:paraId="23DC38B0" w14:textId="23A6208E" w:rsidR="004B165B" w:rsidRPr="001A0C02" w:rsidRDefault="004B165B" w:rsidP="001A0C02">
      <w:r w:rsidRPr="001A0C02">
        <w:t xml:space="preserve">One subject treated with mirikizumab in </w:t>
      </w:r>
      <w:r w:rsidR="001A0C02">
        <w:t xml:space="preserve">Study </w:t>
      </w:r>
      <w:r w:rsidRPr="001A0C02">
        <w:t>AMBG (a mirikizumab induction non-responder) met biochemical and clinical criteria for Hy’s Law (</w:t>
      </w:r>
      <w:r w:rsidR="001A0C02">
        <w:t xml:space="preserve">that is, </w:t>
      </w:r>
      <w:r w:rsidRPr="001A0C02">
        <w:t xml:space="preserve">there was no alternative </w:t>
      </w:r>
      <w:r w:rsidRPr="001A0C02">
        <w:lastRenderedPageBreak/>
        <w:t>explanation).</w:t>
      </w:r>
      <w:r w:rsidR="00D777FF">
        <w:rPr>
          <w:rStyle w:val="FootnoteReference"/>
        </w:rPr>
        <w:footnoteReference w:id="11"/>
      </w:r>
      <w:r w:rsidRPr="001A0C02">
        <w:t xml:space="preserve"> The changes in liver function included a peak</w:t>
      </w:r>
      <w:r w:rsidR="004F1390" w:rsidRPr="004F1390">
        <w:t xml:space="preserve"> </w:t>
      </w:r>
      <w:r w:rsidR="004F1390">
        <w:t>a</w:t>
      </w:r>
      <w:r w:rsidR="004F1390" w:rsidRPr="004F1390">
        <w:t>lanine aminotransferase</w:t>
      </w:r>
      <w:r w:rsidRPr="001A0C02">
        <w:t xml:space="preserve"> of 609, </w:t>
      </w:r>
      <w:r w:rsidR="00367544">
        <w:t>a</w:t>
      </w:r>
      <w:r w:rsidR="00367544" w:rsidRPr="00367544">
        <w:t>spartate aminotransferase</w:t>
      </w:r>
      <w:r w:rsidRPr="001A0C02">
        <w:t xml:space="preserve"> 336, </w:t>
      </w:r>
      <w:r w:rsidR="00367544">
        <w:t>a</w:t>
      </w:r>
      <w:r w:rsidR="00367544" w:rsidRPr="00367544">
        <w:t>lkaline phosphatase</w:t>
      </w:r>
      <w:r w:rsidRPr="001A0C02">
        <w:t xml:space="preserve"> 187 and bilirubin 51. These values returned to normal after discontinuing mirikizumab. An additional 10 cases with </w:t>
      </w:r>
      <w:r w:rsidR="00D777FF">
        <w:t>a</w:t>
      </w:r>
      <w:r w:rsidR="00D777FF" w:rsidRPr="004F1390">
        <w:t>lanine aminotransferase</w:t>
      </w:r>
      <w:r w:rsidRPr="001A0C02">
        <w:t xml:space="preserve"> and/or </w:t>
      </w:r>
      <w:r w:rsidR="00D777FF">
        <w:t>a</w:t>
      </w:r>
      <w:r w:rsidR="00D777FF" w:rsidRPr="00367544">
        <w:t xml:space="preserve">spartate aminotransferase </w:t>
      </w:r>
      <w:r w:rsidR="00D777FF">
        <w:t>five</w:t>
      </w:r>
      <w:r w:rsidRPr="001A0C02">
        <w:t xml:space="preserve"> </w:t>
      </w:r>
      <w:r w:rsidR="00367544">
        <w:t>times</w:t>
      </w:r>
      <w:r w:rsidR="007F6F81">
        <w:t xml:space="preserve"> or greater than the</w:t>
      </w:r>
      <w:r w:rsidRPr="001A0C02">
        <w:t xml:space="preserve"> upper limit of normal were assessed by the </w:t>
      </w:r>
      <w:r w:rsidR="007F6F81">
        <w:t>s</w:t>
      </w:r>
      <w:r w:rsidRPr="001A0C02">
        <w:t>ponsor as having a possible association with mirikizumab. All of these either improved or normalised and none resulted in death, a serious outcome or other sequelae.</w:t>
      </w:r>
    </w:p>
    <w:p w14:paraId="52779080" w14:textId="0E3CA539" w:rsidR="004B165B" w:rsidRPr="001A0C02" w:rsidRDefault="004B165B" w:rsidP="001A0C02">
      <w:r w:rsidRPr="001A0C02">
        <w:t>Hypertension occurred in 6.2% in</w:t>
      </w:r>
      <w:r w:rsidR="00905027">
        <w:t xml:space="preserve"> the</w:t>
      </w:r>
      <w:r w:rsidRPr="001A0C02">
        <w:t xml:space="preserve"> mirikizumab arm of </w:t>
      </w:r>
      <w:r w:rsidR="00905027">
        <w:t xml:space="preserve">Study </w:t>
      </w:r>
      <w:r w:rsidRPr="001A0C02">
        <w:t xml:space="preserve">AMAN (0 in placebo) and 4.2% in </w:t>
      </w:r>
      <w:r w:rsidR="00905027">
        <w:t xml:space="preserve">the </w:t>
      </w:r>
      <w:r w:rsidRPr="001A0C02">
        <w:t xml:space="preserve">mirikizumab arm of </w:t>
      </w:r>
      <w:r w:rsidR="00905027">
        <w:t xml:space="preserve">Study </w:t>
      </w:r>
      <w:r w:rsidRPr="001A0C02">
        <w:t>AMBG (2.4% in placebo arm).</w:t>
      </w:r>
    </w:p>
    <w:p w14:paraId="4FEF732A" w14:textId="02214513" w:rsidR="004B165B" w:rsidRDefault="004B165B" w:rsidP="001A0C02">
      <w:pPr>
        <w:pStyle w:val="Heading5"/>
      </w:pPr>
      <w:r>
        <w:t>Hypersensitivity and infusion site reactions</w:t>
      </w:r>
      <w:r w:rsidR="0099632D">
        <w:fldChar w:fldCharType="begin"/>
      </w:r>
      <w:r w:rsidR="0099632D">
        <w:instrText xml:space="preserve"> D</w:instrText>
      </w:r>
      <w:r w:rsidR="0099632D">
        <w:instrText xml:space="preserve">OCVARIABLE vault_nd_70468f07-f14c-49a1-ac63-4f2d87b1ab3e \* MERGEFORMAT </w:instrText>
      </w:r>
      <w:r w:rsidR="0099632D">
        <w:fldChar w:fldCharType="separate"/>
      </w:r>
      <w:r w:rsidR="005605B4">
        <w:t xml:space="preserve"> </w:t>
      </w:r>
      <w:r w:rsidR="0099632D">
        <w:fldChar w:fldCharType="end"/>
      </w:r>
    </w:p>
    <w:p w14:paraId="3021E4FB" w14:textId="66E6149D" w:rsidR="004B165B" w:rsidRPr="00614856" w:rsidRDefault="004B165B" w:rsidP="00614856">
      <w:r w:rsidRPr="00614856">
        <w:t xml:space="preserve">In </w:t>
      </w:r>
      <w:r w:rsidR="00614856">
        <w:t xml:space="preserve">Study </w:t>
      </w:r>
      <w:r w:rsidRPr="00614856">
        <w:t xml:space="preserve">AMAN, 1% in the mirikizumab arm reported immediate hypersensitivity, compared to 0.3% in the placebo arm. Non-immediate reactions were comparable in both arms (2.5% with mirikizumab, 2.2% with placebo). In </w:t>
      </w:r>
      <w:r w:rsidR="00EC1B05">
        <w:t xml:space="preserve">Study </w:t>
      </w:r>
      <w:r w:rsidRPr="00614856">
        <w:t>AMBG, 1.8% in the mirikizumab arm reported immediate hypersensitivity, compared to 1% in the placebo arm. Non-immediate hypersensitivity was more common with mirikizumab compared to placebo (6.9% and 2.6%, respectively). Injection site reactions were more common with mirikizumab compared to placebo (</w:t>
      </w:r>
      <w:r w:rsidR="00EC1B05">
        <w:t xml:space="preserve">Study </w:t>
      </w:r>
      <w:r w:rsidRPr="00614856">
        <w:t>AMBG, 8.7% v</w:t>
      </w:r>
      <w:r w:rsidR="00EC1B05">
        <w:t>ersus</w:t>
      </w:r>
      <w:r w:rsidRPr="00614856">
        <w:t xml:space="preserve"> 4.2%).</w:t>
      </w:r>
    </w:p>
    <w:p w14:paraId="1F5A390B" w14:textId="23911A8A" w:rsidR="004B165B" w:rsidRDefault="004B165B" w:rsidP="001A0C02">
      <w:pPr>
        <w:pStyle w:val="Heading5"/>
      </w:pPr>
      <w:r>
        <w:t>Infections</w:t>
      </w:r>
      <w:r w:rsidR="0099632D">
        <w:fldChar w:fldCharType="begin"/>
      </w:r>
      <w:r w:rsidR="0099632D">
        <w:instrText xml:space="preserve"> DOCVARIABLE vault_nd_63f6c11f-4bff-4889-be11-f64c9fe701b4 \* MERGEFORMAT </w:instrText>
      </w:r>
      <w:r w:rsidR="0099632D">
        <w:fldChar w:fldCharType="separate"/>
      </w:r>
      <w:r w:rsidR="005605B4">
        <w:t xml:space="preserve"> </w:t>
      </w:r>
      <w:r w:rsidR="0099632D">
        <w:fldChar w:fldCharType="end"/>
      </w:r>
    </w:p>
    <w:p w14:paraId="634B15E3" w14:textId="3B86156C" w:rsidR="004B165B" w:rsidRPr="00EC1B05" w:rsidRDefault="004B165B" w:rsidP="00EC1B05">
      <w:r w:rsidRPr="00EC1B05">
        <w:t xml:space="preserve">The incidence of infections in the </w:t>
      </w:r>
      <w:proofErr w:type="gramStart"/>
      <w:r w:rsidRPr="00EC1B05">
        <w:t>placebo controlled</w:t>
      </w:r>
      <w:proofErr w:type="gramEnd"/>
      <w:r w:rsidRPr="00EC1B05">
        <w:t xml:space="preserve"> data sets was similar between the mirikizumab and placebo arms. Five (0.5%) subjects receiving mirikizumab experienced opportunistic infections (oesophageal candidiasis, </w:t>
      </w:r>
      <w:r w:rsidR="005E1113">
        <w:t>cytomegalovirus</w:t>
      </w:r>
      <w:r w:rsidRPr="00EC1B05">
        <w:t xml:space="preserve"> colitis </w:t>
      </w:r>
      <w:r w:rsidR="00360963">
        <w:t>(two)</w:t>
      </w:r>
      <w:r w:rsidRPr="00EC1B05">
        <w:t>, herpes zoster, intestinal tuberculosis) and</w:t>
      </w:r>
      <w:r w:rsidR="00360963">
        <w:t xml:space="preserve"> one</w:t>
      </w:r>
      <w:r w:rsidRPr="00EC1B05">
        <w:t xml:space="preserve"> (0.3%) receiving placebo (herpes zoster) during the induction study. During the </w:t>
      </w:r>
      <w:proofErr w:type="gramStart"/>
      <w:r w:rsidRPr="00EC1B05">
        <w:t>placebo</w:t>
      </w:r>
      <w:r w:rsidR="00360963">
        <w:t xml:space="preserve"> </w:t>
      </w:r>
      <w:r w:rsidRPr="00EC1B05">
        <w:t>controlled</w:t>
      </w:r>
      <w:proofErr w:type="gramEnd"/>
      <w:r w:rsidRPr="00EC1B05">
        <w:t xml:space="preserve"> maintenance study, </w:t>
      </w:r>
      <w:r w:rsidR="00360963">
        <w:t>five</w:t>
      </w:r>
      <w:r w:rsidRPr="00EC1B05">
        <w:t xml:space="preserve"> subjects (1.3%) in the mirikizumab (oral candidiasis, herpes zoster </w:t>
      </w:r>
      <w:r w:rsidR="00360963">
        <w:t>(four)</w:t>
      </w:r>
      <w:r w:rsidRPr="00EC1B05">
        <w:t xml:space="preserve">) arm and 0 in the placebo arm experience opportunistic infections. In </w:t>
      </w:r>
      <w:proofErr w:type="gramStart"/>
      <w:r w:rsidRPr="00EC1B05">
        <w:t xml:space="preserve">the </w:t>
      </w:r>
      <w:r w:rsidR="00360963">
        <w:t>a</w:t>
      </w:r>
      <w:r w:rsidRPr="00EC1B05">
        <w:t>ll</w:t>
      </w:r>
      <w:proofErr w:type="gramEnd"/>
      <w:r w:rsidRPr="00EC1B05">
        <w:t xml:space="preserve"> UC data set (</w:t>
      </w:r>
      <w:r w:rsidR="00360963">
        <w:t>that is,</w:t>
      </w:r>
      <w:r w:rsidRPr="00EC1B05">
        <w:t xml:space="preserve"> all subjects who received mirikizumab during any of the UC studies) the incidence rate for herpes zoster was 0.6 per 100 patient</w:t>
      </w:r>
      <w:r w:rsidR="00360963">
        <w:t xml:space="preserve"> </w:t>
      </w:r>
      <w:r w:rsidRPr="00EC1B05">
        <w:t>years. There did not appear to be a meaningful difference in serious infections between placebo and mirikizumab arms in the clinical studies.</w:t>
      </w:r>
    </w:p>
    <w:p w14:paraId="52939CD3" w14:textId="30D58091" w:rsidR="004B165B" w:rsidRDefault="004B165B" w:rsidP="001A0C02">
      <w:pPr>
        <w:pStyle w:val="Heading5"/>
      </w:pPr>
      <w:r>
        <w:t>Deaths</w:t>
      </w:r>
      <w:r w:rsidR="0099632D">
        <w:fldChar w:fldCharType="begin"/>
      </w:r>
      <w:r w:rsidR="0099632D">
        <w:instrText xml:space="preserve"> DOCVARIABLE vault_nd_061dbaed-b235-42c7-981c-768971ebbf03 \* MERGEFORMAT </w:instrText>
      </w:r>
      <w:r w:rsidR="0099632D">
        <w:fldChar w:fldCharType="separate"/>
      </w:r>
      <w:r w:rsidR="005605B4">
        <w:t xml:space="preserve"> </w:t>
      </w:r>
      <w:r w:rsidR="0099632D">
        <w:fldChar w:fldCharType="end"/>
      </w:r>
    </w:p>
    <w:p w14:paraId="03F4320F" w14:textId="0ABABF17" w:rsidR="004B165B" w:rsidRPr="00C33B60" w:rsidRDefault="004B165B" w:rsidP="00C33B60">
      <w:r w:rsidRPr="00C33B60">
        <w:t xml:space="preserve">In the overall (multiple indications) mirikizumab development program 17 deaths have been reported. Five deaths were reported in the UC program, 11 in the psoriasis program and </w:t>
      </w:r>
      <w:r w:rsidR="00C33B60">
        <w:t>one</w:t>
      </w:r>
      <w:r w:rsidRPr="00C33B60">
        <w:t xml:space="preserve"> in the Crohn’s clinical program. The deaths during the UC studies were as follows:</w:t>
      </w:r>
    </w:p>
    <w:p w14:paraId="4A311009" w14:textId="71BCD7CE" w:rsidR="004B165B" w:rsidRPr="00C33B60" w:rsidRDefault="004B165B" w:rsidP="00C33B60">
      <w:pPr>
        <w:pStyle w:val="ListBullet"/>
      </w:pPr>
      <w:r w:rsidRPr="00C33B60">
        <w:t xml:space="preserve">Mirikizumab arm of </w:t>
      </w:r>
      <w:r w:rsidR="00C33B60">
        <w:t xml:space="preserve">Study </w:t>
      </w:r>
      <w:r w:rsidRPr="00C33B60">
        <w:t>AMAN during follow-up – event occurred 147 days after last dose, pa</w:t>
      </w:r>
      <w:r w:rsidR="00F526D0">
        <w:t>rticipant</w:t>
      </w:r>
      <w:r w:rsidRPr="00C33B60">
        <w:t xml:space="preserve"> with</w:t>
      </w:r>
      <w:r w:rsidR="005B0993">
        <w:t xml:space="preserve"> a</w:t>
      </w:r>
      <w:r w:rsidRPr="00C33B60">
        <w:t xml:space="preserve"> history of obesity, and diabetes and had prolonged hospital admission with worsening UC and terminal event of disseminated intravascular coagulation</w:t>
      </w:r>
      <w:r w:rsidR="00C67D93">
        <w:t>.</w:t>
      </w:r>
    </w:p>
    <w:p w14:paraId="57411803" w14:textId="16E37552" w:rsidR="004B165B" w:rsidRPr="00C33B60" w:rsidRDefault="004B165B" w:rsidP="00C33B60">
      <w:pPr>
        <w:pStyle w:val="ListBullet"/>
      </w:pPr>
      <w:r w:rsidRPr="00C33B60">
        <w:t xml:space="preserve">Mirikizumab arm of </w:t>
      </w:r>
      <w:r w:rsidR="00C67D93">
        <w:t xml:space="preserve">Study </w:t>
      </w:r>
      <w:r w:rsidRPr="00C33B60">
        <w:t xml:space="preserve">AMAN during follow-up – event occurred 117 days after last dose, </w:t>
      </w:r>
      <w:r w:rsidR="00F526D0" w:rsidRPr="00C33B60">
        <w:t>pa</w:t>
      </w:r>
      <w:r w:rsidR="00F526D0">
        <w:t>rticipant</w:t>
      </w:r>
      <w:r w:rsidRPr="00C33B60">
        <w:t xml:space="preserve"> had proctocolectomy and ileostomy for UC and adenocarcinoma of the rectum that culminated in sudden cardiac death, past history of atrial fibrillation, hypercholesterolaemia and dual chamber cardiac pacemaker</w:t>
      </w:r>
      <w:r w:rsidR="000D2D6A">
        <w:t>.</w:t>
      </w:r>
    </w:p>
    <w:p w14:paraId="774316C2" w14:textId="58801615" w:rsidR="004B165B" w:rsidRPr="00C33B60" w:rsidRDefault="004B165B" w:rsidP="00C33B60">
      <w:pPr>
        <w:pStyle w:val="ListBullet"/>
      </w:pPr>
      <w:r w:rsidRPr="00C33B60">
        <w:lastRenderedPageBreak/>
        <w:t xml:space="preserve">Placebo arm of </w:t>
      </w:r>
      <w:r w:rsidR="000D2D6A">
        <w:t xml:space="preserve">Study </w:t>
      </w:r>
      <w:r w:rsidRPr="00C33B60">
        <w:t xml:space="preserve">AMBG – event occurred 171 days after the last dose of mirikizumab, the </w:t>
      </w:r>
      <w:r w:rsidR="00F526D0" w:rsidRPr="00C33B60">
        <w:t>pa</w:t>
      </w:r>
      <w:r w:rsidR="00F526D0">
        <w:t>rticipant</w:t>
      </w:r>
      <w:r w:rsidRPr="00C33B60">
        <w:t xml:space="preserve"> </w:t>
      </w:r>
      <w:r w:rsidR="008A73E7">
        <w:t>had a</w:t>
      </w:r>
      <w:r w:rsidRPr="00C33B60">
        <w:t xml:space="preserve"> history of obesity, cause of death was COVID</w:t>
      </w:r>
      <w:r w:rsidR="000D2D6A">
        <w:t>-</w:t>
      </w:r>
      <w:r w:rsidRPr="00C33B60">
        <w:t>19</w:t>
      </w:r>
      <w:r w:rsidR="008A73E7">
        <w:t>.</w:t>
      </w:r>
    </w:p>
    <w:p w14:paraId="63CD115A" w14:textId="55AB0A34" w:rsidR="004B165B" w:rsidRPr="00C33B60" w:rsidRDefault="004B165B" w:rsidP="00C33B60">
      <w:pPr>
        <w:pStyle w:val="ListBullet"/>
      </w:pPr>
      <w:r w:rsidRPr="00C33B60">
        <w:t xml:space="preserve">Mirikizumab arm of </w:t>
      </w:r>
      <w:r w:rsidR="000D2D6A">
        <w:t xml:space="preserve">Study </w:t>
      </w:r>
      <w:r w:rsidRPr="00C33B60">
        <w:t xml:space="preserve">AMBG during follow-up – the </w:t>
      </w:r>
      <w:r w:rsidR="00F526D0" w:rsidRPr="00C33B60">
        <w:t>pa</w:t>
      </w:r>
      <w:r w:rsidR="00F526D0">
        <w:t>rticipant</w:t>
      </w:r>
      <w:r w:rsidR="008A73E7">
        <w:t xml:space="preserve"> </w:t>
      </w:r>
      <w:r w:rsidRPr="00C33B60">
        <w:t>had received the final dose of SC mirikizumab and was then diagnosed with and died of COVID</w:t>
      </w:r>
      <w:r w:rsidR="00F01E1E">
        <w:t>-</w:t>
      </w:r>
      <w:r w:rsidRPr="00C33B60">
        <w:t>19 after another 97 days.</w:t>
      </w:r>
    </w:p>
    <w:p w14:paraId="4D1F93B8" w14:textId="7E8B0C83" w:rsidR="004B165B" w:rsidRPr="00C33B60" w:rsidRDefault="004B165B" w:rsidP="00C33B60">
      <w:pPr>
        <w:pStyle w:val="ListBullet"/>
      </w:pPr>
      <w:r w:rsidRPr="00C33B60">
        <w:t xml:space="preserve">Mirikizumab in </w:t>
      </w:r>
      <w:r w:rsidR="008A73E7">
        <w:t xml:space="preserve">Study </w:t>
      </w:r>
      <w:r w:rsidRPr="00C33B60">
        <w:t xml:space="preserve">AMAP long-term extension study – the </w:t>
      </w:r>
      <w:r w:rsidR="00F526D0" w:rsidRPr="00C33B60">
        <w:t>pa</w:t>
      </w:r>
      <w:r w:rsidR="00F526D0">
        <w:t>rticipant</w:t>
      </w:r>
      <w:r w:rsidRPr="00C33B60">
        <w:t xml:space="preserve"> with a history of hypertension died of COVID</w:t>
      </w:r>
      <w:r w:rsidR="00F01E1E">
        <w:t>-</w:t>
      </w:r>
      <w:r w:rsidRPr="00C33B60">
        <w:t>19 pneumonia 26 days after the final dose of mirikizumab</w:t>
      </w:r>
      <w:r w:rsidR="00905F10">
        <w:t>.</w:t>
      </w:r>
    </w:p>
    <w:p w14:paraId="4F72D482" w14:textId="0553BF81" w:rsidR="004B165B" w:rsidRPr="00FA5A26" w:rsidRDefault="004B165B" w:rsidP="00FA5A26">
      <w:r w:rsidRPr="00FA5A26">
        <w:t xml:space="preserve">An additional </w:t>
      </w:r>
      <w:r w:rsidR="00FA5A26" w:rsidRPr="00FA5A26">
        <w:t>three</w:t>
      </w:r>
      <w:r w:rsidRPr="00FA5A26">
        <w:t xml:space="preserve"> deaths have subsequently been reported during the long</w:t>
      </w:r>
      <w:r w:rsidR="00D777FF">
        <w:t>-</w:t>
      </w:r>
      <w:r w:rsidRPr="00FA5A26">
        <w:t xml:space="preserve">term extension </w:t>
      </w:r>
      <w:r w:rsidR="00FA5A26" w:rsidRPr="00FA5A26">
        <w:t>S</w:t>
      </w:r>
      <w:r w:rsidRPr="00FA5A26">
        <w:t>tudy AMAP:</w:t>
      </w:r>
    </w:p>
    <w:p w14:paraId="034F50D4" w14:textId="1E18DA50" w:rsidR="004B165B" w:rsidRPr="00FA5A26" w:rsidRDefault="004B165B" w:rsidP="00FA5A26">
      <w:pPr>
        <w:pStyle w:val="ListBullet"/>
      </w:pPr>
      <w:r w:rsidRPr="00FA5A26">
        <w:t xml:space="preserve">A </w:t>
      </w:r>
      <w:r w:rsidR="00D81358" w:rsidRPr="00C33B60">
        <w:t>pa</w:t>
      </w:r>
      <w:r w:rsidR="00D81358">
        <w:t>rticipant</w:t>
      </w:r>
      <w:r w:rsidRPr="00FA5A26">
        <w:t xml:space="preserve"> receiving maintenance mirikizumab (834 days since first mirikizumab dose) died of </w:t>
      </w:r>
      <w:r w:rsidR="008E3955">
        <w:t>t</w:t>
      </w:r>
      <w:r w:rsidR="008E3955" w:rsidRPr="008E3955">
        <w:t xml:space="preserve">hrombotic thrombocytopenic purpura </w:t>
      </w:r>
      <w:r w:rsidRPr="00FA5A26">
        <w:t>and with a longstanding history of</w:t>
      </w:r>
      <w:r w:rsidR="00D777FF">
        <w:t xml:space="preserve"> t</w:t>
      </w:r>
      <w:r w:rsidR="00D777FF" w:rsidRPr="008E3955">
        <w:t>hrombotic thrombocytopenic purpura</w:t>
      </w:r>
      <w:r w:rsidR="008E3955">
        <w:t>.</w:t>
      </w:r>
    </w:p>
    <w:p w14:paraId="14DC8114" w14:textId="1FABE369" w:rsidR="004B165B" w:rsidRPr="00FA5A26" w:rsidRDefault="004B165B" w:rsidP="00FA5A26">
      <w:pPr>
        <w:pStyle w:val="ListBullet"/>
      </w:pPr>
      <w:r w:rsidRPr="00FA5A26">
        <w:t xml:space="preserve">A </w:t>
      </w:r>
      <w:r w:rsidR="00D81358" w:rsidRPr="00C33B60">
        <w:t>pa</w:t>
      </w:r>
      <w:r w:rsidR="00D81358">
        <w:t>rticipant</w:t>
      </w:r>
      <w:r w:rsidRPr="00FA5A26">
        <w:t xml:space="preserve"> receiving maintenance mirikizumab (892 days since first mirikizumab dose) died of multi-organ failure following a complicated COVID</w:t>
      </w:r>
      <w:r w:rsidR="00975A4C">
        <w:t>-</w:t>
      </w:r>
      <w:r w:rsidRPr="00FA5A26">
        <w:t>19 infection and with multiple risk factors for severe COVID</w:t>
      </w:r>
      <w:r w:rsidR="00975A4C">
        <w:t>-19.</w:t>
      </w:r>
    </w:p>
    <w:p w14:paraId="6A508840" w14:textId="739C1F41" w:rsidR="004B165B" w:rsidRPr="00FA5A26" w:rsidRDefault="004B165B" w:rsidP="00FA5A26">
      <w:pPr>
        <w:pStyle w:val="ListBullet"/>
      </w:pPr>
      <w:r w:rsidRPr="00FA5A26">
        <w:t xml:space="preserve">A </w:t>
      </w:r>
      <w:r w:rsidR="00D81358" w:rsidRPr="00C33B60">
        <w:t>pa</w:t>
      </w:r>
      <w:r w:rsidR="00D81358">
        <w:t>rticipant</w:t>
      </w:r>
      <w:r w:rsidRPr="00FA5A26">
        <w:t xml:space="preserve"> on maintenance mirikizumab (1119 days since first mirikizumab dose) died following a head injury.</w:t>
      </w:r>
    </w:p>
    <w:p w14:paraId="2E87E1A2" w14:textId="77777777" w:rsidR="004B165B" w:rsidRPr="00252456" w:rsidRDefault="004B165B" w:rsidP="00252456">
      <w:r w:rsidRPr="00252456">
        <w:t>Briefly, the deaths in the non-UC clinical development program were as follows:</w:t>
      </w:r>
    </w:p>
    <w:p w14:paraId="2DE7CA49" w14:textId="01C7C72C" w:rsidR="004B165B" w:rsidRPr="00252456" w:rsidRDefault="004B165B" w:rsidP="00252456">
      <w:pPr>
        <w:pStyle w:val="ListBullet"/>
      </w:pPr>
      <w:r w:rsidRPr="00252456">
        <w:t>Psoriasis (all subjects received mirikizumab)</w:t>
      </w:r>
    </w:p>
    <w:p w14:paraId="30482278" w14:textId="01CBBF89" w:rsidR="004B165B" w:rsidRPr="00252456" w:rsidRDefault="00D81358" w:rsidP="00252456">
      <w:pPr>
        <w:pStyle w:val="ListBullet2"/>
      </w:pPr>
      <w:r>
        <w:t>P</w:t>
      </w:r>
      <w:r w:rsidRPr="00C33B60">
        <w:t>a</w:t>
      </w:r>
      <w:r>
        <w:t>rticipant</w:t>
      </w:r>
      <w:r w:rsidR="004B165B" w:rsidRPr="00252456">
        <w:t xml:space="preserve"> died of acute myocardial infarction</w:t>
      </w:r>
      <w:r w:rsidR="008C751C">
        <w:t>.</w:t>
      </w:r>
    </w:p>
    <w:p w14:paraId="5A5F282A" w14:textId="02295AAD" w:rsidR="004B165B" w:rsidRPr="00252456" w:rsidRDefault="00D81358" w:rsidP="00252456">
      <w:pPr>
        <w:pStyle w:val="ListBullet2"/>
      </w:pPr>
      <w:r>
        <w:t>P</w:t>
      </w:r>
      <w:r w:rsidRPr="00C33B60">
        <w:t>a</w:t>
      </w:r>
      <w:r>
        <w:t>rticipant</w:t>
      </w:r>
      <w:r w:rsidR="004B165B" w:rsidRPr="00252456">
        <w:t xml:space="preserve"> died of myocardial infarction</w:t>
      </w:r>
      <w:r w:rsidR="008C751C">
        <w:t>.</w:t>
      </w:r>
    </w:p>
    <w:p w14:paraId="0F94B38B" w14:textId="1315F3FA" w:rsidR="004B165B" w:rsidRPr="00252456" w:rsidRDefault="00D81358" w:rsidP="00252456">
      <w:pPr>
        <w:pStyle w:val="ListBullet2"/>
      </w:pPr>
      <w:r>
        <w:t>P</w:t>
      </w:r>
      <w:r w:rsidRPr="00C33B60">
        <w:t>a</w:t>
      </w:r>
      <w:r>
        <w:t>rticipant</w:t>
      </w:r>
      <w:r w:rsidR="008C751C" w:rsidRPr="00252456">
        <w:t xml:space="preserve"> </w:t>
      </w:r>
      <w:r w:rsidR="004B165B" w:rsidRPr="00252456">
        <w:t>died of intracranial haemorrhage</w:t>
      </w:r>
      <w:r w:rsidR="008C751C">
        <w:t>.</w:t>
      </w:r>
    </w:p>
    <w:p w14:paraId="56B89EA1" w14:textId="6E3B0EC4" w:rsidR="004B165B" w:rsidRPr="00252456" w:rsidRDefault="00D81358" w:rsidP="00252456">
      <w:pPr>
        <w:pStyle w:val="ListBullet2"/>
      </w:pPr>
      <w:r>
        <w:t>P</w:t>
      </w:r>
      <w:r w:rsidRPr="00C33B60">
        <w:t>a</w:t>
      </w:r>
      <w:r>
        <w:t>rticipant</w:t>
      </w:r>
      <w:r w:rsidR="008C751C" w:rsidRPr="00252456">
        <w:t xml:space="preserve"> </w:t>
      </w:r>
      <w:r w:rsidR="004B165B" w:rsidRPr="00252456">
        <w:t>died of COVID-19 (respiratory failure)</w:t>
      </w:r>
      <w:r w:rsidR="008C751C">
        <w:t>.</w:t>
      </w:r>
    </w:p>
    <w:p w14:paraId="3E8E1687" w14:textId="472213C0" w:rsidR="004B165B" w:rsidRPr="00252456" w:rsidRDefault="00D777FF" w:rsidP="00D777FF">
      <w:pPr>
        <w:pStyle w:val="ListBullet2"/>
      </w:pPr>
      <w:r>
        <w:t>Two p</w:t>
      </w:r>
      <w:r w:rsidR="00D81358" w:rsidRPr="00C33B60">
        <w:t>a</w:t>
      </w:r>
      <w:r w:rsidR="00D81358">
        <w:t>rticipant</w:t>
      </w:r>
      <w:r>
        <w:t>s</w:t>
      </w:r>
      <w:r w:rsidR="008C751C" w:rsidRPr="00252456">
        <w:t xml:space="preserve"> </w:t>
      </w:r>
      <w:r w:rsidR="004B165B" w:rsidRPr="00252456">
        <w:t>died of COVID-19 pneumonia</w:t>
      </w:r>
      <w:r w:rsidR="008C751C">
        <w:t>.</w:t>
      </w:r>
    </w:p>
    <w:p w14:paraId="6C0308D7" w14:textId="478B4F3D" w:rsidR="004B165B" w:rsidRPr="00252456" w:rsidRDefault="00D81358" w:rsidP="00252456">
      <w:pPr>
        <w:pStyle w:val="ListBullet2"/>
      </w:pPr>
      <w:r>
        <w:t>P</w:t>
      </w:r>
      <w:r w:rsidRPr="00C33B60">
        <w:t>a</w:t>
      </w:r>
      <w:r>
        <w:t>rticipant</w:t>
      </w:r>
      <w:r w:rsidR="008C751C" w:rsidRPr="00252456">
        <w:t xml:space="preserve"> </w:t>
      </w:r>
      <w:r w:rsidR="004B165B" w:rsidRPr="00252456">
        <w:t>died of COVID-19</w:t>
      </w:r>
      <w:r w:rsidR="008C751C">
        <w:t>.</w:t>
      </w:r>
    </w:p>
    <w:p w14:paraId="4B770B1A" w14:textId="2F2C9F3F" w:rsidR="004B165B" w:rsidRPr="00252456" w:rsidRDefault="00D81358" w:rsidP="00252456">
      <w:pPr>
        <w:pStyle w:val="ListBullet2"/>
      </w:pPr>
      <w:r>
        <w:t>P</w:t>
      </w:r>
      <w:r w:rsidRPr="00C33B60">
        <w:t>a</w:t>
      </w:r>
      <w:r>
        <w:t>rticipant</w:t>
      </w:r>
      <w:r w:rsidR="008C751C" w:rsidRPr="00252456">
        <w:t xml:space="preserve"> </w:t>
      </w:r>
      <w:r w:rsidR="004B165B" w:rsidRPr="00252456">
        <w:t>died of lung cancer</w:t>
      </w:r>
      <w:r w:rsidR="008C751C">
        <w:t>.</w:t>
      </w:r>
    </w:p>
    <w:p w14:paraId="30F1CCF9" w14:textId="5CFFD1DF" w:rsidR="004B165B" w:rsidRPr="00252456" w:rsidRDefault="00D81358" w:rsidP="00252456">
      <w:pPr>
        <w:pStyle w:val="ListBullet2"/>
      </w:pPr>
      <w:r>
        <w:t>P</w:t>
      </w:r>
      <w:r w:rsidRPr="00C33B60">
        <w:t>a</w:t>
      </w:r>
      <w:r>
        <w:t>rticipant</w:t>
      </w:r>
      <w:r w:rsidR="008C751C" w:rsidRPr="00252456">
        <w:t xml:space="preserve"> </w:t>
      </w:r>
      <w:r w:rsidR="004B165B" w:rsidRPr="00252456">
        <w:t>died of metastatic colon cancer</w:t>
      </w:r>
      <w:r w:rsidR="008C751C">
        <w:t>.</w:t>
      </w:r>
    </w:p>
    <w:p w14:paraId="47512ED8" w14:textId="2C1C5445" w:rsidR="004B165B" w:rsidRPr="00252456" w:rsidRDefault="00D81358" w:rsidP="00252456">
      <w:pPr>
        <w:pStyle w:val="ListBullet2"/>
      </w:pPr>
      <w:r>
        <w:t>P</w:t>
      </w:r>
      <w:r w:rsidRPr="00C33B60">
        <w:t>a</w:t>
      </w:r>
      <w:r>
        <w:t>rticipant</w:t>
      </w:r>
      <w:r w:rsidR="008C751C" w:rsidRPr="00252456">
        <w:t xml:space="preserve"> </w:t>
      </w:r>
      <w:r w:rsidR="004B165B" w:rsidRPr="00252456">
        <w:t>died of lymphoma</w:t>
      </w:r>
      <w:r w:rsidR="008C751C">
        <w:t>.</w:t>
      </w:r>
    </w:p>
    <w:p w14:paraId="107EEBC3" w14:textId="1C45D6B9" w:rsidR="004B165B" w:rsidRPr="00252456" w:rsidRDefault="00D81358" w:rsidP="00252456">
      <w:pPr>
        <w:pStyle w:val="ListBullet2"/>
      </w:pPr>
      <w:r>
        <w:t>P</w:t>
      </w:r>
      <w:r w:rsidRPr="00C33B60">
        <w:t>a</w:t>
      </w:r>
      <w:r>
        <w:t>rticipant</w:t>
      </w:r>
      <w:r w:rsidR="008C751C" w:rsidRPr="00252456">
        <w:t xml:space="preserve"> </w:t>
      </w:r>
      <w:r w:rsidR="004B165B" w:rsidRPr="00252456">
        <w:t>died of unknown cause</w:t>
      </w:r>
      <w:r w:rsidR="008C751C">
        <w:t>.</w:t>
      </w:r>
    </w:p>
    <w:p w14:paraId="702762C4" w14:textId="3166C15E" w:rsidR="004B165B" w:rsidRPr="000D50D3" w:rsidRDefault="004B165B" w:rsidP="008C751C">
      <w:pPr>
        <w:pStyle w:val="ListBullet"/>
      </w:pPr>
      <w:r w:rsidRPr="000D50D3">
        <w:t>Crohn’s disease</w:t>
      </w:r>
    </w:p>
    <w:p w14:paraId="3204EB9F" w14:textId="666ED933" w:rsidR="004B165B" w:rsidRPr="000D50D3" w:rsidRDefault="00D81358" w:rsidP="008C751C">
      <w:pPr>
        <w:pStyle w:val="ListBullet2"/>
      </w:pPr>
      <w:r>
        <w:t>P</w:t>
      </w:r>
      <w:r w:rsidRPr="00C33B60">
        <w:t>a</w:t>
      </w:r>
      <w:r>
        <w:t>rticipant</w:t>
      </w:r>
      <w:r w:rsidR="008C751C" w:rsidRPr="000D50D3">
        <w:t xml:space="preserve"> </w:t>
      </w:r>
      <w:r w:rsidR="004B165B" w:rsidRPr="000D50D3">
        <w:t>died of sepsis (treatment</w:t>
      </w:r>
      <w:r w:rsidR="004B165B">
        <w:t xml:space="preserve"> allocation </w:t>
      </w:r>
      <w:r w:rsidR="004B165B" w:rsidRPr="000D50D3">
        <w:t>still blinded)</w:t>
      </w:r>
      <w:r w:rsidR="008C751C">
        <w:t>.</w:t>
      </w:r>
    </w:p>
    <w:p w14:paraId="01CFF454" w14:textId="2718A6E6" w:rsidR="004B165B" w:rsidRDefault="004B165B" w:rsidP="001A0C02">
      <w:pPr>
        <w:pStyle w:val="Heading5"/>
      </w:pPr>
      <w:r>
        <w:t>Malignancies</w:t>
      </w:r>
      <w:r w:rsidR="0099632D">
        <w:fldChar w:fldCharType="begin"/>
      </w:r>
      <w:r w:rsidR="0099632D">
        <w:instrText xml:space="preserve"> DOCVARIABLE vault_nd_2b10a0f1-501c-4e4d-80b5-159d531ec268 \* MERGEFORMAT </w:instrText>
      </w:r>
      <w:r w:rsidR="0099632D">
        <w:fldChar w:fldCharType="separate"/>
      </w:r>
      <w:r w:rsidR="005605B4">
        <w:t xml:space="preserve"> </w:t>
      </w:r>
      <w:r w:rsidR="0099632D">
        <w:fldChar w:fldCharType="end"/>
      </w:r>
    </w:p>
    <w:p w14:paraId="21DCEB85" w14:textId="759150DD" w:rsidR="004B165B" w:rsidRPr="008C751C" w:rsidRDefault="004B165B" w:rsidP="008C751C">
      <w:r w:rsidRPr="008C751C">
        <w:t xml:space="preserve">Malignancies occurred during the UC development program, mostly those of the gastrointestinal tract and skin. </w:t>
      </w:r>
      <w:r w:rsidRPr="008C751C">
        <w:fldChar w:fldCharType="begin"/>
      </w:r>
      <w:r w:rsidRPr="008C751C">
        <w:instrText xml:space="preserve"> REF _Ref129185231 \h </w:instrText>
      </w:r>
      <w:r w:rsidR="008C751C">
        <w:instrText xml:space="preserve"> \* MERGEFORMAT </w:instrText>
      </w:r>
      <w:r w:rsidRPr="008C751C">
        <w:fldChar w:fldCharType="separate"/>
      </w:r>
      <w:r w:rsidR="00D777FF">
        <w:t>Table 10</w:t>
      </w:r>
      <w:r w:rsidRPr="008C751C">
        <w:fldChar w:fldCharType="end"/>
      </w:r>
      <w:r w:rsidRPr="008C751C">
        <w:t xml:space="preserve"> shows the incidence rate in the placebo</w:t>
      </w:r>
      <w:r w:rsidR="007149D1">
        <w:t xml:space="preserve"> </w:t>
      </w:r>
      <w:r w:rsidRPr="008C751C">
        <w:t xml:space="preserve">controlled mirikizumab data sets, as well as </w:t>
      </w:r>
      <w:proofErr w:type="gramStart"/>
      <w:r w:rsidRPr="008C751C">
        <w:t>the all</w:t>
      </w:r>
      <w:proofErr w:type="gramEnd"/>
      <w:r w:rsidRPr="008C751C">
        <w:t xml:space="preserve"> UC dataset. </w:t>
      </w:r>
      <w:r w:rsidRPr="008C751C">
        <w:fldChar w:fldCharType="begin"/>
      </w:r>
      <w:r w:rsidRPr="008C751C">
        <w:instrText xml:space="preserve"> REF _Ref129185308 \h </w:instrText>
      </w:r>
      <w:r w:rsidR="008C751C">
        <w:instrText xml:space="preserve"> \* MERGEFORMAT </w:instrText>
      </w:r>
      <w:r w:rsidRPr="008C751C">
        <w:fldChar w:fldCharType="separate"/>
      </w:r>
      <w:r w:rsidR="00D777FF">
        <w:t>Table 11</w:t>
      </w:r>
      <w:r w:rsidRPr="008C751C">
        <w:fldChar w:fldCharType="end"/>
      </w:r>
      <w:r w:rsidRPr="008C751C">
        <w:t xml:space="preserve"> shows the updated incidence rate, which is similar across the various indications, occurring at an overall rate of 0.6 per 100 patient</w:t>
      </w:r>
      <w:r w:rsidR="00DE2E08">
        <w:t xml:space="preserve"> </w:t>
      </w:r>
      <w:r w:rsidRPr="008C751C">
        <w:t>years (including non-melanoma skin cancers). It is noted that the malignancies included a diffuse large B cell lymphoma (</w:t>
      </w:r>
      <w:proofErr w:type="spellStart"/>
      <w:r w:rsidRPr="008C751C">
        <w:t>plasmablastic</w:t>
      </w:r>
      <w:proofErr w:type="spellEnd"/>
      <w:r w:rsidRPr="008C751C">
        <w:t xml:space="preserve">) after approximately 13 months of mirikizumab treatment and </w:t>
      </w:r>
      <w:r w:rsidRPr="008C751C">
        <w:lastRenderedPageBreak/>
        <w:t>colonic in a</w:t>
      </w:r>
      <w:r w:rsidR="004F2478" w:rsidRPr="004F2478">
        <w:t xml:space="preserve"> </w:t>
      </w:r>
      <w:r w:rsidR="004F2478">
        <w:t>p</w:t>
      </w:r>
      <w:r w:rsidR="004F2478" w:rsidRPr="00C33B60">
        <w:t>a</w:t>
      </w:r>
      <w:r w:rsidR="004F2478">
        <w:t>rticipant</w:t>
      </w:r>
      <w:r w:rsidR="004F2478" w:rsidRPr="008C751C">
        <w:t xml:space="preserve"> </w:t>
      </w:r>
      <w:r w:rsidRPr="008C751C">
        <w:t xml:space="preserve">without </w:t>
      </w:r>
      <w:r w:rsidR="00DE2E08">
        <w:t>h</w:t>
      </w:r>
      <w:r w:rsidR="00DE2E08" w:rsidRPr="00DE2E08">
        <w:t xml:space="preserve">uman immunodeficiency virus </w:t>
      </w:r>
      <w:r w:rsidR="00DE2E08">
        <w:t>(</w:t>
      </w:r>
      <w:r w:rsidRPr="00D777FF">
        <w:t>HIV</w:t>
      </w:r>
      <w:r w:rsidR="00DE2E08">
        <w:t>)</w:t>
      </w:r>
      <w:r w:rsidRPr="008C751C">
        <w:t xml:space="preserve"> after 12</w:t>
      </w:r>
      <w:r w:rsidR="00DE2E08">
        <w:t> </w:t>
      </w:r>
      <w:r w:rsidRPr="008C751C">
        <w:t>weeks mirikizumab induction therapy.</w:t>
      </w:r>
    </w:p>
    <w:p w14:paraId="576E5FEA" w14:textId="6C7D7DBE" w:rsidR="004B165B" w:rsidRDefault="004B165B" w:rsidP="00DE2E08">
      <w:pPr>
        <w:pStyle w:val="TableTitle"/>
      </w:pPr>
      <w:bookmarkStart w:id="72" w:name="_Ref129185231"/>
      <w:r>
        <w:t xml:space="preserve">Table </w:t>
      </w:r>
      <w:fldSimple w:instr=" SEQ Table \* ARABIC ">
        <w:r w:rsidR="00D777FF">
          <w:rPr>
            <w:noProof/>
          </w:rPr>
          <w:t>10</w:t>
        </w:r>
      </w:fldSimple>
      <w:bookmarkEnd w:id="72"/>
      <w:r w:rsidR="00DE2E08">
        <w:rPr>
          <w:noProof/>
        </w:rPr>
        <w:t>:</w:t>
      </w:r>
      <w:r>
        <w:t xml:space="preserve"> </w:t>
      </w:r>
      <w:r w:rsidR="00DE2E08">
        <w:t xml:space="preserve">Studies </w:t>
      </w:r>
      <w:r w:rsidR="00DE2E08" w:rsidRPr="002445D1">
        <w:rPr>
          <w:bCs/>
        </w:rPr>
        <w:t>AMAN</w:t>
      </w:r>
      <w:r w:rsidR="00DE2E08">
        <w:t xml:space="preserve"> and </w:t>
      </w:r>
      <w:r w:rsidR="00DE2E08" w:rsidRPr="002445D1">
        <w:rPr>
          <w:bCs/>
        </w:rPr>
        <w:t>AMBG</w:t>
      </w:r>
      <w:r w:rsidR="00DE2E08">
        <w:t xml:space="preserve"> e</w:t>
      </w:r>
      <w:r>
        <w:t>xposure-adjusted incidence rates of malignanc</w:t>
      </w:r>
      <w:r w:rsidR="00DE2E08">
        <w:t>y</w:t>
      </w:r>
      <w:r w:rsidR="0099632D">
        <w:fldChar w:fldCharType="begin"/>
      </w:r>
      <w:r w:rsidR="0099632D">
        <w:instrText xml:space="preserve"> DOCVARIABLE vault_nd_8f454d87-28e3-4434-96d4-9b0c11de2cd4 \* MERGEFORMAT </w:instrText>
      </w:r>
      <w:r w:rsidR="0099632D">
        <w:fldChar w:fldCharType="separate"/>
      </w:r>
      <w:r w:rsidR="005605B4">
        <w:t xml:space="preserve"> </w:t>
      </w:r>
      <w:r w:rsidR="0099632D">
        <w:fldChar w:fldCharType="end"/>
      </w:r>
    </w:p>
    <w:p w14:paraId="7D4ED8B5" w14:textId="6F908C74" w:rsidR="008A69DE" w:rsidRDefault="008A69DE" w:rsidP="006278D0">
      <w:r>
        <w:rPr>
          <w:noProof/>
        </w:rPr>
        <w:drawing>
          <wp:inline distT="0" distB="0" distL="0" distR="0" wp14:anchorId="77EF0C16" wp14:editId="1B5B00BE">
            <wp:extent cx="5730875" cy="4352925"/>
            <wp:effectExtent l="0" t="0" r="3175" b="9525"/>
            <wp:docPr id="8" name="Picture 8" descr="Studies AMAN and AMBG exposure-adjusted incidence rates of mali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ies AMAN and AMBG exposure-adjusted incidence rates of malignanc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4352925"/>
                    </a:xfrm>
                    <a:prstGeom prst="rect">
                      <a:avLst/>
                    </a:prstGeom>
                    <a:noFill/>
                  </pic:spPr>
                </pic:pic>
              </a:graphicData>
            </a:graphic>
          </wp:inline>
        </w:drawing>
      </w:r>
    </w:p>
    <w:p w14:paraId="55A45F7D" w14:textId="0D2FDAC9" w:rsidR="004B165B" w:rsidRDefault="004B165B" w:rsidP="004F7AE8">
      <w:pPr>
        <w:pStyle w:val="TableTitle"/>
      </w:pPr>
      <w:bookmarkStart w:id="73" w:name="_Ref129185308"/>
      <w:r>
        <w:lastRenderedPageBreak/>
        <w:t xml:space="preserve">Table </w:t>
      </w:r>
      <w:fldSimple w:instr=" SEQ Table \* ARABIC ">
        <w:r w:rsidR="00D777FF">
          <w:rPr>
            <w:noProof/>
          </w:rPr>
          <w:t>11</w:t>
        </w:r>
      </w:fldSimple>
      <w:bookmarkEnd w:id="73"/>
      <w:r w:rsidR="004F7AE8">
        <w:rPr>
          <w:noProof/>
        </w:rPr>
        <w:t>:</w:t>
      </w:r>
      <w:r>
        <w:t xml:space="preserve"> Exposure-adjusted incidence rates of malignancy across the </w:t>
      </w:r>
      <w:r w:rsidR="004F7AE8">
        <w:t xml:space="preserve">ulcerative colitis </w:t>
      </w:r>
      <w:r>
        <w:t>and all indication data sets</w:t>
      </w:r>
      <w:r w:rsidR="00D777FF">
        <w:t xml:space="preserve"> </w:t>
      </w:r>
      <w:r>
        <w:t>with recent update</w:t>
      </w:r>
      <w:r w:rsidR="0099632D">
        <w:fldChar w:fldCharType="begin"/>
      </w:r>
      <w:r w:rsidR="0099632D">
        <w:instrText xml:space="preserve"> DOCVARIABLE vault_nd_d98d971f-e79d-4d09-a1fb-51eb681bfd1f \* MERGEFORMAT </w:instrText>
      </w:r>
      <w:r w:rsidR="0099632D">
        <w:fldChar w:fldCharType="separate"/>
      </w:r>
      <w:r w:rsidR="005605B4">
        <w:t xml:space="preserve"> </w:t>
      </w:r>
      <w:r w:rsidR="0099632D">
        <w:fldChar w:fldCharType="end"/>
      </w:r>
    </w:p>
    <w:p w14:paraId="1DF0273D" w14:textId="77777777" w:rsidR="004B165B" w:rsidRDefault="004B165B" w:rsidP="004B165B">
      <w:r>
        <w:rPr>
          <w:noProof/>
        </w:rPr>
        <w:drawing>
          <wp:inline distT="0" distB="0" distL="0" distR="0" wp14:anchorId="6BC0A8F6" wp14:editId="43F726F0">
            <wp:extent cx="5705475" cy="5224145"/>
            <wp:effectExtent l="0" t="0" r="9525" b="0"/>
            <wp:docPr id="16" name="Picture 16" descr="Exposure-adjusted incidence rates of malignancy across the ulcerative colitis and all indication data sets with recent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posure-adjusted incidence rates of malignancy across the ulcerative colitis and all indication data sets with recent update"/>
                    <pic:cNvPicPr/>
                  </pic:nvPicPr>
                  <pic:blipFill rotWithShape="1">
                    <a:blip r:embed="rId41"/>
                    <a:srcRect l="2327" t="1424" b="955"/>
                    <a:stretch/>
                  </pic:blipFill>
                  <pic:spPr bwMode="auto">
                    <a:xfrm>
                      <a:off x="0" y="0"/>
                      <a:ext cx="5706236" cy="5224842"/>
                    </a:xfrm>
                    <a:prstGeom prst="rect">
                      <a:avLst/>
                    </a:prstGeom>
                    <a:ln>
                      <a:noFill/>
                    </a:ln>
                    <a:extLst>
                      <a:ext uri="{53640926-AAD7-44D8-BBD7-CCE9431645EC}">
                        <a14:shadowObscured xmlns:a14="http://schemas.microsoft.com/office/drawing/2010/main"/>
                      </a:ext>
                    </a:extLst>
                  </pic:spPr>
                </pic:pic>
              </a:graphicData>
            </a:graphic>
          </wp:inline>
        </w:drawing>
      </w:r>
    </w:p>
    <w:p w14:paraId="78C62724" w14:textId="0CF5CE6B" w:rsidR="00F47871" w:rsidRPr="002F54F4" w:rsidRDefault="00F47871" w:rsidP="00EC661C">
      <w:pPr>
        <w:pStyle w:val="TableDescription"/>
      </w:pPr>
      <w:r w:rsidRPr="002F54F4">
        <w:t>Abbreviations: IR = incidence rate</w:t>
      </w:r>
      <w:r w:rsidR="002F54F4">
        <w:t>,</w:t>
      </w:r>
      <w:r w:rsidRPr="002F54F4">
        <w:t xml:space="preserve"> IV = intravenous</w:t>
      </w:r>
      <w:r w:rsidR="002F54F4">
        <w:t>,</w:t>
      </w:r>
      <w:r w:rsidRPr="002F54F4">
        <w:t xml:space="preserve"> miri = mirikizumab</w:t>
      </w:r>
      <w:r w:rsidR="002F54F4">
        <w:t>,</w:t>
      </w:r>
      <w:r w:rsidRPr="002F54F4">
        <w:t xml:space="preserve"> N = number of participants in the safety analysis set</w:t>
      </w:r>
      <w:r w:rsidR="002F54F4">
        <w:t>,</w:t>
      </w:r>
      <w:r w:rsidRPr="002F54F4">
        <w:t xml:space="preserve"> n = number of participants in</w:t>
      </w:r>
      <w:r w:rsidR="002F54F4">
        <w:t xml:space="preserve"> </w:t>
      </w:r>
      <w:r w:rsidRPr="002F54F4">
        <w:t>specified category</w:t>
      </w:r>
      <w:r w:rsidR="002F54F4">
        <w:t>,</w:t>
      </w:r>
      <w:r w:rsidRPr="002F54F4">
        <w:t xml:space="preserve"> NMSC</w:t>
      </w:r>
      <w:r w:rsidR="002F54F4">
        <w:t> </w:t>
      </w:r>
      <w:r w:rsidRPr="002F54F4">
        <w:t>=</w:t>
      </w:r>
      <w:r w:rsidR="002F54F4">
        <w:t> </w:t>
      </w:r>
      <w:r w:rsidRPr="002F54F4">
        <w:t>non-melanoma skin cancer</w:t>
      </w:r>
      <w:r w:rsidR="002F54F4">
        <w:t>,</w:t>
      </w:r>
      <w:r w:rsidRPr="002F54F4">
        <w:t xml:space="preserve"> PYE = patient-years of exposure</w:t>
      </w:r>
      <w:r w:rsidR="002F54F4">
        <w:t>,</w:t>
      </w:r>
      <w:r w:rsidRPr="002F54F4">
        <w:t xml:space="preserve"> Q4W = once every 4 weeks</w:t>
      </w:r>
      <w:r w:rsidR="002F54F4">
        <w:t>,</w:t>
      </w:r>
      <w:r w:rsidRPr="002F54F4">
        <w:t xml:space="preserve"> SC = subcutaneous</w:t>
      </w:r>
      <w:r w:rsidR="006906C7">
        <w:t xml:space="preserve">, </w:t>
      </w:r>
      <w:r w:rsidRPr="002F54F4">
        <w:t>TE =</w:t>
      </w:r>
      <w:r w:rsidR="006906C7">
        <w:t xml:space="preserve"> </w:t>
      </w:r>
      <w:r w:rsidRPr="002F54F4">
        <w:t>treatment-emergent</w:t>
      </w:r>
      <w:r w:rsidR="006906C7">
        <w:t>,</w:t>
      </w:r>
      <w:r w:rsidRPr="002F54F4">
        <w:t xml:space="preserve"> UC = ulcerative colitis.</w:t>
      </w:r>
    </w:p>
    <w:p w14:paraId="18019142" w14:textId="14F7B98B" w:rsidR="004B165B" w:rsidRDefault="004B165B" w:rsidP="001A0C02">
      <w:pPr>
        <w:pStyle w:val="Heading5"/>
      </w:pPr>
      <w:r>
        <w:t>Vascular events</w:t>
      </w:r>
      <w:r w:rsidR="0099632D">
        <w:fldChar w:fldCharType="begin"/>
      </w:r>
      <w:r w:rsidR="0099632D">
        <w:instrText xml:space="preserve"> DOCVARIABLE vault_nd_7e4870ca-28ba-4091-9f01-607ab55f3572 \* MERGEFORMAT </w:instrText>
      </w:r>
      <w:r w:rsidR="0099632D">
        <w:fldChar w:fldCharType="separate"/>
      </w:r>
      <w:r w:rsidR="005605B4">
        <w:t xml:space="preserve"> </w:t>
      </w:r>
      <w:r w:rsidR="0099632D">
        <w:fldChar w:fldCharType="end"/>
      </w:r>
    </w:p>
    <w:p w14:paraId="0F2E5D68" w14:textId="53C978A9" w:rsidR="004B165B" w:rsidRPr="006906C7" w:rsidRDefault="004B165B" w:rsidP="006906C7">
      <w:r w:rsidRPr="006906C7">
        <w:t xml:space="preserve">In </w:t>
      </w:r>
      <w:r w:rsidR="006906C7">
        <w:t>S</w:t>
      </w:r>
      <w:r w:rsidRPr="006906C7">
        <w:t xml:space="preserve">tudy AMAN, </w:t>
      </w:r>
      <w:r w:rsidR="00F75050">
        <w:t>one</w:t>
      </w:r>
      <w:r w:rsidRPr="006906C7">
        <w:t xml:space="preserve"> patient (0.1%) in the mirikizumab group reported a case of hypertension that </w:t>
      </w:r>
      <w:proofErr w:type="gramStart"/>
      <w:r w:rsidRPr="006906C7">
        <w:t>lead</w:t>
      </w:r>
      <w:proofErr w:type="gramEnd"/>
      <w:r w:rsidRPr="006906C7">
        <w:t xml:space="preserve"> to hospitalisation. In the placebo group,</w:t>
      </w:r>
      <w:r w:rsidR="00EC661C">
        <w:t xml:space="preserve"> one</w:t>
      </w:r>
      <w:r w:rsidRPr="006906C7">
        <w:t xml:space="preserve"> patient (0.3%) reported a serious arrhythmia, and </w:t>
      </w:r>
      <w:r w:rsidR="00EC661C">
        <w:t>one</w:t>
      </w:r>
      <w:r w:rsidRPr="006906C7">
        <w:t xml:space="preserve"> patient (0.3%) reported unstable angina pectoris with consecutive coronary revascularization. In </w:t>
      </w:r>
      <w:r w:rsidR="00EC661C">
        <w:t>S</w:t>
      </w:r>
      <w:r w:rsidRPr="006906C7">
        <w:t xml:space="preserve">tudy AMBG, </w:t>
      </w:r>
      <w:r w:rsidR="00EC661C">
        <w:t>one</w:t>
      </w:r>
      <w:r w:rsidRPr="006906C7">
        <w:t xml:space="preserve"> patient (0.5%) in the mirikizumab-responder placebo group reported a stroke (</w:t>
      </w:r>
      <w:r w:rsidR="00EC661C">
        <w:t>that is,</w:t>
      </w:r>
      <w:r w:rsidRPr="006906C7">
        <w:t xml:space="preserve"> exposed to mirikizumab induction and subsequently randomised to placebo in the maintenance study).</w:t>
      </w:r>
    </w:p>
    <w:p w14:paraId="00C21CC0" w14:textId="0C998C63" w:rsidR="004B165B" w:rsidRPr="006906C7" w:rsidRDefault="004B165B" w:rsidP="006906C7">
      <w:r w:rsidRPr="006906C7">
        <w:t>In the whole mirikizumab exposure set (</w:t>
      </w:r>
      <w:r w:rsidRPr="006906C7">
        <w:fldChar w:fldCharType="begin"/>
      </w:r>
      <w:r w:rsidRPr="006906C7">
        <w:instrText xml:space="preserve"> REF _Ref138063121 \h </w:instrText>
      </w:r>
      <w:r w:rsidR="006906C7">
        <w:instrText xml:space="preserve"> \* MERGEFORMAT </w:instrText>
      </w:r>
      <w:r w:rsidRPr="006906C7">
        <w:fldChar w:fldCharType="separate"/>
      </w:r>
      <w:r w:rsidR="00D777FF">
        <w:t>Table 12</w:t>
      </w:r>
      <w:r w:rsidRPr="006906C7">
        <w:fldChar w:fldCharType="end"/>
      </w:r>
      <w:r w:rsidRPr="006906C7">
        <w:t xml:space="preserve">), </w:t>
      </w:r>
      <w:r w:rsidR="00EC661C">
        <w:t>two</w:t>
      </w:r>
      <w:r w:rsidRPr="006906C7">
        <w:t xml:space="preserve"> cardiac deaths, 16 myocardial infarctions, </w:t>
      </w:r>
      <w:r w:rsidR="00EC661C">
        <w:t>three</w:t>
      </w:r>
      <w:r w:rsidRPr="006906C7">
        <w:t xml:space="preserve"> heart failures, </w:t>
      </w:r>
      <w:r w:rsidR="00EC661C">
        <w:t>three</w:t>
      </w:r>
      <w:r w:rsidRPr="006906C7">
        <w:t xml:space="preserve"> cases of hypertension, 24 cases of serious arrhythmia, 22</w:t>
      </w:r>
      <w:r w:rsidR="00D777FF">
        <w:t> </w:t>
      </w:r>
      <w:r w:rsidRPr="006906C7">
        <w:t xml:space="preserve">cases of coronary revascularization procedures, </w:t>
      </w:r>
      <w:r w:rsidR="00532AC4">
        <w:t>five</w:t>
      </w:r>
      <w:r w:rsidRPr="006906C7">
        <w:t xml:space="preserve"> transient ischemic attacks, </w:t>
      </w:r>
      <w:r w:rsidR="00532AC4">
        <w:t>nine</w:t>
      </w:r>
      <w:r w:rsidRPr="006906C7">
        <w:t xml:space="preserve"> strokes, and one peripheral arterial event were reported. Most of these events occurred in subjects with psoriasis. The higher rate of cardiovascular events in the psoriasis trials could be related to differences in underlying risk between indications. The </w:t>
      </w:r>
      <w:r w:rsidR="00532AC4">
        <w:t>s</w:t>
      </w:r>
      <w:r w:rsidRPr="006906C7">
        <w:t xml:space="preserve">ponsor has stated that the rate of </w:t>
      </w:r>
      <w:r w:rsidR="00980C07" w:rsidRPr="00980C07">
        <w:t xml:space="preserve">major adverse </w:t>
      </w:r>
      <w:proofErr w:type="spellStart"/>
      <w:r w:rsidR="00980C07" w:rsidRPr="00980C07">
        <w:t>cerebro</w:t>
      </w:r>
      <w:proofErr w:type="spellEnd"/>
      <w:r w:rsidR="00980C07" w:rsidRPr="00980C07">
        <w:t>-cardiovascular event</w:t>
      </w:r>
      <w:r w:rsidRPr="006906C7">
        <w:t xml:space="preserve"> in the all mirikizumab set (0.3 events per 100 patient</w:t>
      </w:r>
      <w:r w:rsidR="00E65D15">
        <w:t xml:space="preserve"> </w:t>
      </w:r>
      <w:r w:rsidRPr="006906C7">
        <w:lastRenderedPageBreak/>
        <w:t>years) is within background incidence ratios for the respective populations and for other drugs acting through IL23-p19.</w:t>
      </w:r>
    </w:p>
    <w:p w14:paraId="31D5AD8B" w14:textId="12242422" w:rsidR="004B165B" w:rsidRPr="006906C7" w:rsidRDefault="004B165B" w:rsidP="006906C7">
      <w:r w:rsidRPr="006906C7">
        <w:t xml:space="preserve">The </w:t>
      </w:r>
      <w:r w:rsidR="00E65D15">
        <w:t>s</w:t>
      </w:r>
      <w:r w:rsidRPr="006906C7">
        <w:t>ponsor’s view is that there is no current signal relating to vascular events.</w:t>
      </w:r>
    </w:p>
    <w:p w14:paraId="6A5D0EC7" w14:textId="1EEA2006" w:rsidR="004B165B" w:rsidRDefault="004B165B" w:rsidP="00EA131B">
      <w:pPr>
        <w:pStyle w:val="TableTitle"/>
      </w:pPr>
      <w:bookmarkStart w:id="74" w:name="_Ref138063121"/>
      <w:r>
        <w:t xml:space="preserve">Table </w:t>
      </w:r>
      <w:fldSimple w:instr=" SEQ Table \* ARABIC ">
        <w:r w:rsidR="00D777FF">
          <w:rPr>
            <w:noProof/>
          </w:rPr>
          <w:t>12</w:t>
        </w:r>
      </w:fldSimple>
      <w:bookmarkEnd w:id="74"/>
      <w:r w:rsidR="00EA131B">
        <w:rPr>
          <w:noProof/>
        </w:rPr>
        <w:t>:</w:t>
      </w:r>
      <w:r>
        <w:t xml:space="preserve"> Exposure-adjusted incidence rates of cerebrovascular and cardiovascular </w:t>
      </w:r>
      <w:r w:rsidR="00EA131B">
        <w:t>treatment-emergent adverse events</w:t>
      </w:r>
      <w:r w:rsidR="0099632D">
        <w:fldChar w:fldCharType="begin"/>
      </w:r>
      <w:r w:rsidR="0099632D">
        <w:instrText xml:space="preserve"> D</w:instrText>
      </w:r>
      <w:r w:rsidR="0099632D">
        <w:instrText xml:space="preserve">OCVARIABLE vault_nd_5bc36fa9-2c55-4742-b03d-d9c1ad42604d \* MERGEFORMAT </w:instrText>
      </w:r>
      <w:r w:rsidR="0099632D">
        <w:fldChar w:fldCharType="separate"/>
      </w:r>
      <w:r w:rsidR="005605B4">
        <w:t xml:space="preserve"> </w:t>
      </w:r>
      <w:r w:rsidR="0099632D">
        <w:fldChar w:fldCharType="end"/>
      </w:r>
    </w:p>
    <w:p w14:paraId="4666491C" w14:textId="0F28EE1D" w:rsidR="00E74638" w:rsidRPr="00E74638" w:rsidRDefault="00E74638" w:rsidP="00E74638">
      <w:r>
        <w:rPr>
          <w:noProof/>
        </w:rPr>
        <w:drawing>
          <wp:inline distT="0" distB="0" distL="0" distR="0" wp14:anchorId="30438A41" wp14:editId="03CAE3A7">
            <wp:extent cx="5759450" cy="3369945"/>
            <wp:effectExtent l="0" t="0" r="0" b="1905"/>
            <wp:docPr id="17" name="Picture 17" descr="Exposure-adjusted incidence rates of cerebrovascular and cardiovascular treatment-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posure-adjusted incidence rates of cerebrovascular and cardiovascular treatment-emergent adverse events"/>
                    <pic:cNvPicPr/>
                  </pic:nvPicPr>
                  <pic:blipFill>
                    <a:blip r:embed="rId42"/>
                    <a:stretch>
                      <a:fillRect/>
                    </a:stretch>
                  </pic:blipFill>
                  <pic:spPr>
                    <a:xfrm>
                      <a:off x="0" y="0"/>
                      <a:ext cx="5759450" cy="3369945"/>
                    </a:xfrm>
                    <a:prstGeom prst="rect">
                      <a:avLst/>
                    </a:prstGeom>
                  </pic:spPr>
                </pic:pic>
              </a:graphicData>
            </a:graphic>
          </wp:inline>
        </w:drawing>
      </w:r>
    </w:p>
    <w:p w14:paraId="7871D928" w14:textId="34CAABF3" w:rsidR="004B165B" w:rsidRPr="00EA131B" w:rsidRDefault="004B165B" w:rsidP="00EA131B">
      <w:r w:rsidRPr="00EA131B">
        <w:t xml:space="preserve">Phase </w:t>
      </w:r>
      <w:r w:rsidR="00EA131B" w:rsidRPr="00EA131B">
        <w:t>II</w:t>
      </w:r>
      <w:r w:rsidRPr="00EA131B">
        <w:t xml:space="preserve"> Study AMAC did not raise additional safety signals or concerns from those seen in the pivotal efficacy trials.</w:t>
      </w:r>
    </w:p>
    <w:p w14:paraId="4827E75F" w14:textId="640463E2" w:rsidR="004B165B" w:rsidRDefault="004B165B" w:rsidP="001A0C02">
      <w:pPr>
        <w:pStyle w:val="Heading5"/>
      </w:pPr>
      <w:r>
        <w:t>Immunogenicity</w:t>
      </w:r>
      <w:r w:rsidR="0099632D">
        <w:fldChar w:fldCharType="begin"/>
      </w:r>
      <w:r w:rsidR="0099632D">
        <w:instrText xml:space="preserve"> DOCVARIABLE vault_nd_99770fba-8f3d-4d31-9d</w:instrText>
      </w:r>
      <w:r w:rsidR="0099632D">
        <w:instrText xml:space="preserve">28-7513bacca1f4 \* MERGEFORMAT </w:instrText>
      </w:r>
      <w:r w:rsidR="0099632D">
        <w:fldChar w:fldCharType="separate"/>
      </w:r>
      <w:r w:rsidR="005605B4">
        <w:t xml:space="preserve"> </w:t>
      </w:r>
      <w:r w:rsidR="0099632D">
        <w:fldChar w:fldCharType="end"/>
      </w:r>
    </w:p>
    <w:p w14:paraId="3DE40553" w14:textId="16510CE2" w:rsidR="004B165B" w:rsidRPr="00A70F06" w:rsidRDefault="004B165B" w:rsidP="00A70F06">
      <w:r w:rsidRPr="00A70F06">
        <w:t xml:space="preserve">A total of 378 patients on the UC </w:t>
      </w:r>
      <w:r w:rsidR="00966501" w:rsidRPr="00A70F06">
        <w:t>t</w:t>
      </w:r>
      <w:r w:rsidRPr="00A70F06">
        <w:t xml:space="preserve">reatment </w:t>
      </w:r>
      <w:r w:rsidR="00966501" w:rsidRPr="00A70F06">
        <w:t>r</w:t>
      </w:r>
      <w:r w:rsidRPr="00A70F06">
        <w:t xml:space="preserve">egimen through 52 weeks (across </w:t>
      </w:r>
      <w:r w:rsidR="00966501" w:rsidRPr="00A70F06">
        <w:t>S</w:t>
      </w:r>
      <w:r w:rsidRPr="00A70F06">
        <w:t xml:space="preserve">tudies AMAN and AMBG) were evaluable for </w:t>
      </w:r>
      <w:r w:rsidR="00C35FA3">
        <w:t>treatment-emergent antidrug antibody (</w:t>
      </w:r>
      <w:r w:rsidRPr="00D777FF">
        <w:t>ADA</w:t>
      </w:r>
      <w:r w:rsidR="00C35FA3">
        <w:t>)</w:t>
      </w:r>
      <w:r w:rsidRPr="00A70F06">
        <w:t xml:space="preserve">. At </w:t>
      </w:r>
      <w:r w:rsidR="00C35FA3">
        <w:t>B</w:t>
      </w:r>
      <w:r w:rsidRPr="00A70F06">
        <w:t>aseline</w:t>
      </w:r>
      <w:r w:rsidR="00C35FA3">
        <w:t>:</w:t>
      </w:r>
      <w:r w:rsidRPr="00A70F06">
        <w:t xml:space="preserve"> </w:t>
      </w:r>
    </w:p>
    <w:p w14:paraId="6FAD0483" w14:textId="593BA0BD" w:rsidR="004B165B" w:rsidRPr="00C35FA3" w:rsidRDefault="0018550D" w:rsidP="00C35FA3">
      <w:pPr>
        <w:pStyle w:val="ListBullet"/>
      </w:pPr>
      <w:r>
        <w:t>11</w:t>
      </w:r>
      <w:r w:rsidR="00AA690D">
        <w:t xml:space="preserve"> </w:t>
      </w:r>
      <w:r w:rsidR="004B165B" w:rsidRPr="00C35FA3">
        <w:t>(2.9%) patients had ADA present</w:t>
      </w:r>
    </w:p>
    <w:p w14:paraId="5B92FABE" w14:textId="2E24E13E" w:rsidR="004B165B" w:rsidRPr="00C35FA3" w:rsidRDefault="004123B0" w:rsidP="00C35FA3">
      <w:pPr>
        <w:pStyle w:val="ListBullet"/>
      </w:pPr>
      <w:r>
        <w:t>t</w:t>
      </w:r>
      <w:r w:rsidR="00C35FA3">
        <w:t>hree</w:t>
      </w:r>
      <w:r w:rsidR="004B165B" w:rsidRPr="00C35FA3">
        <w:t xml:space="preserve"> (0.8%) patients were neutralising antibody positive</w:t>
      </w:r>
    </w:p>
    <w:p w14:paraId="30AA2D41" w14:textId="20BCDE12" w:rsidR="004B165B" w:rsidRPr="00C35FA3" w:rsidRDefault="004123B0" w:rsidP="00C35FA3">
      <w:pPr>
        <w:pStyle w:val="ListBullet"/>
      </w:pPr>
      <w:r>
        <w:t>t</w:t>
      </w:r>
      <w:r w:rsidR="004B165B" w:rsidRPr="00C35FA3">
        <w:t>itres ranged from 1:10 to 1:320 with a median titre of 1:10</w:t>
      </w:r>
    </w:p>
    <w:p w14:paraId="0B96F57A" w14:textId="29BAA98F" w:rsidR="004B165B" w:rsidRPr="00915D81" w:rsidRDefault="004B165B" w:rsidP="00915D81">
      <w:r w:rsidRPr="00915D81">
        <w:t xml:space="preserve">Of the 378 evaluable patients across </w:t>
      </w:r>
      <w:r w:rsidR="00915D81">
        <w:t>S</w:t>
      </w:r>
      <w:r w:rsidRPr="00915D81">
        <w:t>tudies AMAN and AMBG through 52 weeks</w:t>
      </w:r>
      <w:r w:rsidR="00915D81">
        <w:t>:</w:t>
      </w:r>
    </w:p>
    <w:p w14:paraId="3953FB26" w14:textId="0D5F1BB7" w:rsidR="004B165B" w:rsidRPr="003D09EF" w:rsidRDefault="004B165B" w:rsidP="003D09EF">
      <w:pPr>
        <w:pStyle w:val="ListBullet"/>
      </w:pPr>
      <w:r w:rsidRPr="003D09EF">
        <w:t>88 (23.3%) patients had treatment emergent ADA positivity</w:t>
      </w:r>
    </w:p>
    <w:p w14:paraId="65D6B2A0" w14:textId="77777777" w:rsidR="004B165B" w:rsidRPr="003D09EF" w:rsidRDefault="004B165B" w:rsidP="003D09EF">
      <w:pPr>
        <w:pStyle w:val="ListBullet"/>
      </w:pPr>
      <w:r w:rsidRPr="003D09EF">
        <w:t>86 (22.8%) patients were treatment-induced</w:t>
      </w:r>
    </w:p>
    <w:p w14:paraId="788F8B73" w14:textId="2B7A763C" w:rsidR="004B165B" w:rsidRPr="003D09EF" w:rsidRDefault="004123B0" w:rsidP="003D09EF">
      <w:pPr>
        <w:pStyle w:val="ListBullet"/>
      </w:pPr>
      <w:r>
        <w:t>two</w:t>
      </w:r>
      <w:r w:rsidR="004B165B" w:rsidRPr="003D09EF">
        <w:t xml:space="preserve"> (0.5%) patients were treatment-boosted</w:t>
      </w:r>
    </w:p>
    <w:p w14:paraId="35E5A720" w14:textId="494F1C2A" w:rsidR="004B165B" w:rsidRPr="003D09EF" w:rsidRDefault="004B165B" w:rsidP="003D09EF">
      <w:pPr>
        <w:pStyle w:val="ListBullet"/>
      </w:pPr>
      <w:r w:rsidRPr="003D09EF">
        <w:t xml:space="preserve">82 (21.7%) patients were </w:t>
      </w:r>
      <w:r w:rsidR="00D777FF" w:rsidRPr="00C35FA3">
        <w:t xml:space="preserve">neutralising antibody </w:t>
      </w:r>
      <w:r w:rsidRPr="003D09EF">
        <w:t>positive</w:t>
      </w:r>
    </w:p>
    <w:p w14:paraId="46494347" w14:textId="0C6AA2AC" w:rsidR="004B165B" w:rsidRPr="003D09EF" w:rsidRDefault="00D777FF" w:rsidP="003D09EF">
      <w:pPr>
        <w:pStyle w:val="ListBullet"/>
      </w:pPr>
      <w:r>
        <w:t>m</w:t>
      </w:r>
      <w:r w:rsidR="004B165B" w:rsidRPr="003D09EF">
        <w:t>ore than half (50</w:t>
      </w:r>
      <w:r w:rsidR="004123B0">
        <w:t xml:space="preserve"> out of </w:t>
      </w:r>
      <w:r w:rsidR="004B165B" w:rsidRPr="003D09EF">
        <w:t xml:space="preserve">88, 56.8%) of </w:t>
      </w:r>
      <w:r w:rsidR="004123B0">
        <w:t>treatment-emergent</w:t>
      </w:r>
      <w:r w:rsidR="004B165B" w:rsidRPr="003D09EF">
        <w:t xml:space="preserve"> ADA positive patients had their titres decline over time, including 29.5% (n</w:t>
      </w:r>
      <w:r w:rsidR="004123B0">
        <w:t> </w:t>
      </w:r>
      <w:r w:rsidR="004B165B" w:rsidRPr="003D09EF">
        <w:t>=</w:t>
      </w:r>
      <w:r w:rsidR="004123B0">
        <w:t> </w:t>
      </w:r>
      <w:r w:rsidR="004B165B" w:rsidRPr="003D09EF">
        <w:t>26) of patients whose ADA returned to baseline levels at their last sample</w:t>
      </w:r>
      <w:r w:rsidR="006F0E4D">
        <w:t>.</w:t>
      </w:r>
    </w:p>
    <w:p w14:paraId="75EE9BBA" w14:textId="0D5950F9" w:rsidR="00A8703E" w:rsidRDefault="004B165B" w:rsidP="00A8703E">
      <w:r w:rsidRPr="006F0E4D">
        <w:t xml:space="preserve">In the maintenance study there was some evidence for reduced clinical efficacy in the presence of ADAs, with </w:t>
      </w:r>
      <w:r w:rsidR="008A6ED6">
        <w:t>numerically lower number of</w:t>
      </w:r>
      <w:r w:rsidRPr="006F0E4D">
        <w:t xml:space="preserve"> patients with </w:t>
      </w:r>
      <w:r w:rsidR="006F0E4D">
        <w:t>treatment-emergent</w:t>
      </w:r>
      <w:r w:rsidRPr="006F0E4D">
        <w:t xml:space="preserve"> ADA titres 1:160 </w:t>
      </w:r>
      <w:r w:rsidR="006F0E4D">
        <w:t xml:space="preserve">or greater </w:t>
      </w:r>
      <w:r w:rsidRPr="006F0E4D">
        <w:t xml:space="preserve">in clinical remission at </w:t>
      </w:r>
      <w:r w:rsidR="006F0E4D">
        <w:t>W</w:t>
      </w:r>
      <w:r w:rsidRPr="006F0E4D">
        <w:t>eek 40</w:t>
      </w:r>
      <w:r w:rsidR="00A8703E">
        <w:t xml:space="preserve">. Of note, in 2.0% (7 of 356) of patients treated with </w:t>
      </w:r>
      <w:r w:rsidR="00A8703E">
        <w:lastRenderedPageBreak/>
        <w:t>mirikizumab 300 mg IV Q4W in induction followed by 200 mg SC Q4W through Study AMBG, higher titer TE ADA was associated with reduced PK and loss of efficacy.</w:t>
      </w:r>
    </w:p>
    <w:p w14:paraId="725EBF0B" w14:textId="2E5EFF11" w:rsidR="004B165B" w:rsidRPr="004B165B" w:rsidRDefault="004B165B" w:rsidP="004B165B">
      <w:r w:rsidRPr="006F0E4D">
        <w:t xml:space="preserve">The dossier included four additional studies in Crohn’s disease (a </w:t>
      </w:r>
      <w:proofErr w:type="gramStart"/>
      <w:r w:rsidRPr="006F0E4D">
        <w:t xml:space="preserve">single </w:t>
      </w:r>
      <w:r w:rsidR="00412174">
        <w:t>P</w:t>
      </w:r>
      <w:r w:rsidRPr="006F0E4D">
        <w:t xml:space="preserve">hase </w:t>
      </w:r>
      <w:r w:rsidR="00412174">
        <w:t>II</w:t>
      </w:r>
      <w:proofErr w:type="gramEnd"/>
      <w:r w:rsidRPr="006F0E4D">
        <w:t xml:space="preserve"> </w:t>
      </w:r>
      <w:r w:rsidR="00412174">
        <w:t>S</w:t>
      </w:r>
      <w:r w:rsidRPr="006F0E4D">
        <w:t xml:space="preserve">tudy AMAG) and plaque psoriasis (one </w:t>
      </w:r>
      <w:r w:rsidR="00412174">
        <w:t>P</w:t>
      </w:r>
      <w:r w:rsidRPr="006F0E4D">
        <w:t xml:space="preserve">hase </w:t>
      </w:r>
      <w:r w:rsidR="00412174">
        <w:t>II</w:t>
      </w:r>
      <w:r w:rsidRPr="006F0E4D">
        <w:t xml:space="preserve"> </w:t>
      </w:r>
      <w:r w:rsidR="00412174">
        <w:t>S</w:t>
      </w:r>
      <w:r w:rsidRPr="006F0E4D">
        <w:t xml:space="preserve">tudy AMAF and two </w:t>
      </w:r>
      <w:r w:rsidR="00412174">
        <w:t>P</w:t>
      </w:r>
      <w:r w:rsidRPr="006F0E4D">
        <w:t xml:space="preserve">hase </w:t>
      </w:r>
      <w:r w:rsidR="00412174">
        <w:t>III</w:t>
      </w:r>
      <w:r w:rsidRPr="006F0E4D">
        <w:t xml:space="preserve"> studies, </w:t>
      </w:r>
      <w:r w:rsidR="00412174">
        <w:t xml:space="preserve">Study </w:t>
      </w:r>
      <w:r w:rsidRPr="006F0E4D">
        <w:t xml:space="preserve">AMAJ and </w:t>
      </w:r>
      <w:r w:rsidR="00412174">
        <w:t>Study </w:t>
      </w:r>
      <w:r w:rsidRPr="006F0E4D">
        <w:t xml:space="preserve">AMAK). The significant safety data from those studies (as well as from some other studies not included in the dossier at all, </w:t>
      </w:r>
      <w:r w:rsidR="00060A47">
        <w:t>that is,</w:t>
      </w:r>
      <w:r w:rsidRPr="006F0E4D">
        <w:t xml:space="preserve"> </w:t>
      </w:r>
      <w:r w:rsidR="00060A47">
        <w:t xml:space="preserve">Study </w:t>
      </w:r>
      <w:r w:rsidRPr="006F0E4D">
        <w:t xml:space="preserve">AMAX and </w:t>
      </w:r>
      <w:r w:rsidR="00060A47">
        <w:t xml:space="preserve">Study </w:t>
      </w:r>
      <w:r w:rsidRPr="006F0E4D">
        <w:t xml:space="preserve">AMAH) were incorporated into the integrated safety analysis, including the </w:t>
      </w:r>
      <w:r w:rsidR="00060A47">
        <w:t>‘a</w:t>
      </w:r>
      <w:r w:rsidRPr="006F0E4D">
        <w:t>ll mirikizumab</w:t>
      </w:r>
      <w:r w:rsidR="00060A47">
        <w:t xml:space="preserve">’ </w:t>
      </w:r>
      <w:r w:rsidRPr="006F0E4D">
        <w:t>set.</w:t>
      </w:r>
    </w:p>
    <w:p w14:paraId="2858B006" w14:textId="647AC69C" w:rsidR="00C22214" w:rsidRDefault="00C22214" w:rsidP="00C22214">
      <w:pPr>
        <w:pStyle w:val="Heading3"/>
        <w:rPr>
          <w:lang w:eastAsia="en-AU"/>
        </w:rPr>
      </w:pPr>
      <w:bookmarkStart w:id="75" w:name="_Toc314842514"/>
      <w:bookmarkStart w:id="76" w:name="_Toc103679298"/>
      <w:bookmarkStart w:id="77" w:name="_Toc160629030"/>
      <w:r>
        <w:rPr>
          <w:lang w:eastAsia="en-AU"/>
        </w:rPr>
        <w:t>Risk management plan</w:t>
      </w:r>
      <w:bookmarkEnd w:id="75"/>
      <w:bookmarkEnd w:id="76"/>
      <w:bookmarkEnd w:id="77"/>
      <w:r w:rsidR="005605B4">
        <w:rPr>
          <w:lang w:eastAsia="en-AU"/>
        </w:rPr>
        <w:fldChar w:fldCharType="begin"/>
      </w:r>
      <w:r w:rsidR="005605B4">
        <w:rPr>
          <w:lang w:eastAsia="en-AU"/>
        </w:rPr>
        <w:instrText xml:space="preserve"> DOCVARIABLE vault_nd_17c6aa4b-0094-4085-8595-542aa94d4948 \* MERGEFORMAT </w:instrText>
      </w:r>
      <w:r w:rsidR="005605B4">
        <w:rPr>
          <w:lang w:eastAsia="en-AU"/>
        </w:rPr>
        <w:fldChar w:fldCharType="separate"/>
      </w:r>
      <w:r w:rsidR="005605B4">
        <w:rPr>
          <w:lang w:eastAsia="en-AU"/>
        </w:rPr>
        <w:t xml:space="preserve"> </w:t>
      </w:r>
      <w:r w:rsidR="005605B4">
        <w:rPr>
          <w:lang w:eastAsia="en-AU"/>
        </w:rPr>
        <w:fldChar w:fldCharType="end"/>
      </w:r>
    </w:p>
    <w:p w14:paraId="7BC70B43" w14:textId="3556B64D" w:rsidR="004B5173" w:rsidRPr="004B5173" w:rsidRDefault="004B5173" w:rsidP="004B5173">
      <w:bookmarkStart w:id="78" w:name="_Toc247691531"/>
      <w:bookmarkStart w:id="79" w:name="_Toc314842515"/>
      <w:r>
        <w:t>The sponsor</w:t>
      </w:r>
      <w:r w:rsidRPr="004B5173">
        <w:t xml:space="preserve"> has submitted EU-</w:t>
      </w:r>
      <w:r>
        <w:t>risk management plan (</w:t>
      </w:r>
      <w:r w:rsidRPr="00D777FF">
        <w:t>RMP</w:t>
      </w:r>
      <w:r>
        <w:t>)</w:t>
      </w:r>
      <w:r w:rsidRPr="004B5173">
        <w:t xml:space="preserve"> version 0.1 (date 21</w:t>
      </w:r>
      <w:r>
        <w:t> </w:t>
      </w:r>
      <w:r w:rsidRPr="004B5173">
        <w:t>April 2022;</w:t>
      </w:r>
      <w:r>
        <w:t xml:space="preserve"> data lock point (</w:t>
      </w:r>
      <w:r w:rsidRPr="004B5173">
        <w:t>DLP</w:t>
      </w:r>
      <w:r>
        <w:t>)</w:t>
      </w:r>
      <w:r w:rsidRPr="004B5173">
        <w:t xml:space="preserve"> 6 December 2021) and </w:t>
      </w:r>
      <w:r>
        <w:t>Australia-specific annex (</w:t>
      </w:r>
      <w:r w:rsidRPr="00D777FF">
        <w:t>ASA</w:t>
      </w:r>
      <w:r w:rsidR="00D777FF">
        <w:t>)</w:t>
      </w:r>
      <w:r>
        <w:t xml:space="preserve"> </w:t>
      </w:r>
      <w:r w:rsidRPr="004B5173">
        <w:t>version 1.0 (date June 2022) in support of this application.</w:t>
      </w:r>
    </w:p>
    <w:p w14:paraId="39F3CD1D" w14:textId="4286E44E" w:rsidR="0072003B" w:rsidRPr="00BD5DBD" w:rsidRDefault="00C22214" w:rsidP="00C22214">
      <w:pPr>
        <w:rPr>
          <w:szCs w:val="22"/>
        </w:rPr>
      </w:pPr>
      <w:r w:rsidRPr="00BD5DBD">
        <w:rPr>
          <w:szCs w:val="22"/>
        </w:rPr>
        <w:t xml:space="preserve">The summary of safety concerns and their associated risk monitoring and mitigation strategies are </w:t>
      </w:r>
      <w:r w:rsidR="007A3E09">
        <w:rPr>
          <w:szCs w:val="22"/>
        </w:rPr>
        <w:t>presented</w:t>
      </w:r>
      <w:r w:rsidRPr="00BD5DBD">
        <w:rPr>
          <w:szCs w:val="22"/>
        </w:rPr>
        <w:t xml:space="preserve">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D777FF" w:rsidRPr="00D777FF">
        <w:rPr>
          <w:szCs w:val="22"/>
        </w:rPr>
        <w:t xml:space="preserve">Table </w:t>
      </w:r>
      <w:r w:rsidR="00D777FF" w:rsidRPr="00D777FF">
        <w:rPr>
          <w:noProof/>
          <w:szCs w:val="22"/>
        </w:rPr>
        <w:t>13</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w:t>
      </w:r>
      <w:r w:rsidR="004B5173">
        <w:rPr>
          <w:szCs w:val="22"/>
        </w:rPr>
        <w:t xml:space="preserve"> </w:t>
      </w:r>
      <w:r w:rsidR="0072003B" w:rsidRPr="00BD5DBD">
        <w:rPr>
          <w:szCs w:val="22"/>
        </w:rPr>
        <w:t>cycle, during both the pre-approval and post-approval phases.</w:t>
      </w:r>
    </w:p>
    <w:p w14:paraId="26489858" w14:textId="341C3012" w:rsidR="004B5173" w:rsidRPr="003E7541" w:rsidRDefault="00C22214" w:rsidP="004B5173">
      <w:pPr>
        <w:pStyle w:val="TableTitle"/>
      </w:pPr>
      <w:bookmarkStart w:id="80" w:name="_Ref97629131"/>
      <w:r>
        <w:t xml:space="preserve">Table </w:t>
      </w:r>
      <w:fldSimple w:instr=" SEQ Table \* ARABIC ">
        <w:r w:rsidR="00D777FF">
          <w:rPr>
            <w:noProof/>
          </w:rPr>
          <w:t>13</w:t>
        </w:r>
      </w:fldSimple>
      <w:bookmarkEnd w:id="80"/>
      <w:r>
        <w:t>: Summary of safety concerns</w:t>
      </w:r>
      <w:r w:rsidR="0099632D">
        <w:fldChar w:fldCharType="begin"/>
      </w:r>
      <w:r w:rsidR="0099632D">
        <w:instrText xml:space="preserve"> DOCVARIABLE vault_nd_32b0c0c5-07c3-492f-8766-bd2f89817491 \* MERGEFORMAT </w:instrText>
      </w:r>
      <w:r w:rsidR="0099632D">
        <w:fldChar w:fldCharType="separate"/>
      </w:r>
      <w:r w:rsidR="005605B4">
        <w:t xml:space="preserve"> </w:t>
      </w:r>
      <w:r w:rsidR="0099632D">
        <w:fldChar w:fldCharType="end"/>
      </w:r>
    </w:p>
    <w:tbl>
      <w:tblPr>
        <w:tblStyle w:val="TableTGAblue2023"/>
        <w:tblW w:w="0" w:type="auto"/>
        <w:tblLook w:val="04A0" w:firstRow="1" w:lastRow="0" w:firstColumn="1" w:lastColumn="0" w:noHBand="0" w:noVBand="1"/>
      </w:tblPr>
      <w:tblGrid>
        <w:gridCol w:w="1490"/>
        <w:gridCol w:w="3114"/>
        <w:gridCol w:w="1003"/>
        <w:gridCol w:w="1225"/>
        <w:gridCol w:w="1003"/>
        <w:gridCol w:w="1225"/>
      </w:tblGrid>
      <w:tr w:rsidR="004B5173" w:rsidRPr="006278D0" w14:paraId="1AA0581C" w14:textId="77777777" w:rsidTr="004B5173">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Pr>
          <w:p w14:paraId="4A09287B" w14:textId="77777777" w:rsidR="004B5173" w:rsidRPr="006278D0" w:rsidRDefault="004B5173" w:rsidP="006278D0">
            <w:pPr>
              <w:rPr>
                <w:b w:val="0"/>
                <w:sz w:val="20"/>
                <w:szCs w:val="20"/>
              </w:rPr>
            </w:pPr>
            <w:r w:rsidRPr="006278D0">
              <w:rPr>
                <w:sz w:val="20"/>
                <w:szCs w:val="20"/>
              </w:rPr>
              <w:t>Summary of safety concerns</w:t>
            </w:r>
          </w:p>
        </w:tc>
        <w:tc>
          <w:tcPr>
            <w:tcW w:w="0" w:type="auto"/>
            <w:gridSpan w:val="2"/>
          </w:tcPr>
          <w:p w14:paraId="5C62DF95" w14:textId="77777777" w:rsidR="004B5173" w:rsidRPr="006278D0" w:rsidRDefault="004B5173" w:rsidP="006278D0">
            <w:pPr>
              <w:cnfStyle w:val="100000000000" w:firstRow="1" w:lastRow="0" w:firstColumn="0" w:lastColumn="0" w:oddVBand="0" w:evenVBand="0" w:oddHBand="0" w:evenHBand="0" w:firstRowFirstColumn="0" w:firstRowLastColumn="0" w:lastRowFirstColumn="0" w:lastRowLastColumn="0"/>
              <w:rPr>
                <w:b w:val="0"/>
                <w:sz w:val="20"/>
                <w:szCs w:val="20"/>
              </w:rPr>
            </w:pPr>
            <w:r w:rsidRPr="006278D0">
              <w:rPr>
                <w:sz w:val="20"/>
                <w:szCs w:val="20"/>
              </w:rPr>
              <w:t>Pharmacovigilance</w:t>
            </w:r>
          </w:p>
        </w:tc>
        <w:tc>
          <w:tcPr>
            <w:tcW w:w="0" w:type="auto"/>
            <w:gridSpan w:val="2"/>
          </w:tcPr>
          <w:p w14:paraId="58283C5B" w14:textId="77777777" w:rsidR="004B5173" w:rsidRPr="006278D0" w:rsidRDefault="004B5173" w:rsidP="006278D0">
            <w:pPr>
              <w:cnfStyle w:val="100000000000" w:firstRow="1" w:lastRow="0" w:firstColumn="0" w:lastColumn="0" w:oddVBand="0" w:evenVBand="0" w:oddHBand="0" w:evenHBand="0" w:firstRowFirstColumn="0" w:firstRowLastColumn="0" w:lastRowFirstColumn="0" w:lastRowLastColumn="0"/>
              <w:rPr>
                <w:b w:val="0"/>
                <w:sz w:val="20"/>
                <w:szCs w:val="20"/>
              </w:rPr>
            </w:pPr>
            <w:r w:rsidRPr="006278D0">
              <w:rPr>
                <w:sz w:val="20"/>
                <w:szCs w:val="20"/>
              </w:rPr>
              <w:t>Risk Minimisation</w:t>
            </w:r>
          </w:p>
        </w:tc>
      </w:tr>
      <w:tr w:rsidR="004B5173" w:rsidRPr="006278D0" w14:paraId="41A76610" w14:textId="77777777" w:rsidTr="004B5173">
        <w:trPr>
          <w:trHeight w:val="150"/>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1460F6FA" w14:textId="77777777" w:rsidR="004B5173" w:rsidRPr="006278D0" w:rsidRDefault="004B5173" w:rsidP="006278D0">
            <w:pPr>
              <w:rPr>
                <w:sz w:val="20"/>
                <w:szCs w:val="20"/>
              </w:rPr>
            </w:pPr>
          </w:p>
        </w:tc>
        <w:tc>
          <w:tcPr>
            <w:tcW w:w="0" w:type="auto"/>
            <w:shd w:val="clear" w:color="auto" w:fill="DEEAF6" w:themeFill="accent5" w:themeFillTint="33"/>
          </w:tcPr>
          <w:p w14:paraId="66EF8F43"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bCs/>
                <w:sz w:val="20"/>
                <w:szCs w:val="20"/>
              </w:rPr>
            </w:pPr>
            <w:r w:rsidRPr="006278D0">
              <w:rPr>
                <w:bCs/>
                <w:sz w:val="20"/>
                <w:szCs w:val="20"/>
              </w:rPr>
              <w:t>Routine</w:t>
            </w:r>
          </w:p>
        </w:tc>
        <w:tc>
          <w:tcPr>
            <w:tcW w:w="0" w:type="auto"/>
            <w:shd w:val="clear" w:color="auto" w:fill="DEEAF6" w:themeFill="accent5" w:themeFillTint="33"/>
          </w:tcPr>
          <w:p w14:paraId="0F57F142"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bCs/>
                <w:sz w:val="20"/>
                <w:szCs w:val="20"/>
              </w:rPr>
            </w:pPr>
            <w:r w:rsidRPr="006278D0">
              <w:rPr>
                <w:bCs/>
                <w:sz w:val="20"/>
                <w:szCs w:val="20"/>
              </w:rPr>
              <w:t>Additional</w:t>
            </w:r>
          </w:p>
        </w:tc>
        <w:tc>
          <w:tcPr>
            <w:tcW w:w="0" w:type="auto"/>
            <w:shd w:val="clear" w:color="auto" w:fill="DEEAF6" w:themeFill="accent5" w:themeFillTint="33"/>
          </w:tcPr>
          <w:p w14:paraId="3BCF2461"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bCs/>
                <w:sz w:val="20"/>
                <w:szCs w:val="20"/>
              </w:rPr>
            </w:pPr>
            <w:r w:rsidRPr="006278D0">
              <w:rPr>
                <w:bCs/>
                <w:sz w:val="20"/>
                <w:szCs w:val="20"/>
              </w:rPr>
              <w:t>Routine</w:t>
            </w:r>
          </w:p>
        </w:tc>
        <w:tc>
          <w:tcPr>
            <w:tcW w:w="0" w:type="auto"/>
            <w:shd w:val="clear" w:color="auto" w:fill="DEEAF6" w:themeFill="accent5" w:themeFillTint="33"/>
          </w:tcPr>
          <w:p w14:paraId="14B367F2"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bCs/>
                <w:sz w:val="20"/>
                <w:szCs w:val="20"/>
              </w:rPr>
            </w:pPr>
            <w:r w:rsidRPr="006278D0">
              <w:rPr>
                <w:bCs/>
                <w:sz w:val="20"/>
                <w:szCs w:val="20"/>
              </w:rPr>
              <w:t>Additional</w:t>
            </w:r>
          </w:p>
        </w:tc>
      </w:tr>
      <w:tr w:rsidR="004B5173" w:rsidRPr="006278D0" w14:paraId="7B54850A" w14:textId="77777777" w:rsidTr="004B5173">
        <w:trPr>
          <w:trHeight w:val="137"/>
        </w:trPr>
        <w:tc>
          <w:tcPr>
            <w:cnfStyle w:val="001000000000" w:firstRow="0" w:lastRow="0" w:firstColumn="1" w:lastColumn="0" w:oddVBand="0" w:evenVBand="0" w:oddHBand="0" w:evenHBand="0" w:firstRowFirstColumn="0" w:firstRowLastColumn="0" w:lastRowFirstColumn="0" w:lastRowLastColumn="0"/>
            <w:tcW w:w="0" w:type="auto"/>
          </w:tcPr>
          <w:p w14:paraId="4E0341AA" w14:textId="77777777" w:rsidR="004B5173" w:rsidRPr="006278D0" w:rsidRDefault="004B5173" w:rsidP="006278D0">
            <w:pPr>
              <w:rPr>
                <w:sz w:val="20"/>
                <w:szCs w:val="20"/>
              </w:rPr>
            </w:pPr>
            <w:r w:rsidRPr="006278D0">
              <w:rPr>
                <w:sz w:val="20"/>
                <w:szCs w:val="20"/>
              </w:rPr>
              <w:t>Important identified risks</w:t>
            </w:r>
          </w:p>
        </w:tc>
        <w:tc>
          <w:tcPr>
            <w:tcW w:w="0" w:type="auto"/>
          </w:tcPr>
          <w:p w14:paraId="6DFAE608"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t>None</w:t>
            </w:r>
          </w:p>
        </w:tc>
        <w:tc>
          <w:tcPr>
            <w:tcW w:w="0" w:type="auto"/>
          </w:tcPr>
          <w:p w14:paraId="4D57A17D"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6278D0">
              <w:rPr>
                <w:sz w:val="20"/>
                <w:szCs w:val="20"/>
              </w:rPr>
              <w:t>–</w:t>
            </w:r>
          </w:p>
        </w:tc>
        <w:tc>
          <w:tcPr>
            <w:tcW w:w="0" w:type="auto"/>
          </w:tcPr>
          <w:p w14:paraId="35DB177F"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6278D0">
              <w:rPr>
                <w:sz w:val="20"/>
                <w:szCs w:val="20"/>
              </w:rPr>
              <w:t>–</w:t>
            </w:r>
          </w:p>
        </w:tc>
        <w:tc>
          <w:tcPr>
            <w:tcW w:w="0" w:type="auto"/>
          </w:tcPr>
          <w:p w14:paraId="312129DF"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t>–</w:t>
            </w:r>
          </w:p>
        </w:tc>
        <w:tc>
          <w:tcPr>
            <w:tcW w:w="0" w:type="auto"/>
          </w:tcPr>
          <w:p w14:paraId="60501578"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6278D0">
              <w:rPr>
                <w:sz w:val="20"/>
                <w:szCs w:val="20"/>
              </w:rPr>
              <w:t>–</w:t>
            </w:r>
          </w:p>
        </w:tc>
      </w:tr>
      <w:tr w:rsidR="004B5173" w:rsidRPr="006278D0" w14:paraId="02E1F7CC" w14:textId="77777777" w:rsidTr="004B5173">
        <w:trPr>
          <w:trHeight w:val="15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480D8C6" w14:textId="77777777" w:rsidR="004B5173" w:rsidRPr="006278D0" w:rsidRDefault="004B5173" w:rsidP="006278D0">
            <w:pPr>
              <w:rPr>
                <w:sz w:val="20"/>
                <w:szCs w:val="20"/>
              </w:rPr>
            </w:pPr>
            <w:r w:rsidRPr="006278D0">
              <w:rPr>
                <w:sz w:val="20"/>
                <w:szCs w:val="20"/>
              </w:rPr>
              <w:t>Important potential risks</w:t>
            </w:r>
          </w:p>
        </w:tc>
        <w:tc>
          <w:tcPr>
            <w:tcW w:w="0" w:type="auto"/>
          </w:tcPr>
          <w:p w14:paraId="0E0925C9"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t>Serious infections</w:t>
            </w:r>
          </w:p>
        </w:tc>
        <w:tc>
          <w:tcPr>
            <w:tcW w:w="0" w:type="auto"/>
          </w:tcPr>
          <w:p w14:paraId="0FFB3B42"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sym w:font="Wingdings" w:char="F0FC"/>
            </w:r>
            <w:r w:rsidRPr="006278D0">
              <w:rPr>
                <w:sz w:val="20"/>
                <w:szCs w:val="20"/>
              </w:rPr>
              <w:t>*</w:t>
            </w:r>
          </w:p>
        </w:tc>
        <w:tc>
          <w:tcPr>
            <w:tcW w:w="0" w:type="auto"/>
          </w:tcPr>
          <w:p w14:paraId="341CFF09"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6278D0">
              <w:rPr>
                <w:sz w:val="20"/>
                <w:szCs w:val="20"/>
              </w:rPr>
              <w:sym w:font="Wingdings" w:char="F0FC"/>
            </w:r>
            <w:r w:rsidRPr="006278D0">
              <w:rPr>
                <w:rFonts w:asciiTheme="majorHAnsi" w:hAnsiTheme="majorHAnsi"/>
                <w:sz w:val="20"/>
                <w:szCs w:val="20"/>
                <w:vertAlign w:val="superscript"/>
              </w:rPr>
              <w:t>†</w:t>
            </w:r>
          </w:p>
        </w:tc>
        <w:tc>
          <w:tcPr>
            <w:tcW w:w="0" w:type="auto"/>
          </w:tcPr>
          <w:p w14:paraId="5770CE9D"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sym w:font="Wingdings" w:char="F0FC"/>
            </w:r>
          </w:p>
        </w:tc>
        <w:tc>
          <w:tcPr>
            <w:tcW w:w="0" w:type="auto"/>
          </w:tcPr>
          <w:p w14:paraId="1DB34EC7"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6278D0">
              <w:rPr>
                <w:color w:val="00B050"/>
                <w:sz w:val="20"/>
                <w:szCs w:val="20"/>
              </w:rPr>
              <w:t>–</w:t>
            </w:r>
          </w:p>
        </w:tc>
      </w:tr>
      <w:tr w:rsidR="004B5173" w:rsidRPr="006278D0" w14:paraId="5491E716" w14:textId="77777777" w:rsidTr="004B5173">
        <w:trPr>
          <w:trHeight w:val="122"/>
        </w:trPr>
        <w:tc>
          <w:tcPr>
            <w:cnfStyle w:val="001000000000" w:firstRow="0" w:lastRow="0" w:firstColumn="1" w:lastColumn="0" w:oddVBand="0" w:evenVBand="0" w:oddHBand="0" w:evenHBand="0" w:firstRowFirstColumn="0" w:firstRowLastColumn="0" w:lastRowFirstColumn="0" w:lastRowLastColumn="0"/>
            <w:tcW w:w="0" w:type="auto"/>
            <w:vMerge/>
          </w:tcPr>
          <w:p w14:paraId="31EBF5DF" w14:textId="77777777" w:rsidR="004B5173" w:rsidRPr="006278D0" w:rsidRDefault="004B5173" w:rsidP="006278D0">
            <w:pPr>
              <w:rPr>
                <w:sz w:val="20"/>
                <w:szCs w:val="20"/>
              </w:rPr>
            </w:pPr>
          </w:p>
        </w:tc>
        <w:tc>
          <w:tcPr>
            <w:tcW w:w="0" w:type="auto"/>
          </w:tcPr>
          <w:p w14:paraId="44443EA9"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t>Severe liver injury</w:t>
            </w:r>
          </w:p>
        </w:tc>
        <w:tc>
          <w:tcPr>
            <w:tcW w:w="0" w:type="auto"/>
          </w:tcPr>
          <w:p w14:paraId="0924B14A"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sym w:font="Wingdings" w:char="F0FC"/>
            </w:r>
            <w:r w:rsidRPr="006278D0">
              <w:rPr>
                <w:sz w:val="20"/>
                <w:szCs w:val="20"/>
              </w:rPr>
              <w:t>*</w:t>
            </w:r>
          </w:p>
        </w:tc>
        <w:tc>
          <w:tcPr>
            <w:tcW w:w="0" w:type="auto"/>
          </w:tcPr>
          <w:p w14:paraId="5FB219D4"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6278D0">
              <w:rPr>
                <w:sz w:val="20"/>
                <w:szCs w:val="20"/>
              </w:rPr>
              <w:sym w:font="Wingdings" w:char="F0FC"/>
            </w:r>
            <w:r w:rsidRPr="006278D0">
              <w:rPr>
                <w:rFonts w:asciiTheme="majorHAnsi" w:hAnsiTheme="majorHAnsi"/>
                <w:sz w:val="20"/>
                <w:szCs w:val="20"/>
                <w:vertAlign w:val="superscript"/>
              </w:rPr>
              <w:t>†</w:t>
            </w:r>
          </w:p>
        </w:tc>
        <w:tc>
          <w:tcPr>
            <w:tcW w:w="0" w:type="auto"/>
          </w:tcPr>
          <w:p w14:paraId="4E95D1D3"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sym w:font="Wingdings" w:char="F0FC"/>
            </w:r>
          </w:p>
        </w:tc>
        <w:tc>
          <w:tcPr>
            <w:tcW w:w="0" w:type="auto"/>
          </w:tcPr>
          <w:p w14:paraId="649F7680"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6278D0">
              <w:rPr>
                <w:color w:val="00B050"/>
                <w:sz w:val="20"/>
                <w:szCs w:val="20"/>
              </w:rPr>
              <w:t>–</w:t>
            </w:r>
          </w:p>
        </w:tc>
      </w:tr>
      <w:tr w:rsidR="004B5173" w:rsidRPr="006278D0" w14:paraId="5FBA8424" w14:textId="77777777" w:rsidTr="004B5173">
        <w:trPr>
          <w:trHeight w:val="17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C5B27FB" w14:textId="77777777" w:rsidR="004B5173" w:rsidRPr="006278D0" w:rsidRDefault="004B5173" w:rsidP="006278D0">
            <w:pPr>
              <w:rPr>
                <w:sz w:val="20"/>
                <w:szCs w:val="20"/>
              </w:rPr>
            </w:pPr>
            <w:r w:rsidRPr="006278D0">
              <w:rPr>
                <w:sz w:val="20"/>
                <w:szCs w:val="20"/>
              </w:rPr>
              <w:t>Missing information</w:t>
            </w:r>
          </w:p>
        </w:tc>
        <w:tc>
          <w:tcPr>
            <w:tcW w:w="0" w:type="auto"/>
          </w:tcPr>
          <w:p w14:paraId="5019C517"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rFonts w:cs="TimesNewRomanPSMT"/>
                <w:bCs/>
                <w:sz w:val="20"/>
                <w:szCs w:val="20"/>
              </w:rPr>
              <w:t>Use in pregnancy</w:t>
            </w:r>
            <w:r w:rsidRPr="006278D0">
              <w:rPr>
                <w:rFonts w:cs="TimesNewRomanPSMT"/>
                <w:bCs/>
                <w:sz w:val="20"/>
                <w:szCs w:val="20"/>
                <w:vertAlign w:val="superscript"/>
              </w:rPr>
              <w:t>#</w:t>
            </w:r>
          </w:p>
        </w:tc>
        <w:tc>
          <w:tcPr>
            <w:tcW w:w="0" w:type="auto"/>
          </w:tcPr>
          <w:p w14:paraId="07AAD568"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sym w:font="Wingdings" w:char="F0FC"/>
            </w:r>
            <w:r w:rsidRPr="006278D0">
              <w:rPr>
                <w:sz w:val="20"/>
                <w:szCs w:val="20"/>
              </w:rPr>
              <w:t>*</w:t>
            </w:r>
          </w:p>
        </w:tc>
        <w:tc>
          <w:tcPr>
            <w:tcW w:w="0" w:type="auto"/>
          </w:tcPr>
          <w:p w14:paraId="3FC9A649"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6278D0">
              <w:rPr>
                <w:sz w:val="20"/>
                <w:szCs w:val="20"/>
              </w:rPr>
              <w:sym w:font="Wingdings" w:char="F0FC"/>
            </w:r>
            <w:r w:rsidRPr="006278D0">
              <w:rPr>
                <w:rFonts w:asciiTheme="majorHAnsi" w:hAnsiTheme="majorHAnsi"/>
                <w:sz w:val="20"/>
                <w:szCs w:val="20"/>
                <w:vertAlign w:val="superscript"/>
              </w:rPr>
              <w:t>†</w:t>
            </w:r>
          </w:p>
        </w:tc>
        <w:tc>
          <w:tcPr>
            <w:tcW w:w="0" w:type="auto"/>
          </w:tcPr>
          <w:p w14:paraId="35FD1E81"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sym w:font="Wingdings" w:char="F0FC"/>
            </w:r>
          </w:p>
        </w:tc>
        <w:tc>
          <w:tcPr>
            <w:tcW w:w="0" w:type="auto"/>
          </w:tcPr>
          <w:p w14:paraId="4A88087D"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6278D0">
              <w:rPr>
                <w:color w:val="00B050"/>
                <w:sz w:val="20"/>
                <w:szCs w:val="20"/>
              </w:rPr>
              <w:t>–</w:t>
            </w:r>
          </w:p>
        </w:tc>
      </w:tr>
      <w:tr w:rsidR="004B5173" w:rsidRPr="006278D0" w14:paraId="58F934E2" w14:textId="77777777" w:rsidTr="004B5173">
        <w:trPr>
          <w:trHeight w:val="178"/>
        </w:trPr>
        <w:tc>
          <w:tcPr>
            <w:cnfStyle w:val="001000000000" w:firstRow="0" w:lastRow="0" w:firstColumn="1" w:lastColumn="0" w:oddVBand="0" w:evenVBand="0" w:oddHBand="0" w:evenHBand="0" w:firstRowFirstColumn="0" w:firstRowLastColumn="0" w:lastRowFirstColumn="0" w:lastRowLastColumn="0"/>
            <w:tcW w:w="0" w:type="auto"/>
            <w:vMerge/>
          </w:tcPr>
          <w:p w14:paraId="116C4607" w14:textId="77777777" w:rsidR="004B5173" w:rsidRPr="006278D0" w:rsidRDefault="004B5173" w:rsidP="006278D0">
            <w:pPr>
              <w:rPr>
                <w:sz w:val="20"/>
                <w:szCs w:val="20"/>
              </w:rPr>
            </w:pPr>
          </w:p>
        </w:tc>
        <w:tc>
          <w:tcPr>
            <w:tcW w:w="0" w:type="auto"/>
          </w:tcPr>
          <w:p w14:paraId="01C73212"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rFonts w:cs="TimesNewRomanPSMT"/>
                <w:bCs/>
                <w:sz w:val="20"/>
                <w:szCs w:val="20"/>
              </w:rPr>
            </w:pPr>
            <w:r w:rsidRPr="006278D0">
              <w:rPr>
                <w:rFonts w:cs="TimesNewRomanPSMT"/>
                <w:bCs/>
                <w:sz w:val="20"/>
                <w:szCs w:val="20"/>
              </w:rPr>
              <w:t>Use in lactating women</w:t>
            </w:r>
            <w:r w:rsidRPr="006278D0">
              <w:rPr>
                <w:rFonts w:cs="TimesNewRomanPSMT"/>
                <w:bCs/>
                <w:sz w:val="20"/>
                <w:szCs w:val="20"/>
                <w:vertAlign w:val="superscript"/>
              </w:rPr>
              <w:t>#</w:t>
            </w:r>
          </w:p>
        </w:tc>
        <w:tc>
          <w:tcPr>
            <w:tcW w:w="0" w:type="auto"/>
          </w:tcPr>
          <w:p w14:paraId="51D88081"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sym w:font="Wingdings" w:char="F0FC"/>
            </w:r>
            <w:r w:rsidRPr="006278D0">
              <w:rPr>
                <w:sz w:val="20"/>
                <w:szCs w:val="20"/>
              </w:rPr>
              <w:t>*</w:t>
            </w:r>
          </w:p>
        </w:tc>
        <w:tc>
          <w:tcPr>
            <w:tcW w:w="0" w:type="auto"/>
          </w:tcPr>
          <w:p w14:paraId="79C6B5E5"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sym w:font="Wingdings" w:char="F0FC"/>
            </w:r>
          </w:p>
        </w:tc>
        <w:tc>
          <w:tcPr>
            <w:tcW w:w="0" w:type="auto"/>
          </w:tcPr>
          <w:p w14:paraId="573D0BA6"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sym w:font="Wingdings" w:char="F0FC"/>
            </w:r>
          </w:p>
        </w:tc>
        <w:tc>
          <w:tcPr>
            <w:tcW w:w="0" w:type="auto"/>
          </w:tcPr>
          <w:p w14:paraId="5BF4CA13"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6278D0">
              <w:rPr>
                <w:color w:val="00B050"/>
                <w:sz w:val="20"/>
                <w:szCs w:val="20"/>
              </w:rPr>
              <w:t>–</w:t>
            </w:r>
          </w:p>
        </w:tc>
      </w:tr>
      <w:tr w:rsidR="004B5173" w:rsidRPr="006278D0" w14:paraId="274BF9BE" w14:textId="77777777" w:rsidTr="004B5173">
        <w:trPr>
          <w:trHeight w:val="103"/>
        </w:trPr>
        <w:tc>
          <w:tcPr>
            <w:cnfStyle w:val="001000000000" w:firstRow="0" w:lastRow="0" w:firstColumn="1" w:lastColumn="0" w:oddVBand="0" w:evenVBand="0" w:oddHBand="0" w:evenHBand="0" w:firstRowFirstColumn="0" w:firstRowLastColumn="0" w:lastRowFirstColumn="0" w:lastRowLastColumn="0"/>
            <w:tcW w:w="0" w:type="auto"/>
            <w:vMerge/>
          </w:tcPr>
          <w:p w14:paraId="6B6EB736" w14:textId="77777777" w:rsidR="004B5173" w:rsidRPr="006278D0" w:rsidRDefault="004B5173" w:rsidP="006278D0">
            <w:pPr>
              <w:rPr>
                <w:sz w:val="20"/>
                <w:szCs w:val="20"/>
              </w:rPr>
            </w:pPr>
          </w:p>
        </w:tc>
        <w:tc>
          <w:tcPr>
            <w:tcW w:w="0" w:type="auto"/>
          </w:tcPr>
          <w:p w14:paraId="11778F27"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rFonts w:cs="TimesNewRomanPSMT"/>
                <w:bCs/>
                <w:sz w:val="20"/>
                <w:szCs w:val="20"/>
              </w:rPr>
              <w:t>Long-term safety of mirikizumab for events with a low frequency and/or long latency, including MACE, malignancy, serious and opportunistic infections, and severe liver injury</w:t>
            </w:r>
          </w:p>
        </w:tc>
        <w:tc>
          <w:tcPr>
            <w:tcW w:w="0" w:type="auto"/>
          </w:tcPr>
          <w:p w14:paraId="32BB7A73"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sym w:font="Wingdings" w:char="F0FC"/>
            </w:r>
            <w:r w:rsidRPr="006278D0">
              <w:rPr>
                <w:sz w:val="20"/>
                <w:szCs w:val="20"/>
              </w:rPr>
              <w:t>*</w:t>
            </w:r>
          </w:p>
        </w:tc>
        <w:tc>
          <w:tcPr>
            <w:tcW w:w="0" w:type="auto"/>
          </w:tcPr>
          <w:p w14:paraId="5D5558DB"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6278D0">
              <w:rPr>
                <w:sz w:val="20"/>
                <w:szCs w:val="20"/>
              </w:rPr>
              <w:sym w:font="Wingdings" w:char="F0FC"/>
            </w:r>
            <w:r w:rsidRPr="006278D0">
              <w:rPr>
                <w:rFonts w:asciiTheme="majorHAnsi" w:hAnsiTheme="majorHAnsi"/>
                <w:sz w:val="20"/>
                <w:szCs w:val="20"/>
                <w:vertAlign w:val="superscript"/>
              </w:rPr>
              <w:t>†</w:t>
            </w:r>
          </w:p>
        </w:tc>
        <w:tc>
          <w:tcPr>
            <w:tcW w:w="0" w:type="auto"/>
          </w:tcPr>
          <w:p w14:paraId="2E3EA38D"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sz w:val="20"/>
                <w:szCs w:val="20"/>
              </w:rPr>
            </w:pPr>
            <w:r w:rsidRPr="006278D0">
              <w:rPr>
                <w:sz w:val="20"/>
                <w:szCs w:val="20"/>
              </w:rPr>
              <w:sym w:font="Wingdings" w:char="F0FC"/>
            </w:r>
          </w:p>
        </w:tc>
        <w:tc>
          <w:tcPr>
            <w:tcW w:w="0" w:type="auto"/>
          </w:tcPr>
          <w:p w14:paraId="34151178" w14:textId="77777777" w:rsidR="004B5173" w:rsidRPr="006278D0" w:rsidRDefault="004B5173" w:rsidP="006278D0">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6278D0">
              <w:rPr>
                <w:color w:val="00B050"/>
                <w:sz w:val="20"/>
                <w:szCs w:val="20"/>
              </w:rPr>
              <w:t>–</w:t>
            </w:r>
          </w:p>
        </w:tc>
      </w:tr>
    </w:tbl>
    <w:p w14:paraId="28B8BD00" w14:textId="1E766CBB" w:rsidR="004B5173" w:rsidRPr="000F781F" w:rsidRDefault="004B5173" w:rsidP="004B5173">
      <w:pPr>
        <w:pStyle w:val="TableDescription"/>
      </w:pPr>
      <w:r w:rsidRPr="00D4687E">
        <w:t>*Follow-up questionnaires</w:t>
      </w:r>
      <w:r>
        <w:br/>
      </w:r>
      <w:r w:rsidRPr="00202625">
        <w:t>†Observational database study (Planned)</w:t>
      </w:r>
      <w:r>
        <w:br/>
      </w:r>
      <w:r w:rsidRPr="009A4A46">
        <w:rPr>
          <w:rFonts w:cs="TimesNewRomanPSMT"/>
          <w:bCs/>
          <w:vertAlign w:val="superscript"/>
        </w:rPr>
        <w:t>#</w:t>
      </w:r>
      <w:r w:rsidRPr="009A4A46">
        <w:t xml:space="preserve">The summary of safety concerns </w:t>
      </w:r>
      <w:r>
        <w:t>of</w:t>
      </w:r>
      <w:r w:rsidRPr="009A4A46">
        <w:t xml:space="preserve"> the EU RMP </w:t>
      </w:r>
      <w:r>
        <w:t>states</w:t>
      </w:r>
      <w:r w:rsidRPr="009A4A46">
        <w:t xml:space="preserve"> these risks as ‘Safety of mirikizumab in special populations, including pregnant women and lactating women’</w:t>
      </w:r>
    </w:p>
    <w:p w14:paraId="16E5DFAA" w14:textId="6FA1AD05" w:rsidR="00032A0F" w:rsidRDefault="00032A0F" w:rsidP="003B149C">
      <w:pPr>
        <w:rPr>
          <w:rFonts w:eastAsia="Cambria" w:cs="Times New Roman"/>
          <w:i/>
          <w:color w:val="007099"/>
          <w:szCs w:val="22"/>
        </w:rPr>
      </w:pPr>
      <w:r>
        <w:t>The RMP evaluation recommended conditions of registration relating to the versions of the risk management plan, requirement for periodic safety update reports, and inclusion of the medicine in the Black Triangle Scheme.</w:t>
      </w:r>
    </w:p>
    <w:p w14:paraId="6C29A254" w14:textId="621EE342" w:rsidR="00E956DA" w:rsidRPr="000F781F" w:rsidRDefault="00E956DA" w:rsidP="000F781F">
      <w:r w:rsidRPr="000F781F">
        <w:t>The sponsor did not agree to include ‘</w:t>
      </w:r>
      <w:r w:rsidR="00D777FF">
        <w:t>m</w:t>
      </w:r>
      <w:r w:rsidRPr="000F781F">
        <w:t>alignancy’ as an important potential risk in the summary of safety concerns, as recommended by the RMP evaluat</w:t>
      </w:r>
      <w:r w:rsidR="000F781F" w:rsidRPr="000F781F">
        <w:t>ion</w:t>
      </w:r>
      <w:r w:rsidRPr="000F781F">
        <w:t xml:space="preserve">. This </w:t>
      </w:r>
      <w:r w:rsidR="000F781F">
        <w:t>was</w:t>
      </w:r>
      <w:r w:rsidRPr="000F781F">
        <w:t xml:space="preserve"> raised to the delegate’s attention and decision.</w:t>
      </w:r>
    </w:p>
    <w:p w14:paraId="14454FD4" w14:textId="673DC169" w:rsidR="00E956DA" w:rsidRPr="000F781F" w:rsidRDefault="00E956DA" w:rsidP="000F781F">
      <w:r w:rsidRPr="000F781F">
        <w:t>Pharmacovigilance activities have been proposed as indicated in the above table. The pharmacovigilance plan is acceptable from an RMP perspective</w:t>
      </w:r>
      <w:r w:rsidR="000F781F" w:rsidRPr="000F781F">
        <w:t>.</w:t>
      </w:r>
    </w:p>
    <w:p w14:paraId="21966B1F" w14:textId="595B9754" w:rsidR="00E956DA" w:rsidRPr="000F781F" w:rsidRDefault="00E956DA" w:rsidP="003B149C">
      <w:r w:rsidRPr="000F781F">
        <w:lastRenderedPageBreak/>
        <w:t>Only routine risk minimisation measures have been proposed. This approach is acceptable from an RMP perspective.</w:t>
      </w:r>
    </w:p>
    <w:p w14:paraId="74A4F87F" w14:textId="4B5392E1" w:rsidR="00C22214" w:rsidRDefault="00C22214" w:rsidP="00C22214">
      <w:pPr>
        <w:pStyle w:val="Heading3"/>
      </w:pPr>
      <w:bookmarkStart w:id="81" w:name="_Toc103679299"/>
      <w:bookmarkStart w:id="82" w:name="_Toc160629031"/>
      <w:r>
        <w:t>Risk-benefit analysis</w:t>
      </w:r>
      <w:bookmarkEnd w:id="78"/>
      <w:bookmarkEnd w:id="79"/>
      <w:bookmarkEnd w:id="81"/>
      <w:bookmarkEnd w:id="82"/>
      <w:r w:rsidR="005605B4">
        <w:fldChar w:fldCharType="begin"/>
      </w:r>
      <w:r w:rsidR="005605B4">
        <w:instrText xml:space="preserve"> DOCVARIABLE vault_nd_83865a28-3140-4bdb-9568-268987054fdd \* MERGEFORMAT </w:instrText>
      </w:r>
      <w:r w:rsidR="005605B4">
        <w:fldChar w:fldCharType="separate"/>
      </w:r>
      <w:r w:rsidR="005605B4">
        <w:t xml:space="preserve"> </w:t>
      </w:r>
      <w:r w:rsidR="005605B4">
        <w:fldChar w:fldCharType="end"/>
      </w:r>
    </w:p>
    <w:p w14:paraId="77DE2655" w14:textId="477E11E7" w:rsidR="00C22214" w:rsidRDefault="00C22214" w:rsidP="00C22214">
      <w:pPr>
        <w:pStyle w:val="Heading4"/>
      </w:pPr>
      <w:bookmarkStart w:id="83" w:name="_Toc98931932"/>
      <w:bookmarkStart w:id="84" w:name="_Toc160629032"/>
      <w:r>
        <w:t>Delegate’s considerations</w:t>
      </w:r>
      <w:bookmarkEnd w:id="83"/>
      <w:bookmarkEnd w:id="84"/>
      <w:r w:rsidR="005605B4">
        <w:fldChar w:fldCharType="begin"/>
      </w:r>
      <w:r w:rsidR="005605B4">
        <w:instrText xml:space="preserve"> DOCVARIABLE vault_nd_9ce73bbc-9e2d-4e4a-be9d-9d4e009c24b0 \* MERGEFORMAT </w:instrText>
      </w:r>
      <w:r w:rsidR="005605B4">
        <w:fldChar w:fldCharType="separate"/>
      </w:r>
      <w:r w:rsidR="005605B4">
        <w:t xml:space="preserve"> </w:t>
      </w:r>
      <w:r w:rsidR="005605B4">
        <w:fldChar w:fldCharType="end"/>
      </w:r>
    </w:p>
    <w:p w14:paraId="52768AC4" w14:textId="215E7B8C" w:rsidR="000F781F" w:rsidRDefault="000F781F" w:rsidP="000F781F">
      <w:pPr>
        <w:pStyle w:val="Heading5"/>
      </w:pPr>
      <w:r>
        <w:t>Proposed Indication</w:t>
      </w:r>
      <w:r w:rsidR="0099632D">
        <w:fldChar w:fldCharType="begin"/>
      </w:r>
      <w:r w:rsidR="0099632D">
        <w:instrText xml:space="preserve"> DOCVARIABLE vault_nd_446e53ee-d988-46c6-b327-32d10ab10404 \* MERGEFORMAT </w:instrText>
      </w:r>
      <w:r w:rsidR="0099632D">
        <w:fldChar w:fldCharType="separate"/>
      </w:r>
      <w:r w:rsidR="005605B4">
        <w:t xml:space="preserve"> </w:t>
      </w:r>
      <w:r w:rsidR="0099632D">
        <w:fldChar w:fldCharType="end"/>
      </w:r>
    </w:p>
    <w:p w14:paraId="28B65FB0" w14:textId="6E67D59E" w:rsidR="000F781F" w:rsidRPr="000F781F" w:rsidRDefault="000F781F" w:rsidP="000F781F">
      <w:r w:rsidRPr="000F781F">
        <w:t>The proposed indication is:</w:t>
      </w:r>
    </w:p>
    <w:p w14:paraId="736A0775" w14:textId="3FCB9E05" w:rsidR="000F781F" w:rsidRPr="000F781F" w:rsidRDefault="000F781F" w:rsidP="000F781F">
      <w:pPr>
        <w:ind w:left="720"/>
        <w:rPr>
          <w:i/>
          <w:iCs/>
        </w:rPr>
      </w:pPr>
      <w:proofErr w:type="spellStart"/>
      <w:r w:rsidRPr="000F781F">
        <w:rPr>
          <w:i/>
          <w:iCs/>
        </w:rPr>
        <w:t>Omvoh</w:t>
      </w:r>
      <w:proofErr w:type="spellEnd"/>
      <w:r w:rsidRPr="000F781F">
        <w:rPr>
          <w:i/>
          <w:iCs/>
        </w:rPr>
        <w:t xml:space="preserve"> is indicated for the treatment of moderately to severely active ulcerative colitis (UC) in patients who have had an inadequate response </w:t>
      </w:r>
      <w:proofErr w:type="gramStart"/>
      <w:r w:rsidRPr="000F781F">
        <w:rPr>
          <w:i/>
          <w:iCs/>
        </w:rPr>
        <w:t>with,</w:t>
      </w:r>
      <w:proofErr w:type="gramEnd"/>
      <w:r w:rsidRPr="000F781F">
        <w:rPr>
          <w:i/>
          <w:iCs/>
        </w:rPr>
        <w:t xml:space="preserve"> lost response to, or were intolerant to conventional therapy or a biologic treatment or a Janus kinase (JAK) inhibitor, or have medical contraindications to such therapies.</w:t>
      </w:r>
    </w:p>
    <w:p w14:paraId="45AD186D" w14:textId="2A265AB3" w:rsidR="000F781F" w:rsidRPr="000F781F" w:rsidRDefault="000F781F" w:rsidP="000F781F">
      <w:r w:rsidRPr="000F781F">
        <w:t xml:space="preserve">The indication should be changed to specify that the treatment is for adult patients. As very few subjects had actually failed JAK inhibitor therapy, there is limited data about the efficacy of mirikizumab in this setting. The </w:t>
      </w:r>
      <w:r>
        <w:t>s</w:t>
      </w:r>
      <w:r w:rsidRPr="000F781F">
        <w:t xml:space="preserve">ponsor and </w:t>
      </w:r>
      <w:r>
        <w:t>the Advisory Committee on Medicines (</w:t>
      </w:r>
      <w:r w:rsidRPr="00D777FF">
        <w:t>ACM</w:t>
      </w:r>
      <w:r>
        <w:t>)</w:t>
      </w:r>
      <w:r w:rsidR="00D777FF">
        <w:t xml:space="preserve"> were</w:t>
      </w:r>
      <w:r w:rsidRPr="000F781F">
        <w:t xml:space="preserve"> asked about this. The Delegate considers it reasonable not to specify JAK</w:t>
      </w:r>
      <w:r>
        <w:t xml:space="preserve"> inhibitor</w:t>
      </w:r>
      <w:r w:rsidRPr="000F781F">
        <w:t xml:space="preserve"> in the indication as it may imply that mirikizumab is of particular clinical utility in the population that has not responded adequately to JAK inhibitor therapy, whereas this is unknown.</w:t>
      </w:r>
    </w:p>
    <w:p w14:paraId="1C8EF06E" w14:textId="6192D6F3" w:rsidR="000F781F" w:rsidRDefault="000F781F" w:rsidP="000F781F">
      <w:pPr>
        <w:pStyle w:val="Heading5"/>
      </w:pPr>
      <w:r>
        <w:t>Efficacy</w:t>
      </w:r>
      <w:r w:rsidR="0099632D">
        <w:fldChar w:fldCharType="begin"/>
      </w:r>
      <w:r w:rsidR="0099632D">
        <w:instrText xml:space="preserve"> DOCVARIABLE vault_nd_ff864bf5-8355-41b4-b946-d69940223a5b \* MERGEFORMAT </w:instrText>
      </w:r>
      <w:r w:rsidR="0099632D">
        <w:fldChar w:fldCharType="separate"/>
      </w:r>
      <w:r w:rsidR="005605B4">
        <w:t xml:space="preserve"> </w:t>
      </w:r>
      <w:r w:rsidR="0099632D">
        <w:fldChar w:fldCharType="end"/>
      </w:r>
    </w:p>
    <w:p w14:paraId="32AA75D7" w14:textId="6D5FF042" w:rsidR="000F781F" w:rsidRPr="000F781F" w:rsidRDefault="000F781F" w:rsidP="000F781F">
      <w:r w:rsidRPr="000F781F">
        <w:t>Studies AMAN and AMBG demonstrated efficacy for the primary endpoint (</w:t>
      </w:r>
      <w:r>
        <w:t>that is,</w:t>
      </w:r>
      <w:r w:rsidRPr="000F781F">
        <w:t xml:space="preserve"> remission) for a </w:t>
      </w:r>
      <w:proofErr w:type="gramStart"/>
      <w:r w:rsidRPr="000F781F">
        <w:t>12 week</w:t>
      </w:r>
      <w:proofErr w:type="gramEnd"/>
      <w:r w:rsidRPr="000F781F">
        <w:t xml:space="preserve"> induction followed by at least 40 weeks of maintenance dosing. Of note, subjects who were responding to mirikizumab at 12 weeks continued to see clinical improvement until </w:t>
      </w:r>
      <w:r>
        <w:t>W</w:t>
      </w:r>
      <w:r w:rsidRPr="000F781F">
        <w:t>eek</w:t>
      </w:r>
      <w:r>
        <w:t> </w:t>
      </w:r>
      <w:r w:rsidRPr="000F781F">
        <w:t>40 of the maintenance study (</w:t>
      </w:r>
      <w:r>
        <w:t>that is,</w:t>
      </w:r>
      <w:r w:rsidRPr="000F781F">
        <w:t xml:space="preserve"> progressed from being a responder to being a remitter). This is also consistent with the non-randomised subsets of subjects who either underwent extended induction (for another 12 weeks if they had not responded initially) or rescue treatment (12 weeks of 300</w:t>
      </w:r>
      <w:r>
        <w:t> </w:t>
      </w:r>
      <w:r w:rsidRPr="000F781F">
        <w:t>mg</w:t>
      </w:r>
      <w:r>
        <w:t xml:space="preserve"> IV every 4 weeks</w:t>
      </w:r>
      <w:r w:rsidRPr="000F781F">
        <w:t>) deriving benefit. The primary endpoint of clinical remission defined by the modified Mayo score was appropriate and consistent with the most recent guideline.</w:t>
      </w:r>
    </w:p>
    <w:p w14:paraId="507796B1" w14:textId="5428A09C" w:rsidR="000F781F" w:rsidRPr="000F781F" w:rsidRDefault="000F781F" w:rsidP="000F781F">
      <w:r w:rsidRPr="000F781F">
        <w:t>Noteworthy secondary endpoint findings in the maintenance study with mirikizumab v</w:t>
      </w:r>
      <w:r>
        <w:t>ersus</w:t>
      </w:r>
      <w:r w:rsidRPr="000F781F">
        <w:t xml:space="preserve"> placebo were increased proportion of corticosteroid-free remission without surgery (44.49% </w:t>
      </w:r>
      <w:r>
        <w:t xml:space="preserve">versus </w:t>
      </w:r>
      <w:r w:rsidRPr="000F781F">
        <w:t xml:space="preserve">21.8%) and bowel urgency remission with </w:t>
      </w:r>
      <w:r>
        <w:t>b</w:t>
      </w:r>
      <w:r w:rsidRPr="000F781F">
        <w:t>aseline Numeric Rating Scale 3</w:t>
      </w:r>
      <w:r>
        <w:t xml:space="preserve"> or greater</w:t>
      </w:r>
      <w:r w:rsidRPr="000F781F">
        <w:t xml:space="preserve"> (42.9% v</w:t>
      </w:r>
      <w:r>
        <w:t>ersus</w:t>
      </w:r>
      <w:r w:rsidRPr="000F781F">
        <w:t xml:space="preserve"> 25%). These two endpoints have significant benefits for patient’s long-term health (reduced steroid exposure) and quality of life (reduced bowel urgency).</w:t>
      </w:r>
    </w:p>
    <w:p w14:paraId="16DCD91F" w14:textId="38848AB8" w:rsidR="000F781F" w:rsidRPr="000F781F" w:rsidRDefault="000F781F" w:rsidP="000F781F">
      <w:r w:rsidRPr="000F781F">
        <w:t xml:space="preserve">Importantly, both induction and maintenance studies included a substantial number of subjects who had failed at least one biologic/JAK inhibitor and that they achieved the primary outcomes as well as important secondary outcomes, as shown in the subgroup analyses. It is worth noting that very few (2.0 </w:t>
      </w:r>
      <w:r>
        <w:t>to</w:t>
      </w:r>
      <w:r w:rsidRPr="000F781F">
        <w:t xml:space="preserve"> 3.9%) of the subjects entering the induction study had failed tofacitinib and that most of the inadequate therapy responses amongst the biologic/JAK</w:t>
      </w:r>
      <w:r>
        <w:t xml:space="preserve"> inhibitor</w:t>
      </w:r>
      <w:r w:rsidRPr="000F781F">
        <w:t xml:space="preserve"> failures had actually been to </w:t>
      </w:r>
      <w:r>
        <w:t>t</w:t>
      </w:r>
      <w:r w:rsidRPr="000F781F">
        <w:t xml:space="preserve">umour necrosis factor </w:t>
      </w:r>
      <w:r>
        <w:t>(</w:t>
      </w:r>
      <w:r w:rsidRPr="000F781F">
        <w:t>TNF</w:t>
      </w:r>
      <w:r>
        <w:t>)</w:t>
      </w:r>
      <w:r w:rsidRPr="000F781F">
        <w:t xml:space="preserve"> inhibitors (33</w:t>
      </w:r>
      <w:r>
        <w:t xml:space="preserve"> to </w:t>
      </w:r>
      <w:r w:rsidRPr="000F781F">
        <w:t>37.4%) and vedolizumab (18.3</w:t>
      </w:r>
      <w:r>
        <w:t xml:space="preserve"> to </w:t>
      </w:r>
      <w:r w:rsidRPr="000F781F">
        <w:t>20.1%)</w:t>
      </w:r>
      <w:r>
        <w:t>.</w:t>
      </w:r>
      <w:r w:rsidRPr="000F781F">
        <w:t xml:space="preserve"> Approximately 58% had failed conventional therapy (generally corresponding to the group that was </w:t>
      </w:r>
      <w:r>
        <w:t>‘</w:t>
      </w:r>
      <w:r w:rsidRPr="000F781F">
        <w:t>biologic or tofacitinib</w:t>
      </w:r>
      <w:r>
        <w:t>’</w:t>
      </w:r>
      <w:r w:rsidRPr="000F781F">
        <w:t xml:space="preserve"> naïve).</w:t>
      </w:r>
    </w:p>
    <w:p w14:paraId="3182456A" w14:textId="5F7FA546" w:rsidR="000F781F" w:rsidRPr="000F781F" w:rsidRDefault="000F781F" w:rsidP="000F781F">
      <w:r w:rsidRPr="000F781F">
        <w:t xml:space="preserve">There was data suggesting that the development of </w:t>
      </w:r>
      <w:r w:rsidR="00D777FF">
        <w:t>ADA</w:t>
      </w:r>
      <w:r w:rsidRPr="000F781F">
        <w:t xml:space="preserve">s (specifically, neutralising antibodies at titre 1:160 </w:t>
      </w:r>
      <w:r>
        <w:t xml:space="preserve">or greater </w:t>
      </w:r>
      <w:r w:rsidRPr="000F781F">
        <w:t>which affected 2% of subjects) was associated with reduced mirikizumab exposure and loss of efficacy. Thus</w:t>
      </w:r>
      <w:r>
        <w:t>,</w:t>
      </w:r>
      <w:r w:rsidRPr="000F781F">
        <w:t xml:space="preserve"> there is a small risk of ADA compromising mirikizumab efficacy and the PI should describe this.</w:t>
      </w:r>
    </w:p>
    <w:p w14:paraId="6DADD476" w14:textId="288E9E9F" w:rsidR="000F781F" w:rsidRDefault="000F781F" w:rsidP="000F781F">
      <w:pPr>
        <w:pStyle w:val="Heading5"/>
      </w:pPr>
      <w:r>
        <w:lastRenderedPageBreak/>
        <w:t>Safety</w:t>
      </w:r>
      <w:r w:rsidR="0099632D">
        <w:fldChar w:fldCharType="begin"/>
      </w:r>
      <w:r w:rsidR="0099632D">
        <w:instrText xml:space="preserve"> DOCVARIABLE vault_nd_698065ff-df05-4376-83a6-3114c9ba87a5 \* MERGEFORMAT </w:instrText>
      </w:r>
      <w:r w:rsidR="0099632D">
        <w:fldChar w:fldCharType="separate"/>
      </w:r>
      <w:r w:rsidR="005605B4">
        <w:t xml:space="preserve"> </w:t>
      </w:r>
      <w:r w:rsidR="0099632D">
        <w:fldChar w:fldCharType="end"/>
      </w:r>
    </w:p>
    <w:p w14:paraId="40BCB4B8" w14:textId="16FD34A0" w:rsidR="000F781F" w:rsidRPr="000F781F" w:rsidRDefault="000F781F" w:rsidP="000F781F">
      <w:r w:rsidRPr="000F781F">
        <w:t>The four deaths in subjects exposed to mirikizumab had significant mitigating factors (mainly remoteness from last dose, presence of comorbidities or COVID</w:t>
      </w:r>
      <w:r>
        <w:t>-</w:t>
      </w:r>
      <w:r w:rsidRPr="000F781F">
        <w:t>19 infection).</w:t>
      </w:r>
      <w:r>
        <w:t xml:space="preserve"> Serious adverse events</w:t>
      </w:r>
      <w:r w:rsidRPr="000F781F">
        <w:t xml:space="preserve"> and severe TEAEs occurred more frequently with placebo than with mirikizumab.</w:t>
      </w:r>
    </w:p>
    <w:p w14:paraId="226DC871" w14:textId="5A45F5D9" w:rsidR="000F781F" w:rsidRPr="000F781F" w:rsidRDefault="000F781F" w:rsidP="000F781F">
      <w:r w:rsidRPr="000F781F">
        <w:t>Generally manageable</w:t>
      </w:r>
      <w:r w:rsidR="00D777FF">
        <w:t xml:space="preserve"> adverse events</w:t>
      </w:r>
      <w:r w:rsidRPr="000F781F">
        <w:t xml:space="preserve"> that were associated with mirikizumab during the clinical trials include arthralgia, injection site reaction, rash/other skin disorders, hypersensitivity, hypertension and gastro-oesophageal reflux. Serious infections were not more common with mirikizumab.</w:t>
      </w:r>
    </w:p>
    <w:p w14:paraId="68AF6978" w14:textId="641E0234" w:rsidR="000F781F" w:rsidRPr="000F781F" w:rsidRDefault="000F781F" w:rsidP="000F781F">
      <w:r w:rsidRPr="000F781F">
        <w:t xml:space="preserve">Reversible elevations of aminotransferases </w:t>
      </w:r>
      <w:proofErr w:type="gramStart"/>
      <w:r w:rsidRPr="000F781F">
        <w:t>occurred</w:t>
      </w:r>
      <w:proofErr w:type="gramEnd"/>
      <w:r w:rsidRPr="000F781F">
        <w:t xml:space="preserve"> and some were adjudicated as </w:t>
      </w:r>
      <w:r>
        <w:t>‘</w:t>
      </w:r>
      <w:r w:rsidRPr="000F781F">
        <w:t>possibly</w:t>
      </w:r>
      <w:r>
        <w:t>’</w:t>
      </w:r>
      <w:r w:rsidRPr="000F781F">
        <w:t xml:space="preserve"> related. In addition</w:t>
      </w:r>
      <w:r>
        <w:t>,</w:t>
      </w:r>
      <w:r w:rsidRPr="000F781F">
        <w:t xml:space="preserve"> there was one case that met criteria for Hy’s law. This represents a signal for hepatotoxicity and is appropriately included in the RMP.</w:t>
      </w:r>
    </w:p>
    <w:p w14:paraId="2C6E194E" w14:textId="7362FE7A" w:rsidR="000F781F" w:rsidRPr="000F781F" w:rsidRDefault="000F781F" w:rsidP="000F781F">
      <w:r w:rsidRPr="000F781F">
        <w:t>There are scientific data consistent with a role for IL-23 in both oncogenesis and tumour suppression, so it is unclear in what direction to expect any malignancy signal. Concern for increased incidence of malignancy was raised during the course of the evaluation. There were three cases of adenocarcinoma of the colon during the induction with mirikizumab and none with placebo. The short lead time, possibility of better detection of pre-existing tumours following mucosal healing and fewer events with ongoing treatment, somewhat reduces the level of concern with these events. Overall malignancy events occurred at a similar rate during the mirikizumab program compared with the program across all indications (both 0.6 per 100 patient</w:t>
      </w:r>
      <w:r>
        <w:t xml:space="preserve"> </w:t>
      </w:r>
      <w:r w:rsidRPr="000F781F">
        <w:t>years in the updated data sets) and were comparable with incidence rates for the general UC population. Given the trial data, theoretical risk and limited long</w:t>
      </w:r>
      <w:r>
        <w:t>-</w:t>
      </w:r>
      <w:r w:rsidRPr="000F781F">
        <w:t>term experience with mirikizumab, the true malignancy risk is currently unknown, and this should be reflected in the PI.</w:t>
      </w:r>
    </w:p>
    <w:p w14:paraId="16CD90B7" w14:textId="6C645728" w:rsidR="000F781F" w:rsidRPr="000F781F" w:rsidRDefault="000F781F" w:rsidP="000F781F">
      <w:r w:rsidRPr="000F781F">
        <w:t>The occurrence of cardiovascular events</w:t>
      </w:r>
      <w:r>
        <w:t>,</w:t>
      </w:r>
      <w:r w:rsidRPr="000F781F">
        <w:t xml:space="preserve"> in particular myocardial infarction, coronary revascularisation and serious arrythmias</w:t>
      </w:r>
      <w:r>
        <w:t>,</w:t>
      </w:r>
      <w:r w:rsidRPr="000F781F">
        <w:t xml:space="preserve"> are noted. They nearly all occurred in the psoriasis studies. In the </w:t>
      </w:r>
      <w:proofErr w:type="gramStart"/>
      <w:r w:rsidRPr="000F781F">
        <w:t>placebo controlled</w:t>
      </w:r>
      <w:proofErr w:type="gramEnd"/>
      <w:r w:rsidRPr="000F781F">
        <w:t xml:space="preserve"> psoriasis sets there was some imbalance (more frequent events with mirikizumab). The serious arrythmias were mainly atrial fibrillation with none of the events described as ventricular. The </w:t>
      </w:r>
      <w:r>
        <w:t>s</w:t>
      </w:r>
      <w:r w:rsidRPr="000F781F">
        <w:t xml:space="preserve">ponsor has advanced that there may be higher cardiovascular risk with psoriasis, that the placebo sets were comparatively small in those studies and that the overall rates are consistent with expected. There does not appear to be a signal in the ulcerative colitis indication and this issue will be monitored as per </w:t>
      </w:r>
      <w:r>
        <w:t>s</w:t>
      </w:r>
      <w:r w:rsidRPr="000F781F">
        <w:t xml:space="preserve">ponsor correspondence. The </w:t>
      </w:r>
      <w:r>
        <w:t>s</w:t>
      </w:r>
      <w:r w:rsidRPr="000F781F">
        <w:t>ponsor has also been asked to add this to the RMP and a statement in the adverse effects section.</w:t>
      </w:r>
    </w:p>
    <w:p w14:paraId="67358BFA" w14:textId="77777777" w:rsidR="000F781F" w:rsidRPr="000F781F" w:rsidRDefault="000F781F" w:rsidP="000F781F">
      <w:r w:rsidRPr="000F781F">
        <w:t>The presence of ADA did not appear to affect drug safety.</w:t>
      </w:r>
    </w:p>
    <w:p w14:paraId="0C47EB50" w14:textId="5905126F" w:rsidR="000F781F" w:rsidRPr="000F781F" w:rsidRDefault="000F781F" w:rsidP="000F781F">
      <w:r w:rsidRPr="000F781F">
        <w:t xml:space="preserve">The </w:t>
      </w:r>
      <w:r>
        <w:t>s</w:t>
      </w:r>
      <w:r w:rsidRPr="000F781F">
        <w:t>ponsor has been asked to provide more detailed safety information in the PI (</w:t>
      </w:r>
      <w:r>
        <w:t>for example,</w:t>
      </w:r>
      <w:r w:rsidRPr="000F781F">
        <w:t xml:space="preserve"> TEAEs listings for the </w:t>
      </w:r>
      <w:proofErr w:type="gramStart"/>
      <w:r w:rsidRPr="000F781F">
        <w:t>placebo controlled</w:t>
      </w:r>
      <w:proofErr w:type="gramEnd"/>
      <w:r w:rsidRPr="000F781F">
        <w:t xml:space="preserve"> parts of the trials).</w:t>
      </w:r>
    </w:p>
    <w:p w14:paraId="3E1B0858" w14:textId="21BCF95B" w:rsidR="000F781F" w:rsidRDefault="000F781F" w:rsidP="000F781F">
      <w:pPr>
        <w:pStyle w:val="Heading5"/>
      </w:pPr>
      <w:r>
        <w:t>Deficiencies in the data</w:t>
      </w:r>
      <w:r w:rsidR="0099632D">
        <w:fldChar w:fldCharType="begin"/>
      </w:r>
      <w:r w:rsidR="0099632D">
        <w:instrText xml:space="preserve"> DOCVARIABLE vault_nd_2896d46c-37b0-494f-8bb0-5b799cb4d98a \* MERGEFORMAT </w:instrText>
      </w:r>
      <w:r w:rsidR="0099632D">
        <w:fldChar w:fldCharType="separate"/>
      </w:r>
      <w:r w:rsidR="005605B4">
        <w:t xml:space="preserve"> </w:t>
      </w:r>
      <w:r w:rsidR="0099632D">
        <w:fldChar w:fldCharType="end"/>
      </w:r>
    </w:p>
    <w:p w14:paraId="2E1BFF39" w14:textId="6D7FDBC5" w:rsidR="000F781F" w:rsidRPr="000F781F" w:rsidRDefault="000F781F" w:rsidP="000F781F">
      <w:r w:rsidRPr="000F781F">
        <w:t>Deficiencies in the data include the efficacy of mirikizumab for acute ulcerative colitis of less than 3 months duration or as a first-line therapy (</w:t>
      </w:r>
      <w:r>
        <w:t xml:space="preserve">that is, </w:t>
      </w:r>
      <w:r w:rsidRPr="000F781F">
        <w:t xml:space="preserve">together with corticosteroids). There </w:t>
      </w:r>
      <w:r>
        <w:t>are</w:t>
      </w:r>
      <w:r w:rsidRPr="000F781F">
        <w:t xml:space="preserve"> also few data for long</w:t>
      </w:r>
      <w:r>
        <w:t>-</w:t>
      </w:r>
      <w:r w:rsidRPr="000F781F">
        <w:t>term use and durability of effect beyond 1</w:t>
      </w:r>
      <w:r>
        <w:t xml:space="preserve"> to </w:t>
      </w:r>
      <w:r w:rsidRPr="000F781F">
        <w:t>2 years. Both of these areas may be addressed through further clinical trials or registry data.</w:t>
      </w:r>
    </w:p>
    <w:p w14:paraId="031AECBA" w14:textId="088A0810" w:rsidR="000F781F" w:rsidRPr="000F781F" w:rsidRDefault="000F781F" w:rsidP="000F781F">
      <w:r w:rsidRPr="000F781F">
        <w:t>On the safety side, the nature of long</w:t>
      </w:r>
      <w:r>
        <w:t>-</w:t>
      </w:r>
      <w:r w:rsidRPr="000F781F">
        <w:t>term risks, including of malignancy, will become apparent through the extension study and pharmacovigilance activities.</w:t>
      </w:r>
    </w:p>
    <w:p w14:paraId="3AF845D5" w14:textId="0C99E46E" w:rsidR="000F781F" w:rsidRDefault="000F781F" w:rsidP="000F781F">
      <w:pPr>
        <w:pStyle w:val="Heading5"/>
      </w:pPr>
      <w:r>
        <w:lastRenderedPageBreak/>
        <w:t>Risk-benefit-uncertainty assessment</w:t>
      </w:r>
      <w:r w:rsidR="0099632D">
        <w:fldChar w:fldCharType="begin"/>
      </w:r>
      <w:r w:rsidR="0099632D">
        <w:instrText xml:space="preserve"> DOCVARIABLE vault_nd_a8807f87-8409-4206-81ec-2124b87</w:instrText>
      </w:r>
      <w:r w:rsidR="0099632D">
        <w:instrText xml:space="preserve">0cee4 \* MERGEFORMAT </w:instrText>
      </w:r>
      <w:r w:rsidR="0099632D">
        <w:fldChar w:fldCharType="separate"/>
      </w:r>
      <w:r w:rsidR="005605B4">
        <w:t xml:space="preserve"> </w:t>
      </w:r>
      <w:r w:rsidR="0099632D">
        <w:fldChar w:fldCharType="end"/>
      </w:r>
    </w:p>
    <w:p w14:paraId="5F4E19DF" w14:textId="619BC0F0" w:rsidR="000F781F" w:rsidRPr="000F781F" w:rsidRDefault="000F781F" w:rsidP="000F781F">
      <w:r w:rsidRPr="000F781F">
        <w:t>The benefit-risk evaluation for mirikizumab to treat moderately to severely active ulcerative colitis is positive, based on the statistically and clinically significant efficacy, and reasonably well defined and acceptable toxicity profile. The uncertainties described above may become better understood with both clinical use and additional studies.</w:t>
      </w:r>
    </w:p>
    <w:p w14:paraId="3916F296" w14:textId="2EC8B4F4" w:rsidR="00C22214" w:rsidRDefault="00C22214" w:rsidP="00C22214">
      <w:pPr>
        <w:pStyle w:val="Heading4"/>
      </w:pPr>
      <w:bookmarkStart w:id="85" w:name="_Toc98931933"/>
      <w:bookmarkStart w:id="86" w:name="_Toc160629033"/>
      <w:r w:rsidRPr="00D23139">
        <w:t>Proposed action</w:t>
      </w:r>
      <w:bookmarkEnd w:id="85"/>
      <w:bookmarkEnd w:id="86"/>
      <w:r w:rsidR="005605B4">
        <w:fldChar w:fldCharType="begin"/>
      </w:r>
      <w:r w:rsidR="005605B4">
        <w:instrText xml:space="preserve"> DOCVARIABLE vault_nd_1a1b9b71-f9fa-46ff-9f28-4acfb935751d \* MERGEFORMAT </w:instrText>
      </w:r>
      <w:r w:rsidR="005605B4">
        <w:fldChar w:fldCharType="separate"/>
      </w:r>
      <w:r w:rsidR="005605B4">
        <w:t xml:space="preserve"> </w:t>
      </w:r>
      <w:r w:rsidR="005605B4">
        <w:fldChar w:fldCharType="end"/>
      </w:r>
    </w:p>
    <w:p w14:paraId="406541C7" w14:textId="19CAA68D" w:rsidR="00C22214" w:rsidRPr="00456765" w:rsidRDefault="000F781F" w:rsidP="000F781F">
      <w:r w:rsidRPr="000F781F">
        <w:t>The Delegate considers that mirikizumab has a positive risk-benefit balance for the treatment of moderately to severely active ulcerative colitis.</w:t>
      </w:r>
    </w:p>
    <w:p w14:paraId="318CFABC" w14:textId="19E3DCA2" w:rsidR="00C22214" w:rsidRPr="00F73346" w:rsidRDefault="00C22214" w:rsidP="00C22214">
      <w:pPr>
        <w:pStyle w:val="Heading4"/>
      </w:pPr>
      <w:bookmarkStart w:id="87" w:name="_Toc98931936"/>
      <w:bookmarkStart w:id="88" w:name="_Toc160629034"/>
      <w:bookmarkStart w:id="89" w:name="_Toc247691532"/>
      <w:bookmarkStart w:id="90" w:name="_Toc314842516"/>
      <w:r w:rsidRPr="00F73346">
        <w:t>Advisory Committee considerations</w:t>
      </w:r>
      <w:bookmarkEnd w:id="87"/>
      <w:bookmarkEnd w:id="88"/>
      <w:r w:rsidR="005605B4">
        <w:fldChar w:fldCharType="begin"/>
      </w:r>
      <w:r w:rsidR="005605B4">
        <w:instrText xml:space="preserve"> DOCVARIABLE vault_nd_04409031-9f0d-4611-ba82-fdf6a2005f0a \* MERGEFORMAT </w:instrText>
      </w:r>
      <w:r w:rsidR="005605B4">
        <w:fldChar w:fldCharType="separate"/>
      </w:r>
      <w:r w:rsidR="005605B4">
        <w:t xml:space="preserve"> </w:t>
      </w:r>
      <w:r w:rsidR="005605B4">
        <w:fldChar w:fldCharType="end"/>
      </w:r>
    </w:p>
    <w:p w14:paraId="087BB9CB" w14:textId="05F8D30D" w:rsidR="00C22214" w:rsidRPr="00BD5DBD" w:rsidRDefault="00C22214" w:rsidP="00C22214">
      <w:pPr>
        <w:rPr>
          <w:bCs/>
          <w:szCs w:val="22"/>
        </w:rPr>
      </w:pPr>
      <w:r w:rsidRPr="00BD5DBD">
        <w:rPr>
          <w:bCs/>
          <w:szCs w:val="22"/>
        </w:rPr>
        <w:t xml:space="preserve">The </w:t>
      </w:r>
      <w:hyperlink r:id="rId43"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58751B98" w:rsidR="00C22214" w:rsidRPr="00F73346" w:rsidRDefault="00C22214" w:rsidP="00C22214">
      <w:pPr>
        <w:pStyle w:val="Heading5"/>
      </w:pPr>
      <w:r w:rsidRPr="00F73346">
        <w:t>Specific advice to the Delegate</w:t>
      </w:r>
      <w:r w:rsidR="0099632D">
        <w:fldChar w:fldCharType="begin"/>
      </w:r>
      <w:r w:rsidR="0099632D">
        <w:instrText xml:space="preserve"> DOCVARIABLE vault_nd_1a2c487e-2910-4fc8-883c-9cb1dea337b2 \* MERGEFORMAT </w:instrText>
      </w:r>
      <w:r w:rsidR="0099632D">
        <w:fldChar w:fldCharType="separate"/>
      </w:r>
      <w:r w:rsidR="005605B4">
        <w:t xml:space="preserve"> </w:t>
      </w:r>
      <w:r w:rsidR="0099632D">
        <w:fldChar w:fldCharType="end"/>
      </w:r>
    </w:p>
    <w:p w14:paraId="7DA8DA06" w14:textId="20130475" w:rsidR="000F781F" w:rsidRPr="000F781F" w:rsidRDefault="000F781F" w:rsidP="000F781F">
      <w:pPr>
        <w:pStyle w:val="Numberbullet0"/>
        <w:numPr>
          <w:ilvl w:val="0"/>
          <w:numId w:val="29"/>
        </w:numPr>
        <w:rPr>
          <w:b/>
          <w:bCs/>
          <w:i/>
          <w:iCs/>
        </w:rPr>
      </w:pPr>
      <w:r w:rsidRPr="000F781F">
        <w:rPr>
          <w:b/>
          <w:bCs/>
          <w:i/>
          <w:iCs/>
        </w:rPr>
        <w:t>What is ACM’s view on removing JAK</w:t>
      </w:r>
      <w:r>
        <w:rPr>
          <w:b/>
          <w:bCs/>
          <w:i/>
          <w:iCs/>
        </w:rPr>
        <w:t xml:space="preserve"> </w:t>
      </w:r>
      <w:r w:rsidRPr="000F781F">
        <w:rPr>
          <w:b/>
          <w:bCs/>
          <w:i/>
          <w:iCs/>
        </w:rPr>
        <w:t>i</w:t>
      </w:r>
      <w:r>
        <w:rPr>
          <w:b/>
          <w:bCs/>
          <w:i/>
          <w:iCs/>
        </w:rPr>
        <w:t>nhibitor</w:t>
      </w:r>
      <w:r w:rsidRPr="000F781F">
        <w:rPr>
          <w:b/>
          <w:bCs/>
          <w:i/>
          <w:iCs/>
        </w:rPr>
        <w:t xml:space="preserve"> failure from the indication? Is the current indication otherwise acceptable?</w:t>
      </w:r>
    </w:p>
    <w:p w14:paraId="51C1221F" w14:textId="77777777" w:rsidR="000F781F" w:rsidRPr="000F781F" w:rsidRDefault="000F781F" w:rsidP="000F781F">
      <w:r w:rsidRPr="000F781F">
        <w:t>The ACM noted patient demographics and disease characteristics in the mirikizumab induction trial showed the number of patients who had received previous therapy for ulcerative colitis (UC) with JAK inhibitors was proportionately very small and prior treatments were mainly with biological drugs such as anti-TNF agents and vedolizumab. The ACM supported removing JAK inhibitor failure from the indication. The ACM agreed that the indication is otherwise acceptable.</w:t>
      </w:r>
    </w:p>
    <w:p w14:paraId="7946E888" w14:textId="77777777" w:rsidR="000F781F" w:rsidRPr="000F781F" w:rsidRDefault="000F781F" w:rsidP="000F781F">
      <w:pPr>
        <w:pStyle w:val="Numberbullet0"/>
        <w:rPr>
          <w:b/>
          <w:bCs/>
          <w:i/>
          <w:iCs/>
        </w:rPr>
      </w:pPr>
      <w:r w:rsidRPr="000F781F">
        <w:rPr>
          <w:b/>
          <w:bCs/>
          <w:i/>
          <w:iCs/>
        </w:rPr>
        <w:t>Does the PI need to address the use of concomitant therapies? Should the PI specify that JAK inhibitors should not be used concomitantly with mirikizumab (the Delegate considers it probably unnecessary to state that other biological medicines should not be used at the same time as mirikizumab)?</w:t>
      </w:r>
    </w:p>
    <w:p w14:paraId="3053B17A" w14:textId="149EBF6B" w:rsidR="000F781F" w:rsidRPr="000F781F" w:rsidRDefault="000F781F" w:rsidP="000F781F">
      <w:r w:rsidRPr="000F781F">
        <w:t>The ACM noted it is not likely that JAK inhibitors and mirikizumab would be used together, and concomitant use of JAK inhibitors was prohibited in the mirikizumab UC Phase III (LUCENT) program. The ACM also noted that pharmacokinetic data indicated that the clearance of mirikizumab was not impacted by the administration of 5-aminosalicylic acids (5ASAs), corticosteroids or oral immunomodulators (for example, azathioprine, mercaptopurine, thioguanine, and methotrexate) in patients with UC.</w:t>
      </w:r>
    </w:p>
    <w:p w14:paraId="15CC69C4" w14:textId="77777777" w:rsidR="000F781F" w:rsidRPr="000F781F" w:rsidRDefault="000F781F" w:rsidP="000F781F">
      <w:r w:rsidRPr="000F781F">
        <w:t>The ACM concluded that a statement regarding the use of concomitant therapies, specifically that JAK inhibitors should not be used together with mirikizumab is not required and is not stipulated in other Product Information for biologics.</w:t>
      </w:r>
    </w:p>
    <w:p w14:paraId="5291EA2A" w14:textId="526A805B" w:rsidR="00C22214" w:rsidRDefault="00C22214" w:rsidP="00C22214">
      <w:pPr>
        <w:pStyle w:val="Heading5"/>
      </w:pPr>
      <w:r w:rsidRPr="00F73346">
        <w:t>Conclusion</w:t>
      </w:r>
      <w:r w:rsidR="0099632D">
        <w:fldChar w:fldCharType="begin"/>
      </w:r>
      <w:r w:rsidR="0099632D">
        <w:instrText xml:space="preserve"> DOCVARIABLE vault_nd_ac0f4d01-baf8-45b2-b679-87c4cfa80ffe \* MERGEFORMAT </w:instrText>
      </w:r>
      <w:r w:rsidR="0099632D">
        <w:fldChar w:fldCharType="separate"/>
      </w:r>
      <w:r w:rsidR="005605B4">
        <w:t xml:space="preserve"> </w:t>
      </w:r>
      <w:r w:rsidR="0099632D">
        <w:fldChar w:fldCharType="end"/>
      </w:r>
    </w:p>
    <w:p w14:paraId="7FF69124" w14:textId="77777777" w:rsidR="000F781F" w:rsidRDefault="000F781F" w:rsidP="000F781F">
      <w:r>
        <w:t>The ACM considered this product to have an overall positive benefit-risk profile for the indication:</w:t>
      </w:r>
    </w:p>
    <w:p w14:paraId="08438B9D" w14:textId="26DE8DD2" w:rsidR="000F781F" w:rsidRPr="000F781F" w:rsidRDefault="000F781F" w:rsidP="000F781F">
      <w:pPr>
        <w:ind w:left="720"/>
        <w:rPr>
          <w:i/>
          <w:iCs/>
        </w:rPr>
      </w:pPr>
      <w:proofErr w:type="spellStart"/>
      <w:r w:rsidRPr="000F781F">
        <w:rPr>
          <w:i/>
          <w:iCs/>
        </w:rPr>
        <w:t>O</w:t>
      </w:r>
      <w:r>
        <w:rPr>
          <w:i/>
          <w:iCs/>
        </w:rPr>
        <w:t>mvoh</w:t>
      </w:r>
      <w:proofErr w:type="spellEnd"/>
      <w:r w:rsidRPr="000F781F">
        <w:rPr>
          <w:i/>
          <w:iCs/>
        </w:rPr>
        <w:t xml:space="preserve"> is indicated the treatment of moderately to severely active ulcerative colitis (UC) in adult patients who had had an inadequate response </w:t>
      </w:r>
      <w:proofErr w:type="gramStart"/>
      <w:r w:rsidRPr="000F781F">
        <w:rPr>
          <w:i/>
          <w:iCs/>
        </w:rPr>
        <w:t>with,</w:t>
      </w:r>
      <w:proofErr w:type="gramEnd"/>
      <w:r w:rsidRPr="000F781F">
        <w:rPr>
          <w:i/>
          <w:iCs/>
        </w:rPr>
        <w:t xml:space="preserve"> lost response to, or were intolerant to conventional therapy or a biologic treatment, or have medical contraindications to such therapies.</w:t>
      </w:r>
    </w:p>
    <w:p w14:paraId="307F236C" w14:textId="1E08E304" w:rsidR="00C22214" w:rsidRPr="002E238E" w:rsidRDefault="00C22214" w:rsidP="00C22214">
      <w:pPr>
        <w:pStyle w:val="Heading2"/>
      </w:pPr>
      <w:bookmarkStart w:id="91" w:name="_Toc103679300"/>
      <w:bookmarkStart w:id="92" w:name="_Toc160629035"/>
      <w:r>
        <w:lastRenderedPageBreak/>
        <w:t>Outcome</w:t>
      </w:r>
      <w:bookmarkEnd w:id="89"/>
      <w:bookmarkEnd w:id="90"/>
      <w:bookmarkEnd w:id="91"/>
      <w:bookmarkEnd w:id="92"/>
      <w:r w:rsidR="005605B4">
        <w:fldChar w:fldCharType="begin"/>
      </w:r>
      <w:r w:rsidR="005605B4">
        <w:instrText xml:space="preserve"> DOCVARIABLE vault_nd_b36c6a80-ec31-4455-a01e-cf01c4dc5396 \* MERGEFORMAT </w:instrText>
      </w:r>
      <w:r w:rsidR="005605B4">
        <w:fldChar w:fldCharType="separate"/>
      </w:r>
      <w:r w:rsidR="005605B4">
        <w:t xml:space="preserve"> </w:t>
      </w:r>
      <w:r w:rsidR="005605B4">
        <w:fldChar w:fldCharType="end"/>
      </w:r>
    </w:p>
    <w:p w14:paraId="4EF22939" w14:textId="525FB4D7"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proofErr w:type="spellStart"/>
      <w:r w:rsidR="000F781F">
        <w:t>Omvoh</w:t>
      </w:r>
      <w:proofErr w:type="spellEnd"/>
      <w:r w:rsidR="000F781F">
        <w:t xml:space="preserve"> </w:t>
      </w:r>
      <w:r w:rsidR="000F781F" w:rsidRPr="00065839">
        <w:t>(</w:t>
      </w:r>
      <w:proofErr w:type="spellStart"/>
      <w:r w:rsidR="000F781F">
        <w:t>mirikizumab</w:t>
      </w:r>
      <w:proofErr w:type="spellEnd"/>
      <w:r w:rsidR="000F781F" w:rsidRPr="00065839">
        <w:t xml:space="preserve">) </w:t>
      </w:r>
      <w:r w:rsidR="000F781F">
        <w:t xml:space="preserve">100 mg/mL and </w:t>
      </w:r>
      <w:r w:rsidR="000F781F" w:rsidRPr="00EE0B90">
        <w:t>300</w:t>
      </w:r>
      <w:r w:rsidR="000F781F">
        <w:t xml:space="preserve"> mg/15 mL, concentrate for solution for infusion and solution for injection, autoinjector (pre-filled pen), pre-filled syringe and vial, </w:t>
      </w:r>
      <w:r w:rsidRPr="0017005C">
        <w:t>indicated for:</w:t>
      </w:r>
    </w:p>
    <w:p w14:paraId="3B245AB5" w14:textId="784AC489" w:rsidR="00C22214" w:rsidRPr="000F781F" w:rsidRDefault="000F781F" w:rsidP="000F781F">
      <w:pPr>
        <w:ind w:left="720"/>
        <w:rPr>
          <w:i/>
          <w:iCs/>
        </w:rPr>
      </w:pPr>
      <w:proofErr w:type="spellStart"/>
      <w:r w:rsidRPr="000F781F">
        <w:rPr>
          <w:i/>
          <w:iCs/>
        </w:rPr>
        <w:t>Omvoh</w:t>
      </w:r>
      <w:proofErr w:type="spellEnd"/>
      <w:r w:rsidRPr="000F781F">
        <w:rPr>
          <w:i/>
          <w:iCs/>
        </w:rPr>
        <w:t xml:space="preserve"> is indicated for the treatment of moderately to severely active ulcerative colitis (UC) in adult patients who have had an inadequate response </w:t>
      </w:r>
      <w:proofErr w:type="gramStart"/>
      <w:r w:rsidRPr="000F781F">
        <w:rPr>
          <w:i/>
          <w:iCs/>
        </w:rPr>
        <w:t>with,</w:t>
      </w:r>
      <w:proofErr w:type="gramEnd"/>
      <w:r w:rsidRPr="000F781F">
        <w:rPr>
          <w:i/>
          <w:iCs/>
        </w:rPr>
        <w:t xml:space="preserve"> lost response to, or were intolerant to conventional therapy or a biological medicine, or have medical contraindications to such therapies.</w:t>
      </w:r>
    </w:p>
    <w:p w14:paraId="0D732DA4" w14:textId="729EFF45" w:rsidR="00854D98" w:rsidRPr="00D23139" w:rsidRDefault="00854D98" w:rsidP="00854D98">
      <w:pPr>
        <w:pStyle w:val="Heading3"/>
      </w:pPr>
      <w:bookmarkStart w:id="93" w:name="_Toc103679301"/>
      <w:bookmarkStart w:id="94" w:name="_Toc160629036"/>
      <w:r w:rsidRPr="00D23139">
        <w:t>Specific conditions of registration applying to these goods</w:t>
      </w:r>
      <w:bookmarkEnd w:id="93"/>
      <w:bookmarkEnd w:id="94"/>
      <w:r w:rsidR="005605B4">
        <w:fldChar w:fldCharType="begin"/>
      </w:r>
      <w:r w:rsidR="005605B4">
        <w:instrText xml:space="preserve"> DOCVARIABLE vault_nd_ac2cb50d-ae2a-4429-aca4-a69ede6be055 \* MERGEFORMAT </w:instrText>
      </w:r>
      <w:r w:rsidR="005605B4">
        <w:fldChar w:fldCharType="separate"/>
      </w:r>
      <w:r w:rsidR="005605B4">
        <w:t xml:space="preserve"> </w:t>
      </w:r>
      <w:r w:rsidR="005605B4">
        <w:fldChar w:fldCharType="end"/>
      </w:r>
    </w:p>
    <w:p w14:paraId="7A8C41CB" w14:textId="2F826B99" w:rsidR="000F781F" w:rsidRDefault="000F781F" w:rsidP="00972B56">
      <w:pPr>
        <w:pStyle w:val="ListBullet"/>
      </w:pPr>
      <w:proofErr w:type="spellStart"/>
      <w:r>
        <w:t>Omvoh</w:t>
      </w:r>
      <w:proofErr w:type="spellEnd"/>
      <w:r>
        <w:t xml:space="preserve"> (</w:t>
      </w:r>
      <w:proofErr w:type="spellStart"/>
      <w:r>
        <w:t>mirikizumab</w:t>
      </w:r>
      <w:proofErr w:type="spellEnd"/>
      <w:r>
        <w:t xml:space="preserve">) is to be included in the Black Triangle Scheme. The PI and CMI [Consumer Medicines Information] for </w:t>
      </w:r>
      <w:proofErr w:type="spellStart"/>
      <w:r>
        <w:t>Omvoh</w:t>
      </w:r>
      <w:proofErr w:type="spellEnd"/>
      <w:r>
        <w:t xml:space="preserve"> must include the black triangle symbol and mandatory accompanying text for five years, which starts from the date that the sponsor notifies the TGA of supply of the product.</w:t>
      </w:r>
    </w:p>
    <w:p w14:paraId="1E67F4C2" w14:textId="2FF63539" w:rsidR="000F781F" w:rsidRDefault="000F781F" w:rsidP="00972B56">
      <w:pPr>
        <w:pStyle w:val="ListBullet"/>
        <w:autoSpaceDE w:val="0"/>
        <w:autoSpaceDN w:val="0"/>
        <w:adjustRightInd w:val="0"/>
        <w:spacing w:after="0" w:line="240" w:lineRule="auto"/>
        <w:rPr>
          <w:rFonts w:cs="Cambria"/>
          <w:color w:val="000000"/>
          <w:szCs w:val="22"/>
        </w:rPr>
      </w:pPr>
      <w:r>
        <w:t xml:space="preserve">The </w:t>
      </w:r>
      <w:proofErr w:type="spellStart"/>
      <w:r>
        <w:t>Omvoh</w:t>
      </w:r>
      <w:proofErr w:type="spellEnd"/>
      <w:r>
        <w:t xml:space="preserve"> EU-risk management plan (RMP) (version 0.4, date 28 March 2023; DLP 6 </w:t>
      </w:r>
      <w:r w:rsidRPr="000F781F">
        <w:rPr>
          <w:rFonts w:cs="Cambria"/>
          <w:color w:val="000000"/>
          <w:szCs w:val="22"/>
        </w:rPr>
        <w:t>December 2021), with Australia-specific annex (version 1.2, 04 April 2023), included with Submission PM-2022-02424-1-1, and any subsequent revisions, as agreed with the TGA will be implemented in Australia.</w:t>
      </w:r>
    </w:p>
    <w:p w14:paraId="3B1FD12C" w14:textId="1D72333B" w:rsidR="000F781F" w:rsidRDefault="000F781F" w:rsidP="000F781F">
      <w:pPr>
        <w:pStyle w:val="ListBullet"/>
        <w:numPr>
          <w:ilvl w:val="0"/>
          <w:numId w:val="0"/>
        </w:numPr>
        <w:ind w:left="360"/>
        <w:rPr>
          <w:rFonts w:cs="Cambria"/>
          <w:color w:val="000000"/>
          <w:szCs w:val="22"/>
        </w:rPr>
      </w:pPr>
      <w:r>
        <w:t xml:space="preserve">An obligatory component of risk management plans is routine pharmacovigilance. </w:t>
      </w:r>
      <w:r>
        <w:rPr>
          <w:rFonts w:cs="Cambria"/>
          <w:color w:val="000000"/>
          <w:szCs w:val="22"/>
        </w:rPr>
        <w:t>Routine pharmacovigilance includes the submission of periodic safety update reports (PSURs).</w:t>
      </w:r>
    </w:p>
    <w:p w14:paraId="2C9C89B5" w14:textId="7DE39A41" w:rsidR="000F781F" w:rsidRPr="000F781F" w:rsidRDefault="000F781F" w:rsidP="000F781F">
      <w:pPr>
        <w:pStyle w:val="ListBullet"/>
        <w:numPr>
          <w:ilvl w:val="0"/>
          <w:numId w:val="0"/>
        </w:numPr>
        <w:autoSpaceDE w:val="0"/>
        <w:autoSpaceDN w:val="0"/>
        <w:adjustRightInd w:val="0"/>
        <w:spacing w:after="0" w:line="240" w:lineRule="auto"/>
        <w:ind w:left="360"/>
        <w:rPr>
          <w:rFonts w:cs="Cambria"/>
          <w:color w:val="000000"/>
          <w:szCs w:val="22"/>
        </w:rPr>
      </w:pPr>
      <w:r>
        <w:t xml:space="preserve">Unless agreed separately between the supplier who is the recipient of the approval </w:t>
      </w:r>
      <w:r w:rsidRPr="000F781F">
        <w:rPr>
          <w:rFonts w:cs="Cambria"/>
          <w:color w:val="000000"/>
          <w:szCs w:val="22"/>
        </w:rPr>
        <w:t xml:space="preserve">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The annual submission may be made up of two PSURs each covering six months. If the sponsor wishes, the </w:t>
      </w:r>
      <w:proofErr w:type="gramStart"/>
      <w:r w:rsidRPr="000F781F">
        <w:rPr>
          <w:rFonts w:cs="Cambria"/>
          <w:color w:val="000000"/>
          <w:szCs w:val="22"/>
        </w:rPr>
        <w:t>six monthly</w:t>
      </w:r>
      <w:proofErr w:type="gramEnd"/>
      <w:r w:rsidRPr="000F781F">
        <w:rPr>
          <w:rFonts w:cs="Cambria"/>
          <w:color w:val="000000"/>
          <w:szCs w:val="22"/>
        </w:rPr>
        <w:t xml:space="preserve"> reports may be submitted separately as they become available.</w:t>
      </w:r>
    </w:p>
    <w:p w14:paraId="725984BB" w14:textId="16C85EBF" w:rsidR="000F781F" w:rsidRDefault="000F781F" w:rsidP="000F781F">
      <w:pPr>
        <w:pStyle w:val="ListBullet"/>
        <w:numPr>
          <w:ilvl w:val="0"/>
          <w:numId w:val="0"/>
        </w:numPr>
        <w:autoSpaceDE w:val="0"/>
        <w:autoSpaceDN w:val="0"/>
        <w:adjustRightInd w:val="0"/>
        <w:spacing w:after="0" w:line="240" w:lineRule="auto"/>
        <w:ind w:left="360"/>
        <w:rPr>
          <w:rFonts w:cs="Cambria"/>
          <w:color w:val="000000"/>
          <w:szCs w:val="22"/>
        </w:rPr>
      </w:pPr>
      <w:r>
        <w:t xml:space="preserve">If the product is approved in the EU during the three years period, reports can be </w:t>
      </w:r>
      <w:r w:rsidRPr="000F781F">
        <w:rPr>
          <w:rFonts w:cs="Cambria"/>
          <w:color w:val="000000"/>
          <w:szCs w:val="22"/>
        </w:rPr>
        <w:t>provided in line with the published list of EU reference dates no less frequently than</w:t>
      </w:r>
      <w:r>
        <w:rPr>
          <w:rFonts w:cs="Cambria"/>
          <w:color w:val="000000"/>
          <w:szCs w:val="22"/>
        </w:rPr>
        <w:t xml:space="preserve"> annually from the date of the first submitted report until the period covered by such reports is not less than three years from the date of the approval letter.</w:t>
      </w:r>
    </w:p>
    <w:p w14:paraId="2BA4A717" w14:textId="42829985" w:rsidR="000F781F" w:rsidRDefault="000F781F" w:rsidP="000F781F">
      <w:pPr>
        <w:pStyle w:val="ListBullet"/>
        <w:numPr>
          <w:ilvl w:val="0"/>
          <w:numId w:val="0"/>
        </w:numPr>
        <w:autoSpaceDE w:val="0"/>
        <w:autoSpaceDN w:val="0"/>
        <w:adjustRightInd w:val="0"/>
        <w:spacing w:after="0" w:line="240" w:lineRule="auto"/>
        <w:ind w:left="360"/>
        <w:rPr>
          <w:rFonts w:ascii="Cambria-Italic" w:hAnsi="Cambria-Italic" w:cs="Cambria-Italic"/>
          <w:i/>
          <w:iCs/>
          <w:color w:val="7030A1"/>
          <w:sz w:val="20"/>
        </w:rPr>
      </w:pPr>
      <w:r>
        <w:t xml:space="preserve">The reports are to at least meet the requirements for PSURs as described in the </w:t>
      </w:r>
      <w:r w:rsidRPr="000F781F">
        <w:rPr>
          <w:rFonts w:cs="Cambria"/>
          <w:color w:val="000000"/>
          <w:szCs w:val="22"/>
        </w:rPr>
        <w:t>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r w:rsidRPr="000F781F">
        <w:rPr>
          <w:rFonts w:ascii="Cambria-Italic" w:hAnsi="Cambria-Italic" w:cs="Cambria-Italic"/>
          <w:i/>
          <w:iCs/>
          <w:color w:val="7030A1"/>
          <w:sz w:val="20"/>
        </w:rPr>
        <w:t>.</w:t>
      </w:r>
    </w:p>
    <w:p w14:paraId="7BC7E3FF" w14:textId="6B50CB14" w:rsidR="000F781F" w:rsidRDefault="000F781F" w:rsidP="000F781F">
      <w:pPr>
        <w:pStyle w:val="ListBullet"/>
      </w:pPr>
      <w:r>
        <w:t>Laboratory testing &amp; compliance with Certified Product Details (CPD)</w:t>
      </w:r>
    </w:p>
    <w:p w14:paraId="642CD75F" w14:textId="4E88E16B" w:rsidR="000F781F" w:rsidRDefault="000F781F" w:rsidP="000F781F">
      <w:pPr>
        <w:pStyle w:val="ListBullet"/>
        <w:numPr>
          <w:ilvl w:val="0"/>
          <w:numId w:val="0"/>
        </w:numPr>
        <w:ind w:left="360"/>
        <w:rPr>
          <w:rFonts w:cs="Cambria"/>
          <w:color w:val="000000"/>
          <w:szCs w:val="22"/>
        </w:rPr>
      </w:pPr>
      <w:r>
        <w:t xml:space="preserve">i. All batches of </w:t>
      </w:r>
      <w:proofErr w:type="spellStart"/>
      <w:r>
        <w:t>Omvoh</w:t>
      </w:r>
      <w:proofErr w:type="spellEnd"/>
      <w:r>
        <w:t xml:space="preserve"> </w:t>
      </w:r>
      <w:proofErr w:type="spellStart"/>
      <w:r>
        <w:t>mirikizumab</w:t>
      </w:r>
      <w:proofErr w:type="spellEnd"/>
      <w:r>
        <w:t xml:space="preserve"> supplied in Australia must comply with the </w:t>
      </w:r>
      <w:r>
        <w:rPr>
          <w:rFonts w:cs="Cambria"/>
          <w:color w:val="000000"/>
          <w:szCs w:val="22"/>
        </w:rPr>
        <w:t>product details and specifications approved during evaluation and detailed in the Certified Product Details (CPD).</w:t>
      </w:r>
    </w:p>
    <w:p w14:paraId="0A88454A" w14:textId="6A696F24" w:rsidR="000F781F" w:rsidRPr="000F781F" w:rsidRDefault="000F781F" w:rsidP="000F781F">
      <w:pPr>
        <w:pStyle w:val="ListBullet"/>
        <w:numPr>
          <w:ilvl w:val="0"/>
          <w:numId w:val="0"/>
        </w:numPr>
        <w:autoSpaceDE w:val="0"/>
        <w:autoSpaceDN w:val="0"/>
        <w:adjustRightInd w:val="0"/>
        <w:spacing w:after="0" w:line="240" w:lineRule="auto"/>
        <w:ind w:left="360"/>
        <w:rPr>
          <w:rFonts w:cs="Cambria"/>
          <w:color w:val="000000"/>
          <w:szCs w:val="22"/>
        </w:rPr>
      </w:pPr>
      <w:r>
        <w:t xml:space="preserve">ii. When requested by the TGA, the sponsor should be prepared to provide product </w:t>
      </w:r>
      <w:r w:rsidRPr="000F781F">
        <w:rPr>
          <w:rFonts w:cs="Cambria"/>
          <w:color w:val="000000"/>
          <w:szCs w:val="22"/>
        </w:rPr>
        <w:t xml:space="preserve">samples, specified reference materials and documentary evidence to enable the TGA to conduct laboratory testing on the Product. Outcomes of laboratory testing are published biannually in the TGA Database of Laboratory Testing Results </w:t>
      </w:r>
      <w:hyperlink r:id="rId44" w:history="1">
        <w:r w:rsidRPr="00ED5A1F">
          <w:rPr>
            <w:rStyle w:val="Hyperlink"/>
            <w:rFonts w:cs="Cambria"/>
            <w:szCs w:val="22"/>
          </w:rPr>
          <w:t>http://www.tga.gov.au/ws-labs-index</w:t>
        </w:r>
      </w:hyperlink>
      <w:r>
        <w:rPr>
          <w:rFonts w:cs="Cambria"/>
          <w:color w:val="000000"/>
          <w:szCs w:val="22"/>
        </w:rPr>
        <w:t xml:space="preserve"> </w:t>
      </w:r>
      <w:r w:rsidRPr="000F781F">
        <w:rPr>
          <w:rFonts w:cs="Cambria"/>
          <w:color w:val="000000"/>
          <w:szCs w:val="22"/>
        </w:rPr>
        <w:t>and periodically in testing reports on the TGA website.</w:t>
      </w:r>
    </w:p>
    <w:p w14:paraId="28D6E6AD" w14:textId="0F749B65" w:rsidR="000F781F" w:rsidRDefault="000F781F" w:rsidP="000F781F">
      <w:pPr>
        <w:pStyle w:val="ListBullet"/>
      </w:pPr>
      <w:r>
        <w:t>Certified Product Details</w:t>
      </w:r>
    </w:p>
    <w:p w14:paraId="283AE403" w14:textId="1AB55355" w:rsidR="000F781F" w:rsidRDefault="000F781F" w:rsidP="000F781F">
      <w:pPr>
        <w:pStyle w:val="ListBullet"/>
        <w:numPr>
          <w:ilvl w:val="0"/>
          <w:numId w:val="0"/>
        </w:numPr>
        <w:ind w:left="360"/>
      </w:pPr>
      <w:r>
        <w:lastRenderedPageBreak/>
        <w:t xml:space="preserve">The Certified Product Details (CPD), as described in Guidance 7: Certified Product </w:t>
      </w:r>
      <w:r>
        <w:rPr>
          <w:rFonts w:cs="Cambria"/>
          <w:color w:val="000000"/>
          <w:szCs w:val="22"/>
        </w:rPr>
        <w:t xml:space="preserve">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 A template for preparation of CPD for biological prescription medicines can be obtained from the TGA website [for the form] </w:t>
      </w:r>
      <w:hyperlink r:id="rId45" w:history="1">
        <w:r w:rsidRPr="00ED5A1F">
          <w:rPr>
            <w:rStyle w:val="Hyperlink"/>
            <w:rFonts w:cs="Cambria"/>
            <w:szCs w:val="22"/>
          </w:rPr>
          <w:t>https://www.tga.gov.au/form/certified-product-details-cpd-biologicalprescription-medicines</w:t>
        </w:r>
      </w:hyperlink>
      <w:r>
        <w:rPr>
          <w:rFonts w:cs="Cambria"/>
          <w:color w:val="0000FF"/>
          <w:szCs w:val="22"/>
        </w:rPr>
        <w:t xml:space="preserve"> </w:t>
      </w:r>
      <w:r>
        <w:rPr>
          <w:rFonts w:cs="Cambria"/>
          <w:color w:val="000000"/>
          <w:szCs w:val="22"/>
        </w:rPr>
        <w:t xml:space="preserve">[for the CPD guidance] </w:t>
      </w:r>
      <w:hyperlink r:id="rId46" w:history="1">
        <w:r w:rsidRPr="00ED5A1F">
          <w:rPr>
            <w:rStyle w:val="Hyperlink"/>
            <w:rFonts w:cs="Cambria"/>
            <w:szCs w:val="22"/>
          </w:rPr>
          <w:t>https://www.tga.gov.au/guidance-7-certified-product-details</w:t>
        </w:r>
      </w:hyperlink>
    </w:p>
    <w:p w14:paraId="451DC3FC" w14:textId="3D2D56C4" w:rsidR="00C22214" w:rsidRDefault="00C22214" w:rsidP="00C22214">
      <w:pPr>
        <w:pStyle w:val="Heading2"/>
      </w:pPr>
      <w:bookmarkStart w:id="95" w:name="_Toc103679303"/>
      <w:bookmarkStart w:id="96" w:name="_Toc160629037"/>
      <w:r>
        <w:t>Attachment 1. Product Information</w:t>
      </w:r>
      <w:bookmarkEnd w:id="95"/>
      <w:bookmarkEnd w:id="96"/>
      <w:r w:rsidR="005605B4">
        <w:fldChar w:fldCharType="begin"/>
      </w:r>
      <w:r w:rsidR="005605B4">
        <w:instrText xml:space="preserve"> DOCVARIABLE vault_nd_7dfbee02-9b18-486e-9b45-7de311edbca2 \* MERGEFORMAT </w:instrText>
      </w:r>
      <w:r w:rsidR="005605B4">
        <w:fldChar w:fldCharType="separate"/>
      </w:r>
      <w:r w:rsidR="005605B4">
        <w:t xml:space="preserve"> </w:t>
      </w:r>
      <w:r w:rsidR="005605B4">
        <w:fldChar w:fldCharType="end"/>
      </w:r>
    </w:p>
    <w:p w14:paraId="74F59983" w14:textId="4B1F3B07" w:rsidR="00675F81" w:rsidRPr="00BD5DBD" w:rsidRDefault="00675F81" w:rsidP="00675F81">
      <w:pPr>
        <w:rPr>
          <w:szCs w:val="22"/>
        </w:rPr>
      </w:pPr>
      <w:r w:rsidRPr="00BD5DBD">
        <w:rPr>
          <w:szCs w:val="22"/>
        </w:rPr>
        <w:t xml:space="preserve">The </w:t>
      </w:r>
      <w:hyperlink r:id="rId47" w:history="1">
        <w:r w:rsidRPr="00BD5DBD">
          <w:rPr>
            <w:rStyle w:val="Hyperlink"/>
            <w:szCs w:val="22"/>
          </w:rPr>
          <w:t>Product Information</w:t>
        </w:r>
      </w:hyperlink>
      <w:r w:rsidRPr="00BD5DBD">
        <w:rPr>
          <w:szCs w:val="22"/>
        </w:rPr>
        <w:t xml:space="preserve"> (</w:t>
      </w:r>
      <w:hyperlink r:id="rId48"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proofErr w:type="spellStart"/>
      <w:r w:rsidR="000F781F">
        <w:t>Omvoh</w:t>
      </w:r>
      <w:proofErr w:type="spellEnd"/>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49" w:history="1">
        <w:r w:rsidRPr="00BD5DBD">
          <w:rPr>
            <w:rStyle w:val="Hyperlink"/>
            <w:szCs w:val="22"/>
          </w:rPr>
          <w:t>Consumer Medicines Information</w:t>
        </w:r>
      </w:hyperlink>
      <w:r w:rsidRPr="00BD5DBD">
        <w:rPr>
          <w:szCs w:val="22"/>
        </w:rPr>
        <w:t xml:space="preserve"> (CMI), please refer to the TGA </w:t>
      </w:r>
      <w:hyperlink r:id="rId50"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86673A">
          <w:headerReference w:type="default" r:id="rId51"/>
          <w:footerReference w:type="default" r:id="rId52"/>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6"/>
          <w:bookmarkEnd w:id="7"/>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396020BE" w:rsidR="00F02AEC" w:rsidRDefault="00F02AEC">
            <w:pPr>
              <w:pStyle w:val="Address"/>
              <w:jc w:val="center"/>
              <w:rPr>
                <w:sz w:val="22"/>
                <w:szCs w:val="22"/>
              </w:rPr>
            </w:pPr>
            <w:r w:rsidRPr="00215D48">
              <w:t xml:space="preserve">Email: </w:t>
            </w:r>
            <w:hyperlink r:id="rId53" w:history="1">
              <w:r w:rsidRPr="00215D48">
                <w:rPr>
                  <w:rStyle w:val="Hyperlink"/>
                </w:rPr>
                <w:t>info@tga.gov.au</w:t>
              </w:r>
            </w:hyperlink>
            <w:r w:rsidR="00D777FF">
              <w:t xml:space="preserve"> </w:t>
            </w:r>
            <w:r w:rsidRPr="00215D48">
              <w:t>Phone: 1800 020 653</w:t>
            </w:r>
            <w:r w:rsidR="00D777FF">
              <w:t xml:space="preserve"> </w:t>
            </w:r>
            <w:r w:rsidRPr="00215D48">
              <w:t xml:space="preserve">Fax: </w:t>
            </w:r>
            <w:r w:rsidRPr="00BA0DFC">
              <w:t>02 6203 1605</w:t>
            </w:r>
          </w:p>
          <w:p w14:paraId="4533D80F" w14:textId="722F5FEA" w:rsidR="00F02AEC" w:rsidRPr="00215D48" w:rsidRDefault="0099632D">
            <w:pPr>
              <w:pStyle w:val="Address"/>
              <w:jc w:val="center"/>
              <w:rPr>
                <w:rStyle w:val="Hyperlink"/>
                <w:b/>
                <w:color w:val="auto"/>
                <w:sz w:val="22"/>
              </w:rPr>
            </w:pPr>
            <w:hyperlink r:id="rId54"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86673A">
      <w:headerReference w:type="first" r:id="rId55"/>
      <w:footerReference w:type="first" r:id="rId5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0DDF2" w14:textId="77777777" w:rsidR="0086673A" w:rsidRDefault="0086673A" w:rsidP="00F02AEC">
      <w:pPr>
        <w:spacing w:after="0" w:line="240" w:lineRule="auto"/>
      </w:pPr>
      <w:r>
        <w:separator/>
      </w:r>
    </w:p>
  </w:endnote>
  <w:endnote w:type="continuationSeparator" w:id="0">
    <w:p w14:paraId="0EBE09FA" w14:textId="77777777" w:rsidR="0086673A" w:rsidRDefault="0086673A" w:rsidP="00F02AEC">
      <w:pPr>
        <w:spacing w:after="0" w:line="240" w:lineRule="auto"/>
      </w:pPr>
      <w:r>
        <w:continuationSeparator/>
      </w:r>
    </w:p>
  </w:endnote>
  <w:endnote w:type="continuationNotice" w:id="1">
    <w:p w14:paraId="08306836" w14:textId="77777777" w:rsidR="0086673A" w:rsidRDefault="008667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Italic">
    <w:altName w:val="Cambria"/>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27011C" w:rsidRPr="0027011C" w14:paraId="7CA139FC" w14:textId="77777777" w:rsidTr="00671D70">
      <w:trPr>
        <w:trHeight w:val="423"/>
      </w:trPr>
      <w:tc>
        <w:tcPr>
          <w:tcW w:w="7338" w:type="dxa"/>
          <w:tcBorders>
            <w:top w:val="single" w:sz="4" w:space="0" w:color="auto"/>
          </w:tcBorders>
        </w:tcPr>
        <w:p w14:paraId="38C67A2D" w14:textId="77777777" w:rsidR="0027011C" w:rsidRPr="0027011C" w:rsidRDefault="0027011C" w:rsidP="0027011C">
          <w:pPr>
            <w:pStyle w:val="Footer"/>
            <w:tabs>
              <w:tab w:val="left" w:pos="7620"/>
              <w:tab w:val="right" w:pos="8504"/>
            </w:tabs>
            <w:rPr>
              <w:szCs w:val="20"/>
              <w:lang w:eastAsia="en-US"/>
            </w:rPr>
          </w:pPr>
          <w:r w:rsidRPr="0027011C">
            <w:rPr>
              <w:szCs w:val="20"/>
              <w:lang w:eastAsia="en-US"/>
            </w:rPr>
            <w:t xml:space="preserve">AusPAR – </w:t>
          </w:r>
          <w:proofErr w:type="spellStart"/>
          <w:r w:rsidRPr="0027011C">
            <w:rPr>
              <w:szCs w:val="20"/>
              <w:lang w:eastAsia="en-US"/>
            </w:rPr>
            <w:t>Omvoh</w:t>
          </w:r>
          <w:proofErr w:type="spellEnd"/>
          <w:r w:rsidRPr="0027011C">
            <w:rPr>
              <w:szCs w:val="20"/>
              <w:lang w:eastAsia="en-US"/>
            </w:rPr>
            <w:t xml:space="preserve"> – </w:t>
          </w:r>
          <w:proofErr w:type="spellStart"/>
          <w:r w:rsidRPr="0027011C">
            <w:rPr>
              <w:szCs w:val="20"/>
              <w:lang w:eastAsia="en-US"/>
            </w:rPr>
            <w:t>Mirikizumab</w:t>
          </w:r>
          <w:proofErr w:type="spellEnd"/>
          <w:r w:rsidRPr="0027011C">
            <w:rPr>
              <w:szCs w:val="20"/>
              <w:lang w:eastAsia="en-US"/>
            </w:rPr>
            <w:t xml:space="preserve"> - Eli Lilly Australia Pty Ltd - PM-2022-02424-1-1</w:t>
          </w:r>
          <w:r w:rsidRPr="0027011C">
            <w:rPr>
              <w:szCs w:val="20"/>
              <w:lang w:eastAsia="en-US"/>
            </w:rPr>
            <w:br/>
            <w:t>Final 2 May 2024</w:t>
          </w:r>
        </w:p>
      </w:tc>
      <w:tc>
        <w:tcPr>
          <w:tcW w:w="1734" w:type="dxa"/>
          <w:tcBorders>
            <w:top w:val="single" w:sz="4" w:space="0" w:color="auto"/>
          </w:tcBorders>
        </w:tcPr>
        <w:sdt>
          <w:sdtPr>
            <w:rPr>
              <w:szCs w:val="20"/>
              <w:lang w:eastAsia="en-US"/>
            </w:rPr>
            <w:id w:val="11571659"/>
            <w:docPartObj>
              <w:docPartGallery w:val="Page Numbers (Top of Page)"/>
              <w:docPartUnique/>
            </w:docPartObj>
          </w:sdtPr>
          <w:sdtContent>
            <w:p w14:paraId="3149F0A2" w14:textId="77777777" w:rsidR="0027011C" w:rsidRPr="0027011C" w:rsidRDefault="0027011C" w:rsidP="0027011C">
              <w:pPr>
                <w:pStyle w:val="Footer"/>
                <w:tabs>
                  <w:tab w:val="left" w:pos="7620"/>
                  <w:tab w:val="right" w:pos="8504"/>
                </w:tabs>
                <w:rPr>
                  <w:szCs w:val="20"/>
                  <w:lang w:eastAsia="en-US"/>
                </w:rPr>
              </w:pPr>
              <w:r w:rsidRPr="0027011C">
                <w:rPr>
                  <w:szCs w:val="20"/>
                  <w:lang w:eastAsia="en-US"/>
                </w:rPr>
                <w:t xml:space="preserve">Page </w:t>
              </w:r>
              <w:r w:rsidRPr="0027011C">
                <w:rPr>
                  <w:szCs w:val="20"/>
                  <w:lang w:eastAsia="en-US"/>
                </w:rPr>
                <w:fldChar w:fldCharType="begin"/>
              </w:r>
              <w:r w:rsidRPr="0027011C">
                <w:rPr>
                  <w:szCs w:val="20"/>
                  <w:lang w:eastAsia="en-US"/>
                </w:rPr>
                <w:instrText xml:space="preserve"> PAGE </w:instrText>
              </w:r>
              <w:r w:rsidRPr="0027011C">
                <w:rPr>
                  <w:szCs w:val="20"/>
                  <w:lang w:eastAsia="en-US"/>
                </w:rPr>
                <w:fldChar w:fldCharType="separate"/>
              </w:r>
              <w:r w:rsidRPr="0027011C">
                <w:rPr>
                  <w:szCs w:val="20"/>
                  <w:lang w:eastAsia="en-US"/>
                </w:rPr>
                <w:t>13</w:t>
              </w:r>
              <w:r w:rsidRPr="0027011C">
                <w:rPr>
                  <w:szCs w:val="20"/>
                  <w:lang w:eastAsia="en-US"/>
                </w:rPr>
                <w:fldChar w:fldCharType="end"/>
              </w:r>
              <w:r w:rsidRPr="0027011C">
                <w:rPr>
                  <w:szCs w:val="20"/>
                  <w:lang w:eastAsia="en-US"/>
                </w:rPr>
                <w:t xml:space="preserve"> of </w:t>
              </w:r>
              <w:r w:rsidRPr="0027011C">
                <w:rPr>
                  <w:szCs w:val="20"/>
                  <w:lang w:eastAsia="en-US"/>
                </w:rPr>
                <w:fldChar w:fldCharType="begin"/>
              </w:r>
              <w:r w:rsidRPr="0027011C">
                <w:rPr>
                  <w:szCs w:val="20"/>
                  <w:lang w:eastAsia="en-US"/>
                </w:rPr>
                <w:instrText xml:space="preserve"> NUMPAGES  </w:instrText>
              </w:r>
              <w:r w:rsidRPr="0027011C">
                <w:rPr>
                  <w:szCs w:val="20"/>
                  <w:lang w:eastAsia="en-US"/>
                </w:rPr>
                <w:fldChar w:fldCharType="separate"/>
              </w:r>
              <w:r w:rsidRPr="0027011C">
                <w:rPr>
                  <w:szCs w:val="20"/>
                  <w:lang w:eastAsia="en-US"/>
                </w:rPr>
                <w:t>17</w:t>
              </w:r>
              <w:r w:rsidRPr="0027011C">
                <w:rPr>
                  <w:szCs w:val="20"/>
                  <w:lang w:eastAsia="en-US"/>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3C179" w14:textId="77777777" w:rsidR="0086673A" w:rsidRDefault="0086673A" w:rsidP="00F02AEC">
      <w:pPr>
        <w:spacing w:after="0" w:line="240" w:lineRule="auto"/>
      </w:pPr>
      <w:r>
        <w:separator/>
      </w:r>
    </w:p>
  </w:footnote>
  <w:footnote w:type="continuationSeparator" w:id="0">
    <w:p w14:paraId="68EC241D" w14:textId="77777777" w:rsidR="0086673A" w:rsidRDefault="0086673A" w:rsidP="00F02AEC">
      <w:pPr>
        <w:spacing w:after="0" w:line="240" w:lineRule="auto"/>
      </w:pPr>
      <w:r>
        <w:continuationSeparator/>
      </w:r>
    </w:p>
  </w:footnote>
  <w:footnote w:type="continuationNotice" w:id="1">
    <w:p w14:paraId="13AB4C91" w14:textId="77777777" w:rsidR="0086673A" w:rsidRDefault="0086673A">
      <w:pPr>
        <w:spacing w:after="0" w:line="240" w:lineRule="auto"/>
      </w:pPr>
    </w:p>
  </w:footnote>
  <w:footnote w:id="2">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5BD7D175" w14:textId="047C8C32" w:rsidR="00B627BA" w:rsidRDefault="00B627BA">
      <w:pPr>
        <w:pStyle w:val="FootnoteText"/>
      </w:pPr>
      <w:r>
        <w:rPr>
          <w:rStyle w:val="FootnoteReference"/>
        </w:rPr>
        <w:footnoteRef/>
      </w:r>
      <w:r>
        <w:t xml:space="preserve"> </w:t>
      </w:r>
      <w:r w:rsidR="00040305" w:rsidRPr="00040305">
        <w:t xml:space="preserve">M Peppercorn, S. K. (2022, Mar). Clinical manifestations, diagnosis and prognosis of ulcerative colitis in adults. Retrieved from UpToDate: </w:t>
      </w:r>
      <w:hyperlink r:id="rId1" w:anchor="H3924972038" w:history="1">
        <w:r w:rsidR="00040305" w:rsidRPr="00431B0E">
          <w:rPr>
            <w:rStyle w:val="Hyperlink"/>
          </w:rPr>
          <w:t>https://www.uptodate.com/contents/clinical-manifestations-diagnosis-and-prognosis-of-ulcerative-colitis-inadults?search=ulcerative%20colitis&amp;source=search_result&amp;selectedTitle=1~150&amp;usage_type=default&amp;display_rank=1#H3924972038</w:t>
        </w:r>
      </w:hyperlink>
    </w:p>
  </w:footnote>
  <w:footnote w:id="4">
    <w:p w14:paraId="163EDB0C" w14:textId="163E67CA" w:rsidR="006B2D80" w:rsidRDefault="006B2D80">
      <w:pPr>
        <w:pStyle w:val="FootnoteText"/>
      </w:pPr>
      <w:r>
        <w:rPr>
          <w:rStyle w:val="FootnoteReference"/>
        </w:rPr>
        <w:footnoteRef/>
      </w:r>
      <w:r>
        <w:t xml:space="preserve"> </w:t>
      </w:r>
      <w:r w:rsidR="00E00D0C" w:rsidRPr="00E00D0C">
        <w:t>B Pabla, D. S. (2020). Assessing Severity of Disease in Patients with Ulcerative Colitis. Gastroenterol Clin North Am, 671-688.</w:t>
      </w:r>
    </w:p>
  </w:footnote>
  <w:footnote w:id="5">
    <w:p w14:paraId="282F1F10" w14:textId="7834C657" w:rsidR="00A77957" w:rsidRDefault="00A77957">
      <w:pPr>
        <w:pStyle w:val="FootnoteText"/>
      </w:pPr>
      <w:r>
        <w:rPr>
          <w:rStyle w:val="FootnoteReference"/>
        </w:rPr>
        <w:footnoteRef/>
      </w:r>
      <w:r>
        <w:t xml:space="preserve"> </w:t>
      </w:r>
      <w:r w:rsidR="008F795E" w:rsidRPr="008F795E">
        <w:t>K Schroeder, W. T. (1987). Coated Oral 5-Aminosalicylic Acid Therapy for Mildy to Moderately Active Ulcerative Colitis. N Eng J Med, 1625-1629.</w:t>
      </w:r>
    </w:p>
  </w:footnote>
  <w:footnote w:id="6">
    <w:p w14:paraId="4C8862A1" w14:textId="499305E7" w:rsidR="005D0D1B" w:rsidRDefault="005D0D1B">
      <w:pPr>
        <w:pStyle w:val="FootnoteText"/>
      </w:pPr>
      <w:r>
        <w:rPr>
          <w:rStyle w:val="FootnoteReference"/>
        </w:rPr>
        <w:footnoteRef/>
      </w:r>
      <w:r>
        <w:t xml:space="preserve"> </w:t>
      </w:r>
      <w:r w:rsidR="006C5090" w:rsidRPr="006C5090">
        <w:t xml:space="preserve">FDA. (2022, April). Ulcerative Colitis: Developing Drugs for Treatment Guidance for Industry. Retrieved from FDA: </w:t>
      </w:r>
      <w:hyperlink r:id="rId2" w:history="1">
        <w:r w:rsidR="006C5090" w:rsidRPr="00431B0E">
          <w:rPr>
            <w:rStyle w:val="Hyperlink"/>
          </w:rPr>
          <w:t>https://www.fda.gov/media/158016/download</w:t>
        </w:r>
      </w:hyperlink>
    </w:p>
  </w:footnote>
  <w:footnote w:id="7">
    <w:p w14:paraId="6000EF70" w14:textId="42451D2B" w:rsidR="00022541" w:rsidRDefault="00022541">
      <w:pPr>
        <w:pStyle w:val="FootnoteText"/>
      </w:pPr>
      <w:r>
        <w:rPr>
          <w:rStyle w:val="FootnoteReference"/>
        </w:rPr>
        <w:footnoteRef/>
      </w:r>
      <w:r>
        <w:t xml:space="preserve"> </w:t>
      </w:r>
      <w:r w:rsidR="009D792E" w:rsidRPr="009D792E">
        <w:t xml:space="preserve">EMA. (2008, Jan). EMA Guideline on the Development of New Medicinal Products for the Treatment of Ulcerative Colitis. Retrieved from TGA: </w:t>
      </w:r>
      <w:hyperlink r:id="rId3" w:history="1">
        <w:r w:rsidR="009D792E" w:rsidRPr="00431B0E">
          <w:rPr>
            <w:rStyle w:val="Hyperlink"/>
          </w:rPr>
          <w:t>https://www.tga.gov.au/resources/resource/international-scientific-guidelines/international-scientific-guideline-guideline-development-new-medicinal-products-treatment-ulcerative-colitis</w:t>
        </w:r>
      </w:hyperlink>
    </w:p>
  </w:footnote>
  <w:footnote w:id="8">
    <w:p w14:paraId="224CD836" w14:textId="161B396C"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 w:id="9">
    <w:p w14:paraId="7270AA0A" w14:textId="097F75FC" w:rsidR="00EB291B" w:rsidRDefault="00EB291B">
      <w:pPr>
        <w:pStyle w:val="FootnoteText"/>
      </w:pPr>
      <w:r>
        <w:rPr>
          <w:rStyle w:val="FootnoteReference"/>
        </w:rPr>
        <w:footnoteRef/>
      </w:r>
      <w:r>
        <w:t xml:space="preserve"> </w:t>
      </w:r>
      <w:r w:rsidR="00693FB2">
        <w:t xml:space="preserve">Pregnancy category D: </w:t>
      </w:r>
      <w:r w:rsidR="00693FB2" w:rsidRPr="00693FB2">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0">
    <w:p w14:paraId="67CEA51F" w14:textId="740DBF99" w:rsidR="00EB291B" w:rsidRDefault="00EB291B" w:rsidP="00C86533">
      <w:pPr>
        <w:pStyle w:val="FootnoteText"/>
      </w:pPr>
      <w:r>
        <w:rPr>
          <w:rStyle w:val="FootnoteReference"/>
        </w:rPr>
        <w:footnoteRef/>
      </w:r>
      <w:r>
        <w:t xml:space="preserve"> </w:t>
      </w:r>
      <w:r w:rsidR="00693FB2">
        <w:t xml:space="preserve">Pregnancy category B1: </w:t>
      </w:r>
      <w:r w:rsidR="00C86533">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11">
    <w:p w14:paraId="0C0CE788" w14:textId="6B9726DC" w:rsidR="00D777FF" w:rsidRDefault="00D777FF">
      <w:pPr>
        <w:pStyle w:val="FootnoteText"/>
      </w:pPr>
      <w:r>
        <w:rPr>
          <w:rStyle w:val="FootnoteReference"/>
        </w:rPr>
        <w:footnoteRef/>
      </w:r>
      <w:r>
        <w:t xml:space="preserve"> </w:t>
      </w:r>
      <w:r w:rsidRPr="00D777FF">
        <w:t>Hy’s Law: Evidence of hepatocellular injury with a rise in alanine aminotransferase (ALT) and/or aspartate aminotransferase (AST) &gt; 3 x the upper limit of normal (ULN) and total bilirubin &gt; 2 x ULN, and no other reason to explain rise in aminotransferases and total bilirubin. Hy's law is a rule of thumb that a patient is at high risk of a fatal drug-induced liver injury if given a medication that causes hepatocellular injury with jaundice.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99632D"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0B3"/>
    <w:multiLevelType w:val="hybridMultilevel"/>
    <w:tmpl w:val="3EC0979C"/>
    <w:lvl w:ilvl="0" w:tplc="0C09000F">
      <w:start w:val="1"/>
      <w:numFmt w:val="decimal"/>
      <w:lvlText w:val="%1."/>
      <w:lvlJc w:val="left"/>
      <w:pPr>
        <w:ind w:left="768" w:hanging="360"/>
      </w:pPr>
      <w:rPr>
        <w:rFonts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 w15:restartNumberingAfterBreak="0">
    <w:nsid w:val="07697C47"/>
    <w:multiLevelType w:val="hybridMultilevel"/>
    <w:tmpl w:val="ECAE6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D6296"/>
    <w:multiLevelType w:val="hybridMultilevel"/>
    <w:tmpl w:val="C76AA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6" w15:restartNumberingAfterBreak="0">
    <w:nsid w:val="140F39EE"/>
    <w:multiLevelType w:val="hybridMultilevel"/>
    <w:tmpl w:val="395005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2B9B1052"/>
    <w:multiLevelType w:val="hybridMultilevel"/>
    <w:tmpl w:val="6FC2DA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00C0938"/>
    <w:multiLevelType w:val="hybridMultilevel"/>
    <w:tmpl w:val="6D26B4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910F38"/>
    <w:multiLevelType w:val="hybridMultilevel"/>
    <w:tmpl w:val="63EE16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2404342"/>
    <w:multiLevelType w:val="hybridMultilevel"/>
    <w:tmpl w:val="EB56E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6"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7"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3396654"/>
    <w:multiLevelType w:val="hybridMultilevel"/>
    <w:tmpl w:val="DDF4786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57762484"/>
    <w:multiLevelType w:val="hybridMultilevel"/>
    <w:tmpl w:val="39108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D1B07"/>
    <w:multiLevelType w:val="hybridMultilevel"/>
    <w:tmpl w:val="16DC4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6D72FA"/>
    <w:multiLevelType w:val="hybridMultilevel"/>
    <w:tmpl w:val="7688C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4" w15:restartNumberingAfterBreak="0">
    <w:nsid w:val="694558B9"/>
    <w:multiLevelType w:val="hybridMultilevel"/>
    <w:tmpl w:val="2062B88C"/>
    <w:lvl w:ilvl="0" w:tplc="08070001">
      <w:start w:val="1"/>
      <w:numFmt w:val="bullet"/>
      <w:lvlText w:val=""/>
      <w:lvlJc w:val="left"/>
      <w:pPr>
        <w:ind w:left="720" w:hanging="360"/>
      </w:pPr>
      <w:rPr>
        <w:rFonts w:ascii="Symbol" w:hAnsi="Symbol" w:hint="default"/>
      </w:rPr>
    </w:lvl>
    <w:lvl w:ilvl="1" w:tplc="28D24A4E">
      <w:numFmt w:val="bullet"/>
      <w:lvlText w:val="•"/>
      <w:lvlJc w:val="left"/>
      <w:pPr>
        <w:ind w:left="1788" w:hanging="708"/>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E2562D0"/>
    <w:multiLevelType w:val="hybridMultilevel"/>
    <w:tmpl w:val="272E853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75654454">
    <w:abstractNumId w:val="8"/>
  </w:num>
  <w:num w:numId="2" w16cid:durableId="119692369">
    <w:abstractNumId w:val="4"/>
  </w:num>
  <w:num w:numId="3" w16cid:durableId="2007902852">
    <w:abstractNumId w:val="7"/>
  </w:num>
  <w:num w:numId="4" w16cid:durableId="470830259">
    <w:abstractNumId w:val="18"/>
  </w:num>
  <w:num w:numId="5" w16cid:durableId="1047031337">
    <w:abstractNumId w:val="10"/>
  </w:num>
  <w:num w:numId="6" w16cid:durableId="525216463">
    <w:abstractNumId w:val="16"/>
  </w:num>
  <w:num w:numId="7" w16cid:durableId="1493257534">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668871021">
    <w:abstractNumId w:val="17"/>
  </w:num>
  <w:num w:numId="9" w16cid:durableId="280501486">
    <w:abstractNumId w:val="5"/>
  </w:num>
  <w:num w:numId="10" w16cid:durableId="1466659322">
    <w:abstractNumId w:val="9"/>
  </w:num>
  <w:num w:numId="11" w16cid:durableId="1606116489">
    <w:abstractNumId w:val="15"/>
  </w:num>
  <w:num w:numId="12" w16cid:durableId="993722877">
    <w:abstractNumId w:val="23"/>
  </w:num>
  <w:num w:numId="13" w16cid:durableId="639455526">
    <w:abstractNumId w:val="26"/>
  </w:num>
  <w:num w:numId="14" w16cid:durableId="1559633931">
    <w:abstractNumId w:val="12"/>
  </w:num>
  <w:num w:numId="15" w16cid:durableId="832063472">
    <w:abstractNumId w:val="20"/>
  </w:num>
  <w:num w:numId="16" w16cid:durableId="41901919">
    <w:abstractNumId w:val="14"/>
  </w:num>
  <w:num w:numId="17" w16cid:durableId="197399640">
    <w:abstractNumId w:val="19"/>
  </w:num>
  <w:num w:numId="18" w16cid:durableId="116223298">
    <w:abstractNumId w:val="24"/>
  </w:num>
  <w:num w:numId="19" w16cid:durableId="276376289">
    <w:abstractNumId w:val="2"/>
  </w:num>
  <w:num w:numId="20" w16cid:durableId="2073574542">
    <w:abstractNumId w:val="21"/>
  </w:num>
  <w:num w:numId="21" w16cid:durableId="848640930">
    <w:abstractNumId w:val="0"/>
  </w:num>
  <w:num w:numId="22" w16cid:durableId="525292042">
    <w:abstractNumId w:val="22"/>
  </w:num>
  <w:num w:numId="23" w16cid:durableId="540551762">
    <w:abstractNumId w:val="13"/>
  </w:num>
  <w:num w:numId="24" w16cid:durableId="1032341014">
    <w:abstractNumId w:val="6"/>
  </w:num>
  <w:num w:numId="25" w16cid:durableId="1909343934">
    <w:abstractNumId w:val="25"/>
  </w:num>
  <w:num w:numId="26" w16cid:durableId="1574660491">
    <w:abstractNumId w:val="1"/>
  </w:num>
  <w:num w:numId="27" w16cid:durableId="2117091563">
    <w:abstractNumId w:val="3"/>
  </w:num>
  <w:num w:numId="28" w16cid:durableId="1524130543">
    <w:abstractNumId w:val="11"/>
  </w:num>
  <w:num w:numId="29" w16cid:durableId="11586190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4409031-9f0d-4611-ba82-fdf6a2005f0a" w:val=" "/>
    <w:docVar w:name="vault_nd_057b9ba5-7a13-47fa-9d27-167c0fce5b9e" w:val=" "/>
    <w:docVar w:name="vault_nd_061dbaed-b235-42c7-981c-768971ebbf03" w:val=" "/>
    <w:docVar w:name="vault_nd_09caf4d6-cb37-4868-88c3-0c9c41a2c33c" w:val=" "/>
    <w:docVar w:name="vault_nd_1370e79e-a4f2-4c71-aca4-4aefa6935f28" w:val=" "/>
    <w:docVar w:name="vault_nd_1421b3d4-480e-4bb7-8000-1e6f5e1b2ca6" w:val=" "/>
    <w:docVar w:name="vault_nd_15764d32-89ef-4278-91d7-7a11919cb685" w:val=" "/>
    <w:docVar w:name="vault_nd_16079e7c-1cf1-4703-aff5-e7fc1698f53e" w:val=" "/>
    <w:docVar w:name="vault_nd_17c6aa4b-0094-4085-8595-542aa94d4948" w:val=" "/>
    <w:docVar w:name="vault_nd_1a08d316-e942-48dc-92a7-63611288e4e1" w:val=" "/>
    <w:docVar w:name="vault_nd_1a1b9b71-f9fa-46ff-9f28-4acfb935751d" w:val=" "/>
    <w:docVar w:name="vault_nd_1a2c487e-2910-4fc8-883c-9cb1dea337b2" w:val=" "/>
    <w:docVar w:name="vault_nd_1d5795b7-9760-43f3-a272-9b1bb9dca9b1" w:val=" "/>
    <w:docVar w:name="vault_nd_26d03255-fd2e-41eb-a75b-60c9c4b1239d" w:val=" "/>
    <w:docVar w:name="vault_nd_2896d46c-37b0-494f-8bb0-5b799cb4d98a" w:val=" "/>
    <w:docVar w:name="vault_nd_2b03b8be-14ba-4706-8f32-5ca06646fd6e" w:val=" "/>
    <w:docVar w:name="vault_nd_2b10a0f1-501c-4e4d-80b5-159d531ec268" w:val=" "/>
    <w:docVar w:name="vault_nd_2c735f97-ef36-4f2c-8279-33f570dee5f3" w:val=" "/>
    <w:docVar w:name="vault_nd_32b0c0c5-07c3-492f-8766-bd2f89817491" w:val=" "/>
    <w:docVar w:name="vault_nd_38c37b60-1e68-4c7a-abaf-2d81fabf5a41" w:val=" "/>
    <w:docVar w:name="vault_nd_3f5e9e83-afc3-477d-9dfd-8a5ffcc0ddba" w:val=" "/>
    <w:docVar w:name="vault_nd_440f5dc3-0162-48d5-817b-4dd3499bae1d" w:val=" "/>
    <w:docVar w:name="vault_nd_446e53ee-d988-46c6-b327-32d10ab10404" w:val=" "/>
    <w:docVar w:name="vault_nd_4af9471a-a353-46d1-b2ef-329a9ec33073" w:val=" "/>
    <w:docVar w:name="vault_nd_4f7eeb7f-ddfb-4435-9882-b0084dfa9f37" w:val=" "/>
    <w:docVar w:name="vault_nd_51cd0130-5358-4a6f-be2a-f8b19c2555f9" w:val=" "/>
    <w:docVar w:name="vault_nd_5930c973-dc84-4fb9-ba8e-ac60c9f171a1" w:val=" "/>
    <w:docVar w:name="vault_nd_5bc36fa9-2c55-4742-b03d-d9c1ad42604d" w:val=" "/>
    <w:docVar w:name="vault_nd_63f6c11f-4bff-4889-be11-f64c9fe701b4" w:val=" "/>
    <w:docVar w:name="vault_nd_698065ff-df05-4376-83a6-3114c9ba87a5" w:val=" "/>
    <w:docVar w:name="vault_nd_69cd41f0-c198-44d3-91cd-a37df516fa31" w:val=" "/>
    <w:docVar w:name="vault_nd_6dd9db39-1d1b-4e0f-a086-451f6ecb875f" w:val=" "/>
    <w:docVar w:name="vault_nd_70468f07-f14c-49a1-ac63-4f2d87b1ab3e" w:val=" "/>
    <w:docVar w:name="vault_nd_70eb25bd-9bb5-4b6e-ba8c-5b304daace7e" w:val=" "/>
    <w:docVar w:name="vault_nd_793e436c-8198-4008-9890-c384fd32c867" w:val=" "/>
    <w:docVar w:name="vault_nd_7dfbee02-9b18-486e-9b45-7de311edbca2" w:val=" "/>
    <w:docVar w:name="vault_nd_7e4870ca-28ba-4091-9f01-607ab55f3572" w:val=" "/>
    <w:docVar w:name="vault_nd_820d36ce-98c1-49e6-bb8b-00376dbca582" w:val=" "/>
    <w:docVar w:name="vault_nd_83865a28-3140-4bdb-9568-268987054fdd" w:val=" "/>
    <w:docVar w:name="vault_nd_86e32f7b-a569-490c-a2f9-f57f80b59682" w:val=" "/>
    <w:docVar w:name="vault_nd_878d9306-241d-40ae-9e1b-05d20e8f626d" w:val=" "/>
    <w:docVar w:name="vault_nd_896591be-ec7a-4d6a-a12d-cba396de0ddf" w:val=" "/>
    <w:docVar w:name="vault_nd_8f454d87-28e3-4434-96d4-9b0c11de2cd4" w:val=" "/>
    <w:docVar w:name="vault_nd_92c147f8-173f-405e-977b-cd4ad4820845" w:val=" "/>
    <w:docVar w:name="vault_nd_99770fba-8f3d-4d31-9d28-7513bacca1f4" w:val=" "/>
    <w:docVar w:name="vault_nd_9aabe4b7-3c58-4f40-8093-2ccc073d0e60" w:val=" "/>
    <w:docVar w:name="vault_nd_9ce73bbc-9e2d-4e4a-be9d-9d4e009c24b0" w:val=" "/>
    <w:docVar w:name="vault_nd_9d7ca7b2-5030-4f08-b1a6-5457f145e095" w:val=" "/>
    <w:docVar w:name="vault_nd_9fe33974-7897-4cc3-87dc-5a97395aa39f" w:val=" "/>
    <w:docVar w:name="vault_nd_a0396478-ac03-444c-9667-7a726abdd6ba" w:val=" "/>
    <w:docVar w:name="vault_nd_a242e255-d0f1-4308-bfb7-6972ef8f1e74" w:val=" "/>
    <w:docVar w:name="vault_nd_a56076bf-1c6e-4d8a-b29f-6e836038a4fd" w:val=" "/>
    <w:docVar w:name="vault_nd_a5851ffa-4418-4ea4-9436-d63c34c42aff" w:val=" "/>
    <w:docVar w:name="vault_nd_a8334f2d-5fa5-41f5-bdbf-02a11295ab2c" w:val=" "/>
    <w:docVar w:name="vault_nd_a8807f87-8409-4206-81ec-2124b870cee4" w:val=" "/>
    <w:docVar w:name="vault_nd_ac0f4d01-baf8-45b2-b679-87c4cfa80ffe" w:val=" "/>
    <w:docVar w:name="vault_nd_ac2cb50d-ae2a-4429-aca4-a69ede6be055" w:val=" "/>
    <w:docVar w:name="vault_nd_aed7d029-bf73-4bcd-b6db-40bb5c6c822c" w:val=" "/>
    <w:docVar w:name="vault_nd_aedfecbf-4fe3-4960-b5dc-91dab7d32185" w:val=" "/>
    <w:docVar w:name="vault_nd_b36c6a80-ec31-4455-a01e-cf01c4dc5396" w:val=" "/>
    <w:docVar w:name="vault_nd_b41da5cb-d784-48e5-84c1-a461c0545798" w:val=" "/>
    <w:docVar w:name="vault_nd_b6384e53-4105-4896-9f96-bc2ebf8e4c73" w:val=" "/>
    <w:docVar w:name="vault_nd_b9b06c9f-9807-47a8-b439-5454d743743a" w:val=" "/>
    <w:docVar w:name="vault_nd_bd9716ae-af79-4596-ba15-a0278f141f13" w:val=" "/>
    <w:docVar w:name="vault_nd_c081580f-ca38-4252-98b0-8ece993d9210" w:val=" "/>
    <w:docVar w:name="vault_nd_c2f66e9e-a6ab-4650-a59e-46b2a4e9f034" w:val=" "/>
    <w:docVar w:name="vault_nd_c5c10891-a79d-4ddc-bb85-78f48bbe709e" w:val=" "/>
    <w:docVar w:name="vault_nd_c8925a72-4f21-48b4-946c-0d343b75100b" w:val=" "/>
    <w:docVar w:name="vault_nd_cc9cede1-8ee2-4371-a948-74601d80ea46" w:val=" "/>
    <w:docVar w:name="vault_nd_d98d971f-e79d-4d09-a1fb-51eb681bfd1f" w:val=" "/>
    <w:docVar w:name="vault_nd_da7455cb-95fa-4889-95d3-15b734db31a4" w:val=" "/>
    <w:docVar w:name="vault_nd_ddcf1c52-e0c7-4d21-9545-13e330d41d92" w:val=" "/>
    <w:docVar w:name="vault_nd_e0609848-5ebd-49a1-83ed-8dea36d950b4" w:val=" "/>
    <w:docVar w:name="vault_nd_e77886ff-4686-422b-9897-94198325703a" w:val=" "/>
    <w:docVar w:name="vault_nd_f27d0c5f-97d3-4776-a48b-a6f844138c26" w:val=" "/>
    <w:docVar w:name="vault_nd_f2847d17-556c-47c6-8d6a-8b75b2bae835" w:val=" "/>
    <w:docVar w:name="vault_nd_f326a203-3dab-4605-a142-a3bbc25ff40c" w:val=" "/>
    <w:docVar w:name="vault_nd_f7159861-af68-4ddd-ae65-bdf3be0fc42b" w:val=" "/>
    <w:docVar w:name="vault_nd_ff864bf5-8355-41b4-b946-d69940223a5b" w:val=" "/>
  </w:docVars>
  <w:rsids>
    <w:rsidRoot w:val="00346EC2"/>
    <w:rsid w:val="00000122"/>
    <w:rsid w:val="00000E6E"/>
    <w:rsid w:val="00004431"/>
    <w:rsid w:val="00005062"/>
    <w:rsid w:val="0001064C"/>
    <w:rsid w:val="0001384A"/>
    <w:rsid w:val="0001436F"/>
    <w:rsid w:val="00014DCF"/>
    <w:rsid w:val="00020FF2"/>
    <w:rsid w:val="00022541"/>
    <w:rsid w:val="00031B9D"/>
    <w:rsid w:val="00032A0F"/>
    <w:rsid w:val="000362F8"/>
    <w:rsid w:val="00036EAA"/>
    <w:rsid w:val="00040305"/>
    <w:rsid w:val="00040D8D"/>
    <w:rsid w:val="000414E7"/>
    <w:rsid w:val="00046423"/>
    <w:rsid w:val="00056E7B"/>
    <w:rsid w:val="00060A47"/>
    <w:rsid w:val="00060E20"/>
    <w:rsid w:val="0006104E"/>
    <w:rsid w:val="000640BD"/>
    <w:rsid w:val="00065839"/>
    <w:rsid w:val="00065FDF"/>
    <w:rsid w:val="00077844"/>
    <w:rsid w:val="00090510"/>
    <w:rsid w:val="000917AE"/>
    <w:rsid w:val="00092F7D"/>
    <w:rsid w:val="00094B81"/>
    <w:rsid w:val="000975AA"/>
    <w:rsid w:val="000A4C6C"/>
    <w:rsid w:val="000B6B15"/>
    <w:rsid w:val="000C12BB"/>
    <w:rsid w:val="000C25A7"/>
    <w:rsid w:val="000D2D6A"/>
    <w:rsid w:val="000D39FF"/>
    <w:rsid w:val="000D5711"/>
    <w:rsid w:val="000D78EC"/>
    <w:rsid w:val="000D7934"/>
    <w:rsid w:val="000E2597"/>
    <w:rsid w:val="000E2DB2"/>
    <w:rsid w:val="000E6746"/>
    <w:rsid w:val="000F781F"/>
    <w:rsid w:val="000F7B51"/>
    <w:rsid w:val="00101BEE"/>
    <w:rsid w:val="00101CE6"/>
    <w:rsid w:val="00101FB1"/>
    <w:rsid w:val="0010558A"/>
    <w:rsid w:val="00106502"/>
    <w:rsid w:val="001101FF"/>
    <w:rsid w:val="001110F9"/>
    <w:rsid w:val="00116C47"/>
    <w:rsid w:val="0012473C"/>
    <w:rsid w:val="00127A74"/>
    <w:rsid w:val="0013132F"/>
    <w:rsid w:val="0013306D"/>
    <w:rsid w:val="0013528C"/>
    <w:rsid w:val="0013635D"/>
    <w:rsid w:val="00140161"/>
    <w:rsid w:val="001426D2"/>
    <w:rsid w:val="001442A2"/>
    <w:rsid w:val="00144E44"/>
    <w:rsid w:val="001468CA"/>
    <w:rsid w:val="001500A8"/>
    <w:rsid w:val="00150DFD"/>
    <w:rsid w:val="00155D85"/>
    <w:rsid w:val="001576F3"/>
    <w:rsid w:val="00165D28"/>
    <w:rsid w:val="0017005C"/>
    <w:rsid w:val="00174544"/>
    <w:rsid w:val="00175CD8"/>
    <w:rsid w:val="00182BD8"/>
    <w:rsid w:val="001830B0"/>
    <w:rsid w:val="0018550D"/>
    <w:rsid w:val="001A03AE"/>
    <w:rsid w:val="001A0C02"/>
    <w:rsid w:val="001A76F9"/>
    <w:rsid w:val="001A7E0C"/>
    <w:rsid w:val="001B06FF"/>
    <w:rsid w:val="001B1703"/>
    <w:rsid w:val="001B3834"/>
    <w:rsid w:val="001B41F3"/>
    <w:rsid w:val="001C1C2E"/>
    <w:rsid w:val="001C31A1"/>
    <w:rsid w:val="001C3FA2"/>
    <w:rsid w:val="001C4CA5"/>
    <w:rsid w:val="001C5EE2"/>
    <w:rsid w:val="001D0077"/>
    <w:rsid w:val="001D6483"/>
    <w:rsid w:val="001E36B7"/>
    <w:rsid w:val="001E407B"/>
    <w:rsid w:val="001E69C3"/>
    <w:rsid w:val="001E7FC6"/>
    <w:rsid w:val="001F2502"/>
    <w:rsid w:val="001F70A5"/>
    <w:rsid w:val="0020235D"/>
    <w:rsid w:val="0020316C"/>
    <w:rsid w:val="0020369B"/>
    <w:rsid w:val="00206082"/>
    <w:rsid w:val="002070CD"/>
    <w:rsid w:val="00207B16"/>
    <w:rsid w:val="00207B4D"/>
    <w:rsid w:val="002117B1"/>
    <w:rsid w:val="002156C2"/>
    <w:rsid w:val="00216267"/>
    <w:rsid w:val="00217CCE"/>
    <w:rsid w:val="002203B1"/>
    <w:rsid w:val="00221EE6"/>
    <w:rsid w:val="00226F39"/>
    <w:rsid w:val="002313E4"/>
    <w:rsid w:val="002334AD"/>
    <w:rsid w:val="00233CDC"/>
    <w:rsid w:val="00241B60"/>
    <w:rsid w:val="00244BDA"/>
    <w:rsid w:val="0024563B"/>
    <w:rsid w:val="00252456"/>
    <w:rsid w:val="0025785B"/>
    <w:rsid w:val="00257969"/>
    <w:rsid w:val="0026148E"/>
    <w:rsid w:val="00263453"/>
    <w:rsid w:val="0027011C"/>
    <w:rsid w:val="00270F66"/>
    <w:rsid w:val="00276572"/>
    <w:rsid w:val="00280048"/>
    <w:rsid w:val="002832E0"/>
    <w:rsid w:val="0028489E"/>
    <w:rsid w:val="002848DE"/>
    <w:rsid w:val="00284C6D"/>
    <w:rsid w:val="0028794E"/>
    <w:rsid w:val="00290933"/>
    <w:rsid w:val="00293F68"/>
    <w:rsid w:val="00294048"/>
    <w:rsid w:val="00295877"/>
    <w:rsid w:val="00296B03"/>
    <w:rsid w:val="002A5841"/>
    <w:rsid w:val="002A6C06"/>
    <w:rsid w:val="002A7C0F"/>
    <w:rsid w:val="002B1EDF"/>
    <w:rsid w:val="002B2061"/>
    <w:rsid w:val="002B49EE"/>
    <w:rsid w:val="002B75E9"/>
    <w:rsid w:val="002C1232"/>
    <w:rsid w:val="002C1E44"/>
    <w:rsid w:val="002C2B78"/>
    <w:rsid w:val="002C5C92"/>
    <w:rsid w:val="002C5E29"/>
    <w:rsid w:val="002D0478"/>
    <w:rsid w:val="002D53AA"/>
    <w:rsid w:val="002D6595"/>
    <w:rsid w:val="002D7127"/>
    <w:rsid w:val="002F17B5"/>
    <w:rsid w:val="002F1A0D"/>
    <w:rsid w:val="002F2272"/>
    <w:rsid w:val="002F32C9"/>
    <w:rsid w:val="002F54F4"/>
    <w:rsid w:val="002F599E"/>
    <w:rsid w:val="003008D8"/>
    <w:rsid w:val="00301D9A"/>
    <w:rsid w:val="00303959"/>
    <w:rsid w:val="00305BF6"/>
    <w:rsid w:val="00306E72"/>
    <w:rsid w:val="003104F3"/>
    <w:rsid w:val="0031100D"/>
    <w:rsid w:val="00312AC3"/>
    <w:rsid w:val="00314430"/>
    <w:rsid w:val="00315864"/>
    <w:rsid w:val="003163BC"/>
    <w:rsid w:val="0032351A"/>
    <w:rsid w:val="00324B33"/>
    <w:rsid w:val="00324BBD"/>
    <w:rsid w:val="00325C60"/>
    <w:rsid w:val="0032642B"/>
    <w:rsid w:val="00326D7E"/>
    <w:rsid w:val="00327488"/>
    <w:rsid w:val="00333369"/>
    <w:rsid w:val="00336FE1"/>
    <w:rsid w:val="00342D56"/>
    <w:rsid w:val="003456E7"/>
    <w:rsid w:val="00346EC2"/>
    <w:rsid w:val="003477F9"/>
    <w:rsid w:val="0035444D"/>
    <w:rsid w:val="003557EF"/>
    <w:rsid w:val="00356D62"/>
    <w:rsid w:val="00357063"/>
    <w:rsid w:val="003571BF"/>
    <w:rsid w:val="00360963"/>
    <w:rsid w:val="00363EE3"/>
    <w:rsid w:val="00367544"/>
    <w:rsid w:val="003735F3"/>
    <w:rsid w:val="00374729"/>
    <w:rsid w:val="00377C4B"/>
    <w:rsid w:val="00385B10"/>
    <w:rsid w:val="00387298"/>
    <w:rsid w:val="00387984"/>
    <w:rsid w:val="0039242A"/>
    <w:rsid w:val="00395140"/>
    <w:rsid w:val="00396425"/>
    <w:rsid w:val="003A11CE"/>
    <w:rsid w:val="003A2422"/>
    <w:rsid w:val="003A5181"/>
    <w:rsid w:val="003A718C"/>
    <w:rsid w:val="003B149C"/>
    <w:rsid w:val="003B155C"/>
    <w:rsid w:val="003B227A"/>
    <w:rsid w:val="003B5D70"/>
    <w:rsid w:val="003B7403"/>
    <w:rsid w:val="003C0FDB"/>
    <w:rsid w:val="003C1192"/>
    <w:rsid w:val="003C132F"/>
    <w:rsid w:val="003C55E2"/>
    <w:rsid w:val="003C63D5"/>
    <w:rsid w:val="003C7AA8"/>
    <w:rsid w:val="003D09EF"/>
    <w:rsid w:val="003D71A1"/>
    <w:rsid w:val="003E411E"/>
    <w:rsid w:val="00402EE9"/>
    <w:rsid w:val="00410AF5"/>
    <w:rsid w:val="00412174"/>
    <w:rsid w:val="004123B0"/>
    <w:rsid w:val="004166DA"/>
    <w:rsid w:val="0041688F"/>
    <w:rsid w:val="0042376F"/>
    <w:rsid w:val="004246B8"/>
    <w:rsid w:val="004248F1"/>
    <w:rsid w:val="0042715C"/>
    <w:rsid w:val="00433318"/>
    <w:rsid w:val="0044026C"/>
    <w:rsid w:val="004416DB"/>
    <w:rsid w:val="00442A56"/>
    <w:rsid w:val="004444B0"/>
    <w:rsid w:val="0045060B"/>
    <w:rsid w:val="004626FF"/>
    <w:rsid w:val="00470A52"/>
    <w:rsid w:val="00471BD5"/>
    <w:rsid w:val="0047761E"/>
    <w:rsid w:val="00477C4E"/>
    <w:rsid w:val="00477F07"/>
    <w:rsid w:val="00481503"/>
    <w:rsid w:val="0048196B"/>
    <w:rsid w:val="00481D12"/>
    <w:rsid w:val="00485113"/>
    <w:rsid w:val="004854A6"/>
    <w:rsid w:val="00491A55"/>
    <w:rsid w:val="00494C3E"/>
    <w:rsid w:val="00497DF1"/>
    <w:rsid w:val="004A318E"/>
    <w:rsid w:val="004A57E8"/>
    <w:rsid w:val="004B165B"/>
    <w:rsid w:val="004B2B76"/>
    <w:rsid w:val="004B3081"/>
    <w:rsid w:val="004B3D3C"/>
    <w:rsid w:val="004B4A09"/>
    <w:rsid w:val="004B5173"/>
    <w:rsid w:val="004C41CE"/>
    <w:rsid w:val="004C427F"/>
    <w:rsid w:val="004C5D1E"/>
    <w:rsid w:val="004C631B"/>
    <w:rsid w:val="004D0306"/>
    <w:rsid w:val="004D0F04"/>
    <w:rsid w:val="004D2F00"/>
    <w:rsid w:val="004D31D8"/>
    <w:rsid w:val="004D5388"/>
    <w:rsid w:val="004D6E1C"/>
    <w:rsid w:val="004E1F6A"/>
    <w:rsid w:val="004E71DB"/>
    <w:rsid w:val="004E7F16"/>
    <w:rsid w:val="004F05DF"/>
    <w:rsid w:val="004F1390"/>
    <w:rsid w:val="004F18EC"/>
    <w:rsid w:val="004F2478"/>
    <w:rsid w:val="004F7AE8"/>
    <w:rsid w:val="00500D68"/>
    <w:rsid w:val="00504025"/>
    <w:rsid w:val="005044E7"/>
    <w:rsid w:val="00520E70"/>
    <w:rsid w:val="005213A2"/>
    <w:rsid w:val="00530B38"/>
    <w:rsid w:val="00532AC4"/>
    <w:rsid w:val="0053377D"/>
    <w:rsid w:val="00535DFE"/>
    <w:rsid w:val="005373B5"/>
    <w:rsid w:val="00537AB7"/>
    <w:rsid w:val="00540794"/>
    <w:rsid w:val="00543660"/>
    <w:rsid w:val="0054669B"/>
    <w:rsid w:val="00550CAA"/>
    <w:rsid w:val="00553D31"/>
    <w:rsid w:val="00555AA2"/>
    <w:rsid w:val="005605B4"/>
    <w:rsid w:val="005610D1"/>
    <w:rsid w:val="00562F42"/>
    <w:rsid w:val="005655D6"/>
    <w:rsid w:val="00565739"/>
    <w:rsid w:val="0056766D"/>
    <w:rsid w:val="00571B6D"/>
    <w:rsid w:val="00572D86"/>
    <w:rsid w:val="00575215"/>
    <w:rsid w:val="005834EA"/>
    <w:rsid w:val="0058575E"/>
    <w:rsid w:val="0058783C"/>
    <w:rsid w:val="005911AE"/>
    <w:rsid w:val="005926E2"/>
    <w:rsid w:val="0059313A"/>
    <w:rsid w:val="00593B1F"/>
    <w:rsid w:val="005A321C"/>
    <w:rsid w:val="005A54EA"/>
    <w:rsid w:val="005A7A4F"/>
    <w:rsid w:val="005B023F"/>
    <w:rsid w:val="005B02A2"/>
    <w:rsid w:val="005B0993"/>
    <w:rsid w:val="005B0CF8"/>
    <w:rsid w:val="005B11AA"/>
    <w:rsid w:val="005B1417"/>
    <w:rsid w:val="005B4AD1"/>
    <w:rsid w:val="005B69CF"/>
    <w:rsid w:val="005C3F07"/>
    <w:rsid w:val="005C4025"/>
    <w:rsid w:val="005C4B46"/>
    <w:rsid w:val="005C4C42"/>
    <w:rsid w:val="005C5DC5"/>
    <w:rsid w:val="005D0D1B"/>
    <w:rsid w:val="005D2089"/>
    <w:rsid w:val="005D27F9"/>
    <w:rsid w:val="005D33A8"/>
    <w:rsid w:val="005D3426"/>
    <w:rsid w:val="005D7514"/>
    <w:rsid w:val="005E0FC6"/>
    <w:rsid w:val="005E1113"/>
    <w:rsid w:val="005E1A7B"/>
    <w:rsid w:val="005E231F"/>
    <w:rsid w:val="005F7646"/>
    <w:rsid w:val="00602D6E"/>
    <w:rsid w:val="00605C05"/>
    <w:rsid w:val="00611351"/>
    <w:rsid w:val="0061217D"/>
    <w:rsid w:val="0061279F"/>
    <w:rsid w:val="00614540"/>
    <w:rsid w:val="00614856"/>
    <w:rsid w:val="006248F5"/>
    <w:rsid w:val="006277A1"/>
    <w:rsid w:val="006278D0"/>
    <w:rsid w:val="00631568"/>
    <w:rsid w:val="00633BD7"/>
    <w:rsid w:val="00634580"/>
    <w:rsid w:val="00634884"/>
    <w:rsid w:val="006351D9"/>
    <w:rsid w:val="00637130"/>
    <w:rsid w:val="0063793C"/>
    <w:rsid w:val="00637F0E"/>
    <w:rsid w:val="006423F2"/>
    <w:rsid w:val="00644976"/>
    <w:rsid w:val="00650234"/>
    <w:rsid w:val="0065162C"/>
    <w:rsid w:val="0065205C"/>
    <w:rsid w:val="00652BD7"/>
    <w:rsid w:val="00653488"/>
    <w:rsid w:val="00653E0B"/>
    <w:rsid w:val="0066044B"/>
    <w:rsid w:val="00660D3F"/>
    <w:rsid w:val="006630AA"/>
    <w:rsid w:val="00663544"/>
    <w:rsid w:val="00666539"/>
    <w:rsid w:val="00666911"/>
    <w:rsid w:val="00671B1C"/>
    <w:rsid w:val="006720ED"/>
    <w:rsid w:val="00675F81"/>
    <w:rsid w:val="00680B9B"/>
    <w:rsid w:val="0068143E"/>
    <w:rsid w:val="0068327E"/>
    <w:rsid w:val="0068507D"/>
    <w:rsid w:val="00686986"/>
    <w:rsid w:val="006906C7"/>
    <w:rsid w:val="0069149D"/>
    <w:rsid w:val="00691AF2"/>
    <w:rsid w:val="00692B80"/>
    <w:rsid w:val="00692CCD"/>
    <w:rsid w:val="00692D51"/>
    <w:rsid w:val="00693FB2"/>
    <w:rsid w:val="00694139"/>
    <w:rsid w:val="00694DD7"/>
    <w:rsid w:val="00695ACC"/>
    <w:rsid w:val="0069636B"/>
    <w:rsid w:val="006A1762"/>
    <w:rsid w:val="006A1F0B"/>
    <w:rsid w:val="006A277A"/>
    <w:rsid w:val="006A5973"/>
    <w:rsid w:val="006A68E8"/>
    <w:rsid w:val="006B2D80"/>
    <w:rsid w:val="006B2EBF"/>
    <w:rsid w:val="006B7126"/>
    <w:rsid w:val="006C39DB"/>
    <w:rsid w:val="006C41C3"/>
    <w:rsid w:val="006C5090"/>
    <w:rsid w:val="006C5FE6"/>
    <w:rsid w:val="006C6716"/>
    <w:rsid w:val="006C6B86"/>
    <w:rsid w:val="006D4553"/>
    <w:rsid w:val="006D4A35"/>
    <w:rsid w:val="006D6B44"/>
    <w:rsid w:val="006E27FE"/>
    <w:rsid w:val="006E7CA0"/>
    <w:rsid w:val="006F0E4D"/>
    <w:rsid w:val="006F5209"/>
    <w:rsid w:val="006F6F5B"/>
    <w:rsid w:val="00701110"/>
    <w:rsid w:val="0070186C"/>
    <w:rsid w:val="00702E91"/>
    <w:rsid w:val="0070330F"/>
    <w:rsid w:val="00703624"/>
    <w:rsid w:val="007046ED"/>
    <w:rsid w:val="007072A1"/>
    <w:rsid w:val="00710BC5"/>
    <w:rsid w:val="007121CA"/>
    <w:rsid w:val="007149D1"/>
    <w:rsid w:val="0072003B"/>
    <w:rsid w:val="00721059"/>
    <w:rsid w:val="007211E6"/>
    <w:rsid w:val="007220C4"/>
    <w:rsid w:val="00732361"/>
    <w:rsid w:val="00733D46"/>
    <w:rsid w:val="007357B9"/>
    <w:rsid w:val="00741AB9"/>
    <w:rsid w:val="00742D03"/>
    <w:rsid w:val="00744216"/>
    <w:rsid w:val="007452E8"/>
    <w:rsid w:val="00746990"/>
    <w:rsid w:val="00747093"/>
    <w:rsid w:val="00750D70"/>
    <w:rsid w:val="007518AC"/>
    <w:rsid w:val="007575D0"/>
    <w:rsid w:val="00760B9E"/>
    <w:rsid w:val="007662E0"/>
    <w:rsid w:val="007760FE"/>
    <w:rsid w:val="00776B7F"/>
    <w:rsid w:val="00776E9C"/>
    <w:rsid w:val="00781535"/>
    <w:rsid w:val="007816D8"/>
    <w:rsid w:val="00784150"/>
    <w:rsid w:val="00791A03"/>
    <w:rsid w:val="00791EAD"/>
    <w:rsid w:val="00793272"/>
    <w:rsid w:val="007938C4"/>
    <w:rsid w:val="00794B64"/>
    <w:rsid w:val="007967C3"/>
    <w:rsid w:val="00797EA2"/>
    <w:rsid w:val="007A0A33"/>
    <w:rsid w:val="007A13FF"/>
    <w:rsid w:val="007A3E09"/>
    <w:rsid w:val="007B04DE"/>
    <w:rsid w:val="007B04FA"/>
    <w:rsid w:val="007B0AE6"/>
    <w:rsid w:val="007B426B"/>
    <w:rsid w:val="007C0F0B"/>
    <w:rsid w:val="007C57BC"/>
    <w:rsid w:val="007D04CA"/>
    <w:rsid w:val="007D0A2B"/>
    <w:rsid w:val="007D12A1"/>
    <w:rsid w:val="007D40E5"/>
    <w:rsid w:val="007D4138"/>
    <w:rsid w:val="007D718A"/>
    <w:rsid w:val="007E20D9"/>
    <w:rsid w:val="007E4178"/>
    <w:rsid w:val="007F0A4F"/>
    <w:rsid w:val="007F0A77"/>
    <w:rsid w:val="007F50D3"/>
    <w:rsid w:val="007F5564"/>
    <w:rsid w:val="007F5CB4"/>
    <w:rsid w:val="007F6B1F"/>
    <w:rsid w:val="007F6F81"/>
    <w:rsid w:val="0080440A"/>
    <w:rsid w:val="00804897"/>
    <w:rsid w:val="00806718"/>
    <w:rsid w:val="00815C64"/>
    <w:rsid w:val="00820DAA"/>
    <w:rsid w:val="008329DB"/>
    <w:rsid w:val="008329FF"/>
    <w:rsid w:val="008361C5"/>
    <w:rsid w:val="0083628F"/>
    <w:rsid w:val="00837AB9"/>
    <w:rsid w:val="008456C3"/>
    <w:rsid w:val="00846A6F"/>
    <w:rsid w:val="00850637"/>
    <w:rsid w:val="00854D98"/>
    <w:rsid w:val="0085751E"/>
    <w:rsid w:val="00860B29"/>
    <w:rsid w:val="008622E8"/>
    <w:rsid w:val="008645EE"/>
    <w:rsid w:val="00864C01"/>
    <w:rsid w:val="0086673A"/>
    <w:rsid w:val="00866C4E"/>
    <w:rsid w:val="00870144"/>
    <w:rsid w:val="00873C5F"/>
    <w:rsid w:val="00873D7A"/>
    <w:rsid w:val="00877CB3"/>
    <w:rsid w:val="008804CF"/>
    <w:rsid w:val="00882D58"/>
    <w:rsid w:val="00882F19"/>
    <w:rsid w:val="00883D35"/>
    <w:rsid w:val="00884569"/>
    <w:rsid w:val="00887879"/>
    <w:rsid w:val="00887A51"/>
    <w:rsid w:val="00890D9B"/>
    <w:rsid w:val="00891C6C"/>
    <w:rsid w:val="00893CCD"/>
    <w:rsid w:val="008964B3"/>
    <w:rsid w:val="008969C7"/>
    <w:rsid w:val="0089792B"/>
    <w:rsid w:val="008A1A6A"/>
    <w:rsid w:val="008A2625"/>
    <w:rsid w:val="008A30D0"/>
    <w:rsid w:val="008A5DCB"/>
    <w:rsid w:val="008A69DE"/>
    <w:rsid w:val="008A6ED6"/>
    <w:rsid w:val="008A73E7"/>
    <w:rsid w:val="008A768F"/>
    <w:rsid w:val="008B1CB5"/>
    <w:rsid w:val="008B452B"/>
    <w:rsid w:val="008C2D69"/>
    <w:rsid w:val="008C3B3A"/>
    <w:rsid w:val="008C49C6"/>
    <w:rsid w:val="008C751C"/>
    <w:rsid w:val="008C754C"/>
    <w:rsid w:val="008D56C9"/>
    <w:rsid w:val="008D56CB"/>
    <w:rsid w:val="008D6710"/>
    <w:rsid w:val="008D6A54"/>
    <w:rsid w:val="008E2585"/>
    <w:rsid w:val="008E2D7A"/>
    <w:rsid w:val="008E3955"/>
    <w:rsid w:val="008E68B4"/>
    <w:rsid w:val="008F0F75"/>
    <w:rsid w:val="008F13A8"/>
    <w:rsid w:val="008F3215"/>
    <w:rsid w:val="008F3554"/>
    <w:rsid w:val="008F4A62"/>
    <w:rsid w:val="008F68FE"/>
    <w:rsid w:val="008F7256"/>
    <w:rsid w:val="008F795E"/>
    <w:rsid w:val="0090424C"/>
    <w:rsid w:val="0090463A"/>
    <w:rsid w:val="00905027"/>
    <w:rsid w:val="00905F10"/>
    <w:rsid w:val="0090605E"/>
    <w:rsid w:val="00906444"/>
    <w:rsid w:val="009108CE"/>
    <w:rsid w:val="00914FD3"/>
    <w:rsid w:val="00915A9F"/>
    <w:rsid w:val="00915D81"/>
    <w:rsid w:val="00922DF6"/>
    <w:rsid w:val="00923404"/>
    <w:rsid w:val="00925F24"/>
    <w:rsid w:val="00930D58"/>
    <w:rsid w:val="00935AAA"/>
    <w:rsid w:val="009378E1"/>
    <w:rsid w:val="0095031E"/>
    <w:rsid w:val="00950900"/>
    <w:rsid w:val="00950F74"/>
    <w:rsid w:val="00951DDA"/>
    <w:rsid w:val="00952882"/>
    <w:rsid w:val="00954297"/>
    <w:rsid w:val="00956E2F"/>
    <w:rsid w:val="00960A56"/>
    <w:rsid w:val="00966501"/>
    <w:rsid w:val="00966EF1"/>
    <w:rsid w:val="00967223"/>
    <w:rsid w:val="00972B56"/>
    <w:rsid w:val="009751F7"/>
    <w:rsid w:val="00975A4C"/>
    <w:rsid w:val="00980C07"/>
    <w:rsid w:val="00982D5A"/>
    <w:rsid w:val="0098350E"/>
    <w:rsid w:val="009874C0"/>
    <w:rsid w:val="0099404F"/>
    <w:rsid w:val="0099547D"/>
    <w:rsid w:val="0099632D"/>
    <w:rsid w:val="00996FA5"/>
    <w:rsid w:val="009A1769"/>
    <w:rsid w:val="009B5662"/>
    <w:rsid w:val="009C0695"/>
    <w:rsid w:val="009C07B5"/>
    <w:rsid w:val="009C0D5B"/>
    <w:rsid w:val="009C2211"/>
    <w:rsid w:val="009C3AEB"/>
    <w:rsid w:val="009C40E8"/>
    <w:rsid w:val="009C44EE"/>
    <w:rsid w:val="009C45C5"/>
    <w:rsid w:val="009C6644"/>
    <w:rsid w:val="009C720F"/>
    <w:rsid w:val="009D044C"/>
    <w:rsid w:val="009D792E"/>
    <w:rsid w:val="009E6858"/>
    <w:rsid w:val="009E6F8C"/>
    <w:rsid w:val="009F07D8"/>
    <w:rsid w:val="009F405F"/>
    <w:rsid w:val="00A01C56"/>
    <w:rsid w:val="00A112E4"/>
    <w:rsid w:val="00A11880"/>
    <w:rsid w:val="00A15E60"/>
    <w:rsid w:val="00A16688"/>
    <w:rsid w:val="00A32C50"/>
    <w:rsid w:val="00A358E7"/>
    <w:rsid w:val="00A3740F"/>
    <w:rsid w:val="00A40664"/>
    <w:rsid w:val="00A4098B"/>
    <w:rsid w:val="00A4136D"/>
    <w:rsid w:val="00A4380B"/>
    <w:rsid w:val="00A43966"/>
    <w:rsid w:val="00A442A3"/>
    <w:rsid w:val="00A51A2D"/>
    <w:rsid w:val="00A5596B"/>
    <w:rsid w:val="00A623F1"/>
    <w:rsid w:val="00A62E28"/>
    <w:rsid w:val="00A63C07"/>
    <w:rsid w:val="00A63D9B"/>
    <w:rsid w:val="00A704DC"/>
    <w:rsid w:val="00A70F06"/>
    <w:rsid w:val="00A70F48"/>
    <w:rsid w:val="00A759FE"/>
    <w:rsid w:val="00A75DDD"/>
    <w:rsid w:val="00A77957"/>
    <w:rsid w:val="00A81E4D"/>
    <w:rsid w:val="00A83AD2"/>
    <w:rsid w:val="00A8703E"/>
    <w:rsid w:val="00A87974"/>
    <w:rsid w:val="00A92A0D"/>
    <w:rsid w:val="00A93800"/>
    <w:rsid w:val="00A93DC6"/>
    <w:rsid w:val="00A9411A"/>
    <w:rsid w:val="00AA4A4B"/>
    <w:rsid w:val="00AA6682"/>
    <w:rsid w:val="00AA690D"/>
    <w:rsid w:val="00AA74B8"/>
    <w:rsid w:val="00AB442C"/>
    <w:rsid w:val="00AB5DB7"/>
    <w:rsid w:val="00AB7C5C"/>
    <w:rsid w:val="00AB7CBF"/>
    <w:rsid w:val="00AC1413"/>
    <w:rsid w:val="00AC2D1D"/>
    <w:rsid w:val="00AC54BE"/>
    <w:rsid w:val="00AD0111"/>
    <w:rsid w:val="00AD3B56"/>
    <w:rsid w:val="00AD4C72"/>
    <w:rsid w:val="00AD5074"/>
    <w:rsid w:val="00AD526A"/>
    <w:rsid w:val="00AD5451"/>
    <w:rsid w:val="00AD604E"/>
    <w:rsid w:val="00AD711C"/>
    <w:rsid w:val="00AD7144"/>
    <w:rsid w:val="00AE0C16"/>
    <w:rsid w:val="00AE1947"/>
    <w:rsid w:val="00AE4B09"/>
    <w:rsid w:val="00AF100D"/>
    <w:rsid w:val="00AF1C8B"/>
    <w:rsid w:val="00AF299B"/>
    <w:rsid w:val="00AF48DA"/>
    <w:rsid w:val="00AF4D27"/>
    <w:rsid w:val="00AF66AB"/>
    <w:rsid w:val="00AF7E43"/>
    <w:rsid w:val="00B02AE0"/>
    <w:rsid w:val="00B05326"/>
    <w:rsid w:val="00B14545"/>
    <w:rsid w:val="00B14E60"/>
    <w:rsid w:val="00B16F1D"/>
    <w:rsid w:val="00B17BA2"/>
    <w:rsid w:val="00B254EE"/>
    <w:rsid w:val="00B26DC3"/>
    <w:rsid w:val="00B30B9D"/>
    <w:rsid w:val="00B31629"/>
    <w:rsid w:val="00B35419"/>
    <w:rsid w:val="00B3737C"/>
    <w:rsid w:val="00B4574D"/>
    <w:rsid w:val="00B468E1"/>
    <w:rsid w:val="00B46BC0"/>
    <w:rsid w:val="00B46DFB"/>
    <w:rsid w:val="00B5141B"/>
    <w:rsid w:val="00B55681"/>
    <w:rsid w:val="00B57AAD"/>
    <w:rsid w:val="00B61A41"/>
    <w:rsid w:val="00B627BA"/>
    <w:rsid w:val="00B72B16"/>
    <w:rsid w:val="00B77B5E"/>
    <w:rsid w:val="00B80408"/>
    <w:rsid w:val="00B81397"/>
    <w:rsid w:val="00B925DB"/>
    <w:rsid w:val="00B952A3"/>
    <w:rsid w:val="00B967FF"/>
    <w:rsid w:val="00B974B9"/>
    <w:rsid w:val="00BA22DE"/>
    <w:rsid w:val="00BA3490"/>
    <w:rsid w:val="00BA3F6D"/>
    <w:rsid w:val="00BA4BE6"/>
    <w:rsid w:val="00BA4FC0"/>
    <w:rsid w:val="00BA61E0"/>
    <w:rsid w:val="00BA652E"/>
    <w:rsid w:val="00BA7F7D"/>
    <w:rsid w:val="00BB1C14"/>
    <w:rsid w:val="00BB6847"/>
    <w:rsid w:val="00BB7F8F"/>
    <w:rsid w:val="00BC03F7"/>
    <w:rsid w:val="00BC1CFC"/>
    <w:rsid w:val="00BC6A67"/>
    <w:rsid w:val="00BC716A"/>
    <w:rsid w:val="00BC782B"/>
    <w:rsid w:val="00BD07DF"/>
    <w:rsid w:val="00BD26F4"/>
    <w:rsid w:val="00BD3E51"/>
    <w:rsid w:val="00BD5DBD"/>
    <w:rsid w:val="00BD5DF6"/>
    <w:rsid w:val="00BE0030"/>
    <w:rsid w:val="00BE0041"/>
    <w:rsid w:val="00BE39CF"/>
    <w:rsid w:val="00BE3ADD"/>
    <w:rsid w:val="00BE640F"/>
    <w:rsid w:val="00BF3638"/>
    <w:rsid w:val="00BF4638"/>
    <w:rsid w:val="00BF4C31"/>
    <w:rsid w:val="00BF7825"/>
    <w:rsid w:val="00C018DE"/>
    <w:rsid w:val="00C059D0"/>
    <w:rsid w:val="00C07551"/>
    <w:rsid w:val="00C07EE9"/>
    <w:rsid w:val="00C1109F"/>
    <w:rsid w:val="00C12D65"/>
    <w:rsid w:val="00C133AB"/>
    <w:rsid w:val="00C16EF8"/>
    <w:rsid w:val="00C20B56"/>
    <w:rsid w:val="00C2143B"/>
    <w:rsid w:val="00C22214"/>
    <w:rsid w:val="00C26F72"/>
    <w:rsid w:val="00C27955"/>
    <w:rsid w:val="00C309A7"/>
    <w:rsid w:val="00C3181A"/>
    <w:rsid w:val="00C335AB"/>
    <w:rsid w:val="00C33B60"/>
    <w:rsid w:val="00C35FA3"/>
    <w:rsid w:val="00C407AB"/>
    <w:rsid w:val="00C4393D"/>
    <w:rsid w:val="00C50670"/>
    <w:rsid w:val="00C52B7B"/>
    <w:rsid w:val="00C547CD"/>
    <w:rsid w:val="00C54B72"/>
    <w:rsid w:val="00C570FF"/>
    <w:rsid w:val="00C57CEA"/>
    <w:rsid w:val="00C60FEC"/>
    <w:rsid w:val="00C6574E"/>
    <w:rsid w:val="00C66D66"/>
    <w:rsid w:val="00C67D93"/>
    <w:rsid w:val="00C707FD"/>
    <w:rsid w:val="00C76DEB"/>
    <w:rsid w:val="00C76FAC"/>
    <w:rsid w:val="00C80B31"/>
    <w:rsid w:val="00C816C6"/>
    <w:rsid w:val="00C863A7"/>
    <w:rsid w:val="00C86533"/>
    <w:rsid w:val="00C865D5"/>
    <w:rsid w:val="00C8714C"/>
    <w:rsid w:val="00C90965"/>
    <w:rsid w:val="00C912F4"/>
    <w:rsid w:val="00C9156F"/>
    <w:rsid w:val="00C9581A"/>
    <w:rsid w:val="00C97D29"/>
    <w:rsid w:val="00CA4C16"/>
    <w:rsid w:val="00CB0550"/>
    <w:rsid w:val="00CB57BC"/>
    <w:rsid w:val="00CB6813"/>
    <w:rsid w:val="00CC3539"/>
    <w:rsid w:val="00CC4C6C"/>
    <w:rsid w:val="00CC555C"/>
    <w:rsid w:val="00CD2DE4"/>
    <w:rsid w:val="00CD7D30"/>
    <w:rsid w:val="00CE1AE0"/>
    <w:rsid w:val="00CF6A55"/>
    <w:rsid w:val="00CF6DC6"/>
    <w:rsid w:val="00CF6DCF"/>
    <w:rsid w:val="00D01DDB"/>
    <w:rsid w:val="00D078BE"/>
    <w:rsid w:val="00D10A9C"/>
    <w:rsid w:val="00D13F8A"/>
    <w:rsid w:val="00D16233"/>
    <w:rsid w:val="00D16F60"/>
    <w:rsid w:val="00D22981"/>
    <w:rsid w:val="00D2641C"/>
    <w:rsid w:val="00D3349B"/>
    <w:rsid w:val="00D36E44"/>
    <w:rsid w:val="00D424A8"/>
    <w:rsid w:val="00D47895"/>
    <w:rsid w:val="00D47E36"/>
    <w:rsid w:val="00D51D9F"/>
    <w:rsid w:val="00D56293"/>
    <w:rsid w:val="00D6036F"/>
    <w:rsid w:val="00D604D4"/>
    <w:rsid w:val="00D62877"/>
    <w:rsid w:val="00D63760"/>
    <w:rsid w:val="00D6703F"/>
    <w:rsid w:val="00D7057E"/>
    <w:rsid w:val="00D734EB"/>
    <w:rsid w:val="00D777FF"/>
    <w:rsid w:val="00D77AAF"/>
    <w:rsid w:val="00D806B7"/>
    <w:rsid w:val="00D81358"/>
    <w:rsid w:val="00D82485"/>
    <w:rsid w:val="00D82713"/>
    <w:rsid w:val="00D86F00"/>
    <w:rsid w:val="00D918D5"/>
    <w:rsid w:val="00D94C8E"/>
    <w:rsid w:val="00DB0B7E"/>
    <w:rsid w:val="00DB1372"/>
    <w:rsid w:val="00DB192C"/>
    <w:rsid w:val="00DB1CF3"/>
    <w:rsid w:val="00DB5425"/>
    <w:rsid w:val="00DB72A6"/>
    <w:rsid w:val="00DC6611"/>
    <w:rsid w:val="00DD436E"/>
    <w:rsid w:val="00DE1344"/>
    <w:rsid w:val="00DE23EF"/>
    <w:rsid w:val="00DE2E08"/>
    <w:rsid w:val="00DE5EBD"/>
    <w:rsid w:val="00DF24D5"/>
    <w:rsid w:val="00DF5599"/>
    <w:rsid w:val="00DF5BFE"/>
    <w:rsid w:val="00E00D0C"/>
    <w:rsid w:val="00E01E1E"/>
    <w:rsid w:val="00E02A22"/>
    <w:rsid w:val="00E0523F"/>
    <w:rsid w:val="00E070B9"/>
    <w:rsid w:val="00E23E50"/>
    <w:rsid w:val="00E26213"/>
    <w:rsid w:val="00E274DF"/>
    <w:rsid w:val="00E33943"/>
    <w:rsid w:val="00E34D66"/>
    <w:rsid w:val="00E35273"/>
    <w:rsid w:val="00E362C4"/>
    <w:rsid w:val="00E42735"/>
    <w:rsid w:val="00E4624D"/>
    <w:rsid w:val="00E469C9"/>
    <w:rsid w:val="00E46CC2"/>
    <w:rsid w:val="00E47E0C"/>
    <w:rsid w:val="00E51813"/>
    <w:rsid w:val="00E52C0B"/>
    <w:rsid w:val="00E53D3F"/>
    <w:rsid w:val="00E5579B"/>
    <w:rsid w:val="00E57FF4"/>
    <w:rsid w:val="00E65D15"/>
    <w:rsid w:val="00E679D1"/>
    <w:rsid w:val="00E67C1C"/>
    <w:rsid w:val="00E711D4"/>
    <w:rsid w:val="00E7129C"/>
    <w:rsid w:val="00E72415"/>
    <w:rsid w:val="00E74638"/>
    <w:rsid w:val="00E777D0"/>
    <w:rsid w:val="00E81183"/>
    <w:rsid w:val="00E86676"/>
    <w:rsid w:val="00E87AB8"/>
    <w:rsid w:val="00E91F11"/>
    <w:rsid w:val="00E956DA"/>
    <w:rsid w:val="00E961EA"/>
    <w:rsid w:val="00E9706D"/>
    <w:rsid w:val="00EA131B"/>
    <w:rsid w:val="00EA1557"/>
    <w:rsid w:val="00EA3AF4"/>
    <w:rsid w:val="00EB1027"/>
    <w:rsid w:val="00EB291B"/>
    <w:rsid w:val="00EC1B05"/>
    <w:rsid w:val="00EC2C68"/>
    <w:rsid w:val="00EC444C"/>
    <w:rsid w:val="00EC51AA"/>
    <w:rsid w:val="00EC53B7"/>
    <w:rsid w:val="00EC661C"/>
    <w:rsid w:val="00EC7CB5"/>
    <w:rsid w:val="00EE0B90"/>
    <w:rsid w:val="00EE55BE"/>
    <w:rsid w:val="00EF05C2"/>
    <w:rsid w:val="00EF0B76"/>
    <w:rsid w:val="00EF3F0B"/>
    <w:rsid w:val="00EF5583"/>
    <w:rsid w:val="00F01E1E"/>
    <w:rsid w:val="00F02371"/>
    <w:rsid w:val="00F0289D"/>
    <w:rsid w:val="00F02AEC"/>
    <w:rsid w:val="00F07572"/>
    <w:rsid w:val="00F0767C"/>
    <w:rsid w:val="00F157FC"/>
    <w:rsid w:val="00F30AF3"/>
    <w:rsid w:val="00F3111E"/>
    <w:rsid w:val="00F357D1"/>
    <w:rsid w:val="00F41E81"/>
    <w:rsid w:val="00F430C0"/>
    <w:rsid w:val="00F43CD1"/>
    <w:rsid w:val="00F45AE0"/>
    <w:rsid w:val="00F45DCD"/>
    <w:rsid w:val="00F47871"/>
    <w:rsid w:val="00F526D0"/>
    <w:rsid w:val="00F53971"/>
    <w:rsid w:val="00F550C9"/>
    <w:rsid w:val="00F60CF2"/>
    <w:rsid w:val="00F657B4"/>
    <w:rsid w:val="00F75050"/>
    <w:rsid w:val="00F7649F"/>
    <w:rsid w:val="00F77953"/>
    <w:rsid w:val="00F8083B"/>
    <w:rsid w:val="00F865A7"/>
    <w:rsid w:val="00FA0754"/>
    <w:rsid w:val="00FA1BC9"/>
    <w:rsid w:val="00FA2EC6"/>
    <w:rsid w:val="00FA49C3"/>
    <w:rsid w:val="00FA5A26"/>
    <w:rsid w:val="00FA6ED5"/>
    <w:rsid w:val="00FB100F"/>
    <w:rsid w:val="00FB236E"/>
    <w:rsid w:val="00FB3F7B"/>
    <w:rsid w:val="00FB4C2A"/>
    <w:rsid w:val="00FB5C26"/>
    <w:rsid w:val="00FC2107"/>
    <w:rsid w:val="00FC4601"/>
    <w:rsid w:val="00FC46AD"/>
    <w:rsid w:val="00FC48FE"/>
    <w:rsid w:val="00FC5907"/>
    <w:rsid w:val="00FC6F56"/>
    <w:rsid w:val="00FD486C"/>
    <w:rsid w:val="00FD6DA0"/>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4C024"/>
  <w15:chartTrackingRefBased/>
  <w15:docId w15:val="{13C4B43A-A52D-4AE0-95BE-73E4D95D3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036EAA"/>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AF48DA"/>
    <w:pPr>
      <w:keepNext w:val="0"/>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Bulletlist">
    <w:name w:val="Bullet list"/>
    <w:basedOn w:val="Normal"/>
    <w:link w:val="BulletlistChar"/>
    <w:qFormat/>
    <w:rsid w:val="004B5173"/>
    <w:pPr>
      <w:numPr>
        <w:numId w:val="27"/>
      </w:numPr>
      <w:spacing w:after="180" w:line="252" w:lineRule="auto"/>
      <w:ind w:left="426" w:hanging="284"/>
    </w:pPr>
    <w:rPr>
      <w:rFonts w:eastAsia="Times New Roman" w:cs="Times New Roman"/>
      <w:snapToGrid w:val="0"/>
      <w:kern w:val="2"/>
      <w:sz w:val="23"/>
      <w:szCs w:val="22"/>
    </w:rPr>
  </w:style>
  <w:style w:type="character" w:customStyle="1" w:styleId="BulletlistChar">
    <w:name w:val="Bullet list Char"/>
    <w:basedOn w:val="DefaultParagraphFont"/>
    <w:link w:val="Bulletlist"/>
    <w:rsid w:val="004B5173"/>
    <w:rPr>
      <w:rFonts w:ascii="Cambria" w:eastAsia="Times New Roman" w:hAnsi="Cambria" w:cs="Times New Roman"/>
      <w:snapToGrid w:val="0"/>
      <w:kern w:val="2"/>
      <w:sz w:val="23"/>
      <w:szCs w:val="22"/>
    </w:rPr>
  </w:style>
  <w:style w:type="paragraph" w:customStyle="1" w:styleId="Standard1">
    <w:name w:val="Standard1"/>
    <w:basedOn w:val="Normal"/>
    <w:link w:val="StandardChar"/>
    <w:qFormat/>
    <w:rsid w:val="004B5173"/>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1"/>
    <w:rsid w:val="004B5173"/>
    <w:rPr>
      <w:rFonts w:ascii="Cambria" w:eastAsia="Times New Roman" w:hAnsi="Cambria" w:cs="Times New Roman"/>
      <w:snapToGrid w:val="0"/>
      <w:kern w:val="16"/>
      <w:sz w:val="23"/>
      <w:szCs w:val="24"/>
    </w:rPr>
  </w:style>
  <w:style w:type="paragraph" w:customStyle="1" w:styleId="Tabletext0">
    <w:name w:val="Table text"/>
    <w:basedOn w:val="Standard1"/>
    <w:link w:val="TabletextChar"/>
    <w:qFormat/>
    <w:rsid w:val="004B5173"/>
    <w:pPr>
      <w:spacing w:before="20" w:after="20"/>
    </w:pPr>
  </w:style>
  <w:style w:type="character" w:customStyle="1" w:styleId="TabletextChar">
    <w:name w:val="Table text Char"/>
    <w:basedOn w:val="StandardChar"/>
    <w:link w:val="Tabletext0"/>
    <w:rsid w:val="004B5173"/>
    <w:rPr>
      <w:rFonts w:ascii="Cambria" w:eastAsia="Times New Roman" w:hAnsi="Cambria" w:cs="Times New Roman"/>
      <w:snapToGrid w:val="0"/>
      <w:kern w:val="16"/>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5823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www.tga.gov.au/products/australian-register-therapeutic-goods-artg/product-information-one" TargetMode="External"/><Relationship Id="rId50" Type="http://schemas.openxmlformats.org/officeDocument/2006/relationships/hyperlink" Target="https://www.tga.gov.au/picmi-search-facility" TargetMode="External"/><Relationship Id="rId55"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ema.europa.eu/en/documents/scientific-guideline/guideline-development-new-medicinal-products-treatment-ulcerative-colitis_en.pdf"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tga.gov.au/guidance-7-certified-product-details" TargetMode="Externa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how-we-regulate/supply-therapeutic-good-0/supply-prescription-medicine/application-process/prescription-medicines-registration-process"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www.tga.gov.au/form/certified-product-details-cpd-biologicalprescription-medicines" TargetMode="External"/><Relationship Id="rId53" Type="http://schemas.openxmlformats.org/officeDocument/2006/relationships/hyperlink" Target="mailto:info@tga.gov.au"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australia-canada-singapore-switzerland-united-kingdom-access-consortium"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tga.gov.au/products/australian-register-therapeutic-goods-artg/consumer-medicines-information-cmi"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1.png"/><Relationship Id="rId44" Type="http://schemas.openxmlformats.org/officeDocument/2006/relationships/hyperlink" Target="http://www.tga.gov.au/ws-labs-index"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tga.gov.au/committee/advisory-committee-medicines-acm" TargetMode="External"/><Relationship Id="rId48" Type="http://schemas.openxmlformats.org/officeDocument/2006/relationships/hyperlink" Target="https://www.tga.gov.au/products/australian-register-therapeutic-goods-artg/product-information-one"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resource/international-scientific-guidelines/international-scientific-guideline-guideline-development-new-medicinal-products-treatment-ulcerative-colitis" TargetMode="External"/><Relationship Id="rId2" Type="http://schemas.openxmlformats.org/officeDocument/2006/relationships/hyperlink" Target="https://www.fda.gov/media/158016/download" TargetMode="External"/><Relationship Id="rId1" Type="http://schemas.openxmlformats.org/officeDocument/2006/relationships/hyperlink" Target="https://www.uptodate.com/contents/clinical-manifestations-diagnosis-and-prognosis-of-ulcerative-colitis-inadults?search=ulcerative%20colitis&amp;source=search_result&amp;selectedTitle=1~150&amp;usage_type=default&amp;display_rank=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BPa20</b:Tag>
    <b:SourceType>JournalArticle</b:SourceType>
    <b:Guid>{E3CA8AFB-8198-409F-9FCB-13DD8A08B49F}</b:Guid>
    <b:Author>
      <b:Author>
        <b:NameList>
          <b:Person>
            <b:Last>B Pabla</b:Last>
            <b:First>D</b:First>
            <b:Middle>Schwartz</b:Middle>
          </b:Person>
        </b:NameList>
      </b:Author>
    </b:Author>
    <b:Title>Assessing Severity of Disease in Patients with Ulcerative Colitis</b:Title>
    <b:JournalName>Gastroenterol Clin North Am</b:JournalName>
    <b:Year>2020</b:Year>
    <b:Pages>671-688</b:Pages>
    <b:RefOrder>2</b:RefOrder>
  </b:Source>
  <b:Source>
    <b:Tag>KSc87</b:Tag>
    <b:SourceType>JournalArticle</b:SourceType>
    <b:Guid>{F33B889D-840F-4E97-B868-676461E3F313}</b:Guid>
    <b:Author>
      <b:Author>
        <b:NameList>
          <b:Person>
            <b:Last>K Schroeder</b:Last>
            <b:First>W</b:First>
            <b:Middle>Tremaine, D Ilstrup</b:Middle>
          </b:Person>
        </b:NameList>
      </b:Author>
    </b:Author>
    <b:Title>Coated Oral 5-Aminosalicylic Acid Therapy for Mildy to Moderately Active Ulcerative Colitis</b:Title>
    <b:JournalName>N Eng J Med</b:JournalName>
    <b:Year>1987</b:Year>
    <b:Pages>1625-1629</b:Pages>
    <b:RefOrder>3</b:RefOrder>
  </b:Source>
  <b:Source>
    <b:Tag>FDA223</b:Tag>
    <b:SourceType>DocumentFromInternetSite</b:SourceType>
    <b:Guid>{A2114159-6492-4C18-BF12-9C7AA6588296}</b:Guid>
    <b:Title>Ulcerative Colitis: Developing Drugs for Treatment Guidance for Industry</b:Title>
    <b:Year>2022</b:Year>
    <b:InternetSiteTitle>FDA</b:InternetSiteTitle>
    <b:Month>April</b:Month>
    <b:URL>https://www.fda.gov/media/158016/download</b:URL>
    <b:Author>
      <b:Author>
        <b:Corporate>FDA</b:Corporate>
      </b:Author>
    </b:Author>
    <b:RefOrder>4</b:RefOrder>
  </b:Source>
  <b:Source>
    <b:Tag>EMA08</b:Tag>
    <b:SourceType>DocumentFromInternetSite</b:SourceType>
    <b:Guid>{9153220B-0D22-4410-97F6-BE2957015509}</b:Guid>
    <b:Author>
      <b:Author>
        <b:Corporate>EMA</b:Corporate>
      </b:Author>
    </b:Author>
    <b:Title>EMA Guideline on the Development of New Medicinal Products for the Treatment of Ulcerative Colitis</b:Title>
    <b:InternetSiteTitle>TGA</b:InternetSiteTitle>
    <b:Year>2008</b:Year>
    <b:Month>Jan</b:Month>
    <b:URL>https://www.tga.gov.au/resources/resource/international-scientific-guidelines/international-scientific-guideline-guideline-development-new-medicinal-products-treatment-ulcerative-colitis</b:URL>
    <b:RefOrder>5</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A5BC68CE8531B74FBA8B3C3E9F781CB0" ma:contentTypeVersion="8" ma:contentTypeDescription="Create a new document." ma:contentTypeScope="" ma:versionID="f4326026a3c6771541875fc4137b3e27">
  <xsd:schema xmlns:xsd="http://www.w3.org/2001/XMLSchema" xmlns:xs="http://www.w3.org/2001/XMLSchema" xmlns:p="http://schemas.microsoft.com/office/2006/metadata/properties" xmlns:ns2="10bda268-b5be-4629-8734-09314cbfd9d0" xmlns:ns3="f278d3d2-3e06-4fea-a17e-d6dc72656a20" targetNamespace="http://schemas.microsoft.com/office/2006/metadata/properties" ma:root="true" ma:fieldsID="81663f2bcac297af9d35e5411abb1c56" ns2:_="" ns3:_="">
    <xsd:import namespace="10bda268-b5be-4629-8734-09314cbfd9d0"/>
    <xsd:import namespace="f278d3d2-3e06-4fea-a17e-d6dc72656a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da268-b5be-4629-8734-09314cbfd9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78d3d2-3e06-4fea-a17e-d6dc72656a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0bda268-b5be-4629-8734-09314cbfd9d0">
      <UserInfo>
        <DisplayName>Patrick Finnegan</DisplayName>
        <AccountId>1528</AccountId>
        <AccountType/>
      </UserInfo>
      <UserInfo>
        <DisplayName>Harald Tietz</DisplayName>
        <AccountId>237</AccountId>
        <AccountType/>
      </UserInfo>
      <UserInfo>
        <DisplayName>Kris Todd</DisplayName>
        <AccountId>321</AccountId>
        <AccountType/>
      </UserInfo>
      <UserInfo>
        <DisplayName>Kathryn Ruddle</DisplayName>
        <AccountId>5216</AccountId>
        <AccountType/>
      </UserInfo>
      <UserInfo>
        <DisplayName>David Henry Adams</DisplayName>
        <AccountId>2354</AccountId>
        <AccountType/>
      </UserInfo>
      <UserInfo>
        <DisplayName>Congping Xie</DisplayName>
        <AccountId>4962</AccountId>
        <AccountType/>
      </UserInfo>
    </SharedWithUsers>
  </documentManagement>
</p:properties>
</file>

<file path=customXml/itemProps1.xml><?xml version="1.0" encoding="utf-8"?>
<ds:datastoreItem xmlns:ds="http://schemas.openxmlformats.org/officeDocument/2006/customXml" ds:itemID="{31D3400B-3675-40F4-A14A-A02123F80541}">
  <ds:schemaRefs>
    <ds:schemaRef ds:uri="http://schemas.microsoft.com/sharepoint/v3/contenttype/forms"/>
  </ds:schemaRefs>
</ds:datastoreItem>
</file>

<file path=customXml/itemProps2.xml><?xml version="1.0" encoding="utf-8"?>
<ds:datastoreItem xmlns:ds="http://schemas.openxmlformats.org/officeDocument/2006/customXml" ds:itemID="{D988AEA7-B6E1-4461-94E2-5CE093ADDA49}">
  <ds:schemaRefs>
    <ds:schemaRef ds:uri="http://schemas.openxmlformats.org/officeDocument/2006/bibliography"/>
  </ds:schemaRefs>
</ds:datastoreItem>
</file>

<file path=customXml/itemProps3.xml><?xml version="1.0" encoding="utf-8"?>
<ds:datastoreItem xmlns:ds="http://schemas.openxmlformats.org/officeDocument/2006/customXml" ds:itemID="{A2E0D79E-72AB-4DF6-B608-EF472712D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da268-b5be-4629-8734-09314cbfd9d0"/>
    <ds:schemaRef ds:uri="f278d3d2-3e06-4fea-a17e-d6dc72656a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B4F9C4-547D-442A-85C2-712403928B64}">
  <ds:schemaRefs>
    <ds:schemaRef ds:uri="http://schemas.microsoft.com/office/2006/metadata/properties"/>
    <ds:schemaRef ds:uri="http://schemas.microsoft.com/office/infopath/2007/PartnerControls"/>
    <ds:schemaRef ds:uri="10bda268-b5be-4629-8734-09314cbfd9d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12544</Words>
  <Characters>82554</Characters>
  <Application>Microsoft Office Word</Application>
  <DocSecurity>0</DocSecurity>
  <Lines>1876</Lines>
  <Paragraphs>1056</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94042</CharactersWithSpaces>
  <SharedDoc>false</SharedDoc>
  <HLinks>
    <vt:vector size="312" baseType="variant">
      <vt:variant>
        <vt:i4>3473445</vt:i4>
      </vt:variant>
      <vt:variant>
        <vt:i4>588</vt:i4>
      </vt:variant>
      <vt:variant>
        <vt:i4>0</vt:i4>
      </vt:variant>
      <vt:variant>
        <vt:i4>5</vt:i4>
      </vt:variant>
      <vt:variant>
        <vt:lpwstr>https://www.tga.gov.au/</vt:lpwstr>
      </vt:variant>
      <vt:variant>
        <vt:lpwstr/>
      </vt:variant>
      <vt:variant>
        <vt:i4>5242926</vt:i4>
      </vt:variant>
      <vt:variant>
        <vt:i4>585</vt:i4>
      </vt:variant>
      <vt:variant>
        <vt:i4>0</vt:i4>
      </vt:variant>
      <vt:variant>
        <vt:i4>5</vt:i4>
      </vt:variant>
      <vt:variant>
        <vt:lpwstr>mailto:info@tga.gov.au</vt:lpwstr>
      </vt:variant>
      <vt:variant>
        <vt:lpwstr/>
      </vt:variant>
      <vt:variant>
        <vt:i4>720961</vt:i4>
      </vt:variant>
      <vt:variant>
        <vt:i4>582</vt:i4>
      </vt:variant>
      <vt:variant>
        <vt:i4>0</vt:i4>
      </vt:variant>
      <vt:variant>
        <vt:i4>5</vt:i4>
      </vt:variant>
      <vt:variant>
        <vt:lpwstr>https://www.tga.gov.au/picmi-search-facility</vt:lpwstr>
      </vt:variant>
      <vt:variant>
        <vt:lpwstr/>
      </vt:variant>
      <vt:variant>
        <vt:i4>983049</vt:i4>
      </vt:variant>
      <vt:variant>
        <vt:i4>579</vt:i4>
      </vt:variant>
      <vt:variant>
        <vt:i4>0</vt:i4>
      </vt:variant>
      <vt:variant>
        <vt:i4>5</vt:i4>
      </vt:variant>
      <vt:variant>
        <vt:lpwstr>https://www.tga.gov.au/products/australian-register-therapeutic-goods-artg/consumer-medicines-information-cmi</vt:lpwstr>
      </vt:variant>
      <vt:variant>
        <vt:lpwstr/>
      </vt:variant>
      <vt:variant>
        <vt:i4>2752617</vt:i4>
      </vt:variant>
      <vt:variant>
        <vt:i4>576</vt:i4>
      </vt:variant>
      <vt:variant>
        <vt:i4>0</vt:i4>
      </vt:variant>
      <vt:variant>
        <vt:i4>5</vt:i4>
      </vt:variant>
      <vt:variant>
        <vt:lpwstr>https://www.tga.gov.au/products/australian-register-therapeutic-goods-artg/product-information-one</vt:lpwstr>
      </vt:variant>
      <vt:variant>
        <vt:lpwstr/>
      </vt:variant>
      <vt:variant>
        <vt:i4>2752617</vt:i4>
      </vt:variant>
      <vt:variant>
        <vt:i4>573</vt:i4>
      </vt:variant>
      <vt:variant>
        <vt:i4>0</vt:i4>
      </vt:variant>
      <vt:variant>
        <vt:i4>5</vt:i4>
      </vt:variant>
      <vt:variant>
        <vt:lpwstr>https://www.tga.gov.au/products/australian-register-therapeutic-goods-artg/product-information-one</vt:lpwstr>
      </vt:variant>
      <vt:variant>
        <vt:lpwstr/>
      </vt:variant>
      <vt:variant>
        <vt:i4>3538997</vt:i4>
      </vt:variant>
      <vt:variant>
        <vt:i4>567</vt:i4>
      </vt:variant>
      <vt:variant>
        <vt:i4>0</vt:i4>
      </vt:variant>
      <vt:variant>
        <vt:i4>5</vt:i4>
      </vt:variant>
      <vt:variant>
        <vt:lpwstr>https://www.tga.gov.au/guidance-7-certified-product-details</vt:lpwstr>
      </vt:variant>
      <vt:variant>
        <vt:lpwstr/>
      </vt:variant>
      <vt:variant>
        <vt:i4>7274541</vt:i4>
      </vt:variant>
      <vt:variant>
        <vt:i4>564</vt:i4>
      </vt:variant>
      <vt:variant>
        <vt:i4>0</vt:i4>
      </vt:variant>
      <vt:variant>
        <vt:i4>5</vt:i4>
      </vt:variant>
      <vt:variant>
        <vt:lpwstr>https://www.tga.gov.au/form/certified-product-details-cpd-biologicalprescription-medicines</vt:lpwstr>
      </vt:variant>
      <vt:variant>
        <vt:lpwstr/>
      </vt:variant>
      <vt:variant>
        <vt:i4>3801192</vt:i4>
      </vt:variant>
      <vt:variant>
        <vt:i4>561</vt:i4>
      </vt:variant>
      <vt:variant>
        <vt:i4>0</vt:i4>
      </vt:variant>
      <vt:variant>
        <vt:i4>5</vt:i4>
      </vt:variant>
      <vt:variant>
        <vt:lpwstr>http://www.tga.gov.au/ws-labs-index</vt:lpwstr>
      </vt:variant>
      <vt:variant>
        <vt:lpwstr/>
      </vt:variant>
      <vt:variant>
        <vt:i4>524365</vt:i4>
      </vt:variant>
      <vt:variant>
        <vt:i4>546</vt:i4>
      </vt:variant>
      <vt:variant>
        <vt:i4>0</vt:i4>
      </vt:variant>
      <vt:variant>
        <vt:i4>5</vt:i4>
      </vt:variant>
      <vt:variant>
        <vt:lpwstr>https://www.tga.gov.au/committee/advisory-committee-medicines-acm</vt:lpwstr>
      </vt:variant>
      <vt:variant>
        <vt:lpwstr/>
      </vt:variant>
      <vt:variant>
        <vt:i4>2687042</vt:i4>
      </vt:variant>
      <vt:variant>
        <vt:i4>279</vt:i4>
      </vt:variant>
      <vt:variant>
        <vt:i4>0</vt:i4>
      </vt:variant>
      <vt:variant>
        <vt:i4>5</vt:i4>
      </vt:variant>
      <vt:variant>
        <vt:lpwstr>https://www.ema.europa.eu/en/documents/scientific-guideline/guideline-development-new-medicinal-products-treatment-ulcerative-colitis_en.pdf</vt:lpwstr>
      </vt:variant>
      <vt:variant>
        <vt:lpwstr/>
      </vt:variant>
      <vt:variant>
        <vt:i4>1835097</vt:i4>
      </vt:variant>
      <vt:variant>
        <vt:i4>267</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3145760</vt:i4>
      </vt:variant>
      <vt:variant>
        <vt:i4>255</vt:i4>
      </vt:variant>
      <vt:variant>
        <vt:i4>0</vt:i4>
      </vt:variant>
      <vt:variant>
        <vt:i4>5</vt:i4>
      </vt:variant>
      <vt:variant>
        <vt:lpwstr>https://www.tga.gov.au/australia-canada-singapore-switzerland-united-kingdom-access-consortium</vt:lpwstr>
      </vt:variant>
      <vt:variant>
        <vt:lpwstr/>
      </vt:variant>
      <vt:variant>
        <vt:i4>3670063</vt:i4>
      </vt:variant>
      <vt:variant>
        <vt:i4>210</vt:i4>
      </vt:variant>
      <vt:variant>
        <vt:i4>0</vt:i4>
      </vt:variant>
      <vt:variant>
        <vt:i4>5</vt:i4>
      </vt:variant>
      <vt:variant>
        <vt:lpwstr>https://www.tga.gov.au/obstetric-drug-information-services</vt:lpwstr>
      </vt:variant>
      <vt:variant>
        <vt:lpwstr/>
      </vt:variant>
      <vt:variant>
        <vt:i4>2949173</vt:i4>
      </vt:variant>
      <vt:variant>
        <vt:i4>207</vt:i4>
      </vt:variant>
      <vt:variant>
        <vt:i4>0</vt:i4>
      </vt:variant>
      <vt:variant>
        <vt:i4>5</vt:i4>
      </vt:variant>
      <vt:variant>
        <vt:lpwstr>https://www.tga.gov.au/products/medicines/find-information-about-medicine/prescribing-medicines-pregnancy-database</vt:lpwstr>
      </vt:variant>
      <vt:variant>
        <vt:lpwstr/>
      </vt:variant>
      <vt:variant>
        <vt:i4>786511</vt:i4>
      </vt:variant>
      <vt:variant>
        <vt:i4>204</vt:i4>
      </vt:variant>
      <vt:variant>
        <vt:i4>0</vt:i4>
      </vt:variant>
      <vt:variant>
        <vt:i4>5</vt:i4>
      </vt:variant>
      <vt:variant>
        <vt:lpwstr>https://www.tga.gov.au/black-triangle-scheme</vt:lpwstr>
      </vt:variant>
      <vt:variant>
        <vt:lpwstr/>
      </vt:variant>
      <vt:variant>
        <vt:i4>1900595</vt:i4>
      </vt:variant>
      <vt:variant>
        <vt:i4>188</vt:i4>
      </vt:variant>
      <vt:variant>
        <vt:i4>0</vt:i4>
      </vt:variant>
      <vt:variant>
        <vt:i4>5</vt:i4>
      </vt:variant>
      <vt:variant>
        <vt:lpwstr/>
      </vt:variant>
      <vt:variant>
        <vt:lpwstr>_Toc160629037</vt:lpwstr>
      </vt:variant>
      <vt:variant>
        <vt:i4>1900595</vt:i4>
      </vt:variant>
      <vt:variant>
        <vt:i4>182</vt:i4>
      </vt:variant>
      <vt:variant>
        <vt:i4>0</vt:i4>
      </vt:variant>
      <vt:variant>
        <vt:i4>5</vt:i4>
      </vt:variant>
      <vt:variant>
        <vt:lpwstr/>
      </vt:variant>
      <vt:variant>
        <vt:lpwstr>_Toc160629036</vt:lpwstr>
      </vt:variant>
      <vt:variant>
        <vt:i4>1900595</vt:i4>
      </vt:variant>
      <vt:variant>
        <vt:i4>176</vt:i4>
      </vt:variant>
      <vt:variant>
        <vt:i4>0</vt:i4>
      </vt:variant>
      <vt:variant>
        <vt:i4>5</vt:i4>
      </vt:variant>
      <vt:variant>
        <vt:lpwstr/>
      </vt:variant>
      <vt:variant>
        <vt:lpwstr>_Toc160629035</vt:lpwstr>
      </vt:variant>
      <vt:variant>
        <vt:i4>1900595</vt:i4>
      </vt:variant>
      <vt:variant>
        <vt:i4>170</vt:i4>
      </vt:variant>
      <vt:variant>
        <vt:i4>0</vt:i4>
      </vt:variant>
      <vt:variant>
        <vt:i4>5</vt:i4>
      </vt:variant>
      <vt:variant>
        <vt:lpwstr/>
      </vt:variant>
      <vt:variant>
        <vt:lpwstr>_Toc160629034</vt:lpwstr>
      </vt:variant>
      <vt:variant>
        <vt:i4>1900595</vt:i4>
      </vt:variant>
      <vt:variant>
        <vt:i4>164</vt:i4>
      </vt:variant>
      <vt:variant>
        <vt:i4>0</vt:i4>
      </vt:variant>
      <vt:variant>
        <vt:i4>5</vt:i4>
      </vt:variant>
      <vt:variant>
        <vt:lpwstr/>
      </vt:variant>
      <vt:variant>
        <vt:lpwstr>_Toc160629033</vt:lpwstr>
      </vt:variant>
      <vt:variant>
        <vt:i4>1900595</vt:i4>
      </vt:variant>
      <vt:variant>
        <vt:i4>158</vt:i4>
      </vt:variant>
      <vt:variant>
        <vt:i4>0</vt:i4>
      </vt:variant>
      <vt:variant>
        <vt:i4>5</vt:i4>
      </vt:variant>
      <vt:variant>
        <vt:lpwstr/>
      </vt:variant>
      <vt:variant>
        <vt:lpwstr>_Toc160629032</vt:lpwstr>
      </vt:variant>
      <vt:variant>
        <vt:i4>1900595</vt:i4>
      </vt:variant>
      <vt:variant>
        <vt:i4>152</vt:i4>
      </vt:variant>
      <vt:variant>
        <vt:i4>0</vt:i4>
      </vt:variant>
      <vt:variant>
        <vt:i4>5</vt:i4>
      </vt:variant>
      <vt:variant>
        <vt:lpwstr/>
      </vt:variant>
      <vt:variant>
        <vt:lpwstr>_Toc160629031</vt:lpwstr>
      </vt:variant>
      <vt:variant>
        <vt:i4>1900595</vt:i4>
      </vt:variant>
      <vt:variant>
        <vt:i4>146</vt:i4>
      </vt:variant>
      <vt:variant>
        <vt:i4>0</vt:i4>
      </vt:variant>
      <vt:variant>
        <vt:i4>5</vt:i4>
      </vt:variant>
      <vt:variant>
        <vt:lpwstr/>
      </vt:variant>
      <vt:variant>
        <vt:lpwstr>_Toc160629030</vt:lpwstr>
      </vt:variant>
      <vt:variant>
        <vt:i4>1835059</vt:i4>
      </vt:variant>
      <vt:variant>
        <vt:i4>140</vt:i4>
      </vt:variant>
      <vt:variant>
        <vt:i4>0</vt:i4>
      </vt:variant>
      <vt:variant>
        <vt:i4>5</vt:i4>
      </vt:variant>
      <vt:variant>
        <vt:lpwstr/>
      </vt:variant>
      <vt:variant>
        <vt:lpwstr>_Toc160629029</vt:lpwstr>
      </vt:variant>
      <vt:variant>
        <vt:i4>1835059</vt:i4>
      </vt:variant>
      <vt:variant>
        <vt:i4>134</vt:i4>
      </vt:variant>
      <vt:variant>
        <vt:i4>0</vt:i4>
      </vt:variant>
      <vt:variant>
        <vt:i4>5</vt:i4>
      </vt:variant>
      <vt:variant>
        <vt:lpwstr/>
      </vt:variant>
      <vt:variant>
        <vt:lpwstr>_Toc160629028</vt:lpwstr>
      </vt:variant>
      <vt:variant>
        <vt:i4>1835059</vt:i4>
      </vt:variant>
      <vt:variant>
        <vt:i4>128</vt:i4>
      </vt:variant>
      <vt:variant>
        <vt:i4>0</vt:i4>
      </vt:variant>
      <vt:variant>
        <vt:i4>5</vt:i4>
      </vt:variant>
      <vt:variant>
        <vt:lpwstr/>
      </vt:variant>
      <vt:variant>
        <vt:lpwstr>_Toc160629027</vt:lpwstr>
      </vt:variant>
      <vt:variant>
        <vt:i4>1835059</vt:i4>
      </vt:variant>
      <vt:variant>
        <vt:i4>122</vt:i4>
      </vt:variant>
      <vt:variant>
        <vt:i4>0</vt:i4>
      </vt:variant>
      <vt:variant>
        <vt:i4>5</vt:i4>
      </vt:variant>
      <vt:variant>
        <vt:lpwstr/>
      </vt:variant>
      <vt:variant>
        <vt:lpwstr>_Toc160629026</vt:lpwstr>
      </vt:variant>
      <vt:variant>
        <vt:i4>1835059</vt:i4>
      </vt:variant>
      <vt:variant>
        <vt:i4>116</vt:i4>
      </vt:variant>
      <vt:variant>
        <vt:i4>0</vt:i4>
      </vt:variant>
      <vt:variant>
        <vt:i4>5</vt:i4>
      </vt:variant>
      <vt:variant>
        <vt:lpwstr/>
      </vt:variant>
      <vt:variant>
        <vt:lpwstr>_Toc160629025</vt:lpwstr>
      </vt:variant>
      <vt:variant>
        <vt:i4>1835059</vt:i4>
      </vt:variant>
      <vt:variant>
        <vt:i4>110</vt:i4>
      </vt:variant>
      <vt:variant>
        <vt:i4>0</vt:i4>
      </vt:variant>
      <vt:variant>
        <vt:i4>5</vt:i4>
      </vt:variant>
      <vt:variant>
        <vt:lpwstr/>
      </vt:variant>
      <vt:variant>
        <vt:lpwstr>_Toc160629024</vt:lpwstr>
      </vt:variant>
      <vt:variant>
        <vt:i4>1835059</vt:i4>
      </vt:variant>
      <vt:variant>
        <vt:i4>104</vt:i4>
      </vt:variant>
      <vt:variant>
        <vt:i4>0</vt:i4>
      </vt:variant>
      <vt:variant>
        <vt:i4>5</vt:i4>
      </vt:variant>
      <vt:variant>
        <vt:lpwstr/>
      </vt:variant>
      <vt:variant>
        <vt:lpwstr>_Toc160629023</vt:lpwstr>
      </vt:variant>
      <vt:variant>
        <vt:i4>1835059</vt:i4>
      </vt:variant>
      <vt:variant>
        <vt:i4>98</vt:i4>
      </vt:variant>
      <vt:variant>
        <vt:i4>0</vt:i4>
      </vt:variant>
      <vt:variant>
        <vt:i4>5</vt:i4>
      </vt:variant>
      <vt:variant>
        <vt:lpwstr/>
      </vt:variant>
      <vt:variant>
        <vt:lpwstr>_Toc160629022</vt:lpwstr>
      </vt:variant>
      <vt:variant>
        <vt:i4>1835059</vt:i4>
      </vt:variant>
      <vt:variant>
        <vt:i4>92</vt:i4>
      </vt:variant>
      <vt:variant>
        <vt:i4>0</vt:i4>
      </vt:variant>
      <vt:variant>
        <vt:i4>5</vt:i4>
      </vt:variant>
      <vt:variant>
        <vt:lpwstr/>
      </vt:variant>
      <vt:variant>
        <vt:lpwstr>_Toc160629021</vt:lpwstr>
      </vt:variant>
      <vt:variant>
        <vt:i4>1835059</vt:i4>
      </vt:variant>
      <vt:variant>
        <vt:i4>86</vt:i4>
      </vt:variant>
      <vt:variant>
        <vt:i4>0</vt:i4>
      </vt:variant>
      <vt:variant>
        <vt:i4>5</vt:i4>
      </vt:variant>
      <vt:variant>
        <vt:lpwstr/>
      </vt:variant>
      <vt:variant>
        <vt:lpwstr>_Toc160629020</vt:lpwstr>
      </vt:variant>
      <vt:variant>
        <vt:i4>2031667</vt:i4>
      </vt:variant>
      <vt:variant>
        <vt:i4>80</vt:i4>
      </vt:variant>
      <vt:variant>
        <vt:i4>0</vt:i4>
      </vt:variant>
      <vt:variant>
        <vt:i4>5</vt:i4>
      </vt:variant>
      <vt:variant>
        <vt:lpwstr/>
      </vt:variant>
      <vt:variant>
        <vt:lpwstr>_Toc160629019</vt:lpwstr>
      </vt:variant>
      <vt:variant>
        <vt:i4>2031667</vt:i4>
      </vt:variant>
      <vt:variant>
        <vt:i4>74</vt:i4>
      </vt:variant>
      <vt:variant>
        <vt:i4>0</vt:i4>
      </vt:variant>
      <vt:variant>
        <vt:i4>5</vt:i4>
      </vt:variant>
      <vt:variant>
        <vt:lpwstr/>
      </vt:variant>
      <vt:variant>
        <vt:lpwstr>_Toc160629018</vt:lpwstr>
      </vt:variant>
      <vt:variant>
        <vt:i4>2031667</vt:i4>
      </vt:variant>
      <vt:variant>
        <vt:i4>68</vt:i4>
      </vt:variant>
      <vt:variant>
        <vt:i4>0</vt:i4>
      </vt:variant>
      <vt:variant>
        <vt:i4>5</vt:i4>
      </vt:variant>
      <vt:variant>
        <vt:lpwstr/>
      </vt:variant>
      <vt:variant>
        <vt:lpwstr>_Toc160629017</vt:lpwstr>
      </vt:variant>
      <vt:variant>
        <vt:i4>2031667</vt:i4>
      </vt:variant>
      <vt:variant>
        <vt:i4>62</vt:i4>
      </vt:variant>
      <vt:variant>
        <vt:i4>0</vt:i4>
      </vt:variant>
      <vt:variant>
        <vt:i4>5</vt:i4>
      </vt:variant>
      <vt:variant>
        <vt:lpwstr/>
      </vt:variant>
      <vt:variant>
        <vt:lpwstr>_Toc160629016</vt:lpwstr>
      </vt:variant>
      <vt:variant>
        <vt:i4>2031667</vt:i4>
      </vt:variant>
      <vt:variant>
        <vt:i4>56</vt:i4>
      </vt:variant>
      <vt:variant>
        <vt:i4>0</vt:i4>
      </vt:variant>
      <vt:variant>
        <vt:i4>5</vt:i4>
      </vt:variant>
      <vt:variant>
        <vt:lpwstr/>
      </vt:variant>
      <vt:variant>
        <vt:lpwstr>_Toc160629015</vt:lpwstr>
      </vt:variant>
      <vt:variant>
        <vt:i4>2031667</vt:i4>
      </vt:variant>
      <vt:variant>
        <vt:i4>50</vt:i4>
      </vt:variant>
      <vt:variant>
        <vt:i4>0</vt:i4>
      </vt:variant>
      <vt:variant>
        <vt:i4>5</vt:i4>
      </vt:variant>
      <vt:variant>
        <vt:lpwstr/>
      </vt:variant>
      <vt:variant>
        <vt:lpwstr>_Toc160629014</vt:lpwstr>
      </vt:variant>
      <vt:variant>
        <vt:i4>2031667</vt:i4>
      </vt:variant>
      <vt:variant>
        <vt:i4>44</vt:i4>
      </vt:variant>
      <vt:variant>
        <vt:i4>0</vt:i4>
      </vt:variant>
      <vt:variant>
        <vt:i4>5</vt:i4>
      </vt:variant>
      <vt:variant>
        <vt:lpwstr/>
      </vt:variant>
      <vt:variant>
        <vt:lpwstr>_Toc160629013</vt:lpwstr>
      </vt:variant>
      <vt:variant>
        <vt:i4>2031667</vt:i4>
      </vt:variant>
      <vt:variant>
        <vt:i4>38</vt:i4>
      </vt:variant>
      <vt:variant>
        <vt:i4>0</vt:i4>
      </vt:variant>
      <vt:variant>
        <vt:i4>5</vt:i4>
      </vt:variant>
      <vt:variant>
        <vt:lpwstr/>
      </vt:variant>
      <vt:variant>
        <vt:lpwstr>_Toc160629012</vt:lpwstr>
      </vt:variant>
      <vt:variant>
        <vt:i4>2031667</vt:i4>
      </vt:variant>
      <vt:variant>
        <vt:i4>32</vt:i4>
      </vt:variant>
      <vt:variant>
        <vt:i4>0</vt:i4>
      </vt:variant>
      <vt:variant>
        <vt:i4>5</vt:i4>
      </vt:variant>
      <vt:variant>
        <vt:lpwstr/>
      </vt:variant>
      <vt:variant>
        <vt:lpwstr>_Toc160629011</vt:lpwstr>
      </vt:variant>
      <vt:variant>
        <vt:i4>2031667</vt:i4>
      </vt:variant>
      <vt:variant>
        <vt:i4>26</vt:i4>
      </vt:variant>
      <vt:variant>
        <vt:i4>0</vt:i4>
      </vt:variant>
      <vt:variant>
        <vt:i4>5</vt:i4>
      </vt:variant>
      <vt:variant>
        <vt:lpwstr/>
      </vt:variant>
      <vt:variant>
        <vt:lpwstr>_Toc160629010</vt:lpwstr>
      </vt:variant>
      <vt:variant>
        <vt:i4>6291548</vt:i4>
      </vt:variant>
      <vt:variant>
        <vt:i4>18</vt:i4>
      </vt:variant>
      <vt:variant>
        <vt:i4>0</vt:i4>
      </vt:variant>
      <vt:variant>
        <vt:i4>5</vt:i4>
      </vt:variant>
      <vt:variant>
        <vt:lpwstr>mailto:tga.copyright@tga.gov.au</vt:lpwstr>
      </vt:variant>
      <vt:variant>
        <vt:lpwstr/>
      </vt:variant>
      <vt:variant>
        <vt:i4>7995497</vt:i4>
      </vt:variant>
      <vt:variant>
        <vt:i4>12</vt:i4>
      </vt:variant>
      <vt:variant>
        <vt:i4>0</vt:i4>
      </vt:variant>
      <vt:variant>
        <vt:i4>5</vt:i4>
      </vt:variant>
      <vt:variant>
        <vt:lpwstr>https://www.tga.gov.au/australian-public-assessment-report-auspar-guidance</vt:lpwstr>
      </vt:variant>
      <vt:variant>
        <vt:lpwstr/>
      </vt:variant>
      <vt:variant>
        <vt:i4>3473445</vt:i4>
      </vt:variant>
      <vt:variant>
        <vt:i4>6</vt:i4>
      </vt:variant>
      <vt:variant>
        <vt:i4>0</vt:i4>
      </vt:variant>
      <vt:variant>
        <vt:i4>5</vt:i4>
      </vt:variant>
      <vt:variant>
        <vt:lpwstr>https://www.tga.gov.au/</vt:lpwstr>
      </vt:variant>
      <vt:variant>
        <vt:lpwstr/>
      </vt:variant>
      <vt:variant>
        <vt:i4>2949171</vt:i4>
      </vt:variant>
      <vt:variant>
        <vt:i4>6</vt:i4>
      </vt:variant>
      <vt:variant>
        <vt:i4>0</vt:i4>
      </vt:variant>
      <vt:variant>
        <vt:i4>5</vt:i4>
      </vt:variant>
      <vt:variant>
        <vt:lpwstr>https://www.tga.gov.au/resources/resource/international-scientific-guidelines/international-scientific-guideline-guideline-development-new-medicinal-products-treatment-ulcerative-colitis</vt:lpwstr>
      </vt:variant>
      <vt:variant>
        <vt:lpwstr/>
      </vt:variant>
      <vt:variant>
        <vt:i4>4980807</vt:i4>
      </vt:variant>
      <vt:variant>
        <vt:i4>3</vt:i4>
      </vt:variant>
      <vt:variant>
        <vt:i4>0</vt:i4>
      </vt:variant>
      <vt:variant>
        <vt:i4>5</vt:i4>
      </vt:variant>
      <vt:variant>
        <vt:lpwstr>https://www.fda.gov/media/158016/download</vt:lpwstr>
      </vt:variant>
      <vt:variant>
        <vt:lpwstr/>
      </vt:variant>
      <vt:variant>
        <vt:i4>6881298</vt:i4>
      </vt:variant>
      <vt:variant>
        <vt:i4>0</vt:i4>
      </vt:variant>
      <vt:variant>
        <vt:i4>0</vt:i4>
      </vt:variant>
      <vt:variant>
        <vt:i4>5</vt:i4>
      </vt:variant>
      <vt:variant>
        <vt:lpwstr>https://www.uptodate.com/contents/clinical-manifestations-diagnosis-and-prognosis-of-ulcerative-colitis-inadults?search=ulcerative%20colitis&amp;source=search_result&amp;selectedTitle=1~150&amp;usage_type=default&amp;display_rank=1</vt:lpwstr>
      </vt:variant>
      <vt:variant>
        <vt:lpwstr>H3924972038</vt:lpwstr>
      </vt:variant>
      <vt:variant>
        <vt:i4>65627</vt:i4>
      </vt:variant>
      <vt:variant>
        <vt:i4>3</vt:i4>
      </vt:variant>
      <vt:variant>
        <vt:i4>0</vt:i4>
      </vt:variant>
      <vt:variant>
        <vt:i4>5</vt:i4>
      </vt:variant>
      <vt:variant>
        <vt:lpwstr>https://www.nejm.org/doi/suppl/10.1056/NEJMoa2207940/suppl_file/nejmoa2207940_appendix.pdf</vt:lpwstr>
      </vt:variant>
      <vt:variant>
        <vt:lpwstr/>
      </vt:variant>
      <vt:variant>
        <vt:i4>2293799</vt:i4>
      </vt:variant>
      <vt:variant>
        <vt:i4>0</vt:i4>
      </vt:variant>
      <vt:variant>
        <vt:i4>0</vt:i4>
      </vt:variant>
      <vt:variant>
        <vt:i4>5</vt:i4>
      </vt:variant>
      <vt:variant>
        <vt:lpwstr>https://www.nejm.org/doi/full/10.1056/NEJMoa2207940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Omvoh</dc:title>
  <dc:subject>Prescription medicines</dc:subject>
  <dc:creator>Therapeutic Goods Administration</dc:creator>
  <cp:keywords/>
  <dc:description/>
  <cp:lastModifiedBy>LACK, Janet</cp:lastModifiedBy>
  <cp:revision>3</cp:revision>
  <dcterms:created xsi:type="dcterms:W3CDTF">2024-05-08T04:52:00Z</dcterms:created>
  <dcterms:modified xsi:type="dcterms:W3CDTF">2024-05-08T04:53:00Z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0x010100A5BC68CE8531B74FBA8B3C3E9F781CB0</vt:lpwstr>
  </property>
</Properties>
</file>