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3766" w14:textId="5265F0B7" w:rsidR="00375DF3" w:rsidRPr="00375DF3" w:rsidRDefault="001A46B1" w:rsidP="006018AE">
      <w:pPr>
        <w:tabs>
          <w:tab w:val="left" w:pos="284"/>
        </w:tabs>
        <w:spacing w:after="480" w:line="240" w:lineRule="auto"/>
        <w:rPr>
          <w:rFonts w:asciiTheme="majorHAnsi" w:hAnsiTheme="majorHAnsi"/>
        </w:rPr>
      </w:pPr>
      <w:r w:rsidRPr="00806062" w:rsidDel="005B5664">
        <w:rPr>
          <w:noProof/>
          <w:lang w:eastAsia="en-AU"/>
        </w:rPr>
        <w:drawing>
          <wp:inline distT="0" distB="0" distL="0" distR="0" wp14:anchorId="2BD07B1E" wp14:editId="780FF12E">
            <wp:extent cx="2286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96057" b="39275"/>
                    <a:stretch>
                      <a:fillRect/>
                    </a:stretch>
                  </pic:blipFill>
                  <pic:spPr bwMode="auto">
                    <a:xfrm>
                      <a:off x="0" y="0"/>
                      <a:ext cx="228600" cy="247650"/>
                    </a:xfrm>
                    <a:prstGeom prst="rect">
                      <a:avLst/>
                    </a:prstGeom>
                    <a:noFill/>
                    <a:ln>
                      <a:noFill/>
                    </a:ln>
                  </pic:spPr>
                </pic:pic>
              </a:graphicData>
            </a:graphic>
          </wp:inline>
        </w:drawing>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00375DF3" w:rsidRPr="00375DF3">
          <w:rPr>
            <w:rStyle w:val="Hyperlink"/>
            <w:rFonts w:asciiTheme="majorHAnsi" w:hAnsiTheme="majorHAnsi"/>
          </w:rPr>
          <w:t>www.tga.gov.au/reporting-problems</w:t>
        </w:r>
      </w:hyperlink>
      <w:r w:rsidR="00375DF3" w:rsidRPr="00375DF3">
        <w:rPr>
          <w:rFonts w:asciiTheme="majorHAnsi" w:hAnsiTheme="majorHAnsi"/>
        </w:rPr>
        <w:t>.</w:t>
      </w:r>
    </w:p>
    <w:p w14:paraId="3DC50744" w14:textId="45C95E3D" w:rsidR="006018AE" w:rsidRPr="00013A95" w:rsidRDefault="006018AE" w:rsidP="00285173">
      <w:pPr>
        <w:pStyle w:val="Heading1"/>
        <w:numPr>
          <w:ilvl w:val="0"/>
          <w:numId w:val="0"/>
        </w:numPr>
        <w:spacing w:after="240"/>
        <w:rPr>
          <w:rFonts w:eastAsia="SimSun"/>
        </w:rPr>
      </w:pPr>
      <w:bookmarkStart w:id="0" w:name="_Ref101854311"/>
      <w:r w:rsidRPr="00013A95">
        <w:rPr>
          <w:rFonts w:eastAsia="SimSun"/>
        </w:rPr>
        <w:t>Australian P</w:t>
      </w:r>
      <w:r w:rsidR="0021200F" w:rsidRPr="00013A95">
        <w:rPr>
          <w:rFonts w:eastAsia="SimSun"/>
        </w:rPr>
        <w:t xml:space="preserve">roduct </w:t>
      </w:r>
      <w:r w:rsidRPr="00013A95">
        <w:rPr>
          <w:rFonts w:eastAsia="SimSun"/>
        </w:rPr>
        <w:t>I</w:t>
      </w:r>
      <w:r w:rsidR="0021200F" w:rsidRPr="00013A95">
        <w:rPr>
          <w:rFonts w:eastAsia="SimSun"/>
        </w:rPr>
        <w:t>nformation</w:t>
      </w:r>
      <w:r w:rsidRPr="00013A95">
        <w:rPr>
          <w:rFonts w:eastAsia="SimSun"/>
        </w:rPr>
        <w:t xml:space="preserve"> – </w:t>
      </w:r>
      <w:r w:rsidR="00523E94" w:rsidRPr="00013A95">
        <w:rPr>
          <w:rFonts w:eastAsia="SimSun"/>
        </w:rPr>
        <w:t>OMVOH</w:t>
      </w:r>
      <w:r w:rsidR="00AF238D" w:rsidRPr="00013A95">
        <w:rPr>
          <w:rFonts w:eastAsia="SimSun"/>
        </w:rPr>
        <w:t xml:space="preserve"> </w:t>
      </w:r>
      <w:r w:rsidRPr="00013A95">
        <w:rPr>
          <w:rFonts w:eastAsia="SimSun"/>
        </w:rPr>
        <w:t>(</w:t>
      </w:r>
      <w:r w:rsidR="00523E94" w:rsidRPr="00013A95">
        <w:rPr>
          <w:rFonts w:eastAsia="SimSun"/>
        </w:rPr>
        <w:t>Mirikizumab</w:t>
      </w:r>
      <w:r w:rsidRPr="00013A95">
        <w:rPr>
          <w:rFonts w:eastAsia="SimSun"/>
        </w:rPr>
        <w:t>)</w:t>
      </w:r>
      <w:r w:rsidR="00A64655" w:rsidRPr="00013A95">
        <w:rPr>
          <w:rFonts w:eastAsia="SimSun"/>
        </w:rPr>
        <w:t xml:space="preserve"> </w:t>
      </w:r>
      <w:r w:rsidR="00523E94" w:rsidRPr="00013A95">
        <w:rPr>
          <w:rFonts w:eastAsia="SimSun"/>
        </w:rPr>
        <w:t>solution for injection</w:t>
      </w:r>
      <w:bookmarkEnd w:id="0"/>
      <w:r w:rsidR="0012736B" w:rsidRPr="00013A95">
        <w:rPr>
          <w:rFonts w:eastAsia="SimSun"/>
        </w:rPr>
        <w:fldChar w:fldCharType="begin"/>
      </w:r>
      <w:r w:rsidR="0012736B" w:rsidRPr="00013A95">
        <w:rPr>
          <w:rFonts w:eastAsia="SimSun"/>
        </w:rPr>
        <w:instrText xml:space="preserve"> DOCVARIABLE VAULT_ND_0ebe82a2-0828-42fa-9bba-5f8e6ade6078 \* MERGEFORMAT </w:instrText>
      </w:r>
      <w:r w:rsidR="0012736B" w:rsidRPr="00013A95">
        <w:rPr>
          <w:rFonts w:eastAsia="SimSun"/>
        </w:rPr>
        <w:fldChar w:fldCharType="separate"/>
      </w:r>
      <w:r w:rsidR="0012736B" w:rsidRPr="00013A95">
        <w:rPr>
          <w:rFonts w:eastAsia="SimSun"/>
        </w:rPr>
        <w:t xml:space="preserve"> </w:t>
      </w:r>
      <w:r w:rsidR="0012736B" w:rsidRPr="00013A95">
        <w:rPr>
          <w:rFonts w:eastAsia="SimSun"/>
        </w:rPr>
        <w:fldChar w:fldCharType="end"/>
      </w:r>
    </w:p>
    <w:p w14:paraId="4AB492EB" w14:textId="3781764C" w:rsidR="001A3992" w:rsidRPr="00013A95" w:rsidRDefault="001A3992" w:rsidP="001A3992">
      <w:pPr>
        <w:pStyle w:val="Heading1"/>
        <w:spacing w:before="0" w:after="120"/>
      </w:pPr>
      <w:r w:rsidRPr="00013A95">
        <w:t>Name of the medicine</w:t>
      </w:r>
      <w:fldSimple w:instr="DOCVARIABLE VAULT_ND_490f586f-fe9d-4bac-ab54-56c0080a6a46 \* MERGEFORMAT">
        <w:r w:rsidR="0012736B" w:rsidRPr="00013A95">
          <w:t xml:space="preserve"> </w:t>
        </w:r>
      </w:fldSimple>
    </w:p>
    <w:p w14:paraId="57F71146" w14:textId="263A3B38" w:rsidR="004F1972" w:rsidRPr="004F1972" w:rsidRDefault="004F1972" w:rsidP="004F1972">
      <w:pPr>
        <w:rPr>
          <w:rFonts w:asciiTheme="majorHAnsi" w:hAnsiTheme="majorHAnsi"/>
        </w:rPr>
      </w:pPr>
      <w:r w:rsidRPr="004F1972">
        <w:rPr>
          <w:rFonts w:asciiTheme="majorHAnsi" w:hAnsiTheme="majorHAnsi"/>
        </w:rPr>
        <w:t>Mirikizumab</w:t>
      </w:r>
    </w:p>
    <w:p w14:paraId="0C752BB3" w14:textId="6C67D81D" w:rsidR="001A3992" w:rsidRPr="00013A95" w:rsidRDefault="001A3992" w:rsidP="001A3992">
      <w:pPr>
        <w:pStyle w:val="Heading1"/>
        <w:spacing w:before="0" w:after="120"/>
      </w:pPr>
      <w:r w:rsidRPr="00013A95">
        <w:t>Qualitative and quantitative composition</w:t>
      </w:r>
      <w:fldSimple w:instr="DOCVARIABLE VAULT_ND_4fc44a93-bdef-401c-9c16-9c8b22f53da9 \* MERGEFORMAT">
        <w:r w:rsidR="0012736B" w:rsidRPr="00013A95">
          <w:t xml:space="preserve"> </w:t>
        </w:r>
      </w:fldSimple>
    </w:p>
    <w:p w14:paraId="0C8296B4" w14:textId="2585A086" w:rsidR="00952BAF" w:rsidRDefault="00287628" w:rsidP="005B2812">
      <w:pPr>
        <w:rPr>
          <w:rFonts w:asciiTheme="majorHAnsi" w:hAnsiTheme="majorHAnsi" w:cstheme="minorHAnsi"/>
          <w:u w:val="single"/>
          <w:lang w:val="en"/>
        </w:rPr>
      </w:pPr>
      <w:r>
        <w:rPr>
          <w:rFonts w:asciiTheme="majorHAnsi" w:hAnsiTheme="majorHAnsi" w:cstheme="minorHAnsi"/>
          <w:u w:val="single"/>
          <w:lang w:val="en"/>
        </w:rPr>
        <w:t>Intravenous Infusion</w:t>
      </w:r>
    </w:p>
    <w:p w14:paraId="1121305A" w14:textId="52742D56" w:rsidR="00A745BF" w:rsidRDefault="0026766A" w:rsidP="005B2812">
      <w:pPr>
        <w:rPr>
          <w:rFonts w:asciiTheme="majorHAnsi" w:hAnsiTheme="majorHAnsi" w:cstheme="minorHAnsi"/>
          <w:lang w:val="en"/>
        </w:rPr>
      </w:pPr>
      <w:r>
        <w:rPr>
          <w:rFonts w:asciiTheme="majorHAnsi" w:hAnsiTheme="majorHAnsi" w:cstheme="minorHAnsi"/>
          <w:lang w:val="en"/>
        </w:rPr>
        <w:t xml:space="preserve">Each vial </w:t>
      </w:r>
      <w:r w:rsidR="00811CEF">
        <w:rPr>
          <w:rFonts w:asciiTheme="majorHAnsi" w:hAnsiTheme="majorHAnsi" w:cstheme="minorHAnsi"/>
          <w:lang w:val="en"/>
        </w:rPr>
        <w:t xml:space="preserve">contains </w:t>
      </w:r>
      <w:r w:rsidR="00FF2BE3">
        <w:rPr>
          <w:rFonts w:asciiTheme="majorHAnsi" w:hAnsiTheme="majorHAnsi" w:cstheme="minorHAnsi"/>
          <w:lang w:val="en"/>
        </w:rPr>
        <w:t>300</w:t>
      </w:r>
      <w:r w:rsidR="00444853">
        <w:rPr>
          <w:rFonts w:asciiTheme="majorHAnsi" w:hAnsiTheme="majorHAnsi" w:cstheme="minorHAnsi"/>
          <w:lang w:val="en"/>
        </w:rPr>
        <w:t xml:space="preserve"> mg/</w:t>
      </w:r>
      <w:r w:rsidR="00FF2BE3">
        <w:rPr>
          <w:rFonts w:asciiTheme="majorHAnsi" w:hAnsiTheme="majorHAnsi" w:cstheme="minorHAnsi"/>
          <w:lang w:val="en"/>
        </w:rPr>
        <w:t xml:space="preserve">15 </w:t>
      </w:r>
      <w:r w:rsidR="00444853">
        <w:rPr>
          <w:rFonts w:asciiTheme="majorHAnsi" w:hAnsiTheme="majorHAnsi" w:cstheme="minorHAnsi"/>
          <w:lang w:val="en"/>
        </w:rPr>
        <w:t>mL</w:t>
      </w:r>
      <w:r w:rsidR="002D79F8">
        <w:rPr>
          <w:rFonts w:asciiTheme="majorHAnsi" w:hAnsiTheme="majorHAnsi" w:cstheme="minorHAnsi"/>
          <w:lang w:val="en"/>
        </w:rPr>
        <w:t xml:space="preserve"> (20 mg/mL)</w:t>
      </w:r>
      <w:r w:rsidR="001F45AD">
        <w:rPr>
          <w:rFonts w:asciiTheme="majorHAnsi" w:hAnsiTheme="majorHAnsi" w:cstheme="minorHAnsi"/>
          <w:lang w:val="en"/>
        </w:rPr>
        <w:t xml:space="preserve"> mirikizumab</w:t>
      </w:r>
      <w:r w:rsidR="00BE76F4">
        <w:rPr>
          <w:rFonts w:asciiTheme="majorHAnsi" w:hAnsiTheme="majorHAnsi" w:cstheme="minorHAnsi"/>
          <w:lang w:val="en"/>
        </w:rPr>
        <w:t>.</w:t>
      </w:r>
    </w:p>
    <w:p w14:paraId="757AF6A3" w14:textId="389455ED" w:rsidR="00C02A81" w:rsidRDefault="0096445F" w:rsidP="005B2812">
      <w:pPr>
        <w:rPr>
          <w:rFonts w:asciiTheme="majorHAnsi" w:hAnsiTheme="majorHAnsi" w:cstheme="minorHAnsi"/>
          <w:u w:val="single"/>
          <w:lang w:val="en"/>
        </w:rPr>
      </w:pPr>
      <w:r>
        <w:rPr>
          <w:rFonts w:asciiTheme="majorHAnsi" w:hAnsiTheme="majorHAnsi" w:cstheme="minorHAnsi"/>
          <w:u w:val="single"/>
          <w:lang w:val="en"/>
        </w:rPr>
        <w:t>Subcutaneous</w:t>
      </w:r>
    </w:p>
    <w:p w14:paraId="53F93089" w14:textId="22AE1A18" w:rsidR="00444853" w:rsidRPr="00444853" w:rsidRDefault="00C02A81" w:rsidP="005B2812">
      <w:pPr>
        <w:rPr>
          <w:rFonts w:asciiTheme="majorHAnsi" w:hAnsiTheme="majorHAnsi" w:cstheme="minorHAnsi"/>
          <w:u w:val="single"/>
          <w:lang w:val="en"/>
        </w:rPr>
      </w:pPr>
      <w:r>
        <w:rPr>
          <w:rFonts w:asciiTheme="majorHAnsi" w:hAnsiTheme="majorHAnsi" w:cstheme="minorHAnsi"/>
          <w:lang w:val="en"/>
        </w:rPr>
        <w:t xml:space="preserve">Each </w:t>
      </w:r>
      <w:r w:rsidR="00C76A99">
        <w:rPr>
          <w:rFonts w:asciiTheme="majorHAnsi" w:hAnsiTheme="majorHAnsi" w:cstheme="minorHAnsi"/>
          <w:lang w:val="en"/>
        </w:rPr>
        <w:t>autoinjector (</w:t>
      </w:r>
      <w:r>
        <w:rPr>
          <w:rFonts w:asciiTheme="majorHAnsi" w:hAnsiTheme="majorHAnsi" w:cstheme="minorHAnsi"/>
          <w:lang w:val="en"/>
        </w:rPr>
        <w:t>pre</w:t>
      </w:r>
      <w:r w:rsidR="00C6024F">
        <w:rPr>
          <w:rFonts w:asciiTheme="majorHAnsi" w:hAnsiTheme="majorHAnsi" w:cstheme="minorHAnsi"/>
          <w:lang w:val="en"/>
        </w:rPr>
        <w:t>-</w:t>
      </w:r>
      <w:r>
        <w:rPr>
          <w:rFonts w:asciiTheme="majorHAnsi" w:hAnsiTheme="majorHAnsi" w:cstheme="minorHAnsi"/>
          <w:lang w:val="en"/>
        </w:rPr>
        <w:t>filled pen</w:t>
      </w:r>
      <w:r w:rsidR="00C76A99">
        <w:rPr>
          <w:rFonts w:asciiTheme="majorHAnsi" w:hAnsiTheme="majorHAnsi" w:cstheme="minorHAnsi"/>
          <w:lang w:val="en"/>
        </w:rPr>
        <w:t>)</w:t>
      </w:r>
      <w:r>
        <w:rPr>
          <w:rFonts w:asciiTheme="majorHAnsi" w:hAnsiTheme="majorHAnsi" w:cstheme="minorHAnsi"/>
          <w:lang w:val="en"/>
        </w:rPr>
        <w:t xml:space="preserve"> or pre</w:t>
      </w:r>
      <w:r w:rsidR="00C6024F">
        <w:rPr>
          <w:rFonts w:asciiTheme="majorHAnsi" w:hAnsiTheme="majorHAnsi" w:cstheme="minorHAnsi"/>
          <w:lang w:val="en"/>
        </w:rPr>
        <w:t>-</w:t>
      </w:r>
      <w:r>
        <w:rPr>
          <w:rFonts w:asciiTheme="majorHAnsi" w:hAnsiTheme="majorHAnsi" w:cstheme="minorHAnsi"/>
          <w:lang w:val="en"/>
        </w:rPr>
        <w:t>filled syringe contains</w:t>
      </w:r>
      <w:r w:rsidR="001F45AD">
        <w:rPr>
          <w:rFonts w:asciiTheme="majorHAnsi" w:hAnsiTheme="majorHAnsi" w:cstheme="minorHAnsi"/>
          <w:lang w:val="en"/>
        </w:rPr>
        <w:t xml:space="preserve"> 100 mg/mL mirikizumab</w:t>
      </w:r>
      <w:r w:rsidR="00354336">
        <w:rPr>
          <w:rFonts w:asciiTheme="majorHAnsi" w:hAnsiTheme="majorHAnsi" w:cstheme="minorHAnsi"/>
          <w:lang w:val="en"/>
        </w:rPr>
        <w:t>.</w:t>
      </w:r>
      <w:r w:rsidR="00444853">
        <w:rPr>
          <w:rFonts w:asciiTheme="majorHAnsi" w:hAnsiTheme="majorHAnsi" w:cstheme="minorHAnsi"/>
          <w:u w:val="single"/>
          <w:lang w:val="en"/>
        </w:rPr>
        <w:t xml:space="preserve"> </w:t>
      </w:r>
    </w:p>
    <w:p w14:paraId="66F00213" w14:textId="11DE035F" w:rsidR="00126EF8" w:rsidRDefault="00126EF8" w:rsidP="005B2812">
      <w:pPr>
        <w:rPr>
          <w:rFonts w:asciiTheme="majorHAnsi" w:hAnsiTheme="majorHAnsi" w:cstheme="minorHAnsi"/>
          <w:lang w:val="en"/>
        </w:rPr>
      </w:pPr>
      <w:r w:rsidRPr="00126EF8">
        <w:rPr>
          <w:rFonts w:asciiTheme="majorHAnsi" w:hAnsiTheme="majorHAnsi" w:cstheme="minorHAnsi"/>
          <w:lang w:val="en"/>
        </w:rPr>
        <w:t>Mirikizumab is a humani</w:t>
      </w:r>
      <w:r w:rsidR="00055A28">
        <w:rPr>
          <w:rFonts w:asciiTheme="majorHAnsi" w:hAnsiTheme="majorHAnsi" w:cstheme="minorHAnsi"/>
          <w:lang w:val="en"/>
        </w:rPr>
        <w:t>s</w:t>
      </w:r>
      <w:r w:rsidRPr="00126EF8">
        <w:rPr>
          <w:rFonts w:asciiTheme="majorHAnsi" w:hAnsiTheme="majorHAnsi" w:cstheme="minorHAnsi"/>
          <w:lang w:val="en"/>
        </w:rPr>
        <w:t>ed immunoglobulin G4 (IgG4) variant monoclonal antibody that is directed against the p19 subunit of IL-23 and does not bind IL-12. Mirikizumab is produced in Chinese Hamster Ovary (CHO) cells by recombinant DNA technology and it is composed of two identical light chain polypeptides and two identical heavy chain polypeptides with an overall molecular weight of approximately 147 kDa</w:t>
      </w:r>
      <w:r w:rsidR="000F03D7">
        <w:rPr>
          <w:rFonts w:asciiTheme="majorHAnsi" w:hAnsiTheme="majorHAnsi" w:cstheme="minorHAnsi"/>
          <w:lang w:val="en"/>
        </w:rPr>
        <w:t>.</w:t>
      </w:r>
    </w:p>
    <w:p w14:paraId="061A1BD7" w14:textId="1CAFFC0B" w:rsidR="005B2812" w:rsidRPr="005B2812" w:rsidRDefault="005B2812" w:rsidP="005B2812">
      <w:pPr>
        <w:rPr>
          <w:rFonts w:asciiTheme="majorHAnsi" w:hAnsiTheme="majorHAnsi" w:cstheme="minorHAnsi"/>
        </w:rPr>
      </w:pPr>
      <w:r w:rsidRPr="00497C85">
        <w:rPr>
          <w:rFonts w:asciiTheme="majorHAnsi" w:hAnsiTheme="majorHAnsi" w:cstheme="minorHAnsi"/>
          <w:lang w:val="en"/>
        </w:rPr>
        <w:t xml:space="preserve">For the full list of excipients, see Section </w:t>
      </w:r>
      <w:r w:rsidR="006614C7" w:rsidRPr="001A46B1">
        <w:rPr>
          <w:rFonts w:asciiTheme="majorHAnsi" w:hAnsiTheme="majorHAnsi" w:cstheme="minorHAnsi"/>
          <w:color w:val="0000FF"/>
          <w:lang w:val="en"/>
        </w:rPr>
        <w:fldChar w:fldCharType="begin"/>
      </w:r>
      <w:r w:rsidR="006614C7" w:rsidRPr="001A46B1">
        <w:rPr>
          <w:rFonts w:asciiTheme="majorHAnsi" w:hAnsiTheme="majorHAnsi" w:cstheme="minorHAnsi"/>
          <w:color w:val="0000FF"/>
          <w:lang w:val="en"/>
        </w:rPr>
        <w:instrText xml:space="preserve"> REF _Ref101513910 \r \h  \* MERGEFORMAT </w:instrText>
      </w:r>
      <w:r w:rsidR="006614C7" w:rsidRPr="001A46B1">
        <w:rPr>
          <w:rFonts w:asciiTheme="majorHAnsi" w:hAnsiTheme="majorHAnsi" w:cstheme="minorHAnsi"/>
          <w:color w:val="0000FF"/>
          <w:lang w:val="en"/>
        </w:rPr>
      </w:r>
      <w:r w:rsidR="006614C7" w:rsidRPr="001A46B1">
        <w:rPr>
          <w:rFonts w:asciiTheme="majorHAnsi" w:hAnsiTheme="majorHAnsi" w:cstheme="minorHAnsi"/>
          <w:color w:val="0000FF"/>
          <w:lang w:val="en"/>
        </w:rPr>
        <w:fldChar w:fldCharType="separate"/>
      </w:r>
      <w:r w:rsidR="006614C7" w:rsidRPr="001A46B1">
        <w:rPr>
          <w:rFonts w:asciiTheme="majorHAnsi" w:hAnsiTheme="majorHAnsi" w:cstheme="minorHAnsi"/>
          <w:color w:val="0000FF"/>
          <w:lang w:val="en"/>
        </w:rPr>
        <w:t>6.1</w:t>
      </w:r>
      <w:r w:rsidR="006614C7" w:rsidRPr="001A46B1">
        <w:rPr>
          <w:rFonts w:asciiTheme="majorHAnsi" w:hAnsiTheme="majorHAnsi" w:cstheme="minorHAnsi"/>
          <w:color w:val="0000FF"/>
          <w:lang w:val="en"/>
        </w:rPr>
        <w:fldChar w:fldCharType="end"/>
      </w:r>
      <w:r w:rsidR="006614C7" w:rsidRPr="001A46B1">
        <w:rPr>
          <w:rFonts w:asciiTheme="majorHAnsi" w:hAnsiTheme="majorHAnsi" w:cstheme="minorHAnsi"/>
          <w:color w:val="0000FF"/>
          <w:lang w:val="en"/>
        </w:rPr>
        <w:t xml:space="preserve"> </w:t>
      </w:r>
      <w:r w:rsidR="006614C7" w:rsidRPr="001A46B1">
        <w:rPr>
          <w:rFonts w:asciiTheme="majorHAnsi" w:hAnsiTheme="majorHAnsi" w:cstheme="minorHAnsi"/>
          <w:color w:val="0000FF"/>
          <w:lang w:val="en"/>
        </w:rPr>
        <w:fldChar w:fldCharType="begin"/>
      </w:r>
      <w:r w:rsidR="006614C7" w:rsidRPr="001A46B1">
        <w:rPr>
          <w:rFonts w:asciiTheme="majorHAnsi" w:hAnsiTheme="majorHAnsi" w:cstheme="minorHAnsi"/>
          <w:color w:val="0000FF"/>
          <w:lang w:val="en"/>
        </w:rPr>
        <w:instrText xml:space="preserve"> REF _Ref101513910 \h  \* MERGEFORMAT </w:instrText>
      </w:r>
      <w:r w:rsidR="006614C7" w:rsidRPr="001A46B1">
        <w:rPr>
          <w:rFonts w:asciiTheme="majorHAnsi" w:hAnsiTheme="majorHAnsi" w:cstheme="minorHAnsi"/>
          <w:color w:val="0000FF"/>
          <w:lang w:val="en"/>
        </w:rPr>
      </w:r>
      <w:r w:rsidR="006614C7" w:rsidRPr="001A46B1">
        <w:rPr>
          <w:rFonts w:asciiTheme="majorHAnsi" w:hAnsiTheme="majorHAnsi" w:cstheme="minorHAnsi"/>
          <w:color w:val="0000FF"/>
          <w:lang w:val="en"/>
        </w:rPr>
        <w:fldChar w:fldCharType="separate"/>
      </w:r>
      <w:r w:rsidR="006614C7" w:rsidRPr="001A46B1">
        <w:rPr>
          <w:rFonts w:asciiTheme="majorHAnsi" w:hAnsiTheme="majorHAnsi" w:cstheme="minorHAnsi"/>
          <w:color w:val="0000FF"/>
          <w:lang w:val="en-US"/>
        </w:rPr>
        <w:t>List of excipients</w:t>
      </w:r>
      <w:r w:rsidR="006614C7" w:rsidRPr="001A46B1">
        <w:rPr>
          <w:rFonts w:asciiTheme="majorHAnsi" w:hAnsiTheme="majorHAnsi" w:cstheme="minorHAnsi"/>
          <w:color w:val="0000FF"/>
          <w:lang w:val="en"/>
        </w:rPr>
        <w:fldChar w:fldCharType="end"/>
      </w:r>
      <w:r w:rsidRPr="00497C85">
        <w:rPr>
          <w:rFonts w:asciiTheme="majorHAnsi" w:hAnsiTheme="majorHAnsi" w:cstheme="minorHAnsi"/>
          <w:lang w:val="en"/>
        </w:rPr>
        <w:t xml:space="preserve">. </w:t>
      </w:r>
    </w:p>
    <w:p w14:paraId="32AAC838" w14:textId="397D8503" w:rsidR="001A3992" w:rsidRPr="00013A95" w:rsidRDefault="001A3992" w:rsidP="001A3992">
      <w:pPr>
        <w:pStyle w:val="Heading1"/>
        <w:spacing w:before="0" w:after="120"/>
      </w:pPr>
      <w:r w:rsidRPr="00013A95">
        <w:t>Pharmaceutical form</w:t>
      </w:r>
      <w:fldSimple w:instr="DOCVARIABLE VAULT_ND_1b072889-d2a8-4c28-9012-2678c155e55c \* MERGEFORMAT">
        <w:r w:rsidR="0012736B" w:rsidRPr="00013A95">
          <w:t xml:space="preserve"> </w:t>
        </w:r>
      </w:fldSimple>
    </w:p>
    <w:p w14:paraId="49C19B86" w14:textId="2895C25D" w:rsidR="00883F20" w:rsidRDefault="00FC50C6" w:rsidP="00883F20">
      <w:pPr>
        <w:rPr>
          <w:rFonts w:asciiTheme="majorHAnsi" w:hAnsiTheme="majorHAnsi" w:cstheme="minorHAnsi"/>
          <w:u w:val="single"/>
          <w:lang w:val="en"/>
        </w:rPr>
      </w:pPr>
      <w:r>
        <w:rPr>
          <w:rFonts w:asciiTheme="majorHAnsi" w:hAnsiTheme="majorHAnsi" w:cstheme="minorHAnsi"/>
          <w:u w:val="single"/>
          <w:lang w:val="en"/>
        </w:rPr>
        <w:t>Intravenous Infusion</w:t>
      </w:r>
    </w:p>
    <w:p w14:paraId="4554FFCE" w14:textId="77777777" w:rsidR="00CF726D" w:rsidRDefault="00C60AF6" w:rsidP="00883F20">
      <w:pPr>
        <w:rPr>
          <w:rFonts w:asciiTheme="majorHAnsi" w:hAnsiTheme="majorHAnsi" w:cstheme="minorHAnsi"/>
          <w:lang w:val="en"/>
        </w:rPr>
      </w:pPr>
      <w:r>
        <w:rPr>
          <w:rFonts w:asciiTheme="majorHAnsi" w:hAnsiTheme="majorHAnsi" w:cstheme="minorHAnsi"/>
          <w:lang w:val="en"/>
        </w:rPr>
        <w:t>Concentrate</w:t>
      </w:r>
      <w:r w:rsidR="00CF726D">
        <w:rPr>
          <w:rFonts w:asciiTheme="majorHAnsi" w:hAnsiTheme="majorHAnsi" w:cstheme="minorHAnsi"/>
          <w:lang w:val="en"/>
        </w:rPr>
        <w:t xml:space="preserve"> for solution for infusion.</w:t>
      </w:r>
    </w:p>
    <w:p w14:paraId="6CA4BE12" w14:textId="12C95226" w:rsidR="00FA5537" w:rsidRDefault="00035A90" w:rsidP="00883F20">
      <w:pPr>
        <w:rPr>
          <w:rFonts w:asciiTheme="majorHAnsi" w:hAnsiTheme="majorHAnsi" w:cstheme="minorHAnsi"/>
          <w:lang w:val="en"/>
        </w:rPr>
      </w:pPr>
      <w:r>
        <w:rPr>
          <w:rFonts w:asciiTheme="majorHAnsi" w:hAnsiTheme="majorHAnsi" w:cstheme="minorHAnsi"/>
          <w:lang w:val="en"/>
        </w:rPr>
        <w:t xml:space="preserve">Sterile, </w:t>
      </w:r>
      <w:r w:rsidR="007572E3">
        <w:rPr>
          <w:rFonts w:asciiTheme="majorHAnsi" w:hAnsiTheme="majorHAnsi" w:cstheme="minorHAnsi"/>
          <w:lang w:val="en"/>
        </w:rPr>
        <w:t>non-</w:t>
      </w:r>
      <w:r w:rsidR="003B31C1">
        <w:rPr>
          <w:rFonts w:asciiTheme="majorHAnsi" w:hAnsiTheme="majorHAnsi" w:cstheme="minorHAnsi"/>
          <w:lang w:val="en"/>
        </w:rPr>
        <w:t xml:space="preserve">pyrogenic, </w:t>
      </w:r>
      <w:r w:rsidR="00D22A0D">
        <w:rPr>
          <w:rFonts w:asciiTheme="majorHAnsi" w:hAnsiTheme="majorHAnsi" w:cstheme="minorHAnsi"/>
          <w:lang w:val="en"/>
        </w:rPr>
        <w:t>preservative</w:t>
      </w:r>
      <w:r w:rsidR="005843FA">
        <w:rPr>
          <w:rFonts w:asciiTheme="majorHAnsi" w:hAnsiTheme="majorHAnsi" w:cstheme="minorHAnsi"/>
          <w:lang w:val="en"/>
        </w:rPr>
        <w:t xml:space="preserve"> free</w:t>
      </w:r>
      <w:r w:rsidR="00D22A0D">
        <w:rPr>
          <w:rFonts w:asciiTheme="majorHAnsi" w:hAnsiTheme="majorHAnsi" w:cstheme="minorHAnsi"/>
          <w:lang w:val="en"/>
        </w:rPr>
        <w:t xml:space="preserve">, </w:t>
      </w:r>
      <w:r w:rsidR="00EA5EEF">
        <w:rPr>
          <w:rFonts w:asciiTheme="majorHAnsi" w:hAnsiTheme="majorHAnsi" w:cstheme="minorHAnsi"/>
          <w:lang w:val="en"/>
        </w:rPr>
        <w:t>c</w:t>
      </w:r>
      <w:r w:rsidR="00EE15E9">
        <w:rPr>
          <w:rFonts w:asciiTheme="majorHAnsi" w:hAnsiTheme="majorHAnsi" w:cstheme="minorHAnsi"/>
          <w:lang w:val="en"/>
        </w:rPr>
        <w:t>lear</w:t>
      </w:r>
      <w:r w:rsidR="0086132B">
        <w:rPr>
          <w:rFonts w:asciiTheme="majorHAnsi" w:hAnsiTheme="majorHAnsi" w:cstheme="minorHAnsi"/>
          <w:lang w:val="en"/>
        </w:rPr>
        <w:t xml:space="preserve"> colourless to slightly yellow solution free </w:t>
      </w:r>
      <w:r w:rsidR="00D471B5">
        <w:rPr>
          <w:rFonts w:asciiTheme="majorHAnsi" w:hAnsiTheme="majorHAnsi" w:cstheme="minorHAnsi"/>
          <w:lang w:val="en"/>
        </w:rPr>
        <w:t>of visible particles.</w:t>
      </w:r>
    </w:p>
    <w:p w14:paraId="5B662E15" w14:textId="15392AD6" w:rsidR="000B52DE" w:rsidRDefault="000B52DE" w:rsidP="00883F20">
      <w:pPr>
        <w:rPr>
          <w:rFonts w:asciiTheme="majorHAnsi" w:hAnsiTheme="majorHAnsi" w:cstheme="minorHAnsi"/>
          <w:u w:val="single"/>
          <w:lang w:val="en"/>
        </w:rPr>
      </w:pPr>
      <w:r>
        <w:rPr>
          <w:rFonts w:asciiTheme="majorHAnsi" w:hAnsiTheme="majorHAnsi" w:cstheme="minorHAnsi"/>
          <w:u w:val="single"/>
          <w:lang w:val="en"/>
        </w:rPr>
        <w:t>Subcutaneous</w:t>
      </w:r>
    </w:p>
    <w:p w14:paraId="1883CB9F" w14:textId="455677D3" w:rsidR="00763E5A" w:rsidRDefault="00763E5A" w:rsidP="000B52DE">
      <w:pPr>
        <w:rPr>
          <w:rFonts w:asciiTheme="majorHAnsi" w:hAnsiTheme="majorHAnsi" w:cstheme="minorHAnsi"/>
          <w:lang w:val="en"/>
        </w:rPr>
      </w:pPr>
      <w:r>
        <w:rPr>
          <w:rFonts w:asciiTheme="majorHAnsi" w:hAnsiTheme="majorHAnsi" w:cstheme="minorHAnsi"/>
          <w:lang w:val="en"/>
        </w:rPr>
        <w:t>Solution for subcutaneous injection.</w:t>
      </w:r>
    </w:p>
    <w:p w14:paraId="19B21BC4" w14:textId="27B97ACD" w:rsidR="00B72158" w:rsidRPr="00CB617E" w:rsidRDefault="000B52DE" w:rsidP="00883F20">
      <w:pPr>
        <w:rPr>
          <w:rFonts w:asciiTheme="majorHAnsi" w:hAnsiTheme="majorHAnsi" w:cstheme="minorHAnsi"/>
          <w:lang w:val="en"/>
        </w:rPr>
      </w:pPr>
      <w:r>
        <w:rPr>
          <w:rFonts w:asciiTheme="majorHAnsi" w:hAnsiTheme="majorHAnsi" w:cstheme="minorHAnsi"/>
          <w:lang w:val="en"/>
        </w:rPr>
        <w:t xml:space="preserve">Sterile, </w:t>
      </w:r>
      <w:r w:rsidR="007572E3">
        <w:rPr>
          <w:rFonts w:asciiTheme="majorHAnsi" w:hAnsiTheme="majorHAnsi" w:cstheme="minorHAnsi"/>
          <w:lang w:val="en"/>
        </w:rPr>
        <w:t xml:space="preserve">non-pyrogenic, </w:t>
      </w:r>
      <w:r>
        <w:rPr>
          <w:rFonts w:asciiTheme="majorHAnsi" w:hAnsiTheme="majorHAnsi" w:cstheme="minorHAnsi"/>
          <w:lang w:val="en"/>
        </w:rPr>
        <w:t>preservative</w:t>
      </w:r>
      <w:r w:rsidR="005843FA">
        <w:rPr>
          <w:rFonts w:asciiTheme="majorHAnsi" w:hAnsiTheme="majorHAnsi" w:cstheme="minorHAnsi"/>
          <w:lang w:val="en"/>
        </w:rPr>
        <w:t xml:space="preserve"> free</w:t>
      </w:r>
      <w:r>
        <w:rPr>
          <w:rFonts w:asciiTheme="majorHAnsi" w:hAnsiTheme="majorHAnsi" w:cstheme="minorHAnsi"/>
          <w:lang w:val="en"/>
        </w:rPr>
        <w:t>, clear colourless to slightly yellow solution free of visible particles.</w:t>
      </w:r>
    </w:p>
    <w:p w14:paraId="2AC9B967" w14:textId="77777777" w:rsidR="007847F9" w:rsidRDefault="007847F9">
      <w:pPr>
        <w:rPr>
          <w:rFonts w:asciiTheme="majorHAnsi" w:eastAsiaTheme="majorEastAsia" w:hAnsiTheme="majorHAnsi" w:cstheme="majorBidi"/>
          <w:b/>
          <w:bCs/>
          <w:caps/>
          <w:sz w:val="28"/>
          <w:szCs w:val="28"/>
        </w:rPr>
      </w:pPr>
      <w:r>
        <w:br w:type="page"/>
      </w:r>
    </w:p>
    <w:p w14:paraId="5CCFE043" w14:textId="2A9C2E76" w:rsidR="001A3992" w:rsidRPr="00013A95" w:rsidRDefault="001A3992" w:rsidP="001A3992">
      <w:pPr>
        <w:pStyle w:val="Heading1"/>
        <w:spacing w:before="0" w:after="120"/>
      </w:pPr>
      <w:r w:rsidRPr="00013A95">
        <w:lastRenderedPageBreak/>
        <w:t>Clinical particulars</w:t>
      </w:r>
      <w:fldSimple w:instr="DOCVARIABLE VAULT_ND_be0568cc-0a5e-4352-b5a6-4f65806ab31b \* MERGEFORMAT">
        <w:r w:rsidR="0012736B" w:rsidRPr="00013A95">
          <w:t xml:space="preserve"> </w:t>
        </w:r>
      </w:fldSimple>
    </w:p>
    <w:p w14:paraId="2DDB54F7" w14:textId="7BD217FF" w:rsidR="001A3992" w:rsidRDefault="001A3992" w:rsidP="001A3992">
      <w:pPr>
        <w:pStyle w:val="Heading2"/>
        <w:spacing w:before="0" w:after="120"/>
      </w:pPr>
      <w:r>
        <w:t>Therapeutic indications</w:t>
      </w:r>
      <w:fldSimple w:instr="DOCVARIABLE vault_nd_0ae0a67b-3360-4d10-9f7f-4421990e060f \* MERGEFORMAT">
        <w:r w:rsidR="0012736B">
          <w:t xml:space="preserve"> </w:t>
        </w:r>
      </w:fldSimple>
    </w:p>
    <w:p w14:paraId="3018DDB8" w14:textId="44A3ADD6" w:rsidR="004C0940" w:rsidDel="002A6AC0" w:rsidRDefault="004C0940" w:rsidP="004C0940">
      <w:pPr>
        <w:rPr>
          <w:rFonts w:asciiTheme="majorHAnsi" w:hAnsiTheme="majorHAnsi"/>
          <w:lang w:val="en"/>
        </w:rPr>
      </w:pPr>
      <w:r w:rsidRPr="6706AF4B">
        <w:rPr>
          <w:rFonts w:asciiTheme="majorHAnsi" w:hAnsiTheme="majorHAnsi"/>
          <w:lang w:val="en"/>
        </w:rPr>
        <w:t>OMVOH is indicated for the treatment of moderate</w:t>
      </w:r>
      <w:r w:rsidR="00C0376B" w:rsidRPr="6706AF4B">
        <w:rPr>
          <w:rFonts w:asciiTheme="majorHAnsi" w:hAnsiTheme="majorHAnsi"/>
          <w:lang w:val="en"/>
        </w:rPr>
        <w:t>ly</w:t>
      </w:r>
      <w:r w:rsidRPr="6706AF4B">
        <w:rPr>
          <w:rFonts w:asciiTheme="majorHAnsi" w:hAnsiTheme="majorHAnsi"/>
          <w:lang w:val="en"/>
        </w:rPr>
        <w:t xml:space="preserve"> to severe</w:t>
      </w:r>
      <w:r w:rsidR="00C0376B" w:rsidRPr="6706AF4B">
        <w:rPr>
          <w:rFonts w:asciiTheme="majorHAnsi" w:hAnsiTheme="majorHAnsi"/>
          <w:lang w:val="en"/>
        </w:rPr>
        <w:t>ly active</w:t>
      </w:r>
      <w:r w:rsidR="003F26DB" w:rsidRPr="6706AF4B">
        <w:rPr>
          <w:rFonts w:asciiTheme="majorHAnsi" w:hAnsiTheme="majorHAnsi"/>
          <w:lang w:val="en"/>
        </w:rPr>
        <w:t xml:space="preserve"> ulcerative colitis</w:t>
      </w:r>
      <w:r w:rsidR="00084BEB" w:rsidRPr="6706AF4B">
        <w:rPr>
          <w:rFonts w:asciiTheme="majorHAnsi" w:hAnsiTheme="majorHAnsi"/>
          <w:lang w:val="en"/>
        </w:rPr>
        <w:t xml:space="preserve"> </w:t>
      </w:r>
      <w:r w:rsidR="009344DC" w:rsidRPr="6706AF4B">
        <w:rPr>
          <w:rFonts w:asciiTheme="majorHAnsi" w:hAnsiTheme="majorHAnsi"/>
          <w:lang w:val="en"/>
        </w:rPr>
        <w:t xml:space="preserve">(UC) </w:t>
      </w:r>
      <w:r w:rsidR="00084BEB" w:rsidRPr="6706AF4B">
        <w:rPr>
          <w:rFonts w:asciiTheme="majorHAnsi" w:hAnsiTheme="majorHAnsi"/>
          <w:lang w:val="en"/>
        </w:rPr>
        <w:t xml:space="preserve">in </w:t>
      </w:r>
      <w:r w:rsidR="0029275A">
        <w:rPr>
          <w:rFonts w:asciiTheme="majorHAnsi" w:hAnsiTheme="majorHAnsi"/>
          <w:lang w:val="en"/>
        </w:rPr>
        <w:t xml:space="preserve">adult </w:t>
      </w:r>
      <w:r w:rsidR="00084BEB" w:rsidRPr="6706AF4B">
        <w:rPr>
          <w:rFonts w:asciiTheme="majorHAnsi" w:hAnsiTheme="majorHAnsi"/>
          <w:lang w:val="en"/>
        </w:rPr>
        <w:t xml:space="preserve">patients who have had </w:t>
      </w:r>
      <w:r w:rsidR="00B45D8E" w:rsidRPr="6706AF4B">
        <w:rPr>
          <w:rFonts w:asciiTheme="majorHAnsi" w:hAnsiTheme="majorHAnsi"/>
          <w:lang w:val="en"/>
        </w:rPr>
        <w:t xml:space="preserve">an inadequate response </w:t>
      </w:r>
      <w:r w:rsidR="005815D8" w:rsidRPr="6706AF4B">
        <w:rPr>
          <w:rFonts w:asciiTheme="majorHAnsi" w:hAnsiTheme="majorHAnsi"/>
          <w:lang w:val="en"/>
        </w:rPr>
        <w:t>with, lost response to, or were intolerant to</w:t>
      </w:r>
      <w:r w:rsidR="00B45D8E" w:rsidRPr="6706AF4B">
        <w:rPr>
          <w:rFonts w:asciiTheme="majorHAnsi" w:hAnsiTheme="majorHAnsi"/>
          <w:lang w:val="en"/>
        </w:rPr>
        <w:t xml:space="preserve"> conventional therapy</w:t>
      </w:r>
      <w:r w:rsidR="00DC0951" w:rsidRPr="6706AF4B">
        <w:rPr>
          <w:rFonts w:asciiTheme="majorHAnsi" w:hAnsiTheme="majorHAnsi"/>
          <w:lang w:val="en"/>
        </w:rPr>
        <w:t xml:space="preserve"> or a biologic</w:t>
      </w:r>
      <w:r w:rsidR="00714BAC">
        <w:rPr>
          <w:rFonts w:asciiTheme="majorHAnsi" w:hAnsiTheme="majorHAnsi"/>
          <w:lang w:val="en"/>
        </w:rPr>
        <w:t>al</w:t>
      </w:r>
      <w:r w:rsidR="00DC0951" w:rsidRPr="6706AF4B">
        <w:rPr>
          <w:rFonts w:asciiTheme="majorHAnsi" w:hAnsiTheme="majorHAnsi"/>
          <w:lang w:val="en"/>
        </w:rPr>
        <w:t xml:space="preserve"> </w:t>
      </w:r>
      <w:r w:rsidR="006F59E3">
        <w:rPr>
          <w:rFonts w:asciiTheme="majorHAnsi" w:hAnsiTheme="majorHAnsi"/>
          <w:lang w:val="en"/>
        </w:rPr>
        <w:t>medicine</w:t>
      </w:r>
      <w:r w:rsidR="003763AA" w:rsidRPr="6706AF4B">
        <w:rPr>
          <w:rFonts w:asciiTheme="majorHAnsi" w:hAnsiTheme="majorHAnsi"/>
          <w:lang w:val="en"/>
        </w:rPr>
        <w:t>, or have medical contraindications to such therapies</w:t>
      </w:r>
      <w:r w:rsidR="00034D8A" w:rsidRPr="6706AF4B">
        <w:rPr>
          <w:rFonts w:asciiTheme="majorHAnsi" w:hAnsiTheme="majorHAnsi"/>
          <w:lang w:val="en"/>
        </w:rPr>
        <w:t>.</w:t>
      </w:r>
    </w:p>
    <w:p w14:paraId="52574D6A" w14:textId="3BB8938C" w:rsidR="001A3992" w:rsidRDefault="001A3992" w:rsidP="001A3992">
      <w:pPr>
        <w:pStyle w:val="Heading2"/>
        <w:spacing w:before="0" w:after="120"/>
      </w:pPr>
      <w:bookmarkStart w:id="1" w:name="_Ref101456465"/>
      <w:r>
        <w:t>Dose and method of administration</w:t>
      </w:r>
      <w:bookmarkEnd w:id="1"/>
      <w:r w:rsidR="0012736B">
        <w:fldChar w:fldCharType="begin"/>
      </w:r>
      <w:r w:rsidR="0012736B">
        <w:instrText xml:space="preserve"> DOCVARIABLE vault_nd_7dd71871-3e78-4b4a-9eb8-34ae763948ef \* MERGEFORMAT </w:instrText>
      </w:r>
      <w:r w:rsidR="0012736B">
        <w:fldChar w:fldCharType="separate"/>
      </w:r>
      <w:r w:rsidR="0012736B">
        <w:t xml:space="preserve"> </w:t>
      </w:r>
      <w:r w:rsidR="0012736B">
        <w:fldChar w:fldCharType="end"/>
      </w:r>
    </w:p>
    <w:p w14:paraId="2FF84B7A" w14:textId="6B9B1FAB" w:rsidR="0042515A" w:rsidRPr="00B237B5" w:rsidRDefault="00C20ED8" w:rsidP="00922892">
      <w:pPr>
        <w:rPr>
          <w:rFonts w:asciiTheme="majorHAnsi" w:hAnsiTheme="majorHAnsi" w:cstheme="minorHAnsi"/>
          <w:lang w:val="en"/>
        </w:rPr>
      </w:pPr>
      <w:r>
        <w:rPr>
          <w:rFonts w:asciiTheme="majorHAnsi" w:hAnsiTheme="majorHAnsi" w:cstheme="minorHAnsi"/>
          <w:lang w:val="en"/>
        </w:rPr>
        <w:t xml:space="preserve">Therapy with </w:t>
      </w:r>
      <w:r w:rsidR="00B237B5" w:rsidRPr="00B237B5">
        <w:rPr>
          <w:rFonts w:asciiTheme="majorHAnsi" w:hAnsiTheme="majorHAnsi" w:cstheme="minorHAnsi"/>
          <w:lang w:val="en"/>
        </w:rPr>
        <w:t>O</w:t>
      </w:r>
      <w:r w:rsidR="00B237B5">
        <w:rPr>
          <w:rFonts w:asciiTheme="majorHAnsi" w:hAnsiTheme="majorHAnsi" w:cstheme="minorHAnsi"/>
          <w:lang w:val="en"/>
        </w:rPr>
        <w:t>MVOH</w:t>
      </w:r>
      <w:r w:rsidR="00B237B5" w:rsidRPr="00B237B5">
        <w:rPr>
          <w:rFonts w:asciiTheme="majorHAnsi" w:hAnsiTheme="majorHAnsi" w:cstheme="minorHAnsi"/>
          <w:lang w:val="en"/>
        </w:rPr>
        <w:t xml:space="preserve"> is intended for use under the guidance and supervision of a </w:t>
      </w:r>
      <w:r w:rsidR="00E9247B">
        <w:rPr>
          <w:rFonts w:asciiTheme="majorHAnsi" w:hAnsiTheme="majorHAnsi" w:cstheme="minorHAnsi"/>
          <w:lang w:val="en"/>
        </w:rPr>
        <w:t>healthcare</w:t>
      </w:r>
      <w:r w:rsidR="00907549">
        <w:rPr>
          <w:rFonts w:asciiTheme="majorHAnsi" w:hAnsiTheme="majorHAnsi" w:cstheme="minorHAnsi"/>
          <w:lang w:val="en"/>
        </w:rPr>
        <w:t xml:space="preserve"> professional</w:t>
      </w:r>
      <w:r w:rsidR="00E9247B" w:rsidRPr="00B237B5">
        <w:rPr>
          <w:rFonts w:asciiTheme="majorHAnsi" w:hAnsiTheme="majorHAnsi" w:cstheme="minorHAnsi"/>
          <w:lang w:val="en"/>
        </w:rPr>
        <w:t xml:space="preserve"> </w:t>
      </w:r>
      <w:r w:rsidR="00B237B5" w:rsidRPr="00B237B5">
        <w:rPr>
          <w:rFonts w:asciiTheme="majorHAnsi" w:hAnsiTheme="majorHAnsi" w:cstheme="minorHAnsi"/>
          <w:lang w:val="en"/>
        </w:rPr>
        <w:t>experienced in the diagnosis and treatment of ulcerative colitis.</w:t>
      </w:r>
    </w:p>
    <w:p w14:paraId="486BDC33" w14:textId="395C9621" w:rsidR="00922892" w:rsidRPr="00897980" w:rsidRDefault="009E672D" w:rsidP="00922892">
      <w:pPr>
        <w:rPr>
          <w:rFonts w:asciiTheme="majorHAnsi" w:hAnsiTheme="majorHAnsi" w:cstheme="minorHAnsi"/>
          <w:u w:val="single"/>
          <w:lang w:val="en"/>
        </w:rPr>
      </w:pPr>
      <w:r w:rsidRPr="00897980">
        <w:rPr>
          <w:rFonts w:asciiTheme="majorHAnsi" w:hAnsiTheme="majorHAnsi" w:cstheme="minorHAnsi"/>
          <w:u w:val="single"/>
          <w:lang w:val="en"/>
        </w:rPr>
        <w:t xml:space="preserve">Prior </w:t>
      </w:r>
      <w:r w:rsidR="00897980" w:rsidRPr="00897980">
        <w:rPr>
          <w:rFonts w:asciiTheme="majorHAnsi" w:hAnsiTheme="majorHAnsi" w:cstheme="minorHAnsi"/>
          <w:u w:val="single"/>
          <w:lang w:val="en"/>
        </w:rPr>
        <w:t>to Administration of OMVOH</w:t>
      </w:r>
    </w:p>
    <w:p w14:paraId="44F3751A" w14:textId="0BCDE55F" w:rsidR="00223BE8" w:rsidRPr="007153DE" w:rsidRDefault="00223BE8" w:rsidP="00223BE8">
      <w:pPr>
        <w:rPr>
          <w:rFonts w:asciiTheme="majorHAnsi" w:hAnsiTheme="majorHAnsi" w:cstheme="minorHAnsi"/>
          <w:lang w:val="en"/>
        </w:rPr>
      </w:pPr>
      <w:r w:rsidRPr="007153DE">
        <w:rPr>
          <w:rFonts w:asciiTheme="majorHAnsi" w:hAnsiTheme="majorHAnsi" w:cstheme="minorHAnsi"/>
          <w:lang w:val="en"/>
        </w:rPr>
        <w:t>Consider completion of all immuni</w:t>
      </w:r>
      <w:r w:rsidR="00142D01" w:rsidRPr="007153DE">
        <w:rPr>
          <w:rFonts w:asciiTheme="majorHAnsi" w:hAnsiTheme="majorHAnsi" w:cstheme="minorHAnsi"/>
          <w:lang w:val="en"/>
        </w:rPr>
        <w:t>s</w:t>
      </w:r>
      <w:r w:rsidRPr="007153DE">
        <w:rPr>
          <w:rFonts w:asciiTheme="majorHAnsi" w:hAnsiTheme="majorHAnsi" w:cstheme="minorHAnsi"/>
          <w:lang w:val="en"/>
        </w:rPr>
        <w:t>ations according to current immuni</w:t>
      </w:r>
      <w:r w:rsidR="00142D01" w:rsidRPr="007153DE">
        <w:rPr>
          <w:rFonts w:asciiTheme="majorHAnsi" w:hAnsiTheme="majorHAnsi" w:cstheme="minorHAnsi"/>
          <w:lang w:val="en"/>
        </w:rPr>
        <w:t>s</w:t>
      </w:r>
      <w:r w:rsidRPr="007153DE">
        <w:rPr>
          <w:rFonts w:asciiTheme="majorHAnsi" w:hAnsiTheme="majorHAnsi" w:cstheme="minorHAnsi"/>
          <w:lang w:val="en"/>
        </w:rPr>
        <w:t xml:space="preserve">ation guidelines </w:t>
      </w:r>
      <w:r w:rsidR="002D105A" w:rsidRPr="007153DE">
        <w:rPr>
          <w:rFonts w:asciiTheme="majorHAnsi" w:hAnsiTheme="majorHAnsi" w:cstheme="minorHAnsi"/>
          <w:lang w:val="en"/>
        </w:rPr>
        <w:t>(</w:t>
      </w:r>
      <w:r w:rsidRPr="007153DE">
        <w:rPr>
          <w:rFonts w:asciiTheme="majorHAnsi" w:hAnsiTheme="majorHAnsi" w:cstheme="minorHAnsi"/>
          <w:lang w:val="en"/>
        </w:rPr>
        <w:t xml:space="preserve">see </w:t>
      </w:r>
      <w:r w:rsidR="00530237" w:rsidRPr="007153DE">
        <w:rPr>
          <w:rFonts w:asciiTheme="majorHAnsi" w:hAnsiTheme="majorHAnsi" w:cstheme="minorHAnsi"/>
          <w:lang w:val="en"/>
        </w:rPr>
        <w:t xml:space="preserve">Section </w:t>
      </w:r>
      <w:r w:rsidR="00B1378E" w:rsidRPr="001A46B1">
        <w:rPr>
          <w:rFonts w:asciiTheme="majorHAnsi" w:hAnsiTheme="majorHAnsi" w:cstheme="minorHAnsi"/>
          <w:color w:val="0000FF"/>
          <w:shd w:val="clear" w:color="auto" w:fill="E6E6E6"/>
          <w:lang w:val="en"/>
        </w:rPr>
        <w:fldChar w:fldCharType="begin"/>
      </w:r>
      <w:r w:rsidR="00B1378E" w:rsidRPr="001A46B1">
        <w:rPr>
          <w:rFonts w:asciiTheme="majorHAnsi" w:hAnsiTheme="majorHAnsi" w:cstheme="minorHAnsi"/>
          <w:color w:val="0000FF"/>
          <w:lang w:val="en"/>
        </w:rPr>
        <w:instrText xml:space="preserve"> REF _Ref101456234 \w \h </w:instrText>
      </w:r>
      <w:r w:rsidR="007153DE" w:rsidRPr="001A46B1">
        <w:rPr>
          <w:rFonts w:asciiTheme="majorHAnsi" w:hAnsiTheme="majorHAnsi" w:cstheme="minorHAnsi"/>
          <w:color w:val="0000FF"/>
          <w:lang w:val="en"/>
        </w:rPr>
        <w:instrText xml:space="preserve"> \* MERGEFORMAT </w:instrText>
      </w:r>
      <w:r w:rsidR="00B1378E" w:rsidRPr="001A46B1">
        <w:rPr>
          <w:rFonts w:asciiTheme="majorHAnsi" w:hAnsiTheme="majorHAnsi" w:cstheme="minorHAnsi"/>
          <w:color w:val="0000FF"/>
          <w:shd w:val="clear" w:color="auto" w:fill="E6E6E6"/>
          <w:lang w:val="en"/>
        </w:rPr>
      </w:r>
      <w:r w:rsidR="00B1378E" w:rsidRPr="001A46B1">
        <w:rPr>
          <w:rFonts w:asciiTheme="majorHAnsi" w:hAnsiTheme="majorHAnsi" w:cstheme="minorHAnsi"/>
          <w:color w:val="0000FF"/>
          <w:shd w:val="clear" w:color="auto" w:fill="E6E6E6"/>
          <w:lang w:val="en"/>
        </w:rPr>
        <w:fldChar w:fldCharType="separate"/>
      </w:r>
      <w:r w:rsidR="00B1378E" w:rsidRPr="001A46B1">
        <w:rPr>
          <w:rFonts w:asciiTheme="majorHAnsi" w:hAnsiTheme="majorHAnsi" w:cstheme="minorHAnsi"/>
          <w:color w:val="0000FF"/>
          <w:lang w:val="en"/>
        </w:rPr>
        <w:t>4.4</w:t>
      </w:r>
      <w:r w:rsidR="00B1378E" w:rsidRPr="001A46B1">
        <w:rPr>
          <w:rFonts w:asciiTheme="majorHAnsi" w:hAnsiTheme="majorHAnsi" w:cstheme="minorHAnsi"/>
          <w:color w:val="0000FF"/>
          <w:shd w:val="clear" w:color="auto" w:fill="E6E6E6"/>
          <w:lang w:val="en"/>
        </w:rPr>
        <w:fldChar w:fldCharType="end"/>
      </w:r>
      <w:r w:rsidR="00530237" w:rsidRPr="001A46B1">
        <w:rPr>
          <w:rFonts w:asciiTheme="majorHAnsi" w:hAnsiTheme="majorHAnsi" w:cstheme="minorHAnsi"/>
          <w:color w:val="0000FF"/>
          <w:lang w:val="en"/>
        </w:rPr>
        <w:t xml:space="preserve"> </w:t>
      </w:r>
      <w:r w:rsidR="00073082" w:rsidRPr="001A46B1">
        <w:rPr>
          <w:rFonts w:asciiTheme="majorHAnsi" w:hAnsiTheme="majorHAnsi" w:cstheme="minorHAnsi"/>
          <w:color w:val="0000FF"/>
          <w:shd w:val="clear" w:color="auto" w:fill="E6E6E6"/>
          <w:lang w:val="en"/>
        </w:rPr>
        <w:fldChar w:fldCharType="begin"/>
      </w:r>
      <w:r w:rsidR="00073082" w:rsidRPr="001A46B1">
        <w:rPr>
          <w:rFonts w:asciiTheme="majorHAnsi" w:hAnsiTheme="majorHAnsi" w:cstheme="minorHAnsi"/>
          <w:color w:val="0000FF"/>
          <w:lang w:val="en"/>
        </w:rPr>
        <w:instrText xml:space="preserve"> REF _Ref101456234 \h </w:instrText>
      </w:r>
      <w:r w:rsidR="00530237" w:rsidRPr="001A46B1">
        <w:rPr>
          <w:rFonts w:asciiTheme="majorHAnsi" w:hAnsiTheme="majorHAnsi" w:cstheme="minorHAnsi"/>
          <w:color w:val="0000FF"/>
          <w:lang w:val="en"/>
        </w:rPr>
        <w:instrText xml:space="preserve"> \* MERGEFORMAT </w:instrText>
      </w:r>
      <w:r w:rsidR="00073082" w:rsidRPr="001A46B1">
        <w:rPr>
          <w:rFonts w:asciiTheme="majorHAnsi" w:hAnsiTheme="majorHAnsi" w:cstheme="minorHAnsi"/>
          <w:color w:val="0000FF"/>
          <w:shd w:val="clear" w:color="auto" w:fill="E6E6E6"/>
          <w:lang w:val="en"/>
        </w:rPr>
      </w:r>
      <w:r w:rsidR="00073082" w:rsidRPr="001A46B1">
        <w:rPr>
          <w:rFonts w:asciiTheme="majorHAnsi" w:hAnsiTheme="majorHAnsi" w:cstheme="minorHAnsi"/>
          <w:color w:val="0000FF"/>
          <w:shd w:val="clear" w:color="auto" w:fill="E6E6E6"/>
          <w:lang w:val="en"/>
        </w:rPr>
        <w:fldChar w:fldCharType="separate"/>
      </w:r>
      <w:r w:rsidR="00073082" w:rsidRPr="001A46B1">
        <w:rPr>
          <w:rFonts w:ascii="Cambria" w:hAnsi="Cambria"/>
          <w:color w:val="0000FF"/>
        </w:rPr>
        <w:t>Special warnings and precautions for use</w:t>
      </w:r>
      <w:r w:rsidR="00073082" w:rsidRPr="001A46B1">
        <w:rPr>
          <w:rFonts w:asciiTheme="majorHAnsi" w:hAnsiTheme="majorHAnsi" w:cstheme="minorHAnsi"/>
          <w:color w:val="0000FF"/>
          <w:shd w:val="clear" w:color="auto" w:fill="E6E6E6"/>
          <w:lang w:val="en"/>
        </w:rPr>
        <w:fldChar w:fldCharType="end"/>
      </w:r>
      <w:r w:rsidR="002D105A" w:rsidRPr="007153DE">
        <w:rPr>
          <w:rFonts w:asciiTheme="majorHAnsi" w:hAnsiTheme="majorHAnsi" w:cstheme="minorHAnsi"/>
          <w:lang w:val="en"/>
        </w:rPr>
        <w:t>)</w:t>
      </w:r>
      <w:r w:rsidRPr="007153DE">
        <w:rPr>
          <w:rFonts w:asciiTheme="majorHAnsi" w:hAnsiTheme="majorHAnsi" w:cstheme="minorHAnsi"/>
          <w:lang w:val="en"/>
        </w:rPr>
        <w:t>.</w:t>
      </w:r>
    </w:p>
    <w:p w14:paraId="2F247CED" w14:textId="2F114604" w:rsidR="00897980" w:rsidRDefault="00223BE8" w:rsidP="00223BE8">
      <w:pPr>
        <w:rPr>
          <w:rFonts w:asciiTheme="majorHAnsi" w:hAnsiTheme="majorHAnsi" w:cstheme="minorHAnsi"/>
          <w:lang w:val="en"/>
        </w:rPr>
      </w:pPr>
      <w:r w:rsidRPr="007153DE">
        <w:rPr>
          <w:rFonts w:asciiTheme="majorHAnsi" w:hAnsiTheme="majorHAnsi" w:cstheme="minorHAnsi"/>
          <w:lang w:val="en"/>
        </w:rPr>
        <w:t xml:space="preserve">Evaluate patients for tuberculosis (TB) infection prior to initiating treatment with OMVOH </w:t>
      </w:r>
      <w:r w:rsidR="002D105A" w:rsidRPr="007153DE">
        <w:rPr>
          <w:rFonts w:asciiTheme="majorHAnsi" w:hAnsiTheme="majorHAnsi" w:cstheme="minorHAnsi"/>
          <w:lang w:val="en"/>
        </w:rPr>
        <w:t xml:space="preserve">(see Section </w:t>
      </w:r>
      <w:r w:rsidR="00A40EB5" w:rsidRPr="001A46B1">
        <w:rPr>
          <w:rFonts w:asciiTheme="majorHAnsi" w:hAnsiTheme="majorHAnsi" w:cstheme="minorHAnsi"/>
          <w:color w:val="0000FF"/>
          <w:lang w:val="en"/>
        </w:rPr>
        <w:fldChar w:fldCharType="begin"/>
      </w:r>
      <w:r w:rsidR="00A40EB5" w:rsidRPr="001A46B1">
        <w:rPr>
          <w:rFonts w:asciiTheme="majorHAnsi" w:hAnsiTheme="majorHAnsi" w:cstheme="minorHAnsi"/>
          <w:color w:val="0000FF"/>
          <w:lang w:val="en"/>
        </w:rPr>
        <w:instrText xml:space="preserve"> REF _Ref122502211 \r \h </w:instrText>
      </w:r>
      <w:r w:rsidR="00A40EB5" w:rsidRPr="001A46B1">
        <w:rPr>
          <w:rFonts w:asciiTheme="majorHAnsi" w:hAnsiTheme="majorHAnsi" w:cstheme="minorHAnsi"/>
          <w:color w:val="0000FF"/>
          <w:lang w:val="en"/>
        </w:rPr>
      </w:r>
      <w:r w:rsidR="00A40EB5" w:rsidRPr="001A46B1">
        <w:rPr>
          <w:rFonts w:asciiTheme="majorHAnsi" w:hAnsiTheme="majorHAnsi" w:cstheme="minorHAnsi"/>
          <w:color w:val="0000FF"/>
          <w:lang w:val="en"/>
        </w:rPr>
        <w:fldChar w:fldCharType="separate"/>
      </w:r>
      <w:r w:rsidR="00A40EB5" w:rsidRPr="001A46B1">
        <w:rPr>
          <w:rFonts w:asciiTheme="majorHAnsi" w:hAnsiTheme="majorHAnsi" w:cstheme="minorHAnsi"/>
          <w:color w:val="0000FF"/>
          <w:lang w:val="en"/>
        </w:rPr>
        <w:t>4.4</w:t>
      </w:r>
      <w:r w:rsidR="00A40EB5" w:rsidRPr="001A46B1">
        <w:rPr>
          <w:rFonts w:asciiTheme="majorHAnsi" w:hAnsiTheme="majorHAnsi" w:cstheme="minorHAnsi"/>
          <w:color w:val="0000FF"/>
          <w:lang w:val="en"/>
        </w:rPr>
        <w:fldChar w:fldCharType="end"/>
      </w:r>
      <w:r w:rsidR="00530237" w:rsidRPr="001A46B1">
        <w:rPr>
          <w:rFonts w:asciiTheme="majorHAnsi" w:hAnsiTheme="majorHAnsi" w:cstheme="minorHAnsi"/>
          <w:color w:val="0000FF"/>
          <w:lang w:val="en"/>
        </w:rPr>
        <w:t xml:space="preserve"> </w:t>
      </w:r>
      <w:r w:rsidR="00530237" w:rsidRPr="001A46B1">
        <w:rPr>
          <w:rFonts w:ascii="Cambria" w:hAnsi="Cambria" w:cstheme="minorHAnsi"/>
          <w:color w:val="0000FF"/>
          <w:shd w:val="clear" w:color="auto" w:fill="E6E6E6"/>
          <w:lang w:val="en"/>
        </w:rPr>
        <w:fldChar w:fldCharType="begin"/>
      </w:r>
      <w:r w:rsidR="00530237" w:rsidRPr="001A46B1">
        <w:rPr>
          <w:rFonts w:ascii="Cambria" w:hAnsi="Cambria" w:cstheme="minorHAnsi"/>
          <w:color w:val="0000FF"/>
          <w:lang w:val="en"/>
        </w:rPr>
        <w:instrText xml:space="preserve"> REF _Ref101456234 \h </w:instrText>
      </w:r>
      <w:r w:rsidR="00096DF4" w:rsidRPr="001A46B1">
        <w:rPr>
          <w:rFonts w:ascii="Cambria" w:hAnsi="Cambria" w:cstheme="minorHAnsi"/>
          <w:color w:val="0000FF"/>
          <w:lang w:val="en"/>
        </w:rPr>
        <w:instrText xml:space="preserve"> \* MERGEFORMAT </w:instrText>
      </w:r>
      <w:r w:rsidR="00530237" w:rsidRPr="001A46B1">
        <w:rPr>
          <w:rFonts w:ascii="Cambria" w:hAnsi="Cambria" w:cstheme="minorHAnsi"/>
          <w:color w:val="0000FF"/>
          <w:shd w:val="clear" w:color="auto" w:fill="E6E6E6"/>
          <w:lang w:val="en"/>
        </w:rPr>
      </w:r>
      <w:r w:rsidR="00530237" w:rsidRPr="001A46B1">
        <w:rPr>
          <w:rFonts w:ascii="Cambria" w:hAnsi="Cambria" w:cstheme="minorHAnsi"/>
          <w:color w:val="0000FF"/>
          <w:shd w:val="clear" w:color="auto" w:fill="E6E6E6"/>
          <w:lang w:val="en"/>
        </w:rPr>
        <w:fldChar w:fldCharType="separate"/>
      </w:r>
      <w:r w:rsidR="00530237" w:rsidRPr="001A46B1">
        <w:rPr>
          <w:rFonts w:ascii="Cambria" w:hAnsi="Cambria"/>
          <w:color w:val="0000FF"/>
        </w:rPr>
        <w:t>Special warnings and precautions for use</w:t>
      </w:r>
      <w:r w:rsidR="00530237" w:rsidRPr="001A46B1">
        <w:rPr>
          <w:rFonts w:ascii="Cambria" w:hAnsi="Cambria" w:cstheme="minorHAnsi"/>
          <w:color w:val="0000FF"/>
          <w:shd w:val="clear" w:color="auto" w:fill="E6E6E6"/>
          <w:lang w:val="en"/>
        </w:rPr>
        <w:fldChar w:fldCharType="end"/>
      </w:r>
      <w:r w:rsidR="002D105A" w:rsidRPr="007153DE">
        <w:rPr>
          <w:rFonts w:asciiTheme="majorHAnsi" w:hAnsiTheme="majorHAnsi" w:cstheme="minorHAnsi"/>
          <w:lang w:val="en"/>
        </w:rPr>
        <w:t>)</w:t>
      </w:r>
      <w:r w:rsidRPr="007153DE">
        <w:rPr>
          <w:rFonts w:asciiTheme="majorHAnsi" w:hAnsiTheme="majorHAnsi" w:cstheme="minorHAnsi"/>
          <w:lang w:val="en"/>
        </w:rPr>
        <w:t>.</w:t>
      </w:r>
    </w:p>
    <w:p w14:paraId="5F91C7A1" w14:textId="3081D3EB" w:rsidR="003961E8" w:rsidRPr="00DA19B7" w:rsidRDefault="00DA19B7" w:rsidP="00307B9D">
      <w:pPr>
        <w:rPr>
          <w:rFonts w:asciiTheme="majorHAnsi" w:hAnsiTheme="majorHAnsi" w:cstheme="minorHAnsi"/>
          <w:b/>
          <w:bCs/>
          <w:u w:val="single"/>
          <w:lang w:val="en"/>
        </w:rPr>
      </w:pPr>
      <w:r>
        <w:rPr>
          <w:rFonts w:asciiTheme="majorHAnsi" w:hAnsiTheme="majorHAnsi" w:cstheme="minorHAnsi"/>
          <w:b/>
          <w:bCs/>
          <w:u w:val="single"/>
          <w:lang w:val="en"/>
        </w:rPr>
        <w:t>Recommended Dose for Ulcerative Colitis</w:t>
      </w:r>
    </w:p>
    <w:p w14:paraId="35B06A71" w14:textId="09756A5E" w:rsidR="00352DE2" w:rsidRPr="00352DE2" w:rsidRDefault="00352DE2" w:rsidP="00307B9D">
      <w:pPr>
        <w:rPr>
          <w:rFonts w:asciiTheme="majorHAnsi" w:hAnsiTheme="majorHAnsi" w:cstheme="minorHAnsi"/>
          <w:lang w:val="en"/>
        </w:rPr>
      </w:pPr>
      <w:r>
        <w:rPr>
          <w:rFonts w:asciiTheme="majorHAnsi" w:hAnsiTheme="majorHAnsi" w:cstheme="minorHAnsi"/>
          <w:lang w:val="en"/>
        </w:rPr>
        <w:t xml:space="preserve">OMVOH is single use only. Use in one patient on one occasion only. </w:t>
      </w:r>
      <w:r w:rsidR="00767FC9">
        <w:rPr>
          <w:rFonts w:asciiTheme="majorHAnsi" w:hAnsiTheme="majorHAnsi" w:cstheme="minorHAnsi"/>
          <w:lang w:val="en"/>
        </w:rPr>
        <w:t>It c</w:t>
      </w:r>
      <w:r>
        <w:rPr>
          <w:rFonts w:asciiTheme="majorHAnsi" w:hAnsiTheme="majorHAnsi" w:cstheme="minorHAnsi"/>
          <w:lang w:val="en"/>
        </w:rPr>
        <w:t>ontains no antimicrobial preservative.</w:t>
      </w:r>
    </w:p>
    <w:p w14:paraId="7C48D6B0" w14:textId="6E7FBE32" w:rsidR="00307B9D" w:rsidRPr="00307B9D" w:rsidRDefault="00307B9D" w:rsidP="00307B9D">
      <w:pPr>
        <w:rPr>
          <w:rFonts w:asciiTheme="majorHAnsi" w:hAnsiTheme="majorHAnsi" w:cstheme="minorHAnsi"/>
          <w:u w:val="single"/>
          <w:lang w:val="en"/>
        </w:rPr>
      </w:pPr>
      <w:r w:rsidRPr="00307B9D">
        <w:rPr>
          <w:rFonts w:asciiTheme="majorHAnsi" w:hAnsiTheme="majorHAnsi" w:cstheme="minorHAnsi"/>
          <w:u w:val="single"/>
          <w:lang w:val="en"/>
        </w:rPr>
        <w:t>Induction Dos</w:t>
      </w:r>
      <w:r w:rsidR="00DA19B7">
        <w:rPr>
          <w:rFonts w:asciiTheme="majorHAnsi" w:hAnsiTheme="majorHAnsi" w:cstheme="minorHAnsi"/>
          <w:u w:val="single"/>
          <w:lang w:val="en"/>
        </w:rPr>
        <w:t>e</w:t>
      </w:r>
    </w:p>
    <w:p w14:paraId="522DA685" w14:textId="45FE4239" w:rsidR="00307B9D" w:rsidRPr="00307B9D" w:rsidRDefault="00307B9D" w:rsidP="00307B9D">
      <w:pPr>
        <w:rPr>
          <w:rFonts w:asciiTheme="majorHAnsi" w:hAnsiTheme="majorHAnsi"/>
          <w:lang w:val="en"/>
        </w:rPr>
      </w:pPr>
      <w:r w:rsidRPr="6706AF4B">
        <w:rPr>
          <w:rFonts w:asciiTheme="majorHAnsi" w:hAnsiTheme="majorHAnsi"/>
          <w:lang w:val="en"/>
        </w:rPr>
        <w:t xml:space="preserve">The recommended induction dosage regimen of OMVOH is 300 mg infused intravenously for at least 30 minutes at Week 0, Week 4, and Week 8 </w:t>
      </w:r>
      <w:r w:rsidR="00E736F2" w:rsidRPr="6706AF4B">
        <w:rPr>
          <w:rFonts w:asciiTheme="majorHAnsi" w:hAnsiTheme="majorHAnsi"/>
          <w:lang w:val="en"/>
        </w:rPr>
        <w:t>(</w:t>
      </w:r>
      <w:r w:rsidRPr="6706AF4B">
        <w:rPr>
          <w:rFonts w:asciiTheme="majorHAnsi" w:hAnsiTheme="majorHAnsi"/>
          <w:lang w:val="en"/>
        </w:rPr>
        <w:t xml:space="preserve">see </w:t>
      </w:r>
      <w:r w:rsidR="00E736F2" w:rsidRPr="6706AF4B">
        <w:rPr>
          <w:rFonts w:asciiTheme="majorHAnsi" w:hAnsiTheme="majorHAnsi"/>
          <w:lang w:val="en"/>
        </w:rPr>
        <w:t xml:space="preserve">Section </w:t>
      </w:r>
      <w:r w:rsidR="006A06C4" w:rsidRPr="001A46B1">
        <w:rPr>
          <w:rFonts w:asciiTheme="majorHAnsi" w:hAnsiTheme="majorHAnsi"/>
          <w:color w:val="0000FF"/>
          <w:lang w:val="en"/>
        </w:rPr>
        <w:fldChar w:fldCharType="begin"/>
      </w:r>
      <w:r w:rsidR="006A06C4" w:rsidRPr="001A46B1">
        <w:rPr>
          <w:rFonts w:asciiTheme="majorHAnsi" w:hAnsiTheme="majorHAnsi"/>
          <w:color w:val="0000FF"/>
          <w:lang w:val="en"/>
        </w:rPr>
        <w:instrText xml:space="preserve"> REF _Ref101456465 \r \h </w:instrText>
      </w:r>
      <w:r w:rsidR="006A06C4" w:rsidRPr="001A46B1">
        <w:rPr>
          <w:rFonts w:asciiTheme="majorHAnsi" w:hAnsiTheme="majorHAnsi"/>
          <w:color w:val="0000FF"/>
          <w:lang w:val="en"/>
        </w:rPr>
      </w:r>
      <w:r w:rsidR="006A06C4" w:rsidRPr="001A46B1">
        <w:rPr>
          <w:rFonts w:asciiTheme="majorHAnsi" w:hAnsiTheme="majorHAnsi"/>
          <w:color w:val="0000FF"/>
          <w:lang w:val="en"/>
        </w:rPr>
        <w:fldChar w:fldCharType="separate"/>
      </w:r>
      <w:r w:rsidR="006A06C4" w:rsidRPr="001A46B1">
        <w:rPr>
          <w:rFonts w:asciiTheme="majorHAnsi" w:hAnsiTheme="majorHAnsi"/>
          <w:color w:val="0000FF"/>
          <w:lang w:val="en"/>
        </w:rPr>
        <w:t>4.2</w:t>
      </w:r>
      <w:r w:rsidR="006A06C4" w:rsidRPr="001A46B1">
        <w:rPr>
          <w:rFonts w:asciiTheme="majorHAnsi" w:hAnsiTheme="majorHAnsi"/>
          <w:color w:val="0000FF"/>
          <w:lang w:val="en"/>
        </w:rPr>
        <w:fldChar w:fldCharType="end"/>
      </w:r>
      <w:r w:rsidR="00781427" w:rsidRPr="001A46B1">
        <w:rPr>
          <w:rFonts w:asciiTheme="majorHAnsi" w:hAnsiTheme="majorHAnsi"/>
          <w:color w:val="0000FF"/>
          <w:lang w:val="en"/>
        </w:rPr>
        <w:t xml:space="preserve"> </w:t>
      </w:r>
      <w:r w:rsidR="00781427" w:rsidRPr="001A46B1">
        <w:rPr>
          <w:rFonts w:ascii="Cambria" w:hAnsi="Cambria"/>
          <w:color w:val="0000FF"/>
          <w:shd w:val="clear" w:color="auto" w:fill="E6E6E6"/>
          <w:lang w:val="en"/>
        </w:rPr>
        <w:fldChar w:fldCharType="begin"/>
      </w:r>
      <w:r w:rsidR="00781427" w:rsidRPr="001A46B1">
        <w:rPr>
          <w:rFonts w:ascii="Cambria" w:hAnsi="Cambria"/>
          <w:color w:val="0000FF"/>
          <w:lang w:val="en"/>
        </w:rPr>
        <w:instrText xml:space="preserve"> REF _Ref101456465 \h  \* MERGEFORMAT </w:instrText>
      </w:r>
      <w:r w:rsidR="00781427" w:rsidRPr="001A46B1">
        <w:rPr>
          <w:rFonts w:ascii="Cambria" w:hAnsi="Cambria"/>
          <w:color w:val="0000FF"/>
          <w:shd w:val="clear" w:color="auto" w:fill="E6E6E6"/>
          <w:lang w:val="en"/>
        </w:rPr>
      </w:r>
      <w:r w:rsidR="00781427" w:rsidRPr="001A46B1">
        <w:rPr>
          <w:rFonts w:ascii="Cambria" w:hAnsi="Cambria"/>
          <w:color w:val="0000FF"/>
          <w:shd w:val="clear" w:color="auto" w:fill="E6E6E6"/>
          <w:lang w:val="en"/>
        </w:rPr>
        <w:fldChar w:fldCharType="separate"/>
      </w:r>
      <w:r w:rsidR="00781427" w:rsidRPr="001A46B1">
        <w:rPr>
          <w:rFonts w:ascii="Cambria" w:hAnsi="Cambria"/>
          <w:color w:val="0000FF"/>
        </w:rPr>
        <w:t>Dose and method of administration</w:t>
      </w:r>
      <w:r w:rsidR="00781427" w:rsidRPr="001A46B1">
        <w:rPr>
          <w:rFonts w:ascii="Cambria" w:hAnsi="Cambria"/>
          <w:color w:val="0000FF"/>
          <w:shd w:val="clear" w:color="auto" w:fill="E6E6E6"/>
          <w:lang w:val="en"/>
        </w:rPr>
        <w:fldChar w:fldCharType="end"/>
      </w:r>
      <w:r w:rsidRPr="6706AF4B">
        <w:rPr>
          <w:rFonts w:asciiTheme="majorHAnsi" w:hAnsiTheme="majorHAnsi"/>
          <w:lang w:val="en"/>
        </w:rPr>
        <w:t>).</w:t>
      </w:r>
    </w:p>
    <w:p w14:paraId="6B01C0CF" w14:textId="5052BE2B" w:rsidR="00307B9D" w:rsidRPr="00307B9D" w:rsidRDefault="00307B9D" w:rsidP="00307B9D">
      <w:pPr>
        <w:rPr>
          <w:rFonts w:asciiTheme="majorHAnsi" w:hAnsiTheme="majorHAnsi"/>
          <w:lang w:val="en"/>
        </w:rPr>
      </w:pPr>
      <w:r w:rsidRPr="6706AF4B">
        <w:rPr>
          <w:rFonts w:asciiTheme="majorHAnsi" w:hAnsiTheme="majorHAnsi"/>
          <w:lang w:val="en"/>
        </w:rPr>
        <w:t xml:space="preserve">Evaluate patients after the 12-week induction dosing, and if there is adequate therapeutic response, transition to maintenance dosing. If patients do not have adequate therapeutic response at Week 12 after induction dosing, consider extended induction dosing by administering 300 mg OMVOH by intravenous infusion at Weeks 12, 16, and 20 </w:t>
      </w:r>
      <w:r w:rsidR="00C46640" w:rsidRPr="6706AF4B">
        <w:rPr>
          <w:rFonts w:asciiTheme="majorHAnsi" w:hAnsiTheme="majorHAnsi"/>
          <w:lang w:val="en"/>
        </w:rPr>
        <w:t>(s</w:t>
      </w:r>
      <w:r w:rsidRPr="6706AF4B">
        <w:rPr>
          <w:rFonts w:asciiTheme="majorHAnsi" w:hAnsiTheme="majorHAnsi"/>
          <w:lang w:val="en"/>
        </w:rPr>
        <w:t xml:space="preserve">ee </w:t>
      </w:r>
      <w:r w:rsidR="00C46640" w:rsidRPr="6706AF4B">
        <w:rPr>
          <w:rFonts w:asciiTheme="majorHAnsi" w:hAnsiTheme="majorHAnsi"/>
          <w:lang w:val="en"/>
        </w:rPr>
        <w:t xml:space="preserve">Section </w:t>
      </w:r>
      <w:r w:rsidR="006A06C4" w:rsidRPr="001A46B1">
        <w:rPr>
          <w:rFonts w:asciiTheme="majorHAnsi" w:hAnsiTheme="majorHAnsi"/>
          <w:color w:val="0000FF"/>
          <w:lang w:val="en"/>
        </w:rPr>
        <w:fldChar w:fldCharType="begin"/>
      </w:r>
      <w:r w:rsidR="006A06C4" w:rsidRPr="001A46B1">
        <w:rPr>
          <w:rFonts w:asciiTheme="majorHAnsi" w:hAnsiTheme="majorHAnsi"/>
          <w:color w:val="0000FF"/>
          <w:lang w:val="en"/>
        </w:rPr>
        <w:instrText xml:space="preserve"> REF _Ref122502254 \r \h </w:instrText>
      </w:r>
      <w:r w:rsidR="006A06C4" w:rsidRPr="001A46B1">
        <w:rPr>
          <w:rFonts w:asciiTheme="majorHAnsi" w:hAnsiTheme="majorHAnsi"/>
          <w:color w:val="0000FF"/>
          <w:lang w:val="en"/>
        </w:rPr>
      </w:r>
      <w:r w:rsidR="006A06C4" w:rsidRPr="001A46B1">
        <w:rPr>
          <w:rFonts w:asciiTheme="majorHAnsi" w:hAnsiTheme="majorHAnsi"/>
          <w:color w:val="0000FF"/>
          <w:lang w:val="en"/>
        </w:rPr>
        <w:fldChar w:fldCharType="separate"/>
      </w:r>
      <w:r w:rsidR="006A06C4" w:rsidRPr="001A46B1">
        <w:rPr>
          <w:rFonts w:asciiTheme="majorHAnsi" w:hAnsiTheme="majorHAnsi"/>
          <w:color w:val="0000FF"/>
          <w:lang w:val="en"/>
        </w:rPr>
        <w:t>5</w:t>
      </w:r>
      <w:r w:rsidR="006A06C4" w:rsidRPr="001A46B1">
        <w:rPr>
          <w:rFonts w:asciiTheme="majorHAnsi" w:hAnsiTheme="majorHAnsi"/>
          <w:color w:val="0000FF"/>
          <w:lang w:val="en"/>
        </w:rPr>
        <w:fldChar w:fldCharType="end"/>
      </w:r>
      <w:r w:rsidR="00C46640" w:rsidRPr="001A46B1">
        <w:rPr>
          <w:rFonts w:asciiTheme="majorHAnsi" w:hAnsiTheme="majorHAnsi"/>
          <w:color w:val="0000FF"/>
          <w:lang w:val="en"/>
        </w:rPr>
        <w:t xml:space="preserve"> </w:t>
      </w:r>
      <w:r w:rsidR="006A06C4" w:rsidRPr="001A46B1">
        <w:rPr>
          <w:rFonts w:asciiTheme="majorHAnsi" w:hAnsiTheme="majorHAnsi"/>
          <w:color w:val="0000FF"/>
          <w:lang w:val="en"/>
        </w:rPr>
        <w:fldChar w:fldCharType="begin"/>
      </w:r>
      <w:r w:rsidR="006A06C4" w:rsidRPr="001A46B1">
        <w:rPr>
          <w:rFonts w:asciiTheme="majorHAnsi" w:hAnsiTheme="majorHAnsi"/>
          <w:color w:val="0000FF"/>
          <w:lang w:val="en"/>
        </w:rPr>
        <w:instrText xml:space="preserve"> REF _Ref122502254 \h  \* MERGEFORMAT </w:instrText>
      </w:r>
      <w:r w:rsidR="006A06C4" w:rsidRPr="001A46B1">
        <w:rPr>
          <w:rFonts w:asciiTheme="majorHAnsi" w:hAnsiTheme="majorHAnsi"/>
          <w:color w:val="0000FF"/>
          <w:lang w:val="en"/>
        </w:rPr>
      </w:r>
      <w:r w:rsidR="006A06C4" w:rsidRPr="001A46B1">
        <w:rPr>
          <w:rFonts w:asciiTheme="majorHAnsi" w:hAnsiTheme="majorHAnsi"/>
          <w:color w:val="0000FF"/>
          <w:lang w:val="en"/>
        </w:rPr>
        <w:fldChar w:fldCharType="separate"/>
      </w:r>
      <w:r w:rsidR="006A06C4" w:rsidRPr="001A46B1">
        <w:rPr>
          <w:rFonts w:asciiTheme="majorHAnsi" w:hAnsiTheme="majorHAnsi"/>
          <w:color w:val="0000FF"/>
          <w:lang w:val="en-US"/>
        </w:rPr>
        <w:t>Pharmacological properties</w:t>
      </w:r>
      <w:r w:rsidR="006A06C4" w:rsidRPr="001A46B1">
        <w:rPr>
          <w:rFonts w:asciiTheme="majorHAnsi" w:hAnsiTheme="majorHAnsi"/>
          <w:color w:val="0000FF"/>
          <w:lang w:val="en"/>
        </w:rPr>
        <w:fldChar w:fldCharType="end"/>
      </w:r>
      <w:r w:rsidR="006D30E4" w:rsidRPr="001A46B1">
        <w:rPr>
          <w:rFonts w:asciiTheme="majorHAnsi" w:hAnsiTheme="majorHAnsi"/>
          <w:color w:val="0000FF"/>
          <w:lang w:val="en"/>
        </w:rPr>
        <w:t>,</w:t>
      </w:r>
      <w:r w:rsidR="00A269E2" w:rsidRPr="001A46B1">
        <w:rPr>
          <w:rFonts w:asciiTheme="majorHAnsi" w:hAnsiTheme="majorHAnsi"/>
          <w:color w:val="0000FF"/>
          <w:lang w:val="en"/>
        </w:rPr>
        <w:t xml:space="preserve"> </w:t>
      </w:r>
      <w:r w:rsidR="00A269E2" w:rsidRPr="001A46B1">
        <w:rPr>
          <w:rFonts w:ascii="Cambria" w:hAnsi="Cambria"/>
          <w:color w:val="0000FF"/>
          <w:shd w:val="clear" w:color="auto" w:fill="E6E6E6"/>
          <w:lang w:val="en"/>
        </w:rPr>
        <w:fldChar w:fldCharType="begin"/>
      </w:r>
      <w:r w:rsidR="00A269E2" w:rsidRPr="001A46B1">
        <w:rPr>
          <w:rFonts w:ascii="Cambria" w:hAnsi="Cambria"/>
          <w:color w:val="0000FF"/>
          <w:lang w:val="en"/>
        </w:rPr>
        <w:instrText xml:space="preserve"> REF _Ref101456424 \h  \* MERGEFORMAT </w:instrText>
      </w:r>
      <w:r w:rsidR="00A269E2" w:rsidRPr="001A46B1">
        <w:rPr>
          <w:rFonts w:ascii="Cambria" w:hAnsi="Cambria"/>
          <w:color w:val="0000FF"/>
          <w:shd w:val="clear" w:color="auto" w:fill="E6E6E6"/>
          <w:lang w:val="en"/>
        </w:rPr>
      </w:r>
      <w:r w:rsidR="00A269E2" w:rsidRPr="001A46B1">
        <w:rPr>
          <w:rFonts w:ascii="Cambria" w:hAnsi="Cambria"/>
          <w:color w:val="0000FF"/>
          <w:shd w:val="clear" w:color="auto" w:fill="E6E6E6"/>
          <w:lang w:val="en"/>
        </w:rPr>
        <w:fldChar w:fldCharType="separate"/>
      </w:r>
      <w:r w:rsidR="00A269E2" w:rsidRPr="001A46B1">
        <w:rPr>
          <w:rFonts w:ascii="Cambria" w:hAnsi="Cambria"/>
          <w:color w:val="0000FF"/>
        </w:rPr>
        <w:t>Clinical</w:t>
      </w:r>
      <w:r w:rsidR="00A269E2" w:rsidRPr="001A46B1">
        <w:rPr>
          <w:rFonts w:ascii="Cambria" w:hAnsi="Cambria"/>
          <w:color w:val="0000FF"/>
          <w:lang w:val="en-US"/>
        </w:rPr>
        <w:t xml:space="preserve"> trials</w:t>
      </w:r>
      <w:r w:rsidR="00A269E2" w:rsidRPr="001A46B1">
        <w:rPr>
          <w:rFonts w:ascii="Cambria" w:hAnsi="Cambria"/>
          <w:color w:val="0000FF"/>
          <w:shd w:val="clear" w:color="auto" w:fill="E6E6E6"/>
          <w:lang w:val="en"/>
        </w:rPr>
        <w:fldChar w:fldCharType="end"/>
      </w:r>
      <w:r w:rsidRPr="001A46B1">
        <w:rPr>
          <w:rFonts w:asciiTheme="majorHAnsi" w:hAnsiTheme="majorHAnsi"/>
          <w:color w:val="0000FF"/>
          <w:lang w:val="en"/>
        </w:rPr>
        <w:t xml:space="preserve">). </w:t>
      </w:r>
      <w:r w:rsidRPr="6706AF4B">
        <w:rPr>
          <w:rFonts w:asciiTheme="majorHAnsi" w:hAnsiTheme="majorHAnsi"/>
          <w:lang w:val="en"/>
        </w:rPr>
        <w:t>If therapeutic benefit is achieved with the additional intravenous therapy, patients may initiate OMVOH subcutaneous maintenance dosing every 4 weeks. Discontinue OMVOH in patients who do not show evidence of therapeutic benefit to extended induction therapy by Week 24.</w:t>
      </w:r>
    </w:p>
    <w:p w14:paraId="3D4EA9E7" w14:textId="6BC1D0F5" w:rsidR="00307B9D" w:rsidRPr="00307B9D" w:rsidRDefault="00307B9D" w:rsidP="00307B9D">
      <w:pPr>
        <w:rPr>
          <w:rFonts w:asciiTheme="majorHAnsi" w:hAnsiTheme="majorHAnsi" w:cstheme="minorHAnsi"/>
          <w:u w:val="single"/>
          <w:lang w:val="en"/>
        </w:rPr>
      </w:pPr>
      <w:r w:rsidRPr="00307B9D">
        <w:rPr>
          <w:rFonts w:asciiTheme="majorHAnsi" w:hAnsiTheme="majorHAnsi" w:cstheme="minorHAnsi"/>
          <w:u w:val="single"/>
          <w:lang w:val="en"/>
        </w:rPr>
        <w:t>Maintenance Dos</w:t>
      </w:r>
      <w:r w:rsidR="00DA19B7">
        <w:rPr>
          <w:rFonts w:asciiTheme="majorHAnsi" w:hAnsiTheme="majorHAnsi" w:cstheme="minorHAnsi"/>
          <w:u w:val="single"/>
          <w:lang w:val="en"/>
        </w:rPr>
        <w:t>e</w:t>
      </w:r>
    </w:p>
    <w:p w14:paraId="5451C7DF" w14:textId="5DE5CA93" w:rsidR="00307B9D" w:rsidRPr="00307B9D" w:rsidRDefault="00307B9D" w:rsidP="00307B9D">
      <w:pPr>
        <w:rPr>
          <w:rFonts w:asciiTheme="majorHAnsi" w:hAnsiTheme="majorHAnsi"/>
          <w:lang w:val="en"/>
        </w:rPr>
      </w:pPr>
      <w:r w:rsidRPr="6706AF4B">
        <w:rPr>
          <w:rFonts w:asciiTheme="majorHAnsi" w:hAnsiTheme="majorHAnsi"/>
          <w:lang w:val="en"/>
        </w:rPr>
        <w:t xml:space="preserve">The recommended maintenance dosage regimen of OMVOH is 200 mg (given as two </w:t>
      </w:r>
      <w:r w:rsidRPr="00D1157E">
        <w:rPr>
          <w:rFonts w:asciiTheme="majorHAnsi" w:hAnsiTheme="majorHAnsi"/>
          <w:lang w:val="en"/>
        </w:rPr>
        <w:t>consecutive</w:t>
      </w:r>
      <w:r w:rsidRPr="6706AF4B">
        <w:rPr>
          <w:rFonts w:asciiTheme="majorHAnsi" w:hAnsiTheme="majorHAnsi"/>
          <w:lang w:val="en"/>
        </w:rPr>
        <w:t xml:space="preserve"> subcutaneous injections of 100 mg each) every 4 weeks after completion of induction dosing </w:t>
      </w:r>
      <w:r w:rsidR="006D30E4" w:rsidRPr="6706AF4B">
        <w:rPr>
          <w:rFonts w:asciiTheme="majorHAnsi" w:hAnsiTheme="majorHAnsi"/>
          <w:lang w:val="en"/>
        </w:rPr>
        <w:t xml:space="preserve">(see Section </w:t>
      </w:r>
      <w:r w:rsidR="002A4167" w:rsidRPr="001A46B1">
        <w:rPr>
          <w:rFonts w:asciiTheme="majorHAnsi" w:hAnsiTheme="majorHAnsi"/>
          <w:color w:val="0000FF"/>
          <w:lang w:val="en"/>
        </w:rPr>
        <w:fldChar w:fldCharType="begin"/>
      </w:r>
      <w:r w:rsidR="002A4167" w:rsidRPr="001A46B1">
        <w:rPr>
          <w:rFonts w:asciiTheme="majorHAnsi" w:hAnsiTheme="majorHAnsi"/>
          <w:color w:val="0000FF"/>
          <w:lang w:val="en"/>
        </w:rPr>
        <w:instrText xml:space="preserve"> REF _Ref101456465 \r \h </w:instrText>
      </w:r>
      <w:r w:rsidR="002A4167" w:rsidRPr="001A46B1">
        <w:rPr>
          <w:rFonts w:asciiTheme="majorHAnsi" w:hAnsiTheme="majorHAnsi"/>
          <w:color w:val="0000FF"/>
          <w:lang w:val="en"/>
        </w:rPr>
      </w:r>
      <w:r w:rsidR="002A4167" w:rsidRPr="001A46B1">
        <w:rPr>
          <w:rFonts w:asciiTheme="majorHAnsi" w:hAnsiTheme="majorHAnsi"/>
          <w:color w:val="0000FF"/>
          <w:lang w:val="en"/>
        </w:rPr>
        <w:fldChar w:fldCharType="separate"/>
      </w:r>
      <w:r w:rsidR="002A4167" w:rsidRPr="001A46B1">
        <w:rPr>
          <w:rFonts w:asciiTheme="majorHAnsi" w:hAnsiTheme="majorHAnsi"/>
          <w:color w:val="0000FF"/>
          <w:lang w:val="en"/>
        </w:rPr>
        <w:t>4.2</w:t>
      </w:r>
      <w:r w:rsidR="002A4167" w:rsidRPr="001A46B1">
        <w:rPr>
          <w:rFonts w:asciiTheme="majorHAnsi" w:hAnsiTheme="majorHAnsi"/>
          <w:color w:val="0000FF"/>
          <w:lang w:val="en"/>
        </w:rPr>
        <w:fldChar w:fldCharType="end"/>
      </w:r>
      <w:r w:rsidR="006F57A8" w:rsidRPr="001A46B1">
        <w:rPr>
          <w:rFonts w:asciiTheme="majorHAnsi" w:hAnsiTheme="majorHAnsi"/>
          <w:color w:val="0000FF"/>
          <w:lang w:val="en"/>
        </w:rPr>
        <w:t xml:space="preserve"> </w:t>
      </w:r>
      <w:r w:rsidR="006F57A8" w:rsidRPr="001A46B1">
        <w:rPr>
          <w:rFonts w:ascii="Cambria" w:hAnsi="Cambria"/>
          <w:color w:val="0000FF"/>
          <w:shd w:val="clear" w:color="auto" w:fill="E6E6E6"/>
          <w:lang w:val="en"/>
        </w:rPr>
        <w:fldChar w:fldCharType="begin"/>
      </w:r>
      <w:r w:rsidR="006F57A8" w:rsidRPr="001A46B1">
        <w:rPr>
          <w:rFonts w:ascii="Cambria" w:hAnsi="Cambria"/>
          <w:color w:val="0000FF"/>
          <w:lang w:val="en"/>
        </w:rPr>
        <w:instrText xml:space="preserve"> REF _Ref101456465 \h  \* MERGEFORMAT </w:instrText>
      </w:r>
      <w:r w:rsidR="006F57A8" w:rsidRPr="001A46B1">
        <w:rPr>
          <w:rFonts w:ascii="Cambria" w:hAnsi="Cambria"/>
          <w:color w:val="0000FF"/>
          <w:shd w:val="clear" w:color="auto" w:fill="E6E6E6"/>
          <w:lang w:val="en"/>
        </w:rPr>
      </w:r>
      <w:r w:rsidR="006F57A8" w:rsidRPr="001A46B1">
        <w:rPr>
          <w:rFonts w:ascii="Cambria" w:hAnsi="Cambria"/>
          <w:color w:val="0000FF"/>
          <w:shd w:val="clear" w:color="auto" w:fill="E6E6E6"/>
          <w:lang w:val="en"/>
        </w:rPr>
        <w:fldChar w:fldCharType="separate"/>
      </w:r>
      <w:r w:rsidR="006F57A8" w:rsidRPr="001A46B1">
        <w:rPr>
          <w:rFonts w:ascii="Cambria" w:hAnsi="Cambria"/>
          <w:color w:val="0000FF"/>
        </w:rPr>
        <w:t>Dose and method of administration</w:t>
      </w:r>
      <w:r w:rsidR="006F57A8" w:rsidRPr="001A46B1">
        <w:rPr>
          <w:rFonts w:ascii="Cambria" w:hAnsi="Cambria"/>
          <w:color w:val="0000FF"/>
          <w:shd w:val="clear" w:color="auto" w:fill="E6E6E6"/>
          <w:lang w:val="en"/>
        </w:rPr>
        <w:fldChar w:fldCharType="end"/>
      </w:r>
      <w:r w:rsidR="006D30E4" w:rsidRPr="6706AF4B">
        <w:rPr>
          <w:rFonts w:asciiTheme="majorHAnsi" w:hAnsiTheme="majorHAnsi"/>
          <w:lang w:val="en"/>
        </w:rPr>
        <w:t>)</w:t>
      </w:r>
      <w:r w:rsidR="00C33A68" w:rsidRPr="6706AF4B">
        <w:rPr>
          <w:rFonts w:asciiTheme="majorHAnsi" w:hAnsiTheme="majorHAnsi"/>
          <w:lang w:val="en"/>
        </w:rPr>
        <w:t xml:space="preserve"> starting at week 12</w:t>
      </w:r>
      <w:r w:rsidRPr="6706AF4B">
        <w:rPr>
          <w:rFonts w:asciiTheme="majorHAnsi" w:hAnsiTheme="majorHAnsi"/>
          <w:lang w:val="en"/>
        </w:rPr>
        <w:t xml:space="preserve">. </w:t>
      </w:r>
      <w:r w:rsidR="00587367" w:rsidRPr="6706AF4B">
        <w:rPr>
          <w:rFonts w:asciiTheme="majorHAnsi" w:hAnsiTheme="majorHAnsi"/>
          <w:lang w:val="en"/>
        </w:rPr>
        <w:t>A full maintenance dose is two 100 mg pre</w:t>
      </w:r>
      <w:r w:rsidR="00C6024F" w:rsidRPr="6706AF4B">
        <w:rPr>
          <w:rFonts w:asciiTheme="majorHAnsi" w:hAnsiTheme="majorHAnsi"/>
          <w:lang w:val="en"/>
        </w:rPr>
        <w:t>-</w:t>
      </w:r>
      <w:r w:rsidR="00587367" w:rsidRPr="6706AF4B">
        <w:rPr>
          <w:rFonts w:asciiTheme="majorHAnsi" w:hAnsiTheme="majorHAnsi"/>
          <w:lang w:val="en"/>
        </w:rPr>
        <w:t xml:space="preserve">filled syringes or two 100 mg </w:t>
      </w:r>
      <w:r w:rsidR="008E47C9" w:rsidRPr="6706AF4B">
        <w:rPr>
          <w:rFonts w:asciiTheme="majorHAnsi" w:hAnsiTheme="majorHAnsi"/>
          <w:lang w:val="en"/>
        </w:rPr>
        <w:t>autoinjectors (</w:t>
      </w:r>
      <w:r w:rsidR="00587367" w:rsidRPr="6706AF4B">
        <w:rPr>
          <w:rFonts w:asciiTheme="majorHAnsi" w:hAnsiTheme="majorHAnsi"/>
          <w:lang w:val="en"/>
        </w:rPr>
        <w:t>pre</w:t>
      </w:r>
      <w:r w:rsidR="00C6024F" w:rsidRPr="6706AF4B">
        <w:rPr>
          <w:rFonts w:asciiTheme="majorHAnsi" w:hAnsiTheme="majorHAnsi"/>
          <w:lang w:val="en"/>
        </w:rPr>
        <w:t>-</w:t>
      </w:r>
      <w:r w:rsidR="00587367" w:rsidRPr="6706AF4B">
        <w:rPr>
          <w:rFonts w:asciiTheme="majorHAnsi" w:hAnsiTheme="majorHAnsi"/>
          <w:lang w:val="en"/>
        </w:rPr>
        <w:t>filled pens</w:t>
      </w:r>
      <w:r w:rsidR="008E47C9" w:rsidRPr="6706AF4B">
        <w:rPr>
          <w:rFonts w:asciiTheme="majorHAnsi" w:hAnsiTheme="majorHAnsi"/>
          <w:lang w:val="en"/>
        </w:rPr>
        <w:t>)</w:t>
      </w:r>
      <w:r w:rsidR="00587367" w:rsidRPr="6706AF4B">
        <w:rPr>
          <w:rFonts w:asciiTheme="majorHAnsi" w:hAnsiTheme="majorHAnsi"/>
          <w:lang w:val="en"/>
        </w:rPr>
        <w:t>.</w:t>
      </w:r>
      <w:r w:rsidR="009871F7" w:rsidRPr="6706AF4B">
        <w:rPr>
          <w:rFonts w:asciiTheme="majorHAnsi" w:hAnsiTheme="majorHAnsi"/>
          <w:lang w:val="en"/>
        </w:rPr>
        <w:t xml:space="preserve"> </w:t>
      </w:r>
      <w:r w:rsidRPr="6706AF4B">
        <w:rPr>
          <w:rFonts w:asciiTheme="majorHAnsi" w:hAnsiTheme="majorHAnsi"/>
          <w:lang w:val="en"/>
        </w:rPr>
        <w:t>If a dose is missed, administer the dose as soon as possible. Thereafter, resume monthly dosing.</w:t>
      </w:r>
    </w:p>
    <w:p w14:paraId="0437FAE9" w14:textId="16C921DB" w:rsidR="007B23DD" w:rsidRDefault="00127B3A" w:rsidP="00307B9D">
      <w:pPr>
        <w:rPr>
          <w:rFonts w:asciiTheme="majorHAnsi" w:hAnsiTheme="majorHAnsi"/>
          <w:lang w:val="en"/>
        </w:rPr>
      </w:pPr>
      <w:r w:rsidRPr="6706AF4B">
        <w:rPr>
          <w:rFonts w:asciiTheme="majorHAnsi" w:hAnsiTheme="majorHAnsi"/>
          <w:lang w:val="en"/>
        </w:rPr>
        <w:lastRenderedPageBreak/>
        <w:t>Patients with loss of therapeutic response during maintenance treatment may receive 300 mg mirikizumab by intravenous infusion every 4 weeks, for a total of 3 doses.</w:t>
      </w:r>
      <w:r w:rsidR="00307B9D" w:rsidRPr="6706AF4B">
        <w:rPr>
          <w:rFonts w:asciiTheme="majorHAnsi" w:hAnsiTheme="majorHAnsi"/>
          <w:lang w:val="en"/>
        </w:rPr>
        <w:t xml:space="preserve"> If therapeutic benefit is achieved with the additional intravenous therapy, patients may resume OMVOH subcutaneous maintenance dosing every 4 weeks </w:t>
      </w:r>
      <w:r w:rsidR="006D30E4" w:rsidRPr="6706AF4B">
        <w:rPr>
          <w:rFonts w:asciiTheme="majorHAnsi" w:hAnsiTheme="majorHAnsi"/>
          <w:lang w:val="en"/>
        </w:rPr>
        <w:t xml:space="preserve">(see Section </w:t>
      </w:r>
      <w:r w:rsidR="002A4167" w:rsidRPr="001A46B1">
        <w:rPr>
          <w:rFonts w:asciiTheme="majorHAnsi" w:hAnsiTheme="majorHAnsi"/>
          <w:color w:val="0000FF"/>
          <w:lang w:val="en"/>
        </w:rPr>
        <w:fldChar w:fldCharType="begin"/>
      </w:r>
      <w:r w:rsidR="002A4167" w:rsidRPr="001A46B1">
        <w:rPr>
          <w:rFonts w:asciiTheme="majorHAnsi" w:hAnsiTheme="majorHAnsi"/>
          <w:color w:val="0000FF"/>
          <w:lang w:val="en"/>
        </w:rPr>
        <w:instrText xml:space="preserve"> REF _Ref122502254 \r \h  \* MERGEFORMAT </w:instrText>
      </w:r>
      <w:r w:rsidR="002A4167" w:rsidRPr="001A46B1">
        <w:rPr>
          <w:rFonts w:asciiTheme="majorHAnsi" w:hAnsiTheme="majorHAnsi"/>
          <w:color w:val="0000FF"/>
          <w:lang w:val="en"/>
        </w:rPr>
      </w:r>
      <w:r w:rsidR="002A4167" w:rsidRPr="001A46B1">
        <w:rPr>
          <w:rFonts w:asciiTheme="majorHAnsi" w:hAnsiTheme="majorHAnsi"/>
          <w:color w:val="0000FF"/>
          <w:lang w:val="en"/>
        </w:rPr>
        <w:fldChar w:fldCharType="separate"/>
      </w:r>
      <w:r w:rsidR="002A4167" w:rsidRPr="001A46B1">
        <w:rPr>
          <w:rFonts w:asciiTheme="majorHAnsi" w:hAnsiTheme="majorHAnsi"/>
          <w:color w:val="0000FF"/>
          <w:lang w:val="en"/>
        </w:rPr>
        <w:t>5</w:t>
      </w:r>
      <w:r w:rsidR="002A4167" w:rsidRPr="001A46B1">
        <w:rPr>
          <w:rFonts w:asciiTheme="majorHAnsi" w:hAnsiTheme="majorHAnsi"/>
          <w:color w:val="0000FF"/>
          <w:lang w:val="en"/>
        </w:rPr>
        <w:fldChar w:fldCharType="end"/>
      </w:r>
      <w:r w:rsidR="002A4167" w:rsidRPr="001A46B1">
        <w:rPr>
          <w:rFonts w:asciiTheme="majorHAnsi" w:hAnsiTheme="majorHAnsi"/>
          <w:color w:val="0000FF"/>
          <w:lang w:val="en"/>
        </w:rPr>
        <w:t xml:space="preserve"> </w:t>
      </w:r>
      <w:r w:rsidR="002A4167" w:rsidRPr="001A46B1">
        <w:rPr>
          <w:rFonts w:asciiTheme="majorHAnsi" w:hAnsiTheme="majorHAnsi"/>
          <w:color w:val="0000FF"/>
          <w:lang w:val="en"/>
        </w:rPr>
        <w:fldChar w:fldCharType="begin"/>
      </w:r>
      <w:r w:rsidR="002A4167" w:rsidRPr="001A46B1">
        <w:rPr>
          <w:rFonts w:asciiTheme="majorHAnsi" w:hAnsiTheme="majorHAnsi"/>
          <w:color w:val="0000FF"/>
          <w:lang w:val="en"/>
        </w:rPr>
        <w:instrText xml:space="preserve"> REF _Ref122502254 \h  \* MERGEFORMAT </w:instrText>
      </w:r>
      <w:r w:rsidR="002A4167" w:rsidRPr="001A46B1">
        <w:rPr>
          <w:rFonts w:asciiTheme="majorHAnsi" w:hAnsiTheme="majorHAnsi"/>
          <w:color w:val="0000FF"/>
          <w:lang w:val="en"/>
        </w:rPr>
      </w:r>
      <w:r w:rsidR="002A4167" w:rsidRPr="001A46B1">
        <w:rPr>
          <w:rFonts w:asciiTheme="majorHAnsi" w:hAnsiTheme="majorHAnsi"/>
          <w:color w:val="0000FF"/>
          <w:lang w:val="en"/>
        </w:rPr>
        <w:fldChar w:fldCharType="separate"/>
      </w:r>
      <w:r w:rsidR="002A4167" w:rsidRPr="001A46B1">
        <w:rPr>
          <w:rFonts w:asciiTheme="majorHAnsi" w:hAnsiTheme="majorHAnsi"/>
          <w:color w:val="0000FF"/>
          <w:lang w:val="en-US"/>
        </w:rPr>
        <w:t>Pharmacological properties</w:t>
      </w:r>
      <w:r w:rsidR="002A4167" w:rsidRPr="001A46B1">
        <w:rPr>
          <w:rFonts w:asciiTheme="majorHAnsi" w:hAnsiTheme="majorHAnsi"/>
          <w:color w:val="0000FF"/>
          <w:lang w:val="en"/>
        </w:rPr>
        <w:fldChar w:fldCharType="end"/>
      </w:r>
      <w:r w:rsidR="006D30E4" w:rsidRPr="001A46B1">
        <w:rPr>
          <w:rFonts w:asciiTheme="majorHAnsi" w:hAnsiTheme="majorHAnsi"/>
          <w:color w:val="0000FF"/>
          <w:lang w:val="en"/>
        </w:rPr>
        <w:t>,</w:t>
      </w:r>
      <w:r w:rsidR="002A6F76" w:rsidRPr="001A46B1">
        <w:rPr>
          <w:rFonts w:asciiTheme="majorHAnsi" w:hAnsiTheme="majorHAnsi"/>
          <w:color w:val="0000FF"/>
          <w:lang w:val="en"/>
        </w:rPr>
        <w:t xml:space="preserve"> </w:t>
      </w:r>
      <w:r w:rsidR="002A6F76" w:rsidRPr="001A46B1">
        <w:rPr>
          <w:rFonts w:ascii="Cambria" w:hAnsi="Cambria"/>
          <w:color w:val="0000FF"/>
          <w:shd w:val="clear" w:color="auto" w:fill="E6E6E6"/>
          <w:lang w:val="en"/>
        </w:rPr>
        <w:fldChar w:fldCharType="begin"/>
      </w:r>
      <w:r w:rsidR="002A6F76" w:rsidRPr="001A46B1">
        <w:rPr>
          <w:rFonts w:ascii="Cambria" w:hAnsi="Cambria"/>
          <w:color w:val="0000FF"/>
          <w:lang w:val="en"/>
        </w:rPr>
        <w:instrText xml:space="preserve"> REF _Ref101456424 \h  \* MERGEFORMAT </w:instrText>
      </w:r>
      <w:r w:rsidR="002A6F76" w:rsidRPr="001A46B1">
        <w:rPr>
          <w:rFonts w:ascii="Cambria" w:hAnsi="Cambria"/>
          <w:color w:val="0000FF"/>
          <w:shd w:val="clear" w:color="auto" w:fill="E6E6E6"/>
          <w:lang w:val="en"/>
        </w:rPr>
      </w:r>
      <w:r w:rsidR="002A6F76" w:rsidRPr="001A46B1">
        <w:rPr>
          <w:rFonts w:ascii="Cambria" w:hAnsi="Cambria"/>
          <w:color w:val="0000FF"/>
          <w:shd w:val="clear" w:color="auto" w:fill="E6E6E6"/>
          <w:lang w:val="en"/>
        </w:rPr>
        <w:fldChar w:fldCharType="separate"/>
      </w:r>
      <w:r w:rsidR="002A6F76" w:rsidRPr="001A46B1">
        <w:rPr>
          <w:rFonts w:ascii="Cambria" w:hAnsi="Cambria"/>
          <w:color w:val="0000FF"/>
        </w:rPr>
        <w:t>Clinical</w:t>
      </w:r>
      <w:r w:rsidR="002A6F76" w:rsidRPr="001A46B1">
        <w:rPr>
          <w:rFonts w:ascii="Cambria" w:hAnsi="Cambria"/>
          <w:color w:val="0000FF"/>
          <w:lang w:val="en-US"/>
        </w:rPr>
        <w:t xml:space="preserve"> trials</w:t>
      </w:r>
      <w:r w:rsidR="002A6F76" w:rsidRPr="001A46B1">
        <w:rPr>
          <w:rFonts w:ascii="Cambria" w:hAnsi="Cambria"/>
          <w:color w:val="0000FF"/>
          <w:shd w:val="clear" w:color="auto" w:fill="E6E6E6"/>
          <w:lang w:val="en"/>
        </w:rPr>
        <w:fldChar w:fldCharType="end"/>
      </w:r>
      <w:r w:rsidR="006D30E4" w:rsidRPr="6706AF4B">
        <w:rPr>
          <w:rFonts w:asciiTheme="majorHAnsi" w:hAnsiTheme="majorHAnsi"/>
          <w:lang w:val="en"/>
        </w:rPr>
        <w:t>)</w:t>
      </w:r>
      <w:r w:rsidR="00307B9D" w:rsidRPr="6706AF4B">
        <w:rPr>
          <w:rFonts w:asciiTheme="majorHAnsi" w:hAnsiTheme="majorHAnsi"/>
          <w:lang w:val="en"/>
        </w:rPr>
        <w:t>.</w:t>
      </w:r>
    </w:p>
    <w:p w14:paraId="38F8E762" w14:textId="718FD0F3" w:rsidR="009C66A7" w:rsidRDefault="6E351C4D" w:rsidP="00307B9D">
      <w:pPr>
        <w:rPr>
          <w:rFonts w:asciiTheme="majorHAnsi" w:hAnsiTheme="majorHAnsi"/>
          <w:lang w:val="en"/>
        </w:rPr>
      </w:pPr>
      <w:r w:rsidRPr="6706AF4B">
        <w:rPr>
          <w:rFonts w:asciiTheme="majorHAnsi" w:hAnsiTheme="majorHAnsi"/>
          <w:lang w:val="en"/>
        </w:rPr>
        <w:t>N</w:t>
      </w:r>
      <w:r w:rsidR="00EE164A" w:rsidRPr="6706AF4B">
        <w:rPr>
          <w:rFonts w:asciiTheme="majorHAnsi" w:hAnsiTheme="majorHAnsi"/>
          <w:lang w:val="en"/>
        </w:rPr>
        <w:t>o dose adjustment is required</w:t>
      </w:r>
      <w:r w:rsidR="005303F0" w:rsidRPr="6706AF4B">
        <w:rPr>
          <w:rFonts w:asciiTheme="majorHAnsi" w:hAnsiTheme="majorHAnsi"/>
          <w:lang w:val="en"/>
        </w:rPr>
        <w:t xml:space="preserve"> </w:t>
      </w:r>
      <w:r w:rsidR="08CC2ADE" w:rsidRPr="6706AF4B">
        <w:rPr>
          <w:rFonts w:asciiTheme="majorHAnsi" w:hAnsiTheme="majorHAnsi"/>
          <w:lang w:val="en"/>
        </w:rPr>
        <w:t xml:space="preserve">in the elderly </w:t>
      </w:r>
      <w:r w:rsidR="002327C4">
        <w:rPr>
          <w:rFonts w:asciiTheme="majorHAnsi" w:hAnsiTheme="majorHAnsi"/>
          <w:lang w:val="en"/>
        </w:rPr>
        <w:t>(65 years</w:t>
      </w:r>
      <w:r w:rsidR="00E255AC">
        <w:rPr>
          <w:rFonts w:asciiTheme="majorHAnsi" w:hAnsiTheme="majorHAnsi"/>
          <w:lang w:val="en"/>
        </w:rPr>
        <w:t xml:space="preserve"> and older)</w:t>
      </w:r>
      <w:r w:rsidR="002327C4">
        <w:rPr>
          <w:rFonts w:asciiTheme="majorHAnsi" w:hAnsiTheme="majorHAnsi"/>
          <w:lang w:val="en"/>
        </w:rPr>
        <w:t xml:space="preserve"> </w:t>
      </w:r>
      <w:r w:rsidR="005303F0" w:rsidRPr="6706AF4B">
        <w:rPr>
          <w:rFonts w:asciiTheme="majorHAnsi" w:hAnsiTheme="majorHAnsi"/>
          <w:lang w:val="en"/>
        </w:rPr>
        <w:t xml:space="preserve">(see Section </w:t>
      </w:r>
      <w:r w:rsidR="005303F0" w:rsidRPr="001A46B1">
        <w:rPr>
          <w:rFonts w:asciiTheme="majorHAnsi" w:hAnsiTheme="majorHAnsi"/>
          <w:color w:val="0000FF"/>
          <w:shd w:val="clear" w:color="auto" w:fill="E6E6E6"/>
          <w:lang w:val="en"/>
        </w:rPr>
        <w:fldChar w:fldCharType="begin"/>
      </w:r>
      <w:r w:rsidR="005303F0" w:rsidRPr="001A46B1">
        <w:rPr>
          <w:rFonts w:asciiTheme="majorHAnsi" w:hAnsiTheme="majorHAnsi"/>
          <w:color w:val="0000FF"/>
          <w:lang w:val="en"/>
        </w:rPr>
        <w:instrText xml:space="preserve"> REF _Ref101871476 \w \h </w:instrText>
      </w:r>
      <w:r w:rsidR="0064587E" w:rsidRPr="001A46B1">
        <w:rPr>
          <w:rFonts w:asciiTheme="majorHAnsi" w:hAnsiTheme="majorHAnsi"/>
          <w:color w:val="0000FF"/>
          <w:lang w:val="en"/>
        </w:rPr>
        <w:instrText xml:space="preserve"> \* MERGEFORMAT </w:instrText>
      </w:r>
      <w:r w:rsidR="005303F0" w:rsidRPr="001A46B1">
        <w:rPr>
          <w:rFonts w:asciiTheme="majorHAnsi" w:hAnsiTheme="majorHAnsi"/>
          <w:color w:val="0000FF"/>
          <w:shd w:val="clear" w:color="auto" w:fill="E6E6E6"/>
          <w:lang w:val="en"/>
        </w:rPr>
      </w:r>
      <w:r w:rsidR="005303F0" w:rsidRPr="001A46B1">
        <w:rPr>
          <w:rFonts w:asciiTheme="majorHAnsi" w:hAnsiTheme="majorHAnsi"/>
          <w:color w:val="0000FF"/>
          <w:shd w:val="clear" w:color="auto" w:fill="E6E6E6"/>
          <w:lang w:val="en"/>
        </w:rPr>
        <w:fldChar w:fldCharType="separate"/>
      </w:r>
      <w:r w:rsidR="005303F0" w:rsidRPr="001A46B1">
        <w:rPr>
          <w:rFonts w:asciiTheme="majorHAnsi" w:hAnsiTheme="majorHAnsi"/>
          <w:color w:val="0000FF"/>
          <w:lang w:val="en"/>
        </w:rPr>
        <w:t>5.2</w:t>
      </w:r>
      <w:r w:rsidR="005303F0" w:rsidRPr="001A46B1">
        <w:rPr>
          <w:rFonts w:asciiTheme="majorHAnsi" w:hAnsiTheme="majorHAnsi"/>
          <w:color w:val="0000FF"/>
          <w:shd w:val="clear" w:color="auto" w:fill="E6E6E6"/>
          <w:lang w:val="en"/>
        </w:rPr>
        <w:fldChar w:fldCharType="end"/>
      </w:r>
      <w:r w:rsidR="0064587E" w:rsidRPr="001A46B1">
        <w:rPr>
          <w:rFonts w:asciiTheme="majorHAnsi" w:hAnsiTheme="majorHAnsi"/>
          <w:color w:val="0000FF"/>
          <w:lang w:val="en"/>
        </w:rPr>
        <w:t xml:space="preserve"> </w:t>
      </w:r>
      <w:r w:rsidR="005303F0" w:rsidRPr="001A46B1">
        <w:rPr>
          <w:rFonts w:asciiTheme="majorHAnsi" w:hAnsiTheme="majorHAnsi"/>
          <w:color w:val="0000FF"/>
          <w:shd w:val="clear" w:color="auto" w:fill="E6E6E6"/>
          <w:lang w:val="en"/>
        </w:rPr>
        <w:fldChar w:fldCharType="begin"/>
      </w:r>
      <w:r w:rsidR="005303F0" w:rsidRPr="001A46B1">
        <w:rPr>
          <w:rFonts w:asciiTheme="majorHAnsi" w:hAnsiTheme="majorHAnsi"/>
          <w:color w:val="0000FF"/>
          <w:lang w:val="en"/>
        </w:rPr>
        <w:instrText xml:space="preserve"> REF _Ref101871476 \h </w:instrText>
      </w:r>
      <w:r w:rsidR="0064587E" w:rsidRPr="001A46B1">
        <w:rPr>
          <w:rFonts w:asciiTheme="majorHAnsi" w:hAnsiTheme="majorHAnsi"/>
          <w:color w:val="0000FF"/>
          <w:lang w:val="en"/>
        </w:rPr>
        <w:instrText xml:space="preserve"> \* MERGEFORMAT </w:instrText>
      </w:r>
      <w:r w:rsidR="005303F0" w:rsidRPr="001A46B1">
        <w:rPr>
          <w:rFonts w:asciiTheme="majorHAnsi" w:hAnsiTheme="majorHAnsi"/>
          <w:color w:val="0000FF"/>
          <w:shd w:val="clear" w:color="auto" w:fill="E6E6E6"/>
          <w:lang w:val="en"/>
        </w:rPr>
      </w:r>
      <w:r w:rsidR="005303F0" w:rsidRPr="001A46B1">
        <w:rPr>
          <w:rFonts w:asciiTheme="majorHAnsi" w:hAnsiTheme="majorHAnsi"/>
          <w:color w:val="0000FF"/>
          <w:shd w:val="clear" w:color="auto" w:fill="E6E6E6"/>
          <w:lang w:val="en"/>
        </w:rPr>
        <w:fldChar w:fldCharType="separate"/>
      </w:r>
      <w:r w:rsidR="005303F0" w:rsidRPr="001A46B1">
        <w:rPr>
          <w:rFonts w:asciiTheme="majorHAnsi" w:hAnsiTheme="majorHAnsi"/>
          <w:color w:val="0000FF"/>
          <w:lang w:val="en-US"/>
        </w:rPr>
        <w:t>Pharmacokinetic properties</w:t>
      </w:r>
      <w:r w:rsidR="005303F0" w:rsidRPr="001A46B1">
        <w:rPr>
          <w:rFonts w:asciiTheme="majorHAnsi" w:hAnsiTheme="majorHAnsi"/>
          <w:color w:val="0000FF"/>
          <w:shd w:val="clear" w:color="auto" w:fill="E6E6E6"/>
          <w:lang w:val="en"/>
        </w:rPr>
        <w:fldChar w:fldCharType="end"/>
      </w:r>
      <w:r w:rsidR="0064587E" w:rsidRPr="6706AF4B">
        <w:rPr>
          <w:rFonts w:asciiTheme="majorHAnsi" w:hAnsiTheme="majorHAnsi"/>
          <w:lang w:val="en"/>
        </w:rPr>
        <w:t>)</w:t>
      </w:r>
      <w:r w:rsidR="00EE164A" w:rsidRPr="6706AF4B">
        <w:rPr>
          <w:rFonts w:asciiTheme="majorHAnsi" w:hAnsiTheme="majorHAnsi"/>
          <w:lang w:val="en"/>
        </w:rPr>
        <w:t>.</w:t>
      </w:r>
    </w:p>
    <w:p w14:paraId="646D837A" w14:textId="37511727" w:rsidR="002A4167" w:rsidRPr="00971F5B" w:rsidRDefault="00733E1A" w:rsidP="00307B9D">
      <w:pPr>
        <w:rPr>
          <w:rFonts w:asciiTheme="majorHAnsi" w:hAnsiTheme="majorHAnsi"/>
          <w:lang w:val="en"/>
        </w:rPr>
      </w:pPr>
      <w:r w:rsidRPr="00971F5B">
        <w:rPr>
          <w:rFonts w:asciiTheme="majorHAnsi" w:hAnsiTheme="majorHAnsi"/>
          <w:lang w:val="en"/>
        </w:rPr>
        <w:t>OMVOH has not been studied in patient</w:t>
      </w:r>
      <w:r w:rsidR="00DF2071">
        <w:rPr>
          <w:rFonts w:asciiTheme="majorHAnsi" w:hAnsiTheme="majorHAnsi"/>
          <w:lang w:val="en"/>
        </w:rPr>
        <w:t xml:space="preserve">s with renal or hepatic </w:t>
      </w:r>
      <w:r w:rsidR="008A2038">
        <w:rPr>
          <w:rFonts w:asciiTheme="majorHAnsi" w:hAnsiTheme="majorHAnsi"/>
          <w:lang w:val="en"/>
        </w:rPr>
        <w:t>impairment</w:t>
      </w:r>
      <w:r w:rsidR="005303F0" w:rsidRPr="00971F5B">
        <w:rPr>
          <w:rFonts w:asciiTheme="majorHAnsi" w:hAnsiTheme="majorHAnsi"/>
          <w:lang w:val="en"/>
        </w:rPr>
        <w:t>. No dose recommendations can be made.</w:t>
      </w:r>
    </w:p>
    <w:p w14:paraId="25E45715" w14:textId="3096734F" w:rsidR="003C71A5" w:rsidRDefault="00883B07" w:rsidP="00307B9D">
      <w:pPr>
        <w:rPr>
          <w:rFonts w:asciiTheme="majorHAnsi" w:hAnsiTheme="majorHAnsi" w:cstheme="minorHAnsi"/>
          <w:b/>
          <w:bCs/>
          <w:lang w:val="en"/>
        </w:rPr>
      </w:pPr>
      <w:r w:rsidRPr="00273F6F">
        <w:rPr>
          <w:rFonts w:asciiTheme="majorHAnsi" w:hAnsiTheme="majorHAnsi" w:cstheme="minorHAnsi"/>
          <w:b/>
          <w:bCs/>
          <w:lang w:val="en"/>
        </w:rPr>
        <w:t xml:space="preserve">Preparation and Administration </w:t>
      </w:r>
      <w:r w:rsidR="00273F6F" w:rsidRPr="00273F6F">
        <w:rPr>
          <w:rFonts w:asciiTheme="majorHAnsi" w:hAnsiTheme="majorHAnsi" w:cstheme="minorHAnsi"/>
          <w:b/>
          <w:bCs/>
          <w:lang w:val="en"/>
        </w:rPr>
        <w:t>for Intravenous Infusion</w:t>
      </w:r>
      <w:r w:rsidR="00273F6F">
        <w:rPr>
          <w:rFonts w:asciiTheme="majorHAnsi" w:hAnsiTheme="majorHAnsi" w:cstheme="minorHAnsi"/>
          <w:b/>
          <w:bCs/>
          <w:lang w:val="en"/>
        </w:rPr>
        <w:t xml:space="preserve"> (Induction Dose)</w:t>
      </w:r>
    </w:p>
    <w:p w14:paraId="46720DE2" w14:textId="7297DFB1" w:rsidR="0067539F" w:rsidRPr="0067539F" w:rsidRDefault="0067539F" w:rsidP="0067539F">
      <w:pPr>
        <w:rPr>
          <w:rFonts w:asciiTheme="majorHAnsi" w:hAnsiTheme="majorHAnsi" w:cstheme="minorHAnsi"/>
          <w:lang w:val="en"/>
        </w:rPr>
      </w:pPr>
      <w:r w:rsidRPr="0067539F">
        <w:rPr>
          <w:rFonts w:asciiTheme="majorHAnsi" w:hAnsiTheme="majorHAnsi" w:cstheme="minorHAnsi"/>
          <w:lang w:val="en"/>
        </w:rPr>
        <w:t>OMVOH solution for intravenous infusion must be diluted, prepared and infused by a healthcare professional.</w:t>
      </w:r>
    </w:p>
    <w:p w14:paraId="208B6CD2" w14:textId="77777777" w:rsidR="0067539F" w:rsidRPr="000808F4" w:rsidRDefault="0067539F" w:rsidP="0067539F">
      <w:pPr>
        <w:rPr>
          <w:rFonts w:asciiTheme="majorHAnsi" w:hAnsiTheme="majorHAnsi" w:cstheme="minorHAnsi"/>
          <w:u w:val="single"/>
          <w:lang w:val="en"/>
        </w:rPr>
      </w:pPr>
      <w:r w:rsidRPr="000808F4">
        <w:rPr>
          <w:rFonts w:asciiTheme="majorHAnsi" w:hAnsiTheme="majorHAnsi" w:cstheme="minorHAnsi"/>
          <w:u w:val="single"/>
          <w:lang w:val="en"/>
        </w:rPr>
        <w:t>Dilution of OMVOH to prepare solution for infusion</w:t>
      </w:r>
    </w:p>
    <w:p w14:paraId="6F7E98AC" w14:textId="31E558E9" w:rsidR="00CE196A" w:rsidRPr="0067539F" w:rsidRDefault="0067539F" w:rsidP="0025008F">
      <w:pPr>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Each vial is for single use only.</w:t>
      </w:r>
      <w:r w:rsidR="00A24252">
        <w:rPr>
          <w:rFonts w:asciiTheme="majorHAnsi" w:hAnsiTheme="majorHAnsi" w:cstheme="minorHAnsi"/>
          <w:lang w:val="en"/>
        </w:rPr>
        <w:t xml:space="preserve"> </w:t>
      </w:r>
    </w:p>
    <w:p w14:paraId="1D60671D" w14:textId="77777777" w:rsidR="0067539F" w:rsidRPr="0067539F" w:rsidRDefault="0067539F" w:rsidP="006165A6">
      <w:pPr>
        <w:ind w:left="720" w:hanging="720"/>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Prepare the infusion solution using aseptic technique to ensure the sterility of the prepared solution.</w:t>
      </w:r>
    </w:p>
    <w:p w14:paraId="16607D28" w14:textId="12BF8F61" w:rsidR="0067539F" w:rsidRPr="0067539F" w:rsidRDefault="0067539F" w:rsidP="006165A6">
      <w:pPr>
        <w:ind w:left="720" w:hanging="720"/>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Inspect the content of the vial. The solution should be a clear</w:t>
      </w:r>
      <w:r w:rsidR="004B28FC">
        <w:rPr>
          <w:rFonts w:asciiTheme="majorHAnsi" w:hAnsiTheme="majorHAnsi" w:cstheme="minorHAnsi"/>
          <w:lang w:val="en"/>
        </w:rPr>
        <w:t>,</w:t>
      </w:r>
      <w:r w:rsidRPr="0067539F">
        <w:rPr>
          <w:rFonts w:asciiTheme="majorHAnsi" w:hAnsiTheme="majorHAnsi" w:cstheme="minorHAnsi"/>
          <w:lang w:val="en"/>
        </w:rPr>
        <w:t xml:space="preserve"> colo</w:t>
      </w:r>
      <w:r w:rsidR="004B28FC">
        <w:rPr>
          <w:rFonts w:asciiTheme="majorHAnsi" w:hAnsiTheme="majorHAnsi" w:cstheme="minorHAnsi"/>
          <w:lang w:val="en"/>
        </w:rPr>
        <w:t>u</w:t>
      </w:r>
      <w:r w:rsidRPr="0067539F">
        <w:rPr>
          <w:rFonts w:asciiTheme="majorHAnsi" w:hAnsiTheme="majorHAnsi" w:cstheme="minorHAnsi"/>
          <w:lang w:val="en"/>
        </w:rPr>
        <w:t>rless to slightly yellow solution and free of visible particles.</w:t>
      </w:r>
    </w:p>
    <w:p w14:paraId="0EAE3529" w14:textId="49418DCE" w:rsidR="0067539F" w:rsidRPr="0067539F" w:rsidRDefault="0067539F" w:rsidP="006165A6">
      <w:pPr>
        <w:ind w:left="720" w:hanging="720"/>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 xml:space="preserve">Withdraw 15 mL from the OMVOH vial (300 mg) using an appropriately sized needle (18 to 21 gauge is recommended) and transfer to the infusion bag. OMVOH should be diluted only in intravenous infusion bags (bag size ranging from 50 - 250 mL) containing EITHER 0.9% sodium chloride solution for injection OR 5% dextrose </w:t>
      </w:r>
      <w:r w:rsidR="00EB2487">
        <w:rPr>
          <w:rFonts w:asciiTheme="majorHAnsi" w:hAnsiTheme="majorHAnsi" w:cstheme="minorHAnsi"/>
          <w:lang w:val="en"/>
        </w:rPr>
        <w:t xml:space="preserve">(or glucose) </w:t>
      </w:r>
      <w:r w:rsidRPr="0067539F">
        <w:rPr>
          <w:rFonts w:asciiTheme="majorHAnsi" w:hAnsiTheme="majorHAnsi" w:cstheme="minorHAnsi"/>
          <w:lang w:val="en"/>
        </w:rPr>
        <w:t>solution for injection. Do not dilute the infusion solution with other solutions or co-infuse with other electrolytes or medications.</w:t>
      </w:r>
    </w:p>
    <w:p w14:paraId="6CF49748" w14:textId="4892B799" w:rsidR="0067539F" w:rsidRPr="0067539F" w:rsidRDefault="0067539F" w:rsidP="0067539F">
      <w:pPr>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Gently invert the infusion bag to mix the contents. Do not shake the prepared bag.</w:t>
      </w:r>
    </w:p>
    <w:p w14:paraId="7E5CA967" w14:textId="77777777" w:rsidR="0067539F" w:rsidRPr="000808F4" w:rsidRDefault="0067539F" w:rsidP="0067539F">
      <w:pPr>
        <w:rPr>
          <w:rFonts w:asciiTheme="majorHAnsi" w:hAnsiTheme="majorHAnsi" w:cstheme="minorHAnsi"/>
          <w:u w:val="single"/>
          <w:lang w:val="en"/>
        </w:rPr>
      </w:pPr>
      <w:r w:rsidRPr="000808F4">
        <w:rPr>
          <w:rFonts w:asciiTheme="majorHAnsi" w:hAnsiTheme="majorHAnsi" w:cstheme="minorHAnsi"/>
          <w:u w:val="single"/>
          <w:lang w:val="en"/>
        </w:rPr>
        <w:t>Administration of OMVOH solution for infusion</w:t>
      </w:r>
    </w:p>
    <w:p w14:paraId="43DBC52F" w14:textId="35693F7A" w:rsidR="0067539F" w:rsidRPr="0067539F" w:rsidRDefault="0067539F" w:rsidP="000808F4">
      <w:pPr>
        <w:ind w:left="720" w:hanging="720"/>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Connect the intravenous administration set (infusion line) to the prepared infusion bag and prime the line. Administer the infusion for at least 30 minutes.</w:t>
      </w:r>
    </w:p>
    <w:p w14:paraId="16D27D16" w14:textId="7D58F25C" w:rsidR="0067539F" w:rsidRDefault="0067539F" w:rsidP="00F80288">
      <w:pPr>
        <w:ind w:left="709" w:hanging="709"/>
        <w:rPr>
          <w:rFonts w:asciiTheme="majorHAnsi" w:hAnsiTheme="majorHAnsi" w:cstheme="minorHAnsi"/>
          <w:lang w:val="en"/>
        </w:rPr>
      </w:pPr>
      <w:r w:rsidRPr="0067539F">
        <w:rPr>
          <w:rFonts w:asciiTheme="majorHAnsi" w:hAnsiTheme="majorHAnsi" w:cstheme="minorHAnsi"/>
          <w:lang w:val="en"/>
        </w:rPr>
        <w:t>•</w:t>
      </w:r>
      <w:r w:rsidRPr="0067539F">
        <w:rPr>
          <w:rFonts w:asciiTheme="majorHAnsi" w:hAnsiTheme="majorHAnsi" w:cstheme="minorHAnsi"/>
          <w:lang w:val="en"/>
        </w:rPr>
        <w:tab/>
        <w:t xml:space="preserve">At the end of the infusion, to ensure a full dose is administered, the infusion line should be flushed with 0.9% sodium chloride solution for injection or 5% </w:t>
      </w:r>
      <w:r w:rsidR="004F678F">
        <w:rPr>
          <w:rFonts w:asciiTheme="majorHAnsi" w:hAnsiTheme="majorHAnsi" w:cstheme="minorHAnsi"/>
          <w:lang w:val="en"/>
        </w:rPr>
        <w:t xml:space="preserve">dextrose (or </w:t>
      </w:r>
      <w:r w:rsidR="006043D7">
        <w:rPr>
          <w:rFonts w:asciiTheme="majorHAnsi" w:hAnsiTheme="majorHAnsi" w:cstheme="minorHAnsi"/>
          <w:lang w:val="en"/>
        </w:rPr>
        <w:t>glucose</w:t>
      </w:r>
      <w:r w:rsidR="004F678F">
        <w:rPr>
          <w:rFonts w:asciiTheme="majorHAnsi" w:hAnsiTheme="majorHAnsi" w:cstheme="minorHAnsi"/>
          <w:lang w:val="en"/>
        </w:rPr>
        <w:t>)</w:t>
      </w:r>
      <w:r w:rsidRPr="0067539F">
        <w:rPr>
          <w:rFonts w:asciiTheme="majorHAnsi" w:hAnsiTheme="majorHAnsi" w:cstheme="minorHAnsi"/>
          <w:lang w:val="en"/>
        </w:rPr>
        <w:t xml:space="preserve"> solution for injection. The flush should be administered at the same infusion rate as used for OMVOH administration. The time required to flush OMVOH solution from the infusion line is in addition to the minimum 30-minute infusion time.</w:t>
      </w:r>
    </w:p>
    <w:p w14:paraId="215DFE7D" w14:textId="77777777" w:rsidR="002757A5" w:rsidRDefault="002757A5">
      <w:pPr>
        <w:rPr>
          <w:rFonts w:asciiTheme="majorHAnsi" w:hAnsiTheme="majorHAnsi"/>
          <w:b/>
          <w:bCs/>
          <w:lang w:val="en"/>
        </w:rPr>
      </w:pPr>
      <w:r>
        <w:rPr>
          <w:rFonts w:asciiTheme="majorHAnsi" w:hAnsiTheme="majorHAnsi"/>
          <w:b/>
          <w:bCs/>
          <w:lang w:val="en"/>
        </w:rPr>
        <w:br w:type="page"/>
      </w:r>
    </w:p>
    <w:p w14:paraId="099B95BF" w14:textId="152AADE6" w:rsidR="00D4218F" w:rsidRPr="001F1A48" w:rsidRDefault="000C1D45" w:rsidP="00441F82">
      <w:pPr>
        <w:rPr>
          <w:rFonts w:asciiTheme="majorHAnsi" w:hAnsiTheme="majorHAnsi"/>
          <w:b/>
          <w:lang w:val="en"/>
        </w:rPr>
      </w:pPr>
      <w:r w:rsidRPr="65E7A50B">
        <w:rPr>
          <w:rFonts w:asciiTheme="majorHAnsi" w:hAnsiTheme="majorHAnsi"/>
          <w:b/>
          <w:lang w:val="en"/>
        </w:rPr>
        <w:lastRenderedPageBreak/>
        <w:t xml:space="preserve">General Considerations for Administration for Subcutaneous Injection by </w:t>
      </w:r>
      <w:r w:rsidR="00147937" w:rsidRPr="65E7A50B">
        <w:rPr>
          <w:rFonts w:asciiTheme="majorHAnsi" w:hAnsiTheme="majorHAnsi"/>
          <w:b/>
          <w:lang w:val="en"/>
        </w:rPr>
        <w:t>Autoinjector (</w:t>
      </w:r>
      <w:r w:rsidRPr="65E7A50B">
        <w:rPr>
          <w:rFonts w:asciiTheme="majorHAnsi" w:hAnsiTheme="majorHAnsi"/>
          <w:b/>
          <w:lang w:val="en"/>
        </w:rPr>
        <w:t>Pre</w:t>
      </w:r>
      <w:r w:rsidR="00EB37FA" w:rsidRPr="65E7A50B">
        <w:rPr>
          <w:rFonts w:asciiTheme="majorHAnsi" w:hAnsiTheme="majorHAnsi"/>
          <w:b/>
          <w:lang w:val="en"/>
        </w:rPr>
        <w:t>-</w:t>
      </w:r>
      <w:r w:rsidRPr="65E7A50B">
        <w:rPr>
          <w:rFonts w:asciiTheme="majorHAnsi" w:hAnsiTheme="majorHAnsi"/>
          <w:b/>
          <w:lang w:val="en"/>
        </w:rPr>
        <w:t>filled Pen</w:t>
      </w:r>
      <w:r w:rsidR="00147937" w:rsidRPr="65E7A50B">
        <w:rPr>
          <w:rFonts w:asciiTheme="majorHAnsi" w:hAnsiTheme="majorHAnsi"/>
          <w:b/>
          <w:lang w:val="en"/>
        </w:rPr>
        <w:t>)</w:t>
      </w:r>
      <w:r w:rsidRPr="65E7A50B">
        <w:rPr>
          <w:rFonts w:asciiTheme="majorHAnsi" w:hAnsiTheme="majorHAnsi"/>
          <w:b/>
          <w:lang w:val="en"/>
        </w:rPr>
        <w:t xml:space="preserve"> or Pre</w:t>
      </w:r>
      <w:r w:rsidR="00EB37FA" w:rsidRPr="65E7A50B">
        <w:rPr>
          <w:rFonts w:asciiTheme="majorHAnsi" w:hAnsiTheme="majorHAnsi"/>
          <w:b/>
          <w:lang w:val="en"/>
        </w:rPr>
        <w:t>-</w:t>
      </w:r>
      <w:r w:rsidRPr="65E7A50B">
        <w:rPr>
          <w:rFonts w:asciiTheme="majorHAnsi" w:hAnsiTheme="majorHAnsi"/>
          <w:b/>
          <w:lang w:val="en"/>
        </w:rPr>
        <w:t>filled Syringe (Maintenance Dose)</w:t>
      </w:r>
    </w:p>
    <w:p w14:paraId="70E96D23" w14:textId="2A18A9A7" w:rsidR="007637D4" w:rsidRPr="007637D4" w:rsidRDefault="007637D4" w:rsidP="00B8223E">
      <w:pPr>
        <w:ind w:left="720" w:hanging="720"/>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 xml:space="preserve">A full maintenance dose will require 2 </w:t>
      </w:r>
      <w:r w:rsidR="00147937">
        <w:rPr>
          <w:rFonts w:asciiTheme="majorHAnsi" w:hAnsiTheme="majorHAnsi" w:cstheme="minorHAnsi"/>
          <w:lang w:val="en"/>
        </w:rPr>
        <w:t>autoinjector</w:t>
      </w:r>
      <w:r w:rsidR="00275D29">
        <w:rPr>
          <w:rFonts w:asciiTheme="majorHAnsi" w:hAnsiTheme="majorHAnsi" w:cstheme="minorHAnsi"/>
          <w:lang w:val="en"/>
        </w:rPr>
        <w:t>s</w:t>
      </w:r>
      <w:r w:rsidR="00147937">
        <w:rPr>
          <w:rFonts w:asciiTheme="majorHAnsi" w:hAnsiTheme="majorHAnsi" w:cstheme="minorHAnsi"/>
          <w:lang w:val="en"/>
        </w:rPr>
        <w:t xml:space="preserve"> (</w:t>
      </w:r>
      <w:r w:rsidRPr="007637D4">
        <w:rPr>
          <w:rFonts w:asciiTheme="majorHAnsi" w:hAnsiTheme="majorHAnsi" w:cstheme="minorHAnsi"/>
          <w:lang w:val="en"/>
        </w:rPr>
        <w:t>pre</w:t>
      </w:r>
      <w:r w:rsidR="00EB37FA">
        <w:rPr>
          <w:rFonts w:asciiTheme="majorHAnsi" w:hAnsiTheme="majorHAnsi" w:cstheme="minorHAnsi"/>
          <w:lang w:val="en"/>
        </w:rPr>
        <w:t>-</w:t>
      </w:r>
      <w:r w:rsidRPr="007637D4">
        <w:rPr>
          <w:rFonts w:asciiTheme="majorHAnsi" w:hAnsiTheme="majorHAnsi" w:cstheme="minorHAnsi"/>
          <w:lang w:val="en"/>
        </w:rPr>
        <w:t>filled pens</w:t>
      </w:r>
      <w:r w:rsidR="00147937">
        <w:rPr>
          <w:rFonts w:asciiTheme="majorHAnsi" w:hAnsiTheme="majorHAnsi" w:cstheme="minorHAnsi"/>
          <w:lang w:val="en"/>
        </w:rPr>
        <w:t>)</w:t>
      </w:r>
      <w:r w:rsidRPr="007637D4">
        <w:rPr>
          <w:rFonts w:asciiTheme="majorHAnsi" w:hAnsiTheme="majorHAnsi" w:cstheme="minorHAnsi"/>
          <w:lang w:val="en"/>
        </w:rPr>
        <w:t xml:space="preserve"> or 2 pre</w:t>
      </w:r>
      <w:r w:rsidR="00EB37FA">
        <w:rPr>
          <w:rFonts w:asciiTheme="majorHAnsi" w:hAnsiTheme="majorHAnsi" w:cstheme="minorHAnsi"/>
          <w:lang w:val="en"/>
        </w:rPr>
        <w:t>-</w:t>
      </w:r>
      <w:r w:rsidRPr="007637D4">
        <w:rPr>
          <w:rFonts w:asciiTheme="majorHAnsi" w:hAnsiTheme="majorHAnsi" w:cstheme="minorHAnsi"/>
          <w:lang w:val="en"/>
        </w:rPr>
        <w:t>filled syringes</w:t>
      </w:r>
      <w:r w:rsidR="00BA6447">
        <w:rPr>
          <w:rFonts w:asciiTheme="majorHAnsi" w:hAnsiTheme="majorHAnsi" w:cstheme="minorHAnsi"/>
          <w:lang w:val="en"/>
        </w:rPr>
        <w:t xml:space="preserve"> injected</w:t>
      </w:r>
      <w:r w:rsidR="00B8223E">
        <w:rPr>
          <w:rFonts w:asciiTheme="majorHAnsi" w:hAnsiTheme="majorHAnsi" w:cstheme="minorHAnsi"/>
          <w:lang w:val="en"/>
        </w:rPr>
        <w:t xml:space="preserve"> subcutaneously every 4 weeks after completion of induction dosing.</w:t>
      </w:r>
      <w:r w:rsidR="00904F1C">
        <w:rPr>
          <w:rFonts w:asciiTheme="majorHAnsi" w:hAnsiTheme="majorHAnsi" w:cstheme="minorHAnsi"/>
          <w:lang w:val="en"/>
        </w:rPr>
        <w:t xml:space="preserve"> </w:t>
      </w:r>
    </w:p>
    <w:p w14:paraId="460CBC7E" w14:textId="77777777" w:rsidR="007637D4" w:rsidRPr="007637D4" w:rsidRDefault="007637D4" w:rsidP="00A11744">
      <w:pPr>
        <w:ind w:left="720" w:hanging="720"/>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OMVOH is intended for use under the guidance and supervision of a healthcare professional. Patients may self-inject OMVOH after training in subcutaneous injection technique. Provide proper training to patients and/or caregivers on the subcutaneous injection technique of OMVOH according to the “Instructions for Use”, included with the packaged product.</w:t>
      </w:r>
    </w:p>
    <w:p w14:paraId="71A81373" w14:textId="77777777" w:rsidR="007637D4" w:rsidRPr="007637D4" w:rsidRDefault="007637D4" w:rsidP="00A11744">
      <w:pPr>
        <w:ind w:left="720" w:hanging="720"/>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Sites for injection include the abdomen, thigh, and back of the upper arm. Instruct patients to inject in a different location every time. For example, if the first injection was in the abdomen, the second injection - to complete a full dose - could be in another area of the abdomen.</w:t>
      </w:r>
    </w:p>
    <w:p w14:paraId="57FF0F46" w14:textId="5F3E0474" w:rsidR="007637D4" w:rsidRPr="007637D4" w:rsidRDefault="007637D4" w:rsidP="007637D4">
      <w:pPr>
        <w:rPr>
          <w:rFonts w:asciiTheme="majorHAnsi" w:hAnsiTheme="majorHAnsi"/>
          <w:lang w:val="en"/>
        </w:rPr>
      </w:pPr>
      <w:r w:rsidRPr="3D5D2A79">
        <w:rPr>
          <w:rFonts w:asciiTheme="majorHAnsi" w:hAnsiTheme="majorHAnsi"/>
          <w:lang w:val="en"/>
        </w:rPr>
        <w:t>•</w:t>
      </w:r>
      <w:r>
        <w:tab/>
      </w:r>
      <w:r w:rsidRPr="3D5D2A79">
        <w:rPr>
          <w:rFonts w:asciiTheme="majorHAnsi" w:hAnsiTheme="majorHAnsi"/>
          <w:lang w:val="en"/>
        </w:rPr>
        <w:t>Do not inject into areas where the skin is tender, bruised, erythematous</w:t>
      </w:r>
      <w:r w:rsidR="476F1048" w:rsidRPr="3D5D2A79">
        <w:rPr>
          <w:rFonts w:asciiTheme="majorHAnsi" w:hAnsiTheme="majorHAnsi"/>
          <w:lang w:val="en"/>
        </w:rPr>
        <w:t xml:space="preserve"> </w:t>
      </w:r>
      <w:r w:rsidR="476F1048" w:rsidRPr="6AB6E156">
        <w:rPr>
          <w:rFonts w:asciiTheme="majorHAnsi" w:hAnsiTheme="majorHAnsi"/>
          <w:lang w:val="en"/>
        </w:rPr>
        <w:t>or</w:t>
      </w:r>
      <w:r w:rsidR="007A6CBC">
        <w:rPr>
          <w:rFonts w:asciiTheme="majorHAnsi" w:hAnsiTheme="majorHAnsi"/>
          <w:lang w:val="en"/>
        </w:rPr>
        <w:t xml:space="preserve"> </w:t>
      </w:r>
      <w:r w:rsidRPr="3D5D2A79">
        <w:rPr>
          <w:rFonts w:asciiTheme="majorHAnsi" w:hAnsiTheme="majorHAnsi"/>
          <w:lang w:val="en"/>
        </w:rPr>
        <w:t>indurated.</w:t>
      </w:r>
    </w:p>
    <w:p w14:paraId="6EF9CADE" w14:textId="15309AD6" w:rsidR="007637D4" w:rsidRPr="007637D4" w:rsidRDefault="007637D4" w:rsidP="001F1A48">
      <w:pPr>
        <w:ind w:left="720" w:hanging="720"/>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 xml:space="preserve">Before injection, remove OMVOH </w:t>
      </w:r>
      <w:r w:rsidR="001A049A">
        <w:rPr>
          <w:rFonts w:asciiTheme="majorHAnsi" w:hAnsiTheme="majorHAnsi" w:cstheme="minorHAnsi"/>
          <w:lang w:val="en"/>
        </w:rPr>
        <w:t>autoinjector (</w:t>
      </w:r>
      <w:r w:rsidRPr="007637D4">
        <w:rPr>
          <w:rFonts w:asciiTheme="majorHAnsi" w:hAnsiTheme="majorHAnsi" w:cstheme="minorHAnsi"/>
          <w:lang w:val="en"/>
        </w:rPr>
        <w:t>pre</w:t>
      </w:r>
      <w:r w:rsidR="00EB37FA">
        <w:rPr>
          <w:rFonts w:asciiTheme="majorHAnsi" w:hAnsiTheme="majorHAnsi" w:cstheme="minorHAnsi"/>
          <w:lang w:val="en"/>
        </w:rPr>
        <w:t>-</w:t>
      </w:r>
      <w:r w:rsidRPr="007637D4">
        <w:rPr>
          <w:rFonts w:asciiTheme="majorHAnsi" w:hAnsiTheme="majorHAnsi" w:cstheme="minorHAnsi"/>
          <w:lang w:val="en"/>
        </w:rPr>
        <w:t>filled pen</w:t>
      </w:r>
      <w:r w:rsidR="001A049A">
        <w:rPr>
          <w:rFonts w:asciiTheme="majorHAnsi" w:hAnsiTheme="majorHAnsi" w:cstheme="minorHAnsi"/>
          <w:lang w:val="en"/>
        </w:rPr>
        <w:t>)</w:t>
      </w:r>
      <w:r w:rsidRPr="007637D4">
        <w:rPr>
          <w:rFonts w:asciiTheme="majorHAnsi" w:hAnsiTheme="majorHAnsi" w:cstheme="minorHAnsi"/>
          <w:lang w:val="en"/>
        </w:rPr>
        <w:t xml:space="preserve"> or OMVOH pre</w:t>
      </w:r>
      <w:r w:rsidR="00EB37FA">
        <w:rPr>
          <w:rFonts w:asciiTheme="majorHAnsi" w:hAnsiTheme="majorHAnsi" w:cstheme="minorHAnsi"/>
          <w:lang w:val="en"/>
        </w:rPr>
        <w:t>-</w:t>
      </w:r>
      <w:r w:rsidRPr="007637D4">
        <w:rPr>
          <w:rFonts w:asciiTheme="majorHAnsi" w:hAnsiTheme="majorHAnsi" w:cstheme="minorHAnsi"/>
          <w:lang w:val="en"/>
        </w:rPr>
        <w:t>filled syringe from the refrigerator and leave at room temperature for 30 minutes.</w:t>
      </w:r>
    </w:p>
    <w:p w14:paraId="7FE889B3" w14:textId="48A162C6" w:rsidR="007637D4" w:rsidRPr="007637D4" w:rsidRDefault="007637D4" w:rsidP="001F1A48">
      <w:pPr>
        <w:ind w:left="720" w:hanging="720"/>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Inspect OMVOH visually for particulate matter and discolo</w:t>
      </w:r>
      <w:r w:rsidR="009E2B94">
        <w:rPr>
          <w:rFonts w:asciiTheme="majorHAnsi" w:hAnsiTheme="majorHAnsi" w:cstheme="minorHAnsi"/>
          <w:lang w:val="en"/>
        </w:rPr>
        <w:t>u</w:t>
      </w:r>
      <w:r w:rsidRPr="007637D4">
        <w:rPr>
          <w:rFonts w:asciiTheme="majorHAnsi" w:hAnsiTheme="majorHAnsi" w:cstheme="minorHAnsi"/>
          <w:lang w:val="en"/>
        </w:rPr>
        <w:t>ration prior to administration. Do not use OMVOH if it is cloudy or there are visible particles.</w:t>
      </w:r>
    </w:p>
    <w:p w14:paraId="0CB2041A" w14:textId="16F79D54" w:rsidR="000C1D45" w:rsidRPr="007637D4" w:rsidRDefault="007637D4" w:rsidP="005F2265">
      <w:pPr>
        <w:ind w:left="709" w:hanging="709"/>
        <w:rPr>
          <w:rFonts w:asciiTheme="majorHAnsi" w:hAnsiTheme="majorHAnsi" w:cstheme="minorHAnsi"/>
          <w:lang w:val="en"/>
        </w:rPr>
      </w:pPr>
      <w:r w:rsidRPr="007637D4">
        <w:rPr>
          <w:rFonts w:asciiTheme="majorHAnsi" w:hAnsiTheme="majorHAnsi" w:cstheme="minorHAnsi"/>
          <w:lang w:val="en"/>
        </w:rPr>
        <w:t>•</w:t>
      </w:r>
      <w:r w:rsidRPr="007637D4">
        <w:rPr>
          <w:rFonts w:asciiTheme="majorHAnsi" w:hAnsiTheme="majorHAnsi" w:cstheme="minorHAnsi"/>
          <w:lang w:val="en"/>
        </w:rPr>
        <w:tab/>
        <w:t>OMVOH does not contain preservatives, therefore discard any unused product. Do not reuse.</w:t>
      </w:r>
    </w:p>
    <w:p w14:paraId="7A41B27F" w14:textId="1A4F7786" w:rsidR="001A3992" w:rsidRDefault="001A3992" w:rsidP="001A3992">
      <w:pPr>
        <w:pStyle w:val="Heading2"/>
        <w:spacing w:before="0" w:after="120"/>
      </w:pPr>
      <w:bookmarkStart w:id="2" w:name="_Ref101854323"/>
      <w:r>
        <w:t>Contraindications</w:t>
      </w:r>
      <w:bookmarkEnd w:id="2"/>
      <w:r w:rsidR="0012736B">
        <w:fldChar w:fldCharType="begin"/>
      </w:r>
      <w:r w:rsidR="0012736B">
        <w:instrText xml:space="preserve"> DOCVARIABLE vault_nd_07839159-9846-47a0-b004-d6dbaae03314 \* MERGEFORMAT </w:instrText>
      </w:r>
      <w:r w:rsidR="0012736B">
        <w:fldChar w:fldCharType="separate"/>
      </w:r>
      <w:r w:rsidR="0012736B">
        <w:t xml:space="preserve"> </w:t>
      </w:r>
      <w:r w:rsidR="0012736B">
        <w:fldChar w:fldCharType="end"/>
      </w:r>
    </w:p>
    <w:p w14:paraId="58980926" w14:textId="43929233" w:rsidR="00477596" w:rsidRDefault="00926F51" w:rsidP="00477596">
      <w:pPr>
        <w:rPr>
          <w:rFonts w:asciiTheme="majorHAnsi" w:hAnsiTheme="majorHAnsi" w:cstheme="minorHAnsi"/>
          <w:lang w:val="en"/>
        </w:rPr>
      </w:pPr>
      <w:r w:rsidRPr="00926F51">
        <w:rPr>
          <w:rFonts w:asciiTheme="majorHAnsi" w:hAnsiTheme="majorHAnsi" w:cstheme="minorHAnsi"/>
          <w:lang w:val="en"/>
        </w:rPr>
        <w:t xml:space="preserve">Hypersensitivity to the active substance or to any of the excipients listed in section </w:t>
      </w:r>
      <w:r w:rsidR="002757A5" w:rsidRPr="001A46B1">
        <w:rPr>
          <w:rFonts w:asciiTheme="majorHAnsi" w:hAnsiTheme="majorHAnsi" w:cstheme="minorHAnsi"/>
          <w:color w:val="0000FF"/>
          <w:lang w:val="en"/>
        </w:rPr>
        <w:fldChar w:fldCharType="begin"/>
      </w:r>
      <w:r w:rsidR="002757A5" w:rsidRPr="001A46B1">
        <w:rPr>
          <w:rFonts w:asciiTheme="majorHAnsi" w:hAnsiTheme="majorHAnsi" w:cstheme="minorHAnsi"/>
          <w:color w:val="0000FF"/>
          <w:lang w:val="en"/>
        </w:rPr>
        <w:instrText xml:space="preserve"> REF _Ref101513910 \r \h </w:instrText>
      </w:r>
      <w:r w:rsidR="002757A5" w:rsidRPr="001A46B1">
        <w:rPr>
          <w:rFonts w:asciiTheme="majorHAnsi" w:hAnsiTheme="majorHAnsi" w:cstheme="minorHAnsi"/>
          <w:color w:val="0000FF"/>
          <w:lang w:val="en"/>
        </w:rPr>
      </w:r>
      <w:r w:rsidR="002757A5" w:rsidRPr="001A46B1">
        <w:rPr>
          <w:rFonts w:asciiTheme="majorHAnsi" w:hAnsiTheme="majorHAnsi" w:cstheme="minorHAnsi"/>
          <w:color w:val="0000FF"/>
          <w:lang w:val="en"/>
        </w:rPr>
        <w:fldChar w:fldCharType="separate"/>
      </w:r>
      <w:r w:rsidR="002757A5" w:rsidRPr="001A46B1">
        <w:rPr>
          <w:rFonts w:asciiTheme="majorHAnsi" w:hAnsiTheme="majorHAnsi" w:cstheme="minorHAnsi"/>
          <w:color w:val="0000FF"/>
          <w:lang w:val="en"/>
        </w:rPr>
        <w:t>6.1</w:t>
      </w:r>
      <w:r w:rsidR="002757A5" w:rsidRPr="001A46B1">
        <w:rPr>
          <w:rFonts w:asciiTheme="majorHAnsi" w:hAnsiTheme="majorHAnsi" w:cstheme="minorHAnsi"/>
          <w:color w:val="0000FF"/>
          <w:lang w:val="en"/>
        </w:rPr>
        <w:fldChar w:fldCharType="end"/>
      </w:r>
      <w:r w:rsidRPr="001A46B1">
        <w:rPr>
          <w:rFonts w:asciiTheme="majorHAnsi" w:hAnsiTheme="majorHAnsi" w:cstheme="minorHAnsi"/>
          <w:color w:val="0000FF"/>
          <w:lang w:val="en"/>
        </w:rPr>
        <w:t xml:space="preserve"> </w:t>
      </w:r>
      <w:r w:rsidR="007E56F0" w:rsidRPr="001A46B1">
        <w:rPr>
          <w:rFonts w:asciiTheme="majorHAnsi" w:hAnsiTheme="majorHAnsi" w:cstheme="minorHAnsi"/>
          <w:color w:val="0000FF"/>
          <w:shd w:val="clear" w:color="auto" w:fill="E6E6E6"/>
          <w:lang w:val="en"/>
        </w:rPr>
        <w:fldChar w:fldCharType="begin"/>
      </w:r>
      <w:r w:rsidR="007E56F0" w:rsidRPr="001A46B1">
        <w:rPr>
          <w:rFonts w:asciiTheme="majorHAnsi" w:hAnsiTheme="majorHAnsi" w:cstheme="minorHAnsi"/>
          <w:color w:val="0000FF"/>
          <w:lang w:val="en"/>
        </w:rPr>
        <w:instrText xml:space="preserve"> REF _Ref101513910 \h  \* MERGEFORMAT </w:instrText>
      </w:r>
      <w:r w:rsidR="007E56F0" w:rsidRPr="001A46B1">
        <w:rPr>
          <w:rFonts w:asciiTheme="majorHAnsi" w:hAnsiTheme="majorHAnsi" w:cstheme="minorHAnsi"/>
          <w:color w:val="0000FF"/>
          <w:shd w:val="clear" w:color="auto" w:fill="E6E6E6"/>
          <w:lang w:val="en"/>
        </w:rPr>
      </w:r>
      <w:r w:rsidR="007E56F0" w:rsidRPr="001A46B1">
        <w:rPr>
          <w:rFonts w:asciiTheme="majorHAnsi" w:hAnsiTheme="majorHAnsi" w:cstheme="minorHAnsi"/>
          <w:color w:val="0000FF"/>
          <w:shd w:val="clear" w:color="auto" w:fill="E6E6E6"/>
          <w:lang w:val="en"/>
        </w:rPr>
        <w:fldChar w:fldCharType="separate"/>
      </w:r>
      <w:r w:rsidR="007E56F0" w:rsidRPr="001A46B1">
        <w:rPr>
          <w:rFonts w:asciiTheme="majorHAnsi" w:hAnsiTheme="majorHAnsi" w:cstheme="minorHAnsi"/>
          <w:color w:val="0000FF"/>
          <w:lang w:val="en-US"/>
        </w:rPr>
        <w:t>List of excipients</w:t>
      </w:r>
      <w:r w:rsidR="007E56F0" w:rsidRPr="001A46B1">
        <w:rPr>
          <w:rFonts w:asciiTheme="majorHAnsi" w:hAnsiTheme="majorHAnsi" w:cstheme="minorHAnsi"/>
          <w:color w:val="0000FF"/>
          <w:shd w:val="clear" w:color="auto" w:fill="E6E6E6"/>
          <w:lang w:val="en"/>
        </w:rPr>
        <w:fldChar w:fldCharType="end"/>
      </w:r>
      <w:r w:rsidRPr="00926F51">
        <w:rPr>
          <w:rFonts w:asciiTheme="majorHAnsi" w:hAnsiTheme="majorHAnsi" w:cstheme="minorHAnsi"/>
          <w:lang w:val="en"/>
        </w:rPr>
        <w:t>.</w:t>
      </w:r>
    </w:p>
    <w:p w14:paraId="68FF7927" w14:textId="1B5AE860" w:rsidR="007C2B96" w:rsidRPr="00926F51" w:rsidRDefault="008A6838" w:rsidP="00477596">
      <w:pPr>
        <w:rPr>
          <w:rFonts w:asciiTheme="majorHAnsi" w:hAnsiTheme="majorHAnsi"/>
          <w:lang w:val="en"/>
        </w:rPr>
      </w:pPr>
      <w:r w:rsidRPr="27C7A16B">
        <w:rPr>
          <w:rFonts w:asciiTheme="majorHAnsi" w:hAnsiTheme="majorHAnsi"/>
          <w:lang w:val="en"/>
        </w:rPr>
        <w:t>Clinically important active infections.</w:t>
      </w:r>
    </w:p>
    <w:p w14:paraId="4569ADEB" w14:textId="128CFE32" w:rsidR="001A3992" w:rsidRDefault="00E74A56" w:rsidP="001A3992">
      <w:pPr>
        <w:pStyle w:val="Heading2"/>
        <w:spacing w:before="0" w:after="120"/>
      </w:pPr>
      <w:bookmarkStart w:id="3" w:name="_Ref101456234"/>
      <w:bookmarkStart w:id="4" w:name="_Ref122502211"/>
      <w:r>
        <w:t>Special warnings and p</w:t>
      </w:r>
      <w:r w:rsidR="001A3992">
        <w:t xml:space="preserve">recautions </w:t>
      </w:r>
      <w:r>
        <w:t>for use</w:t>
      </w:r>
      <w:bookmarkEnd w:id="3"/>
      <w:bookmarkEnd w:id="4"/>
      <w:r w:rsidR="0012736B">
        <w:fldChar w:fldCharType="begin"/>
      </w:r>
      <w:r w:rsidR="0012736B">
        <w:instrText xml:space="preserve"> DOCVARIABLE vault_nd_5605f3b4-450f-4a64-88d7-76e356b89ca3 \* MERGEFORMAT </w:instrText>
      </w:r>
      <w:r w:rsidR="0012736B">
        <w:fldChar w:fldCharType="separate"/>
      </w:r>
      <w:r w:rsidR="0012736B">
        <w:t xml:space="preserve"> </w:t>
      </w:r>
      <w:r w:rsidR="0012736B">
        <w:fldChar w:fldCharType="end"/>
      </w:r>
    </w:p>
    <w:p w14:paraId="74F56883" w14:textId="693DC482" w:rsidR="004A17C7" w:rsidRPr="00730027" w:rsidRDefault="004A17C7" w:rsidP="008A1921">
      <w:pPr>
        <w:pStyle w:val="Heading3"/>
        <w:spacing w:before="0" w:after="120"/>
        <w:ind w:left="0"/>
        <w:rPr>
          <w:lang w:val="en"/>
        </w:rPr>
      </w:pPr>
      <w:r w:rsidRPr="00730027">
        <w:rPr>
          <w:lang w:val="en"/>
        </w:rPr>
        <w:t xml:space="preserve">Hypersensitivity </w:t>
      </w:r>
      <w:r w:rsidR="00172104">
        <w:rPr>
          <w:lang w:val="en"/>
        </w:rPr>
        <w:t>r</w:t>
      </w:r>
      <w:r w:rsidRPr="00730027">
        <w:rPr>
          <w:lang w:val="en"/>
        </w:rPr>
        <w:t>eactions</w:t>
      </w:r>
      <w:r w:rsidR="00AE5D4A">
        <w:rPr>
          <w:lang w:val="en"/>
        </w:rPr>
        <w:fldChar w:fldCharType="begin"/>
      </w:r>
      <w:r w:rsidR="00AE5D4A">
        <w:rPr>
          <w:lang w:val="en"/>
        </w:rPr>
        <w:instrText xml:space="preserve"> DOCVARIABLE vault_nd_5ba55b4a-18ee-4212-a6c5-21b7affcd754 \* MERGEFORMAT </w:instrText>
      </w:r>
      <w:r w:rsidR="00AE5D4A">
        <w:rPr>
          <w:lang w:val="en"/>
        </w:rPr>
        <w:fldChar w:fldCharType="separate"/>
      </w:r>
      <w:r w:rsidR="00AE5D4A">
        <w:rPr>
          <w:lang w:val="en"/>
        </w:rPr>
        <w:t xml:space="preserve"> </w:t>
      </w:r>
      <w:r w:rsidR="00AE5D4A">
        <w:rPr>
          <w:lang w:val="en"/>
        </w:rPr>
        <w:fldChar w:fldCharType="end"/>
      </w:r>
    </w:p>
    <w:p w14:paraId="49131639" w14:textId="18AE7B4A" w:rsidR="005A507C" w:rsidRDefault="004A17C7" w:rsidP="004A17C7">
      <w:pPr>
        <w:rPr>
          <w:rFonts w:asciiTheme="majorHAnsi" w:hAnsiTheme="majorHAnsi" w:cstheme="minorHAnsi"/>
          <w:lang w:val="en"/>
        </w:rPr>
      </w:pPr>
      <w:r w:rsidRPr="004A17C7">
        <w:rPr>
          <w:rFonts w:asciiTheme="majorHAnsi" w:hAnsiTheme="majorHAnsi" w:cstheme="minorHAnsi"/>
          <w:lang w:val="en"/>
        </w:rPr>
        <w:t xml:space="preserve">Serious hypersensitivity reactions, including anaphylaxis, may occur with OMVOH administration. If serious hypersensitivity reactions occur, discontinue OMVOH immediately and initiate appropriate treatment </w:t>
      </w:r>
      <w:r w:rsidR="007E56F0">
        <w:rPr>
          <w:rFonts w:asciiTheme="majorHAnsi" w:hAnsiTheme="majorHAnsi" w:cstheme="minorHAnsi"/>
          <w:lang w:val="en"/>
        </w:rPr>
        <w:t>(</w:t>
      </w:r>
      <w:r w:rsidRPr="004A17C7">
        <w:rPr>
          <w:rFonts w:asciiTheme="majorHAnsi" w:hAnsiTheme="majorHAnsi" w:cstheme="minorHAnsi"/>
          <w:lang w:val="en"/>
        </w:rPr>
        <w:t xml:space="preserve">see </w:t>
      </w:r>
      <w:r w:rsidR="007E56F0">
        <w:rPr>
          <w:rFonts w:asciiTheme="majorHAnsi" w:hAnsiTheme="majorHAnsi" w:cstheme="minorHAnsi"/>
          <w:lang w:val="en"/>
        </w:rPr>
        <w:t xml:space="preserve">Section </w:t>
      </w:r>
      <w:r w:rsidR="00C4394B" w:rsidRPr="001A46B1">
        <w:rPr>
          <w:rFonts w:asciiTheme="majorHAnsi" w:hAnsiTheme="majorHAnsi" w:cstheme="minorHAnsi"/>
          <w:color w:val="0000FF"/>
          <w:shd w:val="clear" w:color="auto" w:fill="E6E6E6"/>
          <w:lang w:val="en"/>
        </w:rPr>
        <w:fldChar w:fldCharType="begin"/>
      </w:r>
      <w:r w:rsidR="00C4394B" w:rsidRPr="001A46B1">
        <w:rPr>
          <w:rFonts w:asciiTheme="majorHAnsi" w:hAnsiTheme="majorHAnsi" w:cstheme="minorHAnsi"/>
          <w:color w:val="0000FF"/>
          <w:lang w:val="en"/>
        </w:rPr>
        <w:instrText xml:space="preserve"> REF _Ref101513962 \w \h </w:instrText>
      </w:r>
      <w:r w:rsidR="00CD33BE" w:rsidRPr="001A46B1">
        <w:rPr>
          <w:rFonts w:asciiTheme="majorHAnsi" w:hAnsiTheme="majorHAnsi" w:cstheme="minorHAnsi"/>
          <w:color w:val="0000FF"/>
          <w:lang w:val="en"/>
        </w:rPr>
        <w:instrText xml:space="preserve"> \* MERGEFORMAT </w:instrText>
      </w:r>
      <w:r w:rsidR="00C4394B" w:rsidRPr="001A46B1">
        <w:rPr>
          <w:rFonts w:asciiTheme="majorHAnsi" w:hAnsiTheme="majorHAnsi" w:cstheme="minorHAnsi"/>
          <w:color w:val="0000FF"/>
          <w:shd w:val="clear" w:color="auto" w:fill="E6E6E6"/>
          <w:lang w:val="en"/>
        </w:rPr>
      </w:r>
      <w:r w:rsidR="00C4394B" w:rsidRPr="001A46B1">
        <w:rPr>
          <w:rFonts w:asciiTheme="majorHAnsi" w:hAnsiTheme="majorHAnsi" w:cstheme="minorHAnsi"/>
          <w:color w:val="0000FF"/>
          <w:shd w:val="clear" w:color="auto" w:fill="E6E6E6"/>
          <w:lang w:val="en"/>
        </w:rPr>
        <w:fldChar w:fldCharType="separate"/>
      </w:r>
      <w:r w:rsidR="00C4394B" w:rsidRPr="001A46B1">
        <w:rPr>
          <w:rFonts w:asciiTheme="majorHAnsi" w:hAnsiTheme="majorHAnsi" w:cstheme="minorHAnsi"/>
          <w:color w:val="0000FF"/>
          <w:lang w:val="en"/>
        </w:rPr>
        <w:t>4.8</w:t>
      </w:r>
      <w:r w:rsidR="00C4394B" w:rsidRPr="001A46B1">
        <w:rPr>
          <w:rFonts w:asciiTheme="majorHAnsi" w:hAnsiTheme="majorHAnsi" w:cstheme="minorHAnsi"/>
          <w:color w:val="0000FF"/>
          <w:shd w:val="clear" w:color="auto" w:fill="E6E6E6"/>
          <w:lang w:val="en"/>
        </w:rPr>
        <w:fldChar w:fldCharType="end"/>
      </w:r>
      <w:r w:rsidR="00C4394B" w:rsidRPr="001A46B1">
        <w:rPr>
          <w:rFonts w:asciiTheme="majorHAnsi" w:hAnsiTheme="majorHAnsi" w:cstheme="minorHAnsi"/>
          <w:color w:val="0000FF"/>
          <w:lang w:val="en"/>
        </w:rPr>
        <w:t xml:space="preserve"> </w:t>
      </w:r>
      <w:r w:rsidR="00C4394B" w:rsidRPr="001A46B1">
        <w:rPr>
          <w:rFonts w:asciiTheme="majorHAnsi" w:hAnsiTheme="majorHAnsi" w:cstheme="minorHAnsi"/>
          <w:color w:val="0000FF"/>
          <w:shd w:val="clear" w:color="auto" w:fill="E6E6E6"/>
          <w:lang w:val="en"/>
        </w:rPr>
        <w:fldChar w:fldCharType="begin"/>
      </w:r>
      <w:r w:rsidR="00C4394B" w:rsidRPr="001A46B1">
        <w:rPr>
          <w:rFonts w:asciiTheme="majorHAnsi" w:hAnsiTheme="majorHAnsi" w:cstheme="minorHAnsi"/>
          <w:color w:val="0000FF"/>
          <w:lang w:val="en"/>
        </w:rPr>
        <w:instrText xml:space="preserve"> REF _Ref101513962 \h </w:instrText>
      </w:r>
      <w:r w:rsidR="00CD33BE" w:rsidRPr="001A46B1">
        <w:rPr>
          <w:rFonts w:asciiTheme="majorHAnsi" w:hAnsiTheme="majorHAnsi" w:cstheme="minorHAnsi"/>
          <w:color w:val="0000FF"/>
          <w:lang w:val="en"/>
        </w:rPr>
        <w:instrText xml:space="preserve"> \* MERGEFORMAT </w:instrText>
      </w:r>
      <w:r w:rsidR="00C4394B" w:rsidRPr="001A46B1">
        <w:rPr>
          <w:rFonts w:asciiTheme="majorHAnsi" w:hAnsiTheme="majorHAnsi" w:cstheme="minorHAnsi"/>
          <w:color w:val="0000FF"/>
          <w:shd w:val="clear" w:color="auto" w:fill="E6E6E6"/>
          <w:lang w:val="en"/>
        </w:rPr>
      </w:r>
      <w:r w:rsidR="00C4394B" w:rsidRPr="001A46B1">
        <w:rPr>
          <w:rFonts w:asciiTheme="majorHAnsi" w:hAnsiTheme="majorHAnsi" w:cstheme="minorHAnsi"/>
          <w:color w:val="0000FF"/>
          <w:shd w:val="clear" w:color="auto" w:fill="E6E6E6"/>
          <w:lang w:val="en"/>
        </w:rPr>
        <w:fldChar w:fldCharType="separate"/>
      </w:r>
      <w:r w:rsidR="00C4394B" w:rsidRPr="001A46B1">
        <w:rPr>
          <w:rFonts w:asciiTheme="majorHAnsi" w:hAnsiTheme="majorHAnsi" w:cstheme="minorHAnsi"/>
          <w:color w:val="0000FF"/>
          <w:lang w:val="en"/>
        </w:rPr>
        <w:t>Adverse effects (Undesirable effects)</w:t>
      </w:r>
      <w:r w:rsidR="00C4394B" w:rsidRPr="001A46B1">
        <w:rPr>
          <w:rFonts w:asciiTheme="majorHAnsi" w:hAnsiTheme="majorHAnsi" w:cstheme="minorHAnsi"/>
          <w:color w:val="0000FF"/>
          <w:shd w:val="clear" w:color="auto" w:fill="E6E6E6"/>
          <w:lang w:val="en"/>
        </w:rPr>
        <w:fldChar w:fldCharType="end"/>
      </w:r>
      <w:r w:rsidR="00CD33BE">
        <w:rPr>
          <w:rFonts w:asciiTheme="majorHAnsi" w:hAnsiTheme="majorHAnsi" w:cstheme="minorHAnsi"/>
          <w:lang w:val="en"/>
        </w:rPr>
        <w:t>).</w:t>
      </w:r>
    </w:p>
    <w:p w14:paraId="7E8B9856" w14:textId="473419F0" w:rsidR="00E15287" w:rsidRPr="00E15287" w:rsidRDefault="00E15287" w:rsidP="008A1921">
      <w:pPr>
        <w:pStyle w:val="Heading3"/>
        <w:spacing w:before="0" w:after="120"/>
        <w:ind w:left="0"/>
        <w:rPr>
          <w:lang w:val="en"/>
        </w:rPr>
      </w:pPr>
      <w:r w:rsidRPr="00E15287">
        <w:rPr>
          <w:lang w:val="en"/>
        </w:rPr>
        <w:t>Infections</w:t>
      </w:r>
      <w:r w:rsidR="00AE5D4A">
        <w:rPr>
          <w:lang w:val="en"/>
        </w:rPr>
        <w:fldChar w:fldCharType="begin"/>
      </w:r>
      <w:r w:rsidR="00AE5D4A">
        <w:rPr>
          <w:lang w:val="en"/>
        </w:rPr>
        <w:instrText xml:space="preserve"> DOCVARIABLE vault_nd_bc923b0f-a429-48bc-bdaa-d8884330d4f8 \* MERGEFORMAT </w:instrText>
      </w:r>
      <w:r w:rsidR="00AE5D4A">
        <w:rPr>
          <w:lang w:val="en"/>
        </w:rPr>
        <w:fldChar w:fldCharType="separate"/>
      </w:r>
      <w:r w:rsidR="00AE5D4A">
        <w:rPr>
          <w:lang w:val="en"/>
        </w:rPr>
        <w:t xml:space="preserve"> </w:t>
      </w:r>
      <w:r w:rsidR="00AE5D4A">
        <w:rPr>
          <w:lang w:val="en"/>
        </w:rPr>
        <w:fldChar w:fldCharType="end"/>
      </w:r>
    </w:p>
    <w:p w14:paraId="1BC23057" w14:textId="5D013F5E" w:rsidR="00E15287" w:rsidRDefault="00E15287" w:rsidP="00E15287">
      <w:pPr>
        <w:rPr>
          <w:rFonts w:asciiTheme="majorHAnsi" w:hAnsiTheme="majorHAnsi" w:cstheme="minorHAnsi"/>
          <w:lang w:val="en"/>
        </w:rPr>
      </w:pPr>
      <w:r w:rsidRPr="00E15287">
        <w:rPr>
          <w:rFonts w:asciiTheme="majorHAnsi" w:hAnsiTheme="majorHAnsi" w:cstheme="minorHAnsi"/>
          <w:lang w:val="en"/>
        </w:rPr>
        <w:t xml:space="preserve">OMVOH may increase the risk of infection. Treatment with OMVOH should not be initiated in patients with a clinically important active infection until the infection resolves or is adequately treated. Consider the risks and benefits of treatment prior to initiating use of OMVOH in patients with a chronic infection or a history of recurrent infection. Instruct patients to seek medical </w:t>
      </w:r>
      <w:r w:rsidRPr="00E15287">
        <w:rPr>
          <w:rFonts w:asciiTheme="majorHAnsi" w:hAnsiTheme="majorHAnsi" w:cstheme="minorHAnsi"/>
          <w:lang w:val="en"/>
        </w:rPr>
        <w:lastRenderedPageBreak/>
        <w:t>advice if signs or symptoms of clinically important acute or chronic infection occur. If a serious infection develops, consider discontinuation of OMVOH until the infection resolves.</w:t>
      </w:r>
    </w:p>
    <w:p w14:paraId="13E8CE32" w14:textId="2C4CEE35" w:rsidR="00DB4990" w:rsidRPr="00E15287" w:rsidRDefault="00DB4990" w:rsidP="00E15287">
      <w:pPr>
        <w:rPr>
          <w:rFonts w:asciiTheme="majorHAnsi" w:hAnsiTheme="majorHAnsi" w:cstheme="minorHAnsi"/>
          <w:lang w:val="en"/>
        </w:rPr>
      </w:pPr>
      <w:r w:rsidRPr="00470A29">
        <w:rPr>
          <w:rFonts w:asciiTheme="majorHAnsi" w:hAnsiTheme="majorHAnsi" w:cstheme="minorHAnsi"/>
          <w:lang w:val="en"/>
        </w:rPr>
        <w:t>No safety data are available in patients with HIV, hepatitis B or hepatitis C, as they were excluded from clinical trials</w:t>
      </w:r>
      <w:r w:rsidR="00470A29">
        <w:rPr>
          <w:rFonts w:asciiTheme="majorHAnsi" w:hAnsiTheme="majorHAnsi" w:cstheme="minorHAnsi"/>
          <w:lang w:val="en"/>
        </w:rPr>
        <w:t>.</w:t>
      </w:r>
    </w:p>
    <w:p w14:paraId="78BC7C94" w14:textId="2417F44C" w:rsidR="00730027" w:rsidRDefault="00E15287" w:rsidP="00E15287">
      <w:pPr>
        <w:rPr>
          <w:rFonts w:asciiTheme="majorHAnsi" w:hAnsiTheme="majorHAnsi"/>
          <w:lang w:val="en"/>
        </w:rPr>
      </w:pPr>
      <w:r w:rsidRPr="5001158D">
        <w:rPr>
          <w:rFonts w:asciiTheme="majorHAnsi" w:hAnsiTheme="majorHAnsi"/>
          <w:lang w:val="en"/>
        </w:rPr>
        <w:t>OMVOH should not be given to patients with active tuberculosis (TB). Consider anti-TB therapy prior to initiation of OMVOH in patients with latent TB.</w:t>
      </w:r>
    </w:p>
    <w:p w14:paraId="1CCBEB58" w14:textId="01B7DFFC" w:rsidR="006C27DD" w:rsidRDefault="006C27DD" w:rsidP="7BCE04AD">
      <w:pPr>
        <w:rPr>
          <w:rFonts w:asciiTheme="majorHAnsi" w:hAnsiTheme="majorHAnsi"/>
          <w:lang w:val="en"/>
        </w:rPr>
      </w:pPr>
      <w:r w:rsidRPr="7BCE04AD">
        <w:rPr>
          <w:rFonts w:asciiTheme="majorHAnsi" w:hAnsiTheme="majorHAnsi"/>
          <w:lang w:val="en"/>
        </w:rPr>
        <w:t>During the</w:t>
      </w:r>
      <w:r w:rsidR="007D3343" w:rsidRPr="7BCE04AD">
        <w:rPr>
          <w:rFonts w:asciiTheme="majorHAnsi" w:hAnsiTheme="majorHAnsi"/>
          <w:lang w:val="en"/>
        </w:rPr>
        <w:t xml:space="preserve"> induction study</w:t>
      </w:r>
      <w:r w:rsidR="00DF475E">
        <w:rPr>
          <w:rFonts w:asciiTheme="majorHAnsi" w:hAnsiTheme="majorHAnsi"/>
          <w:lang w:val="en"/>
        </w:rPr>
        <w:t xml:space="preserve"> (LUCENT-1)</w:t>
      </w:r>
      <w:r w:rsidR="001564E4" w:rsidRPr="7BCE04AD">
        <w:rPr>
          <w:rFonts w:asciiTheme="majorHAnsi" w:hAnsiTheme="majorHAnsi"/>
          <w:lang w:val="en"/>
        </w:rPr>
        <w:t xml:space="preserve">, 0.5% </w:t>
      </w:r>
      <w:r w:rsidR="009D1077" w:rsidRPr="7BCE04AD">
        <w:rPr>
          <w:rFonts w:asciiTheme="majorHAnsi" w:hAnsiTheme="majorHAnsi"/>
          <w:lang w:val="en"/>
        </w:rPr>
        <w:t xml:space="preserve">of subjects </w:t>
      </w:r>
      <w:r w:rsidR="002A2E38" w:rsidRPr="7BCE04AD">
        <w:rPr>
          <w:rFonts w:asciiTheme="majorHAnsi" w:hAnsiTheme="majorHAnsi"/>
          <w:lang w:val="en"/>
        </w:rPr>
        <w:t xml:space="preserve">in the </w:t>
      </w:r>
      <w:r w:rsidR="00E53A37" w:rsidRPr="7BCE04AD">
        <w:rPr>
          <w:rFonts w:asciiTheme="majorHAnsi" w:hAnsiTheme="majorHAnsi"/>
          <w:lang w:val="en"/>
        </w:rPr>
        <w:t xml:space="preserve">mirikizumab </w:t>
      </w:r>
      <w:r w:rsidR="00CD05FA" w:rsidRPr="7BCE04AD">
        <w:rPr>
          <w:rFonts w:asciiTheme="majorHAnsi" w:hAnsiTheme="majorHAnsi"/>
          <w:lang w:val="en"/>
        </w:rPr>
        <w:t xml:space="preserve">arm </w:t>
      </w:r>
      <w:r w:rsidR="00E53A37" w:rsidRPr="7BCE04AD">
        <w:rPr>
          <w:rFonts w:asciiTheme="majorHAnsi" w:hAnsiTheme="majorHAnsi"/>
          <w:lang w:val="en"/>
        </w:rPr>
        <w:t xml:space="preserve">experienced opportunistic infections </w:t>
      </w:r>
      <w:r w:rsidR="001A336D" w:rsidRPr="7BCE04AD">
        <w:rPr>
          <w:rFonts w:asciiTheme="majorHAnsi" w:hAnsiTheme="majorHAnsi"/>
          <w:lang w:val="en"/>
        </w:rPr>
        <w:t>(oesophag</w:t>
      </w:r>
      <w:r w:rsidR="00504AED" w:rsidRPr="7BCE04AD">
        <w:rPr>
          <w:rFonts w:asciiTheme="majorHAnsi" w:hAnsiTheme="majorHAnsi"/>
          <w:lang w:val="en"/>
        </w:rPr>
        <w:t>eal candidiasis</w:t>
      </w:r>
      <w:r w:rsidR="00676D35" w:rsidRPr="7BCE04AD">
        <w:rPr>
          <w:rFonts w:asciiTheme="majorHAnsi" w:hAnsiTheme="majorHAnsi"/>
          <w:lang w:val="en"/>
        </w:rPr>
        <w:t xml:space="preserve">, </w:t>
      </w:r>
      <w:r w:rsidR="002D4071">
        <w:rPr>
          <w:rFonts w:asciiTheme="majorHAnsi" w:hAnsiTheme="majorHAnsi"/>
          <w:lang w:val="en"/>
        </w:rPr>
        <w:t>cytomegalovirus</w:t>
      </w:r>
      <w:r w:rsidR="00676D35" w:rsidRPr="7BCE04AD">
        <w:rPr>
          <w:rFonts w:asciiTheme="majorHAnsi" w:hAnsiTheme="majorHAnsi"/>
          <w:lang w:val="en"/>
        </w:rPr>
        <w:t xml:space="preserve"> colitis, herpes zoster, intestinal tuberculosis) and 0.</w:t>
      </w:r>
      <w:r w:rsidR="00591236" w:rsidRPr="7BCE04AD">
        <w:rPr>
          <w:rFonts w:asciiTheme="majorHAnsi" w:hAnsiTheme="majorHAnsi"/>
          <w:lang w:val="en"/>
        </w:rPr>
        <w:t xml:space="preserve">3% </w:t>
      </w:r>
      <w:r w:rsidR="00A71AB3" w:rsidRPr="7BCE04AD">
        <w:rPr>
          <w:rFonts w:asciiTheme="majorHAnsi" w:hAnsiTheme="majorHAnsi"/>
          <w:lang w:val="en"/>
        </w:rPr>
        <w:t xml:space="preserve">in the </w:t>
      </w:r>
      <w:r w:rsidR="00310EDE" w:rsidRPr="7BCE04AD">
        <w:rPr>
          <w:rFonts w:asciiTheme="majorHAnsi" w:hAnsiTheme="majorHAnsi"/>
          <w:lang w:val="en"/>
        </w:rPr>
        <w:t xml:space="preserve">placebo </w:t>
      </w:r>
      <w:r w:rsidR="00CD05FA" w:rsidRPr="7BCE04AD">
        <w:rPr>
          <w:rFonts w:asciiTheme="majorHAnsi" w:hAnsiTheme="majorHAnsi"/>
          <w:lang w:val="en"/>
        </w:rPr>
        <w:t xml:space="preserve">arm </w:t>
      </w:r>
      <w:r w:rsidR="00310EDE" w:rsidRPr="7BCE04AD">
        <w:rPr>
          <w:rFonts w:asciiTheme="majorHAnsi" w:hAnsiTheme="majorHAnsi"/>
          <w:lang w:val="en"/>
        </w:rPr>
        <w:t>(herpes zoster)</w:t>
      </w:r>
      <w:r w:rsidR="00366931" w:rsidRPr="7BCE04AD">
        <w:rPr>
          <w:rFonts w:asciiTheme="majorHAnsi" w:hAnsiTheme="majorHAnsi"/>
          <w:lang w:val="en"/>
        </w:rPr>
        <w:t xml:space="preserve">. During the placebo-controlled </w:t>
      </w:r>
      <w:r w:rsidR="00EB0DE6" w:rsidRPr="7BCE04AD">
        <w:rPr>
          <w:rFonts w:asciiTheme="majorHAnsi" w:hAnsiTheme="majorHAnsi"/>
          <w:lang w:val="en"/>
        </w:rPr>
        <w:t>maintenance study</w:t>
      </w:r>
      <w:r w:rsidR="00C30AF8">
        <w:rPr>
          <w:rFonts w:asciiTheme="majorHAnsi" w:hAnsiTheme="majorHAnsi"/>
          <w:lang w:val="en"/>
        </w:rPr>
        <w:t xml:space="preserve"> (LUCENT-2)</w:t>
      </w:r>
      <w:r w:rsidR="00EB0DE6" w:rsidRPr="7BCE04AD">
        <w:rPr>
          <w:rFonts w:asciiTheme="majorHAnsi" w:hAnsiTheme="majorHAnsi"/>
          <w:lang w:val="en"/>
        </w:rPr>
        <w:t>, 1.3% in the mirikizumab arm (oral candi</w:t>
      </w:r>
      <w:r w:rsidR="00EE6038" w:rsidRPr="7BCE04AD">
        <w:rPr>
          <w:rFonts w:asciiTheme="majorHAnsi" w:hAnsiTheme="majorHAnsi"/>
          <w:lang w:val="en"/>
        </w:rPr>
        <w:t xml:space="preserve">diasis, herpes zoster) and 0 in the placebo arm experienced </w:t>
      </w:r>
      <w:r w:rsidR="003807FF" w:rsidRPr="7BCE04AD">
        <w:rPr>
          <w:rFonts w:asciiTheme="majorHAnsi" w:hAnsiTheme="majorHAnsi"/>
          <w:lang w:val="en"/>
        </w:rPr>
        <w:t>opportun</w:t>
      </w:r>
      <w:r w:rsidR="00617993" w:rsidRPr="7BCE04AD">
        <w:rPr>
          <w:rFonts w:asciiTheme="majorHAnsi" w:hAnsiTheme="majorHAnsi"/>
          <w:lang w:val="en"/>
        </w:rPr>
        <w:t>istic infections.</w:t>
      </w:r>
      <w:r w:rsidR="007D3343" w:rsidRPr="7BCE04AD">
        <w:rPr>
          <w:rFonts w:asciiTheme="majorHAnsi" w:hAnsiTheme="majorHAnsi"/>
          <w:lang w:val="en"/>
        </w:rPr>
        <w:t xml:space="preserve"> </w:t>
      </w:r>
    </w:p>
    <w:p w14:paraId="1B5DF1B9" w14:textId="3CD25DFE" w:rsidR="00DA0DD5" w:rsidRPr="00DA0DD5" w:rsidRDefault="00DA0DD5" w:rsidP="008A1921">
      <w:pPr>
        <w:pStyle w:val="Heading3"/>
        <w:spacing w:before="0" w:after="120"/>
        <w:ind w:left="0"/>
        <w:rPr>
          <w:lang w:val="en"/>
        </w:rPr>
      </w:pPr>
      <w:r w:rsidRPr="00DA0DD5">
        <w:rPr>
          <w:lang w:val="en"/>
        </w:rPr>
        <w:t xml:space="preserve">Hepatic </w:t>
      </w:r>
      <w:r w:rsidR="00172104">
        <w:rPr>
          <w:lang w:val="en"/>
        </w:rPr>
        <w:t>e</w:t>
      </w:r>
      <w:r w:rsidRPr="00DA0DD5">
        <w:rPr>
          <w:lang w:val="en"/>
        </w:rPr>
        <w:t xml:space="preserve">nzyme </w:t>
      </w:r>
      <w:r w:rsidR="00172104">
        <w:rPr>
          <w:lang w:val="en"/>
        </w:rPr>
        <w:t>e</w:t>
      </w:r>
      <w:r w:rsidRPr="00DA0DD5">
        <w:rPr>
          <w:lang w:val="en"/>
        </w:rPr>
        <w:t>levations</w:t>
      </w:r>
      <w:r w:rsidR="00AE5D4A">
        <w:rPr>
          <w:lang w:val="en"/>
        </w:rPr>
        <w:fldChar w:fldCharType="begin"/>
      </w:r>
      <w:r w:rsidR="00AE5D4A">
        <w:rPr>
          <w:lang w:val="en"/>
        </w:rPr>
        <w:instrText xml:space="preserve"> DOCVARIABLE vault_nd_49eccc76-2f2f-462b-be65-45eb6b220938 \* MERGEFORMAT </w:instrText>
      </w:r>
      <w:r w:rsidR="00AE5D4A">
        <w:rPr>
          <w:lang w:val="en"/>
        </w:rPr>
        <w:fldChar w:fldCharType="separate"/>
      </w:r>
      <w:r w:rsidR="00AE5D4A">
        <w:rPr>
          <w:lang w:val="en"/>
        </w:rPr>
        <w:t xml:space="preserve"> </w:t>
      </w:r>
      <w:r w:rsidR="00AE5D4A">
        <w:rPr>
          <w:lang w:val="en"/>
        </w:rPr>
        <w:fldChar w:fldCharType="end"/>
      </w:r>
    </w:p>
    <w:p w14:paraId="5A505A95" w14:textId="7A85862E" w:rsidR="00D33F62" w:rsidRPr="003A5611" w:rsidRDefault="001D5C25" w:rsidP="00931B57">
      <w:pPr>
        <w:rPr>
          <w:rFonts w:asciiTheme="majorHAnsi" w:hAnsiTheme="majorHAnsi" w:cstheme="minorHAnsi"/>
          <w:lang w:val="en"/>
        </w:rPr>
      </w:pPr>
      <w:r w:rsidRPr="001D5C25">
        <w:rPr>
          <w:rFonts w:asciiTheme="majorHAnsi" w:hAnsiTheme="majorHAnsi" w:cstheme="minorHAnsi"/>
          <w:lang w:val="en"/>
        </w:rPr>
        <w:t>Cases of drug-induced liver injury (including one case meeting Hy’s Law criteria) occurred in patients receiving mirikizumab in clinical trials.</w:t>
      </w:r>
      <w:r>
        <w:t xml:space="preserve"> </w:t>
      </w:r>
      <w:r w:rsidR="00DA0DD5" w:rsidRPr="00DA0DD5">
        <w:rPr>
          <w:rFonts w:asciiTheme="majorHAnsi" w:hAnsiTheme="majorHAnsi" w:cstheme="minorHAnsi"/>
          <w:lang w:val="en"/>
        </w:rPr>
        <w:t xml:space="preserve">Elevations of aminotransferases have been reported in patients receiving OMVOH. </w:t>
      </w:r>
      <w:r w:rsidR="008E3F72" w:rsidRPr="008E3F72">
        <w:rPr>
          <w:rFonts w:asciiTheme="majorHAnsi" w:hAnsiTheme="majorHAnsi" w:cstheme="minorHAnsi"/>
          <w:lang w:val="en"/>
        </w:rPr>
        <w:t>Liver enzymes and bilirubin should be evaluated at baseline and monthly during induction (including extended induction period, if applicable). Thereafter, liver enzymes and bilirubin should be monitored (every 1 - 4 months) according to standard practice for patient management and as clinically indicated</w:t>
      </w:r>
      <w:r w:rsidR="007E402A">
        <w:rPr>
          <w:rFonts w:asciiTheme="majorHAnsi" w:hAnsiTheme="majorHAnsi" w:cstheme="minorHAnsi"/>
          <w:lang w:val="en"/>
        </w:rPr>
        <w:t>.</w:t>
      </w:r>
      <w:r w:rsidR="00DA0DD5" w:rsidRPr="00DA0DD5">
        <w:rPr>
          <w:rFonts w:asciiTheme="majorHAnsi" w:hAnsiTheme="majorHAnsi" w:cstheme="minorHAnsi"/>
          <w:lang w:val="en"/>
        </w:rPr>
        <w:t xml:space="preserve"> If increases in alanine aminotransferase (ALT) or aspartate aminotransferase (AST) are observed and drug-associated liver injury is suspected, </w:t>
      </w:r>
      <w:r w:rsidR="00234C0C">
        <w:rPr>
          <w:rFonts w:asciiTheme="majorHAnsi" w:hAnsiTheme="majorHAnsi" w:cstheme="minorHAnsi"/>
          <w:lang w:val="en"/>
        </w:rPr>
        <w:t xml:space="preserve">mirikizumab </w:t>
      </w:r>
      <w:r w:rsidR="002217A8">
        <w:rPr>
          <w:rFonts w:asciiTheme="majorHAnsi" w:hAnsiTheme="majorHAnsi" w:cstheme="minorHAnsi"/>
          <w:lang w:val="en"/>
        </w:rPr>
        <w:t xml:space="preserve">must be discontinued </w:t>
      </w:r>
      <w:r w:rsidR="00DA0DD5" w:rsidRPr="00DA0DD5">
        <w:rPr>
          <w:rFonts w:asciiTheme="majorHAnsi" w:hAnsiTheme="majorHAnsi" w:cstheme="minorHAnsi"/>
          <w:lang w:val="en"/>
        </w:rPr>
        <w:t xml:space="preserve">until this diagnosis is excluded </w:t>
      </w:r>
      <w:r w:rsidR="00DA0DD5">
        <w:rPr>
          <w:rFonts w:asciiTheme="majorHAnsi" w:hAnsiTheme="majorHAnsi" w:cstheme="minorHAnsi"/>
          <w:lang w:val="en"/>
        </w:rPr>
        <w:t>(</w:t>
      </w:r>
      <w:r w:rsidR="00DA0DD5" w:rsidRPr="004A17C7">
        <w:rPr>
          <w:rFonts w:asciiTheme="majorHAnsi" w:hAnsiTheme="majorHAnsi" w:cstheme="minorHAnsi"/>
          <w:lang w:val="en"/>
        </w:rPr>
        <w:t xml:space="preserve">see </w:t>
      </w:r>
      <w:r w:rsidR="00DA0DD5">
        <w:rPr>
          <w:rFonts w:asciiTheme="majorHAnsi" w:hAnsiTheme="majorHAnsi" w:cstheme="minorHAnsi"/>
          <w:lang w:val="en"/>
        </w:rPr>
        <w:t xml:space="preserve">Section </w:t>
      </w:r>
      <w:r w:rsidR="00DA0DD5" w:rsidRPr="001A46B1">
        <w:rPr>
          <w:rFonts w:asciiTheme="majorHAnsi" w:hAnsiTheme="majorHAnsi" w:cstheme="minorHAnsi"/>
          <w:color w:val="0000FF"/>
          <w:shd w:val="clear" w:color="auto" w:fill="E6E6E6"/>
          <w:lang w:val="en"/>
        </w:rPr>
        <w:fldChar w:fldCharType="begin"/>
      </w:r>
      <w:r w:rsidR="00DA0DD5" w:rsidRPr="001A46B1">
        <w:rPr>
          <w:rFonts w:asciiTheme="majorHAnsi" w:hAnsiTheme="majorHAnsi" w:cstheme="minorHAnsi"/>
          <w:color w:val="0000FF"/>
          <w:lang w:val="en"/>
        </w:rPr>
        <w:instrText xml:space="preserve"> REF _Ref101513962 \w \h  \* MERGEFORMAT </w:instrText>
      </w:r>
      <w:r w:rsidR="00DA0DD5" w:rsidRPr="001A46B1">
        <w:rPr>
          <w:rFonts w:asciiTheme="majorHAnsi" w:hAnsiTheme="majorHAnsi" w:cstheme="minorHAnsi"/>
          <w:color w:val="0000FF"/>
          <w:shd w:val="clear" w:color="auto" w:fill="E6E6E6"/>
          <w:lang w:val="en"/>
        </w:rPr>
      </w:r>
      <w:r w:rsidR="00DA0DD5" w:rsidRPr="001A46B1">
        <w:rPr>
          <w:rFonts w:asciiTheme="majorHAnsi" w:hAnsiTheme="majorHAnsi" w:cstheme="minorHAnsi"/>
          <w:color w:val="0000FF"/>
          <w:shd w:val="clear" w:color="auto" w:fill="E6E6E6"/>
          <w:lang w:val="en"/>
        </w:rPr>
        <w:fldChar w:fldCharType="separate"/>
      </w:r>
      <w:r w:rsidR="00DA0DD5" w:rsidRPr="001A46B1">
        <w:rPr>
          <w:rFonts w:asciiTheme="majorHAnsi" w:hAnsiTheme="majorHAnsi" w:cstheme="minorHAnsi"/>
          <w:color w:val="0000FF"/>
          <w:lang w:val="en"/>
        </w:rPr>
        <w:t>4.8</w:t>
      </w:r>
      <w:r w:rsidR="00DA0DD5" w:rsidRPr="001A46B1">
        <w:rPr>
          <w:rFonts w:asciiTheme="majorHAnsi" w:hAnsiTheme="majorHAnsi" w:cstheme="minorHAnsi"/>
          <w:color w:val="0000FF"/>
          <w:shd w:val="clear" w:color="auto" w:fill="E6E6E6"/>
          <w:lang w:val="en"/>
        </w:rPr>
        <w:fldChar w:fldCharType="end"/>
      </w:r>
      <w:r w:rsidR="00DA0DD5" w:rsidRPr="001A46B1">
        <w:rPr>
          <w:rFonts w:asciiTheme="majorHAnsi" w:hAnsiTheme="majorHAnsi" w:cstheme="minorHAnsi"/>
          <w:color w:val="0000FF"/>
          <w:lang w:val="en"/>
        </w:rPr>
        <w:t xml:space="preserve"> </w:t>
      </w:r>
      <w:r w:rsidR="00DA0DD5" w:rsidRPr="001A46B1">
        <w:rPr>
          <w:rFonts w:asciiTheme="majorHAnsi" w:hAnsiTheme="majorHAnsi" w:cstheme="minorHAnsi"/>
          <w:color w:val="0000FF"/>
          <w:shd w:val="clear" w:color="auto" w:fill="E6E6E6"/>
          <w:lang w:val="en"/>
        </w:rPr>
        <w:fldChar w:fldCharType="begin"/>
      </w:r>
      <w:r w:rsidR="00DA0DD5" w:rsidRPr="001A46B1">
        <w:rPr>
          <w:rFonts w:asciiTheme="majorHAnsi" w:hAnsiTheme="majorHAnsi" w:cstheme="minorHAnsi"/>
          <w:color w:val="0000FF"/>
          <w:lang w:val="en"/>
        </w:rPr>
        <w:instrText xml:space="preserve"> REF _Ref101513962 \h  \* MERGEFORMAT </w:instrText>
      </w:r>
      <w:r w:rsidR="00DA0DD5" w:rsidRPr="001A46B1">
        <w:rPr>
          <w:rFonts w:asciiTheme="majorHAnsi" w:hAnsiTheme="majorHAnsi" w:cstheme="minorHAnsi"/>
          <w:color w:val="0000FF"/>
          <w:shd w:val="clear" w:color="auto" w:fill="E6E6E6"/>
          <w:lang w:val="en"/>
        </w:rPr>
      </w:r>
      <w:r w:rsidR="00DA0DD5" w:rsidRPr="001A46B1">
        <w:rPr>
          <w:rFonts w:asciiTheme="majorHAnsi" w:hAnsiTheme="majorHAnsi" w:cstheme="minorHAnsi"/>
          <w:color w:val="0000FF"/>
          <w:shd w:val="clear" w:color="auto" w:fill="E6E6E6"/>
          <w:lang w:val="en"/>
        </w:rPr>
        <w:fldChar w:fldCharType="separate"/>
      </w:r>
      <w:r w:rsidR="00DA0DD5" w:rsidRPr="001A46B1">
        <w:rPr>
          <w:rFonts w:asciiTheme="majorHAnsi" w:hAnsiTheme="majorHAnsi" w:cstheme="minorHAnsi"/>
          <w:color w:val="0000FF"/>
          <w:lang w:val="en"/>
        </w:rPr>
        <w:t>Adverse effects (Undesirable effects)</w:t>
      </w:r>
      <w:r w:rsidR="00DA0DD5" w:rsidRPr="001A46B1">
        <w:rPr>
          <w:rFonts w:asciiTheme="majorHAnsi" w:hAnsiTheme="majorHAnsi" w:cstheme="minorHAnsi"/>
          <w:color w:val="0000FF"/>
          <w:shd w:val="clear" w:color="auto" w:fill="E6E6E6"/>
          <w:lang w:val="en"/>
        </w:rPr>
        <w:fldChar w:fldCharType="end"/>
      </w:r>
      <w:r w:rsidR="00DA0DD5">
        <w:rPr>
          <w:rFonts w:asciiTheme="majorHAnsi" w:hAnsiTheme="majorHAnsi" w:cstheme="minorHAnsi"/>
          <w:lang w:val="en"/>
        </w:rPr>
        <w:t>)</w:t>
      </w:r>
      <w:r w:rsidR="00DA0DD5" w:rsidRPr="00DA0DD5">
        <w:rPr>
          <w:rFonts w:asciiTheme="majorHAnsi" w:hAnsiTheme="majorHAnsi" w:cstheme="minorHAnsi"/>
          <w:lang w:val="en"/>
        </w:rPr>
        <w:t>.</w:t>
      </w:r>
    </w:p>
    <w:p w14:paraId="16D937D2" w14:textId="1C2837B7" w:rsidR="00931B57" w:rsidRPr="00931B57" w:rsidRDefault="00931B57" w:rsidP="008A1921">
      <w:pPr>
        <w:pStyle w:val="Heading3"/>
        <w:spacing w:before="0" w:after="120"/>
        <w:ind w:left="0"/>
        <w:rPr>
          <w:lang w:val="en"/>
        </w:rPr>
      </w:pPr>
      <w:r w:rsidRPr="008A1921">
        <w:t>Immuni</w:t>
      </w:r>
      <w:r w:rsidR="00D030E3" w:rsidRPr="008A1921">
        <w:t>s</w:t>
      </w:r>
      <w:r w:rsidRPr="008A1921">
        <w:t>ations</w:t>
      </w:r>
      <w:fldSimple w:instr="DOCVARIABLE vault_nd_8e21ed8a-fdb5-4cd6-a8d4-56db03f1c58b \* MERGEFORMAT">
        <w:r w:rsidR="00AE5D4A">
          <w:t xml:space="preserve"> </w:t>
        </w:r>
      </w:fldSimple>
    </w:p>
    <w:p w14:paraId="48E93945" w14:textId="68AAFEE7" w:rsidR="00931B57" w:rsidRDefault="00931B57" w:rsidP="00931B57">
      <w:pPr>
        <w:rPr>
          <w:rFonts w:asciiTheme="majorHAnsi" w:hAnsiTheme="majorHAnsi" w:cstheme="minorHAnsi"/>
          <w:lang w:val="en"/>
        </w:rPr>
      </w:pPr>
      <w:r w:rsidRPr="00931B57">
        <w:rPr>
          <w:rFonts w:asciiTheme="majorHAnsi" w:hAnsiTheme="majorHAnsi" w:cstheme="minorHAnsi"/>
          <w:lang w:val="en"/>
        </w:rPr>
        <w:t>Prior to initiating therapy with OMVOH, consider completion of all immuni</w:t>
      </w:r>
      <w:r w:rsidR="00CA6256">
        <w:rPr>
          <w:rFonts w:asciiTheme="majorHAnsi" w:hAnsiTheme="majorHAnsi" w:cstheme="minorHAnsi"/>
          <w:lang w:val="en"/>
        </w:rPr>
        <w:t>s</w:t>
      </w:r>
      <w:r w:rsidRPr="00931B57">
        <w:rPr>
          <w:rFonts w:asciiTheme="majorHAnsi" w:hAnsiTheme="majorHAnsi" w:cstheme="minorHAnsi"/>
          <w:lang w:val="en"/>
        </w:rPr>
        <w:t>ations according to current immuni</w:t>
      </w:r>
      <w:r w:rsidR="00CA6256">
        <w:rPr>
          <w:rFonts w:asciiTheme="majorHAnsi" w:hAnsiTheme="majorHAnsi" w:cstheme="minorHAnsi"/>
          <w:lang w:val="en"/>
        </w:rPr>
        <w:t>s</w:t>
      </w:r>
      <w:r w:rsidRPr="00931B57">
        <w:rPr>
          <w:rFonts w:asciiTheme="majorHAnsi" w:hAnsiTheme="majorHAnsi" w:cstheme="minorHAnsi"/>
          <w:lang w:val="en"/>
        </w:rPr>
        <w:t>ation guidelines. Avoid use of live vaccines in patients treated with OMVOH. No data are available on the response to live or non-live vaccines in patients treated with OMVOH.</w:t>
      </w:r>
    </w:p>
    <w:p w14:paraId="0301C900" w14:textId="4162C8DA" w:rsidR="008A1921" w:rsidRDefault="008A1921" w:rsidP="008A1921">
      <w:pPr>
        <w:pStyle w:val="Heading3"/>
        <w:spacing w:before="0" w:after="120"/>
        <w:ind w:left="0"/>
        <w:rPr>
          <w:lang w:val="en"/>
        </w:rPr>
      </w:pPr>
      <w:r w:rsidRPr="008A1921">
        <w:t>Malignancy</w:t>
      </w:r>
      <w:fldSimple w:instr="DOCVARIABLE vault_nd_9a5eb4a6-4be8-4706-bee6-d15d889d470f \* MERGEFORMAT">
        <w:r w:rsidR="00AE5D4A">
          <w:t xml:space="preserve"> </w:t>
        </w:r>
      </w:fldSimple>
    </w:p>
    <w:p w14:paraId="7B07CABE" w14:textId="77777777" w:rsidR="00DE7016" w:rsidRPr="00DE7016" w:rsidRDefault="00DE7016" w:rsidP="00DE7016">
      <w:pPr>
        <w:pStyle w:val="NormalWeb"/>
        <w:rPr>
          <w:rFonts w:asciiTheme="majorHAnsi" w:hAnsiTheme="majorHAnsi" w:cstheme="minorHAnsi"/>
          <w:sz w:val="22"/>
          <w:szCs w:val="22"/>
          <w:lang w:val="en"/>
        </w:rPr>
      </w:pPr>
      <w:r w:rsidRPr="00DE7016">
        <w:rPr>
          <w:rFonts w:asciiTheme="majorHAnsi" w:hAnsiTheme="majorHAnsi" w:cstheme="minorHAnsi"/>
          <w:sz w:val="22"/>
          <w:szCs w:val="22"/>
          <w:lang w:val="en"/>
        </w:rPr>
        <w:t>The risk of malignancy is increased in patients with ulcerative colitis. Immunomodulatory medicinal products may increase the risk of malignancy. </w:t>
      </w:r>
    </w:p>
    <w:p w14:paraId="44EED5E8" w14:textId="406B1DE5" w:rsidR="008A1921" w:rsidRPr="004A17C7" w:rsidRDefault="00765395" w:rsidP="00DE7016">
      <w:pPr>
        <w:pStyle w:val="NormalWeb"/>
        <w:rPr>
          <w:rFonts w:asciiTheme="majorHAnsi" w:hAnsiTheme="majorHAnsi" w:cstheme="minorHAnsi"/>
          <w:lang w:val="en"/>
        </w:rPr>
      </w:pPr>
      <w:r>
        <w:rPr>
          <w:rFonts w:asciiTheme="majorHAnsi" w:hAnsiTheme="majorHAnsi" w:cstheme="minorHAnsi"/>
          <w:sz w:val="22"/>
          <w:szCs w:val="22"/>
          <w:lang w:val="en"/>
        </w:rPr>
        <w:t xml:space="preserve">Among all patients </w:t>
      </w:r>
      <w:r w:rsidR="00DE7016" w:rsidRPr="00DE7016">
        <w:rPr>
          <w:rFonts w:asciiTheme="majorHAnsi" w:hAnsiTheme="majorHAnsi" w:cstheme="minorHAnsi"/>
          <w:sz w:val="22"/>
          <w:szCs w:val="22"/>
          <w:lang w:val="en"/>
        </w:rPr>
        <w:t>treated with miri</w:t>
      </w:r>
      <w:r w:rsidR="00A14CFE">
        <w:rPr>
          <w:rFonts w:asciiTheme="majorHAnsi" w:hAnsiTheme="majorHAnsi" w:cstheme="minorHAnsi"/>
          <w:sz w:val="22"/>
          <w:szCs w:val="22"/>
          <w:lang w:val="en"/>
        </w:rPr>
        <w:t>kizumab in</w:t>
      </w:r>
      <w:r w:rsidR="00DE7016" w:rsidRPr="00DE7016">
        <w:rPr>
          <w:rFonts w:asciiTheme="majorHAnsi" w:hAnsiTheme="majorHAnsi" w:cstheme="minorHAnsi"/>
          <w:sz w:val="22"/>
          <w:szCs w:val="22"/>
          <w:lang w:val="en"/>
        </w:rPr>
        <w:t xml:space="preserve"> </w:t>
      </w:r>
      <w:r w:rsidR="00A14CFE" w:rsidRPr="00DE7016">
        <w:rPr>
          <w:rFonts w:asciiTheme="majorHAnsi" w:hAnsiTheme="majorHAnsi" w:cstheme="minorHAnsi"/>
          <w:sz w:val="22"/>
          <w:szCs w:val="22"/>
          <w:lang w:val="en"/>
        </w:rPr>
        <w:t>the ulcerative colitis</w:t>
      </w:r>
      <w:r w:rsidR="00A14CFE">
        <w:rPr>
          <w:rFonts w:asciiTheme="majorHAnsi" w:hAnsiTheme="majorHAnsi" w:cstheme="minorHAnsi"/>
          <w:sz w:val="22"/>
          <w:szCs w:val="22"/>
          <w:lang w:val="en"/>
        </w:rPr>
        <w:t xml:space="preserve"> </w:t>
      </w:r>
      <w:r w:rsidR="00A14CFE" w:rsidRPr="00DE7016">
        <w:rPr>
          <w:rFonts w:asciiTheme="majorHAnsi" w:hAnsiTheme="majorHAnsi" w:cstheme="minorHAnsi"/>
          <w:sz w:val="22"/>
          <w:szCs w:val="22"/>
          <w:lang w:val="en"/>
        </w:rPr>
        <w:t>clinical trials</w:t>
      </w:r>
      <w:r w:rsidR="00DE7016" w:rsidRPr="00DE7016">
        <w:rPr>
          <w:rFonts w:asciiTheme="majorHAnsi" w:hAnsiTheme="majorHAnsi" w:cstheme="minorHAnsi"/>
          <w:sz w:val="22"/>
          <w:szCs w:val="22"/>
          <w:lang w:val="en"/>
        </w:rPr>
        <w:t xml:space="preserve">, the incidence rate of malignancies (excluding basal cell carcinomas and squamous cell carcinomas) was 0.5 per 100 </w:t>
      </w:r>
      <w:r w:rsidR="00850865" w:rsidRPr="00B837BB">
        <w:rPr>
          <w:rFonts w:asciiTheme="majorHAnsi" w:hAnsiTheme="majorHAnsi" w:cstheme="minorHAnsi"/>
          <w:sz w:val="22"/>
          <w:szCs w:val="22"/>
          <w:lang w:val="en"/>
        </w:rPr>
        <w:t>patient-</w:t>
      </w:r>
      <w:r w:rsidR="00DE7016" w:rsidRPr="00B837BB">
        <w:rPr>
          <w:rFonts w:asciiTheme="majorHAnsi" w:hAnsiTheme="majorHAnsi" w:cstheme="minorHAnsi"/>
          <w:sz w:val="22"/>
          <w:szCs w:val="22"/>
          <w:lang w:val="en"/>
        </w:rPr>
        <w:t xml:space="preserve">years of </w:t>
      </w:r>
      <w:r w:rsidR="00850865" w:rsidRPr="00B837BB">
        <w:rPr>
          <w:rFonts w:asciiTheme="majorHAnsi" w:hAnsiTheme="majorHAnsi" w:cstheme="minorHAnsi"/>
          <w:sz w:val="22"/>
          <w:szCs w:val="22"/>
          <w:lang w:val="en"/>
        </w:rPr>
        <w:t>exposure</w:t>
      </w:r>
      <w:r w:rsidR="00374F61">
        <w:rPr>
          <w:rFonts w:asciiTheme="majorHAnsi" w:hAnsiTheme="majorHAnsi" w:cstheme="minorHAnsi"/>
          <w:sz w:val="22"/>
          <w:szCs w:val="22"/>
          <w:lang w:val="en"/>
        </w:rPr>
        <w:t xml:space="preserve">, In the induction study, </w:t>
      </w:r>
      <w:r w:rsidR="00B92626">
        <w:rPr>
          <w:rFonts w:asciiTheme="majorHAnsi" w:hAnsiTheme="majorHAnsi" w:cstheme="minorHAnsi"/>
          <w:sz w:val="22"/>
          <w:szCs w:val="22"/>
          <w:lang w:val="en"/>
        </w:rPr>
        <w:t xml:space="preserve">there were 2 </w:t>
      </w:r>
      <w:r w:rsidR="001E49BC">
        <w:rPr>
          <w:rFonts w:asciiTheme="majorHAnsi" w:hAnsiTheme="majorHAnsi" w:cstheme="minorHAnsi"/>
          <w:sz w:val="22"/>
          <w:szCs w:val="22"/>
          <w:lang w:val="en"/>
        </w:rPr>
        <w:t xml:space="preserve">reported malignancies in the mirikizumab arm and 0 in the placebo arm, and in the maintenance study, there was 1 reported malignancy </w:t>
      </w:r>
      <w:r w:rsidR="00546E1B">
        <w:rPr>
          <w:rFonts w:asciiTheme="majorHAnsi" w:hAnsiTheme="majorHAnsi" w:cstheme="minorHAnsi"/>
          <w:sz w:val="22"/>
          <w:szCs w:val="22"/>
          <w:lang w:val="en"/>
        </w:rPr>
        <w:t>in the mirikizumab arm and 0 in the placebo arm. T</w:t>
      </w:r>
      <w:r w:rsidR="005A7F64">
        <w:rPr>
          <w:rFonts w:asciiTheme="majorHAnsi" w:hAnsiTheme="majorHAnsi" w:cstheme="minorHAnsi"/>
          <w:sz w:val="22"/>
          <w:szCs w:val="22"/>
          <w:lang w:val="en"/>
        </w:rPr>
        <w:t xml:space="preserve">he incidence rate of </w:t>
      </w:r>
      <w:r w:rsidR="00DE7016" w:rsidRPr="00DE7016">
        <w:rPr>
          <w:rFonts w:asciiTheme="majorHAnsi" w:hAnsiTheme="majorHAnsi" w:cstheme="minorHAnsi"/>
          <w:sz w:val="22"/>
          <w:szCs w:val="22"/>
          <w:lang w:val="en"/>
        </w:rPr>
        <w:t xml:space="preserve">non-melanoma skin cancers (basal cell carcinomas and squamous cell carcinomas) was 0.2 per 100 </w:t>
      </w:r>
      <w:r w:rsidR="00E415D8">
        <w:rPr>
          <w:rFonts w:asciiTheme="majorHAnsi" w:hAnsiTheme="majorHAnsi" w:cstheme="minorHAnsi"/>
          <w:sz w:val="22"/>
          <w:szCs w:val="22"/>
          <w:lang w:val="en"/>
        </w:rPr>
        <w:t>patient-</w:t>
      </w:r>
      <w:r w:rsidR="00DE7016" w:rsidRPr="00DE7016">
        <w:rPr>
          <w:rFonts w:asciiTheme="majorHAnsi" w:hAnsiTheme="majorHAnsi" w:cstheme="minorHAnsi"/>
          <w:sz w:val="22"/>
          <w:szCs w:val="22"/>
          <w:lang w:val="en"/>
        </w:rPr>
        <w:t xml:space="preserve">years of </w:t>
      </w:r>
      <w:r w:rsidR="00253FE2">
        <w:rPr>
          <w:rFonts w:asciiTheme="majorHAnsi" w:hAnsiTheme="majorHAnsi" w:cstheme="minorHAnsi"/>
          <w:sz w:val="22"/>
          <w:szCs w:val="22"/>
          <w:lang w:val="en"/>
        </w:rPr>
        <w:t>exposure</w:t>
      </w:r>
      <w:r w:rsidR="00A75A78">
        <w:rPr>
          <w:rFonts w:asciiTheme="majorHAnsi" w:hAnsiTheme="majorHAnsi" w:cstheme="minorHAnsi"/>
          <w:sz w:val="22"/>
          <w:szCs w:val="22"/>
          <w:lang w:val="en"/>
        </w:rPr>
        <w:t>.</w:t>
      </w:r>
    </w:p>
    <w:p w14:paraId="362A66A2" w14:textId="35067524" w:rsidR="001A3992" w:rsidRPr="00EB6E6A" w:rsidRDefault="001A3992" w:rsidP="00312012">
      <w:pPr>
        <w:pStyle w:val="Heading3"/>
        <w:spacing w:before="0" w:after="120"/>
        <w:ind w:left="0"/>
        <w:rPr>
          <w:b w:val="0"/>
        </w:rPr>
      </w:pPr>
      <w:r w:rsidRPr="003A5611">
        <w:lastRenderedPageBreak/>
        <w:t>Use in hepatic impairment</w:t>
      </w:r>
      <w:fldSimple w:instr="DOCVARIABLE vault_nd_065ac230-4a46-4251-8515-6d3c14bb7b99 \* MERGEFORMAT">
        <w:r w:rsidR="0012736B">
          <w:t xml:space="preserve"> </w:t>
        </w:r>
      </w:fldSimple>
    </w:p>
    <w:p w14:paraId="7E51CE6C" w14:textId="2F6E20E5" w:rsidR="000E1C75" w:rsidRPr="00F40BF0" w:rsidRDefault="000E1C75" w:rsidP="00312012">
      <w:pPr>
        <w:rPr>
          <w:rFonts w:asciiTheme="majorHAnsi" w:hAnsiTheme="majorHAnsi" w:cstheme="minorHAnsi"/>
          <w:lang w:val="en"/>
        </w:rPr>
      </w:pPr>
      <w:r w:rsidRPr="00C64D59">
        <w:rPr>
          <w:rFonts w:asciiTheme="majorHAnsi" w:hAnsiTheme="majorHAnsi" w:cstheme="minorHAnsi"/>
          <w:lang w:val="en"/>
        </w:rPr>
        <w:t>Specific clinical pharmacology studies to evaluate the effects of hepatic impairment on the pharmacokinetics of mirikizumab have not been conducted.</w:t>
      </w:r>
    </w:p>
    <w:p w14:paraId="26077B55" w14:textId="5D4C9BF6" w:rsidR="000E1C75" w:rsidRPr="00F40BF0" w:rsidRDefault="000E1C75" w:rsidP="00312012">
      <w:pPr>
        <w:rPr>
          <w:rFonts w:asciiTheme="majorHAnsi" w:hAnsiTheme="majorHAnsi" w:cstheme="minorHAnsi"/>
          <w:lang w:val="en"/>
        </w:rPr>
      </w:pPr>
      <w:r w:rsidRPr="00F40BF0">
        <w:rPr>
          <w:rFonts w:asciiTheme="majorHAnsi" w:hAnsiTheme="majorHAnsi" w:cstheme="minorHAnsi"/>
          <w:lang w:val="en"/>
        </w:rPr>
        <w:t>Population pharmacokinetic analysis showed that total bilirubin (range of 1.5 to 29 µmol/L) did not affect mirikizumab pharmacokinetics.</w:t>
      </w:r>
    </w:p>
    <w:p w14:paraId="13B03357" w14:textId="71BC41E1" w:rsidR="001A3992" w:rsidRPr="00EB6E6A" w:rsidRDefault="001A3992" w:rsidP="00312012">
      <w:pPr>
        <w:pStyle w:val="Heading3"/>
        <w:spacing w:before="0" w:after="120"/>
        <w:ind w:left="0"/>
        <w:rPr>
          <w:b w:val="0"/>
        </w:rPr>
      </w:pPr>
      <w:r w:rsidRPr="003A5611">
        <w:t>Use in renal impairment</w:t>
      </w:r>
      <w:fldSimple w:instr="DOCVARIABLE vault_nd_ba2f3ab8-02be-492c-9cf2-953a57df3c7c \* MERGEFORMAT">
        <w:r w:rsidR="0012736B">
          <w:t xml:space="preserve"> </w:t>
        </w:r>
      </w:fldSimple>
    </w:p>
    <w:p w14:paraId="4B294FBB" w14:textId="433C33B5" w:rsidR="004D737E" w:rsidRPr="00F40BF0" w:rsidRDefault="004D737E" w:rsidP="00312012">
      <w:pPr>
        <w:rPr>
          <w:rFonts w:asciiTheme="majorHAnsi" w:hAnsiTheme="majorHAnsi" w:cstheme="minorHAnsi"/>
          <w:lang w:val="en"/>
        </w:rPr>
      </w:pPr>
      <w:r w:rsidRPr="00C64D59">
        <w:rPr>
          <w:rFonts w:asciiTheme="majorHAnsi" w:hAnsiTheme="majorHAnsi" w:cstheme="minorHAnsi"/>
          <w:lang w:val="en"/>
        </w:rPr>
        <w:t xml:space="preserve">Specific clinical pharmacology studies to evaluate the effects of </w:t>
      </w:r>
      <w:r>
        <w:rPr>
          <w:rFonts w:asciiTheme="majorHAnsi" w:hAnsiTheme="majorHAnsi" w:cstheme="minorHAnsi"/>
          <w:lang w:val="en"/>
        </w:rPr>
        <w:t>renal</w:t>
      </w:r>
      <w:r w:rsidRPr="00C64D59">
        <w:rPr>
          <w:rFonts w:asciiTheme="majorHAnsi" w:hAnsiTheme="majorHAnsi" w:cstheme="minorHAnsi"/>
          <w:lang w:val="en"/>
        </w:rPr>
        <w:t xml:space="preserve"> impairment on the pharmacokinetics of mirikizumab have not been conducted.</w:t>
      </w:r>
    </w:p>
    <w:p w14:paraId="4F5CDD29" w14:textId="6735EB47" w:rsidR="00C64D59" w:rsidRPr="00980646" w:rsidRDefault="00980646" w:rsidP="00312012">
      <w:pPr>
        <w:rPr>
          <w:rFonts w:asciiTheme="majorHAnsi" w:hAnsiTheme="majorHAnsi" w:cstheme="minorHAnsi"/>
          <w:lang w:val="en"/>
        </w:rPr>
      </w:pPr>
      <w:r w:rsidRPr="00980646">
        <w:rPr>
          <w:rFonts w:asciiTheme="majorHAnsi" w:hAnsiTheme="majorHAnsi" w:cstheme="minorHAnsi"/>
          <w:lang w:val="en"/>
        </w:rPr>
        <w:t>Population pharmacokinetic analysis showed that creatinine clearance (range of 36.2 to 291 mL/min) did not affect mirikizumab pharmacokinetics.</w:t>
      </w:r>
    </w:p>
    <w:p w14:paraId="69AE5CF5" w14:textId="411EA025" w:rsidR="001A3992" w:rsidRDefault="001A3992" w:rsidP="00312012">
      <w:pPr>
        <w:pStyle w:val="Heading3"/>
        <w:spacing w:before="0" w:after="120"/>
        <w:ind w:left="0"/>
      </w:pPr>
      <w:r w:rsidRPr="00B878CC">
        <w:t>Use in the elderly</w:t>
      </w:r>
      <w:fldSimple w:instr="DOCVARIABLE vault_nd_17a199a4-2727-4ac7-bbcf-04098ecd1e8b \* MERGEFORMAT">
        <w:r w:rsidR="0012736B">
          <w:t xml:space="preserve"> </w:t>
        </w:r>
      </w:fldSimple>
    </w:p>
    <w:p w14:paraId="58F57C29" w14:textId="3C05CF82" w:rsidR="00FD0096" w:rsidRPr="00FD0096" w:rsidRDefault="008A345B" w:rsidP="00312012">
      <w:pPr>
        <w:rPr>
          <w:rFonts w:asciiTheme="majorHAnsi" w:hAnsiTheme="majorHAnsi" w:cstheme="minorHAnsi"/>
          <w:lang w:val="en"/>
        </w:rPr>
      </w:pPr>
      <w:r w:rsidRPr="00AB5AB4">
        <w:rPr>
          <w:rFonts w:asciiTheme="majorHAnsi" w:hAnsiTheme="majorHAnsi" w:cstheme="minorHAnsi"/>
          <w:lang w:val="en"/>
        </w:rPr>
        <w:t xml:space="preserve">There is limited </w:t>
      </w:r>
      <w:r w:rsidR="00D0389E" w:rsidRPr="00AB5AB4">
        <w:rPr>
          <w:rFonts w:asciiTheme="majorHAnsi" w:hAnsiTheme="majorHAnsi" w:cstheme="minorHAnsi"/>
          <w:lang w:val="en"/>
        </w:rPr>
        <w:t xml:space="preserve">information in </w:t>
      </w:r>
      <w:r w:rsidR="001E5FD6" w:rsidRPr="00AB5AB4">
        <w:rPr>
          <w:rFonts w:asciiTheme="majorHAnsi" w:hAnsiTheme="majorHAnsi" w:cstheme="minorHAnsi"/>
          <w:lang w:val="en"/>
        </w:rPr>
        <w:t>this age group</w:t>
      </w:r>
      <w:r w:rsidR="00760C38" w:rsidRPr="00AB5AB4">
        <w:rPr>
          <w:rFonts w:asciiTheme="majorHAnsi" w:hAnsiTheme="majorHAnsi" w:cstheme="minorHAnsi"/>
          <w:lang w:val="en"/>
        </w:rPr>
        <w:t>,</w:t>
      </w:r>
      <w:r w:rsidR="001E5FD6" w:rsidRPr="00AB5AB4">
        <w:rPr>
          <w:rFonts w:asciiTheme="majorHAnsi" w:hAnsiTheme="majorHAnsi" w:cstheme="minorHAnsi"/>
          <w:lang w:val="en"/>
        </w:rPr>
        <w:t xml:space="preserve"> especially </w:t>
      </w:r>
      <w:r w:rsidR="00601541" w:rsidRPr="00AB5AB4">
        <w:rPr>
          <w:rFonts w:asciiTheme="majorHAnsi" w:hAnsiTheme="majorHAnsi" w:cstheme="minorHAnsi"/>
          <w:lang w:val="en"/>
        </w:rPr>
        <w:t xml:space="preserve">in those </w:t>
      </w:r>
      <w:r w:rsidR="001274B8" w:rsidRPr="00AB5AB4">
        <w:rPr>
          <w:rFonts w:asciiTheme="majorHAnsi" w:hAnsiTheme="majorHAnsi" w:cstheme="minorHAnsi"/>
          <w:lang w:val="en"/>
        </w:rPr>
        <w:t>aged 75 years or older</w:t>
      </w:r>
      <w:r w:rsidR="001274B8">
        <w:rPr>
          <w:rFonts w:asciiTheme="majorHAnsi" w:hAnsiTheme="majorHAnsi" w:cstheme="minorHAnsi"/>
          <w:lang w:val="en"/>
        </w:rPr>
        <w:t>.</w:t>
      </w:r>
      <w:r>
        <w:rPr>
          <w:rFonts w:asciiTheme="majorHAnsi" w:hAnsiTheme="majorHAnsi" w:cstheme="minorHAnsi"/>
          <w:lang w:val="en"/>
        </w:rPr>
        <w:t xml:space="preserve"> </w:t>
      </w:r>
      <w:r w:rsidR="00FD0096" w:rsidRPr="00FD0096">
        <w:rPr>
          <w:rFonts w:asciiTheme="majorHAnsi" w:hAnsiTheme="majorHAnsi" w:cstheme="minorHAnsi"/>
          <w:lang w:val="en"/>
        </w:rPr>
        <w:t xml:space="preserve">Of the 1362 subjects with ulcerative colitis exposed to OMVOH in Phase 2 and Phase 3 studies, 99 subjects were 65 years or older and 11 subjects were 75 years or older. </w:t>
      </w:r>
      <w:r w:rsidR="00315AF3">
        <w:rPr>
          <w:rFonts w:asciiTheme="majorHAnsi" w:hAnsiTheme="majorHAnsi" w:cstheme="minorHAnsi"/>
          <w:lang w:val="en"/>
        </w:rPr>
        <w:t xml:space="preserve">Population </w:t>
      </w:r>
      <w:r w:rsidR="00E715F0">
        <w:rPr>
          <w:rFonts w:asciiTheme="majorHAnsi" w:hAnsiTheme="majorHAnsi" w:cstheme="minorHAnsi"/>
          <w:lang w:val="en"/>
        </w:rPr>
        <w:t>pharmacokinetic analysis showed n</w:t>
      </w:r>
      <w:r w:rsidR="00FD0096" w:rsidRPr="00FD0096">
        <w:rPr>
          <w:rFonts w:asciiTheme="majorHAnsi" w:hAnsiTheme="majorHAnsi" w:cstheme="minorHAnsi"/>
          <w:lang w:val="en"/>
        </w:rPr>
        <w:t>o overall differences in OMVOH exposure between older and younger subjects.</w:t>
      </w:r>
    </w:p>
    <w:p w14:paraId="6131005D" w14:textId="13A113D9" w:rsidR="001A3992" w:rsidRDefault="001A3992" w:rsidP="00312012">
      <w:pPr>
        <w:pStyle w:val="Heading3"/>
        <w:spacing w:before="0" w:after="120"/>
        <w:ind w:left="0"/>
      </w:pPr>
      <w:r w:rsidRPr="00B878CC">
        <w:t>Paediatric use</w:t>
      </w:r>
      <w:fldSimple w:instr="DOCVARIABLE vault_nd_68132e14-cc38-4795-90f8-acb6d37d4fda \* MERGEFORMAT">
        <w:r w:rsidR="0012736B">
          <w:t xml:space="preserve"> </w:t>
        </w:r>
      </w:fldSimple>
    </w:p>
    <w:p w14:paraId="60125236" w14:textId="5575344F" w:rsidR="00724847" w:rsidRPr="00724847" w:rsidRDefault="00724847" w:rsidP="00312012">
      <w:pPr>
        <w:rPr>
          <w:rFonts w:asciiTheme="majorHAnsi" w:hAnsiTheme="majorHAnsi"/>
          <w:lang w:val="en"/>
        </w:rPr>
      </w:pPr>
      <w:r w:rsidRPr="54D54FFE">
        <w:rPr>
          <w:rFonts w:asciiTheme="majorHAnsi" w:hAnsiTheme="majorHAnsi"/>
          <w:lang w:val="en"/>
        </w:rPr>
        <w:t xml:space="preserve">The safety and efficacy of OMVOH in patients less than 18 years of age </w:t>
      </w:r>
      <w:r w:rsidR="3E1BE84D" w:rsidRPr="54D54FFE">
        <w:rPr>
          <w:rFonts w:asciiTheme="majorHAnsi" w:hAnsiTheme="majorHAnsi"/>
          <w:lang w:val="en"/>
        </w:rPr>
        <w:t>ha</w:t>
      </w:r>
      <w:r w:rsidR="7F3BBDBD" w:rsidRPr="54D54FFE">
        <w:rPr>
          <w:rFonts w:asciiTheme="majorHAnsi" w:hAnsiTheme="majorHAnsi"/>
          <w:lang w:val="en"/>
        </w:rPr>
        <w:t>s</w:t>
      </w:r>
      <w:r w:rsidRPr="54D54FFE">
        <w:rPr>
          <w:rFonts w:asciiTheme="majorHAnsi" w:hAnsiTheme="majorHAnsi"/>
          <w:lang w:val="en"/>
        </w:rPr>
        <w:t xml:space="preserve"> not been established.</w:t>
      </w:r>
      <w:r w:rsidR="00325A7D" w:rsidRPr="54D54FFE">
        <w:rPr>
          <w:rFonts w:asciiTheme="majorHAnsi" w:hAnsiTheme="majorHAnsi"/>
          <w:lang w:val="en"/>
        </w:rPr>
        <w:t xml:space="preserve"> </w:t>
      </w:r>
    </w:p>
    <w:p w14:paraId="2FE7D610" w14:textId="250706AC" w:rsidR="001A3992" w:rsidRDefault="001A3992" w:rsidP="00312012">
      <w:pPr>
        <w:pStyle w:val="Heading3"/>
        <w:spacing w:before="0" w:after="120"/>
        <w:ind w:left="0"/>
      </w:pPr>
      <w:r w:rsidRPr="000136AA">
        <w:t>Effects on laboratory tests</w:t>
      </w:r>
      <w:fldSimple w:instr="DOCVARIABLE vault_nd_8259d0da-8684-4e3f-a38d-d94ab245bc9f \* MERGEFORMAT">
        <w:r w:rsidR="0012736B">
          <w:t xml:space="preserve"> </w:t>
        </w:r>
      </w:fldSimple>
    </w:p>
    <w:p w14:paraId="5A50EE7C" w14:textId="56CF78AC" w:rsidR="00275C29" w:rsidRPr="009F0E8D" w:rsidRDefault="0021211D" w:rsidP="00312012">
      <w:pPr>
        <w:rPr>
          <w:rFonts w:asciiTheme="majorHAnsi" w:hAnsiTheme="majorHAnsi" w:cstheme="minorHAnsi"/>
          <w:lang w:val="en"/>
        </w:rPr>
      </w:pPr>
      <w:r w:rsidRPr="009F0E8D">
        <w:rPr>
          <w:rFonts w:asciiTheme="majorHAnsi" w:hAnsiTheme="majorHAnsi" w:cstheme="minorHAnsi"/>
          <w:lang w:val="en"/>
        </w:rPr>
        <w:t xml:space="preserve">For hepatic enzyme </w:t>
      </w:r>
      <w:r w:rsidR="00E4418F" w:rsidRPr="009F0E8D">
        <w:rPr>
          <w:rFonts w:asciiTheme="majorHAnsi" w:hAnsiTheme="majorHAnsi" w:cstheme="minorHAnsi"/>
          <w:lang w:val="en"/>
        </w:rPr>
        <w:t xml:space="preserve">elevation information in the clinical trial development programmes </w:t>
      </w:r>
      <w:r w:rsidR="00A53EC6" w:rsidRPr="009F0E8D">
        <w:rPr>
          <w:rFonts w:asciiTheme="majorHAnsi" w:hAnsiTheme="majorHAnsi" w:cstheme="minorHAnsi"/>
          <w:lang w:val="en"/>
        </w:rPr>
        <w:t xml:space="preserve">see Section </w:t>
      </w:r>
      <w:r w:rsidR="009F0E8D" w:rsidRPr="001A46B1">
        <w:rPr>
          <w:rFonts w:asciiTheme="majorHAnsi" w:hAnsiTheme="majorHAnsi" w:cstheme="minorHAnsi"/>
          <w:color w:val="0000FF"/>
          <w:shd w:val="clear" w:color="auto" w:fill="E6E6E6"/>
          <w:lang w:val="en"/>
        </w:rPr>
        <w:fldChar w:fldCharType="begin"/>
      </w:r>
      <w:r w:rsidR="009F0E8D" w:rsidRPr="001A46B1">
        <w:rPr>
          <w:rFonts w:asciiTheme="majorHAnsi" w:hAnsiTheme="majorHAnsi" w:cstheme="minorHAnsi"/>
          <w:color w:val="0000FF"/>
          <w:lang w:val="en"/>
        </w:rPr>
        <w:instrText xml:space="preserve"> REF _Ref101456234 \w \h  \* MERGEFORMAT </w:instrText>
      </w:r>
      <w:r w:rsidR="009F0E8D" w:rsidRPr="001A46B1">
        <w:rPr>
          <w:rFonts w:asciiTheme="majorHAnsi" w:hAnsiTheme="majorHAnsi" w:cstheme="minorHAnsi"/>
          <w:color w:val="0000FF"/>
          <w:shd w:val="clear" w:color="auto" w:fill="E6E6E6"/>
          <w:lang w:val="en"/>
        </w:rPr>
      </w:r>
      <w:r w:rsidR="009F0E8D" w:rsidRPr="001A46B1">
        <w:rPr>
          <w:rFonts w:asciiTheme="majorHAnsi" w:hAnsiTheme="majorHAnsi" w:cstheme="minorHAnsi"/>
          <w:color w:val="0000FF"/>
          <w:shd w:val="clear" w:color="auto" w:fill="E6E6E6"/>
          <w:lang w:val="en"/>
        </w:rPr>
        <w:fldChar w:fldCharType="separate"/>
      </w:r>
      <w:r w:rsidR="009F0E8D" w:rsidRPr="001A46B1">
        <w:rPr>
          <w:rFonts w:asciiTheme="majorHAnsi" w:hAnsiTheme="majorHAnsi" w:cstheme="minorHAnsi"/>
          <w:color w:val="0000FF"/>
          <w:lang w:val="en"/>
        </w:rPr>
        <w:t>4.4</w:t>
      </w:r>
      <w:r w:rsidR="009F0E8D" w:rsidRPr="001A46B1">
        <w:rPr>
          <w:rFonts w:asciiTheme="majorHAnsi" w:hAnsiTheme="majorHAnsi" w:cstheme="minorHAnsi"/>
          <w:color w:val="0000FF"/>
          <w:shd w:val="clear" w:color="auto" w:fill="E6E6E6"/>
          <w:lang w:val="en"/>
        </w:rPr>
        <w:fldChar w:fldCharType="end"/>
      </w:r>
      <w:r w:rsidR="009F0E8D" w:rsidRPr="001A46B1">
        <w:rPr>
          <w:rFonts w:asciiTheme="majorHAnsi" w:hAnsiTheme="majorHAnsi" w:cstheme="minorHAnsi"/>
          <w:color w:val="0000FF"/>
          <w:lang w:val="en"/>
        </w:rPr>
        <w:t xml:space="preserve"> </w:t>
      </w:r>
      <w:r w:rsidR="009F0E8D" w:rsidRPr="001A46B1">
        <w:rPr>
          <w:rFonts w:asciiTheme="majorHAnsi" w:hAnsiTheme="majorHAnsi" w:cstheme="minorHAnsi"/>
          <w:color w:val="0000FF"/>
          <w:shd w:val="clear" w:color="auto" w:fill="E6E6E6"/>
          <w:lang w:val="en"/>
        </w:rPr>
        <w:fldChar w:fldCharType="begin"/>
      </w:r>
      <w:r w:rsidR="009F0E8D" w:rsidRPr="001A46B1">
        <w:rPr>
          <w:rFonts w:asciiTheme="majorHAnsi" w:hAnsiTheme="majorHAnsi" w:cstheme="minorHAnsi"/>
          <w:color w:val="0000FF"/>
          <w:lang w:val="en"/>
        </w:rPr>
        <w:instrText xml:space="preserve"> REF _Ref101456234 \h  \* MERGEFORMAT </w:instrText>
      </w:r>
      <w:r w:rsidR="009F0E8D" w:rsidRPr="001A46B1">
        <w:rPr>
          <w:rFonts w:asciiTheme="majorHAnsi" w:hAnsiTheme="majorHAnsi" w:cstheme="minorHAnsi"/>
          <w:color w:val="0000FF"/>
          <w:shd w:val="clear" w:color="auto" w:fill="E6E6E6"/>
          <w:lang w:val="en"/>
        </w:rPr>
      </w:r>
      <w:r w:rsidR="009F0E8D" w:rsidRPr="001A46B1">
        <w:rPr>
          <w:rFonts w:asciiTheme="majorHAnsi" w:hAnsiTheme="majorHAnsi" w:cstheme="minorHAnsi"/>
          <w:color w:val="0000FF"/>
          <w:shd w:val="clear" w:color="auto" w:fill="E6E6E6"/>
          <w:lang w:val="en"/>
        </w:rPr>
        <w:fldChar w:fldCharType="separate"/>
      </w:r>
      <w:r w:rsidR="009F0E8D" w:rsidRPr="001A46B1">
        <w:rPr>
          <w:rFonts w:asciiTheme="majorHAnsi" w:hAnsiTheme="majorHAnsi" w:cstheme="minorHAnsi"/>
          <w:color w:val="0000FF"/>
          <w:lang w:val="en"/>
        </w:rPr>
        <w:t>Special warnings and precautions for use</w:t>
      </w:r>
      <w:r w:rsidR="009F0E8D" w:rsidRPr="001A46B1">
        <w:rPr>
          <w:rFonts w:asciiTheme="majorHAnsi" w:hAnsiTheme="majorHAnsi" w:cstheme="minorHAnsi"/>
          <w:color w:val="0000FF"/>
          <w:shd w:val="clear" w:color="auto" w:fill="E6E6E6"/>
          <w:lang w:val="en"/>
        </w:rPr>
        <w:fldChar w:fldCharType="end"/>
      </w:r>
      <w:r w:rsidR="009F0E8D" w:rsidRPr="009F0E8D">
        <w:rPr>
          <w:rFonts w:asciiTheme="majorHAnsi" w:hAnsiTheme="majorHAnsi" w:cstheme="minorHAnsi"/>
          <w:lang w:val="en"/>
        </w:rPr>
        <w:t>.</w:t>
      </w:r>
    </w:p>
    <w:p w14:paraId="6C0BFB54" w14:textId="01D17602" w:rsidR="001A3992" w:rsidRDefault="001A3992" w:rsidP="001A3992">
      <w:pPr>
        <w:pStyle w:val="Heading2"/>
        <w:keepNext/>
        <w:keepLines/>
        <w:spacing w:before="0" w:after="120"/>
      </w:pPr>
      <w:r>
        <w:t>Interactions with other medicines and other forms of interactions</w:t>
      </w:r>
      <w:fldSimple w:instr="DOCVARIABLE vault_nd_b0c31b54-ef6f-4627-8cfc-e0730384b42d \* MERGEFORMAT">
        <w:r w:rsidR="0012736B">
          <w:t xml:space="preserve"> </w:t>
        </w:r>
      </w:fldSimple>
    </w:p>
    <w:p w14:paraId="24A70D85" w14:textId="1FDC791D" w:rsidR="00E164C9" w:rsidRDefault="00E164C9" w:rsidP="00E164C9">
      <w:pPr>
        <w:rPr>
          <w:rFonts w:asciiTheme="majorHAnsi" w:hAnsiTheme="majorHAnsi" w:cstheme="minorHAnsi"/>
          <w:lang w:val="en"/>
        </w:rPr>
      </w:pPr>
      <w:r w:rsidRPr="00185C03">
        <w:rPr>
          <w:rFonts w:asciiTheme="majorHAnsi" w:hAnsiTheme="majorHAnsi" w:cstheme="minorHAnsi"/>
          <w:lang w:val="en"/>
        </w:rPr>
        <w:t xml:space="preserve">In ulcerative colitis studies, concomitant use of corticosteroids or oral immunomodulators </w:t>
      </w:r>
      <w:r w:rsidR="0002265B" w:rsidRPr="54D54FFE">
        <w:rPr>
          <w:rFonts w:asciiTheme="majorHAnsi" w:hAnsiTheme="majorHAnsi"/>
          <w:lang w:val="en"/>
        </w:rPr>
        <w:t xml:space="preserve">(azathioprine, mercaptopurine, tioguanine, and methotrexate) </w:t>
      </w:r>
      <w:r w:rsidRPr="00185C03">
        <w:rPr>
          <w:rFonts w:asciiTheme="majorHAnsi" w:hAnsiTheme="majorHAnsi" w:cstheme="minorHAnsi"/>
          <w:lang w:val="en"/>
        </w:rPr>
        <w:t>were not found to affect the safety of OMVOH.</w:t>
      </w:r>
    </w:p>
    <w:p w14:paraId="042AA69C" w14:textId="0C3E25CE" w:rsidR="00534379" w:rsidRDefault="00534379" w:rsidP="00E164C9">
      <w:pPr>
        <w:rPr>
          <w:rFonts w:asciiTheme="majorHAnsi" w:hAnsiTheme="majorHAnsi"/>
          <w:lang w:val="en"/>
        </w:rPr>
      </w:pPr>
      <w:r w:rsidRPr="54D54FFE">
        <w:rPr>
          <w:rFonts w:asciiTheme="majorHAnsi" w:hAnsiTheme="majorHAnsi"/>
          <w:lang w:val="en"/>
        </w:rPr>
        <w:t>Population pharmacokinetic data analyses indicated that the clearance of mirikizumab was not impacted by concomitant administration of 5-ASAs, corticosteroids, or oral immunomodulators in patients with ulcerative colitis.</w:t>
      </w:r>
    </w:p>
    <w:p w14:paraId="14BF2018" w14:textId="122FB95A" w:rsidR="003A0436" w:rsidRPr="00185C03" w:rsidRDefault="005757A7" w:rsidP="00E164C9">
      <w:pPr>
        <w:rPr>
          <w:rFonts w:asciiTheme="majorHAnsi" w:hAnsiTheme="majorHAnsi"/>
          <w:lang w:val="en"/>
        </w:rPr>
      </w:pPr>
      <w:r w:rsidRPr="54D54FFE">
        <w:rPr>
          <w:rFonts w:asciiTheme="majorHAnsi" w:hAnsiTheme="majorHAnsi"/>
          <w:lang w:val="en"/>
        </w:rPr>
        <w:t>Based on a clinical drug interaction study conducted in patients with moderate-to-severe psoriasis, multiple subcutaneous doses of</w:t>
      </w:r>
      <w:r w:rsidR="00DF0869">
        <w:rPr>
          <w:rFonts w:asciiTheme="majorHAnsi" w:hAnsiTheme="majorHAnsi"/>
          <w:lang w:val="en"/>
        </w:rPr>
        <w:t xml:space="preserve"> 250</w:t>
      </w:r>
      <w:r w:rsidR="00BF6D07">
        <w:rPr>
          <w:rFonts w:asciiTheme="majorHAnsi" w:hAnsiTheme="majorHAnsi"/>
          <w:lang w:val="en"/>
        </w:rPr>
        <w:t xml:space="preserve"> mg every 4 weeks of</w:t>
      </w:r>
      <w:r w:rsidRPr="54D54FFE">
        <w:rPr>
          <w:rFonts w:asciiTheme="majorHAnsi" w:hAnsiTheme="majorHAnsi"/>
          <w:lang w:val="en"/>
        </w:rPr>
        <w:t xml:space="preserve"> mirikizumab </w:t>
      </w:r>
      <w:r w:rsidR="00BF6D07">
        <w:rPr>
          <w:rFonts w:asciiTheme="majorHAnsi" w:hAnsiTheme="majorHAnsi"/>
          <w:lang w:val="en"/>
        </w:rPr>
        <w:t>(a dosage 1.25-times</w:t>
      </w:r>
      <w:r w:rsidR="00A75A78">
        <w:rPr>
          <w:rFonts w:asciiTheme="majorHAnsi" w:hAnsiTheme="majorHAnsi"/>
          <w:lang w:val="en"/>
        </w:rPr>
        <w:t xml:space="preserve"> </w:t>
      </w:r>
      <w:r w:rsidR="00840762">
        <w:rPr>
          <w:rFonts w:asciiTheme="majorHAnsi" w:hAnsiTheme="majorHAnsi"/>
          <w:lang w:val="en"/>
        </w:rPr>
        <w:t xml:space="preserve">the recommended maintenance dosage) </w:t>
      </w:r>
      <w:r w:rsidR="00AF6432">
        <w:rPr>
          <w:rFonts w:asciiTheme="majorHAnsi" w:hAnsiTheme="majorHAnsi"/>
          <w:lang w:val="en"/>
        </w:rPr>
        <w:t>did not</w:t>
      </w:r>
      <w:r w:rsidR="00425029">
        <w:rPr>
          <w:rFonts w:asciiTheme="majorHAnsi" w:hAnsiTheme="majorHAnsi"/>
          <w:lang w:val="en"/>
        </w:rPr>
        <w:t xml:space="preserve"> result in </w:t>
      </w:r>
      <w:r w:rsidRPr="54D54FFE">
        <w:rPr>
          <w:rFonts w:asciiTheme="majorHAnsi" w:hAnsiTheme="majorHAnsi"/>
          <w:lang w:val="en"/>
        </w:rPr>
        <w:t xml:space="preserve">changes in the exposure of CYP3A, CYP2C9, CYP2D6, CYP2C19, or CYP1A2 substrates. </w:t>
      </w:r>
      <w:r w:rsidR="007F7A2F">
        <w:rPr>
          <w:rFonts w:asciiTheme="majorHAnsi" w:hAnsiTheme="majorHAnsi"/>
          <w:lang w:val="en"/>
        </w:rPr>
        <w:t>Based on</w:t>
      </w:r>
      <w:r w:rsidR="00697326">
        <w:rPr>
          <w:rFonts w:asciiTheme="majorHAnsi" w:hAnsiTheme="majorHAnsi"/>
          <w:lang w:val="en"/>
        </w:rPr>
        <w:t xml:space="preserve"> this study, mirikizumab</w:t>
      </w:r>
      <w:r w:rsidR="007E7E86">
        <w:rPr>
          <w:rFonts w:asciiTheme="majorHAnsi" w:hAnsiTheme="majorHAnsi"/>
          <w:lang w:val="en"/>
        </w:rPr>
        <w:t xml:space="preserve"> is</w:t>
      </w:r>
      <w:r w:rsidR="0071065B">
        <w:rPr>
          <w:rFonts w:asciiTheme="majorHAnsi" w:hAnsiTheme="majorHAnsi"/>
          <w:lang w:val="en"/>
        </w:rPr>
        <w:t xml:space="preserve"> not expected </w:t>
      </w:r>
      <w:r w:rsidR="00697326">
        <w:rPr>
          <w:rFonts w:asciiTheme="majorHAnsi" w:hAnsiTheme="majorHAnsi"/>
          <w:lang w:val="en"/>
        </w:rPr>
        <w:t xml:space="preserve">to affect </w:t>
      </w:r>
      <w:r w:rsidR="008351B3">
        <w:rPr>
          <w:rFonts w:asciiTheme="majorHAnsi" w:hAnsiTheme="majorHAnsi"/>
          <w:lang w:val="en"/>
        </w:rPr>
        <w:t xml:space="preserve">the metabolism </w:t>
      </w:r>
      <w:r w:rsidR="00931FF7">
        <w:rPr>
          <w:rFonts w:asciiTheme="majorHAnsi" w:hAnsiTheme="majorHAnsi"/>
          <w:lang w:val="en"/>
        </w:rPr>
        <w:t>by these five CYP en</w:t>
      </w:r>
      <w:r w:rsidR="00AA1413">
        <w:rPr>
          <w:rFonts w:asciiTheme="majorHAnsi" w:hAnsiTheme="majorHAnsi"/>
          <w:lang w:val="en"/>
        </w:rPr>
        <w:t xml:space="preserve">zymes. </w:t>
      </w:r>
      <w:r w:rsidRPr="54D54FFE">
        <w:rPr>
          <w:rFonts w:asciiTheme="majorHAnsi" w:hAnsiTheme="majorHAnsi"/>
          <w:lang w:val="en"/>
        </w:rPr>
        <w:t xml:space="preserve">No </w:t>
      </w:r>
      <w:r w:rsidR="000332C1">
        <w:rPr>
          <w:rFonts w:asciiTheme="majorHAnsi" w:hAnsiTheme="majorHAnsi"/>
          <w:lang w:val="en"/>
        </w:rPr>
        <w:t>drug</w:t>
      </w:r>
      <w:r w:rsidRPr="54D54FFE">
        <w:rPr>
          <w:rFonts w:asciiTheme="majorHAnsi" w:hAnsiTheme="majorHAnsi"/>
          <w:lang w:val="en"/>
        </w:rPr>
        <w:t xml:space="preserve"> interaction stud</w:t>
      </w:r>
      <w:r w:rsidR="001B79E2">
        <w:rPr>
          <w:rFonts w:asciiTheme="majorHAnsi" w:hAnsiTheme="majorHAnsi"/>
          <w:lang w:val="en"/>
        </w:rPr>
        <w:t>y</w:t>
      </w:r>
      <w:r w:rsidRPr="54D54FFE">
        <w:rPr>
          <w:rFonts w:asciiTheme="majorHAnsi" w:hAnsiTheme="majorHAnsi"/>
          <w:lang w:val="en"/>
        </w:rPr>
        <w:t xml:space="preserve"> </w:t>
      </w:r>
      <w:r w:rsidR="009D6715">
        <w:rPr>
          <w:rFonts w:asciiTheme="majorHAnsi" w:hAnsiTheme="majorHAnsi"/>
          <w:lang w:val="en"/>
        </w:rPr>
        <w:t>was</w:t>
      </w:r>
      <w:r w:rsidRPr="54D54FFE">
        <w:rPr>
          <w:rFonts w:asciiTheme="majorHAnsi" w:hAnsiTheme="majorHAnsi"/>
          <w:lang w:val="en"/>
        </w:rPr>
        <w:t xml:space="preserve"> conducted in patients with ulcerative colitis</w:t>
      </w:r>
      <w:r w:rsidR="5B3C3546" w:rsidRPr="667C2991">
        <w:rPr>
          <w:rFonts w:asciiTheme="majorHAnsi" w:hAnsiTheme="majorHAnsi"/>
          <w:lang w:val="en"/>
        </w:rPr>
        <w:t xml:space="preserve"> at the </w:t>
      </w:r>
      <w:r w:rsidR="5B3C3546" w:rsidRPr="356B3045">
        <w:rPr>
          <w:rFonts w:asciiTheme="majorHAnsi" w:hAnsiTheme="majorHAnsi"/>
          <w:lang w:val="en"/>
        </w:rPr>
        <w:t xml:space="preserve">recommended </w:t>
      </w:r>
      <w:r w:rsidR="5B3C3546" w:rsidRPr="60942217">
        <w:rPr>
          <w:rFonts w:asciiTheme="majorHAnsi" w:hAnsiTheme="majorHAnsi"/>
          <w:lang w:val="en"/>
        </w:rPr>
        <w:t>dos</w:t>
      </w:r>
      <w:r w:rsidR="4E51FC75" w:rsidRPr="60942217">
        <w:rPr>
          <w:rFonts w:asciiTheme="majorHAnsi" w:hAnsiTheme="majorHAnsi"/>
          <w:lang w:val="en"/>
        </w:rPr>
        <w:t>age</w:t>
      </w:r>
      <w:r w:rsidRPr="54D54FFE">
        <w:rPr>
          <w:rFonts w:asciiTheme="majorHAnsi" w:hAnsiTheme="majorHAnsi"/>
          <w:lang w:val="en"/>
        </w:rPr>
        <w:t>.</w:t>
      </w:r>
    </w:p>
    <w:p w14:paraId="22B5A55A" w14:textId="07EE80FB" w:rsidR="001A3992" w:rsidRDefault="001A3992" w:rsidP="00D451E4">
      <w:pPr>
        <w:pStyle w:val="Heading2"/>
        <w:pageBreakBefore/>
        <w:spacing w:before="0" w:after="120"/>
      </w:pPr>
      <w:r>
        <w:lastRenderedPageBreak/>
        <w:t>Fertility, pregnancy and lactation</w:t>
      </w:r>
      <w:fldSimple w:instr="DOCVARIABLE vault_nd_7da5304e-dba0-45e7-97c8-e7090a079220 \* MERGEFORMAT">
        <w:r w:rsidR="0012736B">
          <w:t xml:space="preserve"> </w:t>
        </w:r>
      </w:fldSimple>
    </w:p>
    <w:p w14:paraId="2D952D76" w14:textId="15E7532B" w:rsidR="001A3992" w:rsidRDefault="001A3992" w:rsidP="005D2809">
      <w:pPr>
        <w:pStyle w:val="Heading3"/>
        <w:spacing w:before="0" w:after="120"/>
        <w:ind w:left="0"/>
      </w:pPr>
      <w:r w:rsidRPr="00B878CC">
        <w:t>Effects on fertility</w:t>
      </w:r>
      <w:fldSimple w:instr="DOCVARIABLE vault_nd_d1375cf4-e3bd-407e-9f04-2a80fc20a7af \* MERGEFORMAT">
        <w:r w:rsidR="0012736B">
          <w:t xml:space="preserve"> </w:t>
        </w:r>
      </w:fldSimple>
    </w:p>
    <w:p w14:paraId="45AED0FA" w14:textId="7F7629D9" w:rsidR="00AE2568" w:rsidRDefault="00AE2568" w:rsidP="005D2809">
      <w:pPr>
        <w:rPr>
          <w:rFonts w:asciiTheme="majorHAnsi" w:hAnsiTheme="majorHAnsi" w:cstheme="minorHAnsi"/>
          <w:lang w:val="en"/>
        </w:rPr>
      </w:pPr>
      <w:r w:rsidRPr="00AE2568">
        <w:rPr>
          <w:rFonts w:asciiTheme="majorHAnsi" w:hAnsiTheme="majorHAnsi" w:cstheme="minorHAnsi"/>
          <w:lang w:val="en"/>
        </w:rPr>
        <w:t>Women of childbearing potential should use an effective method of contraception during treatment and for at least 10 weeks after treatment.</w:t>
      </w:r>
    </w:p>
    <w:p w14:paraId="73307532" w14:textId="09C94E97" w:rsidR="00B43EC3" w:rsidRDefault="00B43EC3" w:rsidP="005D2809">
      <w:pPr>
        <w:rPr>
          <w:rFonts w:asciiTheme="majorHAnsi" w:hAnsiTheme="majorHAnsi" w:cstheme="minorHAnsi"/>
          <w:lang w:val="en"/>
        </w:rPr>
      </w:pPr>
      <w:r w:rsidRPr="00B43EC3">
        <w:rPr>
          <w:rFonts w:asciiTheme="majorHAnsi" w:hAnsiTheme="majorHAnsi" w:cstheme="minorHAnsi"/>
          <w:lang w:val="en"/>
        </w:rPr>
        <w:t>The effect of mirikizumab on human fertility has not been evaluated.</w:t>
      </w:r>
    </w:p>
    <w:p w14:paraId="503346B0" w14:textId="5BD433B3" w:rsidR="00A227D3" w:rsidRDefault="00677C6A" w:rsidP="005D2809">
      <w:pPr>
        <w:rPr>
          <w:rFonts w:asciiTheme="majorHAnsi" w:hAnsiTheme="majorHAnsi" w:cstheme="minorHAnsi"/>
          <w:lang w:val="en"/>
        </w:rPr>
      </w:pPr>
      <w:r>
        <w:rPr>
          <w:rFonts w:asciiTheme="majorHAnsi" w:hAnsiTheme="majorHAnsi" w:cstheme="minorHAnsi"/>
          <w:lang w:val="en"/>
        </w:rPr>
        <w:t xml:space="preserve">No dedicated animal fertility studies have been conducted </w:t>
      </w:r>
      <w:r w:rsidR="001D1498">
        <w:rPr>
          <w:rFonts w:asciiTheme="majorHAnsi" w:hAnsiTheme="majorHAnsi" w:cstheme="minorHAnsi"/>
          <w:lang w:val="en"/>
        </w:rPr>
        <w:t>with mirikizumab. I</w:t>
      </w:r>
      <w:r w:rsidR="009A0485">
        <w:rPr>
          <w:rFonts w:asciiTheme="majorHAnsi" w:hAnsiTheme="majorHAnsi" w:cstheme="minorHAnsi"/>
          <w:lang w:val="en"/>
        </w:rPr>
        <w:t>n</w:t>
      </w:r>
      <w:r w:rsidR="001D1498">
        <w:rPr>
          <w:rFonts w:asciiTheme="majorHAnsi" w:hAnsiTheme="majorHAnsi" w:cstheme="minorHAnsi"/>
          <w:lang w:val="en"/>
        </w:rPr>
        <w:t xml:space="preserve"> a repeat-dose toxicity study, </w:t>
      </w:r>
      <w:r w:rsidR="001D1498" w:rsidRPr="002744D6">
        <w:rPr>
          <w:rFonts w:asciiTheme="majorHAnsi" w:hAnsiTheme="majorHAnsi" w:cstheme="minorHAnsi"/>
          <w:lang w:val="en"/>
        </w:rPr>
        <w:t>n</w:t>
      </w:r>
      <w:r w:rsidR="00A227D3" w:rsidRPr="002744D6">
        <w:rPr>
          <w:rFonts w:asciiTheme="majorHAnsi" w:hAnsiTheme="majorHAnsi" w:cstheme="minorHAnsi"/>
          <w:lang w:val="en"/>
        </w:rPr>
        <w:t xml:space="preserve">o </w:t>
      </w:r>
      <w:r w:rsidR="002744D6" w:rsidRPr="002744D6">
        <w:rPr>
          <w:rFonts w:asciiTheme="majorHAnsi" w:hAnsiTheme="majorHAnsi" w:cstheme="minorHAnsi"/>
          <w:lang w:val="en"/>
        </w:rPr>
        <w:t>organ weight or histopathology effects</w:t>
      </w:r>
      <w:r w:rsidR="002744D6">
        <w:rPr>
          <w:rStyle w:val="normaltextrun"/>
          <w:i/>
          <w:iCs/>
          <w:color w:val="000000"/>
          <w:bdr w:val="none" w:sz="0" w:space="0" w:color="auto" w:frame="1"/>
          <w:lang w:val="en-US"/>
        </w:rPr>
        <w:t xml:space="preserve"> </w:t>
      </w:r>
      <w:r w:rsidR="00A227D3" w:rsidRPr="002744D6">
        <w:rPr>
          <w:rFonts w:asciiTheme="majorHAnsi" w:hAnsiTheme="majorHAnsi" w:cstheme="minorHAnsi"/>
          <w:lang w:val="en"/>
        </w:rPr>
        <w:t>were observed</w:t>
      </w:r>
      <w:r w:rsidR="00AF7F54">
        <w:rPr>
          <w:rFonts w:asciiTheme="majorHAnsi" w:hAnsiTheme="majorHAnsi" w:cstheme="minorHAnsi"/>
          <w:lang w:val="en"/>
        </w:rPr>
        <w:t xml:space="preserve"> </w:t>
      </w:r>
      <w:r w:rsidR="00084930" w:rsidRPr="00084930">
        <w:rPr>
          <w:rFonts w:asciiTheme="majorHAnsi" w:hAnsiTheme="majorHAnsi" w:cstheme="minorHAnsi"/>
          <w:lang w:val="en"/>
        </w:rPr>
        <w:t xml:space="preserve">in the male or female reproductive tract </w:t>
      </w:r>
      <w:r w:rsidR="00A227D3" w:rsidRPr="0020380B">
        <w:rPr>
          <w:rFonts w:asciiTheme="majorHAnsi" w:hAnsiTheme="majorHAnsi" w:cstheme="minorHAnsi"/>
          <w:lang w:val="en"/>
        </w:rPr>
        <w:t>in sexually mature cynomolgus monkeys that received mirikizumab once weekly for 26 weeks</w:t>
      </w:r>
      <w:r w:rsidR="00960EB6">
        <w:rPr>
          <w:rFonts w:asciiTheme="majorHAnsi" w:hAnsiTheme="majorHAnsi" w:cstheme="minorHAnsi"/>
          <w:lang w:val="en"/>
        </w:rPr>
        <w:t xml:space="preserve"> via the subcutaneous (SC) route</w:t>
      </w:r>
      <w:r w:rsidR="00A227D3" w:rsidRPr="0020380B">
        <w:rPr>
          <w:rFonts w:asciiTheme="majorHAnsi" w:hAnsiTheme="majorHAnsi" w:cstheme="minorHAnsi"/>
          <w:lang w:val="en"/>
        </w:rPr>
        <w:t>, at a dose of 100 mg/kg (</w:t>
      </w:r>
      <w:r w:rsidR="00734C51">
        <w:rPr>
          <w:rFonts w:asciiTheme="majorHAnsi" w:hAnsiTheme="majorHAnsi" w:cstheme="minorHAnsi"/>
          <w:lang w:val="en"/>
        </w:rPr>
        <w:t xml:space="preserve">7 </w:t>
      </w:r>
      <w:r w:rsidR="00A227D3" w:rsidRPr="0020380B">
        <w:rPr>
          <w:rFonts w:asciiTheme="majorHAnsi" w:hAnsiTheme="majorHAnsi" w:cstheme="minorHAnsi"/>
          <w:lang w:val="en"/>
        </w:rPr>
        <w:t xml:space="preserve">times the </w:t>
      </w:r>
      <w:r w:rsidR="005A29A0">
        <w:rPr>
          <w:rFonts w:asciiTheme="majorHAnsi" w:hAnsiTheme="majorHAnsi" w:cstheme="minorHAnsi"/>
          <w:lang w:val="en"/>
        </w:rPr>
        <w:t xml:space="preserve">exposure (AUC) at the maximum </w:t>
      </w:r>
      <w:r w:rsidR="00082519">
        <w:rPr>
          <w:rFonts w:asciiTheme="majorHAnsi" w:hAnsiTheme="majorHAnsi" w:cstheme="minorHAnsi"/>
          <w:lang w:val="en"/>
        </w:rPr>
        <w:t xml:space="preserve">recommended </w:t>
      </w:r>
      <w:r w:rsidR="00A227D3" w:rsidRPr="0020380B" w:rsidDel="00082519">
        <w:rPr>
          <w:rFonts w:asciiTheme="majorHAnsi" w:hAnsiTheme="majorHAnsi" w:cstheme="minorHAnsi"/>
          <w:lang w:val="en"/>
        </w:rPr>
        <w:t xml:space="preserve">human </w:t>
      </w:r>
      <w:r w:rsidR="00A227D3" w:rsidRPr="0020380B">
        <w:rPr>
          <w:rFonts w:asciiTheme="majorHAnsi" w:hAnsiTheme="majorHAnsi" w:cstheme="minorHAnsi"/>
          <w:lang w:val="en"/>
        </w:rPr>
        <w:t>dose</w:t>
      </w:r>
      <w:r w:rsidR="000A45ED">
        <w:rPr>
          <w:rFonts w:asciiTheme="majorHAnsi" w:hAnsiTheme="majorHAnsi" w:cstheme="minorHAnsi"/>
          <w:lang w:val="en"/>
        </w:rPr>
        <w:t xml:space="preserve"> (MRHD)</w:t>
      </w:r>
      <w:r w:rsidR="00A227D3" w:rsidRPr="0020380B">
        <w:rPr>
          <w:rFonts w:asciiTheme="majorHAnsi" w:hAnsiTheme="majorHAnsi" w:cstheme="minorHAnsi"/>
          <w:lang w:val="en"/>
        </w:rPr>
        <w:t>).</w:t>
      </w:r>
    </w:p>
    <w:p w14:paraId="4EFDD172" w14:textId="41056B73" w:rsidR="001A3992" w:rsidRDefault="001A3992" w:rsidP="005D2809">
      <w:pPr>
        <w:pStyle w:val="Heading3"/>
        <w:spacing w:before="0" w:after="120"/>
        <w:ind w:left="0"/>
        <w:rPr>
          <w:rFonts w:cstheme="minorHAnsi"/>
        </w:rPr>
      </w:pPr>
      <w:r w:rsidRPr="00B878CC">
        <w:t xml:space="preserve">Use in pregnancy </w:t>
      </w:r>
      <w:r w:rsidR="005B2812" w:rsidRPr="00497C85">
        <w:rPr>
          <w:rFonts w:cstheme="minorHAnsi"/>
        </w:rPr>
        <w:t xml:space="preserve">– Pregnancy Category </w:t>
      </w:r>
      <w:r w:rsidR="00240A54">
        <w:rPr>
          <w:rFonts w:cstheme="minorHAnsi"/>
        </w:rPr>
        <w:t>B1</w:t>
      </w:r>
      <w:r w:rsidR="0012736B">
        <w:rPr>
          <w:rFonts w:cstheme="minorHAnsi"/>
        </w:rPr>
        <w:fldChar w:fldCharType="begin"/>
      </w:r>
      <w:r w:rsidR="0012736B">
        <w:rPr>
          <w:rFonts w:cstheme="minorHAnsi"/>
        </w:rPr>
        <w:instrText xml:space="preserve"> DOCVARIABLE vault_nd_53822ad3-dc9d-4667-af8d-45c59a34cc53 \* MERGEFORMAT </w:instrText>
      </w:r>
      <w:r w:rsidR="0012736B">
        <w:rPr>
          <w:rFonts w:cstheme="minorHAnsi"/>
        </w:rPr>
        <w:fldChar w:fldCharType="separate"/>
      </w:r>
      <w:r w:rsidR="0012736B">
        <w:rPr>
          <w:rFonts w:cstheme="minorHAnsi"/>
        </w:rPr>
        <w:t xml:space="preserve"> </w:t>
      </w:r>
      <w:r w:rsidR="0012736B">
        <w:rPr>
          <w:rFonts w:cstheme="minorHAnsi"/>
        </w:rPr>
        <w:fldChar w:fldCharType="end"/>
      </w:r>
    </w:p>
    <w:p w14:paraId="4272D35A" w14:textId="3107D0CF" w:rsidR="00DF7A0E" w:rsidRPr="00DF7A0E" w:rsidRDefault="00DF7A0E" w:rsidP="005D2809">
      <w:pPr>
        <w:rPr>
          <w:rFonts w:asciiTheme="majorHAnsi" w:hAnsiTheme="majorHAnsi"/>
          <w:lang w:val="en"/>
        </w:rPr>
      </w:pPr>
      <w:r w:rsidRPr="752DB59B">
        <w:rPr>
          <w:rFonts w:asciiTheme="majorHAnsi" w:hAnsiTheme="majorHAnsi"/>
          <w:lang w:val="en"/>
        </w:rPr>
        <w:t xml:space="preserve">There are no available data on mirikizumab use in pregnant women to </w:t>
      </w:r>
      <w:r w:rsidR="19510D61" w:rsidRPr="752DB59B">
        <w:rPr>
          <w:rFonts w:asciiTheme="majorHAnsi" w:hAnsiTheme="majorHAnsi"/>
          <w:lang w:val="en"/>
        </w:rPr>
        <w:t>in</w:t>
      </w:r>
      <w:r w:rsidRPr="752DB59B">
        <w:rPr>
          <w:rFonts w:asciiTheme="majorHAnsi" w:hAnsiTheme="majorHAnsi"/>
          <w:lang w:val="en"/>
        </w:rPr>
        <w:t>form any drug associated risks. Human IgG is known to cross the placental barrier; therefore, mirikizumab may be transmitted from the mother to the developing fetus.</w:t>
      </w:r>
      <w:r w:rsidR="001E5909">
        <w:rPr>
          <w:rFonts w:asciiTheme="majorHAnsi" w:hAnsiTheme="majorHAnsi"/>
          <w:lang w:val="en"/>
        </w:rPr>
        <w:t xml:space="preserve"> A</w:t>
      </w:r>
      <w:r w:rsidR="001E5909" w:rsidRPr="001E5909">
        <w:rPr>
          <w:rFonts w:asciiTheme="majorHAnsi" w:hAnsiTheme="majorHAnsi"/>
          <w:lang w:val="en"/>
        </w:rPr>
        <w:t>s a precautionary measure, it is preferable to avoid the use of O</w:t>
      </w:r>
      <w:r w:rsidR="00021BCD">
        <w:rPr>
          <w:rFonts w:asciiTheme="majorHAnsi" w:hAnsiTheme="majorHAnsi"/>
          <w:lang w:val="en"/>
        </w:rPr>
        <w:t>MVOH</w:t>
      </w:r>
      <w:r w:rsidR="001E5909" w:rsidRPr="001E5909">
        <w:rPr>
          <w:rFonts w:asciiTheme="majorHAnsi" w:hAnsiTheme="majorHAnsi"/>
          <w:lang w:val="en"/>
        </w:rPr>
        <w:t xml:space="preserve"> during pregnancy.</w:t>
      </w:r>
    </w:p>
    <w:p w14:paraId="3106B58C" w14:textId="713D9F21" w:rsidR="0068690F" w:rsidRPr="00DF7A0E" w:rsidRDefault="00DF7A0E" w:rsidP="005D2809">
      <w:pPr>
        <w:rPr>
          <w:rFonts w:asciiTheme="majorHAnsi" w:hAnsiTheme="majorHAnsi" w:cstheme="minorHAnsi"/>
          <w:lang w:val="en"/>
        </w:rPr>
      </w:pPr>
      <w:r w:rsidRPr="00DF7A0E">
        <w:rPr>
          <w:rFonts w:asciiTheme="majorHAnsi" w:hAnsiTheme="majorHAnsi" w:cstheme="minorHAnsi"/>
          <w:lang w:val="en"/>
        </w:rPr>
        <w:t xml:space="preserve">An enhanced pre- and postnatal development study was conducted in cynomolgus monkeys administered mirikizumab by intravenous injection during organogenesis to parturition at a </w:t>
      </w:r>
      <w:r w:rsidR="00D12CF8">
        <w:rPr>
          <w:rFonts w:asciiTheme="majorHAnsi" w:hAnsiTheme="majorHAnsi" w:cstheme="minorHAnsi"/>
          <w:lang w:val="en"/>
        </w:rPr>
        <w:t xml:space="preserve">twice weekly </w:t>
      </w:r>
      <w:r w:rsidRPr="00DF7A0E">
        <w:rPr>
          <w:rFonts w:asciiTheme="majorHAnsi" w:hAnsiTheme="majorHAnsi" w:cstheme="minorHAnsi"/>
          <w:lang w:val="en"/>
        </w:rPr>
        <w:t>dose of 300 mg/kg (</w:t>
      </w:r>
      <w:r w:rsidR="008A1921">
        <w:rPr>
          <w:rFonts w:asciiTheme="majorHAnsi" w:hAnsiTheme="majorHAnsi" w:cstheme="minorHAnsi"/>
          <w:lang w:val="en"/>
        </w:rPr>
        <w:t>79</w:t>
      </w:r>
      <w:r w:rsidR="003338CA">
        <w:rPr>
          <w:rFonts w:asciiTheme="majorHAnsi" w:hAnsiTheme="majorHAnsi" w:cstheme="minorHAnsi"/>
          <w:lang w:val="en"/>
        </w:rPr>
        <w:t xml:space="preserve"> times the exposure (AUC) at the MRHD</w:t>
      </w:r>
      <w:r w:rsidRPr="00DF7A0E">
        <w:rPr>
          <w:rFonts w:asciiTheme="majorHAnsi" w:hAnsiTheme="majorHAnsi" w:cstheme="minorHAnsi"/>
          <w:lang w:val="en"/>
        </w:rPr>
        <w:t>). Mirikizumab crossed the placenta in monkeys. No mirikizumab</w:t>
      </w:r>
      <w:r w:rsidR="007B7F6C">
        <w:rPr>
          <w:rFonts w:asciiTheme="majorHAnsi" w:hAnsiTheme="majorHAnsi" w:cstheme="minorHAnsi"/>
          <w:lang w:val="en"/>
        </w:rPr>
        <w:t xml:space="preserve"> </w:t>
      </w:r>
      <w:r w:rsidRPr="00DF7A0E">
        <w:rPr>
          <w:rFonts w:asciiTheme="majorHAnsi" w:hAnsiTheme="majorHAnsi" w:cstheme="minorHAnsi"/>
          <w:lang w:val="en"/>
        </w:rPr>
        <w:t>related toxicity or effects on morphological, functional or immunological development were observed in infant monkeys from birth through 6 months of age.</w:t>
      </w:r>
    </w:p>
    <w:p w14:paraId="21CB7916" w14:textId="6AB9934A" w:rsidR="00B56A8C" w:rsidRDefault="001A3992" w:rsidP="005D2809">
      <w:pPr>
        <w:pStyle w:val="Heading3"/>
        <w:spacing w:before="0" w:after="120"/>
        <w:ind w:left="0"/>
      </w:pPr>
      <w:r w:rsidRPr="00B878CC">
        <w:t>Use in</w:t>
      </w:r>
      <w:r w:rsidRPr="00164864">
        <w:t xml:space="preserve"> lactation</w:t>
      </w:r>
      <w:fldSimple w:instr="DOCVARIABLE vault_nd_c5ac2ee3-efaa-4511-8d2a-cb9467a1fbf0 \* MERGEFORMAT">
        <w:r w:rsidR="0012736B">
          <w:t xml:space="preserve"> </w:t>
        </w:r>
      </w:fldSimple>
    </w:p>
    <w:p w14:paraId="7A58EA7C" w14:textId="4F52F510" w:rsidR="001A3992" w:rsidRPr="00B56A8C" w:rsidRDefault="00955C40" w:rsidP="005D2809">
      <w:pPr>
        <w:rPr>
          <w:rFonts w:asciiTheme="majorHAnsi" w:hAnsiTheme="majorHAnsi" w:cstheme="minorHAnsi"/>
          <w:lang w:val="en"/>
        </w:rPr>
      </w:pPr>
      <w:r w:rsidRPr="004369FF">
        <w:rPr>
          <w:rFonts w:asciiTheme="majorHAnsi" w:hAnsiTheme="majorHAnsi" w:cstheme="minorHAnsi"/>
          <w:lang w:val="en"/>
        </w:rPr>
        <w:t xml:space="preserve">There are no data on the presence of mirikizumab in human milk, the effects on the breastfed infant, or the effects on milk production. </w:t>
      </w:r>
      <w:r w:rsidR="00BB57F3">
        <w:rPr>
          <w:rFonts w:asciiTheme="majorHAnsi" w:hAnsiTheme="majorHAnsi" w:cstheme="minorHAnsi"/>
          <w:lang w:val="en"/>
        </w:rPr>
        <w:t xml:space="preserve">However, IgG antibodies are known to be present in human milk. </w:t>
      </w:r>
      <w:r w:rsidR="00B969A6">
        <w:rPr>
          <w:rFonts w:asciiTheme="majorHAnsi" w:hAnsiTheme="majorHAnsi" w:cstheme="minorHAnsi"/>
          <w:lang w:val="en"/>
        </w:rPr>
        <w:t xml:space="preserve">Risk to the breast-fed child cannot be excluded. </w:t>
      </w:r>
      <w:r w:rsidRPr="004369FF">
        <w:rPr>
          <w:rFonts w:asciiTheme="majorHAnsi" w:hAnsiTheme="majorHAnsi" w:cstheme="minorHAnsi"/>
          <w:lang w:val="en"/>
        </w:rPr>
        <w:t>The developmental and health benefits of breastfeeding should be considered along with the mother’s clinical need for OMVOH and any potential adverse effects on the breastfed infant from OMVOH or from the underlying maternal condition.</w:t>
      </w:r>
    </w:p>
    <w:p w14:paraId="4028A2B7" w14:textId="0103656A" w:rsidR="001A3992" w:rsidRDefault="001A3992" w:rsidP="001A3992">
      <w:pPr>
        <w:pStyle w:val="Heading2"/>
        <w:spacing w:before="0" w:after="120"/>
      </w:pPr>
      <w:r w:rsidRPr="00EC3C40">
        <w:t>Effects</w:t>
      </w:r>
      <w:r>
        <w:t xml:space="preserve"> on ability to drive and use machines</w:t>
      </w:r>
      <w:fldSimple w:instr="DOCVARIABLE vault_nd_0a3be724-1cb2-480a-b12b-d36999070368 \* MERGEFORMAT">
        <w:r w:rsidR="0012736B">
          <w:t xml:space="preserve"> </w:t>
        </w:r>
      </w:fldSimple>
    </w:p>
    <w:p w14:paraId="71F71022" w14:textId="4D660A77" w:rsidR="005B2812" w:rsidRPr="005023F6" w:rsidRDefault="005023F6" w:rsidP="005023F6">
      <w:pPr>
        <w:rPr>
          <w:rFonts w:asciiTheme="majorHAnsi" w:hAnsiTheme="majorHAnsi" w:cstheme="minorHAnsi"/>
          <w:lang w:val="en"/>
        </w:rPr>
      </w:pPr>
      <w:r w:rsidRPr="005023F6">
        <w:rPr>
          <w:rFonts w:asciiTheme="majorHAnsi" w:hAnsiTheme="majorHAnsi" w:cstheme="minorHAnsi"/>
          <w:lang w:val="en"/>
        </w:rPr>
        <w:t>There are no known effects on the ability to drive or use machines associated with the use of mirikizumab.</w:t>
      </w:r>
    </w:p>
    <w:p w14:paraId="2E32D766" w14:textId="752FCEE5" w:rsidR="001A3992" w:rsidRPr="003A5611" w:rsidRDefault="001A3992" w:rsidP="001A3992">
      <w:pPr>
        <w:pStyle w:val="Heading2"/>
        <w:keepNext/>
        <w:keepLines/>
        <w:spacing w:before="0" w:after="120"/>
      </w:pPr>
      <w:bookmarkStart w:id="5" w:name="_Ref101513962"/>
      <w:r w:rsidRPr="003A5611">
        <w:t>Adverse effects (Undesirable effects)</w:t>
      </w:r>
      <w:bookmarkEnd w:id="5"/>
      <w:r w:rsidR="0012736B">
        <w:fldChar w:fldCharType="begin"/>
      </w:r>
      <w:r w:rsidR="0012736B">
        <w:instrText xml:space="preserve"> DOCVARIABLE vault_nd_18b922af-1b0d-456f-9ffb-4ab3d4f1bcd4 \* MERGEFORMAT </w:instrText>
      </w:r>
      <w:r w:rsidR="0012736B">
        <w:fldChar w:fldCharType="separate"/>
      </w:r>
      <w:r w:rsidR="0012736B">
        <w:t xml:space="preserve"> </w:t>
      </w:r>
      <w:r w:rsidR="0012736B">
        <w:fldChar w:fldCharType="end"/>
      </w:r>
    </w:p>
    <w:p w14:paraId="28856624" w14:textId="0E818402" w:rsidR="00196DF9" w:rsidRPr="005C70F6" w:rsidRDefault="00196DF9" w:rsidP="0033562F">
      <w:pPr>
        <w:pStyle w:val="Heading3"/>
        <w:ind w:left="0"/>
      </w:pPr>
      <w:r w:rsidRPr="005C70F6">
        <w:t>Summary of the safety profile</w:t>
      </w:r>
      <w:fldSimple w:instr="DOCVARIABLE vault_nd_e1d6825b-2d32-4a6a-a4ca-b891af47e3a8 \* MERGEFORMAT">
        <w:r w:rsidR="0012736B">
          <w:t xml:space="preserve"> </w:t>
        </w:r>
      </w:fldSimple>
    </w:p>
    <w:p w14:paraId="07F99134" w14:textId="66855E8F" w:rsidR="00162DCF" w:rsidRDefault="00196DF9" w:rsidP="00346381">
      <w:pPr>
        <w:rPr>
          <w:rFonts w:asciiTheme="majorHAnsi" w:hAnsiTheme="majorHAnsi" w:cstheme="minorHAnsi"/>
          <w:lang w:val="en"/>
        </w:rPr>
      </w:pPr>
      <w:r w:rsidRPr="00710F61">
        <w:rPr>
          <w:rFonts w:asciiTheme="majorHAnsi" w:hAnsiTheme="majorHAnsi" w:cstheme="minorHAnsi"/>
          <w:lang w:val="en"/>
        </w:rPr>
        <w:t xml:space="preserve">A total of 1442 adult subjects were treated with </w:t>
      </w:r>
      <w:r w:rsidR="001358FE">
        <w:rPr>
          <w:rFonts w:asciiTheme="majorHAnsi" w:hAnsiTheme="majorHAnsi" w:cstheme="minorHAnsi"/>
          <w:lang w:val="en"/>
        </w:rPr>
        <w:t>OMVOH</w:t>
      </w:r>
      <w:r w:rsidRPr="00710F61">
        <w:rPr>
          <w:rFonts w:asciiTheme="majorHAnsi" w:hAnsiTheme="majorHAnsi" w:cstheme="minorHAnsi"/>
          <w:lang w:val="en"/>
        </w:rPr>
        <w:t xml:space="preserve"> in clinical development trials in ulcerative colitis with 1208 subjects being exposed for at least 6 months, 926 exposed for at least 1 year, and 450 exposed for at least 2 years.</w:t>
      </w:r>
      <w:bookmarkStart w:id="6" w:name="_Ref122502987"/>
    </w:p>
    <w:p w14:paraId="4026E5EA" w14:textId="7786E71A" w:rsidR="009F6E38" w:rsidRDefault="002B1992" w:rsidP="00162DCF">
      <w:pPr>
        <w:pStyle w:val="Caption"/>
      </w:pPr>
      <w:r w:rsidRPr="00162DCF">
        <w:rPr>
          <w:rFonts w:asciiTheme="majorHAnsi" w:hAnsiTheme="majorHAnsi"/>
          <w:b/>
          <w:i w:val="0"/>
          <w:color w:val="auto"/>
          <w:sz w:val="22"/>
          <w:szCs w:val="22"/>
        </w:rPr>
        <w:lastRenderedPageBreak/>
        <w:t xml:space="preserve">Table </w:t>
      </w:r>
      <w:bookmarkEnd w:id="6"/>
      <w:r w:rsidR="008F21C1">
        <w:rPr>
          <w:rFonts w:asciiTheme="majorHAnsi" w:hAnsiTheme="majorHAnsi"/>
          <w:b/>
          <w:i w:val="0"/>
          <w:color w:val="auto"/>
          <w:sz w:val="22"/>
          <w:szCs w:val="22"/>
        </w:rPr>
        <w:t>1</w:t>
      </w:r>
      <w:r w:rsidR="00A873AF" w:rsidRPr="00162DCF">
        <w:rPr>
          <w:rFonts w:asciiTheme="majorHAnsi" w:hAnsiTheme="majorHAnsi"/>
          <w:b/>
          <w:i w:val="0"/>
          <w:color w:val="auto"/>
          <w:sz w:val="22"/>
          <w:szCs w:val="22"/>
        </w:rPr>
        <w:t xml:space="preserve">: </w:t>
      </w:r>
      <w:r w:rsidR="005646CD" w:rsidRPr="00162DCF">
        <w:rPr>
          <w:rFonts w:asciiTheme="majorHAnsi" w:hAnsiTheme="majorHAnsi"/>
          <w:b/>
          <w:i w:val="0"/>
          <w:color w:val="auto"/>
          <w:sz w:val="22"/>
          <w:szCs w:val="22"/>
        </w:rPr>
        <w:t>Treatment-Emergent Adverse Events Occurring in at</w:t>
      </w:r>
      <w:r w:rsidR="00382B52" w:rsidRPr="006773DA">
        <w:rPr>
          <w:rFonts w:asciiTheme="majorHAnsi" w:hAnsiTheme="majorHAnsi"/>
          <w:b/>
          <w:bCs/>
          <w:i w:val="0"/>
          <w:iCs w:val="0"/>
          <w:color w:val="auto"/>
          <w:sz w:val="22"/>
          <w:szCs w:val="22"/>
        </w:rPr>
        <w:t xml:space="preserve"> </w:t>
      </w:r>
      <w:r w:rsidR="005646CD" w:rsidRPr="006773DA">
        <w:rPr>
          <w:rFonts w:asciiTheme="majorHAnsi" w:hAnsiTheme="majorHAnsi"/>
          <w:b/>
          <w:i w:val="0"/>
          <w:color w:val="auto"/>
          <w:sz w:val="22"/>
          <w:szCs w:val="22"/>
        </w:rPr>
        <w:t xml:space="preserve">least </w:t>
      </w:r>
      <w:r w:rsidR="00233898">
        <w:rPr>
          <w:rFonts w:asciiTheme="majorHAnsi" w:hAnsiTheme="majorHAnsi"/>
          <w:b/>
          <w:i w:val="0"/>
          <w:color w:val="auto"/>
          <w:sz w:val="22"/>
          <w:szCs w:val="22"/>
        </w:rPr>
        <w:t>2</w:t>
      </w:r>
      <w:r w:rsidR="005646CD" w:rsidRPr="006773DA">
        <w:rPr>
          <w:rFonts w:asciiTheme="majorHAnsi" w:hAnsiTheme="majorHAnsi"/>
          <w:b/>
          <w:i w:val="0"/>
          <w:color w:val="auto"/>
          <w:sz w:val="22"/>
          <w:szCs w:val="22"/>
        </w:rPr>
        <w:t xml:space="preserve">% of </w:t>
      </w:r>
      <w:r w:rsidR="003139CC">
        <w:rPr>
          <w:rFonts w:asciiTheme="majorHAnsi" w:hAnsiTheme="majorHAnsi"/>
          <w:b/>
          <w:i w:val="0"/>
          <w:color w:val="auto"/>
          <w:sz w:val="22"/>
          <w:szCs w:val="22"/>
        </w:rPr>
        <w:t xml:space="preserve">Mirikizumab-treated </w:t>
      </w:r>
      <w:r w:rsidR="005646CD" w:rsidRPr="006773DA">
        <w:rPr>
          <w:rFonts w:asciiTheme="majorHAnsi" w:hAnsiTheme="majorHAnsi"/>
          <w:b/>
          <w:i w:val="0"/>
          <w:color w:val="auto"/>
          <w:sz w:val="22"/>
          <w:szCs w:val="22"/>
        </w:rPr>
        <w:t>Participants by Decreasing Frequency in the UC</w:t>
      </w:r>
      <w:r w:rsidR="00106EB6" w:rsidRPr="006773DA">
        <w:rPr>
          <w:rFonts w:asciiTheme="majorHAnsi" w:hAnsiTheme="majorHAnsi"/>
          <w:b/>
          <w:i w:val="0"/>
          <w:color w:val="auto"/>
          <w:sz w:val="22"/>
          <w:szCs w:val="22"/>
        </w:rPr>
        <w:t xml:space="preserve"> </w:t>
      </w:r>
      <w:r w:rsidR="4285AC95" w:rsidRPr="3F838120">
        <w:rPr>
          <w:rFonts w:asciiTheme="majorHAnsi" w:hAnsiTheme="majorHAnsi"/>
          <w:b/>
          <w:bCs/>
          <w:i w:val="0"/>
          <w:iCs w:val="0"/>
          <w:color w:val="auto"/>
          <w:sz w:val="22"/>
          <w:szCs w:val="22"/>
          <w:vertAlign w:val="superscript"/>
        </w:rPr>
        <w:t xml:space="preserve"> </w:t>
      </w:r>
      <w:r w:rsidR="008B5DFF">
        <w:rPr>
          <w:rFonts w:asciiTheme="majorHAnsi" w:hAnsiTheme="majorHAnsi"/>
          <w:b/>
          <w:i w:val="0"/>
          <w:color w:val="auto"/>
          <w:sz w:val="22"/>
          <w:szCs w:val="22"/>
        </w:rPr>
        <w:t>Placebo-Controlled</w:t>
      </w:r>
      <w:r w:rsidR="005646CD" w:rsidRPr="006773DA">
        <w:rPr>
          <w:rFonts w:asciiTheme="majorHAnsi" w:hAnsiTheme="majorHAnsi"/>
          <w:b/>
          <w:i w:val="0"/>
          <w:color w:val="auto"/>
          <w:sz w:val="22"/>
          <w:szCs w:val="22"/>
        </w:rPr>
        <w:t xml:space="preserve"> </w:t>
      </w:r>
      <w:r w:rsidR="4E9DE7EE" w:rsidRPr="3F838120">
        <w:rPr>
          <w:rFonts w:asciiTheme="majorHAnsi" w:hAnsiTheme="majorHAnsi"/>
          <w:b/>
          <w:bCs/>
          <w:i w:val="0"/>
          <w:iCs w:val="0"/>
          <w:color w:val="auto"/>
          <w:sz w:val="22"/>
          <w:szCs w:val="22"/>
        </w:rPr>
        <w:t xml:space="preserve">(LUCENT-1) Induction Period </w:t>
      </w:r>
      <w:r w:rsidR="00AE5D4A">
        <w:rPr>
          <w:rFonts w:asciiTheme="majorHAnsi" w:hAnsiTheme="majorHAnsi"/>
          <w:b/>
          <w:i w:val="0"/>
          <w:color w:val="auto"/>
          <w:sz w:val="22"/>
          <w:szCs w:val="22"/>
          <w:vertAlign w:val="superscript"/>
        </w:rPr>
        <w:fldChar w:fldCharType="begin"/>
      </w:r>
      <w:r w:rsidR="00AE5D4A">
        <w:rPr>
          <w:rFonts w:asciiTheme="majorHAnsi" w:hAnsiTheme="majorHAnsi"/>
          <w:b/>
          <w:i w:val="0"/>
          <w:color w:val="auto"/>
          <w:sz w:val="22"/>
          <w:szCs w:val="22"/>
          <w:vertAlign w:val="superscript"/>
        </w:rPr>
        <w:instrText xml:space="preserve"> DOCVARIABLE vault_nd_076a6f4a-ffa6-444b-8d85-6452ef85b4a7 \* MERGEFORMAT </w:instrText>
      </w:r>
      <w:r w:rsidR="00AE5D4A">
        <w:rPr>
          <w:rFonts w:asciiTheme="majorHAnsi" w:hAnsiTheme="majorHAnsi"/>
          <w:b/>
          <w:i w:val="0"/>
          <w:color w:val="auto"/>
          <w:sz w:val="22"/>
          <w:szCs w:val="22"/>
          <w:vertAlign w:val="superscript"/>
        </w:rPr>
        <w:fldChar w:fldCharType="separate"/>
      </w:r>
      <w:r w:rsidR="00AE5D4A">
        <w:rPr>
          <w:rFonts w:asciiTheme="majorHAnsi" w:hAnsiTheme="majorHAnsi"/>
          <w:b/>
          <w:i w:val="0"/>
          <w:color w:val="auto"/>
          <w:sz w:val="22"/>
          <w:szCs w:val="22"/>
          <w:vertAlign w:val="superscript"/>
        </w:rPr>
        <w:t xml:space="preserve"> </w:t>
      </w:r>
      <w:r w:rsidR="00AE5D4A">
        <w:rPr>
          <w:rFonts w:asciiTheme="majorHAnsi" w:hAnsiTheme="majorHAnsi"/>
          <w:b/>
          <w:i w:val="0"/>
          <w:color w:val="auto"/>
          <w:sz w:val="22"/>
          <w:szCs w:val="22"/>
          <w:vertAlign w:val="superscript"/>
        </w:rPr>
        <w:fldChar w:fldCharType="end"/>
      </w:r>
    </w:p>
    <w:tbl>
      <w:tblPr>
        <w:tblStyle w:val="TableGrid"/>
        <w:tblW w:w="9214" w:type="dxa"/>
        <w:tblInd w:w="-147" w:type="dxa"/>
        <w:tblLook w:val="04A0" w:firstRow="1" w:lastRow="0" w:firstColumn="1" w:lastColumn="0" w:noHBand="0" w:noVBand="1"/>
      </w:tblPr>
      <w:tblGrid>
        <w:gridCol w:w="3686"/>
        <w:gridCol w:w="2622"/>
        <w:gridCol w:w="2906"/>
      </w:tblGrid>
      <w:tr w:rsidR="00CE27E8" w14:paraId="492B6140" w14:textId="339509CF" w:rsidTr="0048436B">
        <w:tc>
          <w:tcPr>
            <w:tcW w:w="3686" w:type="dxa"/>
            <w:vMerge w:val="restart"/>
          </w:tcPr>
          <w:p w14:paraId="63E7936C" w14:textId="77777777" w:rsidR="00CE27E8" w:rsidRDefault="00CE27E8" w:rsidP="0017513E">
            <w:pPr>
              <w:keepNext/>
              <w:autoSpaceDE w:val="0"/>
              <w:autoSpaceDN w:val="0"/>
              <w:adjustRightInd w:val="0"/>
              <w:spacing w:after="60"/>
              <w:jc w:val="center"/>
              <w:rPr>
                <w:rFonts w:asciiTheme="majorHAnsi" w:eastAsia="Times New Roman" w:hAnsiTheme="majorHAnsi"/>
                <w:b/>
              </w:rPr>
            </w:pPr>
          </w:p>
          <w:p w14:paraId="699198E5" w14:textId="5B00F631" w:rsidR="00CE27E8" w:rsidRPr="0044102A" w:rsidRDefault="00CE27E8" w:rsidP="0017513E">
            <w:pPr>
              <w:keepNext/>
              <w:autoSpaceDE w:val="0"/>
              <w:autoSpaceDN w:val="0"/>
              <w:adjustRightInd w:val="0"/>
              <w:spacing w:after="60"/>
              <w:jc w:val="center"/>
              <w:rPr>
                <w:rFonts w:asciiTheme="majorHAnsi" w:eastAsia="Times New Roman" w:hAnsiTheme="majorHAnsi"/>
                <w:b/>
              </w:rPr>
            </w:pPr>
            <w:r w:rsidRPr="0044102A">
              <w:rPr>
                <w:rFonts w:asciiTheme="majorHAnsi" w:eastAsia="Times New Roman" w:hAnsiTheme="majorHAnsi"/>
                <w:b/>
              </w:rPr>
              <w:t>Event</w:t>
            </w:r>
          </w:p>
        </w:tc>
        <w:tc>
          <w:tcPr>
            <w:tcW w:w="5528" w:type="dxa"/>
            <w:gridSpan w:val="2"/>
          </w:tcPr>
          <w:p w14:paraId="11A384D4" w14:textId="3EA84F56" w:rsidR="00CE27E8" w:rsidRPr="0044102A" w:rsidRDefault="00CE27E8" w:rsidP="0017513E">
            <w:pPr>
              <w:keepNext/>
              <w:autoSpaceDE w:val="0"/>
              <w:autoSpaceDN w:val="0"/>
              <w:adjustRightInd w:val="0"/>
              <w:spacing w:after="60"/>
              <w:jc w:val="center"/>
              <w:rPr>
                <w:rFonts w:asciiTheme="majorHAnsi" w:eastAsia="Times New Roman" w:hAnsiTheme="majorHAnsi"/>
                <w:b/>
              </w:rPr>
            </w:pPr>
            <w:r w:rsidRPr="00E661FC">
              <w:rPr>
                <w:rFonts w:asciiTheme="majorHAnsi" w:eastAsia="Times New Roman" w:hAnsiTheme="majorHAnsi"/>
                <w:b/>
              </w:rPr>
              <w:t xml:space="preserve">UC </w:t>
            </w:r>
            <w:r>
              <w:rPr>
                <w:rFonts w:asciiTheme="majorHAnsi" w:eastAsia="Times New Roman" w:hAnsiTheme="majorHAnsi"/>
                <w:b/>
              </w:rPr>
              <w:t xml:space="preserve">Placebo-controlled </w:t>
            </w:r>
            <w:r w:rsidR="4443B1DA" w:rsidRPr="3F838120">
              <w:rPr>
                <w:rFonts w:asciiTheme="majorHAnsi" w:eastAsia="Times New Roman" w:hAnsiTheme="majorHAnsi"/>
                <w:b/>
                <w:bCs/>
              </w:rPr>
              <w:t>Induction Period</w:t>
            </w:r>
          </w:p>
        </w:tc>
      </w:tr>
      <w:tr w:rsidR="00CE27E8" w14:paraId="15EBCBA6" w14:textId="1C266B46" w:rsidTr="0048436B">
        <w:tc>
          <w:tcPr>
            <w:tcW w:w="3686" w:type="dxa"/>
            <w:vMerge/>
          </w:tcPr>
          <w:p w14:paraId="203EC2D9" w14:textId="77777777" w:rsidR="00CE27E8" w:rsidRPr="0044102A" w:rsidRDefault="00CE27E8" w:rsidP="00931D64">
            <w:pPr>
              <w:keepNext/>
              <w:autoSpaceDE w:val="0"/>
              <w:autoSpaceDN w:val="0"/>
              <w:adjustRightInd w:val="0"/>
              <w:spacing w:after="60"/>
              <w:rPr>
                <w:rFonts w:asciiTheme="majorHAnsi" w:eastAsia="Times New Roman" w:hAnsiTheme="majorHAnsi"/>
                <w:b/>
              </w:rPr>
            </w:pPr>
          </w:p>
        </w:tc>
        <w:tc>
          <w:tcPr>
            <w:tcW w:w="2622" w:type="dxa"/>
          </w:tcPr>
          <w:p w14:paraId="49C1359C" w14:textId="25898924" w:rsidR="00132DD5" w:rsidRDefault="00CE27E8" w:rsidP="000918B9">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rPr>
              <w:t>Placebo</w:t>
            </w:r>
            <w:r w:rsidR="000918B9">
              <w:rPr>
                <w:rFonts w:asciiTheme="majorHAnsi" w:eastAsia="Times New Roman" w:hAnsiTheme="majorHAnsi"/>
                <w:b/>
              </w:rPr>
              <w:t xml:space="preserve">, </w:t>
            </w:r>
            <w:r>
              <w:rPr>
                <w:rFonts w:asciiTheme="majorHAnsi" w:eastAsia="Times New Roman" w:hAnsiTheme="majorHAnsi"/>
                <w:b/>
              </w:rPr>
              <w:t xml:space="preserve">N=321 </w:t>
            </w:r>
          </w:p>
          <w:p w14:paraId="7E34E751" w14:textId="378257DF" w:rsidR="00CE27E8" w:rsidRPr="0044102A" w:rsidRDefault="00132DD5" w:rsidP="0048436B">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rPr>
              <w:t xml:space="preserve">n </w:t>
            </w:r>
            <w:r w:rsidR="00CE27E8">
              <w:rPr>
                <w:rFonts w:asciiTheme="majorHAnsi" w:eastAsia="Times New Roman" w:hAnsiTheme="majorHAnsi"/>
                <w:b/>
              </w:rPr>
              <w:t>(%)</w:t>
            </w:r>
          </w:p>
        </w:tc>
        <w:tc>
          <w:tcPr>
            <w:tcW w:w="2906" w:type="dxa"/>
          </w:tcPr>
          <w:p w14:paraId="60891BA7" w14:textId="77777777" w:rsidR="00132DD5" w:rsidRDefault="00CE27E8" w:rsidP="00132DD5">
            <w:pPr>
              <w:keepNext/>
              <w:autoSpaceDE w:val="0"/>
              <w:autoSpaceDN w:val="0"/>
              <w:adjustRightInd w:val="0"/>
              <w:spacing w:after="60"/>
              <w:jc w:val="center"/>
              <w:rPr>
                <w:rFonts w:asciiTheme="majorHAnsi" w:eastAsia="Times New Roman" w:hAnsiTheme="majorHAnsi"/>
                <w:b/>
                <w:lang w:val="pl-PL"/>
              </w:rPr>
            </w:pPr>
            <w:r w:rsidRPr="00931D64">
              <w:rPr>
                <w:rFonts w:asciiTheme="majorHAnsi" w:eastAsia="Times New Roman" w:hAnsiTheme="majorHAnsi"/>
                <w:b/>
                <w:lang w:val="de-DE"/>
              </w:rPr>
              <w:t>Mirikizumab 300 mg IV Q4W</w:t>
            </w:r>
            <w:r w:rsidR="00132DD5">
              <w:rPr>
                <w:rFonts w:asciiTheme="majorHAnsi" w:eastAsia="Times New Roman" w:hAnsiTheme="majorHAnsi"/>
                <w:b/>
                <w:lang w:val="pl-PL"/>
              </w:rPr>
              <w:t xml:space="preserve">, </w:t>
            </w:r>
            <w:r w:rsidRPr="00931D64">
              <w:rPr>
                <w:rFonts w:asciiTheme="majorHAnsi" w:eastAsia="Times New Roman" w:hAnsiTheme="majorHAnsi"/>
                <w:b/>
                <w:lang w:val="de-DE"/>
              </w:rPr>
              <w:t xml:space="preserve">N=958 </w:t>
            </w:r>
          </w:p>
          <w:p w14:paraId="22C5B635" w14:textId="57109746" w:rsidR="00CE27E8" w:rsidRPr="0048436B" w:rsidRDefault="00132DD5" w:rsidP="0048436B">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lang w:val="pl-PL"/>
              </w:rPr>
              <w:t xml:space="preserve">n </w:t>
            </w:r>
            <w:r w:rsidR="00CE27E8" w:rsidRPr="0048436B">
              <w:rPr>
                <w:rFonts w:asciiTheme="majorHAnsi" w:eastAsia="Times New Roman" w:hAnsiTheme="majorHAnsi"/>
                <w:b/>
              </w:rPr>
              <w:t>(%)</w:t>
            </w:r>
          </w:p>
        </w:tc>
      </w:tr>
      <w:tr w:rsidR="00F46445" w14:paraId="40846962" w14:textId="4E470E1A" w:rsidTr="0048436B">
        <w:tc>
          <w:tcPr>
            <w:tcW w:w="3686" w:type="dxa"/>
          </w:tcPr>
          <w:p w14:paraId="11F06238" w14:textId="27E2FDC0" w:rsidR="00F46445" w:rsidRPr="0044102A" w:rsidRDefault="00F46445" w:rsidP="0017513E">
            <w:pPr>
              <w:keepNext/>
              <w:autoSpaceDE w:val="0"/>
              <w:autoSpaceDN w:val="0"/>
              <w:adjustRightInd w:val="0"/>
              <w:spacing w:after="60"/>
              <w:rPr>
                <w:rFonts w:asciiTheme="majorHAnsi" w:eastAsia="Times New Roman" w:hAnsiTheme="majorHAnsi"/>
                <w:b/>
              </w:rPr>
            </w:pPr>
            <w:r w:rsidRPr="0044102A">
              <w:rPr>
                <w:rFonts w:asciiTheme="majorHAnsi" w:eastAsia="Times New Roman" w:hAnsiTheme="majorHAnsi"/>
                <w:b/>
              </w:rPr>
              <w:t>Participants with at least 1 TEAE</w:t>
            </w:r>
          </w:p>
        </w:tc>
        <w:tc>
          <w:tcPr>
            <w:tcW w:w="2622" w:type="dxa"/>
          </w:tcPr>
          <w:p w14:paraId="51A9BB77" w14:textId="338A979F" w:rsidR="00F46445" w:rsidRPr="00AB6411" w:rsidRDefault="00F46445" w:rsidP="0017513E">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148 (46.1)</w:t>
            </w:r>
          </w:p>
        </w:tc>
        <w:tc>
          <w:tcPr>
            <w:tcW w:w="2906" w:type="dxa"/>
          </w:tcPr>
          <w:p w14:paraId="4DF4B9B0" w14:textId="0C308F4B" w:rsidR="00F46445" w:rsidRPr="00AB6411" w:rsidRDefault="00F46445" w:rsidP="0017513E">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426 (44.5)</w:t>
            </w:r>
          </w:p>
        </w:tc>
      </w:tr>
      <w:tr w:rsidR="00F46445" w14:paraId="43DD4EE3" w14:textId="7736B272" w:rsidTr="0048436B">
        <w:tc>
          <w:tcPr>
            <w:tcW w:w="3686" w:type="dxa"/>
          </w:tcPr>
          <w:p w14:paraId="32CBA347" w14:textId="3C705833" w:rsidR="00F46445" w:rsidRPr="00AB6411" w:rsidRDefault="00F46445" w:rsidP="0017513E">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 xml:space="preserve">Nasopharyngitis </w:t>
            </w:r>
          </w:p>
        </w:tc>
        <w:tc>
          <w:tcPr>
            <w:tcW w:w="2622" w:type="dxa"/>
          </w:tcPr>
          <w:p w14:paraId="708F2C04" w14:textId="72EADE7C" w:rsidR="00F46445" w:rsidRPr="00AB6411" w:rsidRDefault="00F46445" w:rsidP="0017513E">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10 (3.1)</w:t>
            </w:r>
          </w:p>
        </w:tc>
        <w:tc>
          <w:tcPr>
            <w:tcW w:w="2906" w:type="dxa"/>
          </w:tcPr>
          <w:p w14:paraId="4943A9FE" w14:textId="6D89964E" w:rsidR="00F46445" w:rsidRPr="00AB6411" w:rsidRDefault="00F46445" w:rsidP="0017513E">
            <w:pPr>
              <w:keepNext/>
              <w:autoSpaceDE w:val="0"/>
              <w:autoSpaceDN w:val="0"/>
              <w:adjustRightInd w:val="0"/>
              <w:spacing w:after="60"/>
              <w:jc w:val="center"/>
              <w:rPr>
                <w:rFonts w:asciiTheme="majorHAnsi" w:eastAsia="Times New Roman" w:hAnsiTheme="majorHAnsi"/>
                <w:bCs/>
              </w:rPr>
            </w:pPr>
            <w:r w:rsidRPr="00607DF0">
              <w:rPr>
                <w:rFonts w:asciiTheme="majorHAnsi" w:eastAsia="Times New Roman" w:hAnsiTheme="majorHAnsi"/>
                <w:bCs/>
              </w:rPr>
              <w:t>29 (4.1)</w:t>
            </w:r>
          </w:p>
        </w:tc>
      </w:tr>
      <w:tr w:rsidR="00F46445" w14:paraId="17A1C22F" w14:textId="1B0EEC95" w:rsidTr="0048436B">
        <w:tc>
          <w:tcPr>
            <w:tcW w:w="3686" w:type="dxa"/>
          </w:tcPr>
          <w:p w14:paraId="2C53BC6A" w14:textId="4BDB9D2D" w:rsidR="00F46445" w:rsidRPr="00AB6411" w:rsidRDefault="00F46445" w:rsidP="004C24D2">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Anaemia</w:t>
            </w:r>
          </w:p>
        </w:tc>
        <w:tc>
          <w:tcPr>
            <w:tcW w:w="2622" w:type="dxa"/>
          </w:tcPr>
          <w:p w14:paraId="332CA4B3" w14:textId="65EFD157" w:rsidR="00F46445" w:rsidRPr="00AB6411" w:rsidRDefault="00F46445" w:rsidP="004C24D2">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19 (5.9)</w:t>
            </w:r>
          </w:p>
        </w:tc>
        <w:tc>
          <w:tcPr>
            <w:tcW w:w="2906" w:type="dxa"/>
          </w:tcPr>
          <w:p w14:paraId="236FEB47" w14:textId="59F4A8D9" w:rsidR="00F46445" w:rsidRPr="00AB6411" w:rsidRDefault="00F46445" w:rsidP="004C24D2">
            <w:pPr>
              <w:keepNext/>
              <w:autoSpaceDE w:val="0"/>
              <w:autoSpaceDN w:val="0"/>
              <w:adjustRightInd w:val="0"/>
              <w:spacing w:after="60"/>
              <w:jc w:val="center"/>
              <w:rPr>
                <w:rFonts w:asciiTheme="majorHAnsi" w:eastAsia="Times New Roman" w:hAnsiTheme="majorHAnsi"/>
                <w:bCs/>
              </w:rPr>
            </w:pPr>
            <w:r w:rsidRPr="00607DF0">
              <w:rPr>
                <w:rFonts w:asciiTheme="majorHAnsi" w:eastAsia="Times New Roman" w:hAnsiTheme="majorHAnsi"/>
                <w:bCs/>
              </w:rPr>
              <w:t>32 (3.3)</w:t>
            </w:r>
          </w:p>
        </w:tc>
      </w:tr>
      <w:tr w:rsidR="00C65C99" w14:paraId="53A11C30" w14:textId="77777777">
        <w:tc>
          <w:tcPr>
            <w:tcW w:w="3686" w:type="dxa"/>
          </w:tcPr>
          <w:p w14:paraId="6FBA3061" w14:textId="77777777" w:rsidR="00C65C99" w:rsidRPr="00AB6411" w:rsidRDefault="00C65C99">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Headache</w:t>
            </w:r>
          </w:p>
        </w:tc>
        <w:tc>
          <w:tcPr>
            <w:tcW w:w="2622" w:type="dxa"/>
          </w:tcPr>
          <w:p w14:paraId="54DEFBB0" w14:textId="77777777" w:rsidR="00C65C99" w:rsidRPr="00AB6411" w:rsidRDefault="00C65C99">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9 (2.8)</w:t>
            </w:r>
          </w:p>
        </w:tc>
        <w:tc>
          <w:tcPr>
            <w:tcW w:w="2906" w:type="dxa"/>
          </w:tcPr>
          <w:p w14:paraId="096A71EC" w14:textId="77777777" w:rsidR="00C65C99" w:rsidRPr="00AB6411" w:rsidRDefault="00C65C99">
            <w:pPr>
              <w:keepNext/>
              <w:autoSpaceDE w:val="0"/>
              <w:autoSpaceDN w:val="0"/>
              <w:adjustRightInd w:val="0"/>
              <w:spacing w:after="60"/>
              <w:jc w:val="center"/>
              <w:rPr>
                <w:rFonts w:asciiTheme="majorHAnsi" w:eastAsia="Times New Roman" w:hAnsiTheme="majorHAnsi"/>
                <w:bCs/>
              </w:rPr>
            </w:pPr>
            <w:r w:rsidRPr="00607DF0">
              <w:rPr>
                <w:rFonts w:asciiTheme="majorHAnsi" w:eastAsia="Times New Roman" w:hAnsiTheme="majorHAnsi"/>
                <w:bCs/>
              </w:rPr>
              <w:t>32 (3.3)</w:t>
            </w:r>
          </w:p>
        </w:tc>
      </w:tr>
      <w:tr w:rsidR="00F46445" w14:paraId="6AD49C3C" w14:textId="2992B154" w:rsidTr="0048436B">
        <w:tc>
          <w:tcPr>
            <w:tcW w:w="3686" w:type="dxa"/>
          </w:tcPr>
          <w:p w14:paraId="7FB2B2B5" w14:textId="69EEB1F3" w:rsidR="00F46445" w:rsidRPr="00AB6411" w:rsidRDefault="00F46445" w:rsidP="004C24D2">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Arthralgia</w:t>
            </w:r>
          </w:p>
        </w:tc>
        <w:tc>
          <w:tcPr>
            <w:tcW w:w="2622" w:type="dxa"/>
          </w:tcPr>
          <w:p w14:paraId="27ACD3C4" w14:textId="1F4753A8" w:rsidR="00F46445" w:rsidRPr="00AB6411" w:rsidRDefault="00F46445" w:rsidP="004C24D2">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 (1.2)</w:t>
            </w:r>
          </w:p>
        </w:tc>
        <w:tc>
          <w:tcPr>
            <w:tcW w:w="2906" w:type="dxa"/>
          </w:tcPr>
          <w:p w14:paraId="057EC191" w14:textId="26B81FDB" w:rsidR="00F46445" w:rsidRPr="00AB6411" w:rsidRDefault="00F46445" w:rsidP="004C24D2">
            <w:pPr>
              <w:keepNext/>
              <w:autoSpaceDE w:val="0"/>
              <w:autoSpaceDN w:val="0"/>
              <w:adjustRightInd w:val="0"/>
              <w:spacing w:after="60"/>
              <w:jc w:val="center"/>
              <w:rPr>
                <w:rFonts w:asciiTheme="majorHAnsi" w:eastAsia="Times New Roman" w:hAnsiTheme="majorHAnsi"/>
                <w:bCs/>
              </w:rPr>
            </w:pPr>
            <w:r w:rsidRPr="00607DF0">
              <w:rPr>
                <w:rFonts w:asciiTheme="majorHAnsi" w:eastAsia="Times New Roman" w:hAnsiTheme="majorHAnsi"/>
                <w:bCs/>
              </w:rPr>
              <w:t>20 (2.1)</w:t>
            </w:r>
          </w:p>
        </w:tc>
      </w:tr>
    </w:tbl>
    <w:p w14:paraId="3FACD9C4" w14:textId="5433FC00" w:rsidR="00F721EF" w:rsidRDefault="00F721EF" w:rsidP="00F721EF">
      <w:pPr>
        <w:spacing w:after="0"/>
        <w:rPr>
          <w:rFonts w:asciiTheme="majorHAnsi" w:hAnsiTheme="majorHAnsi"/>
          <w:sz w:val="16"/>
          <w:szCs w:val="16"/>
        </w:rPr>
      </w:pPr>
      <w:r w:rsidRPr="00E84FFF">
        <w:rPr>
          <w:rFonts w:asciiTheme="majorHAnsi" w:hAnsiTheme="majorHAnsi"/>
          <w:sz w:val="16"/>
          <w:szCs w:val="16"/>
        </w:rPr>
        <w:t>Abbreviations: N = number of</w:t>
      </w:r>
      <w:r>
        <w:rPr>
          <w:rFonts w:asciiTheme="majorHAnsi" w:hAnsiTheme="majorHAnsi"/>
          <w:sz w:val="16"/>
          <w:szCs w:val="16"/>
        </w:rPr>
        <w:t xml:space="preserve"> </w:t>
      </w:r>
      <w:r w:rsidRPr="00E84FFF">
        <w:rPr>
          <w:rFonts w:asciiTheme="majorHAnsi" w:hAnsiTheme="majorHAnsi"/>
          <w:sz w:val="16"/>
          <w:szCs w:val="16"/>
        </w:rPr>
        <w:t>participants in the safety analysis set; n = number of participants in specified category; TEAE =</w:t>
      </w:r>
      <w:r>
        <w:rPr>
          <w:rFonts w:asciiTheme="majorHAnsi" w:hAnsiTheme="majorHAnsi"/>
          <w:sz w:val="16"/>
          <w:szCs w:val="16"/>
        </w:rPr>
        <w:t xml:space="preserve"> </w:t>
      </w:r>
      <w:r w:rsidRPr="00E84FFF">
        <w:rPr>
          <w:rFonts w:asciiTheme="majorHAnsi" w:hAnsiTheme="majorHAnsi"/>
          <w:sz w:val="16"/>
          <w:szCs w:val="16"/>
        </w:rPr>
        <w:t>treatment-emergent adverse event; UC = ulcerative colitis.</w:t>
      </w:r>
    </w:p>
    <w:p w14:paraId="28C904B3" w14:textId="77777777" w:rsidR="0074105A" w:rsidRDefault="0074105A" w:rsidP="00DC04AC">
      <w:pPr>
        <w:spacing w:after="0"/>
        <w:rPr>
          <w:rFonts w:asciiTheme="majorHAnsi" w:hAnsiTheme="majorHAnsi" w:cstheme="minorHAnsi"/>
          <w:lang w:val="en"/>
        </w:rPr>
      </w:pPr>
    </w:p>
    <w:p w14:paraId="498C83E2" w14:textId="67E2173B" w:rsidR="0074105A" w:rsidRPr="000E1240" w:rsidRDefault="0074105A" w:rsidP="000E1240">
      <w:pPr>
        <w:pStyle w:val="Caption"/>
        <w:rPr>
          <w:rFonts w:asciiTheme="majorHAnsi" w:hAnsiTheme="majorHAnsi"/>
          <w:b/>
          <w:i w:val="0"/>
          <w:color w:val="auto"/>
          <w:sz w:val="22"/>
          <w:szCs w:val="22"/>
        </w:rPr>
      </w:pPr>
      <w:r w:rsidRPr="00162DCF">
        <w:rPr>
          <w:rFonts w:asciiTheme="majorHAnsi" w:hAnsiTheme="majorHAnsi"/>
          <w:b/>
          <w:i w:val="0"/>
          <w:color w:val="auto"/>
          <w:sz w:val="22"/>
          <w:szCs w:val="22"/>
        </w:rPr>
        <w:t xml:space="preserve">Table </w:t>
      </w:r>
      <w:r w:rsidR="008F21C1">
        <w:rPr>
          <w:rFonts w:asciiTheme="majorHAnsi" w:hAnsiTheme="majorHAnsi"/>
          <w:b/>
          <w:i w:val="0"/>
          <w:color w:val="auto"/>
          <w:sz w:val="22"/>
          <w:szCs w:val="22"/>
        </w:rPr>
        <w:t>2</w:t>
      </w:r>
      <w:r w:rsidRPr="00162DCF">
        <w:rPr>
          <w:rFonts w:asciiTheme="majorHAnsi" w:hAnsiTheme="majorHAnsi"/>
          <w:b/>
          <w:i w:val="0"/>
          <w:color w:val="auto"/>
          <w:sz w:val="22"/>
          <w:szCs w:val="22"/>
        </w:rPr>
        <w:t>: Treatment-Emergent Adverse Events Occurring in at</w:t>
      </w:r>
      <w:r w:rsidRPr="006773DA">
        <w:rPr>
          <w:rFonts w:asciiTheme="majorHAnsi" w:hAnsiTheme="majorHAnsi"/>
          <w:b/>
          <w:bCs/>
          <w:i w:val="0"/>
          <w:iCs w:val="0"/>
          <w:color w:val="auto"/>
          <w:sz w:val="22"/>
          <w:szCs w:val="22"/>
        </w:rPr>
        <w:t xml:space="preserve"> </w:t>
      </w:r>
      <w:r w:rsidRPr="006773DA">
        <w:rPr>
          <w:rFonts w:asciiTheme="majorHAnsi" w:hAnsiTheme="majorHAnsi"/>
          <w:b/>
          <w:i w:val="0"/>
          <w:color w:val="auto"/>
          <w:sz w:val="22"/>
          <w:szCs w:val="22"/>
        </w:rPr>
        <w:t>least</w:t>
      </w:r>
      <w:r w:rsidR="00347FD4">
        <w:rPr>
          <w:rFonts w:asciiTheme="majorHAnsi" w:hAnsiTheme="majorHAnsi"/>
          <w:b/>
          <w:i w:val="0"/>
          <w:color w:val="auto"/>
          <w:sz w:val="22"/>
          <w:szCs w:val="22"/>
        </w:rPr>
        <w:t xml:space="preserve"> </w:t>
      </w:r>
      <w:r w:rsidR="00720456">
        <w:rPr>
          <w:rFonts w:asciiTheme="majorHAnsi" w:hAnsiTheme="majorHAnsi"/>
          <w:b/>
          <w:i w:val="0"/>
          <w:color w:val="auto"/>
          <w:sz w:val="22"/>
          <w:szCs w:val="22"/>
        </w:rPr>
        <w:t>2</w:t>
      </w:r>
      <w:r w:rsidRPr="006773DA">
        <w:rPr>
          <w:rFonts w:asciiTheme="majorHAnsi" w:hAnsiTheme="majorHAnsi"/>
          <w:b/>
          <w:i w:val="0"/>
          <w:color w:val="auto"/>
          <w:sz w:val="22"/>
          <w:szCs w:val="22"/>
        </w:rPr>
        <w:t xml:space="preserve">% of </w:t>
      </w:r>
      <w:r>
        <w:rPr>
          <w:rFonts w:asciiTheme="majorHAnsi" w:hAnsiTheme="majorHAnsi"/>
          <w:b/>
          <w:i w:val="0"/>
          <w:color w:val="auto"/>
          <w:sz w:val="22"/>
          <w:szCs w:val="22"/>
        </w:rPr>
        <w:t xml:space="preserve">Mirikizumab-treated </w:t>
      </w:r>
      <w:r w:rsidRPr="006773DA">
        <w:rPr>
          <w:rFonts w:asciiTheme="majorHAnsi" w:hAnsiTheme="majorHAnsi"/>
          <w:b/>
          <w:i w:val="0"/>
          <w:color w:val="auto"/>
          <w:sz w:val="22"/>
          <w:szCs w:val="22"/>
        </w:rPr>
        <w:t>Participants by Decreasing Frequency in the UC Mirikizumab</w:t>
      </w:r>
      <w:r>
        <w:rPr>
          <w:rFonts w:asciiTheme="majorHAnsi" w:hAnsiTheme="majorHAnsi"/>
          <w:b/>
          <w:i w:val="0"/>
          <w:color w:val="auto"/>
          <w:sz w:val="22"/>
          <w:szCs w:val="22"/>
        </w:rPr>
        <w:t>-Responder Placebo-Controlled</w:t>
      </w:r>
      <w:r w:rsidRPr="006773DA">
        <w:rPr>
          <w:rFonts w:asciiTheme="majorHAnsi" w:hAnsiTheme="majorHAnsi"/>
          <w:b/>
          <w:i w:val="0"/>
          <w:color w:val="auto"/>
          <w:sz w:val="22"/>
          <w:szCs w:val="22"/>
        </w:rPr>
        <w:t xml:space="preserve"> </w:t>
      </w:r>
      <w:r w:rsidR="54D9E4F3" w:rsidRPr="3F838120">
        <w:rPr>
          <w:rFonts w:asciiTheme="majorHAnsi" w:hAnsiTheme="majorHAnsi"/>
          <w:b/>
          <w:bCs/>
          <w:i w:val="0"/>
          <w:iCs w:val="0"/>
          <w:color w:val="auto"/>
          <w:sz w:val="22"/>
          <w:szCs w:val="22"/>
        </w:rPr>
        <w:t>(LUCENT-2) Maintenance Period</w:t>
      </w:r>
    </w:p>
    <w:tbl>
      <w:tblPr>
        <w:tblStyle w:val="TableGrid"/>
        <w:tblW w:w="9214" w:type="dxa"/>
        <w:tblInd w:w="-147" w:type="dxa"/>
        <w:tblLook w:val="04A0" w:firstRow="1" w:lastRow="0" w:firstColumn="1" w:lastColumn="0" w:noHBand="0" w:noVBand="1"/>
      </w:tblPr>
      <w:tblGrid>
        <w:gridCol w:w="3686"/>
        <w:gridCol w:w="2764"/>
        <w:gridCol w:w="2764"/>
      </w:tblGrid>
      <w:tr w:rsidR="00F721EF" w14:paraId="1D304ABE" w14:textId="77777777" w:rsidTr="00356D0A">
        <w:tc>
          <w:tcPr>
            <w:tcW w:w="3686" w:type="dxa"/>
            <w:vMerge w:val="restart"/>
          </w:tcPr>
          <w:p w14:paraId="4F497149" w14:textId="77777777" w:rsidR="00F721EF" w:rsidRDefault="00F721EF">
            <w:pPr>
              <w:keepNext/>
              <w:autoSpaceDE w:val="0"/>
              <w:autoSpaceDN w:val="0"/>
              <w:adjustRightInd w:val="0"/>
              <w:spacing w:after="60"/>
              <w:jc w:val="center"/>
              <w:rPr>
                <w:rFonts w:asciiTheme="majorHAnsi" w:eastAsia="Times New Roman" w:hAnsiTheme="majorHAnsi"/>
                <w:b/>
              </w:rPr>
            </w:pPr>
          </w:p>
          <w:p w14:paraId="4F8BDB2E" w14:textId="58532627" w:rsidR="00F721EF" w:rsidRPr="0044102A" w:rsidRDefault="00F721EF">
            <w:pPr>
              <w:keepNext/>
              <w:autoSpaceDE w:val="0"/>
              <w:autoSpaceDN w:val="0"/>
              <w:adjustRightInd w:val="0"/>
              <w:spacing w:after="60"/>
              <w:jc w:val="center"/>
              <w:rPr>
                <w:rFonts w:asciiTheme="majorHAnsi" w:eastAsia="Times New Roman" w:hAnsiTheme="majorHAnsi"/>
                <w:b/>
              </w:rPr>
            </w:pPr>
            <w:r w:rsidRPr="0044102A">
              <w:rPr>
                <w:rFonts w:asciiTheme="majorHAnsi" w:eastAsia="Times New Roman" w:hAnsiTheme="majorHAnsi"/>
                <w:b/>
              </w:rPr>
              <w:t>Event</w:t>
            </w:r>
          </w:p>
        </w:tc>
        <w:tc>
          <w:tcPr>
            <w:tcW w:w="5528" w:type="dxa"/>
            <w:gridSpan w:val="2"/>
          </w:tcPr>
          <w:p w14:paraId="7A4AA887" w14:textId="21458E32" w:rsidR="00F721EF" w:rsidRPr="0044102A" w:rsidRDefault="00F721EF">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rPr>
              <w:t xml:space="preserve">UC Placebo-controlled </w:t>
            </w:r>
            <w:r w:rsidR="0BCC54C1" w:rsidRPr="3F838120">
              <w:rPr>
                <w:rFonts w:asciiTheme="majorHAnsi" w:eastAsia="Times New Roman" w:hAnsiTheme="majorHAnsi"/>
                <w:b/>
                <w:bCs/>
              </w:rPr>
              <w:t>Maintenance Period</w:t>
            </w:r>
          </w:p>
        </w:tc>
      </w:tr>
      <w:tr w:rsidR="00F721EF" w14:paraId="0F963DC5" w14:textId="77777777" w:rsidTr="00356D0A">
        <w:tc>
          <w:tcPr>
            <w:tcW w:w="3686" w:type="dxa"/>
            <w:vMerge/>
          </w:tcPr>
          <w:p w14:paraId="60B00CB3" w14:textId="77777777" w:rsidR="00F721EF" w:rsidRPr="0044102A" w:rsidRDefault="00F721EF">
            <w:pPr>
              <w:keepNext/>
              <w:autoSpaceDE w:val="0"/>
              <w:autoSpaceDN w:val="0"/>
              <w:adjustRightInd w:val="0"/>
              <w:spacing w:after="60"/>
              <w:rPr>
                <w:rFonts w:asciiTheme="majorHAnsi" w:eastAsia="Times New Roman" w:hAnsiTheme="majorHAnsi"/>
                <w:b/>
              </w:rPr>
            </w:pPr>
          </w:p>
        </w:tc>
        <w:tc>
          <w:tcPr>
            <w:tcW w:w="2764" w:type="dxa"/>
          </w:tcPr>
          <w:p w14:paraId="1D6BB49C" w14:textId="526A3402" w:rsidR="00F721EF" w:rsidRDefault="00F721EF" w:rsidP="00356D0A">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rPr>
              <w:t>Placebo (mirikizumab responder)</w:t>
            </w:r>
            <w:r w:rsidR="00356D0A">
              <w:rPr>
                <w:rFonts w:asciiTheme="majorHAnsi" w:eastAsia="Times New Roman" w:hAnsiTheme="majorHAnsi"/>
                <w:b/>
              </w:rPr>
              <w:t xml:space="preserve">, </w:t>
            </w:r>
            <w:r>
              <w:rPr>
                <w:rFonts w:asciiTheme="majorHAnsi" w:eastAsia="Times New Roman" w:hAnsiTheme="majorHAnsi"/>
                <w:b/>
              </w:rPr>
              <w:t>N=192</w:t>
            </w:r>
          </w:p>
          <w:p w14:paraId="275A6F0A" w14:textId="605B268D" w:rsidR="00356D0A" w:rsidRPr="0044102A" w:rsidRDefault="00356D0A" w:rsidP="00356D0A">
            <w:pPr>
              <w:keepNext/>
              <w:autoSpaceDE w:val="0"/>
              <w:autoSpaceDN w:val="0"/>
              <w:adjustRightInd w:val="0"/>
              <w:spacing w:after="60"/>
              <w:jc w:val="center"/>
              <w:rPr>
                <w:rFonts w:asciiTheme="majorHAnsi" w:eastAsia="Times New Roman" w:hAnsiTheme="majorHAnsi"/>
                <w:b/>
              </w:rPr>
            </w:pPr>
            <w:r>
              <w:rPr>
                <w:rFonts w:asciiTheme="majorHAnsi" w:eastAsia="Times New Roman" w:hAnsiTheme="majorHAnsi"/>
                <w:b/>
              </w:rPr>
              <w:t>n (%)</w:t>
            </w:r>
          </w:p>
        </w:tc>
        <w:tc>
          <w:tcPr>
            <w:tcW w:w="2764" w:type="dxa"/>
          </w:tcPr>
          <w:p w14:paraId="488654D4" w14:textId="32F3F2EF" w:rsidR="00F721EF" w:rsidRPr="00BE76D4" w:rsidRDefault="00F721EF" w:rsidP="228778F5">
            <w:pPr>
              <w:keepNext/>
              <w:autoSpaceDE w:val="0"/>
              <w:autoSpaceDN w:val="0"/>
              <w:adjustRightInd w:val="0"/>
              <w:spacing w:after="60"/>
              <w:jc w:val="center"/>
              <w:rPr>
                <w:rFonts w:asciiTheme="majorHAnsi" w:eastAsia="Times New Roman" w:hAnsiTheme="majorHAnsi"/>
                <w:b/>
                <w:bCs/>
                <w:lang w:val="de-DE"/>
              </w:rPr>
            </w:pPr>
            <w:r w:rsidRPr="00931D64">
              <w:rPr>
                <w:rFonts w:asciiTheme="majorHAnsi" w:eastAsia="Times New Roman" w:hAnsiTheme="majorHAnsi"/>
                <w:b/>
                <w:lang w:val="de-DE"/>
              </w:rPr>
              <w:t>Mirikizumab responder 200 mg SC Q4W</w:t>
            </w:r>
            <w:r w:rsidR="43FEEEC8" w:rsidRPr="228778F5">
              <w:rPr>
                <w:rFonts w:asciiTheme="majorHAnsi" w:eastAsia="Times New Roman" w:hAnsiTheme="majorHAnsi"/>
                <w:b/>
                <w:bCs/>
                <w:lang w:val="de-DE"/>
              </w:rPr>
              <w:t xml:space="preserve">, </w:t>
            </w:r>
            <w:r w:rsidRPr="00931D64">
              <w:rPr>
                <w:rFonts w:asciiTheme="majorHAnsi" w:eastAsia="Times New Roman" w:hAnsiTheme="majorHAnsi"/>
                <w:b/>
                <w:lang w:val="de-DE"/>
              </w:rPr>
              <w:t>N=389</w:t>
            </w:r>
          </w:p>
          <w:p w14:paraId="0ACA57C8" w14:textId="399B29FA" w:rsidR="00F721EF" w:rsidRPr="0048436B" w:rsidRDefault="19DFD838">
            <w:pPr>
              <w:keepNext/>
              <w:autoSpaceDE w:val="0"/>
              <w:autoSpaceDN w:val="0"/>
              <w:adjustRightInd w:val="0"/>
              <w:spacing w:after="60"/>
              <w:jc w:val="center"/>
              <w:rPr>
                <w:rFonts w:asciiTheme="majorHAnsi" w:eastAsia="Times New Roman" w:hAnsiTheme="majorHAnsi"/>
                <w:b/>
              </w:rPr>
            </w:pPr>
            <w:r w:rsidRPr="228778F5">
              <w:rPr>
                <w:rFonts w:asciiTheme="majorHAnsi" w:eastAsia="Times New Roman" w:hAnsiTheme="majorHAnsi"/>
                <w:b/>
                <w:bCs/>
                <w:lang w:val="de-DE"/>
              </w:rPr>
              <w:t>n</w:t>
            </w:r>
            <w:r w:rsidR="00F721EF" w:rsidRPr="0048436B">
              <w:rPr>
                <w:rFonts w:asciiTheme="majorHAnsi" w:eastAsia="Times New Roman" w:hAnsiTheme="majorHAnsi"/>
                <w:b/>
              </w:rPr>
              <w:t xml:space="preserve"> (%)</w:t>
            </w:r>
          </w:p>
        </w:tc>
      </w:tr>
      <w:tr w:rsidR="00F721EF" w14:paraId="3ED3C742" w14:textId="77777777" w:rsidTr="00356D0A">
        <w:tc>
          <w:tcPr>
            <w:tcW w:w="3686" w:type="dxa"/>
          </w:tcPr>
          <w:p w14:paraId="11CC6531" w14:textId="77777777" w:rsidR="00F721EF" w:rsidRPr="0044102A" w:rsidRDefault="00F721EF">
            <w:pPr>
              <w:keepNext/>
              <w:autoSpaceDE w:val="0"/>
              <w:autoSpaceDN w:val="0"/>
              <w:adjustRightInd w:val="0"/>
              <w:spacing w:after="60"/>
              <w:rPr>
                <w:rFonts w:asciiTheme="majorHAnsi" w:eastAsia="Times New Roman" w:hAnsiTheme="majorHAnsi"/>
                <w:b/>
              </w:rPr>
            </w:pPr>
            <w:r w:rsidRPr="0044102A">
              <w:rPr>
                <w:rFonts w:asciiTheme="majorHAnsi" w:eastAsia="Times New Roman" w:hAnsiTheme="majorHAnsi"/>
                <w:b/>
              </w:rPr>
              <w:t>Participants with at least 1 TEAE</w:t>
            </w:r>
          </w:p>
        </w:tc>
        <w:tc>
          <w:tcPr>
            <w:tcW w:w="2764" w:type="dxa"/>
          </w:tcPr>
          <w:p w14:paraId="3959E655" w14:textId="77777777" w:rsidR="00F721EF" w:rsidRPr="00AB6411" w:rsidRDefault="00F721EF">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132 (68.8)</w:t>
            </w:r>
          </w:p>
        </w:tc>
        <w:tc>
          <w:tcPr>
            <w:tcW w:w="2764" w:type="dxa"/>
          </w:tcPr>
          <w:p w14:paraId="48E61C2D" w14:textId="77777777" w:rsidR="00F721EF" w:rsidRPr="00AB6411" w:rsidRDefault="00F721EF">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251 (64.5)</w:t>
            </w:r>
          </w:p>
        </w:tc>
      </w:tr>
      <w:tr w:rsidR="00F721EF" w14:paraId="2F744107" w14:textId="77777777" w:rsidTr="00356D0A">
        <w:tc>
          <w:tcPr>
            <w:tcW w:w="3686" w:type="dxa"/>
          </w:tcPr>
          <w:p w14:paraId="5D9011CE" w14:textId="77777777" w:rsidR="00F721EF" w:rsidRPr="00AB6411" w:rsidRDefault="00F721EF">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 xml:space="preserve">Nasopharyngitis </w:t>
            </w:r>
          </w:p>
        </w:tc>
        <w:tc>
          <w:tcPr>
            <w:tcW w:w="2764" w:type="dxa"/>
          </w:tcPr>
          <w:p w14:paraId="4CE94817" w14:textId="77777777" w:rsidR="00F721EF" w:rsidRPr="00AB6411" w:rsidRDefault="00F721EF">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11 (5.7)</w:t>
            </w:r>
          </w:p>
        </w:tc>
        <w:tc>
          <w:tcPr>
            <w:tcW w:w="2764" w:type="dxa"/>
          </w:tcPr>
          <w:p w14:paraId="2C7F6C8E" w14:textId="77777777" w:rsidR="00F721EF" w:rsidRPr="00AB6411" w:rsidRDefault="00F721EF">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28 (7.2)</w:t>
            </w:r>
          </w:p>
        </w:tc>
      </w:tr>
      <w:tr w:rsidR="008C1DC4" w14:paraId="6EE6BE7D" w14:textId="77777777">
        <w:tc>
          <w:tcPr>
            <w:tcW w:w="3686" w:type="dxa"/>
          </w:tcPr>
          <w:p w14:paraId="677DE205" w14:textId="77777777" w:rsidR="008C1DC4" w:rsidRDefault="008C1DC4">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Arthralgia</w:t>
            </w:r>
          </w:p>
        </w:tc>
        <w:tc>
          <w:tcPr>
            <w:tcW w:w="2764" w:type="dxa"/>
          </w:tcPr>
          <w:p w14:paraId="6354C39D" w14:textId="77777777" w:rsidR="008C1DC4" w:rsidRDefault="008C1DC4">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8 (4.2)</w:t>
            </w:r>
          </w:p>
        </w:tc>
        <w:tc>
          <w:tcPr>
            <w:tcW w:w="2764" w:type="dxa"/>
          </w:tcPr>
          <w:p w14:paraId="45E14A28" w14:textId="77777777" w:rsidR="008C1DC4" w:rsidRDefault="008C1DC4">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26 (6.7)</w:t>
            </w:r>
          </w:p>
        </w:tc>
      </w:tr>
      <w:tr w:rsidR="008A2E8B" w14:paraId="0E94990C" w14:textId="77777777" w:rsidTr="00356D0A">
        <w:tc>
          <w:tcPr>
            <w:tcW w:w="3686" w:type="dxa"/>
          </w:tcPr>
          <w:p w14:paraId="72BE7701" w14:textId="4D5EBE36" w:rsidR="008A2E8B" w:rsidRPr="00AB6411" w:rsidRDefault="00C37EC2"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Colitis ulcerative</w:t>
            </w:r>
          </w:p>
        </w:tc>
        <w:tc>
          <w:tcPr>
            <w:tcW w:w="2764" w:type="dxa"/>
          </w:tcPr>
          <w:p w14:paraId="0F68E168" w14:textId="538F16FA" w:rsidR="008A2E8B" w:rsidRPr="00AB6411" w:rsidRDefault="00C37EC2"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40 (20.8)</w:t>
            </w:r>
          </w:p>
        </w:tc>
        <w:tc>
          <w:tcPr>
            <w:tcW w:w="2764" w:type="dxa"/>
          </w:tcPr>
          <w:p w14:paraId="459C0C67" w14:textId="228C0CE2" w:rsidR="008A2E8B" w:rsidRPr="009A5398" w:rsidRDefault="00C37EC2"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26 (6.7)</w:t>
            </w:r>
          </w:p>
        </w:tc>
      </w:tr>
      <w:tr w:rsidR="00296491" w14:paraId="24270325" w14:textId="77777777">
        <w:tc>
          <w:tcPr>
            <w:tcW w:w="3686" w:type="dxa"/>
          </w:tcPr>
          <w:p w14:paraId="7F1F05D1" w14:textId="77777777" w:rsidR="00296491" w:rsidRDefault="00296491">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Injection site pain</w:t>
            </w:r>
          </w:p>
        </w:tc>
        <w:tc>
          <w:tcPr>
            <w:tcW w:w="2764" w:type="dxa"/>
          </w:tcPr>
          <w:p w14:paraId="642F2F0A" w14:textId="77777777" w:rsidR="00296491" w:rsidRDefault="00296491">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6 (3.1)</w:t>
            </w:r>
          </w:p>
        </w:tc>
        <w:tc>
          <w:tcPr>
            <w:tcW w:w="2764" w:type="dxa"/>
          </w:tcPr>
          <w:p w14:paraId="012C8640" w14:textId="77777777" w:rsidR="00296491" w:rsidRPr="009A5398" w:rsidRDefault="00296491">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17 (4.4)</w:t>
            </w:r>
          </w:p>
        </w:tc>
      </w:tr>
      <w:tr w:rsidR="00296491" w14:paraId="5BF943DE" w14:textId="77777777">
        <w:tc>
          <w:tcPr>
            <w:tcW w:w="3686" w:type="dxa"/>
          </w:tcPr>
          <w:p w14:paraId="58BEDF79" w14:textId="77777777" w:rsidR="00296491" w:rsidRPr="00002350" w:rsidRDefault="00296491">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Headache</w:t>
            </w:r>
          </w:p>
        </w:tc>
        <w:tc>
          <w:tcPr>
            <w:tcW w:w="2764" w:type="dxa"/>
          </w:tcPr>
          <w:p w14:paraId="2D8FF761" w14:textId="77777777" w:rsidR="00296491" w:rsidRDefault="00296491">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2 (1.0)</w:t>
            </w:r>
          </w:p>
        </w:tc>
        <w:tc>
          <w:tcPr>
            <w:tcW w:w="2764" w:type="dxa"/>
          </w:tcPr>
          <w:p w14:paraId="07121697" w14:textId="77777777" w:rsidR="00296491" w:rsidRDefault="00296491">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16 (4.1)</w:t>
            </w:r>
          </w:p>
        </w:tc>
      </w:tr>
      <w:tr w:rsidR="002A0037" w14:paraId="1479100B" w14:textId="77777777">
        <w:tc>
          <w:tcPr>
            <w:tcW w:w="3686" w:type="dxa"/>
          </w:tcPr>
          <w:p w14:paraId="76C54187" w14:textId="77777777" w:rsidR="002A0037" w:rsidRDefault="002A0037">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Rash</w:t>
            </w:r>
          </w:p>
        </w:tc>
        <w:tc>
          <w:tcPr>
            <w:tcW w:w="2764" w:type="dxa"/>
          </w:tcPr>
          <w:p w14:paraId="086FD507" w14:textId="77777777" w:rsidR="002A0037" w:rsidRDefault="002A0037">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0</w:t>
            </w:r>
          </w:p>
        </w:tc>
        <w:tc>
          <w:tcPr>
            <w:tcW w:w="2764" w:type="dxa"/>
          </w:tcPr>
          <w:p w14:paraId="454C201F" w14:textId="77777777" w:rsidR="002A0037" w:rsidRDefault="002A0037">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14 (3.6)</w:t>
            </w:r>
          </w:p>
        </w:tc>
      </w:tr>
      <w:tr w:rsidR="002A0037" w14:paraId="7AAE0FB0" w14:textId="77777777">
        <w:tc>
          <w:tcPr>
            <w:tcW w:w="3686" w:type="dxa"/>
          </w:tcPr>
          <w:p w14:paraId="378260E0" w14:textId="77777777" w:rsidR="002A0037" w:rsidRDefault="002A0037">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Pyrexia</w:t>
            </w:r>
          </w:p>
        </w:tc>
        <w:tc>
          <w:tcPr>
            <w:tcW w:w="2764" w:type="dxa"/>
          </w:tcPr>
          <w:p w14:paraId="1FCB4080" w14:textId="77777777" w:rsidR="002A0037" w:rsidRDefault="002A0037">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5 (2.6)</w:t>
            </w:r>
          </w:p>
        </w:tc>
        <w:tc>
          <w:tcPr>
            <w:tcW w:w="2764" w:type="dxa"/>
          </w:tcPr>
          <w:p w14:paraId="53764125" w14:textId="77777777" w:rsidR="002A0037" w:rsidRPr="009A5398" w:rsidRDefault="002A0037">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13 (3.3)</w:t>
            </w:r>
          </w:p>
        </w:tc>
      </w:tr>
      <w:tr w:rsidR="008A2E8B" w14:paraId="7A4ED2A8" w14:textId="77777777" w:rsidTr="00356D0A">
        <w:tc>
          <w:tcPr>
            <w:tcW w:w="3686" w:type="dxa"/>
          </w:tcPr>
          <w:p w14:paraId="75C01BBA" w14:textId="001709BF" w:rsidR="008A2E8B" w:rsidRPr="00AB6411" w:rsidRDefault="00A97D27"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Abdominal pain</w:t>
            </w:r>
          </w:p>
        </w:tc>
        <w:tc>
          <w:tcPr>
            <w:tcW w:w="2764" w:type="dxa"/>
          </w:tcPr>
          <w:p w14:paraId="1709662E" w14:textId="7D4320B2" w:rsidR="008A2E8B" w:rsidRPr="00AB6411" w:rsidRDefault="00A97D27"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 (2.1)</w:t>
            </w:r>
          </w:p>
        </w:tc>
        <w:tc>
          <w:tcPr>
            <w:tcW w:w="2764" w:type="dxa"/>
          </w:tcPr>
          <w:p w14:paraId="5EA1A549" w14:textId="72BCEA43" w:rsidR="008A2E8B" w:rsidRPr="009A5398" w:rsidRDefault="00A97D27"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11 (2.8)</w:t>
            </w:r>
          </w:p>
        </w:tc>
      </w:tr>
      <w:tr w:rsidR="00F31B73" w14:paraId="6C2749CB" w14:textId="77777777">
        <w:tc>
          <w:tcPr>
            <w:tcW w:w="3686" w:type="dxa"/>
          </w:tcPr>
          <w:p w14:paraId="70FC3063" w14:textId="77777777" w:rsidR="00F31B73" w:rsidRDefault="00F31B73">
            <w:pPr>
              <w:keepNext/>
              <w:autoSpaceDE w:val="0"/>
              <w:autoSpaceDN w:val="0"/>
              <w:adjustRightInd w:val="0"/>
              <w:spacing w:after="60"/>
              <w:rPr>
                <w:rFonts w:asciiTheme="majorHAnsi" w:eastAsia="Times New Roman" w:hAnsiTheme="majorHAnsi"/>
                <w:bCs/>
              </w:rPr>
            </w:pPr>
            <w:r w:rsidRPr="00994AF1">
              <w:rPr>
                <w:rFonts w:asciiTheme="majorHAnsi" w:eastAsia="Times New Roman" w:hAnsiTheme="majorHAnsi"/>
                <w:bCs/>
              </w:rPr>
              <w:t>Blood creatine phosphokinase increased</w:t>
            </w:r>
          </w:p>
        </w:tc>
        <w:tc>
          <w:tcPr>
            <w:tcW w:w="2764" w:type="dxa"/>
          </w:tcPr>
          <w:p w14:paraId="15D94067" w14:textId="77777777" w:rsidR="00F31B73" w:rsidRDefault="00F31B73">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5 (2.6)</w:t>
            </w:r>
          </w:p>
        </w:tc>
        <w:tc>
          <w:tcPr>
            <w:tcW w:w="2764" w:type="dxa"/>
          </w:tcPr>
          <w:p w14:paraId="4A885B67" w14:textId="77777777" w:rsidR="00F31B73" w:rsidRDefault="00F31B73">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10 (2.6)</w:t>
            </w:r>
          </w:p>
        </w:tc>
      </w:tr>
      <w:tr w:rsidR="008A2E8B" w14:paraId="49633B81" w14:textId="77777777" w:rsidTr="00356D0A">
        <w:tc>
          <w:tcPr>
            <w:tcW w:w="3686" w:type="dxa"/>
          </w:tcPr>
          <w:p w14:paraId="3CF481E0" w14:textId="42B66287" w:rsidR="008A2E8B" w:rsidRPr="00AB6411" w:rsidRDefault="00FC1EF4"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Diarrhoea</w:t>
            </w:r>
          </w:p>
        </w:tc>
        <w:tc>
          <w:tcPr>
            <w:tcW w:w="2764" w:type="dxa"/>
          </w:tcPr>
          <w:p w14:paraId="5D295674" w14:textId="38296F5C" w:rsidR="008A2E8B" w:rsidRPr="00AB6411" w:rsidRDefault="00FC1EF4"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 (0.5)</w:t>
            </w:r>
          </w:p>
        </w:tc>
        <w:tc>
          <w:tcPr>
            <w:tcW w:w="2764" w:type="dxa"/>
          </w:tcPr>
          <w:p w14:paraId="15E6915C" w14:textId="2633D29A" w:rsidR="008A2E8B" w:rsidRPr="009A5398" w:rsidRDefault="00FC1EF4"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10 (2.6)</w:t>
            </w:r>
          </w:p>
        </w:tc>
      </w:tr>
      <w:tr w:rsidR="004D4223" w14:paraId="30A307C8" w14:textId="77777777" w:rsidTr="00356D0A">
        <w:tc>
          <w:tcPr>
            <w:tcW w:w="3686" w:type="dxa"/>
          </w:tcPr>
          <w:p w14:paraId="47E9FD22" w14:textId="1DB281EC" w:rsidR="004D4223" w:rsidRDefault="008F17F1"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Fatigue</w:t>
            </w:r>
          </w:p>
        </w:tc>
        <w:tc>
          <w:tcPr>
            <w:tcW w:w="2764" w:type="dxa"/>
          </w:tcPr>
          <w:p w14:paraId="76A0DC50" w14:textId="712D3639" w:rsidR="004D4223" w:rsidRDefault="008F17F1"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 (2.1)</w:t>
            </w:r>
          </w:p>
        </w:tc>
        <w:tc>
          <w:tcPr>
            <w:tcW w:w="2764" w:type="dxa"/>
          </w:tcPr>
          <w:p w14:paraId="1430D689" w14:textId="464E1A9B" w:rsidR="004D4223" w:rsidRPr="009A5398" w:rsidRDefault="00792393"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10 (2.6)</w:t>
            </w:r>
          </w:p>
        </w:tc>
      </w:tr>
      <w:tr w:rsidR="00F31B73" w14:paraId="3D4328A5" w14:textId="77777777">
        <w:tc>
          <w:tcPr>
            <w:tcW w:w="3686" w:type="dxa"/>
          </w:tcPr>
          <w:p w14:paraId="7A2A46F9" w14:textId="77777777" w:rsidR="00F31B73" w:rsidRPr="00AB6411" w:rsidRDefault="00F31B73">
            <w:pPr>
              <w:keepNext/>
              <w:autoSpaceDE w:val="0"/>
              <w:autoSpaceDN w:val="0"/>
              <w:adjustRightInd w:val="0"/>
              <w:spacing w:after="60"/>
              <w:rPr>
                <w:rFonts w:asciiTheme="majorHAnsi" w:eastAsia="Times New Roman" w:hAnsiTheme="majorHAnsi"/>
                <w:bCs/>
              </w:rPr>
            </w:pPr>
            <w:r w:rsidRPr="002E1AA0">
              <w:rPr>
                <w:rFonts w:asciiTheme="majorHAnsi" w:eastAsia="Times New Roman" w:hAnsiTheme="majorHAnsi"/>
                <w:bCs/>
              </w:rPr>
              <w:t>Gastroesophageal reflux disease</w:t>
            </w:r>
          </w:p>
        </w:tc>
        <w:tc>
          <w:tcPr>
            <w:tcW w:w="2764" w:type="dxa"/>
          </w:tcPr>
          <w:p w14:paraId="42F1BD3C" w14:textId="77777777" w:rsidR="00F31B73" w:rsidRPr="00AB6411" w:rsidRDefault="00F31B73">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 (0.5)</w:t>
            </w:r>
          </w:p>
        </w:tc>
        <w:tc>
          <w:tcPr>
            <w:tcW w:w="2764" w:type="dxa"/>
          </w:tcPr>
          <w:p w14:paraId="4EF58D86" w14:textId="77777777" w:rsidR="00F31B73" w:rsidRPr="009A5398" w:rsidRDefault="00F31B73">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10 (2.6)</w:t>
            </w:r>
          </w:p>
        </w:tc>
      </w:tr>
      <w:tr w:rsidR="00792393" w14:paraId="3A1750FB" w14:textId="77777777" w:rsidTr="00356D0A">
        <w:tc>
          <w:tcPr>
            <w:tcW w:w="3686" w:type="dxa"/>
          </w:tcPr>
          <w:p w14:paraId="5E349716" w14:textId="05F75A66" w:rsidR="00792393" w:rsidRDefault="00792393"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Injection site reaction</w:t>
            </w:r>
          </w:p>
        </w:tc>
        <w:tc>
          <w:tcPr>
            <w:tcW w:w="2764" w:type="dxa"/>
          </w:tcPr>
          <w:p w14:paraId="229512BE" w14:textId="53E87489" w:rsidR="00792393" w:rsidRDefault="00792393"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 (0.5)</w:t>
            </w:r>
          </w:p>
        </w:tc>
        <w:tc>
          <w:tcPr>
            <w:tcW w:w="2764" w:type="dxa"/>
          </w:tcPr>
          <w:p w14:paraId="4BFCBE24" w14:textId="1BF6BD2C" w:rsidR="00792393" w:rsidRPr="009A5398" w:rsidRDefault="00683642"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10 (2.6)</w:t>
            </w:r>
          </w:p>
        </w:tc>
      </w:tr>
      <w:tr w:rsidR="002A0037" w14:paraId="480A7A64" w14:textId="77777777">
        <w:tc>
          <w:tcPr>
            <w:tcW w:w="3686" w:type="dxa"/>
          </w:tcPr>
          <w:p w14:paraId="1A37CB16" w14:textId="77777777" w:rsidR="002A0037" w:rsidRPr="00002350" w:rsidRDefault="002A0037">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Hypertension</w:t>
            </w:r>
          </w:p>
        </w:tc>
        <w:tc>
          <w:tcPr>
            <w:tcW w:w="2764" w:type="dxa"/>
          </w:tcPr>
          <w:p w14:paraId="6976C1B0" w14:textId="77777777" w:rsidR="002A0037" w:rsidRDefault="002A0037">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1 (0.5)</w:t>
            </w:r>
          </w:p>
        </w:tc>
        <w:tc>
          <w:tcPr>
            <w:tcW w:w="2764" w:type="dxa"/>
          </w:tcPr>
          <w:p w14:paraId="0BF16DB5" w14:textId="77777777" w:rsidR="002A0037" w:rsidRPr="009A5398" w:rsidRDefault="002A0037">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9 (2.3)</w:t>
            </w:r>
          </w:p>
        </w:tc>
      </w:tr>
      <w:tr w:rsidR="00F31B73" w14:paraId="0CF6D0C3" w14:textId="77777777">
        <w:tc>
          <w:tcPr>
            <w:tcW w:w="3686" w:type="dxa"/>
          </w:tcPr>
          <w:p w14:paraId="706ED1C4" w14:textId="77777777" w:rsidR="00F31B73" w:rsidRPr="00002350" w:rsidRDefault="00F31B73">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Anaemia</w:t>
            </w:r>
          </w:p>
        </w:tc>
        <w:tc>
          <w:tcPr>
            <w:tcW w:w="2764" w:type="dxa"/>
          </w:tcPr>
          <w:p w14:paraId="66722CA2" w14:textId="77777777" w:rsidR="00F31B73" w:rsidRDefault="00F31B73">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9 (4.7)</w:t>
            </w:r>
          </w:p>
        </w:tc>
        <w:tc>
          <w:tcPr>
            <w:tcW w:w="2764" w:type="dxa"/>
          </w:tcPr>
          <w:p w14:paraId="45273A5D" w14:textId="77777777" w:rsidR="00F31B73" w:rsidRPr="009A5398" w:rsidRDefault="00F31B73">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8 (2.1)</w:t>
            </w:r>
          </w:p>
        </w:tc>
      </w:tr>
      <w:tr w:rsidR="00F31B73" w14:paraId="2F06E55D" w14:textId="77777777">
        <w:tc>
          <w:tcPr>
            <w:tcW w:w="3686" w:type="dxa"/>
          </w:tcPr>
          <w:p w14:paraId="0D6A1532" w14:textId="77777777" w:rsidR="00F31B73" w:rsidRDefault="00F31B73">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COVID-19</w:t>
            </w:r>
          </w:p>
        </w:tc>
        <w:tc>
          <w:tcPr>
            <w:tcW w:w="2764" w:type="dxa"/>
          </w:tcPr>
          <w:p w14:paraId="39BBD9AF" w14:textId="77777777" w:rsidR="00F31B73" w:rsidRDefault="00F31B73">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4 (2.1)</w:t>
            </w:r>
          </w:p>
        </w:tc>
        <w:tc>
          <w:tcPr>
            <w:tcW w:w="2764" w:type="dxa"/>
          </w:tcPr>
          <w:p w14:paraId="769AE317" w14:textId="77777777" w:rsidR="00F31B73" w:rsidRDefault="00F31B73">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8 (2.1)</w:t>
            </w:r>
          </w:p>
        </w:tc>
      </w:tr>
      <w:tr w:rsidR="00792393" w14:paraId="71D004BB" w14:textId="77777777" w:rsidTr="00356D0A">
        <w:tc>
          <w:tcPr>
            <w:tcW w:w="3686" w:type="dxa"/>
          </w:tcPr>
          <w:p w14:paraId="36B48FB5" w14:textId="7F152C94" w:rsidR="00792393" w:rsidRDefault="00683642" w:rsidP="008A2E8B">
            <w:pPr>
              <w:keepNext/>
              <w:autoSpaceDE w:val="0"/>
              <w:autoSpaceDN w:val="0"/>
              <w:adjustRightInd w:val="0"/>
              <w:spacing w:after="60"/>
              <w:rPr>
                <w:rFonts w:asciiTheme="majorHAnsi" w:eastAsia="Times New Roman" w:hAnsiTheme="majorHAnsi"/>
                <w:bCs/>
              </w:rPr>
            </w:pPr>
            <w:r>
              <w:rPr>
                <w:rFonts w:asciiTheme="majorHAnsi" w:eastAsia="Times New Roman" w:hAnsiTheme="majorHAnsi"/>
                <w:bCs/>
              </w:rPr>
              <w:t>Injection site erythema</w:t>
            </w:r>
          </w:p>
        </w:tc>
        <w:tc>
          <w:tcPr>
            <w:tcW w:w="2764" w:type="dxa"/>
          </w:tcPr>
          <w:p w14:paraId="47F9EADF" w14:textId="387419E6" w:rsidR="00792393" w:rsidRDefault="006132AD" w:rsidP="008A2E8B">
            <w:pPr>
              <w:keepNext/>
              <w:autoSpaceDE w:val="0"/>
              <w:autoSpaceDN w:val="0"/>
              <w:adjustRightInd w:val="0"/>
              <w:spacing w:after="60"/>
              <w:jc w:val="center"/>
              <w:rPr>
                <w:rFonts w:asciiTheme="majorHAnsi" w:eastAsia="Times New Roman" w:hAnsiTheme="majorHAnsi"/>
                <w:bCs/>
              </w:rPr>
            </w:pPr>
            <w:r>
              <w:rPr>
                <w:rFonts w:asciiTheme="majorHAnsi" w:eastAsia="Times New Roman" w:hAnsiTheme="majorHAnsi"/>
                <w:bCs/>
              </w:rPr>
              <w:t>2 (1.0)</w:t>
            </w:r>
          </w:p>
        </w:tc>
        <w:tc>
          <w:tcPr>
            <w:tcW w:w="2764" w:type="dxa"/>
          </w:tcPr>
          <w:p w14:paraId="59B437DD" w14:textId="0242939E" w:rsidR="00792393" w:rsidRPr="009A5398" w:rsidRDefault="006132AD" w:rsidP="008A2E8B">
            <w:pPr>
              <w:keepNext/>
              <w:autoSpaceDE w:val="0"/>
              <w:autoSpaceDN w:val="0"/>
              <w:adjustRightInd w:val="0"/>
              <w:spacing w:after="60"/>
              <w:jc w:val="center"/>
              <w:rPr>
                <w:rFonts w:asciiTheme="majorHAnsi" w:eastAsia="Times New Roman" w:hAnsiTheme="majorHAnsi"/>
                <w:bCs/>
              </w:rPr>
            </w:pPr>
            <w:r w:rsidRPr="009A5398">
              <w:rPr>
                <w:rFonts w:asciiTheme="majorHAnsi" w:eastAsia="Times New Roman" w:hAnsiTheme="majorHAnsi"/>
                <w:bCs/>
              </w:rPr>
              <w:t>8 (2.1)</w:t>
            </w:r>
          </w:p>
        </w:tc>
      </w:tr>
    </w:tbl>
    <w:p w14:paraId="61F96727" w14:textId="77777777" w:rsidR="00F721EF" w:rsidRDefault="00F721EF" w:rsidP="00F721EF">
      <w:pPr>
        <w:spacing w:after="0"/>
        <w:rPr>
          <w:rFonts w:asciiTheme="majorHAnsi" w:hAnsiTheme="majorHAnsi"/>
          <w:sz w:val="16"/>
          <w:szCs w:val="16"/>
        </w:rPr>
      </w:pPr>
      <w:r w:rsidRPr="00E84FFF">
        <w:rPr>
          <w:rFonts w:asciiTheme="majorHAnsi" w:hAnsiTheme="majorHAnsi"/>
          <w:sz w:val="16"/>
          <w:szCs w:val="16"/>
        </w:rPr>
        <w:t>Abbreviations: COVID-19 = coronavirus disease 2019; N = number of</w:t>
      </w:r>
      <w:r>
        <w:rPr>
          <w:rFonts w:asciiTheme="majorHAnsi" w:hAnsiTheme="majorHAnsi"/>
          <w:sz w:val="16"/>
          <w:szCs w:val="16"/>
        </w:rPr>
        <w:t xml:space="preserve"> </w:t>
      </w:r>
      <w:r w:rsidRPr="00E84FFF">
        <w:rPr>
          <w:rFonts w:asciiTheme="majorHAnsi" w:hAnsiTheme="majorHAnsi"/>
          <w:sz w:val="16"/>
          <w:szCs w:val="16"/>
        </w:rPr>
        <w:t>participants in the safety analysis set; n = number of participants in specified category; TEAE =</w:t>
      </w:r>
      <w:r>
        <w:rPr>
          <w:rFonts w:asciiTheme="majorHAnsi" w:hAnsiTheme="majorHAnsi"/>
          <w:sz w:val="16"/>
          <w:szCs w:val="16"/>
        </w:rPr>
        <w:t xml:space="preserve"> </w:t>
      </w:r>
      <w:r w:rsidRPr="00E84FFF">
        <w:rPr>
          <w:rFonts w:asciiTheme="majorHAnsi" w:hAnsiTheme="majorHAnsi"/>
          <w:sz w:val="16"/>
          <w:szCs w:val="16"/>
        </w:rPr>
        <w:t>treatment-emergent adverse event; UC = ulcerative colitis.</w:t>
      </w:r>
    </w:p>
    <w:p w14:paraId="49A53F13" w14:textId="77777777" w:rsidR="00CA3E30" w:rsidRDefault="00CA3E30" w:rsidP="00DC04AC">
      <w:pPr>
        <w:spacing w:after="0"/>
        <w:rPr>
          <w:rFonts w:asciiTheme="majorHAnsi" w:hAnsiTheme="majorHAnsi" w:cstheme="minorHAnsi"/>
          <w:lang w:val="en"/>
        </w:rPr>
      </w:pPr>
    </w:p>
    <w:p w14:paraId="6A3CA44B" w14:textId="77777777" w:rsidR="00F01EAE" w:rsidRPr="00B53116" w:rsidRDefault="00F01EAE" w:rsidP="00DC04AC">
      <w:pPr>
        <w:spacing w:after="0"/>
        <w:rPr>
          <w:rFonts w:asciiTheme="majorHAnsi" w:hAnsiTheme="majorHAnsi" w:cstheme="minorHAnsi"/>
          <w:lang w:val="en"/>
        </w:rPr>
      </w:pPr>
    </w:p>
    <w:p w14:paraId="681DDAB7" w14:textId="2A2DBFEC" w:rsidR="00F01EAE" w:rsidRPr="005C70F6" w:rsidRDefault="00F01EAE" w:rsidP="00F01EAE">
      <w:pPr>
        <w:pStyle w:val="Heading3"/>
        <w:ind w:left="0"/>
      </w:pPr>
      <w:r w:rsidRPr="005C70F6">
        <w:lastRenderedPageBreak/>
        <w:t>Tabulated list of adverse reactions</w:t>
      </w:r>
      <w:fldSimple w:instr="DOCVARIABLE vault_nd_6ede02c7-3c59-4f60-974c-be79ca020d35 \* MERGEFORMAT">
        <w:r w:rsidR="00F856B7">
          <w:t xml:space="preserve"> </w:t>
        </w:r>
      </w:fldSimple>
    </w:p>
    <w:p w14:paraId="0BE4C50A" w14:textId="088CBF62" w:rsidR="00F01EAE" w:rsidRPr="00710F61" w:rsidRDefault="00F01EAE" w:rsidP="00F01EAE">
      <w:pPr>
        <w:rPr>
          <w:rFonts w:asciiTheme="majorHAnsi" w:hAnsiTheme="majorHAnsi" w:cstheme="minorHAnsi"/>
          <w:lang w:val="en"/>
        </w:rPr>
      </w:pPr>
      <w:r w:rsidRPr="44CCF868">
        <w:rPr>
          <w:rFonts w:asciiTheme="majorHAnsi" w:hAnsiTheme="majorHAnsi"/>
          <w:lang w:val="en"/>
        </w:rPr>
        <w:t>The most frequently reported adverse reactions were injection site reactions</w:t>
      </w:r>
      <w:r w:rsidR="00A73137" w:rsidRPr="44CCF868">
        <w:rPr>
          <w:rFonts w:asciiTheme="majorHAnsi" w:hAnsiTheme="majorHAnsi"/>
          <w:lang w:val="en"/>
        </w:rPr>
        <w:t xml:space="preserve"> (</w:t>
      </w:r>
      <w:r w:rsidRPr="44CCF868">
        <w:rPr>
          <w:rFonts w:asciiTheme="majorHAnsi" w:hAnsiTheme="majorHAnsi"/>
          <w:lang w:val="en"/>
        </w:rPr>
        <w:t xml:space="preserve">maintenance </w:t>
      </w:r>
      <w:r w:rsidR="00C31A40" w:rsidRPr="44CCF868">
        <w:rPr>
          <w:rFonts w:asciiTheme="majorHAnsi" w:hAnsiTheme="majorHAnsi"/>
          <w:lang w:val="en"/>
        </w:rPr>
        <w:t>period)</w:t>
      </w:r>
      <w:r w:rsidRPr="44CCF868">
        <w:rPr>
          <w:rFonts w:asciiTheme="majorHAnsi" w:hAnsiTheme="majorHAnsi"/>
          <w:lang w:val="en"/>
        </w:rPr>
        <w:t>, upper respiratory tract infections (most frequently nasopharyngitis), headache and rash.</w:t>
      </w:r>
    </w:p>
    <w:p w14:paraId="61934F55" w14:textId="1A96D5AA" w:rsidR="00F01EAE" w:rsidRDefault="00F01EAE" w:rsidP="00F01EAE">
      <w:pPr>
        <w:rPr>
          <w:rFonts w:asciiTheme="majorHAnsi" w:hAnsiTheme="majorHAnsi" w:cstheme="minorHAnsi"/>
          <w:lang w:val="en"/>
        </w:rPr>
      </w:pPr>
      <w:r w:rsidRPr="00710F61">
        <w:rPr>
          <w:rFonts w:asciiTheme="majorHAnsi" w:hAnsiTheme="majorHAnsi" w:cstheme="minorHAnsi"/>
          <w:lang w:val="en"/>
        </w:rPr>
        <w:t xml:space="preserve">Adverse reactions from clinical studies </w:t>
      </w:r>
      <w:r w:rsidRPr="00FF2939">
        <w:rPr>
          <w:rFonts w:asciiTheme="majorHAnsi" w:hAnsiTheme="majorHAnsi" w:cstheme="minorHAnsi"/>
          <w:lang w:val="en"/>
        </w:rPr>
        <w:t>(</w:t>
      </w:r>
      <w:r w:rsidR="00F66436">
        <w:rPr>
          <w:rFonts w:asciiTheme="majorHAnsi" w:hAnsiTheme="majorHAnsi" w:cstheme="minorHAnsi"/>
          <w:lang w:val="en"/>
        </w:rPr>
        <w:t xml:space="preserve">Table </w:t>
      </w:r>
      <w:r w:rsidR="00125A32">
        <w:rPr>
          <w:rFonts w:asciiTheme="majorHAnsi" w:hAnsiTheme="majorHAnsi" w:cstheme="minorHAnsi"/>
          <w:lang w:val="en"/>
        </w:rPr>
        <w:t>3</w:t>
      </w:r>
      <w:r w:rsidRPr="00FF2939">
        <w:rPr>
          <w:rFonts w:asciiTheme="majorHAnsi" w:hAnsiTheme="majorHAnsi" w:cstheme="minorHAnsi"/>
          <w:lang w:val="en"/>
        </w:rPr>
        <w:t>)</w:t>
      </w:r>
      <w:r w:rsidRPr="00710F61">
        <w:rPr>
          <w:rFonts w:asciiTheme="majorHAnsi" w:hAnsiTheme="majorHAnsi" w:cstheme="minorHAnsi"/>
          <w:lang w:val="en"/>
        </w:rPr>
        <w:t xml:space="preserve"> are listed by MedDRA system organ class. Within each system organ class, the adverse reactions are ranked by frequency, with the most frequent reactions first. Within each frequency grouping, adverse reactions are presented in order of decreasing seriousness. In addition, the corresponding frequency category for each reaction is based on the following convention: very common (≥ 1/10); common (≥ 1/100 to &lt; 1/10); uncommon (≥ 1/1 000 to &lt; 1/100); rare (≥ 1/10 000 to &lt; 1/1 000); very rare (&lt; 1/10 000).</w:t>
      </w:r>
    </w:p>
    <w:p w14:paraId="79F9DE32" w14:textId="278FA40A" w:rsidR="00F01EAE" w:rsidRPr="00225D8B" w:rsidRDefault="00F01EAE" w:rsidP="00F01EAE">
      <w:pPr>
        <w:pStyle w:val="Caption"/>
        <w:keepNext/>
        <w:rPr>
          <w:rFonts w:asciiTheme="majorHAnsi" w:eastAsia="Times New Roman" w:hAnsiTheme="majorHAnsi" w:cs="Times New Roman"/>
          <w:b/>
          <w:vertAlign w:val="superscript"/>
          <w:lang w:val="en-GB"/>
        </w:rPr>
      </w:pPr>
      <w:r w:rsidRPr="00162DCF">
        <w:rPr>
          <w:rFonts w:asciiTheme="majorHAnsi" w:hAnsiTheme="majorHAnsi"/>
          <w:b/>
          <w:bCs/>
          <w:i w:val="0"/>
          <w:iCs w:val="0"/>
          <w:color w:val="auto"/>
          <w:sz w:val="22"/>
          <w:szCs w:val="22"/>
        </w:rPr>
        <w:t xml:space="preserve">Table </w:t>
      </w:r>
      <w:r w:rsidR="00125A32">
        <w:rPr>
          <w:rFonts w:asciiTheme="majorHAnsi" w:hAnsiTheme="majorHAnsi"/>
          <w:b/>
          <w:bCs/>
          <w:i w:val="0"/>
          <w:iCs w:val="0"/>
          <w:color w:val="auto"/>
          <w:sz w:val="22"/>
          <w:szCs w:val="22"/>
        </w:rPr>
        <w:t>3</w:t>
      </w:r>
      <w:r>
        <w:rPr>
          <w:rFonts w:asciiTheme="majorHAnsi" w:hAnsiTheme="majorHAnsi"/>
          <w:b/>
          <w:bCs/>
          <w:i w:val="0"/>
          <w:iCs w:val="0"/>
          <w:color w:val="auto"/>
          <w:sz w:val="22"/>
          <w:szCs w:val="22"/>
        </w:rPr>
        <w:t xml:space="preserve">: </w:t>
      </w:r>
      <w:r w:rsidRPr="00D71A68">
        <w:rPr>
          <w:rFonts w:asciiTheme="majorHAnsi" w:eastAsia="Times New Roman" w:hAnsiTheme="majorHAnsi" w:cs="Times New Roman"/>
          <w:b/>
          <w:i w:val="0"/>
          <w:color w:val="auto"/>
          <w:sz w:val="22"/>
          <w:szCs w:val="22"/>
          <w:lang w:val="en-GB"/>
        </w:rPr>
        <w:t>Patients with moderately to severely active ulcerative colitis</w:t>
      </w:r>
      <w:r w:rsidR="00F856B7">
        <w:rPr>
          <w:rFonts w:asciiTheme="majorHAnsi" w:eastAsia="Times New Roman" w:hAnsiTheme="majorHAnsi" w:cs="Times New Roman"/>
          <w:b/>
          <w:i w:val="0"/>
          <w:color w:val="auto"/>
          <w:sz w:val="22"/>
          <w:szCs w:val="22"/>
          <w:lang w:val="en-GB"/>
        </w:rPr>
        <w:fldChar w:fldCharType="begin"/>
      </w:r>
      <w:r w:rsidR="00F856B7">
        <w:rPr>
          <w:rFonts w:asciiTheme="majorHAnsi" w:eastAsia="Times New Roman" w:hAnsiTheme="majorHAnsi" w:cs="Times New Roman"/>
          <w:b/>
          <w:i w:val="0"/>
          <w:color w:val="auto"/>
          <w:sz w:val="22"/>
          <w:szCs w:val="22"/>
          <w:lang w:val="en-GB"/>
        </w:rPr>
        <w:instrText xml:space="preserve"> DOCVARIABLE vault_nd_b9cb12d0-6889-4eb1-9a47-9fec73a9ea74 \* MERGEFORMAT </w:instrText>
      </w:r>
      <w:r w:rsidR="00F856B7">
        <w:rPr>
          <w:rFonts w:asciiTheme="majorHAnsi" w:eastAsia="Times New Roman" w:hAnsiTheme="majorHAnsi" w:cs="Times New Roman"/>
          <w:b/>
          <w:i w:val="0"/>
          <w:color w:val="auto"/>
          <w:sz w:val="22"/>
          <w:szCs w:val="22"/>
          <w:lang w:val="en-GB"/>
        </w:rPr>
        <w:fldChar w:fldCharType="separate"/>
      </w:r>
      <w:r w:rsidR="00F856B7">
        <w:rPr>
          <w:rFonts w:asciiTheme="majorHAnsi" w:eastAsia="Times New Roman" w:hAnsiTheme="majorHAnsi" w:cs="Times New Roman"/>
          <w:b/>
          <w:i w:val="0"/>
          <w:color w:val="auto"/>
          <w:sz w:val="22"/>
          <w:szCs w:val="22"/>
          <w:lang w:val="en-GB"/>
        </w:rPr>
        <w:t xml:space="preserve"> </w:t>
      </w:r>
      <w:r w:rsidR="00F856B7">
        <w:rPr>
          <w:rFonts w:asciiTheme="majorHAnsi" w:eastAsia="Times New Roman" w:hAnsiTheme="majorHAnsi" w:cs="Times New Roman"/>
          <w:b/>
          <w:i w:val="0"/>
          <w:color w:val="auto"/>
          <w:sz w:val="22"/>
          <w:szCs w:val="22"/>
          <w:lang w:val="en-GB"/>
        </w:rPr>
        <w:fldChar w:fldCharType="end"/>
      </w:r>
    </w:p>
    <w:tbl>
      <w:tblPr>
        <w:tblStyle w:val="TableGrid"/>
        <w:tblW w:w="9214" w:type="dxa"/>
        <w:tblInd w:w="108" w:type="dxa"/>
        <w:tblLook w:val="04A0" w:firstRow="1" w:lastRow="0" w:firstColumn="1" w:lastColumn="0" w:noHBand="0" w:noVBand="1"/>
      </w:tblPr>
      <w:tblGrid>
        <w:gridCol w:w="3261"/>
        <w:gridCol w:w="1943"/>
        <w:gridCol w:w="4010"/>
      </w:tblGrid>
      <w:tr w:rsidR="00023BD4" w:rsidRPr="00225D8B" w:rsidDel="00137CDD" w14:paraId="7FD07D2D" w14:textId="77777777">
        <w:tc>
          <w:tcPr>
            <w:tcW w:w="3261" w:type="dxa"/>
          </w:tcPr>
          <w:p w14:paraId="6C60AEF6"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b/>
                <w:bCs/>
                <w:lang w:val="en-US"/>
              </w:rPr>
              <w:t>System organ class</w:t>
            </w:r>
          </w:p>
        </w:tc>
        <w:tc>
          <w:tcPr>
            <w:tcW w:w="1943" w:type="dxa"/>
          </w:tcPr>
          <w:p w14:paraId="5424FD17"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b/>
                <w:bCs/>
              </w:rPr>
              <w:t>Frequency</w:t>
            </w:r>
          </w:p>
        </w:tc>
        <w:tc>
          <w:tcPr>
            <w:tcW w:w="4010" w:type="dxa"/>
          </w:tcPr>
          <w:p w14:paraId="2A0E4096"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b/>
                <w:bCs/>
              </w:rPr>
              <w:t>Adverse reaction</w:t>
            </w:r>
          </w:p>
        </w:tc>
      </w:tr>
      <w:tr w:rsidR="00023BD4" w:rsidRPr="00225D8B" w:rsidDel="00137CDD" w14:paraId="0090EFD7" w14:textId="77777777">
        <w:trPr>
          <w:trHeight w:val="255"/>
        </w:trPr>
        <w:tc>
          <w:tcPr>
            <w:tcW w:w="3261" w:type="dxa"/>
          </w:tcPr>
          <w:p w14:paraId="7C5F1A82" w14:textId="77777777" w:rsidR="00023BD4" w:rsidRPr="00225D8B" w:rsidRDefault="00023BD4">
            <w:pPr>
              <w:keepNext/>
              <w:autoSpaceDE w:val="0"/>
              <w:autoSpaceDN w:val="0"/>
              <w:adjustRightInd w:val="0"/>
              <w:spacing w:after="200" w:line="360" w:lineRule="auto"/>
              <w:rPr>
                <w:rFonts w:asciiTheme="majorHAnsi" w:eastAsia="Times New Roman" w:hAnsiTheme="majorHAnsi"/>
                <w:b/>
              </w:rPr>
            </w:pPr>
            <w:r w:rsidRPr="00225D8B">
              <w:rPr>
                <w:rFonts w:asciiTheme="majorHAnsi" w:eastAsia="Times New Roman" w:hAnsiTheme="majorHAnsi"/>
              </w:rPr>
              <w:t>Infections and infestations</w:t>
            </w:r>
          </w:p>
        </w:tc>
        <w:tc>
          <w:tcPr>
            <w:tcW w:w="1943" w:type="dxa"/>
          </w:tcPr>
          <w:p w14:paraId="6788F478"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Common</w:t>
            </w:r>
          </w:p>
        </w:tc>
        <w:tc>
          <w:tcPr>
            <w:tcW w:w="4010" w:type="dxa"/>
          </w:tcPr>
          <w:p w14:paraId="0C179A8E"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Upper respiratory tract infections</w:t>
            </w:r>
            <w:r w:rsidRPr="00225D8B">
              <w:rPr>
                <w:rFonts w:asciiTheme="majorHAnsi" w:eastAsia="Times New Roman" w:hAnsiTheme="majorHAnsi"/>
                <w:vertAlign w:val="superscript"/>
              </w:rPr>
              <w:t>a</w:t>
            </w:r>
          </w:p>
        </w:tc>
      </w:tr>
      <w:tr w:rsidR="00023BD4" w:rsidRPr="00225D8B" w:rsidDel="00137CDD" w14:paraId="06FE35A1" w14:textId="77777777">
        <w:trPr>
          <w:trHeight w:val="222"/>
        </w:trPr>
        <w:tc>
          <w:tcPr>
            <w:tcW w:w="3261" w:type="dxa"/>
          </w:tcPr>
          <w:p w14:paraId="534DABB3" w14:textId="77777777" w:rsidR="00023BD4" w:rsidRPr="00225D8B" w:rsidRDefault="00023BD4">
            <w:pPr>
              <w:keepNext/>
              <w:autoSpaceDE w:val="0"/>
              <w:autoSpaceDN w:val="0"/>
              <w:adjustRightInd w:val="0"/>
              <w:spacing w:after="200" w:line="360" w:lineRule="auto"/>
              <w:rPr>
                <w:rFonts w:asciiTheme="majorHAnsi" w:eastAsia="Times New Roman" w:hAnsiTheme="majorHAnsi"/>
                <w:b/>
              </w:rPr>
            </w:pPr>
            <w:r w:rsidRPr="00225D8B">
              <w:rPr>
                <w:rFonts w:asciiTheme="majorHAnsi" w:eastAsia="Times New Roman" w:hAnsiTheme="majorHAnsi"/>
              </w:rPr>
              <w:t>Immune system disorders</w:t>
            </w:r>
          </w:p>
        </w:tc>
        <w:tc>
          <w:tcPr>
            <w:tcW w:w="1943" w:type="dxa"/>
          </w:tcPr>
          <w:p w14:paraId="65C0CC64"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Uncommon</w:t>
            </w:r>
          </w:p>
        </w:tc>
        <w:tc>
          <w:tcPr>
            <w:tcW w:w="4010" w:type="dxa"/>
          </w:tcPr>
          <w:p w14:paraId="306DFFE1"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bCs/>
                <w:iCs/>
                <w:lang w:eastAsia="ja-JP"/>
              </w:rPr>
              <w:t>Infusion-related hypersensitivity reaction</w:t>
            </w:r>
          </w:p>
        </w:tc>
      </w:tr>
      <w:tr w:rsidR="00023BD4" w:rsidRPr="00225D8B" w:rsidDel="00137CDD" w14:paraId="36508EB1" w14:textId="77777777">
        <w:tc>
          <w:tcPr>
            <w:tcW w:w="3261" w:type="dxa"/>
          </w:tcPr>
          <w:p w14:paraId="615C21A0" w14:textId="77777777" w:rsidR="00023BD4" w:rsidRPr="00225D8B" w:rsidRDefault="00023BD4">
            <w:pPr>
              <w:keepNext/>
              <w:autoSpaceDE w:val="0"/>
              <w:autoSpaceDN w:val="0"/>
              <w:adjustRightInd w:val="0"/>
              <w:spacing w:after="200" w:line="360" w:lineRule="auto"/>
              <w:rPr>
                <w:rFonts w:asciiTheme="majorHAnsi" w:eastAsia="Times New Roman" w:hAnsiTheme="majorHAnsi"/>
              </w:rPr>
            </w:pPr>
            <w:r w:rsidRPr="00225D8B">
              <w:rPr>
                <w:rFonts w:asciiTheme="majorHAnsi" w:eastAsia="Times New Roman" w:hAnsiTheme="majorHAnsi"/>
              </w:rPr>
              <w:t>Nervous system disorders</w:t>
            </w:r>
          </w:p>
        </w:tc>
        <w:tc>
          <w:tcPr>
            <w:tcW w:w="1943" w:type="dxa"/>
          </w:tcPr>
          <w:p w14:paraId="2682E38C"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Common</w:t>
            </w:r>
          </w:p>
        </w:tc>
        <w:tc>
          <w:tcPr>
            <w:tcW w:w="4010" w:type="dxa"/>
          </w:tcPr>
          <w:p w14:paraId="06604555"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Headache</w:t>
            </w:r>
          </w:p>
        </w:tc>
      </w:tr>
      <w:tr w:rsidR="00023BD4" w:rsidRPr="00225D8B" w:rsidDel="00137CDD" w14:paraId="58CF46AC" w14:textId="77777777">
        <w:tc>
          <w:tcPr>
            <w:tcW w:w="3261" w:type="dxa"/>
          </w:tcPr>
          <w:p w14:paraId="4B7EFAB6" w14:textId="77777777" w:rsidR="00023BD4" w:rsidRPr="00225D8B" w:rsidRDefault="00023BD4">
            <w:pPr>
              <w:keepNext/>
              <w:autoSpaceDE w:val="0"/>
              <w:autoSpaceDN w:val="0"/>
              <w:adjustRightInd w:val="0"/>
              <w:spacing w:after="200" w:line="360" w:lineRule="auto"/>
              <w:rPr>
                <w:rFonts w:asciiTheme="majorHAnsi" w:eastAsia="Times New Roman" w:hAnsiTheme="majorHAnsi"/>
                <w:b/>
              </w:rPr>
            </w:pPr>
            <w:r w:rsidRPr="00225D8B">
              <w:rPr>
                <w:rFonts w:asciiTheme="majorHAnsi" w:eastAsia="Times New Roman" w:hAnsiTheme="majorHAnsi"/>
              </w:rPr>
              <w:t>Skin and subcutaneous tissue disorders</w:t>
            </w:r>
          </w:p>
        </w:tc>
        <w:tc>
          <w:tcPr>
            <w:tcW w:w="1943" w:type="dxa"/>
          </w:tcPr>
          <w:p w14:paraId="6164ECDC"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Common</w:t>
            </w:r>
          </w:p>
        </w:tc>
        <w:tc>
          <w:tcPr>
            <w:tcW w:w="4010" w:type="dxa"/>
          </w:tcPr>
          <w:p w14:paraId="77DF9E78" w14:textId="77777777" w:rsidR="00023BD4" w:rsidRPr="00225D8B" w:rsidRDefault="00023BD4">
            <w:pPr>
              <w:keepNext/>
              <w:tabs>
                <w:tab w:val="left" w:pos="567"/>
              </w:tabs>
              <w:spacing w:after="200" w:line="360" w:lineRule="auto"/>
              <w:rPr>
                <w:rFonts w:asciiTheme="majorHAnsi" w:eastAsia="Times New Roman" w:hAnsiTheme="majorHAnsi"/>
                <w:bCs/>
              </w:rPr>
            </w:pPr>
            <w:r w:rsidRPr="00225D8B">
              <w:rPr>
                <w:rFonts w:asciiTheme="majorHAnsi" w:eastAsia="Times New Roman" w:hAnsiTheme="majorHAnsi"/>
                <w:bCs/>
              </w:rPr>
              <w:t>Rash</w:t>
            </w:r>
            <w:r w:rsidRPr="00225D8B">
              <w:rPr>
                <w:rFonts w:asciiTheme="majorHAnsi" w:eastAsia="Times New Roman" w:hAnsiTheme="majorHAnsi"/>
                <w:bCs/>
                <w:vertAlign w:val="superscript"/>
              </w:rPr>
              <w:t>b</w:t>
            </w:r>
          </w:p>
        </w:tc>
      </w:tr>
      <w:tr w:rsidR="00023BD4" w:rsidRPr="00225D8B" w:rsidDel="00137CDD" w14:paraId="7557FEDE" w14:textId="77777777">
        <w:tc>
          <w:tcPr>
            <w:tcW w:w="3261" w:type="dxa"/>
          </w:tcPr>
          <w:p w14:paraId="22D70FAD" w14:textId="77777777" w:rsidR="00023BD4" w:rsidRPr="00225D8B" w:rsidRDefault="00023BD4">
            <w:pPr>
              <w:keepNext/>
              <w:autoSpaceDE w:val="0"/>
              <w:autoSpaceDN w:val="0"/>
              <w:adjustRightInd w:val="0"/>
              <w:spacing w:after="200" w:line="360" w:lineRule="auto"/>
              <w:rPr>
                <w:rFonts w:asciiTheme="majorHAnsi" w:eastAsia="Times New Roman" w:hAnsiTheme="majorHAnsi"/>
              </w:rPr>
            </w:pPr>
            <w:r w:rsidRPr="00225D8B">
              <w:rPr>
                <w:rFonts w:asciiTheme="majorHAnsi" w:eastAsia="Times New Roman" w:hAnsiTheme="majorHAnsi"/>
              </w:rPr>
              <w:t>General disorders and administration site conditions</w:t>
            </w:r>
          </w:p>
        </w:tc>
        <w:tc>
          <w:tcPr>
            <w:tcW w:w="1943" w:type="dxa"/>
          </w:tcPr>
          <w:p w14:paraId="2F81157F"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Common</w:t>
            </w:r>
          </w:p>
        </w:tc>
        <w:tc>
          <w:tcPr>
            <w:tcW w:w="4010" w:type="dxa"/>
          </w:tcPr>
          <w:p w14:paraId="06228514"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Injection site reactions</w:t>
            </w:r>
            <w:r w:rsidRPr="00225D8B">
              <w:rPr>
                <w:rFonts w:asciiTheme="majorHAnsi" w:eastAsia="Times New Roman" w:hAnsiTheme="majorHAnsi"/>
                <w:vertAlign w:val="superscript"/>
              </w:rPr>
              <w:t>c</w:t>
            </w:r>
          </w:p>
        </w:tc>
      </w:tr>
      <w:tr w:rsidR="00023BD4" w:rsidRPr="00225D8B" w:rsidDel="00137CDD" w14:paraId="3CE089B9" w14:textId="77777777">
        <w:trPr>
          <w:trHeight w:val="138"/>
        </w:trPr>
        <w:tc>
          <w:tcPr>
            <w:tcW w:w="3261" w:type="dxa"/>
            <w:vMerge w:val="restart"/>
          </w:tcPr>
          <w:p w14:paraId="4BD98A1A" w14:textId="77777777" w:rsidR="00023BD4" w:rsidRPr="00225D8B" w:rsidRDefault="00023BD4">
            <w:pPr>
              <w:keepNext/>
              <w:autoSpaceDE w:val="0"/>
              <w:autoSpaceDN w:val="0"/>
              <w:adjustRightInd w:val="0"/>
              <w:spacing w:after="200" w:line="360" w:lineRule="auto"/>
              <w:rPr>
                <w:rFonts w:asciiTheme="majorHAnsi" w:eastAsia="Times New Roman" w:hAnsiTheme="majorHAnsi"/>
                <w:bCs/>
              </w:rPr>
            </w:pPr>
            <w:r w:rsidRPr="00225D8B">
              <w:rPr>
                <w:rFonts w:asciiTheme="majorHAnsi" w:eastAsia="Times New Roman" w:hAnsiTheme="majorHAnsi"/>
                <w:bCs/>
                <w:iCs/>
                <w:lang w:eastAsia="ja-JP"/>
              </w:rPr>
              <w:t>Investigations</w:t>
            </w:r>
          </w:p>
        </w:tc>
        <w:tc>
          <w:tcPr>
            <w:tcW w:w="1943" w:type="dxa"/>
          </w:tcPr>
          <w:p w14:paraId="7393E03C"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rPr>
              <w:t>Uncommon</w:t>
            </w:r>
          </w:p>
        </w:tc>
        <w:tc>
          <w:tcPr>
            <w:tcW w:w="4010" w:type="dxa"/>
          </w:tcPr>
          <w:p w14:paraId="0B0E4101" w14:textId="77777777" w:rsidR="00023BD4" w:rsidRPr="00225D8B" w:rsidRDefault="00023BD4">
            <w:pPr>
              <w:keepNext/>
              <w:tabs>
                <w:tab w:val="left" w:pos="567"/>
              </w:tabs>
              <w:spacing w:after="200" w:line="360" w:lineRule="auto"/>
              <w:rPr>
                <w:rFonts w:asciiTheme="majorHAnsi" w:eastAsia="Times New Roman" w:hAnsiTheme="majorHAnsi"/>
                <w:b/>
              </w:rPr>
            </w:pPr>
            <w:r w:rsidRPr="00225D8B">
              <w:rPr>
                <w:rFonts w:asciiTheme="majorHAnsi" w:eastAsia="Times New Roman" w:hAnsiTheme="majorHAnsi"/>
                <w:bCs/>
                <w:iCs/>
                <w:lang w:eastAsia="ja-JP"/>
              </w:rPr>
              <w:t>Alanine aminotransferase increased</w:t>
            </w:r>
          </w:p>
        </w:tc>
      </w:tr>
      <w:tr w:rsidR="00023BD4" w:rsidRPr="00225D8B" w:rsidDel="00137CDD" w14:paraId="1819D637" w14:textId="77777777">
        <w:trPr>
          <w:trHeight w:val="137"/>
        </w:trPr>
        <w:tc>
          <w:tcPr>
            <w:tcW w:w="3261" w:type="dxa"/>
            <w:vMerge/>
          </w:tcPr>
          <w:p w14:paraId="0D104731" w14:textId="77777777" w:rsidR="00023BD4" w:rsidRPr="00225D8B" w:rsidRDefault="00023BD4">
            <w:pPr>
              <w:keepNext/>
              <w:autoSpaceDE w:val="0"/>
              <w:autoSpaceDN w:val="0"/>
              <w:adjustRightInd w:val="0"/>
              <w:spacing w:after="200" w:line="360" w:lineRule="auto"/>
              <w:rPr>
                <w:rFonts w:asciiTheme="majorHAnsi" w:eastAsia="Times New Roman" w:hAnsiTheme="majorHAnsi"/>
                <w:b/>
                <w:iCs/>
                <w:lang w:eastAsia="ja-JP"/>
              </w:rPr>
            </w:pPr>
          </w:p>
        </w:tc>
        <w:tc>
          <w:tcPr>
            <w:tcW w:w="1943" w:type="dxa"/>
          </w:tcPr>
          <w:p w14:paraId="4487D321" w14:textId="77777777" w:rsidR="00023BD4" w:rsidRPr="00225D8B" w:rsidRDefault="00023BD4">
            <w:pPr>
              <w:keepNext/>
              <w:tabs>
                <w:tab w:val="left" w:pos="567"/>
              </w:tabs>
              <w:spacing w:after="200" w:line="360" w:lineRule="auto"/>
              <w:rPr>
                <w:rFonts w:asciiTheme="majorHAnsi" w:eastAsia="Times New Roman" w:hAnsiTheme="majorHAnsi"/>
              </w:rPr>
            </w:pPr>
            <w:r w:rsidRPr="00225D8B">
              <w:rPr>
                <w:rFonts w:asciiTheme="majorHAnsi" w:eastAsia="Times New Roman" w:hAnsiTheme="majorHAnsi"/>
              </w:rPr>
              <w:t>Uncommon</w:t>
            </w:r>
          </w:p>
        </w:tc>
        <w:tc>
          <w:tcPr>
            <w:tcW w:w="4010" w:type="dxa"/>
          </w:tcPr>
          <w:p w14:paraId="29BB78E6" w14:textId="77777777" w:rsidR="00023BD4" w:rsidRPr="00225D8B" w:rsidRDefault="00023BD4">
            <w:pPr>
              <w:keepNext/>
              <w:tabs>
                <w:tab w:val="left" w:pos="567"/>
              </w:tabs>
              <w:spacing w:after="200" w:line="360" w:lineRule="auto"/>
              <w:rPr>
                <w:rFonts w:asciiTheme="majorHAnsi" w:eastAsia="Times New Roman" w:hAnsiTheme="majorHAnsi"/>
              </w:rPr>
            </w:pPr>
            <w:r w:rsidRPr="00225D8B">
              <w:rPr>
                <w:rFonts w:asciiTheme="majorHAnsi" w:eastAsia="Times New Roman" w:hAnsiTheme="majorHAnsi"/>
                <w:bCs/>
                <w:iCs/>
                <w:lang w:eastAsia="ja-JP"/>
              </w:rPr>
              <w:t>Aspartate aminotransferase increased</w:t>
            </w:r>
          </w:p>
        </w:tc>
      </w:tr>
    </w:tbl>
    <w:p w14:paraId="5FF8EAF0" w14:textId="77777777" w:rsidR="00023BD4" w:rsidRPr="00225D8B" w:rsidRDefault="00023BD4" w:rsidP="00023BD4">
      <w:pPr>
        <w:keepNext/>
        <w:keepLines/>
        <w:tabs>
          <w:tab w:val="left" w:pos="851"/>
        </w:tabs>
        <w:spacing w:after="0" w:line="240" w:lineRule="auto"/>
        <w:ind w:left="142" w:hanging="142"/>
        <w:rPr>
          <w:rFonts w:asciiTheme="majorHAnsi" w:eastAsia="Calibri" w:hAnsiTheme="majorHAnsi" w:cs="Times New Roman"/>
          <w:position w:val="4"/>
          <w:sz w:val="16"/>
          <w:szCs w:val="16"/>
          <w:lang w:val="en-US" w:eastAsia="ja-JP"/>
        </w:rPr>
      </w:pPr>
      <w:r w:rsidRPr="00225D8B">
        <w:rPr>
          <w:rFonts w:asciiTheme="majorHAnsi" w:eastAsia="Calibri" w:hAnsiTheme="majorHAnsi" w:cs="Times New Roman"/>
          <w:position w:val="4"/>
          <w:sz w:val="16"/>
          <w:szCs w:val="16"/>
          <w:vertAlign w:val="superscript"/>
          <w:lang w:val="en-US" w:eastAsia="ja-JP"/>
        </w:rPr>
        <w:t>a</w:t>
      </w:r>
      <w:r w:rsidRPr="00225D8B">
        <w:rPr>
          <w:rFonts w:asciiTheme="majorHAnsi" w:eastAsia="Calibri" w:hAnsiTheme="majorHAnsi" w:cs="Times New Roman"/>
          <w:position w:val="4"/>
          <w:sz w:val="16"/>
          <w:szCs w:val="16"/>
          <w:vertAlign w:val="superscript"/>
          <w:lang w:val="en-US" w:eastAsia="ja-JP"/>
        </w:rPr>
        <w:tab/>
      </w:r>
      <w:r w:rsidRPr="00225D8B">
        <w:rPr>
          <w:rFonts w:asciiTheme="majorHAnsi" w:eastAsia="Calibri" w:hAnsiTheme="majorHAnsi" w:cs="Times New Roman"/>
          <w:position w:val="4"/>
          <w:sz w:val="16"/>
          <w:szCs w:val="16"/>
          <w:lang w:val="en-US" w:eastAsia="ja-JP"/>
        </w:rPr>
        <w:t>Includes: acute sinusitis, nasopharyngitis, oropharyngeal discomfort, oropharyngeal pain, pharyngitis, rhinitis, sinusitis, tonsillitis, upper respiratory tract infection, and viral upper respiratory tract infection.</w:t>
      </w:r>
    </w:p>
    <w:p w14:paraId="6B59E947" w14:textId="77777777" w:rsidR="00023BD4" w:rsidRPr="00225D8B" w:rsidRDefault="00023BD4" w:rsidP="00023BD4">
      <w:pPr>
        <w:keepNext/>
        <w:keepLines/>
        <w:tabs>
          <w:tab w:val="left" w:pos="851"/>
        </w:tabs>
        <w:spacing w:after="0" w:line="259" w:lineRule="atLeast"/>
        <w:ind w:left="142" w:hanging="142"/>
        <w:rPr>
          <w:rFonts w:asciiTheme="majorHAnsi" w:eastAsia="Calibri" w:hAnsiTheme="majorHAnsi" w:cs="Times New Roman"/>
          <w:position w:val="4"/>
          <w:sz w:val="16"/>
          <w:szCs w:val="16"/>
          <w:lang w:val="en-US" w:eastAsia="ja-JP"/>
        </w:rPr>
      </w:pPr>
      <w:r w:rsidRPr="00225D8B">
        <w:rPr>
          <w:rFonts w:asciiTheme="majorHAnsi" w:eastAsia="Calibri" w:hAnsiTheme="majorHAnsi" w:cs="Times New Roman"/>
          <w:position w:val="4"/>
          <w:sz w:val="16"/>
          <w:szCs w:val="16"/>
          <w:vertAlign w:val="superscript"/>
          <w:lang w:val="en-US" w:eastAsia="ja-JP"/>
        </w:rPr>
        <w:t xml:space="preserve">b </w:t>
      </w:r>
      <w:r w:rsidRPr="00225D8B">
        <w:rPr>
          <w:rFonts w:asciiTheme="majorHAnsi" w:eastAsia="Calibri" w:hAnsiTheme="majorHAnsi" w:cs="Times New Roman"/>
          <w:position w:val="4"/>
          <w:sz w:val="16"/>
          <w:szCs w:val="16"/>
          <w:vertAlign w:val="superscript"/>
          <w:lang w:val="en-US" w:eastAsia="ja-JP"/>
        </w:rPr>
        <w:tab/>
      </w:r>
      <w:r w:rsidRPr="00225D8B">
        <w:rPr>
          <w:rFonts w:asciiTheme="majorHAnsi" w:eastAsia="Calibri" w:hAnsiTheme="majorHAnsi" w:cs="Times New Roman"/>
          <w:position w:val="4"/>
          <w:sz w:val="16"/>
          <w:szCs w:val="16"/>
          <w:lang w:val="en-US" w:eastAsia="ja-JP"/>
        </w:rPr>
        <w:t>Includes: rash, rash macular, rash maculo-papular, and rash papular and rash pruritic.</w:t>
      </w:r>
    </w:p>
    <w:p w14:paraId="73573ECD" w14:textId="21B50A8E" w:rsidR="00023BD4" w:rsidRPr="00225D8B" w:rsidRDefault="00023BD4" w:rsidP="00023BD4">
      <w:pPr>
        <w:keepNext/>
        <w:keepLines/>
        <w:tabs>
          <w:tab w:val="left" w:pos="851"/>
        </w:tabs>
        <w:spacing w:after="0" w:line="259" w:lineRule="atLeast"/>
        <w:ind w:left="142" w:hanging="142"/>
        <w:rPr>
          <w:rFonts w:asciiTheme="majorHAnsi" w:eastAsia="Calibri" w:hAnsiTheme="majorHAnsi" w:cs="Times New Roman"/>
          <w:sz w:val="16"/>
          <w:szCs w:val="16"/>
          <w:lang w:val="en-US" w:eastAsia="ja-JP"/>
        </w:rPr>
      </w:pPr>
      <w:r w:rsidRPr="27C7A16B">
        <w:rPr>
          <w:rFonts w:asciiTheme="majorHAnsi" w:eastAsia="Calibri" w:hAnsiTheme="majorHAnsi" w:cs="Times New Roman"/>
          <w:sz w:val="16"/>
          <w:szCs w:val="16"/>
          <w:vertAlign w:val="superscript"/>
          <w:lang w:val="en-US" w:eastAsia="ja-JP"/>
        </w:rPr>
        <w:t xml:space="preserve">c </w:t>
      </w:r>
      <w:r>
        <w:tab/>
      </w:r>
      <w:r w:rsidRPr="00225D8B">
        <w:rPr>
          <w:rFonts w:asciiTheme="majorHAnsi" w:eastAsia="Calibri" w:hAnsiTheme="majorHAnsi" w:cs="Times New Roman"/>
          <w:sz w:val="16"/>
          <w:szCs w:val="16"/>
          <w:lang w:val="en-US" w:eastAsia="ja-JP"/>
        </w:rPr>
        <w:t>R</w:t>
      </w:r>
      <w:r w:rsidRPr="00225D8B">
        <w:rPr>
          <w:rFonts w:asciiTheme="majorHAnsi" w:eastAsia="Calibri" w:hAnsiTheme="majorHAnsi" w:cs="Times New Roman"/>
          <w:sz w:val="16"/>
          <w:szCs w:val="16"/>
          <w:lang w:val="en-US"/>
        </w:rPr>
        <w:t>eported in the mirikizumab maintenance study</w:t>
      </w:r>
      <w:r w:rsidRPr="00225D8B">
        <w:rPr>
          <w:rFonts w:asciiTheme="majorHAnsi" w:eastAsia="Calibri" w:hAnsiTheme="majorHAnsi" w:cs="Times New Roman"/>
          <w:sz w:val="16"/>
          <w:szCs w:val="16"/>
          <w:lang w:val="en-US" w:eastAsia="ja-JP"/>
        </w:rPr>
        <w:t>.</w:t>
      </w:r>
    </w:p>
    <w:p w14:paraId="4984656A" w14:textId="5843F54F" w:rsidR="00324495" w:rsidRDefault="00324495">
      <w:pPr>
        <w:rPr>
          <w:rFonts w:asciiTheme="majorHAnsi" w:eastAsiaTheme="majorEastAsia" w:hAnsiTheme="majorHAnsi" w:cstheme="majorBidi"/>
          <w:b/>
          <w:bCs/>
        </w:rPr>
      </w:pPr>
    </w:p>
    <w:p w14:paraId="0F098CB9" w14:textId="652EE6E5" w:rsidR="00166951" w:rsidRDefault="00E82BE5" w:rsidP="00D15840">
      <w:pPr>
        <w:pStyle w:val="Heading3"/>
        <w:ind w:left="0"/>
      </w:pPr>
      <w:r w:rsidRPr="005C70F6">
        <w:t>Description of selected adverse reactions</w:t>
      </w:r>
      <w:fldSimple w:instr="DOCVARIABLE vault_nd_d6641e44-349c-4c6a-8519-9dd5cf425ac9 \* MERGEFORMAT">
        <w:r w:rsidR="0012736B">
          <w:t xml:space="preserve"> </w:t>
        </w:r>
      </w:fldSimple>
    </w:p>
    <w:p w14:paraId="79DB3AAB" w14:textId="77777777" w:rsidR="001E3088" w:rsidRPr="00C877B9" w:rsidRDefault="001E3088" w:rsidP="27C7A16B">
      <w:pPr>
        <w:rPr>
          <w:rFonts w:asciiTheme="majorHAnsi" w:hAnsiTheme="majorHAnsi"/>
          <w:u w:val="single"/>
        </w:rPr>
      </w:pPr>
      <w:r w:rsidRPr="00C877B9">
        <w:rPr>
          <w:rFonts w:asciiTheme="majorHAnsi" w:hAnsiTheme="majorHAnsi"/>
          <w:u w:val="single"/>
        </w:rPr>
        <w:t>Upper respiratory tract infections</w:t>
      </w:r>
    </w:p>
    <w:p w14:paraId="1FF19377" w14:textId="4C94DFD6" w:rsidR="002C0FB3" w:rsidRDefault="001E3088" w:rsidP="00162DCF">
      <w:pPr>
        <w:rPr>
          <w:rFonts w:asciiTheme="majorHAnsi" w:hAnsiTheme="majorHAnsi"/>
        </w:rPr>
      </w:pPr>
      <w:r w:rsidRPr="00C877B9">
        <w:rPr>
          <w:rFonts w:asciiTheme="majorHAnsi" w:hAnsiTheme="majorHAnsi"/>
        </w:rPr>
        <w:t>In the first 12 weeks (LUCENT-1), Upper respiratory tract infections were reported in 76 (7.9%) mirikizumab treated patients compared to 19 (5.9%) patients in the placebo group.</w:t>
      </w:r>
    </w:p>
    <w:p w14:paraId="616D2D31" w14:textId="77777777" w:rsidR="00504449" w:rsidRDefault="00504449" w:rsidP="00162DCF">
      <w:pPr>
        <w:rPr>
          <w:rFonts w:asciiTheme="majorHAnsi" w:hAnsiTheme="majorHAnsi"/>
        </w:rPr>
      </w:pPr>
    </w:p>
    <w:p w14:paraId="1E7B92B1" w14:textId="77777777" w:rsidR="00504449" w:rsidRDefault="00504449" w:rsidP="00162DCF">
      <w:pPr>
        <w:rPr>
          <w:rFonts w:asciiTheme="majorHAnsi" w:hAnsiTheme="majorHAnsi"/>
        </w:rPr>
      </w:pPr>
    </w:p>
    <w:p w14:paraId="35E3EB6D" w14:textId="75CA2ADE" w:rsidR="00E82BE5" w:rsidRPr="005C70F6" w:rsidRDefault="00E82BE5" w:rsidP="00D15840">
      <w:pPr>
        <w:rPr>
          <w:rFonts w:asciiTheme="majorHAnsi" w:hAnsiTheme="majorHAnsi" w:cstheme="minorHAnsi"/>
          <w:u w:val="single"/>
          <w:lang w:val="en"/>
        </w:rPr>
      </w:pPr>
      <w:r w:rsidRPr="005C70F6">
        <w:rPr>
          <w:rFonts w:asciiTheme="majorHAnsi" w:hAnsiTheme="majorHAnsi" w:cstheme="minorHAnsi"/>
          <w:u w:val="single"/>
          <w:lang w:val="en"/>
        </w:rPr>
        <w:lastRenderedPageBreak/>
        <w:t>Infusion-related hypersensitivity reactions</w:t>
      </w:r>
    </w:p>
    <w:p w14:paraId="5575B5B5" w14:textId="1E799A24" w:rsidR="00FF2939" w:rsidRPr="00324495" w:rsidRDefault="00E82BE5" w:rsidP="00D15840">
      <w:pPr>
        <w:rPr>
          <w:rFonts w:asciiTheme="majorHAnsi" w:hAnsiTheme="majorHAnsi"/>
          <w:lang w:val="en"/>
        </w:rPr>
      </w:pPr>
      <w:r w:rsidRPr="48067221">
        <w:rPr>
          <w:rFonts w:asciiTheme="majorHAnsi" w:hAnsiTheme="majorHAnsi"/>
          <w:lang w:val="en"/>
        </w:rPr>
        <w:t>In the first 12 weeks (LUCENT-1), all infusion related hypersensitivity reactions were reported as non-serious in 4 (0.4%) mirikizumab treated patients compared to 1 (0.3%) patient in the placebo group.</w:t>
      </w:r>
    </w:p>
    <w:p w14:paraId="3D7AD1A1" w14:textId="77777777" w:rsidR="00E82BE5" w:rsidRPr="009F6BBD" w:rsidRDefault="00E82BE5" w:rsidP="00D15840">
      <w:pPr>
        <w:rPr>
          <w:rFonts w:asciiTheme="majorHAnsi" w:hAnsiTheme="majorHAnsi" w:cstheme="minorHAnsi"/>
          <w:u w:val="single"/>
          <w:lang w:val="en"/>
        </w:rPr>
      </w:pPr>
      <w:r w:rsidRPr="009F6BBD">
        <w:rPr>
          <w:rFonts w:asciiTheme="majorHAnsi" w:hAnsiTheme="majorHAnsi" w:cstheme="minorHAnsi"/>
          <w:u w:val="single"/>
          <w:lang w:val="en"/>
        </w:rPr>
        <w:t>Injection site reactions (LUCENT-2, weeks 12-52)</w:t>
      </w:r>
    </w:p>
    <w:p w14:paraId="70EE4400" w14:textId="496870A9" w:rsidR="009A2FFA" w:rsidRPr="00E82BE5" w:rsidRDefault="00E82BE5" w:rsidP="48067221">
      <w:pPr>
        <w:rPr>
          <w:rFonts w:asciiTheme="majorHAnsi" w:hAnsiTheme="majorHAnsi"/>
          <w:lang w:val="en"/>
        </w:rPr>
      </w:pPr>
      <w:r w:rsidRPr="48067221">
        <w:rPr>
          <w:rFonts w:asciiTheme="majorHAnsi" w:hAnsiTheme="majorHAnsi"/>
          <w:lang w:val="en"/>
        </w:rPr>
        <w:t>Injection site reactions were reported in 8.7% mirikizumab treated patients compared to 4.2% patients in the placebo group. The most frequent events were injection site pain, injection site reaction and injection site erythema. These symptoms were usually reported as non-serious, mild and transient in nature.</w:t>
      </w:r>
    </w:p>
    <w:p w14:paraId="76F25587" w14:textId="77777777" w:rsidR="000F2AB6" w:rsidRPr="00250275" w:rsidRDefault="000F2AB6" w:rsidP="00D15840">
      <w:pPr>
        <w:rPr>
          <w:rFonts w:asciiTheme="majorHAnsi" w:hAnsiTheme="majorHAnsi" w:cstheme="minorHAnsi"/>
          <w:u w:val="single"/>
          <w:lang w:val="en"/>
        </w:rPr>
      </w:pPr>
      <w:r w:rsidRPr="00250275">
        <w:rPr>
          <w:rFonts w:asciiTheme="majorHAnsi" w:hAnsiTheme="majorHAnsi" w:cstheme="minorHAnsi"/>
          <w:u w:val="single"/>
          <w:lang w:val="en"/>
        </w:rPr>
        <w:t>Hepatic enzyme elevations</w:t>
      </w:r>
    </w:p>
    <w:p w14:paraId="43BC2A22" w14:textId="20E46C30" w:rsidR="00E82BE5" w:rsidRPr="00E82BE5" w:rsidRDefault="00E82BE5" w:rsidP="48067221">
      <w:pPr>
        <w:rPr>
          <w:rFonts w:asciiTheme="majorHAnsi" w:hAnsiTheme="majorHAnsi"/>
          <w:lang w:val="en"/>
        </w:rPr>
      </w:pPr>
      <w:r w:rsidRPr="48067221">
        <w:rPr>
          <w:rFonts w:asciiTheme="majorHAnsi" w:hAnsiTheme="majorHAnsi"/>
          <w:lang w:val="en"/>
        </w:rPr>
        <w:t>In the first 12 weeks (LUCENT-1), ALT increased was reported in 4 (0.4%) mirikizumab treated patients compared to 1 (0.3%) in the placebo group. AST increased was reported by 5 (0.5%) mirikizumab treated patients compared to 1 (0.3%) in the placebo group. All events were reported as mild to moderate in severity and non-serious.</w:t>
      </w:r>
    </w:p>
    <w:p w14:paraId="5AA3D191" w14:textId="065BE42C" w:rsidR="002D62D7" w:rsidRPr="00710F61" w:rsidRDefault="1F10EC58" w:rsidP="00D15840">
      <w:pPr>
        <w:rPr>
          <w:rFonts w:asciiTheme="majorHAnsi" w:hAnsiTheme="majorHAnsi"/>
          <w:lang w:val="en"/>
        </w:rPr>
      </w:pPr>
      <w:r w:rsidRPr="5E2E94E7">
        <w:rPr>
          <w:rFonts w:asciiTheme="majorHAnsi" w:hAnsiTheme="majorHAnsi"/>
          <w:lang w:val="en"/>
        </w:rPr>
        <w:t>Across</w:t>
      </w:r>
      <w:r w:rsidR="795B118E" w:rsidRPr="5899B134">
        <w:rPr>
          <w:rFonts w:asciiTheme="majorHAnsi" w:hAnsiTheme="majorHAnsi"/>
          <w:lang w:val="en"/>
        </w:rPr>
        <w:t xml:space="preserve"> </w:t>
      </w:r>
      <w:r w:rsidR="00E82BE5" w:rsidRPr="5899B134">
        <w:rPr>
          <w:rFonts w:asciiTheme="majorHAnsi" w:hAnsiTheme="majorHAnsi"/>
          <w:lang w:val="en"/>
        </w:rPr>
        <w:t>all mirikizumab treatment periods in the ulcerative colitis clinical development program (including the placebo controlled and open label induction and maintenance periods), there have been elevations of ALT to ≥ 3 x upper limit of normal (ULN) (2.0%), ≥ 5 x ULN (0.7%) and ≥ 10 x ULN (0.2%) and AST to ≥ 3 x ULN (2.1%), ≥ 5 x ULN (1.1%) and ≥ 10 x ULN (0.1%) in patients receiving mirikizumab (see section</w:t>
      </w:r>
      <w:r w:rsidR="00250275" w:rsidRPr="5899B134">
        <w:rPr>
          <w:rFonts w:asciiTheme="majorHAnsi" w:hAnsiTheme="majorHAnsi"/>
          <w:lang w:val="en"/>
        </w:rPr>
        <w:t xml:space="preserve"> </w:t>
      </w:r>
      <w:r w:rsidR="005241E1" w:rsidRPr="001A46B1">
        <w:rPr>
          <w:rFonts w:asciiTheme="majorHAnsi" w:hAnsiTheme="majorHAnsi"/>
          <w:color w:val="0000FF"/>
          <w:shd w:val="clear" w:color="auto" w:fill="E6E6E6"/>
          <w:lang w:val="en"/>
        </w:rPr>
        <w:fldChar w:fldCharType="begin"/>
      </w:r>
      <w:r w:rsidR="005241E1" w:rsidRPr="001A46B1">
        <w:rPr>
          <w:rFonts w:asciiTheme="majorHAnsi" w:hAnsiTheme="majorHAnsi"/>
          <w:color w:val="0000FF"/>
          <w:lang w:val="en"/>
        </w:rPr>
        <w:instrText xml:space="preserve"> REF _Ref101456234 \w \h  \* MERGEFORMAT </w:instrText>
      </w:r>
      <w:r w:rsidR="005241E1" w:rsidRPr="001A46B1">
        <w:rPr>
          <w:rFonts w:asciiTheme="majorHAnsi" w:hAnsiTheme="majorHAnsi"/>
          <w:color w:val="0000FF"/>
          <w:shd w:val="clear" w:color="auto" w:fill="E6E6E6"/>
          <w:lang w:val="en"/>
        </w:rPr>
      </w:r>
      <w:r w:rsidR="005241E1" w:rsidRPr="001A46B1">
        <w:rPr>
          <w:rFonts w:asciiTheme="majorHAnsi" w:hAnsiTheme="majorHAnsi"/>
          <w:color w:val="0000FF"/>
          <w:shd w:val="clear" w:color="auto" w:fill="E6E6E6"/>
          <w:lang w:val="en"/>
        </w:rPr>
        <w:fldChar w:fldCharType="separate"/>
      </w:r>
      <w:r w:rsidR="005241E1" w:rsidRPr="001A46B1">
        <w:rPr>
          <w:rFonts w:asciiTheme="majorHAnsi" w:hAnsiTheme="majorHAnsi"/>
          <w:color w:val="0000FF"/>
          <w:lang w:val="en"/>
        </w:rPr>
        <w:t>4.4</w:t>
      </w:r>
      <w:r w:rsidR="005241E1" w:rsidRPr="001A46B1">
        <w:rPr>
          <w:rFonts w:asciiTheme="majorHAnsi" w:hAnsiTheme="majorHAnsi"/>
          <w:color w:val="0000FF"/>
          <w:shd w:val="clear" w:color="auto" w:fill="E6E6E6"/>
          <w:lang w:val="en"/>
        </w:rPr>
        <w:fldChar w:fldCharType="end"/>
      </w:r>
      <w:r w:rsidR="005241E1" w:rsidRPr="001A46B1">
        <w:rPr>
          <w:rFonts w:asciiTheme="majorHAnsi" w:hAnsiTheme="majorHAnsi"/>
          <w:color w:val="0000FF"/>
          <w:lang w:val="en"/>
        </w:rPr>
        <w:t xml:space="preserve"> </w:t>
      </w:r>
      <w:r w:rsidR="005241E1" w:rsidRPr="001A46B1">
        <w:rPr>
          <w:rFonts w:asciiTheme="majorHAnsi" w:hAnsiTheme="majorHAnsi"/>
          <w:color w:val="0000FF"/>
          <w:shd w:val="clear" w:color="auto" w:fill="E6E6E6"/>
          <w:lang w:val="en"/>
        </w:rPr>
        <w:fldChar w:fldCharType="begin"/>
      </w:r>
      <w:r w:rsidR="005241E1" w:rsidRPr="001A46B1">
        <w:rPr>
          <w:rFonts w:asciiTheme="majorHAnsi" w:hAnsiTheme="majorHAnsi"/>
          <w:color w:val="0000FF"/>
          <w:lang w:val="en"/>
        </w:rPr>
        <w:instrText xml:space="preserve"> REF _Ref101456234 \h  \* MERGEFORMAT </w:instrText>
      </w:r>
      <w:r w:rsidR="005241E1" w:rsidRPr="001A46B1">
        <w:rPr>
          <w:rFonts w:asciiTheme="majorHAnsi" w:hAnsiTheme="majorHAnsi"/>
          <w:color w:val="0000FF"/>
          <w:shd w:val="clear" w:color="auto" w:fill="E6E6E6"/>
          <w:lang w:val="en"/>
        </w:rPr>
      </w:r>
      <w:r w:rsidR="005241E1" w:rsidRPr="001A46B1">
        <w:rPr>
          <w:rFonts w:asciiTheme="majorHAnsi" w:hAnsiTheme="majorHAnsi"/>
          <w:color w:val="0000FF"/>
          <w:shd w:val="clear" w:color="auto" w:fill="E6E6E6"/>
          <w:lang w:val="en"/>
        </w:rPr>
        <w:fldChar w:fldCharType="separate"/>
      </w:r>
      <w:r w:rsidR="005241E1" w:rsidRPr="001A46B1">
        <w:rPr>
          <w:rFonts w:asciiTheme="majorHAnsi" w:hAnsiTheme="majorHAnsi"/>
          <w:color w:val="0000FF"/>
        </w:rPr>
        <w:t>Special warnings and precautions for use</w:t>
      </w:r>
      <w:r w:rsidR="005241E1" w:rsidRPr="001A46B1">
        <w:rPr>
          <w:rFonts w:asciiTheme="majorHAnsi" w:hAnsiTheme="majorHAnsi"/>
          <w:color w:val="0000FF"/>
          <w:shd w:val="clear" w:color="auto" w:fill="E6E6E6"/>
          <w:lang w:val="en"/>
        </w:rPr>
        <w:fldChar w:fldCharType="end"/>
      </w:r>
      <w:r w:rsidR="00E82BE5" w:rsidRPr="5899B134">
        <w:rPr>
          <w:rFonts w:asciiTheme="majorHAnsi" w:hAnsiTheme="majorHAnsi"/>
          <w:lang w:val="en"/>
        </w:rPr>
        <w:t>). These elevations have been noted with and without concomitant elevations in total bilirubin.</w:t>
      </w:r>
    </w:p>
    <w:p w14:paraId="6F7E1F05" w14:textId="315B9C75" w:rsidR="0021200F" w:rsidRPr="002B424E" w:rsidRDefault="0021200F" w:rsidP="00D15840">
      <w:pPr>
        <w:pStyle w:val="Heading3"/>
        <w:ind w:left="0"/>
      </w:pPr>
      <w:r>
        <w:t>Reporting suspected adverse effects</w:t>
      </w:r>
      <w:fldSimple w:instr="DOCVARIABLE vault_nd_67b2f51a-eca7-4acb-afd6-8257d8494ef6 \* MERGEFORMAT">
        <w:r w:rsidR="0012736B">
          <w:t xml:space="preserve"> </w:t>
        </w:r>
      </w:fldSimple>
    </w:p>
    <w:p w14:paraId="54790125" w14:textId="518CADFA" w:rsidR="005B2812" w:rsidRPr="005B2812" w:rsidRDefault="005B2812" w:rsidP="00D15840">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412DCBDF" w14:textId="22D503EF" w:rsidR="001A3992" w:rsidRDefault="001A3992" w:rsidP="001A3992">
      <w:pPr>
        <w:pStyle w:val="Heading2"/>
        <w:keepNext/>
        <w:keepLines/>
        <w:spacing w:before="0" w:after="120"/>
      </w:pPr>
      <w:r>
        <w:t>Overdose</w:t>
      </w:r>
      <w:fldSimple w:instr="DOCVARIABLE vault_nd_97f7ac68-f287-4895-8abd-8f8c5eb7e451 \* MERGEFORMAT">
        <w:r w:rsidR="0012736B">
          <w:t xml:space="preserve"> </w:t>
        </w:r>
      </w:fldSimple>
    </w:p>
    <w:p w14:paraId="7993B46D" w14:textId="2BFC007E" w:rsidR="00B266C2" w:rsidRDefault="00B266C2" w:rsidP="005B2812">
      <w:pPr>
        <w:rPr>
          <w:rFonts w:asciiTheme="majorHAnsi" w:hAnsiTheme="majorHAnsi" w:cstheme="minorHAnsi"/>
          <w:lang w:val="en"/>
        </w:rPr>
      </w:pPr>
      <w:r w:rsidRPr="00B266C2">
        <w:rPr>
          <w:rFonts w:asciiTheme="majorHAnsi" w:hAnsiTheme="majorHAnsi" w:cstheme="minorHAnsi"/>
          <w:lang w:val="en"/>
        </w:rPr>
        <w:t>Mirikizumab doses up to 2400 mg intravenously and up to 500 mg subcutaneously have been administered in clinical trials without dose limiting toxicity. In the event of overdose, monitor the patient for signs or symptoms of adverse reactions and start appropriate symptomatic treatment immediately.</w:t>
      </w:r>
    </w:p>
    <w:p w14:paraId="14F30547" w14:textId="28199C73" w:rsidR="005B2812" w:rsidRPr="005B2812" w:rsidRDefault="005B2812" w:rsidP="005B2812">
      <w:r w:rsidRPr="00497C85">
        <w:rPr>
          <w:rFonts w:asciiTheme="majorHAnsi" w:hAnsiTheme="majorHAnsi" w:cstheme="minorHAnsi"/>
          <w:lang w:val="en"/>
        </w:rPr>
        <w:t>For information on the management of overdose, contact the Poisons Information Centre on 13 11 26 (Australia).</w:t>
      </w:r>
    </w:p>
    <w:p w14:paraId="281BD563" w14:textId="77777777" w:rsidR="00CE4F18" w:rsidRDefault="00CE4F18">
      <w:pPr>
        <w:rPr>
          <w:rFonts w:asciiTheme="majorHAnsi" w:eastAsiaTheme="majorEastAsia" w:hAnsiTheme="majorHAnsi" w:cstheme="majorBidi"/>
          <w:b/>
          <w:bCs/>
          <w:caps/>
          <w:sz w:val="28"/>
          <w:szCs w:val="28"/>
          <w:lang w:val="en-US"/>
        </w:rPr>
      </w:pPr>
      <w:bookmarkStart w:id="7" w:name="_Ref122502254"/>
      <w:r>
        <w:rPr>
          <w:lang w:val="en-US"/>
        </w:rPr>
        <w:br w:type="page"/>
      </w:r>
    </w:p>
    <w:p w14:paraId="4A1E3169" w14:textId="111537D2" w:rsidR="001A3992" w:rsidRPr="00013A95" w:rsidRDefault="001A3992" w:rsidP="001A3992">
      <w:pPr>
        <w:pStyle w:val="Heading1"/>
        <w:spacing w:before="0" w:after="120"/>
        <w:rPr>
          <w:lang w:val="en-US"/>
        </w:rPr>
      </w:pPr>
      <w:r w:rsidRPr="00013A95">
        <w:rPr>
          <w:lang w:val="en-US"/>
        </w:rPr>
        <w:lastRenderedPageBreak/>
        <w:t>Pharmacological properties</w:t>
      </w:r>
      <w:bookmarkEnd w:id="7"/>
      <w:r w:rsidR="0012736B" w:rsidRPr="00013A95">
        <w:rPr>
          <w:lang w:val="en-US"/>
        </w:rPr>
        <w:fldChar w:fldCharType="begin"/>
      </w:r>
      <w:r w:rsidR="0012736B" w:rsidRPr="00013A95">
        <w:rPr>
          <w:lang w:val="en-US"/>
        </w:rPr>
        <w:instrText xml:space="preserve"> DOCVARIABLE VAULT_ND_fb3aa3a3-289e-41be-a983-518e8d2e4b8d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035A60F7" w14:textId="139351D9" w:rsidR="001A3992" w:rsidRDefault="001A3992" w:rsidP="001A3992">
      <w:pPr>
        <w:pStyle w:val="Heading2"/>
        <w:spacing w:before="0" w:after="120"/>
        <w:rPr>
          <w:lang w:val="en-US"/>
        </w:rPr>
      </w:pPr>
      <w:r w:rsidRPr="00EC3C40">
        <w:rPr>
          <w:lang w:val="en-US"/>
        </w:rPr>
        <w:t>Pharmacodynamic properties</w:t>
      </w:r>
      <w:r w:rsidR="0012736B">
        <w:rPr>
          <w:lang w:val="en-US"/>
        </w:rPr>
        <w:fldChar w:fldCharType="begin"/>
      </w:r>
      <w:r w:rsidR="0012736B">
        <w:rPr>
          <w:lang w:val="en-US"/>
        </w:rPr>
        <w:instrText xml:space="preserve"> DOCVARIABLE vault_nd_f70d68c5-66ad-4edd-b9f9-8649087a1ca0 \* MERGEFORMAT </w:instrText>
      </w:r>
      <w:r w:rsidR="0012736B">
        <w:rPr>
          <w:lang w:val="en-US"/>
        </w:rPr>
        <w:fldChar w:fldCharType="separate"/>
      </w:r>
      <w:r w:rsidR="0012736B">
        <w:rPr>
          <w:lang w:val="en-US"/>
        </w:rPr>
        <w:t xml:space="preserve"> </w:t>
      </w:r>
      <w:r w:rsidR="0012736B">
        <w:rPr>
          <w:lang w:val="en-US"/>
        </w:rPr>
        <w:fldChar w:fldCharType="end"/>
      </w:r>
    </w:p>
    <w:p w14:paraId="38085253" w14:textId="3E4B0FFA" w:rsidR="00E06232" w:rsidRDefault="00E06232" w:rsidP="00E06232">
      <w:pPr>
        <w:pStyle w:val="Heading3"/>
        <w:spacing w:before="0" w:after="120"/>
        <w:ind w:left="0"/>
      </w:pPr>
      <w:r w:rsidRPr="00B878CC">
        <w:t>Mechanism of action</w:t>
      </w:r>
      <w:fldSimple w:instr="DOCVARIABLE vault_nd_635e251f-b79d-4460-a77c-e27d9f0bb24f \* MERGEFORMAT">
        <w:r w:rsidR="00013A95">
          <w:t xml:space="preserve"> </w:t>
        </w:r>
      </w:fldSimple>
    </w:p>
    <w:p w14:paraId="03BE73B3" w14:textId="77777777" w:rsidR="00F21CED" w:rsidRPr="00AF3DFD" w:rsidRDefault="00F21CED" w:rsidP="00F21CED">
      <w:pPr>
        <w:rPr>
          <w:rFonts w:asciiTheme="majorHAnsi" w:hAnsiTheme="majorHAnsi" w:cstheme="minorHAnsi"/>
          <w:lang w:val="en"/>
        </w:rPr>
      </w:pPr>
      <w:r w:rsidRPr="00AF3DFD">
        <w:rPr>
          <w:rFonts w:asciiTheme="majorHAnsi" w:hAnsiTheme="majorHAnsi" w:cstheme="minorHAnsi"/>
          <w:lang w:val="en"/>
        </w:rPr>
        <w:t>Mirikizumab is a humani</w:t>
      </w:r>
      <w:r>
        <w:rPr>
          <w:rFonts w:asciiTheme="majorHAnsi" w:hAnsiTheme="majorHAnsi" w:cstheme="minorHAnsi"/>
          <w:lang w:val="en"/>
        </w:rPr>
        <w:t>s</w:t>
      </w:r>
      <w:r w:rsidRPr="00AF3DFD">
        <w:rPr>
          <w:rFonts w:asciiTheme="majorHAnsi" w:hAnsiTheme="majorHAnsi" w:cstheme="minorHAnsi"/>
          <w:lang w:val="en"/>
        </w:rPr>
        <w:t>ed IgG4 monoclonal antibody that binds with high affinity and specificity to the p19 subunit of human IL-23 cytokine and inhibits its interaction with the IL-23 receptor. It has no observed cross-reactivity to other members of the IL-12 cytokine family (that is, IL-12, IL-27, and IL-35).</w:t>
      </w:r>
    </w:p>
    <w:p w14:paraId="7EC8D141" w14:textId="74B3E4B9" w:rsidR="00E06232" w:rsidRDefault="00F21CED" w:rsidP="00F21CED">
      <w:pPr>
        <w:rPr>
          <w:rFonts w:asciiTheme="majorHAnsi" w:hAnsiTheme="majorHAnsi" w:cstheme="minorHAnsi"/>
          <w:u w:val="single"/>
          <w:lang w:val="en"/>
        </w:rPr>
      </w:pPr>
      <w:r w:rsidRPr="00AF3DFD">
        <w:rPr>
          <w:rFonts w:asciiTheme="majorHAnsi" w:hAnsiTheme="majorHAnsi" w:cstheme="minorHAnsi"/>
          <w:lang w:val="en"/>
        </w:rPr>
        <w:t>IL-23 is an important driver of mucosal inflammation in ulcerative colitis and affects the differentiation, expansion, and survival of T cell subsets, and innate immune cell subsets, which represent sources of pro-inflammatory cytokines. Research in animal models has shown that genetic deletion or pharmacologic</w:t>
      </w:r>
      <w:r>
        <w:rPr>
          <w:rFonts w:asciiTheme="majorHAnsi" w:hAnsiTheme="majorHAnsi" w:cstheme="minorHAnsi"/>
          <w:lang w:val="en"/>
        </w:rPr>
        <w:t>al</w:t>
      </w:r>
      <w:r w:rsidRPr="00AF3DFD">
        <w:rPr>
          <w:rFonts w:asciiTheme="majorHAnsi" w:hAnsiTheme="majorHAnsi" w:cstheme="minorHAnsi"/>
          <w:lang w:val="en"/>
        </w:rPr>
        <w:t xml:space="preserve"> inhibition of IL-23p19 can ameliorate or prevent intestinal inflammation.</w:t>
      </w:r>
    </w:p>
    <w:p w14:paraId="4103E96F" w14:textId="08D216FE" w:rsidR="008B3254" w:rsidRPr="00810CF6" w:rsidRDefault="008B3254" w:rsidP="008B3254">
      <w:pPr>
        <w:ind w:firstLine="17"/>
        <w:rPr>
          <w:rFonts w:asciiTheme="majorHAnsi" w:hAnsiTheme="majorHAnsi" w:cstheme="minorHAnsi"/>
          <w:u w:val="single"/>
          <w:lang w:val="en"/>
        </w:rPr>
      </w:pPr>
      <w:r w:rsidRPr="00810CF6">
        <w:rPr>
          <w:rFonts w:asciiTheme="majorHAnsi" w:hAnsiTheme="majorHAnsi" w:cstheme="minorHAnsi"/>
          <w:u w:val="single"/>
          <w:lang w:val="en"/>
        </w:rPr>
        <w:t>Biomarker</w:t>
      </w:r>
      <w:r w:rsidR="007A32FB">
        <w:rPr>
          <w:rFonts w:asciiTheme="majorHAnsi" w:hAnsiTheme="majorHAnsi" w:cstheme="minorHAnsi"/>
          <w:u w:val="single"/>
          <w:lang w:val="en"/>
        </w:rPr>
        <w:t>s</w:t>
      </w:r>
      <w:r w:rsidRPr="00810CF6">
        <w:rPr>
          <w:rFonts w:asciiTheme="majorHAnsi" w:hAnsiTheme="majorHAnsi" w:cstheme="minorHAnsi"/>
          <w:u w:val="single"/>
          <w:lang w:val="en"/>
        </w:rPr>
        <w:t xml:space="preserve"> of inflammation</w:t>
      </w:r>
    </w:p>
    <w:p w14:paraId="60F753A5" w14:textId="5192E49D" w:rsidR="00364520" w:rsidRDefault="00EC5CA2" w:rsidP="00D4507F">
      <w:pPr>
        <w:rPr>
          <w:rFonts w:asciiTheme="majorHAnsi" w:hAnsiTheme="majorHAnsi" w:cstheme="minorHAnsi"/>
          <w:lang w:val="en"/>
        </w:rPr>
      </w:pPr>
      <w:r w:rsidRPr="00EC5CA2">
        <w:rPr>
          <w:rFonts w:asciiTheme="majorHAnsi" w:hAnsiTheme="majorHAnsi" w:cstheme="minorHAnsi"/>
          <w:lang w:val="en"/>
        </w:rPr>
        <w:t>Levels of inflammatory biomarkers were measured in the Phase 3 ulcerative colitis studies. OMVOH administered intravenously every 4 weeks during induction dosing significantly reduced levels of f</w:t>
      </w:r>
      <w:r w:rsidR="00FF5CF7">
        <w:rPr>
          <w:rFonts w:asciiTheme="majorHAnsi" w:hAnsiTheme="majorHAnsi" w:cstheme="minorHAnsi"/>
          <w:lang w:val="en"/>
        </w:rPr>
        <w:t>a</w:t>
      </w:r>
      <w:r w:rsidRPr="00EC5CA2">
        <w:rPr>
          <w:rFonts w:asciiTheme="majorHAnsi" w:hAnsiTheme="majorHAnsi" w:cstheme="minorHAnsi"/>
          <w:lang w:val="en"/>
        </w:rPr>
        <w:t>ecal calprotectin and C-reactive protein from baseline through 12 weeks. Additionally, OMVOH administered subcutaneously every 4 weeks during maintenance dosing sustained significantly reduced levels of f</w:t>
      </w:r>
      <w:r w:rsidR="00B13747">
        <w:rPr>
          <w:rFonts w:asciiTheme="majorHAnsi" w:hAnsiTheme="majorHAnsi" w:cstheme="minorHAnsi"/>
          <w:lang w:val="en"/>
        </w:rPr>
        <w:t>a</w:t>
      </w:r>
      <w:r w:rsidRPr="00EC5CA2">
        <w:rPr>
          <w:rFonts w:asciiTheme="majorHAnsi" w:hAnsiTheme="majorHAnsi" w:cstheme="minorHAnsi"/>
          <w:lang w:val="en"/>
        </w:rPr>
        <w:t>ecal calprotectin and C-reactive protein through 40 weeks.</w:t>
      </w:r>
      <w:r w:rsidR="00D4507F" w:rsidRPr="00D4507F">
        <w:rPr>
          <w:rFonts w:asciiTheme="majorHAnsi" w:hAnsiTheme="majorHAnsi" w:cstheme="minorHAnsi"/>
          <w:u w:val="single"/>
          <w:lang w:val="en"/>
        </w:rPr>
        <w:t xml:space="preserve"> </w:t>
      </w:r>
    </w:p>
    <w:p w14:paraId="3D903E81" w14:textId="726CECF3" w:rsidR="008B3254" w:rsidRPr="000B33B8" w:rsidRDefault="008B3254" w:rsidP="008B3254">
      <w:pPr>
        <w:ind w:firstLine="17"/>
        <w:rPr>
          <w:rFonts w:asciiTheme="majorHAnsi" w:hAnsiTheme="majorHAnsi" w:cstheme="minorHAnsi"/>
          <w:lang w:val="en"/>
        </w:rPr>
      </w:pPr>
      <w:r w:rsidRPr="000B33B8">
        <w:rPr>
          <w:rFonts w:asciiTheme="majorHAnsi" w:hAnsiTheme="majorHAnsi" w:cstheme="minorHAnsi"/>
          <w:lang w:val="en"/>
        </w:rPr>
        <w:t>F</w:t>
      </w:r>
      <w:r>
        <w:rPr>
          <w:rFonts w:asciiTheme="majorHAnsi" w:hAnsiTheme="majorHAnsi" w:cstheme="minorHAnsi"/>
          <w:lang w:val="en"/>
        </w:rPr>
        <w:t>a</w:t>
      </w:r>
      <w:r w:rsidRPr="000B33B8">
        <w:rPr>
          <w:rFonts w:asciiTheme="majorHAnsi" w:hAnsiTheme="majorHAnsi" w:cstheme="minorHAnsi"/>
          <w:lang w:val="en"/>
        </w:rPr>
        <w:t>ecal calprotectin</w:t>
      </w:r>
      <w:r w:rsidR="00F663CF">
        <w:rPr>
          <w:rFonts w:asciiTheme="majorHAnsi" w:hAnsiTheme="majorHAnsi" w:cstheme="minorHAnsi"/>
          <w:lang w:val="en"/>
        </w:rPr>
        <w:t>,</w:t>
      </w:r>
      <w:r w:rsidRPr="000B33B8">
        <w:rPr>
          <w:rFonts w:asciiTheme="majorHAnsi" w:hAnsiTheme="majorHAnsi" w:cstheme="minorHAnsi"/>
          <w:lang w:val="en"/>
        </w:rPr>
        <w:t xml:space="preserve"> a marker of mucosal inflammation</w:t>
      </w:r>
      <w:r w:rsidR="00667B74">
        <w:rPr>
          <w:rFonts w:asciiTheme="majorHAnsi" w:hAnsiTheme="majorHAnsi" w:cstheme="minorHAnsi"/>
          <w:lang w:val="en"/>
        </w:rPr>
        <w:t>,</w:t>
      </w:r>
      <w:r w:rsidRPr="000B33B8">
        <w:rPr>
          <w:rFonts w:asciiTheme="majorHAnsi" w:hAnsiTheme="majorHAnsi" w:cstheme="minorHAnsi"/>
          <w:lang w:val="en"/>
        </w:rPr>
        <w:t xml:space="preserve"> was reduced significantly from baseline during the induction period and maintained throughout the maintenance period. At baseline 90.4% of mirikizumab treated patients and 88.9% of placebo treated patients had f</w:t>
      </w:r>
      <w:r>
        <w:rPr>
          <w:rFonts w:asciiTheme="majorHAnsi" w:hAnsiTheme="majorHAnsi" w:cstheme="minorHAnsi"/>
          <w:lang w:val="en"/>
        </w:rPr>
        <w:t>a</w:t>
      </w:r>
      <w:r w:rsidRPr="000B33B8">
        <w:rPr>
          <w:rFonts w:asciiTheme="majorHAnsi" w:hAnsiTheme="majorHAnsi" w:cstheme="minorHAnsi"/>
          <w:lang w:val="en"/>
        </w:rPr>
        <w:t>ecal calprotectin levels greater than 250 μg/g. Among these patients</w:t>
      </w:r>
      <w:r w:rsidR="00667B74">
        <w:rPr>
          <w:rFonts w:asciiTheme="majorHAnsi" w:hAnsiTheme="majorHAnsi" w:cstheme="minorHAnsi"/>
          <w:lang w:val="en"/>
        </w:rPr>
        <w:t>,</w:t>
      </w:r>
      <w:r w:rsidRPr="000B33B8">
        <w:rPr>
          <w:rFonts w:asciiTheme="majorHAnsi" w:hAnsiTheme="majorHAnsi" w:cstheme="minorHAnsi"/>
          <w:lang w:val="en"/>
        </w:rPr>
        <w:t xml:space="preserve"> 34.3% of those in the mirikizumab group had a f</w:t>
      </w:r>
      <w:r>
        <w:rPr>
          <w:rFonts w:asciiTheme="majorHAnsi" w:hAnsiTheme="majorHAnsi" w:cstheme="minorHAnsi"/>
          <w:lang w:val="en"/>
        </w:rPr>
        <w:t>a</w:t>
      </w:r>
      <w:r w:rsidRPr="000B33B8">
        <w:rPr>
          <w:rFonts w:asciiTheme="majorHAnsi" w:hAnsiTheme="majorHAnsi" w:cstheme="minorHAnsi"/>
          <w:lang w:val="en"/>
        </w:rPr>
        <w:t>ecal calprotectin level at week 12 of 250 μg/g or less compared with 20.1% in the placebo group.</w:t>
      </w:r>
    </w:p>
    <w:p w14:paraId="577725AF" w14:textId="7A84F1AF" w:rsidR="001A3992" w:rsidRDefault="001A3992" w:rsidP="002724C2">
      <w:pPr>
        <w:pStyle w:val="Heading3"/>
        <w:spacing w:before="0" w:after="120"/>
        <w:ind w:left="0"/>
        <w:rPr>
          <w:lang w:val="en-US"/>
        </w:rPr>
      </w:pPr>
      <w:bookmarkStart w:id="8" w:name="_Ref101456424"/>
      <w:r w:rsidRPr="00B878CC">
        <w:t>Clinical</w:t>
      </w:r>
      <w:r w:rsidRPr="00B878CC">
        <w:rPr>
          <w:lang w:val="en-US"/>
        </w:rPr>
        <w:t xml:space="preserve"> trials</w:t>
      </w:r>
      <w:bookmarkEnd w:id="8"/>
      <w:r w:rsidR="0012736B">
        <w:rPr>
          <w:lang w:val="en-US"/>
        </w:rPr>
        <w:fldChar w:fldCharType="begin"/>
      </w:r>
      <w:r w:rsidR="0012736B">
        <w:rPr>
          <w:lang w:val="en-US"/>
        </w:rPr>
        <w:instrText xml:space="preserve"> DOCVARIABLE vault_nd_0420c36d-f1c7-4298-bb9f-a2bf2d19b60e \* MERGEFORMAT </w:instrText>
      </w:r>
      <w:r w:rsidR="0012736B">
        <w:rPr>
          <w:lang w:val="en-US"/>
        </w:rPr>
        <w:fldChar w:fldCharType="separate"/>
      </w:r>
      <w:r w:rsidR="0012736B">
        <w:rPr>
          <w:lang w:val="en-US"/>
        </w:rPr>
        <w:t xml:space="preserve"> </w:t>
      </w:r>
      <w:r w:rsidR="0012736B">
        <w:rPr>
          <w:lang w:val="en-US"/>
        </w:rPr>
        <w:fldChar w:fldCharType="end"/>
      </w:r>
    </w:p>
    <w:p w14:paraId="141B9DF9" w14:textId="31401193" w:rsidR="001D6610" w:rsidRPr="001D6610" w:rsidRDefault="001D6610" w:rsidP="002724C2">
      <w:pPr>
        <w:rPr>
          <w:rFonts w:asciiTheme="majorHAnsi" w:hAnsiTheme="majorHAnsi" w:cstheme="minorHAnsi"/>
          <w:lang w:val="en"/>
        </w:rPr>
      </w:pPr>
      <w:r w:rsidRPr="001D6610">
        <w:rPr>
          <w:rFonts w:asciiTheme="majorHAnsi" w:hAnsiTheme="majorHAnsi" w:cstheme="minorHAnsi"/>
          <w:lang w:val="en"/>
        </w:rPr>
        <w:t>The efficacy and safety of mirikizumab was evaluated in adult patients with moderately to severely active ulcerative colitis in two randomi</w:t>
      </w:r>
      <w:r w:rsidR="005923E4">
        <w:rPr>
          <w:rFonts w:asciiTheme="majorHAnsi" w:hAnsiTheme="majorHAnsi" w:cstheme="minorHAnsi"/>
          <w:lang w:val="en"/>
        </w:rPr>
        <w:t>s</w:t>
      </w:r>
      <w:r w:rsidRPr="001D6610">
        <w:rPr>
          <w:rFonts w:asciiTheme="majorHAnsi" w:hAnsiTheme="majorHAnsi" w:cstheme="minorHAnsi"/>
          <w:lang w:val="en"/>
        </w:rPr>
        <w:t>ed, double blind, placebo controlled, multicentre studies. Enrolled patients had a confirmed diagnosis of ulcerative colitis for at least 3 months and moderately to severely active disease, defined as a modified Mayo score of 4 to 9, including a Mayo endoscopy subscore ≥ 2. Patients had to have failed (defined as loss of response, inadequate response or intolerance) corticosteroids or immunomodulators (6 mercaptopurine, azathioprine) or at least one biologic (a TNFα antagonist and/or vedolizumab) or tofacitinib.</w:t>
      </w:r>
    </w:p>
    <w:p w14:paraId="3B6A3BB5" w14:textId="40E1CEB3" w:rsidR="001D6610" w:rsidRPr="001D6610" w:rsidRDefault="001D6610" w:rsidP="002724C2">
      <w:pPr>
        <w:ind w:firstLine="3"/>
        <w:rPr>
          <w:rFonts w:asciiTheme="majorHAnsi" w:hAnsiTheme="majorHAnsi" w:cstheme="minorHAnsi"/>
          <w:lang w:val="en"/>
        </w:rPr>
      </w:pPr>
      <w:r w:rsidRPr="001D6610">
        <w:rPr>
          <w:rFonts w:asciiTheme="majorHAnsi" w:hAnsiTheme="majorHAnsi" w:cstheme="minorHAnsi"/>
          <w:lang w:val="en"/>
        </w:rPr>
        <w:t>LUCENT</w:t>
      </w:r>
      <w:r w:rsidR="00E777C4">
        <w:rPr>
          <w:rFonts w:asciiTheme="majorHAnsi" w:hAnsiTheme="majorHAnsi" w:cstheme="minorHAnsi"/>
          <w:lang w:val="en"/>
        </w:rPr>
        <w:t>-</w:t>
      </w:r>
      <w:r w:rsidRPr="001D6610">
        <w:rPr>
          <w:rFonts w:asciiTheme="majorHAnsi" w:hAnsiTheme="majorHAnsi" w:cstheme="minorHAnsi"/>
          <w:lang w:val="en"/>
        </w:rPr>
        <w:t>1 was an intravenous induction study with treatment of up to 12 weeks, followed by a 40 week subcutaneous randomi</w:t>
      </w:r>
      <w:r w:rsidR="005923E4">
        <w:rPr>
          <w:rFonts w:asciiTheme="majorHAnsi" w:hAnsiTheme="majorHAnsi" w:cstheme="minorHAnsi"/>
          <w:lang w:val="en"/>
        </w:rPr>
        <w:t>s</w:t>
      </w:r>
      <w:r w:rsidRPr="001D6610">
        <w:rPr>
          <w:rFonts w:asciiTheme="majorHAnsi" w:hAnsiTheme="majorHAnsi" w:cstheme="minorHAnsi"/>
          <w:lang w:val="en"/>
        </w:rPr>
        <w:t>ed withdrawal maintenance study (LUCENT</w:t>
      </w:r>
      <w:r w:rsidR="00586EBB">
        <w:rPr>
          <w:rFonts w:asciiTheme="majorHAnsi" w:hAnsiTheme="majorHAnsi" w:cstheme="minorHAnsi"/>
          <w:lang w:val="en"/>
        </w:rPr>
        <w:t>-</w:t>
      </w:r>
      <w:r w:rsidRPr="001D6610">
        <w:rPr>
          <w:rFonts w:asciiTheme="majorHAnsi" w:hAnsiTheme="majorHAnsi" w:cstheme="minorHAnsi"/>
          <w:lang w:val="en"/>
        </w:rPr>
        <w:t>2), representing at least 52 weeks of therapy. Mean age was 42.5 years. 53.2% had severely active disease with a modified Mayo score 7 to 9.</w:t>
      </w:r>
    </w:p>
    <w:p w14:paraId="75816C1D" w14:textId="1ADD664E" w:rsidR="001D6610" w:rsidRDefault="001D6610" w:rsidP="002724C2">
      <w:pPr>
        <w:ind w:firstLine="3"/>
        <w:rPr>
          <w:rFonts w:asciiTheme="majorHAnsi" w:hAnsiTheme="majorHAnsi" w:cstheme="minorHAnsi"/>
          <w:lang w:val="en"/>
        </w:rPr>
      </w:pPr>
      <w:r w:rsidRPr="001D6610">
        <w:rPr>
          <w:rFonts w:asciiTheme="majorHAnsi" w:hAnsiTheme="majorHAnsi" w:cstheme="minorHAnsi"/>
          <w:lang w:val="en"/>
        </w:rPr>
        <w:lastRenderedPageBreak/>
        <w:t>Efficacy results presented for LUCENT</w:t>
      </w:r>
      <w:r w:rsidR="00E777C4">
        <w:rPr>
          <w:rFonts w:asciiTheme="majorHAnsi" w:hAnsiTheme="majorHAnsi" w:cstheme="minorHAnsi"/>
          <w:lang w:val="en"/>
        </w:rPr>
        <w:t>-</w:t>
      </w:r>
      <w:r w:rsidRPr="001D6610">
        <w:rPr>
          <w:rFonts w:asciiTheme="majorHAnsi" w:hAnsiTheme="majorHAnsi" w:cstheme="minorHAnsi"/>
          <w:lang w:val="en"/>
        </w:rPr>
        <w:t>1 and LUCENT</w:t>
      </w:r>
      <w:r w:rsidR="00E777C4">
        <w:rPr>
          <w:rFonts w:asciiTheme="majorHAnsi" w:hAnsiTheme="majorHAnsi" w:cstheme="minorHAnsi"/>
          <w:lang w:val="en"/>
        </w:rPr>
        <w:t>-</w:t>
      </w:r>
      <w:r w:rsidRPr="001D6610">
        <w:rPr>
          <w:rFonts w:asciiTheme="majorHAnsi" w:hAnsiTheme="majorHAnsi" w:cstheme="minorHAnsi"/>
          <w:lang w:val="en"/>
        </w:rPr>
        <w:t>2 were based on central reading of endoscopies and histology.</w:t>
      </w:r>
    </w:p>
    <w:p w14:paraId="011D91D2" w14:textId="7E67A82A" w:rsidR="001D6610" w:rsidRPr="00810CF6" w:rsidRDefault="00137771" w:rsidP="002724C2">
      <w:pPr>
        <w:ind w:firstLine="3"/>
        <w:rPr>
          <w:rFonts w:asciiTheme="majorHAnsi" w:hAnsiTheme="majorHAnsi" w:cstheme="minorHAnsi"/>
          <w:b/>
          <w:bCs/>
          <w:u w:val="single"/>
          <w:lang w:val="en"/>
        </w:rPr>
      </w:pPr>
      <w:r w:rsidRPr="00810CF6">
        <w:rPr>
          <w:rFonts w:asciiTheme="majorHAnsi" w:hAnsiTheme="majorHAnsi" w:cstheme="minorHAnsi"/>
          <w:b/>
          <w:bCs/>
          <w:u w:val="single"/>
          <w:lang w:val="en"/>
        </w:rPr>
        <w:t>I</w:t>
      </w:r>
      <w:r w:rsidR="002E7150" w:rsidRPr="00810CF6">
        <w:rPr>
          <w:rFonts w:asciiTheme="majorHAnsi" w:hAnsiTheme="majorHAnsi" w:cstheme="minorHAnsi"/>
          <w:b/>
          <w:bCs/>
          <w:u w:val="single"/>
          <w:lang w:val="en"/>
        </w:rPr>
        <w:t>nduction Study</w:t>
      </w:r>
      <w:r w:rsidRPr="00810CF6">
        <w:rPr>
          <w:rFonts w:asciiTheme="majorHAnsi" w:hAnsiTheme="majorHAnsi" w:cstheme="minorHAnsi"/>
          <w:b/>
          <w:bCs/>
          <w:u w:val="single"/>
          <w:lang w:val="en"/>
        </w:rPr>
        <w:t xml:space="preserve"> (LUCENT-1)</w:t>
      </w:r>
    </w:p>
    <w:p w14:paraId="6A26BC88" w14:textId="72E564A9" w:rsidR="001D6610" w:rsidRPr="001D6610" w:rsidRDefault="001D6610" w:rsidP="002724C2">
      <w:pPr>
        <w:ind w:firstLine="3"/>
        <w:rPr>
          <w:rFonts w:asciiTheme="majorHAnsi" w:hAnsiTheme="majorHAnsi" w:cstheme="minorHAnsi"/>
          <w:lang w:val="en"/>
        </w:rPr>
      </w:pPr>
      <w:r w:rsidRPr="001D6610">
        <w:rPr>
          <w:rFonts w:asciiTheme="majorHAnsi" w:hAnsiTheme="majorHAnsi" w:cstheme="minorHAnsi"/>
          <w:lang w:val="en"/>
        </w:rPr>
        <w:t>LUCENT</w:t>
      </w:r>
      <w:r w:rsidR="0054014C">
        <w:rPr>
          <w:rFonts w:asciiTheme="majorHAnsi" w:hAnsiTheme="majorHAnsi" w:cstheme="minorHAnsi"/>
          <w:lang w:val="en"/>
        </w:rPr>
        <w:t>-</w:t>
      </w:r>
      <w:r w:rsidRPr="001D6610">
        <w:rPr>
          <w:rFonts w:asciiTheme="majorHAnsi" w:hAnsiTheme="majorHAnsi" w:cstheme="minorHAnsi"/>
          <w:lang w:val="en"/>
        </w:rPr>
        <w:t>1 included 1162 patients in the primary efficacy population. Patients were randomised to receive a dose of 300 mg mirikizumab via intravenous infusion or placebo, at week 0, week 4 and week 8 with a 3:1 treatment allocation ratio. The primary endpoint for the induction study was the proportion of subjects in clinical remission [modified Mayo score (MMS) defined as: Stool frequency (SF) subscore = 0 or 1 with a ≥ 1 point decrease from baseline, and rectal bleeding (RB) subscore = 0, and Endoscopic subscore (ES) = 0 or 1 (excluding friability)] at week 12.</w:t>
      </w:r>
    </w:p>
    <w:p w14:paraId="602A6158" w14:textId="52485D1F" w:rsidR="002C73C9" w:rsidRDefault="001D6610" w:rsidP="002724C2">
      <w:pPr>
        <w:ind w:firstLine="3"/>
        <w:rPr>
          <w:rFonts w:asciiTheme="majorHAnsi" w:hAnsiTheme="majorHAnsi" w:cstheme="minorHAnsi"/>
          <w:lang w:val="en"/>
        </w:rPr>
      </w:pPr>
      <w:r w:rsidRPr="001D6610">
        <w:rPr>
          <w:rFonts w:asciiTheme="majorHAnsi" w:hAnsiTheme="majorHAnsi" w:cstheme="minorHAnsi"/>
          <w:lang w:val="en"/>
        </w:rPr>
        <w:t xml:space="preserve">Patients in these studies may have received other concomitant therapies including aminosalicylates, immunomodulatory agents (azathioprine, 6 mercaptopurine or </w:t>
      </w:r>
      <w:r w:rsidR="00F50975">
        <w:rPr>
          <w:rFonts w:asciiTheme="majorHAnsi" w:hAnsiTheme="majorHAnsi" w:cstheme="minorHAnsi"/>
          <w:lang w:val="en"/>
        </w:rPr>
        <w:t>m</w:t>
      </w:r>
      <w:r w:rsidRPr="001D6610">
        <w:rPr>
          <w:rFonts w:asciiTheme="majorHAnsi" w:hAnsiTheme="majorHAnsi" w:cstheme="minorHAnsi"/>
          <w:lang w:val="en"/>
        </w:rPr>
        <w:t>ethotrexate), and oral corticosteroids (prednisone daily dose up to 20 mg or equivalent). At induction baseline, 39.9% of patients were receiving oral corticosteroids, 24.1% were receiving immunomodulators and 74.3% were receiving aminosalicylates.</w:t>
      </w:r>
      <w:r w:rsidR="00137771">
        <w:rPr>
          <w:rFonts w:asciiTheme="majorHAnsi" w:hAnsiTheme="majorHAnsi" w:cstheme="minorHAnsi"/>
          <w:lang w:val="en"/>
        </w:rPr>
        <w:t xml:space="preserve"> </w:t>
      </w:r>
    </w:p>
    <w:p w14:paraId="1DA9C4D3" w14:textId="21798AEF" w:rsidR="001D6610" w:rsidRDefault="00416FB4" w:rsidP="002724C2">
      <w:pPr>
        <w:ind w:firstLine="3"/>
        <w:rPr>
          <w:rFonts w:asciiTheme="majorHAnsi" w:hAnsiTheme="majorHAnsi"/>
          <w:lang w:val="en"/>
        </w:rPr>
      </w:pPr>
      <w:r>
        <w:rPr>
          <w:rFonts w:asciiTheme="majorHAnsi" w:hAnsiTheme="majorHAnsi"/>
          <w:lang w:val="en"/>
        </w:rPr>
        <w:t>Of the primary efficacy population,</w:t>
      </w:r>
      <w:r w:rsidR="005121A8">
        <w:rPr>
          <w:rFonts w:asciiTheme="majorHAnsi" w:hAnsiTheme="majorHAnsi"/>
          <w:lang w:val="en"/>
        </w:rPr>
        <w:t xml:space="preserve"> </w:t>
      </w:r>
      <w:r w:rsidR="001D6610" w:rsidRPr="3F838120">
        <w:rPr>
          <w:rFonts w:asciiTheme="majorHAnsi" w:hAnsiTheme="majorHAnsi"/>
          <w:lang w:val="en"/>
        </w:rPr>
        <w:t xml:space="preserve">57.1% were biologic naive and tofacitinib naive. 41.2% of patients had failed </w:t>
      </w:r>
      <w:r w:rsidR="7FCD91DC" w:rsidRPr="3F838120">
        <w:rPr>
          <w:rFonts w:asciiTheme="majorHAnsi" w:hAnsiTheme="majorHAnsi"/>
          <w:lang w:val="en"/>
        </w:rPr>
        <w:t>(</w:t>
      </w:r>
      <w:r w:rsidR="2F607774" w:rsidRPr="3F838120">
        <w:rPr>
          <w:rFonts w:asciiTheme="majorHAnsi" w:hAnsiTheme="majorHAnsi"/>
          <w:lang w:val="en"/>
        </w:rPr>
        <w:t>inadequate response</w:t>
      </w:r>
      <w:r w:rsidR="07BB120C" w:rsidRPr="3F838120">
        <w:rPr>
          <w:rFonts w:asciiTheme="majorHAnsi" w:hAnsiTheme="majorHAnsi"/>
          <w:lang w:val="en"/>
        </w:rPr>
        <w:t xml:space="preserve">, </w:t>
      </w:r>
      <w:r w:rsidR="2F607774" w:rsidRPr="3F838120">
        <w:rPr>
          <w:rFonts w:asciiTheme="majorHAnsi" w:hAnsiTheme="majorHAnsi"/>
          <w:lang w:val="en"/>
        </w:rPr>
        <w:t xml:space="preserve">loss of response, </w:t>
      </w:r>
      <w:r w:rsidR="0FD43586" w:rsidRPr="3F838120">
        <w:rPr>
          <w:rFonts w:asciiTheme="majorHAnsi" w:hAnsiTheme="majorHAnsi"/>
          <w:lang w:val="en"/>
        </w:rPr>
        <w:t>or intolerance)</w:t>
      </w:r>
      <w:r w:rsidR="677CBAC9" w:rsidRPr="3F838120">
        <w:rPr>
          <w:rFonts w:asciiTheme="majorHAnsi" w:hAnsiTheme="majorHAnsi"/>
          <w:lang w:val="en"/>
        </w:rPr>
        <w:t xml:space="preserve"> </w:t>
      </w:r>
      <w:r w:rsidR="001D6610" w:rsidRPr="3F838120">
        <w:rPr>
          <w:rFonts w:asciiTheme="majorHAnsi" w:hAnsiTheme="majorHAnsi"/>
          <w:lang w:val="en"/>
        </w:rPr>
        <w:t xml:space="preserve">a biologic or tofacitinib. 36.3% of the patients had failed at least 1 prior anti TNF therapy. </w:t>
      </w:r>
      <w:r w:rsidR="00F950DE">
        <w:rPr>
          <w:rFonts w:asciiTheme="majorHAnsi" w:hAnsiTheme="majorHAnsi"/>
          <w:lang w:val="en"/>
        </w:rPr>
        <w:t xml:space="preserve">18.8% had failed vedolizumab and </w:t>
      </w:r>
      <w:r w:rsidR="001D6610" w:rsidRPr="3F838120">
        <w:rPr>
          <w:rFonts w:asciiTheme="majorHAnsi" w:hAnsiTheme="majorHAnsi"/>
          <w:lang w:val="en"/>
        </w:rPr>
        <w:t xml:space="preserve">3.4% of patients had failed tofacitinib. </w:t>
      </w:r>
      <w:r w:rsidR="00F950DE">
        <w:rPr>
          <w:rFonts w:asciiTheme="majorHAnsi" w:hAnsiTheme="majorHAnsi"/>
          <w:lang w:val="en"/>
        </w:rPr>
        <w:t xml:space="preserve">20.1% had </w:t>
      </w:r>
      <w:r w:rsidR="00C4157D">
        <w:rPr>
          <w:rFonts w:asciiTheme="majorHAnsi" w:hAnsiTheme="majorHAnsi"/>
          <w:lang w:val="en"/>
        </w:rPr>
        <w:t>failed more than one biologic or tofacitinib</w:t>
      </w:r>
      <w:r w:rsidR="00F67911">
        <w:rPr>
          <w:rFonts w:asciiTheme="majorHAnsi" w:hAnsiTheme="majorHAnsi"/>
          <w:lang w:val="en"/>
        </w:rPr>
        <w:t xml:space="preserve">, and an additional 1.7% had previously received but not failed a biologic or tofacitinib. </w:t>
      </w:r>
      <w:r w:rsidR="001D6610" w:rsidRPr="3F838120">
        <w:rPr>
          <w:rFonts w:asciiTheme="majorHAnsi" w:hAnsiTheme="majorHAnsi"/>
          <w:lang w:val="en"/>
        </w:rPr>
        <w:t>23.5% of patients had an inadequate response to a biologic or tofacitinib.</w:t>
      </w:r>
    </w:p>
    <w:p w14:paraId="73E259E0" w14:textId="26CB599C" w:rsidR="00DE7CAA" w:rsidRPr="001D6610" w:rsidRDefault="0065451C" w:rsidP="002724C2">
      <w:pPr>
        <w:ind w:firstLine="3"/>
        <w:rPr>
          <w:rFonts w:asciiTheme="majorHAnsi" w:hAnsiTheme="majorHAnsi"/>
          <w:lang w:val="en"/>
        </w:rPr>
      </w:pPr>
      <w:r>
        <w:rPr>
          <w:rFonts w:asciiTheme="majorHAnsi" w:hAnsiTheme="majorHAnsi"/>
          <w:lang w:val="en"/>
        </w:rPr>
        <w:t xml:space="preserve">The mean </w:t>
      </w:r>
      <w:r w:rsidR="00F677A4">
        <w:rPr>
          <w:rFonts w:asciiTheme="majorHAnsi" w:hAnsiTheme="majorHAnsi"/>
          <w:lang w:val="en"/>
        </w:rPr>
        <w:t xml:space="preserve">age </w:t>
      </w:r>
      <w:r>
        <w:rPr>
          <w:rFonts w:asciiTheme="majorHAnsi" w:hAnsiTheme="majorHAnsi"/>
          <w:lang w:val="en"/>
        </w:rPr>
        <w:t>was</w:t>
      </w:r>
      <w:r w:rsidR="00F677A4">
        <w:rPr>
          <w:rFonts w:asciiTheme="majorHAnsi" w:hAnsiTheme="majorHAnsi"/>
          <w:lang w:val="en"/>
        </w:rPr>
        <w:t xml:space="preserve"> </w:t>
      </w:r>
      <w:r w:rsidR="00894F08">
        <w:rPr>
          <w:rFonts w:asciiTheme="majorHAnsi" w:hAnsiTheme="majorHAnsi"/>
          <w:lang w:val="en"/>
        </w:rPr>
        <w:t>42.5 years (range 18-79 years)</w:t>
      </w:r>
      <w:r>
        <w:rPr>
          <w:rFonts w:asciiTheme="majorHAnsi" w:hAnsiTheme="majorHAnsi"/>
          <w:lang w:val="en"/>
        </w:rPr>
        <w:t xml:space="preserve">. </w:t>
      </w:r>
      <w:r w:rsidR="00B04E05">
        <w:rPr>
          <w:rFonts w:asciiTheme="majorHAnsi" w:hAnsiTheme="majorHAnsi"/>
          <w:lang w:val="en"/>
        </w:rPr>
        <w:t xml:space="preserve">59.8% </w:t>
      </w:r>
      <w:r>
        <w:rPr>
          <w:rFonts w:asciiTheme="majorHAnsi" w:hAnsiTheme="majorHAnsi"/>
          <w:lang w:val="en"/>
        </w:rPr>
        <w:t xml:space="preserve">of subjects </w:t>
      </w:r>
      <w:r w:rsidR="00B04E05">
        <w:rPr>
          <w:rFonts w:asciiTheme="majorHAnsi" w:hAnsiTheme="majorHAnsi"/>
          <w:lang w:val="en"/>
        </w:rPr>
        <w:t>were male</w:t>
      </w:r>
      <w:r w:rsidR="00181563">
        <w:rPr>
          <w:rFonts w:asciiTheme="majorHAnsi" w:hAnsiTheme="majorHAnsi"/>
          <w:lang w:val="en"/>
        </w:rPr>
        <w:t>.</w:t>
      </w:r>
      <w:r w:rsidR="00894F08">
        <w:rPr>
          <w:rFonts w:asciiTheme="majorHAnsi" w:hAnsiTheme="majorHAnsi"/>
          <w:lang w:val="en"/>
        </w:rPr>
        <w:t xml:space="preserve"> </w:t>
      </w:r>
      <w:r>
        <w:rPr>
          <w:rFonts w:asciiTheme="majorHAnsi" w:hAnsiTheme="majorHAnsi"/>
          <w:lang w:val="en"/>
        </w:rPr>
        <w:t xml:space="preserve">Subjects had </w:t>
      </w:r>
      <w:r w:rsidR="000745AA">
        <w:rPr>
          <w:rFonts w:asciiTheme="majorHAnsi" w:hAnsiTheme="majorHAnsi"/>
          <w:lang w:val="en"/>
        </w:rPr>
        <w:t>median MMS</w:t>
      </w:r>
      <w:r w:rsidR="00C46C72" w:rsidRPr="00C46C72">
        <w:rPr>
          <w:rFonts w:asciiTheme="majorHAnsi" w:hAnsiTheme="majorHAnsi"/>
          <w:lang w:val="en"/>
        </w:rPr>
        <w:t xml:space="preserve"> of 7.0 and 53.2% had severely active disease (</w:t>
      </w:r>
      <w:r w:rsidR="00C46C72">
        <w:rPr>
          <w:rFonts w:asciiTheme="majorHAnsi" w:hAnsiTheme="majorHAnsi"/>
          <w:lang w:val="en"/>
        </w:rPr>
        <w:t>MMS</w:t>
      </w:r>
      <w:r w:rsidR="00C46C72" w:rsidRPr="00C46C72">
        <w:rPr>
          <w:rFonts w:asciiTheme="majorHAnsi" w:hAnsiTheme="majorHAnsi"/>
          <w:lang w:val="en"/>
        </w:rPr>
        <w:t xml:space="preserve"> </w:t>
      </w:r>
      <w:r w:rsidR="00230BE3">
        <w:rPr>
          <w:rFonts w:asciiTheme="majorHAnsi" w:hAnsiTheme="majorHAnsi"/>
          <w:lang w:val="en"/>
        </w:rPr>
        <w:t xml:space="preserve">of </w:t>
      </w:r>
      <w:r w:rsidR="00C46C72" w:rsidRPr="00C46C72">
        <w:rPr>
          <w:rFonts w:asciiTheme="majorHAnsi" w:hAnsiTheme="majorHAnsi"/>
          <w:lang w:val="en"/>
        </w:rPr>
        <w:t>7</w:t>
      </w:r>
      <w:r w:rsidR="00C6218A">
        <w:rPr>
          <w:rFonts w:asciiTheme="majorHAnsi" w:hAnsiTheme="majorHAnsi"/>
          <w:lang w:val="en"/>
        </w:rPr>
        <w:t>-9</w:t>
      </w:r>
      <w:r w:rsidR="00C46C72" w:rsidRPr="00C46C72">
        <w:rPr>
          <w:rFonts w:asciiTheme="majorHAnsi" w:hAnsiTheme="majorHAnsi"/>
          <w:lang w:val="en"/>
        </w:rPr>
        <w:t>).</w:t>
      </w:r>
    </w:p>
    <w:p w14:paraId="23AD4BDE" w14:textId="08220317" w:rsidR="00197360" w:rsidRPr="001D6610" w:rsidRDefault="4B89BF8B" w:rsidP="79FD38FA">
      <w:pPr>
        <w:ind w:firstLine="3"/>
        <w:rPr>
          <w:rFonts w:asciiTheme="majorHAnsi" w:hAnsiTheme="majorHAnsi"/>
          <w:highlight w:val="yellow"/>
          <w:lang w:val="en"/>
        </w:rPr>
      </w:pPr>
      <w:r w:rsidRPr="79FD38FA">
        <w:rPr>
          <w:rFonts w:asciiTheme="majorHAnsi" w:hAnsiTheme="majorHAnsi"/>
          <w:lang w:val="en"/>
        </w:rPr>
        <w:t>In LUCENT</w:t>
      </w:r>
      <w:r w:rsidR="3C3B8E27" w:rsidRPr="79FD38FA">
        <w:rPr>
          <w:rFonts w:asciiTheme="majorHAnsi" w:hAnsiTheme="majorHAnsi"/>
          <w:lang w:val="en"/>
        </w:rPr>
        <w:t>-</w:t>
      </w:r>
      <w:r w:rsidRPr="79FD38FA">
        <w:rPr>
          <w:rFonts w:asciiTheme="majorHAnsi" w:hAnsiTheme="majorHAnsi"/>
          <w:lang w:val="en"/>
        </w:rPr>
        <w:t xml:space="preserve">1 a significantly greater proportion of patients were in clinical remission </w:t>
      </w:r>
      <w:r w:rsidR="7268F9EE" w:rsidRPr="79FD38FA">
        <w:rPr>
          <w:rFonts w:asciiTheme="majorHAnsi" w:hAnsiTheme="majorHAnsi"/>
          <w:lang w:val="en"/>
        </w:rPr>
        <w:t xml:space="preserve">(primary outcome) </w:t>
      </w:r>
      <w:r w:rsidRPr="79FD38FA">
        <w:rPr>
          <w:rFonts w:asciiTheme="majorHAnsi" w:hAnsiTheme="majorHAnsi"/>
          <w:lang w:val="en"/>
        </w:rPr>
        <w:t>in the mirikizumab treated group compared to placebo at week 12 (</w:t>
      </w:r>
      <w:r w:rsidR="565FFA5F" w:rsidRPr="79FD38FA">
        <w:rPr>
          <w:rFonts w:asciiTheme="majorHAnsi" w:hAnsiTheme="majorHAnsi"/>
          <w:lang w:val="en"/>
        </w:rPr>
        <w:t xml:space="preserve">Table </w:t>
      </w:r>
      <w:r w:rsidR="4BB7774E" w:rsidRPr="79FD38FA">
        <w:rPr>
          <w:rFonts w:asciiTheme="majorHAnsi" w:hAnsiTheme="majorHAnsi"/>
          <w:lang w:val="en"/>
        </w:rPr>
        <w:t>4</w:t>
      </w:r>
      <w:r w:rsidRPr="79FD38FA">
        <w:rPr>
          <w:rFonts w:asciiTheme="majorHAnsi" w:hAnsiTheme="majorHAnsi"/>
          <w:lang w:val="en"/>
        </w:rPr>
        <w:t xml:space="preserve">). </w:t>
      </w:r>
      <w:r w:rsidR="3304D557" w:rsidRPr="79FD38FA">
        <w:rPr>
          <w:rFonts w:asciiTheme="majorHAnsi" w:hAnsiTheme="majorHAnsi"/>
          <w:lang w:val="en"/>
        </w:rPr>
        <w:t xml:space="preserve">Key secondary </w:t>
      </w:r>
      <w:r w:rsidR="076F445B" w:rsidRPr="79FD38FA">
        <w:rPr>
          <w:rFonts w:asciiTheme="majorHAnsi" w:hAnsiTheme="majorHAnsi"/>
          <w:lang w:val="en"/>
        </w:rPr>
        <w:t>outcomes showed that, a</w:t>
      </w:r>
      <w:r w:rsidRPr="79FD38FA">
        <w:rPr>
          <w:rFonts w:asciiTheme="majorHAnsi" w:hAnsiTheme="majorHAnsi"/>
          <w:lang w:val="en"/>
        </w:rPr>
        <w:t>s early as week 4 and at each visit thereafter, a higher proportion of mirikizumab patients had both no rectal bleeding and normal stool frequency (symptomatic remission) as compared with placebo patients (p≤0.001).</w:t>
      </w:r>
      <w:r w:rsidR="655EA86B" w:rsidRPr="79FD38FA">
        <w:rPr>
          <w:rFonts w:asciiTheme="majorHAnsi" w:hAnsiTheme="majorHAnsi"/>
          <w:lang w:val="en"/>
        </w:rPr>
        <w:t xml:space="preserve"> Other secondary outcomes showed that as early as week 2, mirikizumab treated patients achieved a significantly greater reduction in RB subscores (p=0.001) and significant decreases in SF subscores (p=0.035).</w:t>
      </w:r>
    </w:p>
    <w:p w14:paraId="3A72B165" w14:textId="77777777" w:rsidR="002973EF" w:rsidRDefault="002973EF">
      <w:pPr>
        <w:rPr>
          <w:rFonts w:asciiTheme="majorHAnsi" w:hAnsiTheme="majorHAnsi"/>
          <w:b/>
          <w:bCs/>
        </w:rPr>
      </w:pPr>
      <w:r>
        <w:rPr>
          <w:rFonts w:asciiTheme="majorHAnsi" w:hAnsiTheme="majorHAnsi"/>
          <w:b/>
          <w:bCs/>
          <w:i/>
          <w:iCs/>
        </w:rPr>
        <w:br w:type="page"/>
      </w:r>
    </w:p>
    <w:p w14:paraId="354D60E1" w14:textId="1BDD4A2C" w:rsidR="00984D9C" w:rsidRPr="00D07960" w:rsidRDefault="00E10947" w:rsidP="00D07960">
      <w:pPr>
        <w:pStyle w:val="Caption"/>
        <w:keepNext/>
        <w:rPr>
          <w:rFonts w:asciiTheme="majorHAnsi" w:eastAsia="Times New Roman" w:hAnsiTheme="majorHAnsi" w:cs="Times New Roman"/>
          <w:b/>
          <w:color w:val="auto"/>
          <w:szCs w:val="22"/>
          <w:lang w:val="en-GB"/>
        </w:rPr>
      </w:pPr>
      <w:r w:rsidRPr="00D07960">
        <w:rPr>
          <w:rFonts w:asciiTheme="majorHAnsi" w:hAnsiTheme="majorHAnsi"/>
          <w:b/>
          <w:bCs/>
          <w:i w:val="0"/>
          <w:iCs w:val="0"/>
          <w:color w:val="auto"/>
          <w:sz w:val="22"/>
          <w:szCs w:val="22"/>
        </w:rPr>
        <w:lastRenderedPageBreak/>
        <w:t xml:space="preserve">Table </w:t>
      </w:r>
      <w:r w:rsidR="00CD4278">
        <w:rPr>
          <w:rFonts w:asciiTheme="majorHAnsi" w:hAnsiTheme="majorHAnsi"/>
          <w:b/>
          <w:bCs/>
          <w:i w:val="0"/>
          <w:iCs w:val="0"/>
          <w:color w:val="auto"/>
          <w:sz w:val="22"/>
          <w:szCs w:val="22"/>
        </w:rPr>
        <w:t>4</w:t>
      </w:r>
      <w:r w:rsidR="00984D9C" w:rsidRPr="00D07960">
        <w:rPr>
          <w:rFonts w:asciiTheme="majorHAnsi" w:eastAsia="Times New Roman" w:hAnsiTheme="majorHAnsi" w:cs="Times New Roman"/>
          <w:b/>
          <w:i w:val="0"/>
          <w:color w:val="auto"/>
          <w:sz w:val="22"/>
          <w:szCs w:val="22"/>
          <w:lang w:val="en-GB"/>
        </w:rPr>
        <w:t>: Summary of key efficacy outcomes in LUCENT</w:t>
      </w:r>
      <w:r w:rsidR="00984D9C" w:rsidRPr="00D07960">
        <w:rPr>
          <w:rFonts w:asciiTheme="majorHAnsi" w:eastAsia="Times New Roman" w:hAnsiTheme="majorHAnsi" w:cs="Times New Roman"/>
          <w:b/>
          <w:i w:val="0"/>
          <w:color w:val="auto"/>
          <w:sz w:val="22"/>
          <w:szCs w:val="22"/>
          <w:lang w:val="en-GB"/>
        </w:rPr>
        <w:noBreakHyphen/>
        <w:t>1 (week 12 unless indicated otherwise)</w:t>
      </w:r>
      <w:r w:rsidR="0012736B">
        <w:rPr>
          <w:rFonts w:asciiTheme="majorHAnsi" w:eastAsia="Times New Roman" w:hAnsiTheme="majorHAnsi" w:cs="Times New Roman"/>
          <w:b/>
          <w:i w:val="0"/>
          <w:color w:val="auto"/>
          <w:sz w:val="22"/>
          <w:szCs w:val="22"/>
          <w:lang w:val="en-GB"/>
        </w:rPr>
        <w:fldChar w:fldCharType="begin"/>
      </w:r>
      <w:r w:rsidR="0012736B">
        <w:rPr>
          <w:rFonts w:asciiTheme="majorHAnsi" w:eastAsia="Times New Roman" w:hAnsiTheme="majorHAnsi" w:cs="Times New Roman"/>
          <w:b/>
          <w:i w:val="0"/>
          <w:color w:val="auto"/>
          <w:sz w:val="22"/>
          <w:szCs w:val="22"/>
          <w:lang w:val="en-GB"/>
        </w:rPr>
        <w:instrText xml:space="preserve"> DOCVARIABLE vault_nd_5a9741c5-0003-40e6-841e-9bc5786b1496 \* MERGEFORMAT </w:instrText>
      </w:r>
      <w:r w:rsidR="0012736B">
        <w:rPr>
          <w:rFonts w:asciiTheme="majorHAnsi" w:eastAsia="Times New Roman" w:hAnsiTheme="majorHAnsi" w:cs="Times New Roman"/>
          <w:b/>
          <w:i w:val="0"/>
          <w:color w:val="auto"/>
          <w:sz w:val="22"/>
          <w:szCs w:val="22"/>
          <w:lang w:val="en-GB"/>
        </w:rPr>
        <w:fldChar w:fldCharType="separate"/>
      </w:r>
      <w:r w:rsidR="0012736B">
        <w:rPr>
          <w:rFonts w:asciiTheme="majorHAnsi" w:eastAsia="Times New Roman" w:hAnsiTheme="majorHAnsi" w:cs="Times New Roman"/>
          <w:b/>
          <w:i w:val="0"/>
          <w:color w:val="auto"/>
          <w:sz w:val="22"/>
          <w:szCs w:val="22"/>
          <w:lang w:val="en-GB"/>
        </w:rPr>
        <w:t xml:space="preserve"> </w:t>
      </w:r>
      <w:r w:rsidR="0012736B">
        <w:rPr>
          <w:rFonts w:asciiTheme="majorHAnsi" w:eastAsia="Times New Roman" w:hAnsiTheme="majorHAnsi" w:cs="Times New Roman"/>
          <w:b/>
          <w:i w:val="0"/>
          <w:color w:val="auto"/>
          <w:sz w:val="22"/>
          <w:szCs w:val="22"/>
          <w:lang w:val="en-GB"/>
        </w:rPr>
        <w:fldChar w:fldCharType="end"/>
      </w:r>
    </w:p>
    <w:tbl>
      <w:tblPr>
        <w:tblStyle w:val="TableGrid"/>
        <w:tblW w:w="9016" w:type="dxa"/>
        <w:tblLook w:val="04A0" w:firstRow="1" w:lastRow="0" w:firstColumn="1" w:lastColumn="0" w:noHBand="0" w:noVBand="1"/>
      </w:tblPr>
      <w:tblGrid>
        <w:gridCol w:w="3274"/>
        <w:gridCol w:w="998"/>
        <w:gridCol w:w="1058"/>
        <w:gridCol w:w="979"/>
        <w:gridCol w:w="1058"/>
        <w:gridCol w:w="1649"/>
      </w:tblGrid>
      <w:tr w:rsidR="00984D9C" w:rsidRPr="00984D9C" w14:paraId="3D0E8F74" w14:textId="77777777" w:rsidTr="00460A2A">
        <w:trPr>
          <w:trHeight w:val="553"/>
        </w:trPr>
        <w:tc>
          <w:tcPr>
            <w:tcW w:w="3274" w:type="dxa"/>
            <w:vMerge w:val="restart"/>
            <w:tcBorders>
              <w:top w:val="single" w:sz="4" w:space="0" w:color="auto"/>
              <w:left w:val="single" w:sz="4" w:space="0" w:color="auto"/>
              <w:right w:val="single" w:sz="4" w:space="0" w:color="auto"/>
            </w:tcBorders>
            <w:vAlign w:val="center"/>
          </w:tcPr>
          <w:p w14:paraId="7A34BA79" w14:textId="77777777" w:rsidR="00984D9C" w:rsidRPr="00984D9C" w:rsidRDefault="00984D9C" w:rsidP="00984D9C">
            <w:pPr>
              <w:keepLines/>
              <w:tabs>
                <w:tab w:val="left" w:pos="567"/>
              </w:tabs>
              <w:jc w:val="center"/>
              <w:rPr>
                <w:rFonts w:asciiTheme="majorHAnsi" w:eastAsia="Times New Roman" w:hAnsiTheme="majorHAnsi"/>
              </w:rPr>
            </w:pP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14:paraId="53E2BD26"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Placebo</w:t>
            </w:r>
          </w:p>
          <w:p w14:paraId="3C7F4B1F"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N=294</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7A71C8D0" w14:textId="77777777" w:rsidR="00984D9C" w:rsidRPr="00984D9C" w:rsidRDefault="00984D9C" w:rsidP="00984D9C">
            <w:pPr>
              <w:keepLines/>
              <w:tabs>
                <w:tab w:val="left" w:pos="567"/>
              </w:tabs>
              <w:ind w:right="-46"/>
              <w:jc w:val="center"/>
              <w:rPr>
                <w:rFonts w:asciiTheme="majorHAnsi" w:eastAsia="Times New Roman" w:hAnsiTheme="majorHAnsi"/>
                <w:b/>
              </w:rPr>
            </w:pPr>
            <w:r w:rsidRPr="00984D9C">
              <w:rPr>
                <w:rFonts w:asciiTheme="majorHAnsi" w:eastAsia="Times New Roman" w:hAnsiTheme="majorHAnsi"/>
                <w:b/>
              </w:rPr>
              <w:t>Mirikizumab IV</w:t>
            </w:r>
          </w:p>
          <w:p w14:paraId="7A31CA9F"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N=868</w:t>
            </w:r>
          </w:p>
        </w:tc>
        <w:tc>
          <w:tcPr>
            <w:tcW w:w="1649" w:type="dxa"/>
            <w:vMerge w:val="restart"/>
            <w:tcBorders>
              <w:top w:val="single" w:sz="4" w:space="0" w:color="auto"/>
              <w:left w:val="single" w:sz="4" w:space="0" w:color="auto"/>
              <w:right w:val="single" w:sz="4" w:space="0" w:color="auto"/>
            </w:tcBorders>
            <w:vAlign w:val="center"/>
            <w:hideMark/>
          </w:tcPr>
          <w:p w14:paraId="633727BA"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Treatment difference</w:t>
            </w:r>
          </w:p>
          <w:p w14:paraId="55FBEF0C" w14:textId="6758DDCC"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 xml:space="preserve">and </w:t>
            </w:r>
            <w:r w:rsidRPr="00984D9C">
              <w:rPr>
                <w:rFonts w:asciiTheme="majorHAnsi" w:eastAsia="Times New Roman" w:hAnsiTheme="majorHAnsi"/>
                <w:b/>
                <w:bCs/>
              </w:rPr>
              <w:t>99.875</w:t>
            </w:r>
            <w:r w:rsidRPr="00984D9C">
              <w:rPr>
                <w:rFonts w:asciiTheme="majorHAnsi" w:eastAsia="Times New Roman" w:hAnsiTheme="majorHAnsi"/>
                <w:b/>
              </w:rPr>
              <w:t>% CI</w:t>
            </w:r>
          </w:p>
        </w:tc>
      </w:tr>
      <w:tr w:rsidR="00984D9C" w:rsidRPr="00984D9C" w14:paraId="1704FC46" w14:textId="77777777" w:rsidTr="00460A2A">
        <w:trPr>
          <w:trHeight w:val="553"/>
        </w:trPr>
        <w:tc>
          <w:tcPr>
            <w:tcW w:w="3274" w:type="dxa"/>
            <w:vMerge/>
            <w:vAlign w:val="center"/>
          </w:tcPr>
          <w:p w14:paraId="72A224C9" w14:textId="77777777" w:rsidR="00984D9C" w:rsidRPr="00984D9C" w:rsidRDefault="00984D9C" w:rsidP="00984D9C">
            <w:pPr>
              <w:keepLines/>
              <w:tabs>
                <w:tab w:val="left" w:pos="567"/>
              </w:tabs>
              <w:jc w:val="center"/>
              <w:rPr>
                <w:rFonts w:asciiTheme="majorHAnsi" w:eastAsia="Times New Roman" w:hAnsiTheme="majorHAnsi"/>
              </w:rPr>
            </w:pPr>
          </w:p>
        </w:tc>
        <w:tc>
          <w:tcPr>
            <w:tcW w:w="998" w:type="dxa"/>
            <w:tcBorders>
              <w:top w:val="single" w:sz="4" w:space="0" w:color="auto"/>
              <w:left w:val="single" w:sz="4" w:space="0" w:color="auto"/>
              <w:bottom w:val="single" w:sz="4" w:space="0" w:color="auto"/>
              <w:right w:val="single" w:sz="4" w:space="0" w:color="auto"/>
            </w:tcBorders>
            <w:vAlign w:val="center"/>
          </w:tcPr>
          <w:p w14:paraId="516A3671"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w:t>
            </w:r>
          </w:p>
        </w:tc>
        <w:tc>
          <w:tcPr>
            <w:tcW w:w="1058" w:type="dxa"/>
            <w:tcBorders>
              <w:top w:val="single" w:sz="4" w:space="0" w:color="auto"/>
              <w:left w:val="single" w:sz="4" w:space="0" w:color="auto"/>
              <w:bottom w:val="single" w:sz="4" w:space="0" w:color="auto"/>
              <w:right w:val="single" w:sz="4" w:space="0" w:color="auto"/>
            </w:tcBorders>
            <w:vAlign w:val="center"/>
          </w:tcPr>
          <w:p w14:paraId="72B77DF7"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w:t>
            </w:r>
          </w:p>
        </w:tc>
        <w:tc>
          <w:tcPr>
            <w:tcW w:w="979" w:type="dxa"/>
            <w:tcBorders>
              <w:top w:val="single" w:sz="4" w:space="0" w:color="auto"/>
              <w:left w:val="single" w:sz="4" w:space="0" w:color="auto"/>
              <w:right w:val="single" w:sz="4" w:space="0" w:color="auto"/>
            </w:tcBorders>
            <w:vAlign w:val="center"/>
          </w:tcPr>
          <w:p w14:paraId="046862AC"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w:t>
            </w:r>
          </w:p>
        </w:tc>
        <w:tc>
          <w:tcPr>
            <w:tcW w:w="1058" w:type="dxa"/>
            <w:tcBorders>
              <w:top w:val="single" w:sz="4" w:space="0" w:color="auto"/>
              <w:left w:val="single" w:sz="4" w:space="0" w:color="auto"/>
              <w:right w:val="single" w:sz="4" w:space="0" w:color="auto"/>
            </w:tcBorders>
            <w:vAlign w:val="center"/>
          </w:tcPr>
          <w:p w14:paraId="339E105D"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w:t>
            </w:r>
          </w:p>
        </w:tc>
        <w:tc>
          <w:tcPr>
            <w:tcW w:w="1649" w:type="dxa"/>
            <w:vMerge/>
            <w:vAlign w:val="center"/>
          </w:tcPr>
          <w:p w14:paraId="51E69C3F" w14:textId="77777777" w:rsidR="00984D9C" w:rsidRPr="00984D9C" w:rsidRDefault="00984D9C" w:rsidP="00984D9C">
            <w:pPr>
              <w:keepLines/>
              <w:tabs>
                <w:tab w:val="left" w:pos="567"/>
              </w:tabs>
              <w:jc w:val="center"/>
              <w:rPr>
                <w:rFonts w:asciiTheme="majorHAnsi" w:eastAsia="Times New Roman" w:hAnsiTheme="majorHAnsi"/>
                <w:b/>
              </w:rPr>
            </w:pPr>
          </w:p>
        </w:tc>
      </w:tr>
      <w:tr w:rsidR="00460A2A" w:rsidRPr="00984D9C" w14:paraId="0D866971" w14:textId="77777777">
        <w:trPr>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227C16E1" w14:textId="4B860AFF" w:rsidR="00460A2A" w:rsidRPr="00984D9C" w:rsidRDefault="00460A2A" w:rsidP="00460A2A">
            <w:pPr>
              <w:spacing w:before="40" w:after="40"/>
              <w:ind w:left="84"/>
              <w:rPr>
                <w:rFonts w:asciiTheme="majorHAnsi" w:hAnsiTheme="majorHAnsi"/>
                <w:color w:val="000000" w:themeColor="text1"/>
                <w:lang w:val="en-US"/>
              </w:rPr>
            </w:pPr>
            <w:r>
              <w:rPr>
                <w:rFonts w:asciiTheme="majorHAnsi" w:eastAsia="Times New Roman" w:hAnsiTheme="majorHAnsi"/>
                <w:b/>
              </w:rPr>
              <w:t xml:space="preserve">Primary </w:t>
            </w:r>
            <w:r w:rsidR="00E7008D">
              <w:rPr>
                <w:rFonts w:asciiTheme="majorHAnsi" w:eastAsia="Times New Roman" w:hAnsiTheme="majorHAnsi"/>
                <w:b/>
              </w:rPr>
              <w:t>outcome</w:t>
            </w:r>
          </w:p>
        </w:tc>
      </w:tr>
      <w:tr w:rsidR="00984D9C" w:rsidRPr="00984D9C" w14:paraId="6FDB4C96"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vAlign w:val="center"/>
          </w:tcPr>
          <w:p w14:paraId="354EC5AC" w14:textId="77777777" w:rsidR="00984D9C" w:rsidRPr="00984D9C" w:rsidRDefault="00984D9C" w:rsidP="00984D9C">
            <w:pPr>
              <w:keepLines/>
              <w:tabs>
                <w:tab w:val="left" w:pos="567"/>
              </w:tabs>
              <w:rPr>
                <w:rFonts w:asciiTheme="majorHAnsi" w:eastAsia="Times New Roman" w:hAnsiTheme="majorHAnsi"/>
              </w:rPr>
            </w:pPr>
            <w:r w:rsidRPr="00984D9C">
              <w:rPr>
                <w:rFonts w:asciiTheme="majorHAnsi" w:eastAsia="Times New Roman" w:hAnsiTheme="majorHAnsi"/>
                <w:b/>
              </w:rPr>
              <w:t>Clinical remission</w:t>
            </w:r>
            <w:r w:rsidRPr="003C7EF9">
              <w:rPr>
                <w:rFonts w:asciiTheme="majorHAnsi" w:eastAsia="Times New Roman" w:hAnsiTheme="majorHAnsi"/>
                <w:b/>
                <w:vertAlign w:val="superscript"/>
              </w:rPr>
              <w:t>*1</w:t>
            </w:r>
          </w:p>
        </w:tc>
        <w:tc>
          <w:tcPr>
            <w:tcW w:w="998" w:type="dxa"/>
            <w:tcBorders>
              <w:top w:val="single" w:sz="4" w:space="0" w:color="auto"/>
              <w:left w:val="single" w:sz="4" w:space="0" w:color="auto"/>
              <w:bottom w:val="single" w:sz="4" w:space="0" w:color="auto"/>
              <w:right w:val="single" w:sz="4" w:space="0" w:color="auto"/>
            </w:tcBorders>
            <w:vAlign w:val="center"/>
          </w:tcPr>
          <w:p w14:paraId="2A0232D3"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39</w:t>
            </w:r>
          </w:p>
        </w:tc>
        <w:tc>
          <w:tcPr>
            <w:tcW w:w="1058" w:type="dxa"/>
            <w:tcBorders>
              <w:top w:val="single" w:sz="4" w:space="0" w:color="auto"/>
              <w:left w:val="single" w:sz="4" w:space="0" w:color="auto"/>
              <w:bottom w:val="single" w:sz="4" w:space="0" w:color="auto"/>
              <w:right w:val="single" w:sz="4" w:space="0" w:color="auto"/>
            </w:tcBorders>
            <w:vAlign w:val="center"/>
          </w:tcPr>
          <w:p w14:paraId="31648C3D" w14:textId="7D0ED388"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13.3%</w:t>
            </w:r>
          </w:p>
        </w:tc>
        <w:tc>
          <w:tcPr>
            <w:tcW w:w="979" w:type="dxa"/>
            <w:tcBorders>
              <w:left w:val="single" w:sz="4" w:space="0" w:color="auto"/>
              <w:right w:val="single" w:sz="4" w:space="0" w:color="auto"/>
            </w:tcBorders>
            <w:vAlign w:val="center"/>
          </w:tcPr>
          <w:p w14:paraId="7964D3DA"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210</w:t>
            </w:r>
          </w:p>
        </w:tc>
        <w:tc>
          <w:tcPr>
            <w:tcW w:w="1058" w:type="dxa"/>
            <w:tcBorders>
              <w:left w:val="single" w:sz="4" w:space="0" w:color="auto"/>
              <w:right w:val="single" w:sz="4" w:space="0" w:color="auto"/>
            </w:tcBorders>
            <w:vAlign w:val="center"/>
          </w:tcPr>
          <w:p w14:paraId="2C204E47" w14:textId="57A37506"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24.2%</w:t>
            </w:r>
          </w:p>
        </w:tc>
        <w:tc>
          <w:tcPr>
            <w:tcW w:w="1649" w:type="dxa"/>
            <w:tcBorders>
              <w:top w:val="single" w:sz="4" w:space="0" w:color="auto"/>
              <w:left w:val="single" w:sz="4" w:space="0" w:color="auto"/>
              <w:bottom w:val="single" w:sz="4" w:space="0" w:color="auto"/>
              <w:right w:val="single" w:sz="4" w:space="0" w:color="auto"/>
            </w:tcBorders>
            <w:vAlign w:val="center"/>
          </w:tcPr>
          <w:p w14:paraId="6E67CBD6" w14:textId="5E084673" w:rsidR="00984D9C" w:rsidRPr="00984D9C" w:rsidRDefault="00984D9C" w:rsidP="00984D9C">
            <w:pPr>
              <w:spacing w:before="40" w:after="40"/>
              <w:ind w:left="84"/>
              <w:jc w:val="center"/>
              <w:rPr>
                <w:rFonts w:asciiTheme="majorHAnsi" w:hAnsiTheme="majorHAnsi"/>
                <w:color w:val="000000" w:themeColor="text1"/>
                <w:lang w:val="en-US"/>
              </w:rPr>
            </w:pPr>
            <w:r w:rsidRPr="00984D9C">
              <w:rPr>
                <w:rFonts w:asciiTheme="majorHAnsi" w:hAnsiTheme="majorHAnsi"/>
                <w:color w:val="000000" w:themeColor="text1"/>
                <w:lang w:val="en-US"/>
              </w:rPr>
              <w:t>11.1%</w:t>
            </w:r>
          </w:p>
          <w:p w14:paraId="1F03CCFA" w14:textId="68EB8961" w:rsidR="00984D9C" w:rsidRPr="00984D9C" w:rsidRDefault="00984D9C" w:rsidP="00984D9C">
            <w:pPr>
              <w:keepLines/>
              <w:tabs>
                <w:tab w:val="left" w:pos="1215"/>
              </w:tabs>
              <w:ind w:left="-129"/>
              <w:jc w:val="center"/>
              <w:rPr>
                <w:rFonts w:asciiTheme="majorHAnsi" w:eastAsia="Times New Roman" w:hAnsiTheme="majorHAnsi"/>
              </w:rPr>
            </w:pPr>
            <w:r w:rsidRPr="00984D9C">
              <w:rPr>
                <w:rFonts w:asciiTheme="majorHAnsi" w:eastAsia="Times New Roman" w:hAnsiTheme="majorHAnsi"/>
              </w:rPr>
              <w:t>(3.2%, 19.1%)</w:t>
            </w:r>
            <w:r w:rsidRPr="00984D9C">
              <w:rPr>
                <w:rFonts w:asciiTheme="majorHAnsi" w:eastAsia="Times New Roman" w:hAnsiTheme="majorHAnsi"/>
                <w:vertAlign w:val="superscript"/>
              </w:rPr>
              <w:t>c</w:t>
            </w:r>
          </w:p>
        </w:tc>
      </w:tr>
      <w:tr w:rsidR="00984D9C" w:rsidRPr="00984D9C" w14:paraId="358FA8FF"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tcPr>
          <w:p w14:paraId="4B16186B"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color w:val="000000"/>
                <w:lang w:val="en-US" w:eastAsia="x-none"/>
              </w:rPr>
              <w:noBreakHyphen/>
              <w:t xml:space="preserve">inhibitor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29B39983"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27/171</w:t>
            </w:r>
          </w:p>
        </w:tc>
        <w:tc>
          <w:tcPr>
            <w:tcW w:w="1058" w:type="dxa"/>
            <w:tcBorders>
              <w:top w:val="single" w:sz="4" w:space="0" w:color="auto"/>
              <w:left w:val="single" w:sz="4" w:space="0" w:color="auto"/>
              <w:bottom w:val="single" w:sz="4" w:space="0" w:color="auto"/>
              <w:right w:val="single" w:sz="4" w:space="0" w:color="auto"/>
            </w:tcBorders>
            <w:vAlign w:val="center"/>
          </w:tcPr>
          <w:p w14:paraId="6A150BDB" w14:textId="2826D3C2"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15.8%</w:t>
            </w:r>
          </w:p>
        </w:tc>
        <w:tc>
          <w:tcPr>
            <w:tcW w:w="979" w:type="dxa"/>
            <w:tcBorders>
              <w:left w:val="single" w:sz="4" w:space="0" w:color="auto"/>
              <w:right w:val="single" w:sz="4" w:space="0" w:color="auto"/>
            </w:tcBorders>
            <w:vAlign w:val="center"/>
          </w:tcPr>
          <w:p w14:paraId="4474C58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152/492</w:t>
            </w:r>
          </w:p>
        </w:tc>
        <w:tc>
          <w:tcPr>
            <w:tcW w:w="1058" w:type="dxa"/>
            <w:tcBorders>
              <w:left w:val="single" w:sz="4" w:space="0" w:color="auto"/>
              <w:right w:val="single" w:sz="4" w:space="0" w:color="auto"/>
            </w:tcBorders>
            <w:vAlign w:val="center"/>
          </w:tcPr>
          <w:p w14:paraId="4ECA6DE9" w14:textId="392F853E"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30.9%</w:t>
            </w:r>
          </w:p>
        </w:tc>
        <w:tc>
          <w:tcPr>
            <w:tcW w:w="1649" w:type="dxa"/>
            <w:tcBorders>
              <w:top w:val="single" w:sz="4" w:space="0" w:color="auto"/>
              <w:left w:val="single" w:sz="4" w:space="0" w:color="auto"/>
              <w:bottom w:val="single" w:sz="4" w:space="0" w:color="auto"/>
              <w:right w:val="single" w:sz="4" w:space="0" w:color="auto"/>
            </w:tcBorders>
            <w:vAlign w:val="center"/>
          </w:tcPr>
          <w:p w14:paraId="46E76161" w14:textId="77777777" w:rsidR="00984D9C" w:rsidRPr="00984D9C" w:rsidRDefault="00984D9C" w:rsidP="00984D9C">
            <w:pPr>
              <w:keepLines/>
              <w:tabs>
                <w:tab w:val="left" w:pos="567"/>
              </w:tabs>
              <w:jc w:val="center"/>
              <w:rPr>
                <w:rFonts w:asciiTheme="majorHAnsi" w:eastAsia="Times New Roman" w:hAnsiTheme="majorHAnsi"/>
                <w:b/>
                <w:bCs/>
              </w:rPr>
            </w:pPr>
            <w:r w:rsidRPr="00984D9C">
              <w:rPr>
                <w:rFonts w:asciiTheme="majorHAnsi" w:eastAsia="Times New Roman" w:hAnsiTheme="majorHAnsi"/>
                <w:b/>
                <w:bCs/>
              </w:rPr>
              <w:t>- - -</w:t>
            </w:r>
          </w:p>
        </w:tc>
      </w:tr>
      <w:tr w:rsidR="00984D9C" w:rsidRPr="00984D9C" w14:paraId="6993C8B0"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tcPr>
          <w:p w14:paraId="6353018C"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w:t>
            </w:r>
            <w:r w:rsidRPr="00984D9C">
              <w:rPr>
                <w:rFonts w:asciiTheme="majorHAnsi" w:eastAsia="Times New Roman" w:hAnsiTheme="majorHAnsi"/>
                <w:lang w:val="en-US" w:eastAsia="x-none"/>
              </w:rPr>
              <w:noBreakHyphen/>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026F3992"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10/118</w:t>
            </w:r>
          </w:p>
        </w:tc>
        <w:tc>
          <w:tcPr>
            <w:tcW w:w="1058" w:type="dxa"/>
            <w:tcBorders>
              <w:top w:val="single" w:sz="4" w:space="0" w:color="auto"/>
              <w:left w:val="single" w:sz="4" w:space="0" w:color="auto"/>
              <w:bottom w:val="single" w:sz="4" w:space="0" w:color="auto"/>
              <w:right w:val="single" w:sz="4" w:space="0" w:color="auto"/>
            </w:tcBorders>
            <w:vAlign w:val="center"/>
          </w:tcPr>
          <w:p w14:paraId="00004420" w14:textId="0675D8A9"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8.5%</w:t>
            </w:r>
          </w:p>
        </w:tc>
        <w:tc>
          <w:tcPr>
            <w:tcW w:w="979" w:type="dxa"/>
            <w:tcBorders>
              <w:left w:val="single" w:sz="4" w:space="0" w:color="auto"/>
              <w:right w:val="single" w:sz="4" w:space="0" w:color="auto"/>
            </w:tcBorders>
            <w:vAlign w:val="center"/>
          </w:tcPr>
          <w:p w14:paraId="254227F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55/361</w:t>
            </w:r>
          </w:p>
        </w:tc>
        <w:tc>
          <w:tcPr>
            <w:tcW w:w="1058" w:type="dxa"/>
            <w:tcBorders>
              <w:left w:val="single" w:sz="4" w:space="0" w:color="auto"/>
              <w:right w:val="single" w:sz="4" w:space="0" w:color="auto"/>
            </w:tcBorders>
            <w:vAlign w:val="center"/>
          </w:tcPr>
          <w:p w14:paraId="76030862" w14:textId="16C66F1F"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15.2%</w:t>
            </w:r>
          </w:p>
        </w:tc>
        <w:tc>
          <w:tcPr>
            <w:tcW w:w="1649" w:type="dxa"/>
            <w:tcBorders>
              <w:top w:val="single" w:sz="4" w:space="0" w:color="auto"/>
              <w:left w:val="single" w:sz="4" w:space="0" w:color="auto"/>
              <w:bottom w:val="single" w:sz="4" w:space="0" w:color="auto"/>
              <w:right w:val="single" w:sz="4" w:space="0" w:color="auto"/>
            </w:tcBorders>
            <w:vAlign w:val="center"/>
          </w:tcPr>
          <w:p w14:paraId="6D657DB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460A2A" w:rsidRPr="00984D9C" w14:paraId="2ACEF378" w14:textId="77777777">
        <w:trPr>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35E4EFC4" w14:textId="3308598B" w:rsidR="00460A2A" w:rsidRPr="00984D9C" w:rsidRDefault="00460A2A">
            <w:pPr>
              <w:spacing w:before="40" w:after="40"/>
              <w:ind w:left="84"/>
              <w:rPr>
                <w:rFonts w:asciiTheme="majorHAnsi" w:hAnsiTheme="majorHAnsi"/>
                <w:color w:val="000000" w:themeColor="text1"/>
                <w:lang w:val="en-US"/>
              </w:rPr>
            </w:pPr>
            <w:r>
              <w:rPr>
                <w:rFonts w:asciiTheme="majorHAnsi" w:eastAsia="Times New Roman" w:hAnsiTheme="majorHAnsi"/>
                <w:b/>
              </w:rPr>
              <w:t xml:space="preserve">Key secondary </w:t>
            </w:r>
            <w:r w:rsidR="00E7008D">
              <w:rPr>
                <w:rFonts w:asciiTheme="majorHAnsi" w:eastAsia="Times New Roman" w:hAnsiTheme="majorHAnsi"/>
                <w:b/>
              </w:rPr>
              <w:t>outcomes</w:t>
            </w:r>
          </w:p>
        </w:tc>
      </w:tr>
      <w:tr w:rsidR="00984D9C" w:rsidRPr="00984D9C" w14:paraId="0818EE34"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6586FC99" w14:textId="77777777" w:rsidR="00984D9C" w:rsidRPr="00984D9C" w:rsidRDefault="00984D9C" w:rsidP="00984D9C">
            <w:pPr>
              <w:keepLines/>
              <w:tabs>
                <w:tab w:val="left" w:pos="567"/>
              </w:tabs>
              <w:rPr>
                <w:rFonts w:asciiTheme="majorHAnsi" w:eastAsia="Times New Roman" w:hAnsiTheme="majorHAnsi"/>
              </w:rPr>
            </w:pPr>
            <w:r w:rsidRPr="00984D9C">
              <w:rPr>
                <w:rFonts w:asciiTheme="majorHAnsi" w:eastAsia="Times New Roman" w:hAnsiTheme="majorHAnsi"/>
                <w:b/>
              </w:rPr>
              <w:t>Alternate clinical remission</w:t>
            </w:r>
            <w:r w:rsidRPr="003C7EF9">
              <w:rPr>
                <w:rFonts w:asciiTheme="majorHAnsi" w:eastAsia="Times New Roman" w:hAnsiTheme="majorHAnsi"/>
                <w:b/>
                <w:vertAlign w:val="superscript"/>
              </w:rPr>
              <w:t>*2</w:t>
            </w:r>
          </w:p>
        </w:tc>
        <w:tc>
          <w:tcPr>
            <w:tcW w:w="998" w:type="dxa"/>
            <w:tcBorders>
              <w:top w:val="single" w:sz="4" w:space="0" w:color="auto"/>
              <w:left w:val="single" w:sz="4" w:space="0" w:color="auto"/>
              <w:bottom w:val="single" w:sz="4" w:space="0" w:color="auto"/>
              <w:right w:val="single" w:sz="4" w:space="0" w:color="auto"/>
            </w:tcBorders>
            <w:vAlign w:val="center"/>
          </w:tcPr>
          <w:p w14:paraId="069572AC"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43</w:t>
            </w:r>
          </w:p>
        </w:tc>
        <w:tc>
          <w:tcPr>
            <w:tcW w:w="1058" w:type="dxa"/>
            <w:tcBorders>
              <w:top w:val="single" w:sz="4" w:space="0" w:color="auto"/>
              <w:left w:val="single" w:sz="4" w:space="0" w:color="auto"/>
              <w:bottom w:val="single" w:sz="4" w:space="0" w:color="auto"/>
              <w:right w:val="single" w:sz="4" w:space="0" w:color="auto"/>
            </w:tcBorders>
            <w:vAlign w:val="center"/>
          </w:tcPr>
          <w:p w14:paraId="2E5CD1FB" w14:textId="32C9D21A"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14.6%</w:t>
            </w:r>
          </w:p>
        </w:tc>
        <w:tc>
          <w:tcPr>
            <w:tcW w:w="979" w:type="dxa"/>
            <w:tcBorders>
              <w:left w:val="single" w:sz="4" w:space="0" w:color="auto"/>
              <w:right w:val="single" w:sz="4" w:space="0" w:color="auto"/>
            </w:tcBorders>
            <w:vAlign w:val="center"/>
          </w:tcPr>
          <w:p w14:paraId="39F0451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222</w:t>
            </w:r>
          </w:p>
        </w:tc>
        <w:tc>
          <w:tcPr>
            <w:tcW w:w="1058" w:type="dxa"/>
            <w:tcBorders>
              <w:left w:val="single" w:sz="4" w:space="0" w:color="auto"/>
              <w:right w:val="single" w:sz="4" w:space="0" w:color="auto"/>
            </w:tcBorders>
            <w:vAlign w:val="center"/>
          </w:tcPr>
          <w:p w14:paraId="5196E143" w14:textId="54F34322"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25.6%</w:t>
            </w:r>
          </w:p>
        </w:tc>
        <w:tc>
          <w:tcPr>
            <w:tcW w:w="1649" w:type="dxa"/>
            <w:tcBorders>
              <w:top w:val="single" w:sz="4" w:space="0" w:color="auto"/>
              <w:left w:val="single" w:sz="4" w:space="0" w:color="auto"/>
              <w:bottom w:val="single" w:sz="4" w:space="0" w:color="auto"/>
              <w:right w:val="single" w:sz="4" w:space="0" w:color="auto"/>
            </w:tcBorders>
            <w:vAlign w:val="center"/>
          </w:tcPr>
          <w:p w14:paraId="244CAEBE" w14:textId="6476B1B0" w:rsidR="00984D9C" w:rsidRPr="00984D9C" w:rsidRDefault="00984D9C" w:rsidP="00984D9C">
            <w:pPr>
              <w:spacing w:before="40" w:after="40"/>
              <w:ind w:left="-71" w:right="-103"/>
              <w:jc w:val="center"/>
              <w:rPr>
                <w:rFonts w:asciiTheme="majorHAnsi" w:hAnsiTheme="majorHAnsi"/>
                <w:color w:val="000000" w:themeColor="text1"/>
                <w:lang w:val="en-US"/>
              </w:rPr>
            </w:pPr>
            <w:r w:rsidRPr="00984D9C">
              <w:rPr>
                <w:rFonts w:asciiTheme="majorHAnsi" w:hAnsiTheme="majorHAnsi"/>
                <w:color w:val="000000" w:themeColor="text1"/>
                <w:lang w:val="en-US"/>
              </w:rPr>
              <w:t>11.1%</w:t>
            </w:r>
          </w:p>
          <w:p w14:paraId="2CD87BFA" w14:textId="1358D15D" w:rsidR="00984D9C" w:rsidRPr="00984D9C" w:rsidRDefault="00984D9C" w:rsidP="00984D9C">
            <w:pPr>
              <w:keepLines/>
              <w:tabs>
                <w:tab w:val="left" w:pos="567"/>
              </w:tabs>
              <w:ind w:left="-58" w:right="-103"/>
              <w:jc w:val="center"/>
              <w:rPr>
                <w:rFonts w:asciiTheme="majorHAnsi" w:eastAsia="Times New Roman" w:hAnsiTheme="majorHAnsi"/>
              </w:rPr>
            </w:pPr>
            <w:r w:rsidRPr="00984D9C">
              <w:rPr>
                <w:rFonts w:asciiTheme="majorHAnsi" w:eastAsia="Times New Roman" w:hAnsiTheme="majorHAnsi"/>
              </w:rPr>
              <w:t>(3.0%, 19.3%)</w:t>
            </w:r>
            <w:r w:rsidRPr="00984D9C">
              <w:rPr>
                <w:rFonts w:asciiTheme="majorHAnsi" w:eastAsia="Times New Roman" w:hAnsiTheme="majorHAnsi"/>
                <w:vertAlign w:val="superscript"/>
              </w:rPr>
              <w:t>c</w:t>
            </w:r>
          </w:p>
        </w:tc>
      </w:tr>
      <w:tr w:rsidR="00984D9C" w:rsidRPr="00984D9C" w14:paraId="4F1DEA30"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3F770633"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color w:val="000000"/>
                <w:lang w:val="en-US" w:eastAsia="x-none"/>
              </w:rPr>
              <w:noBreakHyphen/>
              <w:t xml:space="preserve">inhibitor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5435AD0A"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31/171</w:t>
            </w:r>
          </w:p>
        </w:tc>
        <w:tc>
          <w:tcPr>
            <w:tcW w:w="1058" w:type="dxa"/>
            <w:tcBorders>
              <w:top w:val="single" w:sz="4" w:space="0" w:color="auto"/>
              <w:left w:val="single" w:sz="4" w:space="0" w:color="auto"/>
              <w:bottom w:val="single" w:sz="4" w:space="0" w:color="auto"/>
              <w:right w:val="single" w:sz="4" w:space="0" w:color="auto"/>
            </w:tcBorders>
            <w:vAlign w:val="center"/>
          </w:tcPr>
          <w:p w14:paraId="2A3C42A8" w14:textId="06615071"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18.1%</w:t>
            </w:r>
          </w:p>
        </w:tc>
        <w:tc>
          <w:tcPr>
            <w:tcW w:w="979" w:type="dxa"/>
            <w:tcBorders>
              <w:left w:val="single" w:sz="4" w:space="0" w:color="auto"/>
              <w:right w:val="single" w:sz="4" w:space="0" w:color="auto"/>
            </w:tcBorders>
            <w:vAlign w:val="center"/>
          </w:tcPr>
          <w:p w14:paraId="64D601B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160/492</w:t>
            </w:r>
          </w:p>
        </w:tc>
        <w:tc>
          <w:tcPr>
            <w:tcW w:w="1058" w:type="dxa"/>
            <w:tcBorders>
              <w:left w:val="single" w:sz="4" w:space="0" w:color="auto"/>
              <w:right w:val="single" w:sz="4" w:space="0" w:color="auto"/>
            </w:tcBorders>
            <w:vAlign w:val="center"/>
          </w:tcPr>
          <w:p w14:paraId="010BDB44" w14:textId="770A792D"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32.5%</w:t>
            </w:r>
          </w:p>
        </w:tc>
        <w:tc>
          <w:tcPr>
            <w:tcW w:w="1649" w:type="dxa"/>
            <w:tcBorders>
              <w:top w:val="single" w:sz="4" w:space="0" w:color="auto"/>
              <w:left w:val="single" w:sz="4" w:space="0" w:color="auto"/>
              <w:bottom w:val="single" w:sz="4" w:space="0" w:color="auto"/>
              <w:right w:val="single" w:sz="4" w:space="0" w:color="auto"/>
            </w:tcBorders>
            <w:vAlign w:val="center"/>
          </w:tcPr>
          <w:p w14:paraId="3EE76BC3"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07411502"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49AE0A47"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w:t>
            </w:r>
            <w:r w:rsidRPr="00984D9C">
              <w:rPr>
                <w:rFonts w:asciiTheme="majorHAnsi" w:eastAsia="Times New Roman" w:hAnsiTheme="majorHAnsi"/>
                <w:lang w:val="en-US" w:eastAsia="x-none"/>
              </w:rPr>
              <w:noBreakHyphen/>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34CD33A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10/118</w:t>
            </w:r>
          </w:p>
        </w:tc>
        <w:tc>
          <w:tcPr>
            <w:tcW w:w="1058" w:type="dxa"/>
            <w:tcBorders>
              <w:top w:val="single" w:sz="4" w:space="0" w:color="auto"/>
              <w:left w:val="single" w:sz="4" w:space="0" w:color="auto"/>
              <w:bottom w:val="single" w:sz="4" w:space="0" w:color="auto"/>
              <w:right w:val="single" w:sz="4" w:space="0" w:color="auto"/>
            </w:tcBorders>
            <w:vAlign w:val="center"/>
          </w:tcPr>
          <w:p w14:paraId="3F42D8FE" w14:textId="108B1275"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8.5%</w:t>
            </w:r>
          </w:p>
        </w:tc>
        <w:tc>
          <w:tcPr>
            <w:tcW w:w="979" w:type="dxa"/>
            <w:tcBorders>
              <w:left w:val="single" w:sz="4" w:space="0" w:color="auto"/>
              <w:right w:val="single" w:sz="4" w:space="0" w:color="auto"/>
            </w:tcBorders>
            <w:vAlign w:val="center"/>
          </w:tcPr>
          <w:p w14:paraId="028B6DE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59/361</w:t>
            </w:r>
          </w:p>
        </w:tc>
        <w:tc>
          <w:tcPr>
            <w:tcW w:w="1058" w:type="dxa"/>
            <w:tcBorders>
              <w:left w:val="single" w:sz="4" w:space="0" w:color="auto"/>
              <w:right w:val="single" w:sz="4" w:space="0" w:color="auto"/>
            </w:tcBorders>
            <w:vAlign w:val="center"/>
          </w:tcPr>
          <w:p w14:paraId="3A030FE7" w14:textId="3AE3536A"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16.3%</w:t>
            </w:r>
          </w:p>
        </w:tc>
        <w:tc>
          <w:tcPr>
            <w:tcW w:w="1649" w:type="dxa"/>
            <w:tcBorders>
              <w:top w:val="single" w:sz="4" w:space="0" w:color="auto"/>
              <w:left w:val="single" w:sz="4" w:space="0" w:color="auto"/>
              <w:bottom w:val="single" w:sz="4" w:space="0" w:color="auto"/>
              <w:right w:val="single" w:sz="4" w:space="0" w:color="auto"/>
            </w:tcBorders>
            <w:vAlign w:val="center"/>
          </w:tcPr>
          <w:p w14:paraId="2285EF7B"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713A0B49"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66CFA09A" w14:textId="77777777" w:rsidR="00984D9C" w:rsidRPr="00984D9C" w:rsidRDefault="00984D9C" w:rsidP="00984D9C">
            <w:pPr>
              <w:keepLines/>
              <w:tabs>
                <w:tab w:val="left" w:pos="567"/>
              </w:tabs>
              <w:rPr>
                <w:rFonts w:asciiTheme="majorHAnsi" w:eastAsia="Times New Roman" w:hAnsiTheme="majorHAnsi"/>
              </w:rPr>
            </w:pPr>
            <w:r w:rsidRPr="00984D9C">
              <w:rPr>
                <w:rFonts w:asciiTheme="majorHAnsi" w:eastAsia="Times New Roman" w:hAnsiTheme="majorHAnsi"/>
                <w:b/>
              </w:rPr>
              <w:t>Clinical response*</w:t>
            </w:r>
            <w:r w:rsidRPr="00984D9C">
              <w:rPr>
                <w:rFonts w:asciiTheme="majorHAnsi" w:eastAsia="Times New Roman" w:hAnsiTheme="majorHAnsi"/>
                <w:b/>
                <w:vertAlign w:val="superscript"/>
              </w:rPr>
              <w:t>3</w:t>
            </w:r>
          </w:p>
        </w:tc>
        <w:tc>
          <w:tcPr>
            <w:tcW w:w="998" w:type="dxa"/>
            <w:tcBorders>
              <w:top w:val="single" w:sz="4" w:space="0" w:color="auto"/>
              <w:left w:val="single" w:sz="4" w:space="0" w:color="auto"/>
              <w:bottom w:val="single" w:sz="4" w:space="0" w:color="auto"/>
              <w:right w:val="single" w:sz="4" w:space="0" w:color="auto"/>
            </w:tcBorders>
            <w:vAlign w:val="center"/>
          </w:tcPr>
          <w:p w14:paraId="46511A99"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124</w:t>
            </w:r>
          </w:p>
        </w:tc>
        <w:tc>
          <w:tcPr>
            <w:tcW w:w="1058" w:type="dxa"/>
            <w:tcBorders>
              <w:top w:val="single" w:sz="4" w:space="0" w:color="auto"/>
              <w:left w:val="single" w:sz="4" w:space="0" w:color="auto"/>
              <w:bottom w:val="single" w:sz="4" w:space="0" w:color="auto"/>
              <w:right w:val="single" w:sz="4" w:space="0" w:color="auto"/>
            </w:tcBorders>
            <w:vAlign w:val="center"/>
          </w:tcPr>
          <w:p w14:paraId="30763394" w14:textId="5719E040"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42.2%</w:t>
            </w:r>
          </w:p>
        </w:tc>
        <w:tc>
          <w:tcPr>
            <w:tcW w:w="979" w:type="dxa"/>
            <w:tcBorders>
              <w:left w:val="single" w:sz="4" w:space="0" w:color="auto"/>
              <w:right w:val="single" w:sz="4" w:space="0" w:color="auto"/>
            </w:tcBorders>
            <w:vAlign w:val="center"/>
          </w:tcPr>
          <w:p w14:paraId="41A57FFE"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551</w:t>
            </w:r>
          </w:p>
        </w:tc>
        <w:tc>
          <w:tcPr>
            <w:tcW w:w="1058" w:type="dxa"/>
            <w:tcBorders>
              <w:left w:val="single" w:sz="4" w:space="0" w:color="auto"/>
              <w:right w:val="single" w:sz="4" w:space="0" w:color="auto"/>
            </w:tcBorders>
            <w:vAlign w:val="center"/>
          </w:tcPr>
          <w:p w14:paraId="052C1B34" w14:textId="75D06008"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63.5%</w:t>
            </w:r>
          </w:p>
        </w:tc>
        <w:tc>
          <w:tcPr>
            <w:tcW w:w="1649" w:type="dxa"/>
            <w:tcBorders>
              <w:top w:val="single" w:sz="4" w:space="0" w:color="auto"/>
              <w:left w:val="single" w:sz="4" w:space="0" w:color="auto"/>
              <w:bottom w:val="single" w:sz="4" w:space="0" w:color="auto"/>
              <w:right w:val="single" w:sz="4" w:space="0" w:color="auto"/>
            </w:tcBorders>
            <w:vAlign w:val="center"/>
          </w:tcPr>
          <w:p w14:paraId="081C4AE6" w14:textId="151F9D40" w:rsidR="00984D9C" w:rsidRPr="00984D9C" w:rsidRDefault="00984D9C" w:rsidP="00984D9C">
            <w:pPr>
              <w:spacing w:before="40" w:after="40"/>
              <w:ind w:left="-71" w:right="-103"/>
              <w:jc w:val="center"/>
              <w:rPr>
                <w:rFonts w:asciiTheme="majorHAnsi" w:hAnsiTheme="majorHAnsi"/>
                <w:color w:val="000000" w:themeColor="text1"/>
                <w:lang w:val="en-US"/>
              </w:rPr>
            </w:pPr>
            <w:r w:rsidRPr="00984D9C">
              <w:rPr>
                <w:rFonts w:asciiTheme="majorHAnsi" w:hAnsiTheme="majorHAnsi"/>
                <w:color w:val="000000" w:themeColor="text1"/>
                <w:lang w:val="en-US"/>
              </w:rPr>
              <w:t>21.4%</w:t>
            </w:r>
          </w:p>
          <w:p w14:paraId="40720517" w14:textId="3D72CA5D" w:rsidR="00984D9C" w:rsidRPr="00984D9C" w:rsidRDefault="00984D9C" w:rsidP="00984D9C">
            <w:pPr>
              <w:keepLines/>
              <w:tabs>
                <w:tab w:val="left" w:pos="567"/>
              </w:tabs>
              <w:ind w:left="-71" w:right="-103"/>
              <w:jc w:val="center"/>
              <w:rPr>
                <w:rFonts w:asciiTheme="majorHAnsi" w:eastAsia="Times New Roman" w:hAnsiTheme="majorHAnsi"/>
              </w:rPr>
            </w:pPr>
            <w:r w:rsidRPr="00984D9C">
              <w:rPr>
                <w:rFonts w:asciiTheme="majorHAnsi" w:eastAsia="Times New Roman" w:hAnsiTheme="majorHAnsi"/>
              </w:rPr>
              <w:t>(10.8%, 32.0%)</w:t>
            </w:r>
            <w:r w:rsidRPr="00984D9C">
              <w:rPr>
                <w:rFonts w:asciiTheme="majorHAnsi" w:eastAsia="Times New Roman" w:hAnsiTheme="majorHAnsi"/>
                <w:vertAlign w:val="superscript"/>
              </w:rPr>
              <w:t>c</w:t>
            </w:r>
          </w:p>
        </w:tc>
      </w:tr>
      <w:tr w:rsidR="00984D9C" w:rsidRPr="00984D9C" w14:paraId="69137332"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5ACFD7BE"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inhibitor</w:t>
            </w:r>
            <w:r w:rsidRPr="00984D9C">
              <w:rPr>
                <w:rFonts w:asciiTheme="majorHAnsi" w:eastAsia="Times New Roman" w:hAnsiTheme="majorHAnsi"/>
                <w:color w:val="000000"/>
                <w:lang w:val="en-US" w:eastAsia="x-none"/>
              </w:rPr>
              <w:t xml:space="preserve">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7294875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86/171</w:t>
            </w:r>
          </w:p>
        </w:tc>
        <w:tc>
          <w:tcPr>
            <w:tcW w:w="1058" w:type="dxa"/>
            <w:tcBorders>
              <w:top w:val="single" w:sz="4" w:space="0" w:color="auto"/>
              <w:left w:val="single" w:sz="4" w:space="0" w:color="auto"/>
              <w:bottom w:val="single" w:sz="4" w:space="0" w:color="auto"/>
              <w:right w:val="single" w:sz="4" w:space="0" w:color="auto"/>
            </w:tcBorders>
            <w:vAlign w:val="center"/>
          </w:tcPr>
          <w:p w14:paraId="4718DCFC" w14:textId="200548B0"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50.3%</w:t>
            </w:r>
          </w:p>
        </w:tc>
        <w:tc>
          <w:tcPr>
            <w:tcW w:w="979" w:type="dxa"/>
            <w:tcBorders>
              <w:left w:val="single" w:sz="4" w:space="0" w:color="auto"/>
              <w:right w:val="single" w:sz="4" w:space="0" w:color="auto"/>
            </w:tcBorders>
            <w:vAlign w:val="center"/>
          </w:tcPr>
          <w:p w14:paraId="1FE29B5F"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345/492</w:t>
            </w:r>
          </w:p>
        </w:tc>
        <w:tc>
          <w:tcPr>
            <w:tcW w:w="1058" w:type="dxa"/>
            <w:tcBorders>
              <w:left w:val="single" w:sz="4" w:space="0" w:color="auto"/>
              <w:right w:val="single" w:sz="4" w:space="0" w:color="auto"/>
            </w:tcBorders>
            <w:vAlign w:val="center"/>
          </w:tcPr>
          <w:p w14:paraId="536F4D99" w14:textId="6C8E77FD"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70.1%</w:t>
            </w:r>
          </w:p>
        </w:tc>
        <w:tc>
          <w:tcPr>
            <w:tcW w:w="1649" w:type="dxa"/>
            <w:tcBorders>
              <w:top w:val="single" w:sz="4" w:space="0" w:color="auto"/>
              <w:left w:val="single" w:sz="4" w:space="0" w:color="auto"/>
              <w:bottom w:val="single" w:sz="4" w:space="0" w:color="auto"/>
              <w:right w:val="single" w:sz="4" w:space="0" w:color="auto"/>
            </w:tcBorders>
            <w:vAlign w:val="center"/>
          </w:tcPr>
          <w:p w14:paraId="7000C85C"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1299DB22"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2A373615"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w:t>
            </w:r>
            <w:r w:rsidRPr="00984D9C">
              <w:rPr>
                <w:rFonts w:asciiTheme="majorHAnsi" w:eastAsia="Times New Roman" w:hAnsiTheme="majorHAnsi"/>
                <w:lang w:val="en-US" w:eastAsia="x-none"/>
              </w:rPr>
              <w:noBreakHyphen/>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2322933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35/118</w:t>
            </w:r>
          </w:p>
        </w:tc>
        <w:tc>
          <w:tcPr>
            <w:tcW w:w="1058" w:type="dxa"/>
            <w:tcBorders>
              <w:top w:val="single" w:sz="4" w:space="0" w:color="auto"/>
              <w:left w:val="single" w:sz="4" w:space="0" w:color="auto"/>
              <w:bottom w:val="single" w:sz="4" w:space="0" w:color="auto"/>
              <w:right w:val="single" w:sz="4" w:space="0" w:color="auto"/>
            </w:tcBorders>
            <w:vAlign w:val="center"/>
          </w:tcPr>
          <w:p w14:paraId="007607FD" w14:textId="14C3B9B6"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29.7%</w:t>
            </w:r>
          </w:p>
        </w:tc>
        <w:tc>
          <w:tcPr>
            <w:tcW w:w="979" w:type="dxa"/>
            <w:tcBorders>
              <w:left w:val="single" w:sz="4" w:space="0" w:color="auto"/>
              <w:right w:val="single" w:sz="4" w:space="0" w:color="auto"/>
            </w:tcBorders>
            <w:vAlign w:val="center"/>
          </w:tcPr>
          <w:p w14:paraId="4B1D1D12"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197/361</w:t>
            </w:r>
          </w:p>
        </w:tc>
        <w:tc>
          <w:tcPr>
            <w:tcW w:w="1058" w:type="dxa"/>
            <w:tcBorders>
              <w:left w:val="single" w:sz="4" w:space="0" w:color="auto"/>
              <w:right w:val="single" w:sz="4" w:space="0" w:color="auto"/>
            </w:tcBorders>
            <w:vAlign w:val="center"/>
          </w:tcPr>
          <w:p w14:paraId="36F1232B" w14:textId="76319211"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54.6%</w:t>
            </w:r>
          </w:p>
        </w:tc>
        <w:tc>
          <w:tcPr>
            <w:tcW w:w="1649" w:type="dxa"/>
            <w:tcBorders>
              <w:top w:val="single" w:sz="4" w:space="0" w:color="auto"/>
              <w:left w:val="single" w:sz="4" w:space="0" w:color="auto"/>
              <w:bottom w:val="single" w:sz="4" w:space="0" w:color="auto"/>
              <w:right w:val="single" w:sz="4" w:space="0" w:color="auto"/>
            </w:tcBorders>
            <w:vAlign w:val="center"/>
          </w:tcPr>
          <w:p w14:paraId="5BDEEF9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657F7F83"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33785D14" w14:textId="77777777" w:rsidR="00984D9C" w:rsidRPr="00984D9C" w:rsidRDefault="00984D9C" w:rsidP="00984D9C">
            <w:pPr>
              <w:keepLines/>
              <w:tabs>
                <w:tab w:val="left" w:pos="567"/>
              </w:tabs>
              <w:rPr>
                <w:rFonts w:asciiTheme="majorHAnsi" w:eastAsia="Times New Roman" w:hAnsiTheme="majorHAnsi"/>
                <w:b/>
              </w:rPr>
            </w:pPr>
            <w:r w:rsidRPr="00984D9C">
              <w:rPr>
                <w:rFonts w:asciiTheme="majorHAnsi" w:eastAsia="Times New Roman" w:hAnsiTheme="majorHAnsi"/>
                <w:b/>
              </w:rPr>
              <w:t>Endoscopic improvement</w:t>
            </w:r>
            <w:r w:rsidRPr="003C7EF9">
              <w:rPr>
                <w:rFonts w:asciiTheme="majorHAnsi" w:eastAsia="Times New Roman" w:hAnsiTheme="majorHAnsi"/>
                <w:b/>
                <w:vertAlign w:val="superscript"/>
              </w:rPr>
              <w:t>*4</w:t>
            </w:r>
          </w:p>
        </w:tc>
        <w:tc>
          <w:tcPr>
            <w:tcW w:w="998" w:type="dxa"/>
            <w:tcBorders>
              <w:top w:val="single" w:sz="4" w:space="0" w:color="auto"/>
              <w:left w:val="single" w:sz="4" w:space="0" w:color="auto"/>
              <w:bottom w:val="single" w:sz="4" w:space="0" w:color="auto"/>
              <w:right w:val="single" w:sz="4" w:space="0" w:color="auto"/>
            </w:tcBorders>
            <w:vAlign w:val="center"/>
          </w:tcPr>
          <w:p w14:paraId="2B9784CF"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62</w:t>
            </w:r>
          </w:p>
        </w:tc>
        <w:tc>
          <w:tcPr>
            <w:tcW w:w="1058" w:type="dxa"/>
            <w:tcBorders>
              <w:top w:val="single" w:sz="4" w:space="0" w:color="auto"/>
              <w:left w:val="single" w:sz="4" w:space="0" w:color="auto"/>
              <w:bottom w:val="single" w:sz="4" w:space="0" w:color="auto"/>
              <w:right w:val="single" w:sz="4" w:space="0" w:color="auto"/>
            </w:tcBorders>
            <w:vAlign w:val="center"/>
          </w:tcPr>
          <w:p w14:paraId="6ECECA0B" w14:textId="3B65B4AC"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21.1%</w:t>
            </w:r>
          </w:p>
        </w:tc>
        <w:tc>
          <w:tcPr>
            <w:tcW w:w="979" w:type="dxa"/>
            <w:tcBorders>
              <w:left w:val="single" w:sz="4" w:space="0" w:color="auto"/>
              <w:right w:val="single" w:sz="4" w:space="0" w:color="auto"/>
            </w:tcBorders>
            <w:vAlign w:val="center"/>
          </w:tcPr>
          <w:p w14:paraId="0E2A07D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315</w:t>
            </w:r>
          </w:p>
        </w:tc>
        <w:tc>
          <w:tcPr>
            <w:tcW w:w="1058" w:type="dxa"/>
            <w:tcBorders>
              <w:left w:val="single" w:sz="4" w:space="0" w:color="auto"/>
              <w:right w:val="single" w:sz="4" w:space="0" w:color="auto"/>
            </w:tcBorders>
            <w:vAlign w:val="center"/>
          </w:tcPr>
          <w:p w14:paraId="7D7AFEFE" w14:textId="27B840F8"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36.3%</w:t>
            </w:r>
          </w:p>
        </w:tc>
        <w:tc>
          <w:tcPr>
            <w:tcW w:w="1649" w:type="dxa"/>
            <w:tcBorders>
              <w:top w:val="single" w:sz="4" w:space="0" w:color="auto"/>
              <w:left w:val="single" w:sz="4" w:space="0" w:color="auto"/>
              <w:bottom w:val="single" w:sz="4" w:space="0" w:color="auto"/>
              <w:right w:val="single" w:sz="4" w:space="0" w:color="auto"/>
            </w:tcBorders>
            <w:vAlign w:val="center"/>
          </w:tcPr>
          <w:p w14:paraId="72955234" w14:textId="0171F408" w:rsidR="00984D9C" w:rsidRPr="00984D9C" w:rsidRDefault="00984D9C" w:rsidP="00984D9C">
            <w:pPr>
              <w:keepLines/>
              <w:tabs>
                <w:tab w:val="left" w:pos="567"/>
              </w:tabs>
              <w:ind w:right="-113"/>
              <w:jc w:val="center"/>
              <w:rPr>
                <w:rFonts w:asciiTheme="majorHAnsi" w:eastAsia="Times New Roman" w:hAnsiTheme="majorHAnsi"/>
              </w:rPr>
            </w:pPr>
            <w:r w:rsidRPr="00984D9C">
              <w:rPr>
                <w:rFonts w:asciiTheme="majorHAnsi" w:eastAsia="Times New Roman" w:hAnsiTheme="majorHAnsi"/>
              </w:rPr>
              <w:t xml:space="preserve">15.4% </w:t>
            </w:r>
            <w:r w:rsidRPr="00984D9C">
              <w:rPr>
                <w:rFonts w:asciiTheme="majorHAnsi" w:eastAsia="Times New Roman" w:hAnsiTheme="majorHAnsi"/>
              </w:rPr>
              <w:br/>
              <w:t>(6.3%, 24.5%)</w:t>
            </w:r>
            <w:r w:rsidRPr="00984D9C">
              <w:rPr>
                <w:rFonts w:asciiTheme="majorHAnsi" w:eastAsia="Times New Roman" w:hAnsiTheme="majorHAnsi"/>
                <w:vertAlign w:val="superscript"/>
              </w:rPr>
              <w:t>c</w:t>
            </w:r>
          </w:p>
        </w:tc>
      </w:tr>
      <w:tr w:rsidR="00984D9C" w:rsidRPr="00984D9C" w14:paraId="79DC06AC"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674BB0B6"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were biologic and </w:t>
            </w:r>
            <w:r w:rsidRPr="00984D9C">
              <w:rPr>
                <w:rFonts w:asciiTheme="majorHAnsi" w:eastAsia="Times New Roman" w:hAnsiTheme="majorHAnsi"/>
                <w:color w:val="000000"/>
                <w:lang w:val="en-US" w:eastAsia="x-none"/>
              </w:rPr>
              <w:t>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 xml:space="preserve">inhibitor naïve </w:t>
            </w:r>
            <w:r w:rsidRPr="00984D9C">
              <w:rPr>
                <w:rFonts w:asciiTheme="majorHAnsi" w:eastAsia="Times New Roman" w:hAnsiTheme="majorHAnsi"/>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5DC71413"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48/171</w:t>
            </w:r>
          </w:p>
        </w:tc>
        <w:tc>
          <w:tcPr>
            <w:tcW w:w="1058" w:type="dxa"/>
            <w:tcBorders>
              <w:top w:val="single" w:sz="4" w:space="0" w:color="auto"/>
              <w:left w:val="single" w:sz="4" w:space="0" w:color="auto"/>
              <w:bottom w:val="single" w:sz="4" w:space="0" w:color="auto"/>
              <w:right w:val="single" w:sz="4" w:space="0" w:color="auto"/>
            </w:tcBorders>
            <w:vAlign w:val="center"/>
          </w:tcPr>
          <w:p w14:paraId="395A1490" w14:textId="358E3A04"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28.1%</w:t>
            </w:r>
          </w:p>
        </w:tc>
        <w:tc>
          <w:tcPr>
            <w:tcW w:w="979" w:type="dxa"/>
            <w:tcBorders>
              <w:left w:val="single" w:sz="4" w:space="0" w:color="auto"/>
              <w:right w:val="single" w:sz="4" w:space="0" w:color="auto"/>
            </w:tcBorders>
            <w:vAlign w:val="center"/>
          </w:tcPr>
          <w:p w14:paraId="4FD3B539"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226/492</w:t>
            </w:r>
          </w:p>
        </w:tc>
        <w:tc>
          <w:tcPr>
            <w:tcW w:w="1058" w:type="dxa"/>
            <w:tcBorders>
              <w:left w:val="single" w:sz="4" w:space="0" w:color="auto"/>
              <w:right w:val="single" w:sz="4" w:space="0" w:color="auto"/>
            </w:tcBorders>
            <w:vAlign w:val="center"/>
          </w:tcPr>
          <w:p w14:paraId="07DC2E8B" w14:textId="5D997E48"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45.9%</w:t>
            </w:r>
          </w:p>
        </w:tc>
        <w:tc>
          <w:tcPr>
            <w:tcW w:w="1649" w:type="dxa"/>
            <w:tcBorders>
              <w:top w:val="single" w:sz="4" w:space="0" w:color="auto"/>
              <w:left w:val="single" w:sz="4" w:space="0" w:color="auto"/>
              <w:bottom w:val="single" w:sz="4" w:space="0" w:color="auto"/>
              <w:right w:val="single" w:sz="4" w:space="0" w:color="auto"/>
            </w:tcBorders>
            <w:vAlign w:val="center"/>
          </w:tcPr>
          <w:p w14:paraId="24F22E0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7BF3A315"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08F8EFAC"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w:t>
            </w:r>
            <w:r w:rsidRPr="00984D9C">
              <w:rPr>
                <w:rFonts w:asciiTheme="majorHAnsi" w:eastAsia="Times New Roman" w:hAnsiTheme="majorHAnsi"/>
                <w:lang w:val="en-US" w:eastAsia="x-none"/>
              </w:rPr>
              <w:noBreakHyphen/>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510F3E4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12/118</w:t>
            </w:r>
          </w:p>
        </w:tc>
        <w:tc>
          <w:tcPr>
            <w:tcW w:w="1058" w:type="dxa"/>
            <w:tcBorders>
              <w:top w:val="single" w:sz="4" w:space="0" w:color="auto"/>
              <w:left w:val="single" w:sz="4" w:space="0" w:color="auto"/>
              <w:bottom w:val="single" w:sz="4" w:space="0" w:color="auto"/>
              <w:right w:val="single" w:sz="4" w:space="0" w:color="auto"/>
            </w:tcBorders>
            <w:vAlign w:val="center"/>
          </w:tcPr>
          <w:p w14:paraId="50D4E463" w14:textId="0BE8BCFB"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10.2%</w:t>
            </w:r>
          </w:p>
        </w:tc>
        <w:tc>
          <w:tcPr>
            <w:tcW w:w="979" w:type="dxa"/>
            <w:tcBorders>
              <w:left w:val="single" w:sz="4" w:space="0" w:color="auto"/>
              <w:right w:val="single" w:sz="4" w:space="0" w:color="auto"/>
            </w:tcBorders>
            <w:vAlign w:val="center"/>
          </w:tcPr>
          <w:p w14:paraId="124A8575"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85/361</w:t>
            </w:r>
          </w:p>
        </w:tc>
        <w:tc>
          <w:tcPr>
            <w:tcW w:w="1058" w:type="dxa"/>
            <w:tcBorders>
              <w:left w:val="single" w:sz="4" w:space="0" w:color="auto"/>
              <w:right w:val="single" w:sz="4" w:space="0" w:color="auto"/>
            </w:tcBorders>
            <w:vAlign w:val="center"/>
          </w:tcPr>
          <w:p w14:paraId="4FEE84A9" w14:textId="2D8EF442"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23.5%</w:t>
            </w:r>
          </w:p>
        </w:tc>
        <w:tc>
          <w:tcPr>
            <w:tcW w:w="1649" w:type="dxa"/>
            <w:tcBorders>
              <w:top w:val="single" w:sz="4" w:space="0" w:color="auto"/>
              <w:left w:val="single" w:sz="4" w:space="0" w:color="auto"/>
              <w:bottom w:val="single" w:sz="4" w:space="0" w:color="auto"/>
              <w:right w:val="single" w:sz="4" w:space="0" w:color="auto"/>
            </w:tcBorders>
            <w:vAlign w:val="center"/>
          </w:tcPr>
          <w:p w14:paraId="0C643937"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33268742"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4CC44DFF" w14:textId="77777777" w:rsidR="00984D9C" w:rsidRPr="00984D9C" w:rsidRDefault="00984D9C" w:rsidP="00984D9C">
            <w:pPr>
              <w:keepLines/>
              <w:tabs>
                <w:tab w:val="left" w:pos="567"/>
              </w:tabs>
              <w:rPr>
                <w:rFonts w:asciiTheme="majorHAnsi" w:eastAsia="Times New Roman" w:hAnsiTheme="majorHAnsi"/>
              </w:rPr>
            </w:pPr>
            <w:r w:rsidRPr="00984D9C">
              <w:rPr>
                <w:rFonts w:asciiTheme="majorHAnsi" w:eastAsia="Times New Roman" w:hAnsiTheme="majorHAnsi"/>
                <w:b/>
              </w:rPr>
              <w:t>Symptomatic remission (week 4)</w:t>
            </w:r>
            <w:r w:rsidRPr="003C7EF9">
              <w:rPr>
                <w:rFonts w:asciiTheme="majorHAnsi" w:eastAsia="Times New Roman" w:hAnsiTheme="majorHAnsi"/>
                <w:b/>
                <w:vertAlign w:val="superscript"/>
              </w:rPr>
              <w:t>*5</w:t>
            </w:r>
          </w:p>
        </w:tc>
        <w:tc>
          <w:tcPr>
            <w:tcW w:w="998" w:type="dxa"/>
            <w:tcBorders>
              <w:top w:val="single" w:sz="4" w:space="0" w:color="auto"/>
              <w:left w:val="single" w:sz="4" w:space="0" w:color="auto"/>
              <w:bottom w:val="single" w:sz="4" w:space="0" w:color="auto"/>
              <w:right w:val="single" w:sz="4" w:space="0" w:color="auto"/>
            </w:tcBorders>
            <w:vAlign w:val="center"/>
          </w:tcPr>
          <w:p w14:paraId="21F102BC"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38</w:t>
            </w:r>
          </w:p>
        </w:tc>
        <w:tc>
          <w:tcPr>
            <w:tcW w:w="1058" w:type="dxa"/>
            <w:tcBorders>
              <w:top w:val="single" w:sz="4" w:space="0" w:color="auto"/>
              <w:left w:val="single" w:sz="4" w:space="0" w:color="auto"/>
              <w:bottom w:val="single" w:sz="4" w:space="0" w:color="auto"/>
              <w:right w:val="single" w:sz="4" w:space="0" w:color="auto"/>
            </w:tcBorders>
            <w:vAlign w:val="center"/>
          </w:tcPr>
          <w:p w14:paraId="3602AAA2" w14:textId="24688B99"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12.9%</w:t>
            </w:r>
          </w:p>
        </w:tc>
        <w:tc>
          <w:tcPr>
            <w:tcW w:w="979" w:type="dxa"/>
            <w:tcBorders>
              <w:left w:val="single" w:sz="4" w:space="0" w:color="auto"/>
              <w:right w:val="single" w:sz="4" w:space="0" w:color="auto"/>
            </w:tcBorders>
            <w:vAlign w:val="center"/>
          </w:tcPr>
          <w:p w14:paraId="1F58D58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189</w:t>
            </w:r>
          </w:p>
        </w:tc>
        <w:tc>
          <w:tcPr>
            <w:tcW w:w="1058" w:type="dxa"/>
            <w:tcBorders>
              <w:left w:val="single" w:sz="4" w:space="0" w:color="auto"/>
              <w:right w:val="single" w:sz="4" w:space="0" w:color="auto"/>
            </w:tcBorders>
            <w:vAlign w:val="center"/>
          </w:tcPr>
          <w:p w14:paraId="2E0388BC" w14:textId="7EB0ABC3"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21.8%</w:t>
            </w:r>
          </w:p>
        </w:tc>
        <w:tc>
          <w:tcPr>
            <w:tcW w:w="1649" w:type="dxa"/>
            <w:tcBorders>
              <w:top w:val="single" w:sz="4" w:space="0" w:color="auto"/>
              <w:left w:val="single" w:sz="4" w:space="0" w:color="auto"/>
              <w:bottom w:val="single" w:sz="4" w:space="0" w:color="auto"/>
              <w:right w:val="single" w:sz="4" w:space="0" w:color="auto"/>
            </w:tcBorders>
            <w:vAlign w:val="center"/>
          </w:tcPr>
          <w:p w14:paraId="58A16A17" w14:textId="0B3AB7C1" w:rsidR="00984D9C" w:rsidRPr="00984D9C" w:rsidRDefault="00984D9C" w:rsidP="00984D9C">
            <w:pPr>
              <w:spacing w:before="40" w:after="40"/>
              <w:ind w:right="-113"/>
              <w:jc w:val="center"/>
              <w:rPr>
                <w:rFonts w:asciiTheme="majorHAnsi" w:hAnsiTheme="majorHAnsi"/>
                <w:color w:val="000000" w:themeColor="text1"/>
                <w:lang w:val="en-US"/>
              </w:rPr>
            </w:pPr>
            <w:r w:rsidRPr="00984D9C">
              <w:rPr>
                <w:rFonts w:asciiTheme="majorHAnsi" w:hAnsiTheme="majorHAnsi"/>
                <w:color w:val="000000" w:themeColor="text1"/>
                <w:lang w:val="en-US"/>
              </w:rPr>
              <w:t>9.2%</w:t>
            </w:r>
          </w:p>
          <w:p w14:paraId="436FCD5F" w14:textId="70CB3B1C" w:rsidR="00984D9C" w:rsidRPr="00984D9C" w:rsidRDefault="00984D9C" w:rsidP="00984D9C">
            <w:pPr>
              <w:keepLines/>
              <w:tabs>
                <w:tab w:val="left" w:pos="567"/>
              </w:tabs>
              <w:ind w:right="-113"/>
              <w:jc w:val="center"/>
              <w:rPr>
                <w:rFonts w:asciiTheme="majorHAnsi" w:eastAsia="Times New Roman" w:hAnsiTheme="majorHAnsi"/>
              </w:rPr>
            </w:pPr>
            <w:r w:rsidRPr="00984D9C">
              <w:rPr>
                <w:rFonts w:asciiTheme="majorHAnsi" w:eastAsia="Times New Roman" w:hAnsiTheme="majorHAnsi"/>
              </w:rPr>
              <w:t>(1.4%, 16.9%)</w:t>
            </w:r>
            <w:r w:rsidRPr="00984D9C">
              <w:rPr>
                <w:rFonts w:asciiTheme="majorHAnsi" w:eastAsia="Times New Roman" w:hAnsiTheme="majorHAnsi"/>
                <w:vertAlign w:val="superscript"/>
              </w:rPr>
              <w:t>c</w:t>
            </w:r>
          </w:p>
        </w:tc>
      </w:tr>
      <w:tr w:rsidR="00984D9C" w:rsidRPr="00984D9C" w14:paraId="4D002BFC"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681FCF55"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inhibitor</w:t>
            </w:r>
            <w:r w:rsidRPr="00984D9C">
              <w:rPr>
                <w:rFonts w:asciiTheme="majorHAnsi" w:eastAsia="Times New Roman" w:hAnsiTheme="majorHAnsi"/>
                <w:color w:val="000000"/>
                <w:lang w:val="en-US" w:eastAsia="x-none"/>
              </w:rPr>
              <w:t xml:space="preserve">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2761E059"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26/171</w:t>
            </w:r>
          </w:p>
        </w:tc>
        <w:tc>
          <w:tcPr>
            <w:tcW w:w="1058" w:type="dxa"/>
            <w:tcBorders>
              <w:top w:val="single" w:sz="4" w:space="0" w:color="auto"/>
              <w:left w:val="single" w:sz="4" w:space="0" w:color="auto"/>
              <w:bottom w:val="single" w:sz="4" w:space="0" w:color="auto"/>
              <w:right w:val="single" w:sz="4" w:space="0" w:color="auto"/>
            </w:tcBorders>
            <w:vAlign w:val="center"/>
          </w:tcPr>
          <w:p w14:paraId="70E88275" w14:textId="628AD53B"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15.2%</w:t>
            </w:r>
          </w:p>
        </w:tc>
        <w:tc>
          <w:tcPr>
            <w:tcW w:w="979" w:type="dxa"/>
            <w:tcBorders>
              <w:left w:val="single" w:sz="4" w:space="0" w:color="auto"/>
              <w:right w:val="single" w:sz="4" w:space="0" w:color="auto"/>
            </w:tcBorders>
            <w:vAlign w:val="center"/>
          </w:tcPr>
          <w:p w14:paraId="22E1B153"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120/492</w:t>
            </w:r>
          </w:p>
        </w:tc>
        <w:tc>
          <w:tcPr>
            <w:tcW w:w="1058" w:type="dxa"/>
            <w:tcBorders>
              <w:left w:val="single" w:sz="4" w:space="0" w:color="auto"/>
              <w:right w:val="single" w:sz="4" w:space="0" w:color="auto"/>
            </w:tcBorders>
            <w:vAlign w:val="center"/>
          </w:tcPr>
          <w:p w14:paraId="475C8981" w14:textId="450B5B98"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24.4%</w:t>
            </w:r>
          </w:p>
        </w:tc>
        <w:tc>
          <w:tcPr>
            <w:tcW w:w="1649" w:type="dxa"/>
            <w:tcBorders>
              <w:top w:val="single" w:sz="4" w:space="0" w:color="auto"/>
              <w:left w:val="single" w:sz="4" w:space="0" w:color="auto"/>
              <w:bottom w:val="single" w:sz="4" w:space="0" w:color="auto"/>
              <w:right w:val="single" w:sz="4" w:space="0" w:color="auto"/>
            </w:tcBorders>
            <w:vAlign w:val="center"/>
          </w:tcPr>
          <w:p w14:paraId="4413F739"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12D91921"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1AA43A11"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w:t>
            </w:r>
            <w:r w:rsidRPr="00984D9C">
              <w:rPr>
                <w:rFonts w:asciiTheme="majorHAnsi" w:eastAsia="Times New Roman" w:hAnsiTheme="majorHAnsi"/>
                <w:color w:val="000000"/>
                <w:lang w:val="en-US" w:eastAsia="x-none"/>
              </w:rPr>
              <w:t>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295457A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10/118</w:t>
            </w:r>
          </w:p>
        </w:tc>
        <w:tc>
          <w:tcPr>
            <w:tcW w:w="1058" w:type="dxa"/>
            <w:tcBorders>
              <w:top w:val="single" w:sz="4" w:space="0" w:color="auto"/>
              <w:left w:val="single" w:sz="4" w:space="0" w:color="auto"/>
              <w:bottom w:val="single" w:sz="4" w:space="0" w:color="auto"/>
              <w:right w:val="single" w:sz="4" w:space="0" w:color="auto"/>
            </w:tcBorders>
            <w:vAlign w:val="center"/>
          </w:tcPr>
          <w:p w14:paraId="23B33AFF" w14:textId="2C162B2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8.5%</w:t>
            </w:r>
          </w:p>
        </w:tc>
        <w:tc>
          <w:tcPr>
            <w:tcW w:w="979" w:type="dxa"/>
            <w:tcBorders>
              <w:left w:val="single" w:sz="4" w:space="0" w:color="auto"/>
              <w:right w:val="single" w:sz="4" w:space="0" w:color="auto"/>
            </w:tcBorders>
            <w:vAlign w:val="center"/>
          </w:tcPr>
          <w:p w14:paraId="2DEB0B4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67/361</w:t>
            </w:r>
          </w:p>
        </w:tc>
        <w:tc>
          <w:tcPr>
            <w:tcW w:w="1058" w:type="dxa"/>
            <w:tcBorders>
              <w:left w:val="single" w:sz="4" w:space="0" w:color="auto"/>
              <w:right w:val="single" w:sz="4" w:space="0" w:color="auto"/>
            </w:tcBorders>
            <w:vAlign w:val="center"/>
          </w:tcPr>
          <w:p w14:paraId="2D1B5C16" w14:textId="109AB5C1"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18.6%</w:t>
            </w:r>
          </w:p>
        </w:tc>
        <w:tc>
          <w:tcPr>
            <w:tcW w:w="1649" w:type="dxa"/>
            <w:tcBorders>
              <w:top w:val="single" w:sz="4" w:space="0" w:color="auto"/>
              <w:left w:val="single" w:sz="4" w:space="0" w:color="auto"/>
              <w:bottom w:val="single" w:sz="4" w:space="0" w:color="auto"/>
              <w:right w:val="single" w:sz="4" w:space="0" w:color="auto"/>
            </w:tcBorders>
            <w:vAlign w:val="center"/>
          </w:tcPr>
          <w:p w14:paraId="0DA8769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046444A2"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2DA5BDEA" w14:textId="77777777" w:rsidR="00984D9C" w:rsidRPr="00984D9C" w:rsidRDefault="00984D9C" w:rsidP="00984D9C">
            <w:pPr>
              <w:keepLines/>
              <w:tabs>
                <w:tab w:val="left" w:pos="567"/>
              </w:tabs>
              <w:rPr>
                <w:rFonts w:asciiTheme="majorHAnsi" w:eastAsia="Times New Roman" w:hAnsiTheme="majorHAnsi"/>
              </w:rPr>
            </w:pPr>
            <w:r w:rsidRPr="00984D9C">
              <w:rPr>
                <w:rFonts w:asciiTheme="majorHAnsi" w:eastAsia="Times New Roman" w:hAnsiTheme="majorHAnsi"/>
                <w:b/>
              </w:rPr>
              <w:t>Symptomatic remission</w:t>
            </w:r>
            <w:r w:rsidRPr="003C7EF9">
              <w:rPr>
                <w:rFonts w:asciiTheme="majorHAnsi" w:eastAsia="Times New Roman" w:hAnsiTheme="majorHAnsi"/>
                <w:b/>
                <w:vertAlign w:val="superscript"/>
              </w:rPr>
              <w:t>*5</w:t>
            </w:r>
          </w:p>
        </w:tc>
        <w:tc>
          <w:tcPr>
            <w:tcW w:w="998" w:type="dxa"/>
            <w:tcBorders>
              <w:top w:val="single" w:sz="4" w:space="0" w:color="auto"/>
              <w:left w:val="single" w:sz="4" w:space="0" w:color="auto"/>
              <w:bottom w:val="single" w:sz="4" w:space="0" w:color="auto"/>
              <w:right w:val="single" w:sz="4" w:space="0" w:color="auto"/>
            </w:tcBorders>
            <w:vAlign w:val="center"/>
          </w:tcPr>
          <w:p w14:paraId="4A7372F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82</w:t>
            </w:r>
          </w:p>
        </w:tc>
        <w:tc>
          <w:tcPr>
            <w:tcW w:w="1058" w:type="dxa"/>
            <w:tcBorders>
              <w:top w:val="single" w:sz="4" w:space="0" w:color="auto"/>
              <w:left w:val="single" w:sz="4" w:space="0" w:color="auto"/>
              <w:bottom w:val="single" w:sz="4" w:space="0" w:color="auto"/>
              <w:right w:val="single" w:sz="4" w:space="0" w:color="auto"/>
            </w:tcBorders>
            <w:vAlign w:val="center"/>
          </w:tcPr>
          <w:p w14:paraId="4A0DD647" w14:textId="61CF06F9"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27.9%</w:t>
            </w:r>
          </w:p>
        </w:tc>
        <w:tc>
          <w:tcPr>
            <w:tcW w:w="979" w:type="dxa"/>
            <w:tcBorders>
              <w:left w:val="single" w:sz="4" w:space="0" w:color="auto"/>
              <w:right w:val="single" w:sz="4" w:space="0" w:color="auto"/>
            </w:tcBorders>
            <w:vAlign w:val="center"/>
          </w:tcPr>
          <w:p w14:paraId="0FE2414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395</w:t>
            </w:r>
          </w:p>
        </w:tc>
        <w:tc>
          <w:tcPr>
            <w:tcW w:w="1058" w:type="dxa"/>
            <w:tcBorders>
              <w:left w:val="single" w:sz="4" w:space="0" w:color="auto"/>
              <w:right w:val="single" w:sz="4" w:space="0" w:color="auto"/>
            </w:tcBorders>
            <w:vAlign w:val="center"/>
          </w:tcPr>
          <w:p w14:paraId="75EE1DD2" w14:textId="1E2595FD"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45.5%</w:t>
            </w:r>
          </w:p>
        </w:tc>
        <w:tc>
          <w:tcPr>
            <w:tcW w:w="1649" w:type="dxa"/>
            <w:tcBorders>
              <w:top w:val="single" w:sz="4" w:space="0" w:color="auto"/>
              <w:left w:val="single" w:sz="4" w:space="0" w:color="auto"/>
              <w:bottom w:val="single" w:sz="4" w:space="0" w:color="auto"/>
              <w:right w:val="single" w:sz="4" w:space="0" w:color="auto"/>
            </w:tcBorders>
            <w:vAlign w:val="center"/>
          </w:tcPr>
          <w:p w14:paraId="4AFAFEDE" w14:textId="2DB7C978" w:rsidR="00984D9C" w:rsidRPr="00984D9C" w:rsidRDefault="00984D9C" w:rsidP="00984D9C">
            <w:pPr>
              <w:spacing w:before="40" w:after="40"/>
              <w:ind w:right="-113"/>
              <w:jc w:val="center"/>
              <w:rPr>
                <w:rFonts w:asciiTheme="majorHAnsi" w:hAnsiTheme="majorHAnsi"/>
                <w:color w:val="000000" w:themeColor="text1"/>
                <w:lang w:val="en-US"/>
              </w:rPr>
            </w:pPr>
            <w:r w:rsidRPr="00984D9C">
              <w:rPr>
                <w:rFonts w:asciiTheme="majorHAnsi" w:hAnsiTheme="majorHAnsi"/>
                <w:color w:val="000000" w:themeColor="text1"/>
                <w:lang w:val="en-US"/>
              </w:rPr>
              <w:t>17.5%</w:t>
            </w:r>
          </w:p>
          <w:p w14:paraId="1A1074F9" w14:textId="362BEB2A" w:rsidR="00984D9C" w:rsidRPr="00984D9C" w:rsidRDefault="00984D9C" w:rsidP="00984D9C">
            <w:pPr>
              <w:keepLines/>
              <w:tabs>
                <w:tab w:val="left" w:pos="567"/>
              </w:tabs>
              <w:ind w:right="-113"/>
              <w:jc w:val="center"/>
              <w:rPr>
                <w:rFonts w:asciiTheme="majorHAnsi" w:eastAsia="Times New Roman" w:hAnsiTheme="majorHAnsi"/>
              </w:rPr>
            </w:pPr>
            <w:r w:rsidRPr="00984D9C">
              <w:rPr>
                <w:rFonts w:asciiTheme="majorHAnsi" w:eastAsia="Times New Roman" w:hAnsiTheme="majorHAnsi"/>
              </w:rPr>
              <w:t>(7.5%, 27.6%)</w:t>
            </w:r>
            <w:r w:rsidRPr="00984D9C">
              <w:rPr>
                <w:rFonts w:asciiTheme="majorHAnsi" w:eastAsia="Times New Roman" w:hAnsiTheme="majorHAnsi"/>
                <w:vertAlign w:val="superscript"/>
              </w:rPr>
              <w:t>c</w:t>
            </w:r>
          </w:p>
        </w:tc>
      </w:tr>
      <w:tr w:rsidR="00984D9C" w:rsidRPr="00984D9C" w14:paraId="296DEA90"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15A9BBF8"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inhibitor</w:t>
            </w:r>
            <w:r w:rsidRPr="00984D9C">
              <w:rPr>
                <w:rFonts w:asciiTheme="majorHAnsi" w:eastAsia="Times New Roman" w:hAnsiTheme="majorHAnsi"/>
                <w:color w:val="000000"/>
                <w:lang w:val="en-US" w:eastAsia="x-none"/>
              </w:rPr>
              <w:t xml:space="preserve">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2B9CC6A7"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57/171</w:t>
            </w:r>
          </w:p>
        </w:tc>
        <w:tc>
          <w:tcPr>
            <w:tcW w:w="1058" w:type="dxa"/>
            <w:tcBorders>
              <w:top w:val="single" w:sz="4" w:space="0" w:color="auto"/>
              <w:left w:val="single" w:sz="4" w:space="0" w:color="auto"/>
              <w:bottom w:val="single" w:sz="4" w:space="0" w:color="auto"/>
              <w:right w:val="single" w:sz="4" w:space="0" w:color="auto"/>
            </w:tcBorders>
            <w:vAlign w:val="center"/>
          </w:tcPr>
          <w:p w14:paraId="387DB8EE" w14:textId="791ADFCD"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33.3%</w:t>
            </w:r>
          </w:p>
        </w:tc>
        <w:tc>
          <w:tcPr>
            <w:tcW w:w="979" w:type="dxa"/>
            <w:tcBorders>
              <w:left w:val="single" w:sz="4" w:space="0" w:color="auto"/>
              <w:right w:val="single" w:sz="4" w:space="0" w:color="auto"/>
            </w:tcBorders>
            <w:vAlign w:val="center"/>
          </w:tcPr>
          <w:p w14:paraId="4A2C4825"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248/492</w:t>
            </w:r>
          </w:p>
        </w:tc>
        <w:tc>
          <w:tcPr>
            <w:tcW w:w="1058" w:type="dxa"/>
            <w:tcBorders>
              <w:left w:val="single" w:sz="4" w:space="0" w:color="auto"/>
              <w:right w:val="single" w:sz="4" w:space="0" w:color="auto"/>
            </w:tcBorders>
            <w:vAlign w:val="center"/>
          </w:tcPr>
          <w:p w14:paraId="1FD88A6F" w14:textId="5F8922CB"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50.4%</w:t>
            </w:r>
          </w:p>
        </w:tc>
        <w:tc>
          <w:tcPr>
            <w:tcW w:w="1649" w:type="dxa"/>
            <w:tcBorders>
              <w:top w:val="single" w:sz="4" w:space="0" w:color="auto"/>
              <w:left w:val="single" w:sz="4" w:space="0" w:color="auto"/>
              <w:bottom w:val="single" w:sz="4" w:space="0" w:color="auto"/>
              <w:right w:val="single" w:sz="4" w:space="0" w:color="auto"/>
            </w:tcBorders>
            <w:vAlign w:val="center"/>
          </w:tcPr>
          <w:p w14:paraId="514399BE"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12D68E23"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78CC564C"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w:t>
            </w:r>
            <w:r w:rsidRPr="00984D9C">
              <w:rPr>
                <w:rFonts w:asciiTheme="majorHAnsi" w:eastAsia="Times New Roman" w:hAnsiTheme="majorHAnsi"/>
                <w:color w:val="000000"/>
                <w:lang w:val="en-US" w:eastAsia="x-none"/>
              </w:rPr>
              <w:t>JAK</w:t>
            </w:r>
            <w:r w:rsidRPr="00984D9C">
              <w:rPr>
                <w:rFonts w:asciiTheme="majorHAnsi" w:eastAsia="Times New Roman" w:hAnsiTheme="majorHAnsi"/>
                <w:color w:val="000000"/>
                <w:lang w:val="en-US" w:eastAsia="x-none"/>
              </w:rPr>
              <w:noBreakHyphen/>
            </w:r>
            <w:r w:rsidRPr="00984D9C">
              <w:rPr>
                <w:rFonts w:asciiTheme="majorHAnsi" w:eastAsia="Times New Roman" w:hAnsiTheme="majorHAnsi"/>
                <w:lang w:val="en-US" w:eastAsia="x-none"/>
              </w:rPr>
              <w:t xml:space="preserve">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5217A675"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22/118</w:t>
            </w:r>
          </w:p>
        </w:tc>
        <w:tc>
          <w:tcPr>
            <w:tcW w:w="1058" w:type="dxa"/>
            <w:tcBorders>
              <w:top w:val="single" w:sz="4" w:space="0" w:color="auto"/>
              <w:left w:val="single" w:sz="4" w:space="0" w:color="auto"/>
              <w:bottom w:val="single" w:sz="4" w:space="0" w:color="auto"/>
              <w:right w:val="single" w:sz="4" w:space="0" w:color="auto"/>
            </w:tcBorders>
            <w:vAlign w:val="center"/>
          </w:tcPr>
          <w:p w14:paraId="7059B24A" w14:textId="565E9E70"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18.6%</w:t>
            </w:r>
          </w:p>
        </w:tc>
        <w:tc>
          <w:tcPr>
            <w:tcW w:w="979" w:type="dxa"/>
            <w:tcBorders>
              <w:left w:val="single" w:sz="4" w:space="0" w:color="auto"/>
              <w:right w:val="single" w:sz="4" w:space="0" w:color="auto"/>
            </w:tcBorders>
            <w:vAlign w:val="center"/>
          </w:tcPr>
          <w:p w14:paraId="3C19AE47"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139/361</w:t>
            </w:r>
          </w:p>
        </w:tc>
        <w:tc>
          <w:tcPr>
            <w:tcW w:w="1058" w:type="dxa"/>
            <w:tcBorders>
              <w:left w:val="single" w:sz="4" w:space="0" w:color="auto"/>
              <w:right w:val="single" w:sz="4" w:space="0" w:color="auto"/>
            </w:tcBorders>
            <w:vAlign w:val="center"/>
          </w:tcPr>
          <w:p w14:paraId="403FBB20" w14:textId="1043B0A5"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38.5%</w:t>
            </w:r>
          </w:p>
        </w:tc>
        <w:tc>
          <w:tcPr>
            <w:tcW w:w="1649" w:type="dxa"/>
            <w:tcBorders>
              <w:top w:val="single" w:sz="4" w:space="0" w:color="auto"/>
              <w:left w:val="single" w:sz="4" w:space="0" w:color="auto"/>
              <w:bottom w:val="single" w:sz="4" w:space="0" w:color="auto"/>
              <w:right w:val="single" w:sz="4" w:space="0" w:color="auto"/>
            </w:tcBorders>
            <w:vAlign w:val="center"/>
          </w:tcPr>
          <w:p w14:paraId="67FA9297"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748582E5"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vAlign w:val="center"/>
          </w:tcPr>
          <w:p w14:paraId="4C17A20A" w14:textId="77777777" w:rsidR="00984D9C" w:rsidRPr="00984D9C" w:rsidRDefault="00984D9C" w:rsidP="00984D9C">
            <w:pPr>
              <w:keepNext/>
              <w:keepLines/>
              <w:tabs>
                <w:tab w:val="left" w:pos="567"/>
              </w:tabs>
              <w:rPr>
                <w:rFonts w:asciiTheme="majorHAnsi" w:eastAsia="Times New Roman" w:hAnsiTheme="majorHAnsi"/>
              </w:rPr>
            </w:pPr>
            <w:r w:rsidRPr="00984D9C">
              <w:rPr>
                <w:rFonts w:asciiTheme="majorHAnsi" w:eastAsia="Times New Roman" w:hAnsiTheme="majorHAnsi"/>
                <w:b/>
              </w:rPr>
              <w:t>Histo-endoscopic mucosal improvement</w:t>
            </w:r>
            <w:r w:rsidRPr="003C7EF9">
              <w:rPr>
                <w:rFonts w:asciiTheme="majorHAnsi" w:eastAsia="Times New Roman" w:hAnsiTheme="majorHAnsi"/>
                <w:b/>
                <w:vertAlign w:val="superscript"/>
              </w:rPr>
              <w:t>*6</w:t>
            </w:r>
          </w:p>
        </w:tc>
        <w:tc>
          <w:tcPr>
            <w:tcW w:w="998" w:type="dxa"/>
            <w:tcBorders>
              <w:top w:val="single" w:sz="4" w:space="0" w:color="auto"/>
              <w:left w:val="single" w:sz="4" w:space="0" w:color="auto"/>
              <w:bottom w:val="single" w:sz="4" w:space="0" w:color="auto"/>
              <w:right w:val="single" w:sz="4" w:space="0" w:color="auto"/>
            </w:tcBorders>
            <w:vAlign w:val="center"/>
          </w:tcPr>
          <w:p w14:paraId="41B044DB" w14:textId="77777777" w:rsidR="00984D9C" w:rsidRPr="00984D9C" w:rsidRDefault="00984D9C" w:rsidP="00984D9C">
            <w:pPr>
              <w:keepNext/>
              <w:keepLines/>
              <w:tabs>
                <w:tab w:val="left" w:pos="567"/>
              </w:tabs>
              <w:jc w:val="center"/>
              <w:rPr>
                <w:rFonts w:asciiTheme="majorHAnsi" w:eastAsia="Times New Roman" w:hAnsiTheme="majorHAnsi"/>
              </w:rPr>
            </w:pPr>
            <w:r w:rsidRPr="00984D9C">
              <w:rPr>
                <w:rFonts w:asciiTheme="majorHAnsi" w:eastAsia="Times New Roman" w:hAnsiTheme="majorHAnsi"/>
              </w:rPr>
              <w:t>41</w:t>
            </w:r>
          </w:p>
        </w:tc>
        <w:tc>
          <w:tcPr>
            <w:tcW w:w="1058" w:type="dxa"/>
            <w:tcBorders>
              <w:top w:val="single" w:sz="4" w:space="0" w:color="auto"/>
              <w:left w:val="single" w:sz="4" w:space="0" w:color="auto"/>
              <w:bottom w:val="single" w:sz="4" w:space="0" w:color="auto"/>
              <w:right w:val="single" w:sz="4" w:space="0" w:color="auto"/>
            </w:tcBorders>
            <w:vAlign w:val="center"/>
          </w:tcPr>
          <w:p w14:paraId="224E5CA1" w14:textId="27276151" w:rsidR="00984D9C" w:rsidRPr="00984D9C" w:rsidRDefault="00984D9C" w:rsidP="00984D9C">
            <w:pPr>
              <w:keepNext/>
              <w:keepLines/>
              <w:tabs>
                <w:tab w:val="left" w:pos="567"/>
              </w:tabs>
              <w:jc w:val="center"/>
              <w:rPr>
                <w:rFonts w:asciiTheme="majorHAnsi" w:eastAsia="Times New Roman" w:hAnsiTheme="majorHAnsi"/>
              </w:rPr>
            </w:pPr>
            <w:r w:rsidRPr="00984D9C">
              <w:rPr>
                <w:rFonts w:asciiTheme="majorHAnsi" w:eastAsia="Times New Roman" w:hAnsiTheme="majorHAnsi"/>
              </w:rPr>
              <w:t>13.9%</w:t>
            </w:r>
          </w:p>
        </w:tc>
        <w:tc>
          <w:tcPr>
            <w:tcW w:w="979" w:type="dxa"/>
            <w:tcBorders>
              <w:left w:val="single" w:sz="4" w:space="0" w:color="auto"/>
              <w:right w:val="single" w:sz="4" w:space="0" w:color="auto"/>
            </w:tcBorders>
            <w:vAlign w:val="center"/>
          </w:tcPr>
          <w:p w14:paraId="33444283" w14:textId="77777777" w:rsidR="00984D9C" w:rsidRPr="00984D9C" w:rsidRDefault="00984D9C" w:rsidP="00984D9C">
            <w:pPr>
              <w:keepNext/>
              <w:keepLines/>
              <w:tabs>
                <w:tab w:val="left" w:pos="567"/>
              </w:tabs>
              <w:jc w:val="center"/>
              <w:rPr>
                <w:rFonts w:asciiTheme="majorHAnsi" w:eastAsia="Times New Roman" w:hAnsiTheme="majorHAnsi"/>
              </w:rPr>
            </w:pPr>
            <w:r w:rsidRPr="00984D9C">
              <w:rPr>
                <w:rFonts w:asciiTheme="majorHAnsi" w:eastAsia="Times New Roman" w:hAnsiTheme="majorHAnsi"/>
              </w:rPr>
              <w:t>235</w:t>
            </w:r>
          </w:p>
        </w:tc>
        <w:tc>
          <w:tcPr>
            <w:tcW w:w="1058" w:type="dxa"/>
            <w:tcBorders>
              <w:left w:val="single" w:sz="4" w:space="0" w:color="auto"/>
              <w:right w:val="single" w:sz="4" w:space="0" w:color="auto"/>
            </w:tcBorders>
            <w:vAlign w:val="center"/>
          </w:tcPr>
          <w:p w14:paraId="5CB87401" w14:textId="3614EDC4" w:rsidR="00984D9C" w:rsidRPr="00984D9C" w:rsidRDefault="00984D9C" w:rsidP="00984D9C">
            <w:pPr>
              <w:keepNext/>
              <w:keepLines/>
              <w:tabs>
                <w:tab w:val="left" w:pos="567"/>
              </w:tabs>
              <w:jc w:val="center"/>
              <w:rPr>
                <w:rFonts w:asciiTheme="majorHAnsi" w:eastAsia="Times New Roman" w:hAnsiTheme="majorHAnsi"/>
              </w:rPr>
            </w:pPr>
            <w:r w:rsidRPr="00984D9C">
              <w:rPr>
                <w:rFonts w:asciiTheme="majorHAnsi" w:eastAsia="Times New Roman" w:hAnsiTheme="majorHAnsi"/>
              </w:rPr>
              <w:t>27.1%</w:t>
            </w:r>
          </w:p>
        </w:tc>
        <w:tc>
          <w:tcPr>
            <w:tcW w:w="1649" w:type="dxa"/>
            <w:tcBorders>
              <w:top w:val="single" w:sz="4" w:space="0" w:color="auto"/>
              <w:left w:val="single" w:sz="4" w:space="0" w:color="auto"/>
              <w:bottom w:val="single" w:sz="4" w:space="0" w:color="auto"/>
              <w:right w:val="single" w:sz="4" w:space="0" w:color="auto"/>
            </w:tcBorders>
            <w:vAlign w:val="center"/>
          </w:tcPr>
          <w:p w14:paraId="2B473117" w14:textId="15FD8281" w:rsidR="00984D9C" w:rsidRPr="00984D9C" w:rsidRDefault="00984D9C" w:rsidP="00984D9C">
            <w:pPr>
              <w:keepNext/>
              <w:spacing w:before="40" w:after="40"/>
              <w:jc w:val="center"/>
              <w:rPr>
                <w:rFonts w:asciiTheme="majorHAnsi" w:hAnsiTheme="majorHAnsi"/>
                <w:color w:val="000000" w:themeColor="text1"/>
                <w:lang w:val="en-US"/>
              </w:rPr>
            </w:pPr>
            <w:r w:rsidRPr="00984D9C">
              <w:rPr>
                <w:rFonts w:asciiTheme="majorHAnsi" w:hAnsiTheme="majorHAnsi"/>
                <w:color w:val="000000" w:themeColor="text1"/>
                <w:lang w:val="en-US"/>
              </w:rPr>
              <w:t>13.4%</w:t>
            </w:r>
          </w:p>
          <w:p w14:paraId="65331A51" w14:textId="59230533" w:rsidR="00984D9C" w:rsidRPr="00984D9C" w:rsidRDefault="00984D9C" w:rsidP="00984D9C">
            <w:pPr>
              <w:keepNext/>
              <w:keepLines/>
              <w:tabs>
                <w:tab w:val="left" w:pos="567"/>
              </w:tabs>
              <w:ind w:left="-71" w:right="-61"/>
              <w:jc w:val="center"/>
              <w:rPr>
                <w:rFonts w:asciiTheme="majorHAnsi" w:eastAsia="Times New Roman" w:hAnsiTheme="majorHAnsi"/>
              </w:rPr>
            </w:pPr>
            <w:r w:rsidRPr="00984D9C">
              <w:rPr>
                <w:rFonts w:asciiTheme="majorHAnsi" w:eastAsia="Times New Roman" w:hAnsiTheme="majorHAnsi"/>
              </w:rPr>
              <w:t>(5.5%, 21.4%)</w:t>
            </w:r>
            <w:r w:rsidRPr="00984D9C">
              <w:rPr>
                <w:rFonts w:asciiTheme="majorHAnsi" w:eastAsia="Times New Roman" w:hAnsiTheme="majorHAnsi"/>
                <w:vertAlign w:val="superscript"/>
              </w:rPr>
              <w:t>c</w:t>
            </w:r>
          </w:p>
        </w:tc>
      </w:tr>
      <w:tr w:rsidR="00984D9C" w:rsidRPr="00984D9C" w14:paraId="6E4343D6"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40FB737E"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were biologic and </w:t>
            </w:r>
            <w:r w:rsidRPr="00984D9C">
              <w:rPr>
                <w:rFonts w:asciiTheme="majorHAnsi" w:eastAsia="Times New Roman" w:hAnsiTheme="majorHAnsi"/>
                <w:color w:val="000000"/>
                <w:lang w:val="en-US" w:eastAsia="x-none"/>
              </w:rPr>
              <w:t>JAK-</w:t>
            </w:r>
            <w:r w:rsidRPr="00984D9C">
              <w:rPr>
                <w:rFonts w:asciiTheme="majorHAnsi" w:eastAsia="Times New Roman" w:hAnsiTheme="majorHAnsi"/>
                <w:lang w:val="en-US" w:eastAsia="x-none"/>
              </w:rPr>
              <w:t xml:space="preserve">inhibitor naïve </w:t>
            </w:r>
            <w:r w:rsidRPr="00984D9C">
              <w:rPr>
                <w:rFonts w:asciiTheme="majorHAnsi" w:eastAsia="Times New Roman" w:hAnsiTheme="majorHAnsi"/>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098A7C9F"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32/171</w:t>
            </w:r>
          </w:p>
        </w:tc>
        <w:tc>
          <w:tcPr>
            <w:tcW w:w="1058" w:type="dxa"/>
            <w:tcBorders>
              <w:top w:val="single" w:sz="4" w:space="0" w:color="auto"/>
              <w:left w:val="single" w:sz="4" w:space="0" w:color="auto"/>
              <w:bottom w:val="single" w:sz="4" w:space="0" w:color="auto"/>
              <w:right w:val="single" w:sz="4" w:space="0" w:color="auto"/>
            </w:tcBorders>
            <w:vAlign w:val="center"/>
          </w:tcPr>
          <w:p w14:paraId="20DB9D0E" w14:textId="5FD76670"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18.7%</w:t>
            </w:r>
          </w:p>
        </w:tc>
        <w:tc>
          <w:tcPr>
            <w:tcW w:w="979" w:type="dxa"/>
            <w:tcBorders>
              <w:left w:val="single" w:sz="4" w:space="0" w:color="auto"/>
              <w:right w:val="single" w:sz="4" w:space="0" w:color="auto"/>
            </w:tcBorders>
            <w:vAlign w:val="center"/>
          </w:tcPr>
          <w:p w14:paraId="2424EBE4"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176/492</w:t>
            </w:r>
          </w:p>
        </w:tc>
        <w:tc>
          <w:tcPr>
            <w:tcW w:w="1058" w:type="dxa"/>
            <w:tcBorders>
              <w:left w:val="single" w:sz="4" w:space="0" w:color="auto"/>
              <w:right w:val="single" w:sz="4" w:space="0" w:color="auto"/>
            </w:tcBorders>
            <w:vAlign w:val="center"/>
          </w:tcPr>
          <w:p w14:paraId="377A6072" w14:textId="2EE645D9"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35.8%</w:t>
            </w:r>
          </w:p>
        </w:tc>
        <w:tc>
          <w:tcPr>
            <w:tcW w:w="1649" w:type="dxa"/>
            <w:tcBorders>
              <w:top w:val="single" w:sz="4" w:space="0" w:color="auto"/>
              <w:left w:val="single" w:sz="4" w:space="0" w:color="auto"/>
              <w:bottom w:val="single" w:sz="4" w:space="0" w:color="auto"/>
              <w:right w:val="single" w:sz="4" w:space="0" w:color="auto"/>
            </w:tcBorders>
            <w:vAlign w:val="center"/>
          </w:tcPr>
          <w:p w14:paraId="6CD2CE5A"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32925BD6" w14:textId="77777777" w:rsidTr="00460A2A">
        <w:trPr>
          <w:trHeight w:val="288"/>
        </w:trPr>
        <w:tc>
          <w:tcPr>
            <w:tcW w:w="3274" w:type="dxa"/>
            <w:tcBorders>
              <w:top w:val="single" w:sz="4" w:space="0" w:color="auto"/>
              <w:left w:val="single" w:sz="4" w:space="0" w:color="auto"/>
              <w:bottom w:val="single" w:sz="4" w:space="0" w:color="auto"/>
              <w:right w:val="single" w:sz="4" w:space="0" w:color="auto"/>
            </w:tcBorders>
          </w:tcPr>
          <w:p w14:paraId="258E4D5F" w14:textId="77777777" w:rsidR="00984D9C" w:rsidRPr="00984D9C" w:rsidRDefault="00984D9C" w:rsidP="00984D9C">
            <w:pPr>
              <w:keepLines/>
              <w:ind w:left="286"/>
              <w:rPr>
                <w:rFonts w:asciiTheme="majorHAnsi" w:eastAsia="Times New Roman" w:hAnsiTheme="majorHAnsi"/>
                <w:color w:val="000000"/>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5F3B0D4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8/118</w:t>
            </w:r>
          </w:p>
        </w:tc>
        <w:tc>
          <w:tcPr>
            <w:tcW w:w="1058" w:type="dxa"/>
            <w:tcBorders>
              <w:top w:val="single" w:sz="4" w:space="0" w:color="auto"/>
              <w:left w:val="single" w:sz="4" w:space="0" w:color="auto"/>
              <w:bottom w:val="single" w:sz="4" w:space="0" w:color="auto"/>
              <w:right w:val="single" w:sz="4" w:space="0" w:color="auto"/>
            </w:tcBorders>
            <w:vAlign w:val="center"/>
          </w:tcPr>
          <w:p w14:paraId="777844FC" w14:textId="76E81B8E"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6.8%</w:t>
            </w:r>
          </w:p>
        </w:tc>
        <w:tc>
          <w:tcPr>
            <w:tcW w:w="979" w:type="dxa"/>
            <w:tcBorders>
              <w:left w:val="single" w:sz="4" w:space="0" w:color="auto"/>
              <w:right w:val="single" w:sz="4" w:space="0" w:color="auto"/>
            </w:tcBorders>
            <w:vAlign w:val="center"/>
          </w:tcPr>
          <w:p w14:paraId="5BFB7799"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56/361</w:t>
            </w:r>
          </w:p>
        </w:tc>
        <w:tc>
          <w:tcPr>
            <w:tcW w:w="1058" w:type="dxa"/>
            <w:tcBorders>
              <w:left w:val="single" w:sz="4" w:space="0" w:color="auto"/>
              <w:right w:val="single" w:sz="4" w:space="0" w:color="auto"/>
            </w:tcBorders>
            <w:vAlign w:val="center"/>
          </w:tcPr>
          <w:p w14:paraId="592812C1" w14:textId="4941BADA"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15.5%</w:t>
            </w:r>
          </w:p>
        </w:tc>
        <w:tc>
          <w:tcPr>
            <w:tcW w:w="1649" w:type="dxa"/>
            <w:tcBorders>
              <w:top w:val="single" w:sz="4" w:space="0" w:color="auto"/>
              <w:left w:val="single" w:sz="4" w:space="0" w:color="auto"/>
              <w:bottom w:val="single" w:sz="4" w:space="0" w:color="auto"/>
              <w:right w:val="single" w:sz="4" w:space="0" w:color="auto"/>
            </w:tcBorders>
            <w:vAlign w:val="center"/>
          </w:tcPr>
          <w:p w14:paraId="71645EB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008D3DBF" w14:textId="77777777" w:rsidTr="00460A2A">
        <w:trPr>
          <w:trHeight w:val="553"/>
        </w:trPr>
        <w:tc>
          <w:tcPr>
            <w:tcW w:w="3274" w:type="dxa"/>
            <w:vMerge w:val="restart"/>
            <w:tcBorders>
              <w:top w:val="single" w:sz="4" w:space="0" w:color="auto"/>
              <w:left w:val="single" w:sz="4" w:space="0" w:color="auto"/>
              <w:right w:val="single" w:sz="4" w:space="0" w:color="auto"/>
            </w:tcBorders>
            <w:vAlign w:val="center"/>
          </w:tcPr>
          <w:p w14:paraId="6FF0E67B" w14:textId="77777777" w:rsidR="00984D9C" w:rsidRPr="00984D9C" w:rsidRDefault="00984D9C" w:rsidP="00984D9C">
            <w:pPr>
              <w:keepLines/>
              <w:tabs>
                <w:tab w:val="left" w:pos="567"/>
              </w:tabs>
              <w:jc w:val="center"/>
              <w:rPr>
                <w:rFonts w:asciiTheme="majorHAnsi" w:eastAsia="Times New Roman" w:hAnsiTheme="majorHAnsi"/>
              </w:rPr>
            </w:pP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14:paraId="07C6F6AC"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Placebo</w:t>
            </w:r>
          </w:p>
          <w:p w14:paraId="76F1CCDE"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N=294</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14:paraId="354D5D2E" w14:textId="77777777" w:rsidR="00984D9C" w:rsidRPr="00984D9C" w:rsidRDefault="00984D9C" w:rsidP="00984D9C">
            <w:pPr>
              <w:keepLines/>
              <w:tabs>
                <w:tab w:val="left" w:pos="567"/>
              </w:tabs>
              <w:ind w:right="-46"/>
              <w:jc w:val="center"/>
              <w:rPr>
                <w:rFonts w:asciiTheme="majorHAnsi" w:eastAsia="Times New Roman" w:hAnsiTheme="majorHAnsi"/>
                <w:b/>
              </w:rPr>
            </w:pPr>
            <w:r w:rsidRPr="00984D9C">
              <w:rPr>
                <w:rFonts w:asciiTheme="majorHAnsi" w:eastAsia="Times New Roman" w:hAnsiTheme="majorHAnsi"/>
                <w:b/>
              </w:rPr>
              <w:t>Mirikizumab IV</w:t>
            </w:r>
          </w:p>
          <w:p w14:paraId="73FC835A"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N=868</w:t>
            </w:r>
          </w:p>
        </w:tc>
        <w:tc>
          <w:tcPr>
            <w:tcW w:w="1649" w:type="dxa"/>
            <w:vMerge w:val="restart"/>
            <w:tcBorders>
              <w:top w:val="single" w:sz="4" w:space="0" w:color="auto"/>
              <w:left w:val="single" w:sz="4" w:space="0" w:color="auto"/>
              <w:right w:val="single" w:sz="4" w:space="0" w:color="auto"/>
            </w:tcBorders>
            <w:vAlign w:val="center"/>
            <w:hideMark/>
          </w:tcPr>
          <w:p w14:paraId="39480523"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Treatment difference</w:t>
            </w:r>
          </w:p>
          <w:p w14:paraId="1AF9E9DB" w14:textId="2958842F"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 xml:space="preserve">and </w:t>
            </w:r>
            <w:r w:rsidRPr="00984D9C">
              <w:rPr>
                <w:rFonts w:asciiTheme="majorHAnsi" w:eastAsia="Times New Roman" w:hAnsiTheme="majorHAnsi"/>
                <w:b/>
                <w:bCs/>
              </w:rPr>
              <w:t>99.875</w:t>
            </w:r>
            <w:r w:rsidRPr="00984D9C">
              <w:rPr>
                <w:rFonts w:asciiTheme="majorHAnsi" w:eastAsia="Times New Roman" w:hAnsiTheme="majorHAnsi"/>
                <w:b/>
              </w:rPr>
              <w:t>% CI</w:t>
            </w:r>
          </w:p>
        </w:tc>
      </w:tr>
      <w:tr w:rsidR="00984D9C" w:rsidRPr="00984D9C" w14:paraId="7E38C560" w14:textId="77777777" w:rsidTr="00460A2A">
        <w:trPr>
          <w:trHeight w:val="553"/>
        </w:trPr>
        <w:tc>
          <w:tcPr>
            <w:tcW w:w="3274" w:type="dxa"/>
            <w:vMerge/>
            <w:vAlign w:val="center"/>
          </w:tcPr>
          <w:p w14:paraId="45866AEE" w14:textId="77777777" w:rsidR="00984D9C" w:rsidRPr="00984D9C" w:rsidRDefault="00984D9C" w:rsidP="00984D9C">
            <w:pPr>
              <w:keepLines/>
              <w:tabs>
                <w:tab w:val="left" w:pos="567"/>
              </w:tabs>
              <w:jc w:val="center"/>
              <w:rPr>
                <w:rFonts w:asciiTheme="majorHAnsi" w:eastAsia="Times New Roman" w:hAnsiTheme="majorHAnsi"/>
              </w:rPr>
            </w:pPr>
          </w:p>
        </w:tc>
        <w:tc>
          <w:tcPr>
            <w:tcW w:w="998" w:type="dxa"/>
            <w:tcBorders>
              <w:top w:val="single" w:sz="4" w:space="0" w:color="auto"/>
              <w:left w:val="single" w:sz="4" w:space="0" w:color="auto"/>
              <w:bottom w:val="single" w:sz="4" w:space="0" w:color="auto"/>
              <w:right w:val="single" w:sz="4" w:space="0" w:color="auto"/>
            </w:tcBorders>
            <w:vAlign w:val="center"/>
          </w:tcPr>
          <w:p w14:paraId="50C0FC2F"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LS mean</w:t>
            </w:r>
          </w:p>
        </w:tc>
        <w:tc>
          <w:tcPr>
            <w:tcW w:w="1058" w:type="dxa"/>
            <w:tcBorders>
              <w:top w:val="single" w:sz="4" w:space="0" w:color="auto"/>
              <w:left w:val="single" w:sz="4" w:space="0" w:color="auto"/>
              <w:bottom w:val="single" w:sz="4" w:space="0" w:color="auto"/>
              <w:right w:val="single" w:sz="4" w:space="0" w:color="auto"/>
            </w:tcBorders>
            <w:vAlign w:val="center"/>
          </w:tcPr>
          <w:p w14:paraId="16978692"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Standard error</w:t>
            </w:r>
          </w:p>
        </w:tc>
        <w:tc>
          <w:tcPr>
            <w:tcW w:w="979" w:type="dxa"/>
            <w:tcBorders>
              <w:top w:val="single" w:sz="4" w:space="0" w:color="auto"/>
              <w:left w:val="single" w:sz="4" w:space="0" w:color="auto"/>
              <w:right w:val="single" w:sz="4" w:space="0" w:color="auto"/>
            </w:tcBorders>
            <w:vAlign w:val="center"/>
          </w:tcPr>
          <w:p w14:paraId="4E124D4E"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LS mean</w:t>
            </w:r>
          </w:p>
        </w:tc>
        <w:tc>
          <w:tcPr>
            <w:tcW w:w="1058" w:type="dxa"/>
            <w:tcBorders>
              <w:top w:val="single" w:sz="4" w:space="0" w:color="auto"/>
              <w:left w:val="single" w:sz="4" w:space="0" w:color="auto"/>
              <w:right w:val="single" w:sz="4" w:space="0" w:color="auto"/>
            </w:tcBorders>
            <w:vAlign w:val="center"/>
          </w:tcPr>
          <w:p w14:paraId="2F2C8101" w14:textId="77777777" w:rsidR="00984D9C" w:rsidRPr="00984D9C" w:rsidRDefault="00984D9C" w:rsidP="00984D9C">
            <w:pPr>
              <w:keepLines/>
              <w:tabs>
                <w:tab w:val="left" w:pos="567"/>
              </w:tabs>
              <w:jc w:val="center"/>
              <w:rPr>
                <w:rFonts w:asciiTheme="majorHAnsi" w:eastAsia="Times New Roman" w:hAnsiTheme="majorHAnsi"/>
                <w:b/>
              </w:rPr>
            </w:pPr>
            <w:r w:rsidRPr="00984D9C">
              <w:rPr>
                <w:rFonts w:asciiTheme="majorHAnsi" w:eastAsia="Times New Roman" w:hAnsiTheme="majorHAnsi"/>
                <w:b/>
              </w:rPr>
              <w:t>Standard error</w:t>
            </w:r>
          </w:p>
        </w:tc>
        <w:tc>
          <w:tcPr>
            <w:tcW w:w="1649" w:type="dxa"/>
            <w:vMerge/>
            <w:vAlign w:val="center"/>
          </w:tcPr>
          <w:p w14:paraId="595DCAC5" w14:textId="77777777" w:rsidR="00984D9C" w:rsidRPr="00984D9C" w:rsidRDefault="00984D9C" w:rsidP="00984D9C">
            <w:pPr>
              <w:keepLines/>
              <w:tabs>
                <w:tab w:val="left" w:pos="567"/>
              </w:tabs>
              <w:jc w:val="center"/>
              <w:rPr>
                <w:rFonts w:asciiTheme="majorHAnsi" w:eastAsia="Times New Roman" w:hAnsiTheme="majorHAnsi"/>
                <w:b/>
              </w:rPr>
            </w:pPr>
          </w:p>
        </w:tc>
      </w:tr>
      <w:tr w:rsidR="00984D9C" w:rsidRPr="00984D9C" w14:paraId="07A0A15B"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vAlign w:val="center"/>
          </w:tcPr>
          <w:p w14:paraId="62F8DD99" w14:textId="77777777" w:rsidR="00984D9C" w:rsidRPr="00984D9C" w:rsidRDefault="00984D9C" w:rsidP="00984D9C">
            <w:pPr>
              <w:keepLines/>
              <w:rPr>
                <w:rFonts w:asciiTheme="majorHAnsi" w:eastAsia="Times New Roman" w:hAnsiTheme="majorHAnsi"/>
                <w:lang w:val="en-US" w:eastAsia="x-none"/>
              </w:rPr>
            </w:pPr>
            <w:r w:rsidRPr="00984D9C">
              <w:rPr>
                <w:rFonts w:asciiTheme="majorHAnsi" w:eastAsia="Times New Roman" w:hAnsiTheme="majorHAnsi"/>
                <w:b/>
                <w:lang w:val="en-US" w:eastAsia="x-none"/>
              </w:rPr>
              <w:t>Bowel urgency severity</w:t>
            </w:r>
            <w:r w:rsidRPr="003C7EF9">
              <w:rPr>
                <w:rFonts w:asciiTheme="majorHAnsi" w:eastAsia="Times New Roman" w:hAnsiTheme="majorHAnsi"/>
                <w:b/>
                <w:vertAlign w:val="superscript"/>
                <w:lang w:val="en-US" w:eastAsia="x-none"/>
              </w:rPr>
              <w:t>*7</w:t>
            </w:r>
          </w:p>
        </w:tc>
        <w:tc>
          <w:tcPr>
            <w:tcW w:w="998" w:type="dxa"/>
            <w:tcBorders>
              <w:top w:val="single" w:sz="4" w:space="0" w:color="auto"/>
              <w:left w:val="single" w:sz="4" w:space="0" w:color="auto"/>
              <w:bottom w:val="single" w:sz="4" w:space="0" w:color="auto"/>
              <w:right w:val="single" w:sz="4" w:space="0" w:color="auto"/>
            </w:tcBorders>
            <w:vAlign w:val="center"/>
          </w:tcPr>
          <w:p w14:paraId="005A1BD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-1.63</w:t>
            </w:r>
          </w:p>
        </w:tc>
        <w:tc>
          <w:tcPr>
            <w:tcW w:w="1058" w:type="dxa"/>
            <w:tcBorders>
              <w:top w:val="single" w:sz="4" w:space="0" w:color="auto"/>
              <w:left w:val="single" w:sz="4" w:space="0" w:color="auto"/>
              <w:bottom w:val="single" w:sz="4" w:space="0" w:color="auto"/>
              <w:right w:val="single" w:sz="4" w:space="0" w:color="auto"/>
            </w:tcBorders>
            <w:vAlign w:val="center"/>
          </w:tcPr>
          <w:p w14:paraId="1BE9BD4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0.141</w:t>
            </w:r>
          </w:p>
        </w:tc>
        <w:tc>
          <w:tcPr>
            <w:tcW w:w="979" w:type="dxa"/>
            <w:tcBorders>
              <w:left w:val="single" w:sz="4" w:space="0" w:color="auto"/>
              <w:right w:val="single" w:sz="4" w:space="0" w:color="auto"/>
            </w:tcBorders>
            <w:vAlign w:val="center"/>
          </w:tcPr>
          <w:p w14:paraId="710E0D0D"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-2.59</w:t>
            </w:r>
          </w:p>
        </w:tc>
        <w:tc>
          <w:tcPr>
            <w:tcW w:w="1058" w:type="dxa"/>
            <w:tcBorders>
              <w:left w:val="single" w:sz="4" w:space="0" w:color="auto"/>
              <w:right w:val="single" w:sz="4" w:space="0" w:color="auto"/>
            </w:tcBorders>
            <w:vAlign w:val="center"/>
          </w:tcPr>
          <w:p w14:paraId="43179AEB"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0.083</w:t>
            </w:r>
          </w:p>
        </w:tc>
        <w:tc>
          <w:tcPr>
            <w:tcW w:w="1649" w:type="dxa"/>
            <w:tcBorders>
              <w:top w:val="single" w:sz="4" w:space="0" w:color="auto"/>
              <w:left w:val="single" w:sz="4" w:space="0" w:color="auto"/>
              <w:bottom w:val="single" w:sz="4" w:space="0" w:color="auto"/>
              <w:right w:val="single" w:sz="4" w:space="0" w:color="auto"/>
            </w:tcBorders>
            <w:vAlign w:val="center"/>
          </w:tcPr>
          <w:p w14:paraId="7B9EF220" w14:textId="77777777" w:rsidR="00984D9C" w:rsidRPr="00984D9C" w:rsidRDefault="00984D9C" w:rsidP="00984D9C">
            <w:pPr>
              <w:spacing w:before="40" w:after="40"/>
              <w:jc w:val="center"/>
              <w:rPr>
                <w:rFonts w:asciiTheme="majorHAnsi" w:hAnsiTheme="majorHAnsi"/>
                <w:lang w:val="en-US"/>
              </w:rPr>
            </w:pPr>
            <w:r w:rsidRPr="00984D9C">
              <w:rPr>
                <w:rFonts w:asciiTheme="majorHAnsi" w:hAnsiTheme="majorHAnsi"/>
                <w:color w:val="000000" w:themeColor="text1"/>
                <w:lang w:val="en-US"/>
              </w:rPr>
              <w:t>-0.95</w:t>
            </w:r>
          </w:p>
          <w:p w14:paraId="1BBB9DC7"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(-1.47, -0.44)</w:t>
            </w:r>
            <w:r w:rsidRPr="00984D9C">
              <w:rPr>
                <w:rFonts w:asciiTheme="majorHAnsi" w:eastAsia="Times New Roman" w:hAnsiTheme="majorHAnsi"/>
                <w:vertAlign w:val="superscript"/>
              </w:rPr>
              <w:t>c</w:t>
            </w:r>
          </w:p>
        </w:tc>
      </w:tr>
      <w:tr w:rsidR="00984D9C" w:rsidRPr="00984D9C" w14:paraId="2CDA337F"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tcPr>
          <w:p w14:paraId="385ACD2B"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color w:val="000000"/>
                <w:lang w:val="en-US" w:eastAsia="x-none"/>
              </w:rPr>
              <w:t>Patients who were biologic and JAK-</w:t>
            </w:r>
            <w:r w:rsidRPr="00984D9C">
              <w:rPr>
                <w:rFonts w:asciiTheme="majorHAnsi" w:eastAsia="Times New Roman" w:hAnsiTheme="majorHAnsi"/>
                <w:lang w:val="en-US" w:eastAsia="x-none"/>
              </w:rPr>
              <w:t>inhibitor</w:t>
            </w:r>
            <w:r w:rsidRPr="00984D9C">
              <w:rPr>
                <w:rFonts w:asciiTheme="majorHAnsi" w:eastAsia="Times New Roman" w:hAnsiTheme="majorHAnsi"/>
                <w:color w:val="000000"/>
                <w:lang w:val="en-US" w:eastAsia="x-none"/>
              </w:rPr>
              <w:t xml:space="preserve"> naïve </w:t>
            </w:r>
            <w:r w:rsidRPr="00984D9C">
              <w:rPr>
                <w:rFonts w:asciiTheme="majorHAnsi" w:eastAsia="Times New Roman" w:hAnsiTheme="majorHAnsi"/>
                <w:color w:val="000000"/>
                <w:vertAlign w:val="superscript"/>
                <w:lang w:val="en-US" w:eastAsia="x-none"/>
              </w:rPr>
              <w:t>a</w:t>
            </w:r>
          </w:p>
        </w:tc>
        <w:tc>
          <w:tcPr>
            <w:tcW w:w="998" w:type="dxa"/>
            <w:tcBorders>
              <w:top w:val="single" w:sz="4" w:space="0" w:color="auto"/>
              <w:left w:val="single" w:sz="4" w:space="0" w:color="auto"/>
              <w:bottom w:val="single" w:sz="4" w:space="0" w:color="auto"/>
              <w:right w:val="single" w:sz="4" w:space="0" w:color="auto"/>
            </w:tcBorders>
            <w:vAlign w:val="center"/>
          </w:tcPr>
          <w:p w14:paraId="0E7DAB7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-2.08</w:t>
            </w:r>
          </w:p>
        </w:tc>
        <w:tc>
          <w:tcPr>
            <w:tcW w:w="1058" w:type="dxa"/>
            <w:tcBorders>
              <w:top w:val="single" w:sz="4" w:space="0" w:color="auto"/>
              <w:left w:val="single" w:sz="4" w:space="0" w:color="auto"/>
              <w:bottom w:val="single" w:sz="4" w:space="0" w:color="auto"/>
              <w:right w:val="single" w:sz="4" w:space="0" w:color="auto"/>
            </w:tcBorders>
            <w:vAlign w:val="center"/>
          </w:tcPr>
          <w:p w14:paraId="06269FBD"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0.174</w:t>
            </w:r>
          </w:p>
        </w:tc>
        <w:tc>
          <w:tcPr>
            <w:tcW w:w="979" w:type="dxa"/>
            <w:tcBorders>
              <w:left w:val="single" w:sz="4" w:space="0" w:color="auto"/>
              <w:right w:val="single" w:sz="4" w:space="0" w:color="auto"/>
            </w:tcBorders>
            <w:vAlign w:val="center"/>
          </w:tcPr>
          <w:p w14:paraId="12CAC40B"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-2.72</w:t>
            </w:r>
          </w:p>
        </w:tc>
        <w:tc>
          <w:tcPr>
            <w:tcW w:w="1058" w:type="dxa"/>
            <w:tcBorders>
              <w:left w:val="single" w:sz="4" w:space="0" w:color="auto"/>
              <w:right w:val="single" w:sz="4" w:space="0" w:color="auto"/>
            </w:tcBorders>
            <w:vAlign w:val="center"/>
          </w:tcPr>
          <w:p w14:paraId="07CF9E2F"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0.101</w:t>
            </w:r>
          </w:p>
        </w:tc>
        <w:tc>
          <w:tcPr>
            <w:tcW w:w="1649" w:type="dxa"/>
            <w:tcBorders>
              <w:top w:val="single" w:sz="4" w:space="0" w:color="auto"/>
              <w:left w:val="single" w:sz="4" w:space="0" w:color="auto"/>
              <w:bottom w:val="single" w:sz="4" w:space="0" w:color="auto"/>
              <w:right w:val="single" w:sz="4" w:space="0" w:color="auto"/>
            </w:tcBorders>
            <w:vAlign w:val="center"/>
          </w:tcPr>
          <w:p w14:paraId="42F42FCA"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r w:rsidR="00984D9C" w:rsidRPr="00984D9C" w14:paraId="16E05EC7" w14:textId="77777777" w:rsidTr="00460A2A">
        <w:trPr>
          <w:trHeight w:val="20"/>
        </w:trPr>
        <w:tc>
          <w:tcPr>
            <w:tcW w:w="3274" w:type="dxa"/>
            <w:tcBorders>
              <w:top w:val="single" w:sz="4" w:space="0" w:color="auto"/>
              <w:left w:val="single" w:sz="4" w:space="0" w:color="auto"/>
              <w:bottom w:val="single" w:sz="4" w:space="0" w:color="auto"/>
              <w:right w:val="single" w:sz="4" w:space="0" w:color="auto"/>
            </w:tcBorders>
          </w:tcPr>
          <w:p w14:paraId="49F6642E" w14:textId="77777777" w:rsidR="00984D9C" w:rsidRPr="00984D9C" w:rsidRDefault="00984D9C" w:rsidP="00984D9C">
            <w:pPr>
              <w:keepLines/>
              <w:ind w:left="286"/>
              <w:rPr>
                <w:rFonts w:asciiTheme="majorHAnsi" w:eastAsia="Times New Roman" w:hAnsiTheme="majorHAnsi"/>
                <w:lang w:val="en-US" w:eastAsia="x-none"/>
              </w:rPr>
            </w:pPr>
            <w:r w:rsidRPr="00984D9C">
              <w:rPr>
                <w:rFonts w:asciiTheme="majorHAnsi" w:eastAsia="Times New Roman" w:hAnsiTheme="majorHAnsi"/>
                <w:lang w:val="en-US" w:eastAsia="x-none"/>
              </w:rPr>
              <w:t xml:space="preserve">Patients who failed </w:t>
            </w:r>
            <w:r w:rsidRPr="00984D9C">
              <w:rPr>
                <w:rFonts w:asciiTheme="majorHAnsi" w:eastAsia="Times New Roman" w:hAnsiTheme="majorHAnsi"/>
                <w:vertAlign w:val="superscript"/>
                <w:lang w:val="en-US" w:eastAsia="x-none"/>
              </w:rPr>
              <w:t>b</w:t>
            </w:r>
            <w:r w:rsidRPr="00984D9C">
              <w:rPr>
                <w:rFonts w:asciiTheme="majorHAnsi" w:eastAsia="Times New Roman" w:hAnsiTheme="majorHAnsi"/>
                <w:lang w:val="en-US" w:eastAsia="x-none"/>
              </w:rPr>
              <w:t xml:space="preserve"> at least one biologic or JAK-inhibitor </w:t>
            </w:r>
            <w:r w:rsidRPr="00984D9C">
              <w:rPr>
                <w:rFonts w:asciiTheme="majorHAnsi" w:eastAsia="Times New Roman" w:hAnsiTheme="majorHAnsi"/>
                <w:vertAlign w:val="superscript"/>
                <w:lang w:val="en-US" w:eastAsia="x-none"/>
              </w:rPr>
              <w:t>d</w:t>
            </w:r>
          </w:p>
        </w:tc>
        <w:tc>
          <w:tcPr>
            <w:tcW w:w="998" w:type="dxa"/>
            <w:tcBorders>
              <w:top w:val="single" w:sz="4" w:space="0" w:color="auto"/>
              <w:left w:val="single" w:sz="4" w:space="0" w:color="auto"/>
              <w:bottom w:val="single" w:sz="4" w:space="0" w:color="auto"/>
              <w:right w:val="single" w:sz="4" w:space="0" w:color="auto"/>
            </w:tcBorders>
            <w:vAlign w:val="center"/>
          </w:tcPr>
          <w:p w14:paraId="0C6E18C6"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-0.95</w:t>
            </w:r>
          </w:p>
        </w:tc>
        <w:tc>
          <w:tcPr>
            <w:tcW w:w="1058" w:type="dxa"/>
            <w:tcBorders>
              <w:top w:val="single" w:sz="4" w:space="0" w:color="auto"/>
              <w:left w:val="single" w:sz="4" w:space="0" w:color="auto"/>
              <w:bottom w:val="single" w:sz="4" w:space="0" w:color="auto"/>
              <w:right w:val="single" w:sz="4" w:space="0" w:color="auto"/>
            </w:tcBorders>
            <w:vAlign w:val="center"/>
          </w:tcPr>
          <w:p w14:paraId="76B91228"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0.227</w:t>
            </w:r>
          </w:p>
        </w:tc>
        <w:tc>
          <w:tcPr>
            <w:tcW w:w="979" w:type="dxa"/>
            <w:tcBorders>
              <w:left w:val="single" w:sz="4" w:space="0" w:color="auto"/>
              <w:right w:val="single" w:sz="4" w:space="0" w:color="auto"/>
            </w:tcBorders>
            <w:vAlign w:val="center"/>
          </w:tcPr>
          <w:p w14:paraId="34FA8B82"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-2.46</w:t>
            </w:r>
          </w:p>
        </w:tc>
        <w:tc>
          <w:tcPr>
            <w:tcW w:w="1058" w:type="dxa"/>
            <w:tcBorders>
              <w:left w:val="single" w:sz="4" w:space="0" w:color="auto"/>
              <w:right w:val="single" w:sz="4" w:space="0" w:color="auto"/>
            </w:tcBorders>
            <w:vAlign w:val="center"/>
          </w:tcPr>
          <w:p w14:paraId="0AC6C130"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rPr>
              <w:t>0.126</w:t>
            </w:r>
          </w:p>
        </w:tc>
        <w:tc>
          <w:tcPr>
            <w:tcW w:w="1649" w:type="dxa"/>
            <w:tcBorders>
              <w:top w:val="single" w:sz="4" w:space="0" w:color="auto"/>
              <w:left w:val="single" w:sz="4" w:space="0" w:color="auto"/>
              <w:bottom w:val="single" w:sz="4" w:space="0" w:color="auto"/>
              <w:right w:val="single" w:sz="4" w:space="0" w:color="auto"/>
            </w:tcBorders>
            <w:vAlign w:val="center"/>
          </w:tcPr>
          <w:p w14:paraId="05EE0271" w14:textId="77777777" w:rsidR="00984D9C" w:rsidRPr="00984D9C" w:rsidRDefault="00984D9C" w:rsidP="00984D9C">
            <w:pPr>
              <w:keepLines/>
              <w:tabs>
                <w:tab w:val="left" w:pos="567"/>
              </w:tabs>
              <w:jc w:val="center"/>
              <w:rPr>
                <w:rFonts w:asciiTheme="majorHAnsi" w:eastAsia="Times New Roman" w:hAnsiTheme="majorHAnsi"/>
              </w:rPr>
            </w:pPr>
            <w:r w:rsidRPr="00984D9C">
              <w:rPr>
                <w:rFonts w:asciiTheme="majorHAnsi" w:eastAsia="Times New Roman" w:hAnsiTheme="majorHAnsi"/>
                <w:b/>
                <w:bCs/>
              </w:rPr>
              <w:t>- - -</w:t>
            </w:r>
          </w:p>
        </w:tc>
      </w:tr>
    </w:tbl>
    <w:p w14:paraId="38A0B4D6" w14:textId="77777777" w:rsidR="00984D9C" w:rsidRPr="00984D9C" w:rsidRDefault="00984D9C" w:rsidP="00984D9C">
      <w:pPr>
        <w:tabs>
          <w:tab w:val="left" w:pos="567"/>
        </w:tabs>
        <w:spacing w:after="0" w:line="240" w:lineRule="auto"/>
        <w:rPr>
          <w:rFonts w:asciiTheme="majorHAnsi" w:eastAsia="Times New Roman" w:hAnsiTheme="majorHAnsi" w:cs="Times New Roman"/>
          <w:sz w:val="16"/>
          <w:szCs w:val="16"/>
          <w:lang w:val="en-GB"/>
        </w:rPr>
      </w:pPr>
      <w:r w:rsidRPr="00984D9C">
        <w:rPr>
          <w:rFonts w:asciiTheme="majorHAnsi" w:eastAsia="Times New Roman" w:hAnsiTheme="majorHAnsi" w:cs="Times New Roman"/>
          <w:sz w:val="16"/>
          <w:szCs w:val="16"/>
          <w:lang w:val="en-GB"/>
        </w:rPr>
        <w:t>Abbreviations:  CI = confidence interval; IV = intravenous; LS = least square</w:t>
      </w:r>
    </w:p>
    <w:p w14:paraId="0B0EE853" w14:textId="77777777" w:rsidR="00984D9C" w:rsidRPr="00984D9C" w:rsidRDefault="00984D9C" w:rsidP="00984D9C">
      <w:pPr>
        <w:autoSpaceDE w:val="0"/>
        <w:autoSpaceDN w:val="0"/>
        <w:adjustRightInd w:val="0"/>
        <w:spacing w:after="0" w:line="240" w:lineRule="auto"/>
        <w:ind w:left="284" w:hanging="284"/>
        <w:rPr>
          <w:rFonts w:asciiTheme="majorHAnsi" w:eastAsia="TimesNewRoman" w:hAnsiTheme="majorHAnsi" w:cs="Times New Roman"/>
          <w:sz w:val="16"/>
          <w:szCs w:val="16"/>
          <w:lang w:val="en-US" w:eastAsia="en-GB"/>
        </w:rPr>
      </w:pPr>
      <w:r w:rsidRPr="00984D9C">
        <w:rPr>
          <w:rFonts w:asciiTheme="majorHAnsi" w:eastAsia="Times New Roman" w:hAnsiTheme="majorHAnsi" w:cs="Times New Roman"/>
          <w:sz w:val="16"/>
          <w:szCs w:val="16"/>
          <w:lang w:val="en-GB"/>
        </w:rPr>
        <w:t>*</w:t>
      </w:r>
      <w:r w:rsidRPr="00984D9C">
        <w:rPr>
          <w:rFonts w:asciiTheme="majorHAnsi" w:eastAsia="Times New Roman" w:hAnsiTheme="majorHAnsi" w:cs="Times New Roman"/>
          <w:sz w:val="16"/>
          <w:szCs w:val="16"/>
          <w:vertAlign w:val="superscript"/>
          <w:lang w:val="en-GB"/>
        </w:rPr>
        <w:t>1</w:t>
      </w:r>
      <w:r w:rsidRPr="00984D9C">
        <w:rPr>
          <w:rFonts w:asciiTheme="majorHAnsi" w:eastAsia="TimesNewRoman" w:hAnsiTheme="majorHAnsi" w:cs="Times New Roman"/>
          <w:sz w:val="16"/>
          <w:szCs w:val="16"/>
          <w:lang w:val="en-US" w:eastAsia="en-GB"/>
        </w:rPr>
        <w:tab/>
        <w:t>Clinical remission is based on the modified Mayo score (MMS) and is defined as: Stool frequency (SF) subscore = 0 or 1 with a ≥ 1</w:t>
      </w:r>
      <w:r w:rsidRPr="00984D9C">
        <w:rPr>
          <w:rFonts w:asciiTheme="majorHAnsi" w:eastAsia="TimesNewRoman" w:hAnsiTheme="majorHAnsi" w:cs="Times New Roman"/>
          <w:sz w:val="16"/>
          <w:szCs w:val="16"/>
          <w:lang w:val="en-US" w:eastAsia="en-GB"/>
        </w:rPr>
        <w:noBreakHyphen/>
        <w:t>point decrease from baseline, and Rectal bleeding (RB) subscore = 0, and Endoscopic subscore (ES) = 0 or 1 (excluding friability)</w:t>
      </w:r>
    </w:p>
    <w:p w14:paraId="55F366FB" w14:textId="77777777" w:rsidR="00984D9C" w:rsidRPr="00984D9C" w:rsidRDefault="00984D9C" w:rsidP="00984D9C">
      <w:pPr>
        <w:autoSpaceDE w:val="0"/>
        <w:autoSpaceDN w:val="0"/>
        <w:adjustRightInd w:val="0"/>
        <w:spacing w:after="0" w:line="240" w:lineRule="auto"/>
        <w:ind w:left="284" w:hanging="284"/>
        <w:rPr>
          <w:rFonts w:asciiTheme="majorHAnsi" w:eastAsia="TimesNewRoman" w:hAnsiTheme="majorHAnsi" w:cs="Times New Roman"/>
          <w:sz w:val="16"/>
          <w:szCs w:val="16"/>
          <w:lang w:val="en-US" w:eastAsia="en-GB"/>
        </w:rPr>
      </w:pPr>
      <w:r w:rsidRPr="00984D9C">
        <w:rPr>
          <w:rFonts w:asciiTheme="majorHAnsi" w:eastAsia="TimesNewRoman" w:hAnsiTheme="majorHAnsi" w:cs="Times New Roman"/>
          <w:sz w:val="16"/>
          <w:szCs w:val="16"/>
          <w:lang w:val="en-GB" w:eastAsia="en-GB"/>
        </w:rPr>
        <w:t>*</w:t>
      </w:r>
      <w:r w:rsidRPr="00984D9C">
        <w:rPr>
          <w:rFonts w:asciiTheme="majorHAnsi" w:eastAsia="TimesNewRoman" w:hAnsiTheme="majorHAnsi" w:cs="Times New Roman"/>
          <w:sz w:val="16"/>
          <w:szCs w:val="16"/>
          <w:vertAlign w:val="superscript"/>
          <w:lang w:val="en-GB" w:eastAsia="en-GB"/>
        </w:rPr>
        <w:t>2</w:t>
      </w:r>
      <w:r w:rsidRPr="00984D9C">
        <w:rPr>
          <w:rFonts w:asciiTheme="majorHAnsi" w:eastAsia="TimesNewRoman" w:hAnsiTheme="majorHAnsi" w:cs="Times New Roman"/>
          <w:sz w:val="16"/>
          <w:szCs w:val="16"/>
          <w:lang w:val="en-GB" w:eastAsia="en-GB"/>
        </w:rPr>
        <w:tab/>
        <w:t xml:space="preserve">Alternate </w:t>
      </w:r>
      <w:r w:rsidRPr="00984D9C">
        <w:rPr>
          <w:rFonts w:asciiTheme="majorHAnsi" w:eastAsia="Times New Roman" w:hAnsiTheme="majorHAnsi" w:cs="Times New Roman"/>
          <w:sz w:val="16"/>
          <w:szCs w:val="16"/>
          <w:lang w:val="en-GB"/>
        </w:rPr>
        <w:t xml:space="preserve">clinical remission </w:t>
      </w:r>
      <w:r w:rsidRPr="00984D9C">
        <w:rPr>
          <w:rFonts w:asciiTheme="majorHAnsi" w:eastAsia="TimesNewRoman" w:hAnsiTheme="majorHAnsi" w:cs="Times New Roman"/>
          <w:sz w:val="16"/>
          <w:szCs w:val="16"/>
          <w:lang w:val="en-US" w:eastAsia="en-GB"/>
        </w:rPr>
        <w:t>is based on the modified Mayo score (MMS) and is defined as: Stool frequency (SF) subscore = 0 or 1, and Rectal bleeding (RB) subscore = 0, and Endoscopic subscore (ES) = 0 or 1 (excluding friability)</w:t>
      </w:r>
    </w:p>
    <w:p w14:paraId="75C2992D" w14:textId="7BB2F9C0" w:rsidR="00984D9C" w:rsidRPr="00984D9C" w:rsidRDefault="00984D9C" w:rsidP="00984D9C">
      <w:pPr>
        <w:keepLines/>
        <w:spacing w:before="20" w:after="20" w:line="240" w:lineRule="auto"/>
        <w:ind w:left="284" w:hanging="284"/>
        <w:rPr>
          <w:rFonts w:asciiTheme="majorHAnsi" w:eastAsia="Times New Roman" w:hAnsiTheme="majorHAnsi" w:cs="Times New Roman"/>
          <w:bCs/>
          <w:sz w:val="16"/>
          <w:szCs w:val="16"/>
          <w:lang w:val="en-US" w:eastAsia="x-none"/>
        </w:rPr>
      </w:pPr>
      <w:r w:rsidRPr="00984D9C">
        <w:rPr>
          <w:rFonts w:asciiTheme="majorHAnsi" w:eastAsia="TimesNewRoman" w:hAnsiTheme="majorHAnsi" w:cs="Times New Roman"/>
          <w:sz w:val="16"/>
          <w:szCs w:val="16"/>
          <w:lang w:val="en-US" w:eastAsia="en-GB"/>
        </w:rPr>
        <w:t>*</w:t>
      </w:r>
      <w:r w:rsidRPr="00984D9C">
        <w:rPr>
          <w:rFonts w:asciiTheme="majorHAnsi" w:eastAsia="TimesNewRoman" w:hAnsiTheme="majorHAnsi" w:cs="Times New Roman"/>
          <w:sz w:val="16"/>
          <w:szCs w:val="16"/>
          <w:vertAlign w:val="superscript"/>
          <w:lang w:val="en-US" w:eastAsia="en-GB"/>
        </w:rPr>
        <w:t>3</w:t>
      </w:r>
      <w:r w:rsidRPr="00984D9C">
        <w:rPr>
          <w:rFonts w:asciiTheme="majorHAnsi" w:eastAsia="TimesNewRoman" w:hAnsiTheme="majorHAnsi" w:cs="Times New Roman"/>
          <w:sz w:val="16"/>
          <w:szCs w:val="16"/>
          <w:lang w:val="en-US" w:eastAsia="en-GB"/>
        </w:rPr>
        <w:tab/>
      </w:r>
      <w:r w:rsidRPr="00984D9C">
        <w:rPr>
          <w:rFonts w:asciiTheme="majorHAnsi" w:eastAsia="Times New Roman" w:hAnsiTheme="majorHAnsi" w:cs="Times New Roman"/>
          <w:bCs/>
          <w:sz w:val="16"/>
          <w:szCs w:val="16"/>
          <w:lang w:val="en-US" w:eastAsia="x-none"/>
        </w:rPr>
        <w:t>Clinical response based on the MMS and is defined as: A decrease in the MMS of ≥</w:t>
      </w:r>
      <w:r w:rsidRPr="00984D9C">
        <w:rPr>
          <w:rFonts w:asciiTheme="majorHAnsi" w:eastAsia="Times New Roman" w:hAnsiTheme="majorHAnsi" w:cs="Times New Roman"/>
          <w:sz w:val="16"/>
          <w:szCs w:val="16"/>
          <w:lang w:val="en-US" w:eastAsia="x-none"/>
        </w:rPr>
        <w:t> </w:t>
      </w:r>
      <w:r w:rsidRPr="00984D9C">
        <w:rPr>
          <w:rFonts w:asciiTheme="majorHAnsi" w:eastAsia="Times New Roman" w:hAnsiTheme="majorHAnsi" w:cs="Times New Roman"/>
          <w:bCs/>
          <w:sz w:val="16"/>
          <w:szCs w:val="16"/>
          <w:lang w:val="en-US" w:eastAsia="x-none"/>
        </w:rPr>
        <w:t>2 points and ≥</w:t>
      </w:r>
      <w:r w:rsidRPr="00984D9C">
        <w:rPr>
          <w:rFonts w:asciiTheme="majorHAnsi" w:eastAsia="Times New Roman" w:hAnsiTheme="majorHAnsi" w:cs="Times New Roman"/>
          <w:sz w:val="16"/>
          <w:szCs w:val="16"/>
          <w:lang w:val="en-US" w:eastAsia="x-none"/>
        </w:rPr>
        <w:t> </w:t>
      </w:r>
      <w:r w:rsidRPr="00984D9C">
        <w:rPr>
          <w:rFonts w:asciiTheme="majorHAnsi" w:eastAsia="Times New Roman" w:hAnsiTheme="majorHAnsi" w:cs="Times New Roman"/>
          <w:bCs/>
          <w:sz w:val="16"/>
          <w:szCs w:val="16"/>
          <w:lang w:val="en-US" w:eastAsia="x-none"/>
        </w:rPr>
        <w:t>30% decrease from baseline, and a decrease of ≥</w:t>
      </w:r>
      <w:r w:rsidRPr="00984D9C">
        <w:rPr>
          <w:rFonts w:asciiTheme="majorHAnsi" w:eastAsia="Times New Roman" w:hAnsiTheme="majorHAnsi" w:cs="Times New Roman"/>
          <w:sz w:val="16"/>
          <w:szCs w:val="16"/>
          <w:lang w:val="en-US" w:eastAsia="x-none"/>
        </w:rPr>
        <w:t> </w:t>
      </w:r>
      <w:r w:rsidRPr="00984D9C">
        <w:rPr>
          <w:rFonts w:asciiTheme="majorHAnsi" w:eastAsia="Times New Roman" w:hAnsiTheme="majorHAnsi" w:cs="Times New Roman"/>
          <w:bCs/>
          <w:sz w:val="16"/>
          <w:szCs w:val="16"/>
          <w:lang w:val="en-US" w:eastAsia="x-none"/>
        </w:rPr>
        <w:t>1 point in the RB subscore from baseline or a RB score of 0 or 1</w:t>
      </w:r>
    </w:p>
    <w:p w14:paraId="457B4610" w14:textId="77777777" w:rsidR="00984D9C" w:rsidRPr="00984D9C" w:rsidRDefault="00984D9C" w:rsidP="00984D9C">
      <w:pPr>
        <w:keepLines/>
        <w:spacing w:before="20" w:after="20" w:line="240" w:lineRule="auto"/>
        <w:ind w:left="284" w:hanging="284"/>
        <w:rPr>
          <w:rFonts w:asciiTheme="majorHAnsi" w:eastAsia="Times New Roman" w:hAnsiTheme="majorHAnsi" w:cs="Times New Roman"/>
          <w:sz w:val="16"/>
          <w:szCs w:val="16"/>
          <w:lang w:val="en-US" w:eastAsia="x-none"/>
        </w:rPr>
      </w:pPr>
      <w:r w:rsidRPr="00984D9C">
        <w:rPr>
          <w:rFonts w:asciiTheme="majorHAnsi" w:eastAsia="TimesNewRoman" w:hAnsiTheme="majorHAnsi" w:cs="Times New Roman"/>
          <w:sz w:val="16"/>
          <w:szCs w:val="16"/>
          <w:lang w:val="en-US" w:eastAsia="en-GB"/>
        </w:rPr>
        <w:t>*</w:t>
      </w:r>
      <w:r w:rsidRPr="00984D9C">
        <w:rPr>
          <w:rFonts w:asciiTheme="majorHAnsi" w:eastAsia="TimesNewRoman" w:hAnsiTheme="majorHAnsi" w:cs="Times New Roman"/>
          <w:sz w:val="16"/>
          <w:szCs w:val="16"/>
          <w:vertAlign w:val="superscript"/>
          <w:lang w:val="en-US" w:eastAsia="en-GB"/>
        </w:rPr>
        <w:t>4</w:t>
      </w:r>
      <w:r w:rsidRPr="00984D9C">
        <w:rPr>
          <w:rFonts w:asciiTheme="majorHAnsi" w:eastAsia="TimesNewRoman" w:hAnsiTheme="majorHAnsi" w:cs="Times New Roman"/>
          <w:sz w:val="16"/>
          <w:szCs w:val="16"/>
          <w:lang w:val="en-US" w:eastAsia="en-GB"/>
        </w:rPr>
        <w:tab/>
      </w:r>
      <w:r w:rsidRPr="00984D9C">
        <w:rPr>
          <w:rFonts w:asciiTheme="majorHAnsi" w:eastAsia="Times New Roman" w:hAnsiTheme="majorHAnsi" w:cs="Times New Roman"/>
          <w:sz w:val="16"/>
          <w:szCs w:val="16"/>
          <w:lang w:val="en-US" w:eastAsia="x-none"/>
        </w:rPr>
        <w:t>Endoscopic improvement defined as: ES = 0 or 1 (excluding friability)</w:t>
      </w:r>
    </w:p>
    <w:p w14:paraId="253BB140" w14:textId="77777777" w:rsidR="00984D9C" w:rsidRPr="00984D9C" w:rsidRDefault="00984D9C" w:rsidP="00984D9C">
      <w:pPr>
        <w:keepLines/>
        <w:spacing w:before="20" w:after="20" w:line="240" w:lineRule="auto"/>
        <w:ind w:left="284" w:hanging="284"/>
        <w:rPr>
          <w:rFonts w:asciiTheme="majorHAnsi" w:eastAsia="Times New Roman" w:hAnsiTheme="majorHAnsi" w:cs="Times New Roman"/>
          <w:sz w:val="16"/>
          <w:szCs w:val="16"/>
          <w:lang w:val="en-US" w:eastAsia="x-none"/>
        </w:rPr>
      </w:pPr>
      <w:r w:rsidRPr="00984D9C">
        <w:rPr>
          <w:rFonts w:asciiTheme="majorHAnsi" w:eastAsia="Times New Roman" w:hAnsiTheme="majorHAnsi" w:cs="Times New Roman"/>
          <w:sz w:val="16"/>
          <w:szCs w:val="16"/>
          <w:lang w:val="en-US" w:eastAsia="x-none"/>
        </w:rPr>
        <w:t>*</w:t>
      </w:r>
      <w:r w:rsidRPr="00984D9C">
        <w:rPr>
          <w:rFonts w:asciiTheme="majorHAnsi" w:eastAsia="Times New Roman" w:hAnsiTheme="majorHAnsi" w:cs="Times New Roman"/>
          <w:sz w:val="16"/>
          <w:szCs w:val="16"/>
          <w:vertAlign w:val="superscript"/>
          <w:lang w:val="en-US" w:eastAsia="x-none"/>
        </w:rPr>
        <w:t>5</w:t>
      </w:r>
      <w:r w:rsidRPr="00984D9C">
        <w:rPr>
          <w:rFonts w:asciiTheme="majorHAnsi" w:eastAsia="Times New Roman" w:hAnsiTheme="majorHAnsi" w:cs="Times New Roman"/>
          <w:sz w:val="16"/>
          <w:szCs w:val="16"/>
          <w:lang w:val="en-US" w:eastAsia="x-none"/>
        </w:rPr>
        <w:tab/>
        <w:t>Symptomatic remission defined as: SF = </w:t>
      </w:r>
      <w:r w:rsidRPr="00984D9C" w:rsidDel="00B163DF">
        <w:rPr>
          <w:rFonts w:asciiTheme="majorHAnsi" w:eastAsia="Times New Roman" w:hAnsiTheme="majorHAnsi" w:cs="Times New Roman"/>
          <w:sz w:val="16"/>
          <w:szCs w:val="16"/>
          <w:lang w:val="en-US" w:eastAsia="x-none"/>
        </w:rPr>
        <w:t>0</w:t>
      </w:r>
      <w:r w:rsidRPr="00984D9C">
        <w:rPr>
          <w:rFonts w:asciiTheme="majorHAnsi" w:eastAsia="Times New Roman" w:hAnsiTheme="majorHAnsi" w:cs="Times New Roman"/>
          <w:sz w:val="16"/>
          <w:szCs w:val="16"/>
          <w:lang w:val="en-US" w:eastAsia="x-none"/>
        </w:rPr>
        <w:t>, or SF = 1 with a ≥ 1</w:t>
      </w:r>
      <w:r w:rsidRPr="00984D9C">
        <w:rPr>
          <w:rFonts w:asciiTheme="majorHAnsi" w:eastAsia="Times New Roman" w:hAnsiTheme="majorHAnsi" w:cs="Times New Roman"/>
          <w:sz w:val="16"/>
          <w:szCs w:val="16"/>
          <w:lang w:val="en-US" w:eastAsia="x-none"/>
        </w:rPr>
        <w:noBreakHyphen/>
        <w:t>point decrease from baseline, and RB = 0</w:t>
      </w:r>
    </w:p>
    <w:p w14:paraId="7E0BAB21" w14:textId="6CA084C0" w:rsidR="00984D9C" w:rsidRPr="00984D9C" w:rsidRDefault="00984D9C" w:rsidP="00984D9C">
      <w:pPr>
        <w:autoSpaceDE w:val="0"/>
        <w:autoSpaceDN w:val="0"/>
        <w:adjustRightInd w:val="0"/>
        <w:spacing w:after="0" w:line="240" w:lineRule="auto"/>
        <w:ind w:left="284" w:hanging="284"/>
        <w:rPr>
          <w:rFonts w:asciiTheme="majorHAnsi" w:eastAsia="TimesNewRoman" w:hAnsiTheme="majorHAnsi" w:cs="Times New Roman"/>
          <w:sz w:val="16"/>
          <w:szCs w:val="16"/>
          <w:lang w:val="en-US" w:eastAsia="en-GB"/>
        </w:rPr>
      </w:pPr>
      <w:r w:rsidRPr="00984D9C">
        <w:rPr>
          <w:rFonts w:asciiTheme="majorHAnsi" w:eastAsia="Times New Roman" w:hAnsiTheme="majorHAnsi" w:cs="Times New Roman"/>
          <w:sz w:val="16"/>
          <w:szCs w:val="16"/>
          <w:lang w:val="en-GB"/>
        </w:rPr>
        <w:t>*</w:t>
      </w:r>
      <w:r w:rsidRPr="00984D9C">
        <w:rPr>
          <w:rFonts w:asciiTheme="majorHAnsi" w:eastAsia="Times New Roman" w:hAnsiTheme="majorHAnsi" w:cs="Times New Roman"/>
          <w:sz w:val="16"/>
          <w:szCs w:val="16"/>
          <w:vertAlign w:val="superscript"/>
          <w:lang w:val="en-GB"/>
        </w:rPr>
        <w:t>6</w:t>
      </w:r>
      <w:r w:rsidRPr="00984D9C">
        <w:rPr>
          <w:rFonts w:asciiTheme="majorHAnsi" w:eastAsia="Times New Roman" w:hAnsiTheme="majorHAnsi" w:cs="Times New Roman"/>
          <w:sz w:val="16"/>
          <w:szCs w:val="16"/>
          <w:lang w:val="en-GB"/>
        </w:rPr>
        <w:tab/>
      </w:r>
      <w:r w:rsidRPr="00984D9C">
        <w:rPr>
          <w:rFonts w:asciiTheme="majorHAnsi" w:eastAsia="TimesNewRoman" w:hAnsiTheme="majorHAnsi" w:cs="Times New Roman"/>
          <w:sz w:val="16"/>
          <w:szCs w:val="16"/>
          <w:lang w:val="en-US" w:eastAsia="en-GB"/>
        </w:rPr>
        <w:t>Histo</w:t>
      </w:r>
      <w:r w:rsidRPr="00984D9C">
        <w:rPr>
          <w:rFonts w:asciiTheme="majorHAnsi" w:eastAsia="TimesNewRoman" w:hAnsiTheme="majorHAnsi" w:cs="Times New Roman"/>
          <w:sz w:val="16"/>
          <w:szCs w:val="16"/>
          <w:lang w:val="en-US" w:eastAsia="en-GB"/>
        </w:rPr>
        <w:noBreakHyphen/>
        <w:t xml:space="preserve">endoscopic mucosal improvement defined as achieving both: </w:t>
      </w:r>
      <w:r w:rsidRPr="00984D9C">
        <w:rPr>
          <w:rFonts w:asciiTheme="majorHAnsi" w:eastAsia="CourierNew" w:hAnsiTheme="majorHAnsi" w:cs="Times New Roman"/>
          <w:sz w:val="16"/>
          <w:szCs w:val="16"/>
          <w:lang w:val="en-US" w:eastAsia="en-GB"/>
        </w:rPr>
        <w:t xml:space="preserve">1. </w:t>
      </w:r>
      <w:r w:rsidRPr="00984D9C">
        <w:rPr>
          <w:rFonts w:asciiTheme="majorHAnsi" w:eastAsia="TimesNewRoman,Bold" w:hAnsiTheme="majorHAnsi" w:cs="Times New Roman"/>
          <w:sz w:val="16"/>
          <w:szCs w:val="16"/>
          <w:lang w:val="en-US" w:eastAsia="en-GB"/>
        </w:rPr>
        <w:t>Histologic improvement</w:t>
      </w:r>
      <w:r w:rsidRPr="00984D9C">
        <w:rPr>
          <w:rFonts w:asciiTheme="majorHAnsi" w:eastAsia="TimesNewRoman" w:hAnsiTheme="majorHAnsi" w:cs="Times New Roman"/>
          <w:sz w:val="16"/>
          <w:szCs w:val="16"/>
          <w:lang w:val="en-US" w:eastAsia="en-GB"/>
        </w:rPr>
        <w:t>, defined using Geboes scoring system with neutrophil infiltration in &lt;</w:t>
      </w:r>
      <w:r w:rsidRPr="00984D9C">
        <w:rPr>
          <w:rFonts w:asciiTheme="majorHAnsi" w:eastAsia="Times New Roman" w:hAnsiTheme="majorHAnsi" w:cs="Times New Roman"/>
          <w:sz w:val="16"/>
          <w:szCs w:val="16"/>
          <w:lang w:val="en-GB"/>
        </w:rPr>
        <w:t> </w:t>
      </w:r>
      <w:r w:rsidRPr="00984D9C">
        <w:rPr>
          <w:rFonts w:asciiTheme="majorHAnsi" w:eastAsia="TimesNewRoman" w:hAnsiTheme="majorHAnsi" w:cs="Times New Roman"/>
          <w:sz w:val="16"/>
          <w:szCs w:val="16"/>
          <w:lang w:val="en-US" w:eastAsia="en-GB"/>
        </w:rPr>
        <w:t>5% of crypts, no crypt destruction, and no erosions, ulcerations, or granulation tissue. 2.</w:t>
      </w:r>
      <w:r w:rsidRPr="00984D9C">
        <w:rPr>
          <w:rFonts w:asciiTheme="majorHAnsi" w:eastAsia="CourierNew" w:hAnsiTheme="majorHAnsi" w:cs="Times New Roman"/>
          <w:sz w:val="16"/>
          <w:szCs w:val="16"/>
          <w:lang w:val="en-US" w:eastAsia="en-GB"/>
        </w:rPr>
        <w:t xml:space="preserve"> </w:t>
      </w:r>
      <w:r w:rsidRPr="00984D9C">
        <w:rPr>
          <w:rFonts w:asciiTheme="majorHAnsi" w:eastAsia="TimesNewRoman,Bold" w:hAnsiTheme="majorHAnsi" w:cs="Times New Roman"/>
          <w:sz w:val="16"/>
          <w:szCs w:val="16"/>
          <w:lang w:val="en-US" w:eastAsia="en-GB"/>
        </w:rPr>
        <w:t>Endoscopic improvement</w:t>
      </w:r>
      <w:r w:rsidRPr="00984D9C">
        <w:rPr>
          <w:rFonts w:asciiTheme="majorHAnsi" w:eastAsia="TimesNewRoman" w:hAnsiTheme="majorHAnsi" w:cs="Times New Roman"/>
          <w:sz w:val="16"/>
          <w:szCs w:val="16"/>
          <w:lang w:val="en-US" w:eastAsia="en-GB"/>
        </w:rPr>
        <w:t>, defined as ES =</w:t>
      </w:r>
      <w:r w:rsidRPr="00984D9C">
        <w:rPr>
          <w:rFonts w:asciiTheme="majorHAnsi" w:eastAsia="Times New Roman" w:hAnsiTheme="majorHAnsi" w:cs="Times New Roman"/>
          <w:sz w:val="16"/>
          <w:szCs w:val="16"/>
          <w:lang w:val="en-GB"/>
        </w:rPr>
        <w:t> </w:t>
      </w:r>
      <w:r w:rsidRPr="00984D9C">
        <w:rPr>
          <w:rFonts w:asciiTheme="majorHAnsi" w:eastAsia="TimesNewRoman" w:hAnsiTheme="majorHAnsi" w:cs="Times New Roman"/>
          <w:sz w:val="16"/>
          <w:szCs w:val="16"/>
          <w:lang w:val="en-US" w:eastAsia="en-GB"/>
        </w:rPr>
        <w:t>0 or 1 (excluding friability).</w:t>
      </w:r>
    </w:p>
    <w:p w14:paraId="20B10AC0" w14:textId="77777777" w:rsidR="00984D9C" w:rsidRPr="00984D9C" w:rsidRDefault="00984D9C" w:rsidP="00984D9C">
      <w:pPr>
        <w:autoSpaceDE w:val="0"/>
        <w:autoSpaceDN w:val="0"/>
        <w:adjustRightInd w:val="0"/>
        <w:spacing w:after="0" w:line="240" w:lineRule="auto"/>
        <w:ind w:left="284" w:hanging="284"/>
        <w:rPr>
          <w:rFonts w:asciiTheme="majorHAnsi" w:eastAsia="Times New Roman" w:hAnsiTheme="majorHAnsi" w:cs="Times New Roman"/>
          <w:sz w:val="16"/>
          <w:szCs w:val="16"/>
          <w:lang w:val="en-US"/>
        </w:rPr>
      </w:pPr>
      <w:r w:rsidRPr="00984D9C">
        <w:rPr>
          <w:rFonts w:asciiTheme="majorHAnsi" w:eastAsia="TimesNewRoman" w:hAnsiTheme="majorHAnsi" w:cs="Times New Roman"/>
          <w:sz w:val="16"/>
          <w:szCs w:val="16"/>
          <w:lang w:val="en-US" w:eastAsia="en-GB"/>
        </w:rPr>
        <w:t>*</w:t>
      </w:r>
      <w:r w:rsidRPr="00984D9C">
        <w:rPr>
          <w:rFonts w:asciiTheme="majorHAnsi" w:eastAsia="TimesNewRoman" w:hAnsiTheme="majorHAnsi" w:cs="Times New Roman"/>
          <w:sz w:val="16"/>
          <w:szCs w:val="16"/>
          <w:vertAlign w:val="superscript"/>
          <w:lang w:val="en-US" w:eastAsia="en-GB"/>
        </w:rPr>
        <w:t>7</w:t>
      </w:r>
      <w:r w:rsidRPr="00984D9C">
        <w:rPr>
          <w:rFonts w:asciiTheme="majorHAnsi" w:eastAsia="TimesNewRoman" w:hAnsiTheme="majorHAnsi" w:cs="Times New Roman"/>
          <w:sz w:val="16"/>
          <w:szCs w:val="16"/>
          <w:lang w:val="en-US" w:eastAsia="en-GB"/>
        </w:rPr>
        <w:tab/>
        <w:t>Change from baseline in the Urgency Numeric Rating Scale score</w:t>
      </w:r>
    </w:p>
    <w:p w14:paraId="7776869E" w14:textId="13733209" w:rsidR="00984D9C" w:rsidRPr="00984D9C" w:rsidRDefault="00984D9C" w:rsidP="00984D9C">
      <w:pPr>
        <w:numPr>
          <w:ilvl w:val="0"/>
          <w:numId w:val="11"/>
        </w:numPr>
        <w:tabs>
          <w:tab w:val="left" w:pos="284"/>
          <w:tab w:val="left" w:pos="567"/>
        </w:tabs>
        <w:spacing w:after="0" w:line="240" w:lineRule="auto"/>
        <w:ind w:left="284" w:hanging="284"/>
        <w:contextualSpacing/>
        <w:rPr>
          <w:rFonts w:asciiTheme="majorHAnsi" w:eastAsia="Times New Roman" w:hAnsiTheme="majorHAnsi" w:cs="Times New Roman"/>
          <w:color w:val="000000"/>
          <w:sz w:val="16"/>
          <w:szCs w:val="16"/>
          <w:lang w:val="en-US" w:eastAsia="en-GB"/>
        </w:rPr>
      </w:pPr>
      <w:r w:rsidRPr="00984D9C">
        <w:rPr>
          <w:rFonts w:asciiTheme="majorHAnsi" w:eastAsia="Times New Roman" w:hAnsiTheme="majorHAnsi" w:cs="Times New Roman"/>
          <w:color w:val="000000" w:themeColor="text1"/>
          <w:sz w:val="16"/>
          <w:szCs w:val="16"/>
          <w:lang w:val="en-US" w:eastAsia="en-GB"/>
        </w:rPr>
        <w:t>An additional 5 patients on placebo and 15 patients on mirikizumab were previously exposed to but did not fail a biologic or JAK</w:t>
      </w:r>
      <w:r w:rsidRPr="00984D9C">
        <w:rPr>
          <w:rFonts w:asciiTheme="majorHAnsi" w:eastAsia="Times New Roman" w:hAnsiTheme="majorHAnsi" w:cs="Times New Roman"/>
          <w:color w:val="000000" w:themeColor="text1"/>
          <w:sz w:val="16"/>
          <w:szCs w:val="16"/>
          <w:lang w:val="en-US" w:eastAsia="en-GB"/>
        </w:rPr>
        <w:noBreakHyphen/>
        <w:t>inhibitor.</w:t>
      </w:r>
    </w:p>
    <w:p w14:paraId="19175203" w14:textId="77777777" w:rsidR="00984D9C" w:rsidRPr="00984D9C" w:rsidRDefault="00984D9C" w:rsidP="00984D9C">
      <w:pPr>
        <w:numPr>
          <w:ilvl w:val="0"/>
          <w:numId w:val="11"/>
        </w:numPr>
        <w:tabs>
          <w:tab w:val="left" w:pos="284"/>
          <w:tab w:val="left" w:pos="567"/>
        </w:tabs>
        <w:spacing w:after="0" w:line="240" w:lineRule="auto"/>
        <w:ind w:left="284" w:hanging="284"/>
        <w:contextualSpacing/>
        <w:rPr>
          <w:rFonts w:asciiTheme="majorHAnsi" w:eastAsia="Times New Roman" w:hAnsiTheme="majorHAnsi" w:cs="Times New Roman"/>
          <w:sz w:val="16"/>
          <w:szCs w:val="16"/>
          <w:lang w:val="en-GB" w:eastAsia="en-GB"/>
        </w:rPr>
      </w:pPr>
      <w:r w:rsidRPr="00984D9C">
        <w:rPr>
          <w:rFonts w:asciiTheme="majorHAnsi" w:eastAsia="Times New Roman" w:hAnsiTheme="majorHAnsi" w:cs="Times New Roman"/>
          <w:color w:val="000000" w:themeColor="text1"/>
          <w:sz w:val="16"/>
          <w:szCs w:val="16"/>
          <w:lang w:val="en-GB" w:eastAsia="en-GB"/>
        </w:rPr>
        <w:t>Loss of response, inadequate response or intolerance.</w:t>
      </w:r>
    </w:p>
    <w:p w14:paraId="2EB2053F" w14:textId="77777777" w:rsidR="00984D9C" w:rsidRPr="00984D9C" w:rsidRDefault="00984D9C" w:rsidP="00984D9C">
      <w:pPr>
        <w:numPr>
          <w:ilvl w:val="0"/>
          <w:numId w:val="11"/>
        </w:numPr>
        <w:tabs>
          <w:tab w:val="left" w:pos="284"/>
          <w:tab w:val="left" w:pos="567"/>
        </w:tabs>
        <w:spacing w:after="0" w:line="240" w:lineRule="auto"/>
        <w:ind w:left="284" w:hanging="284"/>
        <w:contextualSpacing/>
        <w:rPr>
          <w:rFonts w:asciiTheme="majorHAnsi" w:eastAsia="Times New Roman" w:hAnsiTheme="majorHAnsi" w:cs="Times New Roman"/>
          <w:sz w:val="16"/>
          <w:szCs w:val="16"/>
          <w:lang w:val="en-GB" w:eastAsia="en-GB"/>
        </w:rPr>
      </w:pPr>
      <w:r w:rsidRPr="00984D9C">
        <w:rPr>
          <w:rFonts w:asciiTheme="majorHAnsi" w:eastAsia="Times New Roman" w:hAnsiTheme="majorHAnsi" w:cs="Times New Roman"/>
          <w:sz w:val="16"/>
          <w:szCs w:val="16"/>
          <w:lang w:val="en-GB" w:eastAsia="en-GB"/>
        </w:rPr>
        <w:t>p &lt; 0.001</w:t>
      </w:r>
    </w:p>
    <w:p w14:paraId="7E8018A6" w14:textId="77777777" w:rsidR="00984D9C" w:rsidRPr="00984D9C" w:rsidRDefault="00984D9C" w:rsidP="00984D9C">
      <w:pPr>
        <w:numPr>
          <w:ilvl w:val="0"/>
          <w:numId w:val="11"/>
        </w:numPr>
        <w:tabs>
          <w:tab w:val="left" w:pos="284"/>
          <w:tab w:val="left" w:pos="567"/>
        </w:tabs>
        <w:spacing w:after="0" w:line="240" w:lineRule="auto"/>
        <w:ind w:left="284" w:hanging="284"/>
        <w:contextualSpacing/>
        <w:rPr>
          <w:rFonts w:asciiTheme="majorHAnsi" w:eastAsia="Times New Roman" w:hAnsiTheme="majorHAnsi" w:cs="Times New Roman"/>
          <w:sz w:val="16"/>
          <w:szCs w:val="16"/>
          <w:lang w:val="en-GB" w:eastAsia="en-GB"/>
        </w:rPr>
      </w:pPr>
      <w:r w:rsidRPr="00984D9C">
        <w:rPr>
          <w:rFonts w:asciiTheme="majorHAnsi" w:eastAsia="Times New Roman" w:hAnsiTheme="majorHAnsi" w:cs="Times New Roman"/>
          <w:sz w:val="16"/>
          <w:szCs w:val="16"/>
          <w:lang w:val="en-GB" w:eastAsia="en-GB"/>
        </w:rPr>
        <w:t>Mirikizumab results in the subgroup of patients who failed more than one biologic or JAK</w:t>
      </w:r>
      <w:r w:rsidRPr="00984D9C">
        <w:rPr>
          <w:rFonts w:asciiTheme="majorHAnsi" w:eastAsia="Times New Roman" w:hAnsiTheme="majorHAnsi" w:cs="Times New Roman"/>
          <w:sz w:val="16"/>
          <w:szCs w:val="16"/>
          <w:lang w:val="en-GB" w:eastAsia="en-GB"/>
        </w:rPr>
        <w:noBreakHyphen/>
        <w:t>inhibitor were consistent with results in the overall population.</w:t>
      </w:r>
    </w:p>
    <w:p w14:paraId="39259437" w14:textId="601268E1" w:rsidR="00197360" w:rsidRDefault="00197360" w:rsidP="00F24CCC">
      <w:pPr>
        <w:ind w:firstLine="227"/>
        <w:rPr>
          <w:rFonts w:asciiTheme="majorHAnsi" w:hAnsiTheme="majorHAnsi" w:cstheme="minorHAnsi"/>
          <w:b/>
          <w:bCs/>
          <w:highlight w:val="yellow"/>
          <w:u w:val="single"/>
          <w:lang w:val="en"/>
        </w:rPr>
      </w:pPr>
    </w:p>
    <w:p w14:paraId="3D4E5DA0" w14:textId="771960FB" w:rsidR="002E7150" w:rsidRDefault="002E7150" w:rsidP="00B53EA2">
      <w:pPr>
        <w:ind w:firstLine="227"/>
        <w:rPr>
          <w:rFonts w:asciiTheme="majorHAnsi" w:hAnsiTheme="majorHAnsi" w:cstheme="minorHAnsi"/>
          <w:b/>
          <w:bCs/>
          <w:u w:val="single"/>
          <w:lang w:val="en"/>
        </w:rPr>
      </w:pPr>
      <w:r w:rsidRPr="002E7150">
        <w:rPr>
          <w:rFonts w:asciiTheme="majorHAnsi" w:hAnsiTheme="majorHAnsi" w:cstheme="minorHAnsi"/>
          <w:b/>
          <w:bCs/>
          <w:u w:val="single"/>
          <w:lang w:val="en"/>
        </w:rPr>
        <w:t>Maintenance Study (LUCENT-2)</w:t>
      </w:r>
    </w:p>
    <w:p w14:paraId="23AA6D21" w14:textId="23A497DB" w:rsidR="002E7150" w:rsidRDefault="00863571">
      <w:pPr>
        <w:ind w:left="210" w:firstLine="17"/>
        <w:rPr>
          <w:rFonts w:asciiTheme="majorHAnsi" w:hAnsiTheme="majorHAnsi" w:cstheme="minorHAnsi"/>
          <w:lang w:val="en"/>
        </w:rPr>
      </w:pPr>
      <w:r w:rsidRPr="00863571">
        <w:rPr>
          <w:rFonts w:asciiTheme="majorHAnsi" w:hAnsiTheme="majorHAnsi" w:cstheme="minorHAnsi"/>
          <w:lang w:val="en"/>
        </w:rPr>
        <w:t>LUCENT</w:t>
      </w:r>
      <w:r w:rsidR="0054014C">
        <w:rPr>
          <w:rFonts w:asciiTheme="majorHAnsi" w:hAnsiTheme="majorHAnsi" w:cstheme="minorHAnsi"/>
          <w:lang w:val="en"/>
        </w:rPr>
        <w:t>-</w:t>
      </w:r>
      <w:r w:rsidRPr="00863571">
        <w:rPr>
          <w:rFonts w:asciiTheme="majorHAnsi" w:hAnsiTheme="majorHAnsi" w:cstheme="minorHAnsi"/>
          <w:lang w:val="en"/>
        </w:rPr>
        <w:t>2 evaluated 544 patients who achieved clinical response in LUCENT</w:t>
      </w:r>
      <w:r w:rsidR="0054014C">
        <w:rPr>
          <w:rFonts w:asciiTheme="majorHAnsi" w:hAnsiTheme="majorHAnsi" w:cstheme="minorHAnsi"/>
          <w:lang w:val="en"/>
        </w:rPr>
        <w:t>-</w:t>
      </w:r>
      <w:r w:rsidRPr="00863571">
        <w:rPr>
          <w:rFonts w:asciiTheme="majorHAnsi" w:hAnsiTheme="majorHAnsi" w:cstheme="minorHAnsi"/>
          <w:lang w:val="en"/>
        </w:rPr>
        <w:t>1 at week 12. Patients were re</w:t>
      </w:r>
      <w:r w:rsidR="00A61539">
        <w:rPr>
          <w:rFonts w:asciiTheme="majorHAnsi" w:hAnsiTheme="majorHAnsi" w:cstheme="minorHAnsi"/>
          <w:lang w:val="en"/>
        </w:rPr>
        <w:t>-</w:t>
      </w:r>
      <w:r w:rsidRPr="00863571">
        <w:rPr>
          <w:rFonts w:asciiTheme="majorHAnsi" w:hAnsiTheme="majorHAnsi" w:cstheme="minorHAnsi"/>
          <w:lang w:val="en"/>
        </w:rPr>
        <w:t>randomi</w:t>
      </w:r>
      <w:r w:rsidR="005923E4">
        <w:rPr>
          <w:rFonts w:asciiTheme="majorHAnsi" w:hAnsiTheme="majorHAnsi" w:cstheme="minorHAnsi"/>
          <w:lang w:val="en"/>
        </w:rPr>
        <w:t>s</w:t>
      </w:r>
      <w:r w:rsidRPr="00863571">
        <w:rPr>
          <w:rFonts w:asciiTheme="majorHAnsi" w:hAnsiTheme="majorHAnsi" w:cstheme="minorHAnsi"/>
          <w:lang w:val="en"/>
        </w:rPr>
        <w:t>ed in a 2:1 treatment allocation ratio to receive a subcutaneous maintenance regimen of 200 mg mirikizumab or placebo every 4 weeks for 40 weeks (which is 52 weeks from initiation of the induction dose). Corticosteroid tapering was required upon entrance into LUCENT</w:t>
      </w:r>
      <w:r w:rsidR="0054014C">
        <w:rPr>
          <w:rFonts w:asciiTheme="majorHAnsi" w:hAnsiTheme="majorHAnsi" w:cstheme="minorHAnsi"/>
          <w:lang w:val="en"/>
        </w:rPr>
        <w:t>-</w:t>
      </w:r>
      <w:r w:rsidRPr="00863571">
        <w:rPr>
          <w:rFonts w:asciiTheme="majorHAnsi" w:hAnsiTheme="majorHAnsi" w:cstheme="minorHAnsi"/>
          <w:lang w:val="en"/>
        </w:rPr>
        <w:t>2 for patients who were receiving corticosteroids during LUCENT</w:t>
      </w:r>
      <w:r w:rsidR="0054014C">
        <w:rPr>
          <w:rFonts w:asciiTheme="majorHAnsi" w:hAnsiTheme="majorHAnsi" w:cstheme="minorHAnsi"/>
          <w:lang w:val="en"/>
        </w:rPr>
        <w:t>-</w:t>
      </w:r>
      <w:r w:rsidRPr="00863571">
        <w:rPr>
          <w:rFonts w:asciiTheme="majorHAnsi" w:hAnsiTheme="majorHAnsi" w:cstheme="minorHAnsi"/>
          <w:lang w:val="en"/>
        </w:rPr>
        <w:t>1. Significantly greater proportions of patients were in clinical remission in the mirikizumab treated group compared to the placebo group at week 40 (see</w:t>
      </w:r>
      <w:r w:rsidR="00037C25">
        <w:rPr>
          <w:rFonts w:asciiTheme="majorHAnsi" w:hAnsiTheme="majorHAnsi" w:cstheme="minorHAnsi"/>
          <w:lang w:val="en"/>
        </w:rPr>
        <w:t xml:space="preserve"> </w:t>
      </w:r>
      <w:r w:rsidR="00CC7D1D">
        <w:rPr>
          <w:rFonts w:asciiTheme="majorHAnsi" w:hAnsiTheme="majorHAnsi" w:cstheme="minorHAnsi"/>
          <w:lang w:val="en"/>
        </w:rPr>
        <w:t xml:space="preserve">Table </w:t>
      </w:r>
      <w:r w:rsidR="00CD4278">
        <w:rPr>
          <w:rFonts w:asciiTheme="majorHAnsi" w:hAnsiTheme="majorHAnsi" w:cstheme="minorHAnsi"/>
          <w:lang w:val="en"/>
        </w:rPr>
        <w:t>5</w:t>
      </w:r>
      <w:r w:rsidRPr="00863571">
        <w:rPr>
          <w:rFonts w:asciiTheme="majorHAnsi" w:hAnsiTheme="majorHAnsi" w:cstheme="minorHAnsi"/>
          <w:lang w:val="en"/>
        </w:rPr>
        <w:t>).</w:t>
      </w:r>
    </w:p>
    <w:p w14:paraId="5D8DE0BB" w14:textId="77777777" w:rsidR="00FA00C6" w:rsidRDefault="00FA00C6">
      <w:pPr>
        <w:rPr>
          <w:rFonts w:asciiTheme="majorHAnsi" w:hAnsiTheme="majorHAnsi"/>
          <w:b/>
          <w:bCs/>
        </w:rPr>
      </w:pPr>
      <w:bookmarkStart w:id="9" w:name="_Ref122503757"/>
      <w:r>
        <w:rPr>
          <w:rFonts w:asciiTheme="majorHAnsi" w:hAnsiTheme="majorHAnsi"/>
          <w:b/>
          <w:bCs/>
          <w:i/>
          <w:iCs/>
        </w:rPr>
        <w:br w:type="page"/>
      </w:r>
    </w:p>
    <w:p w14:paraId="31D73698" w14:textId="7C626B45" w:rsidR="00780265" w:rsidRPr="00D07960" w:rsidRDefault="00EF159B" w:rsidP="00D07960">
      <w:pPr>
        <w:pStyle w:val="Caption"/>
        <w:keepNext/>
        <w:rPr>
          <w:rFonts w:asciiTheme="majorHAnsi" w:eastAsia="Times New Roman" w:hAnsiTheme="majorHAnsi" w:cs="Times New Roman"/>
          <w:b/>
          <w:color w:val="auto"/>
          <w:szCs w:val="22"/>
          <w:lang w:val="en-GB"/>
        </w:rPr>
      </w:pPr>
      <w:r w:rsidRPr="00D07960">
        <w:rPr>
          <w:rFonts w:asciiTheme="majorHAnsi" w:hAnsiTheme="majorHAnsi"/>
          <w:b/>
          <w:bCs/>
          <w:i w:val="0"/>
          <w:iCs w:val="0"/>
          <w:color w:val="auto"/>
          <w:sz w:val="22"/>
          <w:szCs w:val="22"/>
        </w:rPr>
        <w:lastRenderedPageBreak/>
        <w:t xml:space="preserve">Table </w:t>
      </w:r>
      <w:r w:rsidR="00CD4278">
        <w:rPr>
          <w:rFonts w:asciiTheme="majorHAnsi" w:hAnsiTheme="majorHAnsi"/>
          <w:b/>
          <w:bCs/>
          <w:i w:val="0"/>
          <w:iCs w:val="0"/>
          <w:color w:val="auto"/>
          <w:sz w:val="22"/>
          <w:szCs w:val="22"/>
        </w:rPr>
        <w:t>5</w:t>
      </w:r>
      <w:bookmarkEnd w:id="9"/>
      <w:r w:rsidR="00780265" w:rsidRPr="00D07960">
        <w:rPr>
          <w:rFonts w:asciiTheme="majorHAnsi" w:eastAsia="Times New Roman" w:hAnsiTheme="majorHAnsi" w:cs="Times New Roman"/>
          <w:b/>
          <w:i w:val="0"/>
          <w:color w:val="auto"/>
          <w:sz w:val="22"/>
          <w:szCs w:val="22"/>
          <w:lang w:val="en-GB"/>
        </w:rPr>
        <w:t>: Summary of key efficacy measures in LUCENT</w:t>
      </w:r>
      <w:r w:rsidR="00780265" w:rsidRPr="00D07960">
        <w:rPr>
          <w:rFonts w:asciiTheme="majorHAnsi" w:eastAsia="Times New Roman" w:hAnsiTheme="majorHAnsi" w:cs="Times New Roman"/>
          <w:b/>
          <w:i w:val="0"/>
          <w:color w:val="auto"/>
          <w:sz w:val="22"/>
          <w:szCs w:val="22"/>
          <w:lang w:val="en-GB"/>
        </w:rPr>
        <w:noBreakHyphen/>
        <w:t>2 (week 40; 52 weeks from initiation of the induction dose)</w:t>
      </w:r>
      <w:r w:rsidR="0012736B">
        <w:rPr>
          <w:rFonts w:asciiTheme="majorHAnsi" w:eastAsia="Times New Roman" w:hAnsiTheme="majorHAnsi" w:cs="Times New Roman"/>
          <w:b/>
          <w:i w:val="0"/>
          <w:color w:val="auto"/>
          <w:sz w:val="22"/>
          <w:szCs w:val="22"/>
          <w:lang w:val="en-GB"/>
        </w:rPr>
        <w:fldChar w:fldCharType="begin"/>
      </w:r>
      <w:r w:rsidR="0012736B">
        <w:rPr>
          <w:rFonts w:asciiTheme="majorHAnsi" w:eastAsia="Times New Roman" w:hAnsiTheme="majorHAnsi" w:cs="Times New Roman"/>
          <w:b/>
          <w:i w:val="0"/>
          <w:color w:val="auto"/>
          <w:sz w:val="22"/>
          <w:szCs w:val="22"/>
          <w:lang w:val="en-GB"/>
        </w:rPr>
        <w:instrText xml:space="preserve"> DOCVARIABLE vault_nd_c3f24ba0-0008-4226-ada2-8e9a97c97608 \* MERGEFORMAT </w:instrText>
      </w:r>
      <w:r w:rsidR="0012736B">
        <w:rPr>
          <w:rFonts w:asciiTheme="majorHAnsi" w:eastAsia="Times New Roman" w:hAnsiTheme="majorHAnsi" w:cs="Times New Roman"/>
          <w:b/>
          <w:i w:val="0"/>
          <w:color w:val="auto"/>
          <w:sz w:val="22"/>
          <w:szCs w:val="22"/>
          <w:lang w:val="en-GB"/>
        </w:rPr>
        <w:fldChar w:fldCharType="separate"/>
      </w:r>
      <w:r w:rsidR="0012736B">
        <w:rPr>
          <w:rFonts w:asciiTheme="majorHAnsi" w:eastAsia="Times New Roman" w:hAnsiTheme="majorHAnsi" w:cs="Times New Roman"/>
          <w:b/>
          <w:i w:val="0"/>
          <w:color w:val="auto"/>
          <w:sz w:val="22"/>
          <w:szCs w:val="22"/>
          <w:lang w:val="en-GB"/>
        </w:rPr>
        <w:t xml:space="preserve"> </w:t>
      </w:r>
      <w:r w:rsidR="0012736B">
        <w:rPr>
          <w:rFonts w:asciiTheme="majorHAnsi" w:eastAsia="Times New Roman" w:hAnsiTheme="majorHAnsi" w:cs="Times New Roman"/>
          <w:b/>
          <w:i w:val="0"/>
          <w:color w:val="auto"/>
          <w:sz w:val="22"/>
          <w:szCs w:val="22"/>
          <w:lang w:val="en-GB"/>
        </w:rPr>
        <w:fldChar w:fldCharType="end"/>
      </w:r>
    </w:p>
    <w:tbl>
      <w:tblPr>
        <w:tblStyle w:val="TableGrid"/>
        <w:tblW w:w="9016" w:type="dxa"/>
        <w:tblLayout w:type="fixed"/>
        <w:tblLook w:val="04A0" w:firstRow="1" w:lastRow="0" w:firstColumn="1" w:lastColumn="0" w:noHBand="0" w:noVBand="1"/>
      </w:tblPr>
      <w:tblGrid>
        <w:gridCol w:w="3295"/>
        <w:gridCol w:w="811"/>
        <w:gridCol w:w="194"/>
        <w:gridCol w:w="940"/>
        <w:gridCol w:w="851"/>
        <w:gridCol w:w="283"/>
        <w:gridCol w:w="851"/>
        <w:gridCol w:w="1791"/>
      </w:tblGrid>
      <w:tr w:rsidR="00780265" w:rsidRPr="00780265" w14:paraId="2FF6683E" w14:textId="77777777" w:rsidTr="587CD026">
        <w:trPr>
          <w:trHeight w:val="553"/>
        </w:trPr>
        <w:tc>
          <w:tcPr>
            <w:tcW w:w="3295" w:type="dxa"/>
            <w:vMerge w:val="restart"/>
            <w:tcBorders>
              <w:top w:val="single" w:sz="4" w:space="0" w:color="auto"/>
              <w:left w:val="single" w:sz="4" w:space="0" w:color="auto"/>
              <w:right w:val="single" w:sz="4" w:space="0" w:color="auto"/>
            </w:tcBorders>
            <w:vAlign w:val="center"/>
          </w:tcPr>
          <w:p w14:paraId="0BA1E375" w14:textId="77777777" w:rsidR="00780265" w:rsidRPr="00780265" w:rsidRDefault="00780265" w:rsidP="00780265">
            <w:pPr>
              <w:keepNext/>
              <w:keepLines/>
              <w:tabs>
                <w:tab w:val="left" w:pos="567"/>
              </w:tabs>
              <w:jc w:val="center"/>
              <w:rPr>
                <w:rFonts w:asciiTheme="majorHAnsi" w:eastAsia="Times New Roman" w:hAnsiTheme="majorHAnsi"/>
              </w:rPr>
            </w:pPr>
          </w:p>
        </w:tc>
        <w:tc>
          <w:tcPr>
            <w:tcW w:w="1945" w:type="dxa"/>
            <w:gridSpan w:val="3"/>
            <w:tcBorders>
              <w:top w:val="single" w:sz="4" w:space="0" w:color="auto"/>
              <w:left w:val="single" w:sz="4" w:space="0" w:color="auto"/>
              <w:bottom w:val="single" w:sz="4" w:space="0" w:color="auto"/>
              <w:right w:val="single" w:sz="4" w:space="0" w:color="auto"/>
            </w:tcBorders>
            <w:vAlign w:val="center"/>
            <w:hideMark/>
          </w:tcPr>
          <w:p w14:paraId="5C9FBEAB"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Placebo</w:t>
            </w:r>
          </w:p>
          <w:p w14:paraId="776284AD"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N=179</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988E9E5"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Mirikizumab SC</w:t>
            </w:r>
          </w:p>
          <w:p w14:paraId="3481B236"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N=365</w:t>
            </w:r>
          </w:p>
        </w:tc>
        <w:tc>
          <w:tcPr>
            <w:tcW w:w="1791" w:type="dxa"/>
            <w:tcBorders>
              <w:top w:val="single" w:sz="4" w:space="0" w:color="auto"/>
              <w:left w:val="single" w:sz="4" w:space="0" w:color="auto"/>
              <w:right w:val="single" w:sz="4" w:space="0" w:color="auto"/>
            </w:tcBorders>
            <w:vAlign w:val="center"/>
            <w:hideMark/>
          </w:tcPr>
          <w:p w14:paraId="6E9E880C"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Treatment difference</w:t>
            </w:r>
          </w:p>
          <w:p w14:paraId="52D62AAC"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and</w:t>
            </w:r>
          </w:p>
          <w:p w14:paraId="7D2FDB20"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bCs/>
              </w:rPr>
              <w:t>95</w:t>
            </w:r>
            <w:r w:rsidRPr="00780265">
              <w:rPr>
                <w:rFonts w:asciiTheme="majorHAnsi" w:eastAsia="Times New Roman" w:hAnsiTheme="majorHAnsi"/>
              </w:rPr>
              <w:t> </w:t>
            </w:r>
            <w:r w:rsidRPr="00780265">
              <w:rPr>
                <w:rFonts w:asciiTheme="majorHAnsi" w:eastAsia="Times New Roman" w:hAnsiTheme="majorHAnsi"/>
                <w:b/>
              </w:rPr>
              <w:t>% CI</w:t>
            </w:r>
          </w:p>
        </w:tc>
      </w:tr>
      <w:tr w:rsidR="00780265" w:rsidRPr="00780265" w14:paraId="1F4C767E" w14:textId="77777777" w:rsidTr="587CD026">
        <w:trPr>
          <w:trHeight w:val="553"/>
        </w:trPr>
        <w:tc>
          <w:tcPr>
            <w:tcW w:w="3295" w:type="dxa"/>
            <w:vMerge/>
            <w:vAlign w:val="center"/>
          </w:tcPr>
          <w:p w14:paraId="1B09D1B1" w14:textId="77777777" w:rsidR="00780265" w:rsidRPr="00780265" w:rsidRDefault="00780265" w:rsidP="00780265">
            <w:pPr>
              <w:keepNext/>
              <w:keepLines/>
              <w:tabs>
                <w:tab w:val="left" w:pos="567"/>
              </w:tabs>
              <w:jc w:val="center"/>
              <w:rPr>
                <w:rFonts w:asciiTheme="majorHAnsi" w:eastAsia="Times New Roman" w:hAnsiTheme="majorHAnsi"/>
              </w:rPr>
            </w:pP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62BE2B7F"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w:t>
            </w:r>
          </w:p>
        </w:tc>
        <w:tc>
          <w:tcPr>
            <w:tcW w:w="940" w:type="dxa"/>
            <w:tcBorders>
              <w:top w:val="single" w:sz="4" w:space="0" w:color="auto"/>
              <w:left w:val="single" w:sz="4" w:space="0" w:color="auto"/>
              <w:bottom w:val="single" w:sz="4" w:space="0" w:color="auto"/>
              <w:right w:val="single" w:sz="4" w:space="0" w:color="auto"/>
            </w:tcBorders>
            <w:vAlign w:val="center"/>
          </w:tcPr>
          <w:p w14:paraId="349789D1"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w:t>
            </w:r>
          </w:p>
        </w:tc>
        <w:tc>
          <w:tcPr>
            <w:tcW w:w="1134" w:type="dxa"/>
            <w:gridSpan w:val="2"/>
            <w:tcBorders>
              <w:top w:val="single" w:sz="4" w:space="0" w:color="auto"/>
              <w:left w:val="single" w:sz="4" w:space="0" w:color="auto"/>
              <w:right w:val="single" w:sz="4" w:space="0" w:color="auto"/>
            </w:tcBorders>
            <w:vAlign w:val="center"/>
          </w:tcPr>
          <w:p w14:paraId="348EF93C"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w:t>
            </w:r>
          </w:p>
        </w:tc>
        <w:tc>
          <w:tcPr>
            <w:tcW w:w="851" w:type="dxa"/>
            <w:tcBorders>
              <w:top w:val="single" w:sz="4" w:space="0" w:color="auto"/>
              <w:left w:val="single" w:sz="4" w:space="0" w:color="auto"/>
              <w:right w:val="single" w:sz="4" w:space="0" w:color="auto"/>
            </w:tcBorders>
            <w:vAlign w:val="center"/>
          </w:tcPr>
          <w:p w14:paraId="6BFC3242"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w:t>
            </w:r>
          </w:p>
        </w:tc>
        <w:tc>
          <w:tcPr>
            <w:tcW w:w="1791" w:type="dxa"/>
            <w:tcBorders>
              <w:left w:val="single" w:sz="4" w:space="0" w:color="auto"/>
              <w:bottom w:val="single" w:sz="4" w:space="0" w:color="auto"/>
              <w:right w:val="single" w:sz="4" w:space="0" w:color="auto"/>
            </w:tcBorders>
            <w:vAlign w:val="center"/>
          </w:tcPr>
          <w:p w14:paraId="45210869" w14:textId="77777777" w:rsidR="00780265" w:rsidRPr="00780265" w:rsidRDefault="00780265" w:rsidP="00780265">
            <w:pPr>
              <w:keepNext/>
              <w:keepLines/>
              <w:tabs>
                <w:tab w:val="left" w:pos="567"/>
              </w:tabs>
              <w:jc w:val="center"/>
              <w:rPr>
                <w:rFonts w:asciiTheme="majorHAnsi" w:eastAsia="Times New Roman" w:hAnsiTheme="majorHAnsi"/>
                <w:b/>
              </w:rPr>
            </w:pPr>
          </w:p>
        </w:tc>
      </w:tr>
      <w:tr w:rsidR="00FB1F51" w:rsidRPr="00984D9C" w14:paraId="03EEE63B" w14:textId="77777777" w:rsidTr="587CD026">
        <w:trPr>
          <w:trHeight w:val="20"/>
        </w:trPr>
        <w:tc>
          <w:tcPr>
            <w:tcW w:w="9016" w:type="dxa"/>
            <w:gridSpan w:val="8"/>
            <w:tcBorders>
              <w:top w:val="single" w:sz="4" w:space="0" w:color="auto"/>
              <w:left w:val="single" w:sz="4" w:space="0" w:color="auto"/>
              <w:bottom w:val="single" w:sz="4" w:space="0" w:color="auto"/>
              <w:right w:val="single" w:sz="4" w:space="0" w:color="auto"/>
            </w:tcBorders>
            <w:vAlign w:val="center"/>
          </w:tcPr>
          <w:p w14:paraId="3504604B" w14:textId="77777777" w:rsidR="00FB1F51" w:rsidRPr="00984D9C" w:rsidRDefault="00FB1F51">
            <w:pPr>
              <w:spacing w:before="40" w:after="40"/>
              <w:ind w:left="84"/>
              <w:rPr>
                <w:rFonts w:asciiTheme="majorHAnsi" w:hAnsiTheme="majorHAnsi"/>
                <w:color w:val="000000" w:themeColor="text1"/>
                <w:lang w:val="en-US"/>
              </w:rPr>
            </w:pPr>
            <w:r>
              <w:rPr>
                <w:rFonts w:asciiTheme="majorHAnsi" w:eastAsia="Times New Roman" w:hAnsiTheme="majorHAnsi"/>
                <w:b/>
              </w:rPr>
              <w:t>Primary outcome</w:t>
            </w:r>
          </w:p>
        </w:tc>
      </w:tr>
      <w:tr w:rsidR="00780265" w:rsidRPr="00780265" w14:paraId="73C4DC1F" w14:textId="77777777" w:rsidTr="587CD026">
        <w:trPr>
          <w:trHeight w:val="20"/>
        </w:trPr>
        <w:tc>
          <w:tcPr>
            <w:tcW w:w="3295" w:type="dxa"/>
            <w:tcBorders>
              <w:top w:val="single" w:sz="4" w:space="0" w:color="auto"/>
              <w:left w:val="single" w:sz="4" w:space="0" w:color="auto"/>
              <w:bottom w:val="single" w:sz="4" w:space="0" w:color="auto"/>
              <w:right w:val="single" w:sz="4" w:space="0" w:color="auto"/>
            </w:tcBorders>
            <w:vAlign w:val="center"/>
          </w:tcPr>
          <w:p w14:paraId="536A8B27"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rPr>
              <w:t>Clinical remission</w:t>
            </w:r>
            <w:r w:rsidRPr="003C7EF9">
              <w:rPr>
                <w:rFonts w:asciiTheme="majorHAnsi" w:eastAsia="Times New Roman" w:hAnsiTheme="majorHAnsi"/>
                <w:b/>
                <w:vertAlign w:val="superscript"/>
              </w:rPr>
              <w:t>*1</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396926AB"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45</w:t>
            </w:r>
          </w:p>
        </w:tc>
        <w:tc>
          <w:tcPr>
            <w:tcW w:w="940" w:type="dxa"/>
            <w:tcBorders>
              <w:top w:val="single" w:sz="4" w:space="0" w:color="auto"/>
              <w:left w:val="single" w:sz="4" w:space="0" w:color="auto"/>
              <w:bottom w:val="single" w:sz="4" w:space="0" w:color="auto"/>
              <w:right w:val="single" w:sz="4" w:space="0" w:color="auto"/>
            </w:tcBorders>
            <w:vAlign w:val="center"/>
          </w:tcPr>
          <w:p w14:paraId="11FD3D40" w14:textId="5D99A338"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25.1%</w:t>
            </w:r>
          </w:p>
        </w:tc>
        <w:tc>
          <w:tcPr>
            <w:tcW w:w="1134" w:type="dxa"/>
            <w:gridSpan w:val="2"/>
            <w:tcBorders>
              <w:left w:val="single" w:sz="4" w:space="0" w:color="auto"/>
              <w:right w:val="single" w:sz="4" w:space="0" w:color="auto"/>
            </w:tcBorders>
            <w:vAlign w:val="center"/>
          </w:tcPr>
          <w:p w14:paraId="3B236C8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182</w:t>
            </w:r>
          </w:p>
        </w:tc>
        <w:tc>
          <w:tcPr>
            <w:tcW w:w="851" w:type="dxa"/>
            <w:tcBorders>
              <w:left w:val="single" w:sz="4" w:space="0" w:color="auto"/>
              <w:right w:val="single" w:sz="4" w:space="0" w:color="auto"/>
            </w:tcBorders>
            <w:vAlign w:val="center"/>
          </w:tcPr>
          <w:p w14:paraId="590784A8" w14:textId="5A0A046A"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49.9%</w:t>
            </w:r>
          </w:p>
        </w:tc>
        <w:tc>
          <w:tcPr>
            <w:tcW w:w="1791" w:type="dxa"/>
            <w:tcBorders>
              <w:top w:val="single" w:sz="4" w:space="0" w:color="auto"/>
              <w:left w:val="single" w:sz="4" w:space="0" w:color="auto"/>
              <w:bottom w:val="single" w:sz="4" w:space="0" w:color="auto"/>
              <w:right w:val="single" w:sz="4" w:space="0" w:color="auto"/>
            </w:tcBorders>
            <w:vAlign w:val="center"/>
          </w:tcPr>
          <w:p w14:paraId="1079066A" w14:textId="1C22F73C"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23.2%</w:t>
            </w:r>
          </w:p>
          <w:p w14:paraId="0DF7BAC5" w14:textId="4B8E3158" w:rsidR="00780265" w:rsidRPr="00780265" w:rsidRDefault="00780265" w:rsidP="00780265">
            <w:pPr>
              <w:keepLines/>
              <w:tabs>
                <w:tab w:val="left" w:pos="1268"/>
              </w:tabs>
              <w:jc w:val="center"/>
              <w:rPr>
                <w:rFonts w:asciiTheme="majorHAnsi" w:eastAsia="Times New Roman" w:hAnsiTheme="majorHAnsi"/>
              </w:rPr>
            </w:pPr>
            <w:r w:rsidRPr="00780265">
              <w:rPr>
                <w:rFonts w:asciiTheme="majorHAnsi" w:eastAsia="Times New Roman" w:hAnsiTheme="majorHAnsi"/>
              </w:rPr>
              <w:t>(15.2%, 31.2%)</w:t>
            </w:r>
            <w:r w:rsidRPr="00780265">
              <w:rPr>
                <w:rFonts w:asciiTheme="majorHAnsi" w:eastAsia="Times New Roman" w:hAnsiTheme="majorHAnsi"/>
                <w:vertAlign w:val="superscript"/>
              </w:rPr>
              <w:t>c</w:t>
            </w:r>
          </w:p>
        </w:tc>
      </w:tr>
      <w:tr w:rsidR="00780265" w:rsidRPr="00780265" w14:paraId="4D9862FE" w14:textId="77777777" w:rsidTr="587CD026">
        <w:trPr>
          <w:trHeight w:val="20"/>
        </w:trPr>
        <w:tc>
          <w:tcPr>
            <w:tcW w:w="3295" w:type="dxa"/>
            <w:tcBorders>
              <w:top w:val="single" w:sz="4" w:space="0" w:color="auto"/>
              <w:left w:val="single" w:sz="4" w:space="0" w:color="auto"/>
              <w:bottom w:val="single" w:sz="4" w:space="0" w:color="auto"/>
              <w:right w:val="single" w:sz="4" w:space="0" w:color="auto"/>
            </w:tcBorders>
          </w:tcPr>
          <w:p w14:paraId="623D992E"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color w:val="000000"/>
              </w:rPr>
              <w:t>Patients who were biologic and JAK-</w:t>
            </w:r>
            <w:r w:rsidRPr="00780265">
              <w:rPr>
                <w:rFonts w:asciiTheme="majorHAnsi" w:eastAsia="Times New Roman" w:hAnsiTheme="majorHAnsi"/>
              </w:rPr>
              <w:t>inhibitor</w:t>
            </w:r>
            <w:r w:rsidRPr="00780265">
              <w:rPr>
                <w:rFonts w:asciiTheme="majorHAnsi" w:eastAsia="Times New Roman" w:hAnsiTheme="majorHAnsi"/>
                <w:color w:val="000000"/>
              </w:rPr>
              <w:t xml:space="preserve"> naïve </w:t>
            </w:r>
            <w:r w:rsidRPr="00780265">
              <w:rPr>
                <w:rFonts w:asciiTheme="majorHAnsi" w:eastAsia="Times New Roman" w:hAnsiTheme="majorHAnsi"/>
                <w:color w:val="000000"/>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02A66BB"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35/114</w:t>
            </w:r>
          </w:p>
        </w:tc>
        <w:tc>
          <w:tcPr>
            <w:tcW w:w="940" w:type="dxa"/>
            <w:tcBorders>
              <w:top w:val="single" w:sz="4" w:space="0" w:color="auto"/>
              <w:left w:val="single" w:sz="4" w:space="0" w:color="auto"/>
              <w:bottom w:val="single" w:sz="4" w:space="0" w:color="auto"/>
              <w:right w:val="single" w:sz="4" w:space="0" w:color="auto"/>
            </w:tcBorders>
            <w:vAlign w:val="center"/>
          </w:tcPr>
          <w:p w14:paraId="25B3F8CA" w14:textId="4E6A5F91"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30.7%</w:t>
            </w:r>
          </w:p>
        </w:tc>
        <w:tc>
          <w:tcPr>
            <w:tcW w:w="1134" w:type="dxa"/>
            <w:gridSpan w:val="2"/>
            <w:tcBorders>
              <w:left w:val="single" w:sz="4" w:space="0" w:color="auto"/>
              <w:right w:val="single" w:sz="4" w:space="0" w:color="auto"/>
            </w:tcBorders>
            <w:vAlign w:val="center"/>
          </w:tcPr>
          <w:p w14:paraId="045C23B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118/229</w:t>
            </w:r>
          </w:p>
        </w:tc>
        <w:tc>
          <w:tcPr>
            <w:tcW w:w="851" w:type="dxa"/>
            <w:tcBorders>
              <w:left w:val="single" w:sz="4" w:space="0" w:color="auto"/>
              <w:right w:val="single" w:sz="4" w:space="0" w:color="auto"/>
            </w:tcBorders>
            <w:vAlign w:val="center"/>
          </w:tcPr>
          <w:p w14:paraId="5DD3F901" w14:textId="59390B02"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51.5%</w:t>
            </w:r>
          </w:p>
        </w:tc>
        <w:tc>
          <w:tcPr>
            <w:tcW w:w="1791" w:type="dxa"/>
            <w:tcBorders>
              <w:top w:val="single" w:sz="4" w:space="0" w:color="auto"/>
              <w:left w:val="single" w:sz="4" w:space="0" w:color="auto"/>
              <w:bottom w:val="single" w:sz="4" w:space="0" w:color="auto"/>
              <w:right w:val="single" w:sz="4" w:space="0" w:color="auto"/>
            </w:tcBorders>
            <w:vAlign w:val="center"/>
          </w:tcPr>
          <w:p w14:paraId="2804720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6792A69E" w14:textId="77777777" w:rsidTr="587CD026">
        <w:trPr>
          <w:trHeight w:val="20"/>
        </w:trPr>
        <w:tc>
          <w:tcPr>
            <w:tcW w:w="3295" w:type="dxa"/>
            <w:tcBorders>
              <w:top w:val="single" w:sz="4" w:space="0" w:color="auto"/>
              <w:left w:val="single" w:sz="4" w:space="0" w:color="auto"/>
              <w:bottom w:val="single" w:sz="4" w:space="0" w:color="auto"/>
              <w:right w:val="single" w:sz="4" w:space="0" w:color="auto"/>
            </w:tcBorders>
          </w:tcPr>
          <w:p w14:paraId="6A1A974B"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192AFD1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10/64</w:t>
            </w:r>
          </w:p>
        </w:tc>
        <w:tc>
          <w:tcPr>
            <w:tcW w:w="940" w:type="dxa"/>
            <w:tcBorders>
              <w:top w:val="single" w:sz="4" w:space="0" w:color="auto"/>
              <w:left w:val="single" w:sz="4" w:space="0" w:color="auto"/>
              <w:bottom w:val="single" w:sz="4" w:space="0" w:color="auto"/>
              <w:right w:val="single" w:sz="4" w:space="0" w:color="auto"/>
            </w:tcBorders>
            <w:vAlign w:val="center"/>
          </w:tcPr>
          <w:p w14:paraId="213C94A8" w14:textId="504C7A10"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15.6%</w:t>
            </w:r>
          </w:p>
        </w:tc>
        <w:tc>
          <w:tcPr>
            <w:tcW w:w="1134" w:type="dxa"/>
            <w:gridSpan w:val="2"/>
            <w:tcBorders>
              <w:left w:val="single" w:sz="4" w:space="0" w:color="auto"/>
              <w:right w:val="single" w:sz="4" w:space="0" w:color="auto"/>
            </w:tcBorders>
            <w:vAlign w:val="center"/>
          </w:tcPr>
          <w:p w14:paraId="2C1FAC14"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59/128</w:t>
            </w:r>
          </w:p>
        </w:tc>
        <w:tc>
          <w:tcPr>
            <w:tcW w:w="851" w:type="dxa"/>
            <w:tcBorders>
              <w:left w:val="single" w:sz="4" w:space="0" w:color="auto"/>
              <w:right w:val="single" w:sz="4" w:space="0" w:color="auto"/>
            </w:tcBorders>
            <w:vAlign w:val="center"/>
          </w:tcPr>
          <w:p w14:paraId="561933D6" w14:textId="49A79602"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46.1%</w:t>
            </w:r>
          </w:p>
        </w:tc>
        <w:tc>
          <w:tcPr>
            <w:tcW w:w="1791" w:type="dxa"/>
            <w:tcBorders>
              <w:top w:val="single" w:sz="4" w:space="0" w:color="auto"/>
              <w:left w:val="single" w:sz="4" w:space="0" w:color="auto"/>
              <w:bottom w:val="single" w:sz="4" w:space="0" w:color="auto"/>
              <w:right w:val="single" w:sz="4" w:space="0" w:color="auto"/>
            </w:tcBorders>
            <w:vAlign w:val="center"/>
          </w:tcPr>
          <w:p w14:paraId="1FE677E7"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FB1F51" w:rsidRPr="00984D9C" w14:paraId="6554815C" w14:textId="77777777" w:rsidTr="587CD026">
        <w:trPr>
          <w:trHeight w:val="20"/>
        </w:trPr>
        <w:tc>
          <w:tcPr>
            <w:tcW w:w="9016" w:type="dxa"/>
            <w:gridSpan w:val="8"/>
            <w:tcBorders>
              <w:top w:val="single" w:sz="4" w:space="0" w:color="auto"/>
              <w:left w:val="single" w:sz="4" w:space="0" w:color="auto"/>
              <w:bottom w:val="single" w:sz="4" w:space="0" w:color="auto"/>
              <w:right w:val="single" w:sz="4" w:space="0" w:color="auto"/>
            </w:tcBorders>
            <w:vAlign w:val="center"/>
          </w:tcPr>
          <w:p w14:paraId="5ABB7A6D" w14:textId="6A6C8DD4" w:rsidR="00FB1F51" w:rsidRPr="00984D9C" w:rsidRDefault="00FB1F51">
            <w:pPr>
              <w:spacing w:before="40" w:after="40"/>
              <w:ind w:left="84"/>
              <w:rPr>
                <w:rFonts w:asciiTheme="majorHAnsi" w:hAnsiTheme="majorHAnsi"/>
                <w:color w:val="000000" w:themeColor="text1"/>
                <w:lang w:val="en-US"/>
              </w:rPr>
            </w:pPr>
            <w:r>
              <w:rPr>
                <w:rFonts w:asciiTheme="majorHAnsi" w:eastAsia="Times New Roman" w:hAnsiTheme="majorHAnsi"/>
                <w:b/>
              </w:rPr>
              <w:t>Key secondary outcomes</w:t>
            </w:r>
          </w:p>
        </w:tc>
      </w:tr>
      <w:tr w:rsidR="00780265" w:rsidRPr="00780265" w14:paraId="23B24612"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000EE31A"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bCs/>
              </w:rPr>
              <w:t>Alternate clinical remission</w:t>
            </w:r>
            <w:r w:rsidRPr="003C7EF9">
              <w:rPr>
                <w:rFonts w:asciiTheme="majorHAnsi" w:eastAsia="Times New Roman" w:hAnsiTheme="majorHAnsi"/>
                <w:b/>
                <w:bCs/>
                <w:vertAlign w:val="superscript"/>
              </w:rPr>
              <w:t>*2</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62B1EE8"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47</w:t>
            </w:r>
          </w:p>
        </w:tc>
        <w:tc>
          <w:tcPr>
            <w:tcW w:w="940" w:type="dxa"/>
            <w:tcBorders>
              <w:top w:val="single" w:sz="4" w:space="0" w:color="auto"/>
              <w:left w:val="single" w:sz="4" w:space="0" w:color="auto"/>
              <w:bottom w:val="single" w:sz="4" w:space="0" w:color="auto"/>
              <w:right w:val="single" w:sz="4" w:space="0" w:color="auto"/>
            </w:tcBorders>
            <w:vAlign w:val="center"/>
          </w:tcPr>
          <w:p w14:paraId="4F4D888B" w14:textId="6459C852"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26.3%</w:t>
            </w:r>
          </w:p>
        </w:tc>
        <w:tc>
          <w:tcPr>
            <w:tcW w:w="1134" w:type="dxa"/>
            <w:gridSpan w:val="2"/>
            <w:tcBorders>
              <w:left w:val="single" w:sz="4" w:space="0" w:color="auto"/>
              <w:right w:val="single" w:sz="4" w:space="0" w:color="auto"/>
            </w:tcBorders>
            <w:vAlign w:val="center"/>
          </w:tcPr>
          <w:p w14:paraId="6C7C10F0"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189</w:t>
            </w:r>
          </w:p>
        </w:tc>
        <w:tc>
          <w:tcPr>
            <w:tcW w:w="851" w:type="dxa"/>
            <w:tcBorders>
              <w:left w:val="single" w:sz="4" w:space="0" w:color="auto"/>
              <w:right w:val="single" w:sz="4" w:space="0" w:color="auto"/>
            </w:tcBorders>
            <w:vAlign w:val="center"/>
          </w:tcPr>
          <w:p w14:paraId="6EA2BC39" w14:textId="338860CD"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51.8%</w:t>
            </w:r>
          </w:p>
        </w:tc>
        <w:tc>
          <w:tcPr>
            <w:tcW w:w="1791" w:type="dxa"/>
            <w:tcBorders>
              <w:top w:val="single" w:sz="4" w:space="0" w:color="auto"/>
              <w:left w:val="single" w:sz="4" w:space="0" w:color="auto"/>
              <w:bottom w:val="single" w:sz="4" w:space="0" w:color="auto"/>
              <w:right w:val="single" w:sz="4" w:space="0" w:color="auto"/>
            </w:tcBorders>
            <w:vAlign w:val="center"/>
          </w:tcPr>
          <w:p w14:paraId="741BCC6B" w14:textId="5BB8A9A8"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24.1%</w:t>
            </w:r>
          </w:p>
          <w:p w14:paraId="697E0C7F" w14:textId="1BACB018"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(16.0%, 32.2%)</w:t>
            </w:r>
            <w:r w:rsidRPr="00780265">
              <w:rPr>
                <w:rFonts w:asciiTheme="majorHAnsi" w:eastAsia="Times New Roman" w:hAnsiTheme="majorHAnsi"/>
                <w:vertAlign w:val="superscript"/>
              </w:rPr>
              <w:t>c</w:t>
            </w:r>
          </w:p>
        </w:tc>
      </w:tr>
      <w:tr w:rsidR="00780265" w:rsidRPr="00780265" w14:paraId="6895A671" w14:textId="77777777" w:rsidTr="587CD026">
        <w:trPr>
          <w:trHeight w:val="20"/>
        </w:trPr>
        <w:tc>
          <w:tcPr>
            <w:tcW w:w="3295" w:type="dxa"/>
            <w:tcBorders>
              <w:top w:val="single" w:sz="4" w:space="0" w:color="auto"/>
              <w:left w:val="single" w:sz="4" w:space="0" w:color="auto"/>
              <w:bottom w:val="single" w:sz="4" w:space="0" w:color="auto"/>
              <w:right w:val="single" w:sz="4" w:space="0" w:color="auto"/>
            </w:tcBorders>
          </w:tcPr>
          <w:p w14:paraId="0936E387"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color w:val="000000"/>
              </w:rPr>
              <w:t>Patients who were biologic and JAK-</w:t>
            </w:r>
            <w:r w:rsidRPr="00780265">
              <w:rPr>
                <w:rFonts w:asciiTheme="majorHAnsi" w:eastAsia="Times New Roman" w:hAnsiTheme="majorHAnsi"/>
              </w:rPr>
              <w:t>inhibitor</w:t>
            </w:r>
            <w:r w:rsidRPr="00780265">
              <w:rPr>
                <w:rFonts w:asciiTheme="majorHAnsi" w:eastAsia="Times New Roman" w:hAnsiTheme="majorHAnsi"/>
                <w:color w:val="000000"/>
              </w:rPr>
              <w:t xml:space="preserve"> naïve </w:t>
            </w:r>
            <w:r w:rsidRPr="00780265">
              <w:rPr>
                <w:rFonts w:asciiTheme="majorHAnsi" w:eastAsia="Times New Roman" w:hAnsiTheme="majorHAnsi"/>
                <w:color w:val="000000"/>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19C3745B"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37/114</w:t>
            </w:r>
          </w:p>
        </w:tc>
        <w:tc>
          <w:tcPr>
            <w:tcW w:w="940" w:type="dxa"/>
            <w:tcBorders>
              <w:top w:val="single" w:sz="4" w:space="0" w:color="auto"/>
              <w:left w:val="single" w:sz="4" w:space="0" w:color="auto"/>
              <w:bottom w:val="single" w:sz="4" w:space="0" w:color="auto"/>
              <w:right w:val="single" w:sz="4" w:space="0" w:color="auto"/>
            </w:tcBorders>
            <w:vAlign w:val="center"/>
          </w:tcPr>
          <w:p w14:paraId="7A539761" w14:textId="3F92EC24"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32.5%</w:t>
            </w:r>
          </w:p>
        </w:tc>
        <w:tc>
          <w:tcPr>
            <w:tcW w:w="1134" w:type="dxa"/>
            <w:gridSpan w:val="2"/>
            <w:tcBorders>
              <w:left w:val="single" w:sz="4" w:space="0" w:color="auto"/>
              <w:right w:val="single" w:sz="4" w:space="0" w:color="auto"/>
            </w:tcBorders>
            <w:vAlign w:val="center"/>
          </w:tcPr>
          <w:p w14:paraId="73E359A6"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124/229</w:t>
            </w:r>
          </w:p>
        </w:tc>
        <w:tc>
          <w:tcPr>
            <w:tcW w:w="851" w:type="dxa"/>
            <w:tcBorders>
              <w:left w:val="single" w:sz="4" w:space="0" w:color="auto"/>
              <w:right w:val="single" w:sz="4" w:space="0" w:color="auto"/>
            </w:tcBorders>
            <w:vAlign w:val="center"/>
          </w:tcPr>
          <w:p w14:paraId="73F3276B" w14:textId="7C370BCE"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54.1%</w:t>
            </w:r>
          </w:p>
        </w:tc>
        <w:tc>
          <w:tcPr>
            <w:tcW w:w="1791" w:type="dxa"/>
            <w:tcBorders>
              <w:top w:val="single" w:sz="4" w:space="0" w:color="auto"/>
              <w:left w:val="single" w:sz="4" w:space="0" w:color="auto"/>
              <w:bottom w:val="single" w:sz="4" w:space="0" w:color="auto"/>
              <w:right w:val="single" w:sz="4" w:space="0" w:color="auto"/>
            </w:tcBorders>
            <w:vAlign w:val="center"/>
          </w:tcPr>
          <w:p w14:paraId="523C264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21BD0E80" w14:textId="77777777" w:rsidTr="587CD026">
        <w:trPr>
          <w:trHeight w:val="20"/>
        </w:trPr>
        <w:tc>
          <w:tcPr>
            <w:tcW w:w="3295" w:type="dxa"/>
            <w:tcBorders>
              <w:top w:val="single" w:sz="4" w:space="0" w:color="auto"/>
              <w:left w:val="single" w:sz="4" w:space="0" w:color="auto"/>
              <w:bottom w:val="single" w:sz="4" w:space="0" w:color="auto"/>
              <w:right w:val="single" w:sz="4" w:space="0" w:color="auto"/>
            </w:tcBorders>
          </w:tcPr>
          <w:p w14:paraId="501F3AC8"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91EDC8D"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10/64</w:t>
            </w:r>
          </w:p>
        </w:tc>
        <w:tc>
          <w:tcPr>
            <w:tcW w:w="940" w:type="dxa"/>
            <w:tcBorders>
              <w:top w:val="single" w:sz="4" w:space="0" w:color="auto"/>
              <w:left w:val="single" w:sz="4" w:space="0" w:color="auto"/>
              <w:bottom w:val="single" w:sz="4" w:space="0" w:color="auto"/>
              <w:right w:val="single" w:sz="4" w:space="0" w:color="auto"/>
            </w:tcBorders>
            <w:vAlign w:val="center"/>
          </w:tcPr>
          <w:p w14:paraId="0FFFFB85" w14:textId="5F22C44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15.6%</w:t>
            </w:r>
          </w:p>
        </w:tc>
        <w:tc>
          <w:tcPr>
            <w:tcW w:w="1134" w:type="dxa"/>
            <w:gridSpan w:val="2"/>
            <w:tcBorders>
              <w:left w:val="single" w:sz="4" w:space="0" w:color="auto"/>
              <w:right w:val="single" w:sz="4" w:space="0" w:color="auto"/>
            </w:tcBorders>
            <w:vAlign w:val="center"/>
          </w:tcPr>
          <w:p w14:paraId="6A60DF2D"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60/128</w:t>
            </w:r>
          </w:p>
        </w:tc>
        <w:tc>
          <w:tcPr>
            <w:tcW w:w="851" w:type="dxa"/>
            <w:tcBorders>
              <w:left w:val="single" w:sz="4" w:space="0" w:color="auto"/>
              <w:right w:val="single" w:sz="4" w:space="0" w:color="auto"/>
            </w:tcBorders>
            <w:vAlign w:val="center"/>
          </w:tcPr>
          <w:p w14:paraId="215EB497" w14:textId="58FB4702"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46.9%</w:t>
            </w:r>
          </w:p>
        </w:tc>
        <w:tc>
          <w:tcPr>
            <w:tcW w:w="1791" w:type="dxa"/>
            <w:tcBorders>
              <w:top w:val="single" w:sz="4" w:space="0" w:color="auto"/>
              <w:left w:val="single" w:sz="4" w:space="0" w:color="auto"/>
              <w:bottom w:val="single" w:sz="4" w:space="0" w:color="auto"/>
              <w:right w:val="single" w:sz="4" w:space="0" w:color="auto"/>
            </w:tcBorders>
            <w:vAlign w:val="center"/>
          </w:tcPr>
          <w:p w14:paraId="4942C645"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480AE46B"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6CE1F846"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bCs/>
              </w:rPr>
              <w:t>Maintenance of clinical remission through week</w:t>
            </w:r>
            <w:r w:rsidRPr="00780265">
              <w:rPr>
                <w:rFonts w:asciiTheme="majorHAnsi" w:eastAsia="Times New Roman" w:hAnsiTheme="majorHAnsi"/>
              </w:rPr>
              <w:t> </w:t>
            </w:r>
            <w:r w:rsidRPr="00780265">
              <w:rPr>
                <w:rFonts w:asciiTheme="majorHAnsi" w:eastAsia="Times New Roman" w:hAnsiTheme="majorHAnsi"/>
                <w:b/>
                <w:bCs/>
              </w:rPr>
              <w:t>40</w:t>
            </w:r>
            <w:r w:rsidRPr="003C7EF9">
              <w:rPr>
                <w:rFonts w:asciiTheme="majorHAnsi" w:eastAsia="Times New Roman" w:hAnsiTheme="majorHAnsi"/>
                <w:b/>
                <w:bCs/>
                <w:vertAlign w:val="superscript"/>
              </w:rPr>
              <w:t>*3</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33FE82F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24/65</w:t>
            </w:r>
          </w:p>
        </w:tc>
        <w:tc>
          <w:tcPr>
            <w:tcW w:w="940" w:type="dxa"/>
            <w:tcBorders>
              <w:top w:val="single" w:sz="4" w:space="0" w:color="auto"/>
              <w:left w:val="single" w:sz="4" w:space="0" w:color="auto"/>
              <w:bottom w:val="single" w:sz="4" w:space="0" w:color="auto"/>
              <w:right w:val="single" w:sz="4" w:space="0" w:color="auto"/>
            </w:tcBorders>
            <w:vAlign w:val="center"/>
          </w:tcPr>
          <w:p w14:paraId="45F379E0" w14:textId="45A880DE"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36.9%</w:t>
            </w:r>
          </w:p>
        </w:tc>
        <w:tc>
          <w:tcPr>
            <w:tcW w:w="1134" w:type="dxa"/>
            <w:gridSpan w:val="2"/>
            <w:tcBorders>
              <w:left w:val="single" w:sz="4" w:space="0" w:color="auto"/>
              <w:right w:val="single" w:sz="4" w:space="0" w:color="auto"/>
            </w:tcBorders>
            <w:vAlign w:val="center"/>
          </w:tcPr>
          <w:p w14:paraId="2897640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91/143</w:t>
            </w:r>
          </w:p>
        </w:tc>
        <w:tc>
          <w:tcPr>
            <w:tcW w:w="851" w:type="dxa"/>
            <w:tcBorders>
              <w:left w:val="single" w:sz="4" w:space="0" w:color="auto"/>
              <w:right w:val="single" w:sz="4" w:space="0" w:color="auto"/>
            </w:tcBorders>
            <w:vAlign w:val="center"/>
          </w:tcPr>
          <w:p w14:paraId="52E5890E" w14:textId="6179B22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63.6%</w:t>
            </w:r>
          </w:p>
        </w:tc>
        <w:tc>
          <w:tcPr>
            <w:tcW w:w="1791" w:type="dxa"/>
            <w:tcBorders>
              <w:top w:val="single" w:sz="4" w:space="0" w:color="auto"/>
              <w:left w:val="single" w:sz="4" w:space="0" w:color="auto"/>
              <w:bottom w:val="single" w:sz="4" w:space="0" w:color="auto"/>
              <w:right w:val="single" w:sz="4" w:space="0" w:color="auto"/>
            </w:tcBorders>
            <w:vAlign w:val="center"/>
          </w:tcPr>
          <w:p w14:paraId="4AC7CB7B" w14:textId="3EC2F48A"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24.8%</w:t>
            </w:r>
          </w:p>
          <w:p w14:paraId="6DD60F03" w14:textId="23E6BD2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(10.4%, 39.2%)</w:t>
            </w:r>
            <w:r w:rsidRPr="00780265">
              <w:rPr>
                <w:rFonts w:asciiTheme="majorHAnsi" w:eastAsia="Times New Roman" w:hAnsiTheme="majorHAnsi"/>
                <w:vertAlign w:val="superscript"/>
              </w:rPr>
              <w:t>c</w:t>
            </w:r>
          </w:p>
        </w:tc>
      </w:tr>
      <w:tr w:rsidR="00780265" w:rsidRPr="00780265" w14:paraId="6D5423FD"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64E9C04D"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color w:val="000000"/>
              </w:rPr>
              <w:t>Patients who were biologic and JAK-</w:t>
            </w:r>
            <w:r w:rsidRPr="00780265">
              <w:rPr>
                <w:rFonts w:asciiTheme="majorHAnsi" w:eastAsia="Times New Roman" w:hAnsiTheme="majorHAnsi"/>
              </w:rPr>
              <w:t>inhibitor</w:t>
            </w:r>
            <w:r w:rsidRPr="00780265">
              <w:rPr>
                <w:rFonts w:asciiTheme="majorHAnsi" w:eastAsia="Times New Roman" w:hAnsiTheme="majorHAnsi"/>
                <w:color w:val="000000"/>
              </w:rPr>
              <w:t xml:space="preserve"> naïve </w:t>
            </w:r>
            <w:r w:rsidRPr="00780265">
              <w:rPr>
                <w:rFonts w:asciiTheme="majorHAnsi" w:eastAsia="Times New Roman" w:hAnsiTheme="majorHAnsi"/>
                <w:color w:val="000000"/>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683253B"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22/47</w:t>
            </w:r>
          </w:p>
        </w:tc>
        <w:tc>
          <w:tcPr>
            <w:tcW w:w="940" w:type="dxa"/>
            <w:tcBorders>
              <w:top w:val="single" w:sz="4" w:space="0" w:color="auto"/>
              <w:left w:val="single" w:sz="4" w:space="0" w:color="auto"/>
              <w:bottom w:val="single" w:sz="4" w:space="0" w:color="auto"/>
              <w:right w:val="single" w:sz="4" w:space="0" w:color="auto"/>
            </w:tcBorders>
            <w:vAlign w:val="center"/>
          </w:tcPr>
          <w:p w14:paraId="203851C8" w14:textId="6E98B6D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46.8%</w:t>
            </w:r>
          </w:p>
        </w:tc>
        <w:tc>
          <w:tcPr>
            <w:tcW w:w="1134" w:type="dxa"/>
            <w:gridSpan w:val="2"/>
            <w:tcBorders>
              <w:left w:val="single" w:sz="4" w:space="0" w:color="auto"/>
              <w:right w:val="single" w:sz="4" w:space="0" w:color="auto"/>
            </w:tcBorders>
            <w:vAlign w:val="center"/>
          </w:tcPr>
          <w:p w14:paraId="2BA6172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65/104</w:t>
            </w:r>
          </w:p>
        </w:tc>
        <w:tc>
          <w:tcPr>
            <w:tcW w:w="851" w:type="dxa"/>
            <w:tcBorders>
              <w:left w:val="single" w:sz="4" w:space="0" w:color="auto"/>
              <w:right w:val="single" w:sz="4" w:space="0" w:color="auto"/>
            </w:tcBorders>
            <w:vAlign w:val="center"/>
          </w:tcPr>
          <w:p w14:paraId="1DD44263" w14:textId="4874A031"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62.5%</w:t>
            </w:r>
          </w:p>
        </w:tc>
        <w:tc>
          <w:tcPr>
            <w:tcW w:w="1791" w:type="dxa"/>
            <w:tcBorders>
              <w:top w:val="single" w:sz="4" w:space="0" w:color="auto"/>
              <w:left w:val="single" w:sz="4" w:space="0" w:color="auto"/>
              <w:bottom w:val="single" w:sz="4" w:space="0" w:color="auto"/>
              <w:right w:val="single" w:sz="4" w:space="0" w:color="auto"/>
            </w:tcBorders>
            <w:vAlign w:val="center"/>
          </w:tcPr>
          <w:p w14:paraId="7303A16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6B2798E9"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4FF5A203"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1D5525BC"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2/18</w:t>
            </w:r>
          </w:p>
        </w:tc>
        <w:tc>
          <w:tcPr>
            <w:tcW w:w="940" w:type="dxa"/>
            <w:tcBorders>
              <w:top w:val="single" w:sz="4" w:space="0" w:color="auto"/>
              <w:left w:val="single" w:sz="4" w:space="0" w:color="auto"/>
              <w:bottom w:val="single" w:sz="4" w:space="0" w:color="auto"/>
              <w:right w:val="single" w:sz="4" w:space="0" w:color="auto"/>
            </w:tcBorders>
            <w:vAlign w:val="center"/>
          </w:tcPr>
          <w:p w14:paraId="66954C33" w14:textId="2204FA4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11.1%</w:t>
            </w:r>
          </w:p>
        </w:tc>
        <w:tc>
          <w:tcPr>
            <w:tcW w:w="1134" w:type="dxa"/>
            <w:gridSpan w:val="2"/>
            <w:tcBorders>
              <w:left w:val="single" w:sz="4" w:space="0" w:color="auto"/>
              <w:right w:val="single" w:sz="4" w:space="0" w:color="auto"/>
            </w:tcBorders>
            <w:vAlign w:val="center"/>
          </w:tcPr>
          <w:p w14:paraId="0899357E"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24/36</w:t>
            </w:r>
          </w:p>
        </w:tc>
        <w:tc>
          <w:tcPr>
            <w:tcW w:w="851" w:type="dxa"/>
            <w:tcBorders>
              <w:left w:val="single" w:sz="4" w:space="0" w:color="auto"/>
              <w:right w:val="single" w:sz="4" w:space="0" w:color="auto"/>
            </w:tcBorders>
            <w:vAlign w:val="center"/>
          </w:tcPr>
          <w:p w14:paraId="78A5EB00" w14:textId="3BBC3BD1" w:rsidR="00780265" w:rsidRPr="00780265" w:rsidRDefault="00780265" w:rsidP="587CD026">
            <w:pPr>
              <w:keepLines/>
              <w:tabs>
                <w:tab w:val="left" w:pos="567"/>
              </w:tabs>
              <w:jc w:val="center"/>
              <w:rPr>
                <w:rFonts w:asciiTheme="majorHAnsi" w:eastAsia="Times New Roman" w:hAnsiTheme="majorHAnsi"/>
              </w:rPr>
            </w:pPr>
            <w:r w:rsidRPr="587CD026">
              <w:rPr>
                <w:rFonts w:asciiTheme="majorHAnsi" w:eastAsia="Times New Roman" w:hAnsiTheme="majorHAnsi"/>
              </w:rPr>
              <w:t>66.7%</w:t>
            </w:r>
          </w:p>
        </w:tc>
        <w:tc>
          <w:tcPr>
            <w:tcW w:w="1791" w:type="dxa"/>
            <w:tcBorders>
              <w:top w:val="single" w:sz="4" w:space="0" w:color="auto"/>
              <w:left w:val="single" w:sz="4" w:space="0" w:color="auto"/>
              <w:bottom w:val="single" w:sz="4" w:space="0" w:color="auto"/>
              <w:right w:val="single" w:sz="4" w:space="0" w:color="auto"/>
            </w:tcBorders>
            <w:vAlign w:val="center"/>
          </w:tcPr>
          <w:p w14:paraId="1035631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321C9FE5"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692212E3"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bCs/>
              </w:rPr>
              <w:t>Corticosteroid</w:t>
            </w:r>
            <w:r w:rsidRPr="00780265">
              <w:rPr>
                <w:rFonts w:asciiTheme="majorHAnsi" w:eastAsia="Times New Roman" w:hAnsiTheme="majorHAnsi"/>
                <w:b/>
                <w:bCs/>
              </w:rPr>
              <w:noBreakHyphen/>
              <w:t>free remission</w:t>
            </w:r>
            <w:r w:rsidRPr="003C7EF9">
              <w:rPr>
                <w:rFonts w:asciiTheme="majorHAnsi" w:eastAsia="Times New Roman" w:hAnsiTheme="majorHAnsi"/>
                <w:b/>
                <w:bCs/>
                <w:vertAlign w:val="superscript"/>
              </w:rPr>
              <w:t>*4</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B3B6C33"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39</w:t>
            </w:r>
          </w:p>
        </w:tc>
        <w:tc>
          <w:tcPr>
            <w:tcW w:w="940" w:type="dxa"/>
            <w:tcBorders>
              <w:top w:val="single" w:sz="4" w:space="0" w:color="auto"/>
              <w:left w:val="single" w:sz="4" w:space="0" w:color="auto"/>
              <w:bottom w:val="single" w:sz="4" w:space="0" w:color="auto"/>
              <w:right w:val="single" w:sz="4" w:space="0" w:color="auto"/>
            </w:tcBorders>
            <w:vAlign w:val="center"/>
          </w:tcPr>
          <w:p w14:paraId="11B2C349" w14:textId="4965265D"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21.8%</w:t>
            </w:r>
          </w:p>
        </w:tc>
        <w:tc>
          <w:tcPr>
            <w:tcW w:w="1134" w:type="dxa"/>
            <w:gridSpan w:val="2"/>
            <w:tcBorders>
              <w:left w:val="single" w:sz="4" w:space="0" w:color="auto"/>
              <w:right w:val="single" w:sz="4" w:space="0" w:color="auto"/>
            </w:tcBorders>
            <w:vAlign w:val="center"/>
          </w:tcPr>
          <w:p w14:paraId="11FA8A6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164</w:t>
            </w:r>
          </w:p>
        </w:tc>
        <w:tc>
          <w:tcPr>
            <w:tcW w:w="851" w:type="dxa"/>
            <w:tcBorders>
              <w:left w:val="single" w:sz="4" w:space="0" w:color="auto"/>
              <w:right w:val="single" w:sz="4" w:space="0" w:color="auto"/>
            </w:tcBorders>
            <w:vAlign w:val="center"/>
          </w:tcPr>
          <w:p w14:paraId="539D7FAB" w14:textId="7AAC058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44.9%</w:t>
            </w:r>
          </w:p>
        </w:tc>
        <w:tc>
          <w:tcPr>
            <w:tcW w:w="1791" w:type="dxa"/>
            <w:tcBorders>
              <w:top w:val="single" w:sz="4" w:space="0" w:color="auto"/>
              <w:left w:val="single" w:sz="4" w:space="0" w:color="auto"/>
              <w:bottom w:val="single" w:sz="4" w:space="0" w:color="auto"/>
              <w:right w:val="single" w:sz="4" w:space="0" w:color="auto"/>
            </w:tcBorders>
            <w:vAlign w:val="center"/>
          </w:tcPr>
          <w:p w14:paraId="5C379790" w14:textId="1AA61957"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21.3%</w:t>
            </w:r>
          </w:p>
          <w:p w14:paraId="5BBE6459" w14:textId="2D085AD3"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(13.5%, 29.1%)</w:t>
            </w:r>
            <w:r w:rsidRPr="00780265">
              <w:rPr>
                <w:rFonts w:asciiTheme="majorHAnsi" w:eastAsia="Times New Roman" w:hAnsiTheme="majorHAnsi"/>
                <w:vertAlign w:val="superscript"/>
              </w:rPr>
              <w:t>c</w:t>
            </w:r>
          </w:p>
        </w:tc>
      </w:tr>
      <w:tr w:rsidR="00780265" w:rsidRPr="00780265" w14:paraId="61B88690"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0F2EEDCF"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were biologic and </w:t>
            </w:r>
            <w:r w:rsidRPr="00780265">
              <w:rPr>
                <w:rFonts w:asciiTheme="majorHAnsi" w:eastAsia="Times New Roman" w:hAnsiTheme="majorHAnsi"/>
                <w:color w:val="000000"/>
              </w:rPr>
              <w:t>JAK-</w:t>
            </w:r>
            <w:r w:rsidRPr="00780265">
              <w:rPr>
                <w:rFonts w:asciiTheme="majorHAnsi" w:eastAsia="Times New Roman" w:hAnsiTheme="majorHAnsi"/>
              </w:rPr>
              <w:t xml:space="preserve">inhibitor naïve </w:t>
            </w:r>
            <w:r w:rsidRPr="00780265">
              <w:rPr>
                <w:rFonts w:asciiTheme="majorHAnsi" w:eastAsia="Times New Roman" w:hAnsiTheme="majorHAnsi"/>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1665DAF8"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30/114</w:t>
            </w:r>
          </w:p>
        </w:tc>
        <w:tc>
          <w:tcPr>
            <w:tcW w:w="940" w:type="dxa"/>
            <w:tcBorders>
              <w:top w:val="single" w:sz="4" w:space="0" w:color="auto"/>
              <w:left w:val="single" w:sz="4" w:space="0" w:color="auto"/>
              <w:bottom w:val="single" w:sz="4" w:space="0" w:color="auto"/>
              <w:right w:val="single" w:sz="4" w:space="0" w:color="auto"/>
            </w:tcBorders>
            <w:vAlign w:val="center"/>
          </w:tcPr>
          <w:p w14:paraId="5C8E1B7B" w14:textId="4D191E3B"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26.3%</w:t>
            </w:r>
          </w:p>
        </w:tc>
        <w:tc>
          <w:tcPr>
            <w:tcW w:w="1134" w:type="dxa"/>
            <w:gridSpan w:val="2"/>
            <w:tcBorders>
              <w:left w:val="single" w:sz="4" w:space="0" w:color="auto"/>
              <w:right w:val="single" w:sz="4" w:space="0" w:color="auto"/>
            </w:tcBorders>
            <w:vAlign w:val="center"/>
          </w:tcPr>
          <w:p w14:paraId="52C13126"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107/229</w:t>
            </w:r>
          </w:p>
        </w:tc>
        <w:tc>
          <w:tcPr>
            <w:tcW w:w="851" w:type="dxa"/>
            <w:tcBorders>
              <w:left w:val="single" w:sz="4" w:space="0" w:color="auto"/>
              <w:right w:val="single" w:sz="4" w:space="0" w:color="auto"/>
            </w:tcBorders>
            <w:vAlign w:val="center"/>
          </w:tcPr>
          <w:p w14:paraId="5887551F" w14:textId="26CB729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46.7%</w:t>
            </w:r>
          </w:p>
        </w:tc>
        <w:tc>
          <w:tcPr>
            <w:tcW w:w="1791" w:type="dxa"/>
            <w:tcBorders>
              <w:top w:val="single" w:sz="4" w:space="0" w:color="auto"/>
              <w:left w:val="single" w:sz="4" w:space="0" w:color="auto"/>
              <w:bottom w:val="single" w:sz="4" w:space="0" w:color="auto"/>
              <w:right w:val="single" w:sz="4" w:space="0" w:color="auto"/>
            </w:tcBorders>
            <w:vAlign w:val="center"/>
          </w:tcPr>
          <w:p w14:paraId="5AD969B1"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75C40754"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7F0F254A"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03168611"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9/64</w:t>
            </w:r>
          </w:p>
        </w:tc>
        <w:tc>
          <w:tcPr>
            <w:tcW w:w="940" w:type="dxa"/>
            <w:tcBorders>
              <w:top w:val="single" w:sz="4" w:space="0" w:color="auto"/>
              <w:left w:val="single" w:sz="4" w:space="0" w:color="auto"/>
              <w:bottom w:val="single" w:sz="4" w:space="0" w:color="auto"/>
              <w:right w:val="single" w:sz="4" w:space="0" w:color="auto"/>
            </w:tcBorders>
            <w:vAlign w:val="center"/>
          </w:tcPr>
          <w:p w14:paraId="1221E929" w14:textId="5B31D6E9"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14.1%</w:t>
            </w:r>
          </w:p>
        </w:tc>
        <w:tc>
          <w:tcPr>
            <w:tcW w:w="1134" w:type="dxa"/>
            <w:gridSpan w:val="2"/>
            <w:tcBorders>
              <w:left w:val="single" w:sz="4" w:space="0" w:color="auto"/>
              <w:right w:val="single" w:sz="4" w:space="0" w:color="auto"/>
            </w:tcBorders>
            <w:vAlign w:val="center"/>
          </w:tcPr>
          <w:p w14:paraId="39FA791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52/128</w:t>
            </w:r>
          </w:p>
        </w:tc>
        <w:tc>
          <w:tcPr>
            <w:tcW w:w="851" w:type="dxa"/>
            <w:tcBorders>
              <w:left w:val="single" w:sz="4" w:space="0" w:color="auto"/>
              <w:right w:val="single" w:sz="4" w:space="0" w:color="auto"/>
            </w:tcBorders>
            <w:vAlign w:val="center"/>
          </w:tcPr>
          <w:p w14:paraId="5904B58F" w14:textId="038B893F"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40.6%</w:t>
            </w:r>
          </w:p>
        </w:tc>
        <w:tc>
          <w:tcPr>
            <w:tcW w:w="1791" w:type="dxa"/>
            <w:tcBorders>
              <w:top w:val="single" w:sz="4" w:space="0" w:color="auto"/>
              <w:left w:val="single" w:sz="4" w:space="0" w:color="auto"/>
              <w:bottom w:val="single" w:sz="4" w:space="0" w:color="auto"/>
              <w:right w:val="single" w:sz="4" w:space="0" w:color="auto"/>
            </w:tcBorders>
            <w:vAlign w:val="center"/>
          </w:tcPr>
          <w:p w14:paraId="24B603F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6EEE73F1"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7C5A1C78"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rPr>
              <w:t>Endoscopic improvement</w:t>
            </w:r>
            <w:r w:rsidRPr="003C7EF9">
              <w:rPr>
                <w:rFonts w:asciiTheme="majorHAnsi" w:eastAsia="Times New Roman" w:hAnsiTheme="majorHAnsi"/>
                <w:b/>
                <w:vertAlign w:val="superscript"/>
              </w:rPr>
              <w:t>*5</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28032AA5"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52</w:t>
            </w:r>
          </w:p>
        </w:tc>
        <w:tc>
          <w:tcPr>
            <w:tcW w:w="940" w:type="dxa"/>
            <w:tcBorders>
              <w:top w:val="single" w:sz="4" w:space="0" w:color="auto"/>
              <w:left w:val="single" w:sz="4" w:space="0" w:color="auto"/>
              <w:bottom w:val="single" w:sz="4" w:space="0" w:color="auto"/>
              <w:right w:val="single" w:sz="4" w:space="0" w:color="auto"/>
            </w:tcBorders>
            <w:vAlign w:val="center"/>
          </w:tcPr>
          <w:p w14:paraId="1C87C9F2" w14:textId="3594FB58"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29.1%</w:t>
            </w:r>
          </w:p>
        </w:tc>
        <w:tc>
          <w:tcPr>
            <w:tcW w:w="1134" w:type="dxa"/>
            <w:gridSpan w:val="2"/>
            <w:tcBorders>
              <w:left w:val="single" w:sz="4" w:space="0" w:color="auto"/>
              <w:right w:val="single" w:sz="4" w:space="0" w:color="auto"/>
            </w:tcBorders>
            <w:vAlign w:val="center"/>
          </w:tcPr>
          <w:p w14:paraId="205AFFC4"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214</w:t>
            </w:r>
          </w:p>
        </w:tc>
        <w:tc>
          <w:tcPr>
            <w:tcW w:w="851" w:type="dxa"/>
            <w:tcBorders>
              <w:left w:val="single" w:sz="4" w:space="0" w:color="auto"/>
              <w:right w:val="single" w:sz="4" w:space="0" w:color="auto"/>
            </w:tcBorders>
            <w:vAlign w:val="center"/>
          </w:tcPr>
          <w:p w14:paraId="5E12B42E" w14:textId="5BD33120"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58.6%</w:t>
            </w:r>
          </w:p>
        </w:tc>
        <w:tc>
          <w:tcPr>
            <w:tcW w:w="1791" w:type="dxa"/>
            <w:tcBorders>
              <w:top w:val="single" w:sz="4" w:space="0" w:color="auto"/>
              <w:left w:val="single" w:sz="4" w:space="0" w:color="auto"/>
              <w:bottom w:val="single" w:sz="4" w:space="0" w:color="auto"/>
              <w:right w:val="single" w:sz="4" w:space="0" w:color="auto"/>
            </w:tcBorders>
            <w:vAlign w:val="center"/>
          </w:tcPr>
          <w:p w14:paraId="0E972879" w14:textId="51F18796"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28.5%</w:t>
            </w:r>
          </w:p>
          <w:p w14:paraId="57F862AD" w14:textId="3529476D"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(20.2%, 36.8%)</w:t>
            </w:r>
            <w:r w:rsidRPr="00780265">
              <w:rPr>
                <w:rFonts w:asciiTheme="majorHAnsi" w:eastAsia="Times New Roman" w:hAnsiTheme="majorHAnsi"/>
                <w:vertAlign w:val="superscript"/>
              </w:rPr>
              <w:t>c</w:t>
            </w:r>
          </w:p>
        </w:tc>
      </w:tr>
      <w:tr w:rsidR="00780265" w:rsidRPr="00780265" w14:paraId="1CBDB1E1"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4CE2D05F" w14:textId="77777777" w:rsidR="00780265" w:rsidRPr="00780265" w:rsidRDefault="00780265" w:rsidP="00780265">
            <w:pPr>
              <w:keepLines/>
              <w:tabs>
                <w:tab w:val="left" w:pos="567"/>
              </w:tabs>
              <w:ind w:left="284" w:firstLine="2"/>
              <w:rPr>
                <w:rFonts w:asciiTheme="majorHAnsi" w:eastAsia="Times New Roman" w:hAnsiTheme="majorHAnsi"/>
              </w:rPr>
            </w:pPr>
            <w:r w:rsidRPr="00780265">
              <w:rPr>
                <w:rFonts w:asciiTheme="majorHAnsi" w:eastAsia="Times New Roman" w:hAnsiTheme="majorHAnsi"/>
              </w:rPr>
              <w:t xml:space="preserve">Patients who were biologic and </w:t>
            </w:r>
            <w:r w:rsidRPr="00780265">
              <w:rPr>
                <w:rFonts w:asciiTheme="majorHAnsi" w:eastAsia="Times New Roman" w:hAnsiTheme="majorHAnsi"/>
                <w:color w:val="000000"/>
              </w:rPr>
              <w:t>JAK-</w:t>
            </w:r>
            <w:r w:rsidRPr="00780265">
              <w:rPr>
                <w:rFonts w:asciiTheme="majorHAnsi" w:eastAsia="Times New Roman" w:hAnsiTheme="majorHAnsi"/>
              </w:rPr>
              <w:t xml:space="preserve">inhibitor naïve </w:t>
            </w:r>
            <w:r w:rsidRPr="00780265">
              <w:rPr>
                <w:rFonts w:asciiTheme="majorHAnsi" w:eastAsia="Times New Roman" w:hAnsiTheme="majorHAnsi"/>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3460B50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39/114</w:t>
            </w:r>
          </w:p>
        </w:tc>
        <w:tc>
          <w:tcPr>
            <w:tcW w:w="940" w:type="dxa"/>
            <w:tcBorders>
              <w:top w:val="single" w:sz="4" w:space="0" w:color="auto"/>
              <w:left w:val="single" w:sz="4" w:space="0" w:color="auto"/>
              <w:bottom w:val="single" w:sz="4" w:space="0" w:color="auto"/>
              <w:right w:val="single" w:sz="4" w:space="0" w:color="auto"/>
            </w:tcBorders>
            <w:vAlign w:val="center"/>
          </w:tcPr>
          <w:p w14:paraId="7D0E0304" w14:textId="5DD2E909"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34.2%</w:t>
            </w:r>
          </w:p>
        </w:tc>
        <w:tc>
          <w:tcPr>
            <w:tcW w:w="1134" w:type="dxa"/>
            <w:gridSpan w:val="2"/>
            <w:tcBorders>
              <w:left w:val="single" w:sz="4" w:space="0" w:color="auto"/>
              <w:right w:val="single" w:sz="4" w:space="0" w:color="auto"/>
            </w:tcBorders>
            <w:vAlign w:val="center"/>
          </w:tcPr>
          <w:p w14:paraId="1D96AE1C"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143/229</w:t>
            </w:r>
          </w:p>
        </w:tc>
        <w:tc>
          <w:tcPr>
            <w:tcW w:w="851" w:type="dxa"/>
            <w:tcBorders>
              <w:left w:val="single" w:sz="4" w:space="0" w:color="auto"/>
              <w:right w:val="single" w:sz="4" w:space="0" w:color="auto"/>
            </w:tcBorders>
            <w:vAlign w:val="center"/>
          </w:tcPr>
          <w:p w14:paraId="38A2332D" w14:textId="5E84098A"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62.4%</w:t>
            </w:r>
          </w:p>
        </w:tc>
        <w:tc>
          <w:tcPr>
            <w:tcW w:w="1791" w:type="dxa"/>
            <w:tcBorders>
              <w:top w:val="single" w:sz="4" w:space="0" w:color="auto"/>
              <w:left w:val="single" w:sz="4" w:space="0" w:color="auto"/>
              <w:bottom w:val="single" w:sz="4" w:space="0" w:color="auto"/>
              <w:right w:val="single" w:sz="4" w:space="0" w:color="auto"/>
            </w:tcBorders>
            <w:vAlign w:val="center"/>
          </w:tcPr>
          <w:p w14:paraId="4192185E"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73EB3215"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345DD583" w14:textId="77777777" w:rsidR="00780265" w:rsidRPr="00780265" w:rsidRDefault="00780265" w:rsidP="00780265">
            <w:pPr>
              <w:keepLines/>
              <w:tabs>
                <w:tab w:val="left" w:pos="567"/>
              </w:tabs>
              <w:ind w:left="284" w:firstLine="2"/>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0ED4D517"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13/64</w:t>
            </w:r>
          </w:p>
        </w:tc>
        <w:tc>
          <w:tcPr>
            <w:tcW w:w="940" w:type="dxa"/>
            <w:tcBorders>
              <w:top w:val="single" w:sz="4" w:space="0" w:color="auto"/>
              <w:left w:val="single" w:sz="4" w:space="0" w:color="auto"/>
              <w:bottom w:val="single" w:sz="4" w:space="0" w:color="auto"/>
              <w:right w:val="single" w:sz="4" w:space="0" w:color="auto"/>
            </w:tcBorders>
            <w:vAlign w:val="center"/>
          </w:tcPr>
          <w:p w14:paraId="15FF864F" w14:textId="1D5D94F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20.3%</w:t>
            </w:r>
          </w:p>
        </w:tc>
        <w:tc>
          <w:tcPr>
            <w:tcW w:w="1134" w:type="dxa"/>
            <w:gridSpan w:val="2"/>
            <w:tcBorders>
              <w:left w:val="single" w:sz="4" w:space="0" w:color="auto"/>
              <w:right w:val="single" w:sz="4" w:space="0" w:color="auto"/>
            </w:tcBorders>
            <w:vAlign w:val="center"/>
          </w:tcPr>
          <w:p w14:paraId="06D04BF6"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65/128</w:t>
            </w:r>
          </w:p>
        </w:tc>
        <w:tc>
          <w:tcPr>
            <w:tcW w:w="851" w:type="dxa"/>
            <w:tcBorders>
              <w:left w:val="single" w:sz="4" w:space="0" w:color="auto"/>
              <w:right w:val="single" w:sz="4" w:space="0" w:color="auto"/>
            </w:tcBorders>
            <w:vAlign w:val="center"/>
          </w:tcPr>
          <w:p w14:paraId="7FFEC5E0" w14:textId="1310C54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50.8%</w:t>
            </w:r>
          </w:p>
        </w:tc>
        <w:tc>
          <w:tcPr>
            <w:tcW w:w="1791" w:type="dxa"/>
            <w:tcBorders>
              <w:top w:val="single" w:sz="4" w:space="0" w:color="auto"/>
              <w:left w:val="single" w:sz="4" w:space="0" w:color="auto"/>
              <w:bottom w:val="single" w:sz="4" w:space="0" w:color="auto"/>
              <w:right w:val="single" w:sz="4" w:space="0" w:color="auto"/>
            </w:tcBorders>
            <w:vAlign w:val="center"/>
          </w:tcPr>
          <w:p w14:paraId="6BFA1457"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0FD0F7C5"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20ED3FCC" w14:textId="77777777" w:rsidR="00780265" w:rsidRPr="00780265" w:rsidRDefault="00780265" w:rsidP="00780265">
            <w:pPr>
              <w:keepLines/>
              <w:tabs>
                <w:tab w:val="left" w:pos="567"/>
              </w:tabs>
              <w:ind w:right="-147"/>
              <w:rPr>
                <w:rFonts w:asciiTheme="majorHAnsi" w:eastAsia="Times New Roman" w:hAnsiTheme="majorHAnsi"/>
                <w:b/>
                <w:bCs/>
              </w:rPr>
            </w:pPr>
            <w:r w:rsidRPr="00780265">
              <w:rPr>
                <w:rFonts w:asciiTheme="majorHAnsi" w:eastAsia="Times New Roman" w:hAnsiTheme="majorHAnsi"/>
                <w:b/>
              </w:rPr>
              <w:t>Histo-endoscopic mucosal remission</w:t>
            </w:r>
            <w:r w:rsidRPr="003C7EF9">
              <w:rPr>
                <w:rFonts w:asciiTheme="majorHAnsi" w:eastAsia="Times New Roman" w:hAnsiTheme="majorHAnsi"/>
                <w:b/>
                <w:vertAlign w:val="superscript"/>
              </w:rPr>
              <w:t>*6</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48B54BCD"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39</w:t>
            </w:r>
          </w:p>
        </w:tc>
        <w:tc>
          <w:tcPr>
            <w:tcW w:w="940" w:type="dxa"/>
            <w:tcBorders>
              <w:top w:val="single" w:sz="4" w:space="0" w:color="auto"/>
              <w:left w:val="single" w:sz="4" w:space="0" w:color="auto"/>
              <w:bottom w:val="single" w:sz="4" w:space="0" w:color="auto"/>
              <w:right w:val="single" w:sz="4" w:space="0" w:color="auto"/>
            </w:tcBorders>
            <w:vAlign w:val="center"/>
          </w:tcPr>
          <w:p w14:paraId="6E29D761" w14:textId="056C9F2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21.8%</w:t>
            </w:r>
          </w:p>
        </w:tc>
        <w:tc>
          <w:tcPr>
            <w:tcW w:w="1134" w:type="dxa"/>
            <w:gridSpan w:val="2"/>
            <w:tcBorders>
              <w:left w:val="single" w:sz="4" w:space="0" w:color="auto"/>
              <w:right w:val="single" w:sz="4" w:space="0" w:color="auto"/>
            </w:tcBorders>
            <w:vAlign w:val="center"/>
          </w:tcPr>
          <w:p w14:paraId="56389142"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158</w:t>
            </w:r>
          </w:p>
        </w:tc>
        <w:tc>
          <w:tcPr>
            <w:tcW w:w="851" w:type="dxa"/>
            <w:tcBorders>
              <w:left w:val="single" w:sz="4" w:space="0" w:color="auto"/>
              <w:right w:val="single" w:sz="4" w:space="0" w:color="auto"/>
            </w:tcBorders>
            <w:vAlign w:val="center"/>
          </w:tcPr>
          <w:p w14:paraId="532975E7" w14:textId="4F00EA5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43.3%</w:t>
            </w:r>
          </w:p>
        </w:tc>
        <w:tc>
          <w:tcPr>
            <w:tcW w:w="1791" w:type="dxa"/>
            <w:tcBorders>
              <w:top w:val="single" w:sz="4" w:space="0" w:color="auto"/>
              <w:left w:val="single" w:sz="4" w:space="0" w:color="auto"/>
              <w:bottom w:val="single" w:sz="4" w:space="0" w:color="auto"/>
              <w:right w:val="single" w:sz="4" w:space="0" w:color="auto"/>
            </w:tcBorders>
            <w:vAlign w:val="center"/>
          </w:tcPr>
          <w:p w14:paraId="789D1274" w14:textId="5BB691A3"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19.9%</w:t>
            </w:r>
          </w:p>
          <w:p w14:paraId="3CD9EFCA" w14:textId="2414EBB5"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(12.1%, 27.6%)</w:t>
            </w:r>
            <w:r w:rsidRPr="00780265">
              <w:rPr>
                <w:rFonts w:asciiTheme="majorHAnsi" w:eastAsia="Times New Roman" w:hAnsiTheme="majorHAnsi"/>
                <w:vertAlign w:val="superscript"/>
              </w:rPr>
              <w:t>c</w:t>
            </w:r>
          </w:p>
        </w:tc>
      </w:tr>
      <w:tr w:rsidR="00780265" w:rsidRPr="00780265" w14:paraId="10DB9F78"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5EBDFCCF"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were biologic and </w:t>
            </w:r>
            <w:r w:rsidRPr="00780265">
              <w:rPr>
                <w:rFonts w:asciiTheme="majorHAnsi" w:eastAsia="Times New Roman" w:hAnsiTheme="majorHAnsi"/>
                <w:color w:val="000000"/>
              </w:rPr>
              <w:t>JAK-</w:t>
            </w:r>
            <w:r w:rsidRPr="00780265">
              <w:rPr>
                <w:rFonts w:asciiTheme="majorHAnsi" w:eastAsia="Times New Roman" w:hAnsiTheme="majorHAnsi"/>
              </w:rPr>
              <w:t xml:space="preserve">inhibitor naïve </w:t>
            </w:r>
            <w:r w:rsidRPr="00780265">
              <w:rPr>
                <w:rFonts w:asciiTheme="majorHAnsi" w:eastAsia="Times New Roman" w:hAnsiTheme="majorHAnsi"/>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39986C8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30/114</w:t>
            </w:r>
          </w:p>
        </w:tc>
        <w:tc>
          <w:tcPr>
            <w:tcW w:w="940" w:type="dxa"/>
            <w:tcBorders>
              <w:top w:val="single" w:sz="4" w:space="0" w:color="auto"/>
              <w:left w:val="single" w:sz="4" w:space="0" w:color="auto"/>
              <w:bottom w:val="single" w:sz="4" w:space="0" w:color="auto"/>
              <w:right w:val="single" w:sz="4" w:space="0" w:color="auto"/>
            </w:tcBorders>
            <w:vAlign w:val="center"/>
          </w:tcPr>
          <w:p w14:paraId="2788ADB8" w14:textId="09E80586"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26.3%</w:t>
            </w:r>
          </w:p>
        </w:tc>
        <w:tc>
          <w:tcPr>
            <w:tcW w:w="1134" w:type="dxa"/>
            <w:gridSpan w:val="2"/>
            <w:tcBorders>
              <w:left w:val="single" w:sz="4" w:space="0" w:color="auto"/>
              <w:right w:val="single" w:sz="4" w:space="0" w:color="auto"/>
            </w:tcBorders>
            <w:vAlign w:val="center"/>
          </w:tcPr>
          <w:p w14:paraId="417D3F8A"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108/229</w:t>
            </w:r>
          </w:p>
        </w:tc>
        <w:tc>
          <w:tcPr>
            <w:tcW w:w="851" w:type="dxa"/>
            <w:tcBorders>
              <w:left w:val="single" w:sz="4" w:space="0" w:color="auto"/>
              <w:right w:val="single" w:sz="4" w:space="0" w:color="auto"/>
            </w:tcBorders>
            <w:vAlign w:val="center"/>
          </w:tcPr>
          <w:p w14:paraId="7CFB66D9" w14:textId="0EA1EC1A"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47.2%</w:t>
            </w:r>
          </w:p>
        </w:tc>
        <w:tc>
          <w:tcPr>
            <w:tcW w:w="1791" w:type="dxa"/>
            <w:tcBorders>
              <w:top w:val="single" w:sz="4" w:space="0" w:color="auto"/>
              <w:left w:val="single" w:sz="4" w:space="0" w:color="auto"/>
              <w:bottom w:val="single" w:sz="4" w:space="0" w:color="auto"/>
              <w:right w:val="single" w:sz="4" w:space="0" w:color="auto"/>
            </w:tcBorders>
            <w:vAlign w:val="center"/>
          </w:tcPr>
          <w:p w14:paraId="53A58B3E"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57AF2708"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54817F2E"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06F8F795"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9/64</w:t>
            </w:r>
          </w:p>
        </w:tc>
        <w:tc>
          <w:tcPr>
            <w:tcW w:w="940" w:type="dxa"/>
            <w:tcBorders>
              <w:top w:val="single" w:sz="4" w:space="0" w:color="auto"/>
              <w:left w:val="single" w:sz="4" w:space="0" w:color="auto"/>
              <w:bottom w:val="single" w:sz="4" w:space="0" w:color="auto"/>
              <w:right w:val="single" w:sz="4" w:space="0" w:color="auto"/>
            </w:tcBorders>
            <w:vAlign w:val="center"/>
          </w:tcPr>
          <w:p w14:paraId="183EC9E0" w14:textId="5D110E40"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14.1%</w:t>
            </w:r>
          </w:p>
        </w:tc>
        <w:tc>
          <w:tcPr>
            <w:tcW w:w="1134" w:type="dxa"/>
            <w:gridSpan w:val="2"/>
            <w:tcBorders>
              <w:left w:val="single" w:sz="4" w:space="0" w:color="auto"/>
              <w:right w:val="single" w:sz="4" w:space="0" w:color="auto"/>
            </w:tcBorders>
            <w:vAlign w:val="center"/>
          </w:tcPr>
          <w:p w14:paraId="3BD35970"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46/128</w:t>
            </w:r>
          </w:p>
        </w:tc>
        <w:tc>
          <w:tcPr>
            <w:tcW w:w="851" w:type="dxa"/>
            <w:tcBorders>
              <w:left w:val="single" w:sz="4" w:space="0" w:color="auto"/>
              <w:right w:val="single" w:sz="4" w:space="0" w:color="auto"/>
            </w:tcBorders>
            <w:vAlign w:val="center"/>
          </w:tcPr>
          <w:p w14:paraId="361AE6F8" w14:textId="0DFD8DFD"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35.9%</w:t>
            </w:r>
          </w:p>
        </w:tc>
        <w:tc>
          <w:tcPr>
            <w:tcW w:w="1791" w:type="dxa"/>
            <w:tcBorders>
              <w:top w:val="single" w:sz="4" w:space="0" w:color="auto"/>
              <w:left w:val="single" w:sz="4" w:space="0" w:color="auto"/>
              <w:bottom w:val="single" w:sz="4" w:space="0" w:color="auto"/>
              <w:right w:val="single" w:sz="4" w:space="0" w:color="auto"/>
            </w:tcBorders>
            <w:vAlign w:val="center"/>
          </w:tcPr>
          <w:p w14:paraId="411B844C"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5948A5A9"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vAlign w:val="center"/>
          </w:tcPr>
          <w:p w14:paraId="75794C6C" w14:textId="77777777" w:rsidR="00780265" w:rsidRPr="00780265" w:rsidRDefault="00780265" w:rsidP="00780265">
            <w:pPr>
              <w:keepLines/>
              <w:tabs>
                <w:tab w:val="left" w:pos="567"/>
              </w:tabs>
              <w:rPr>
                <w:rFonts w:asciiTheme="majorHAnsi" w:eastAsia="Times New Roman" w:hAnsiTheme="majorHAnsi"/>
                <w:b/>
                <w:bCs/>
              </w:rPr>
            </w:pPr>
            <w:r w:rsidRPr="00780265">
              <w:rPr>
                <w:rFonts w:asciiTheme="majorHAnsi" w:eastAsia="Times New Roman" w:hAnsiTheme="majorHAnsi"/>
                <w:b/>
                <w:bCs/>
              </w:rPr>
              <w:t>Bowel urgency remission</w:t>
            </w:r>
            <w:r w:rsidRPr="003C7EF9">
              <w:rPr>
                <w:rFonts w:asciiTheme="majorHAnsi" w:eastAsia="Times New Roman" w:hAnsiTheme="majorHAnsi"/>
                <w:b/>
                <w:bCs/>
                <w:vertAlign w:val="superscript"/>
              </w:rPr>
              <w:t>*7</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4975C85D"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43/172</w:t>
            </w:r>
          </w:p>
        </w:tc>
        <w:tc>
          <w:tcPr>
            <w:tcW w:w="940" w:type="dxa"/>
            <w:tcBorders>
              <w:top w:val="single" w:sz="4" w:space="0" w:color="auto"/>
              <w:left w:val="single" w:sz="4" w:space="0" w:color="auto"/>
              <w:bottom w:val="single" w:sz="4" w:space="0" w:color="auto"/>
              <w:right w:val="single" w:sz="4" w:space="0" w:color="auto"/>
            </w:tcBorders>
            <w:vAlign w:val="center"/>
          </w:tcPr>
          <w:p w14:paraId="46947ED0" w14:textId="293CF2D2"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25.0%</w:t>
            </w:r>
          </w:p>
        </w:tc>
        <w:tc>
          <w:tcPr>
            <w:tcW w:w="1134" w:type="dxa"/>
            <w:gridSpan w:val="2"/>
            <w:tcBorders>
              <w:left w:val="single" w:sz="4" w:space="0" w:color="auto"/>
              <w:right w:val="single" w:sz="4" w:space="0" w:color="auto"/>
            </w:tcBorders>
            <w:vAlign w:val="center"/>
          </w:tcPr>
          <w:p w14:paraId="49D1C20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144/336</w:t>
            </w:r>
          </w:p>
        </w:tc>
        <w:tc>
          <w:tcPr>
            <w:tcW w:w="851" w:type="dxa"/>
            <w:tcBorders>
              <w:left w:val="single" w:sz="4" w:space="0" w:color="auto"/>
              <w:right w:val="single" w:sz="4" w:space="0" w:color="auto"/>
            </w:tcBorders>
            <w:vAlign w:val="center"/>
          </w:tcPr>
          <w:p w14:paraId="0F0DB042" w14:textId="08BF0D7E"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42.9%</w:t>
            </w:r>
          </w:p>
        </w:tc>
        <w:tc>
          <w:tcPr>
            <w:tcW w:w="1791" w:type="dxa"/>
            <w:tcBorders>
              <w:top w:val="single" w:sz="4" w:space="0" w:color="auto"/>
              <w:left w:val="single" w:sz="4" w:space="0" w:color="auto"/>
              <w:bottom w:val="single" w:sz="4" w:space="0" w:color="auto"/>
              <w:right w:val="single" w:sz="4" w:space="0" w:color="auto"/>
            </w:tcBorders>
            <w:vAlign w:val="center"/>
          </w:tcPr>
          <w:p w14:paraId="1B2F976A" w14:textId="013821BF"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18.1%</w:t>
            </w:r>
          </w:p>
          <w:p w14:paraId="0BD08345" w14:textId="611B75DE"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(9.8%, 26.4%)</w:t>
            </w:r>
            <w:r w:rsidRPr="00780265">
              <w:rPr>
                <w:rFonts w:asciiTheme="majorHAnsi" w:eastAsia="Times New Roman" w:hAnsiTheme="majorHAnsi"/>
                <w:vertAlign w:val="superscript"/>
              </w:rPr>
              <w:t>c</w:t>
            </w:r>
          </w:p>
        </w:tc>
      </w:tr>
      <w:tr w:rsidR="00780265" w:rsidRPr="00780265" w14:paraId="42E9C9C9"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53083C0E"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color w:val="000000"/>
              </w:rPr>
              <w:t>Patients who were biologic and JAK-</w:t>
            </w:r>
            <w:r w:rsidRPr="00780265">
              <w:rPr>
                <w:rFonts w:asciiTheme="majorHAnsi" w:eastAsia="Times New Roman" w:hAnsiTheme="majorHAnsi"/>
              </w:rPr>
              <w:t>inhibitor</w:t>
            </w:r>
            <w:r w:rsidRPr="00780265">
              <w:rPr>
                <w:rFonts w:asciiTheme="majorHAnsi" w:eastAsia="Times New Roman" w:hAnsiTheme="majorHAnsi"/>
                <w:color w:val="000000"/>
              </w:rPr>
              <w:t xml:space="preserve"> naïve </w:t>
            </w:r>
            <w:r w:rsidRPr="00780265">
              <w:rPr>
                <w:rFonts w:asciiTheme="majorHAnsi" w:eastAsia="Times New Roman" w:hAnsiTheme="majorHAnsi"/>
                <w:color w:val="000000"/>
                <w:vertAlign w:val="superscript"/>
              </w:rPr>
              <w:t>a</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DF4C1FE"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31/108</w:t>
            </w:r>
          </w:p>
        </w:tc>
        <w:tc>
          <w:tcPr>
            <w:tcW w:w="940" w:type="dxa"/>
            <w:tcBorders>
              <w:top w:val="single" w:sz="4" w:space="0" w:color="auto"/>
              <w:left w:val="single" w:sz="4" w:space="0" w:color="auto"/>
              <w:bottom w:val="single" w:sz="4" w:space="0" w:color="auto"/>
              <w:right w:val="single" w:sz="4" w:space="0" w:color="auto"/>
            </w:tcBorders>
            <w:vAlign w:val="center"/>
          </w:tcPr>
          <w:p w14:paraId="31C33678" w14:textId="0351ADE4"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28.7%</w:t>
            </w:r>
          </w:p>
        </w:tc>
        <w:tc>
          <w:tcPr>
            <w:tcW w:w="1134" w:type="dxa"/>
            <w:gridSpan w:val="2"/>
            <w:tcBorders>
              <w:left w:val="single" w:sz="4" w:space="0" w:color="auto"/>
              <w:right w:val="single" w:sz="4" w:space="0" w:color="auto"/>
            </w:tcBorders>
            <w:vAlign w:val="center"/>
          </w:tcPr>
          <w:p w14:paraId="290D638D"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96/206</w:t>
            </w:r>
          </w:p>
        </w:tc>
        <w:tc>
          <w:tcPr>
            <w:tcW w:w="851" w:type="dxa"/>
            <w:tcBorders>
              <w:left w:val="single" w:sz="4" w:space="0" w:color="auto"/>
              <w:right w:val="single" w:sz="4" w:space="0" w:color="auto"/>
            </w:tcBorders>
            <w:vAlign w:val="center"/>
          </w:tcPr>
          <w:p w14:paraId="01B0D66B" w14:textId="5A5A06F4"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46.6%</w:t>
            </w:r>
          </w:p>
        </w:tc>
        <w:tc>
          <w:tcPr>
            <w:tcW w:w="1791" w:type="dxa"/>
            <w:tcBorders>
              <w:top w:val="single" w:sz="4" w:space="0" w:color="auto"/>
              <w:left w:val="single" w:sz="4" w:space="0" w:color="auto"/>
              <w:bottom w:val="single" w:sz="4" w:space="0" w:color="auto"/>
              <w:right w:val="single" w:sz="4" w:space="0" w:color="auto"/>
            </w:tcBorders>
            <w:vAlign w:val="center"/>
          </w:tcPr>
          <w:p w14:paraId="781E7134"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7C5FCAE9"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1DEEF22C"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lastRenderedPageBreak/>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72CD46C4"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12/63</w:t>
            </w:r>
          </w:p>
        </w:tc>
        <w:tc>
          <w:tcPr>
            <w:tcW w:w="940" w:type="dxa"/>
            <w:tcBorders>
              <w:top w:val="single" w:sz="4" w:space="0" w:color="auto"/>
              <w:left w:val="single" w:sz="4" w:space="0" w:color="auto"/>
              <w:bottom w:val="single" w:sz="4" w:space="0" w:color="auto"/>
              <w:right w:val="single" w:sz="4" w:space="0" w:color="auto"/>
            </w:tcBorders>
            <w:vAlign w:val="center"/>
          </w:tcPr>
          <w:p w14:paraId="4820C3AA" w14:textId="4132978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19.0%</w:t>
            </w:r>
          </w:p>
        </w:tc>
        <w:tc>
          <w:tcPr>
            <w:tcW w:w="1134" w:type="dxa"/>
            <w:gridSpan w:val="2"/>
            <w:tcBorders>
              <w:left w:val="single" w:sz="4" w:space="0" w:color="auto"/>
              <w:right w:val="single" w:sz="4" w:space="0" w:color="auto"/>
            </w:tcBorders>
            <w:vAlign w:val="center"/>
          </w:tcPr>
          <w:p w14:paraId="2BFF3158"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43/122</w:t>
            </w:r>
          </w:p>
        </w:tc>
        <w:tc>
          <w:tcPr>
            <w:tcW w:w="851" w:type="dxa"/>
            <w:tcBorders>
              <w:left w:val="single" w:sz="4" w:space="0" w:color="auto"/>
              <w:right w:val="single" w:sz="4" w:space="0" w:color="auto"/>
            </w:tcBorders>
            <w:vAlign w:val="center"/>
          </w:tcPr>
          <w:p w14:paraId="7814B59D" w14:textId="7F8CF294"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35.2%</w:t>
            </w:r>
          </w:p>
        </w:tc>
        <w:tc>
          <w:tcPr>
            <w:tcW w:w="1791" w:type="dxa"/>
            <w:tcBorders>
              <w:top w:val="single" w:sz="4" w:space="0" w:color="auto"/>
              <w:left w:val="single" w:sz="4" w:space="0" w:color="auto"/>
              <w:bottom w:val="single" w:sz="4" w:space="0" w:color="auto"/>
              <w:right w:val="single" w:sz="4" w:space="0" w:color="auto"/>
            </w:tcBorders>
            <w:vAlign w:val="center"/>
          </w:tcPr>
          <w:p w14:paraId="4D882E2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r w:rsidR="00780265" w:rsidRPr="00780265" w14:paraId="2B16B045" w14:textId="77777777" w:rsidTr="587CD026">
        <w:trPr>
          <w:trHeight w:val="288"/>
        </w:trPr>
        <w:tc>
          <w:tcPr>
            <w:tcW w:w="9016" w:type="dxa"/>
            <w:gridSpan w:val="8"/>
            <w:tcBorders>
              <w:top w:val="single" w:sz="4" w:space="0" w:color="auto"/>
              <w:left w:val="single" w:sz="4" w:space="0" w:color="auto"/>
              <w:bottom w:val="single" w:sz="4" w:space="0" w:color="auto"/>
              <w:right w:val="single" w:sz="4" w:space="0" w:color="auto"/>
            </w:tcBorders>
            <w:vAlign w:val="center"/>
          </w:tcPr>
          <w:p w14:paraId="01F83BB1" w14:textId="77777777" w:rsidR="00780265" w:rsidRPr="00780265" w:rsidRDefault="00780265" w:rsidP="00780265">
            <w:pPr>
              <w:keepLines/>
              <w:tabs>
                <w:tab w:val="left" w:pos="567"/>
              </w:tabs>
              <w:rPr>
                <w:rFonts w:asciiTheme="majorHAnsi" w:eastAsia="Times New Roman" w:hAnsiTheme="majorHAnsi"/>
              </w:rPr>
            </w:pPr>
          </w:p>
        </w:tc>
      </w:tr>
      <w:tr w:rsidR="00780265" w:rsidRPr="00780265" w14:paraId="56DA24C7" w14:textId="77777777" w:rsidTr="587CD026">
        <w:trPr>
          <w:trHeight w:val="553"/>
        </w:trPr>
        <w:tc>
          <w:tcPr>
            <w:tcW w:w="3295" w:type="dxa"/>
            <w:vMerge w:val="restart"/>
            <w:tcBorders>
              <w:top w:val="single" w:sz="4" w:space="0" w:color="auto"/>
              <w:left w:val="single" w:sz="4" w:space="0" w:color="auto"/>
              <w:right w:val="single" w:sz="4" w:space="0" w:color="auto"/>
            </w:tcBorders>
            <w:vAlign w:val="center"/>
          </w:tcPr>
          <w:p w14:paraId="20751F09" w14:textId="77777777" w:rsidR="00780265" w:rsidRPr="00780265" w:rsidRDefault="00780265" w:rsidP="00780265">
            <w:pPr>
              <w:keepNext/>
              <w:keepLines/>
              <w:tabs>
                <w:tab w:val="left" w:pos="567"/>
              </w:tabs>
              <w:jc w:val="center"/>
              <w:rPr>
                <w:rFonts w:asciiTheme="majorHAnsi" w:eastAsia="Times New Roman" w:hAnsiTheme="majorHAnsi"/>
              </w:rPr>
            </w:pPr>
          </w:p>
        </w:tc>
        <w:tc>
          <w:tcPr>
            <w:tcW w:w="1945" w:type="dxa"/>
            <w:gridSpan w:val="3"/>
            <w:tcBorders>
              <w:top w:val="single" w:sz="4" w:space="0" w:color="auto"/>
              <w:left w:val="single" w:sz="4" w:space="0" w:color="auto"/>
              <w:bottom w:val="single" w:sz="4" w:space="0" w:color="auto"/>
              <w:right w:val="single" w:sz="4" w:space="0" w:color="auto"/>
            </w:tcBorders>
            <w:vAlign w:val="center"/>
            <w:hideMark/>
          </w:tcPr>
          <w:p w14:paraId="48347030"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Placebo</w:t>
            </w:r>
          </w:p>
          <w:p w14:paraId="1EC0CC10"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N=179</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6561477E" w14:textId="77777777" w:rsidR="00780265" w:rsidRPr="00780265" w:rsidRDefault="00780265" w:rsidP="00780265">
            <w:pPr>
              <w:keepNext/>
              <w:keepLines/>
              <w:tabs>
                <w:tab w:val="left" w:pos="567"/>
              </w:tabs>
              <w:ind w:right="-46"/>
              <w:jc w:val="center"/>
              <w:rPr>
                <w:rFonts w:asciiTheme="majorHAnsi" w:eastAsia="Times New Roman" w:hAnsiTheme="majorHAnsi"/>
                <w:b/>
              </w:rPr>
            </w:pPr>
            <w:r w:rsidRPr="00780265">
              <w:rPr>
                <w:rFonts w:asciiTheme="majorHAnsi" w:eastAsia="Times New Roman" w:hAnsiTheme="majorHAnsi"/>
                <w:b/>
              </w:rPr>
              <w:t>Mirikizumab SC</w:t>
            </w:r>
          </w:p>
          <w:p w14:paraId="6000AA20"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N=365</w:t>
            </w:r>
          </w:p>
        </w:tc>
        <w:tc>
          <w:tcPr>
            <w:tcW w:w="1791" w:type="dxa"/>
            <w:vMerge w:val="restart"/>
            <w:tcBorders>
              <w:top w:val="single" w:sz="4" w:space="0" w:color="auto"/>
              <w:left w:val="single" w:sz="4" w:space="0" w:color="auto"/>
              <w:right w:val="single" w:sz="4" w:space="0" w:color="auto"/>
            </w:tcBorders>
            <w:vAlign w:val="center"/>
            <w:hideMark/>
          </w:tcPr>
          <w:p w14:paraId="148B8969"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Treatment difference</w:t>
            </w:r>
          </w:p>
          <w:p w14:paraId="48233751"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and</w:t>
            </w:r>
          </w:p>
          <w:p w14:paraId="0A0E04C8"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bCs/>
              </w:rPr>
              <w:t>95</w:t>
            </w:r>
            <w:r w:rsidRPr="00780265">
              <w:rPr>
                <w:rFonts w:asciiTheme="majorHAnsi" w:eastAsia="Times New Roman" w:hAnsiTheme="majorHAnsi"/>
              </w:rPr>
              <w:t> </w:t>
            </w:r>
            <w:r w:rsidRPr="00780265">
              <w:rPr>
                <w:rFonts w:asciiTheme="majorHAnsi" w:eastAsia="Times New Roman" w:hAnsiTheme="majorHAnsi"/>
                <w:b/>
              </w:rPr>
              <w:t>% CI</w:t>
            </w:r>
          </w:p>
        </w:tc>
      </w:tr>
      <w:tr w:rsidR="00780265" w:rsidRPr="00780265" w14:paraId="7A8B2F80" w14:textId="77777777" w:rsidTr="00931D64">
        <w:trPr>
          <w:trHeight w:val="553"/>
        </w:trPr>
        <w:tc>
          <w:tcPr>
            <w:tcW w:w="3295" w:type="dxa"/>
            <w:vMerge/>
            <w:vAlign w:val="center"/>
          </w:tcPr>
          <w:p w14:paraId="09C1C202" w14:textId="77777777" w:rsidR="00780265" w:rsidRPr="00780265" w:rsidRDefault="00780265" w:rsidP="00780265">
            <w:pPr>
              <w:keepNext/>
              <w:keepLines/>
              <w:tabs>
                <w:tab w:val="left" w:pos="567"/>
              </w:tabs>
              <w:jc w:val="center"/>
              <w:rPr>
                <w:rFonts w:asciiTheme="majorHAnsi" w:eastAsia="Times New Roman" w:hAnsiTheme="majorHAnsi"/>
              </w:rPr>
            </w:pPr>
          </w:p>
        </w:tc>
        <w:tc>
          <w:tcPr>
            <w:tcW w:w="811" w:type="dxa"/>
            <w:tcBorders>
              <w:top w:val="single" w:sz="4" w:space="0" w:color="auto"/>
              <w:left w:val="single" w:sz="4" w:space="0" w:color="auto"/>
              <w:bottom w:val="single" w:sz="4" w:space="0" w:color="auto"/>
              <w:right w:val="single" w:sz="4" w:space="0" w:color="auto"/>
            </w:tcBorders>
            <w:vAlign w:val="center"/>
          </w:tcPr>
          <w:p w14:paraId="693C86CA"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mean</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0BD8D6"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Standard error</w:t>
            </w:r>
          </w:p>
        </w:tc>
        <w:tc>
          <w:tcPr>
            <w:tcW w:w="851" w:type="dxa"/>
            <w:tcBorders>
              <w:top w:val="single" w:sz="4" w:space="0" w:color="auto"/>
              <w:left w:val="single" w:sz="4" w:space="0" w:color="auto"/>
              <w:right w:val="single" w:sz="4" w:space="0" w:color="auto"/>
            </w:tcBorders>
            <w:vAlign w:val="center"/>
          </w:tcPr>
          <w:p w14:paraId="2B8A6156"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mean</w:t>
            </w:r>
          </w:p>
        </w:tc>
        <w:tc>
          <w:tcPr>
            <w:tcW w:w="1134" w:type="dxa"/>
            <w:gridSpan w:val="2"/>
            <w:tcBorders>
              <w:top w:val="single" w:sz="4" w:space="0" w:color="auto"/>
              <w:left w:val="single" w:sz="4" w:space="0" w:color="auto"/>
              <w:right w:val="single" w:sz="4" w:space="0" w:color="auto"/>
            </w:tcBorders>
            <w:vAlign w:val="center"/>
          </w:tcPr>
          <w:p w14:paraId="76C4E0AD" w14:textId="77777777" w:rsidR="00780265" w:rsidRPr="00780265" w:rsidRDefault="00780265" w:rsidP="00780265">
            <w:pPr>
              <w:keepNext/>
              <w:keepLines/>
              <w:tabs>
                <w:tab w:val="left" w:pos="567"/>
              </w:tabs>
              <w:jc w:val="center"/>
              <w:rPr>
                <w:rFonts w:asciiTheme="majorHAnsi" w:eastAsia="Times New Roman" w:hAnsiTheme="majorHAnsi"/>
                <w:b/>
              </w:rPr>
            </w:pPr>
            <w:r w:rsidRPr="00780265">
              <w:rPr>
                <w:rFonts w:asciiTheme="majorHAnsi" w:eastAsia="Times New Roman" w:hAnsiTheme="majorHAnsi"/>
                <w:b/>
              </w:rPr>
              <w:t>Standard error</w:t>
            </w:r>
          </w:p>
        </w:tc>
        <w:tc>
          <w:tcPr>
            <w:tcW w:w="1791" w:type="dxa"/>
            <w:vMerge/>
            <w:vAlign w:val="center"/>
          </w:tcPr>
          <w:p w14:paraId="79EC5524" w14:textId="77777777" w:rsidR="00780265" w:rsidRPr="00780265" w:rsidRDefault="00780265" w:rsidP="00780265">
            <w:pPr>
              <w:keepNext/>
              <w:keepLines/>
              <w:tabs>
                <w:tab w:val="left" w:pos="567"/>
              </w:tabs>
              <w:jc w:val="center"/>
              <w:rPr>
                <w:rFonts w:asciiTheme="majorHAnsi" w:eastAsia="Times New Roman" w:hAnsiTheme="majorHAnsi"/>
                <w:b/>
              </w:rPr>
            </w:pPr>
          </w:p>
        </w:tc>
      </w:tr>
      <w:tr w:rsidR="00780265" w:rsidRPr="00780265" w14:paraId="442F0497" w14:textId="77777777" w:rsidTr="587CD026">
        <w:trPr>
          <w:trHeight w:val="288"/>
        </w:trPr>
        <w:tc>
          <w:tcPr>
            <w:tcW w:w="9016" w:type="dxa"/>
            <w:gridSpan w:val="8"/>
            <w:tcBorders>
              <w:top w:val="single" w:sz="4" w:space="0" w:color="auto"/>
              <w:left w:val="single" w:sz="4" w:space="0" w:color="auto"/>
              <w:bottom w:val="single" w:sz="4" w:space="0" w:color="auto"/>
              <w:right w:val="single" w:sz="4" w:space="0" w:color="auto"/>
            </w:tcBorders>
            <w:vAlign w:val="center"/>
          </w:tcPr>
          <w:p w14:paraId="48AA3138" w14:textId="77777777" w:rsidR="00780265" w:rsidRPr="00780265" w:rsidRDefault="00780265" w:rsidP="00780265">
            <w:pPr>
              <w:keepNext/>
              <w:keepLines/>
              <w:tabs>
                <w:tab w:val="left" w:pos="567"/>
              </w:tabs>
              <w:rPr>
                <w:rFonts w:asciiTheme="majorHAnsi" w:eastAsia="Times New Roman" w:hAnsiTheme="majorHAnsi"/>
                <w:b/>
              </w:rPr>
            </w:pPr>
          </w:p>
        </w:tc>
      </w:tr>
      <w:tr w:rsidR="00780265" w:rsidRPr="00780265" w14:paraId="357876C7"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5ACFE720" w14:textId="77777777" w:rsidR="00780265" w:rsidRPr="00780265" w:rsidRDefault="00780265" w:rsidP="00780265">
            <w:pPr>
              <w:keepNext/>
              <w:keepLines/>
              <w:tabs>
                <w:tab w:val="left" w:pos="567"/>
              </w:tabs>
              <w:rPr>
                <w:rFonts w:asciiTheme="majorHAnsi" w:eastAsia="Times New Roman" w:hAnsiTheme="majorHAnsi"/>
              </w:rPr>
            </w:pPr>
            <w:r w:rsidRPr="00780265">
              <w:rPr>
                <w:rFonts w:asciiTheme="majorHAnsi" w:eastAsia="Times New Roman" w:hAnsiTheme="majorHAnsi"/>
                <w:b/>
              </w:rPr>
              <w:t>Bowel urgency severity</w:t>
            </w:r>
            <w:r w:rsidRPr="003C7EF9">
              <w:rPr>
                <w:rFonts w:asciiTheme="majorHAnsi" w:eastAsia="Times New Roman" w:hAnsiTheme="majorHAnsi"/>
                <w:b/>
                <w:vertAlign w:val="superscript"/>
              </w:rPr>
              <w:t>*8</w:t>
            </w:r>
          </w:p>
        </w:tc>
        <w:tc>
          <w:tcPr>
            <w:tcW w:w="811" w:type="dxa"/>
            <w:tcBorders>
              <w:top w:val="single" w:sz="4" w:space="0" w:color="auto"/>
              <w:left w:val="single" w:sz="4" w:space="0" w:color="auto"/>
              <w:bottom w:val="single" w:sz="4" w:space="0" w:color="auto"/>
              <w:right w:val="single" w:sz="4" w:space="0" w:color="auto"/>
            </w:tcBorders>
            <w:vAlign w:val="center"/>
          </w:tcPr>
          <w:p w14:paraId="74E2A165" w14:textId="77777777" w:rsidR="00780265" w:rsidRPr="00780265" w:rsidRDefault="00780265" w:rsidP="00780265">
            <w:pPr>
              <w:keepNext/>
              <w:keepLines/>
              <w:tabs>
                <w:tab w:val="left" w:pos="567"/>
              </w:tabs>
              <w:jc w:val="center"/>
              <w:rPr>
                <w:rFonts w:asciiTheme="majorHAnsi" w:eastAsia="Times New Roman" w:hAnsiTheme="majorHAnsi"/>
              </w:rPr>
            </w:pPr>
            <w:r w:rsidRPr="00780265">
              <w:rPr>
                <w:rFonts w:asciiTheme="majorHAnsi" w:eastAsia="Times New Roman" w:hAnsiTheme="majorHAnsi"/>
              </w:rPr>
              <w:t>-2.74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5699AD" w14:textId="77777777" w:rsidR="00780265" w:rsidRPr="00780265" w:rsidRDefault="00780265" w:rsidP="00780265">
            <w:pPr>
              <w:keepNext/>
              <w:keepLines/>
              <w:tabs>
                <w:tab w:val="left" w:pos="567"/>
              </w:tabs>
              <w:jc w:val="center"/>
              <w:rPr>
                <w:rFonts w:asciiTheme="majorHAnsi" w:eastAsia="Times New Roman" w:hAnsiTheme="majorHAnsi"/>
              </w:rPr>
            </w:pPr>
            <w:r w:rsidRPr="00780265">
              <w:rPr>
                <w:rFonts w:asciiTheme="majorHAnsi" w:eastAsia="Times New Roman" w:hAnsiTheme="majorHAnsi"/>
              </w:rPr>
              <w:t>0.202</w:t>
            </w:r>
          </w:p>
        </w:tc>
        <w:tc>
          <w:tcPr>
            <w:tcW w:w="851" w:type="dxa"/>
            <w:tcBorders>
              <w:left w:val="single" w:sz="4" w:space="0" w:color="auto"/>
              <w:right w:val="single" w:sz="4" w:space="0" w:color="auto"/>
            </w:tcBorders>
            <w:vAlign w:val="center"/>
          </w:tcPr>
          <w:p w14:paraId="56525099" w14:textId="77777777" w:rsidR="00780265" w:rsidRPr="00780265" w:rsidRDefault="00780265" w:rsidP="00780265">
            <w:pPr>
              <w:keepNext/>
              <w:keepLines/>
              <w:tabs>
                <w:tab w:val="left" w:pos="567"/>
              </w:tabs>
              <w:jc w:val="center"/>
              <w:rPr>
                <w:rFonts w:asciiTheme="majorHAnsi" w:eastAsia="Times New Roman" w:hAnsiTheme="majorHAnsi"/>
              </w:rPr>
            </w:pPr>
            <w:r w:rsidRPr="00780265">
              <w:rPr>
                <w:rFonts w:asciiTheme="majorHAnsi" w:eastAsia="Times New Roman" w:hAnsiTheme="majorHAnsi"/>
              </w:rPr>
              <w:t>-3.80</w:t>
            </w:r>
          </w:p>
        </w:tc>
        <w:tc>
          <w:tcPr>
            <w:tcW w:w="1134" w:type="dxa"/>
            <w:gridSpan w:val="2"/>
            <w:tcBorders>
              <w:left w:val="single" w:sz="4" w:space="0" w:color="auto"/>
              <w:right w:val="single" w:sz="4" w:space="0" w:color="auto"/>
            </w:tcBorders>
            <w:vAlign w:val="center"/>
          </w:tcPr>
          <w:p w14:paraId="2EEAD3C0" w14:textId="77777777" w:rsidR="00780265" w:rsidRPr="00780265" w:rsidRDefault="00780265" w:rsidP="00780265">
            <w:pPr>
              <w:keepNext/>
              <w:keepLines/>
              <w:tabs>
                <w:tab w:val="left" w:pos="567"/>
              </w:tabs>
              <w:jc w:val="center"/>
              <w:rPr>
                <w:rFonts w:asciiTheme="majorHAnsi" w:eastAsia="Times New Roman" w:hAnsiTheme="majorHAnsi"/>
              </w:rPr>
            </w:pPr>
            <w:r w:rsidRPr="00780265">
              <w:rPr>
                <w:rFonts w:asciiTheme="majorHAnsi" w:eastAsia="Times New Roman" w:hAnsiTheme="majorHAnsi"/>
              </w:rPr>
              <w:t>0.139</w:t>
            </w:r>
          </w:p>
        </w:tc>
        <w:tc>
          <w:tcPr>
            <w:tcW w:w="1791" w:type="dxa"/>
            <w:tcBorders>
              <w:top w:val="single" w:sz="4" w:space="0" w:color="auto"/>
              <w:left w:val="single" w:sz="4" w:space="0" w:color="auto"/>
              <w:bottom w:val="single" w:sz="4" w:space="0" w:color="auto"/>
              <w:right w:val="single" w:sz="4" w:space="0" w:color="auto"/>
            </w:tcBorders>
            <w:vAlign w:val="center"/>
          </w:tcPr>
          <w:p w14:paraId="01CA423F" w14:textId="77777777" w:rsidR="00780265" w:rsidRPr="00780265" w:rsidRDefault="00780265" w:rsidP="00780265">
            <w:pPr>
              <w:keepNext/>
              <w:spacing w:before="40" w:after="40"/>
              <w:jc w:val="center"/>
              <w:rPr>
                <w:rFonts w:asciiTheme="majorHAnsi" w:hAnsiTheme="majorHAnsi"/>
                <w:color w:val="000000" w:themeColor="text1"/>
                <w:lang w:val="en-US"/>
              </w:rPr>
            </w:pPr>
            <w:r w:rsidRPr="00780265">
              <w:rPr>
                <w:rFonts w:asciiTheme="majorHAnsi" w:hAnsiTheme="majorHAnsi"/>
                <w:color w:val="000000" w:themeColor="text1"/>
                <w:lang w:val="en-US"/>
              </w:rPr>
              <w:t>-1.06</w:t>
            </w:r>
          </w:p>
          <w:p w14:paraId="475C2807" w14:textId="77777777" w:rsidR="00780265" w:rsidRPr="00780265" w:rsidRDefault="00780265" w:rsidP="00780265">
            <w:pPr>
              <w:keepNext/>
              <w:keepLines/>
              <w:tabs>
                <w:tab w:val="left" w:pos="567"/>
              </w:tabs>
              <w:jc w:val="center"/>
              <w:rPr>
                <w:rFonts w:asciiTheme="majorHAnsi" w:eastAsia="Times New Roman" w:hAnsiTheme="majorHAnsi"/>
              </w:rPr>
            </w:pPr>
            <w:r w:rsidRPr="00780265">
              <w:rPr>
                <w:rFonts w:asciiTheme="majorHAnsi" w:eastAsia="Times New Roman" w:hAnsiTheme="majorHAnsi"/>
              </w:rPr>
              <w:t>(-1.51, -0.61)</w:t>
            </w:r>
            <w:r w:rsidRPr="00780265">
              <w:rPr>
                <w:rFonts w:asciiTheme="majorHAnsi" w:eastAsia="Times New Roman" w:hAnsiTheme="majorHAnsi"/>
                <w:vertAlign w:val="superscript"/>
              </w:rPr>
              <w:t>c</w:t>
            </w:r>
          </w:p>
        </w:tc>
      </w:tr>
      <w:tr w:rsidR="00780265" w:rsidRPr="00780265" w14:paraId="3A9F9040"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69717FCA" w14:textId="77777777" w:rsidR="00780265" w:rsidRPr="00780265" w:rsidRDefault="00780265" w:rsidP="00780265">
            <w:pPr>
              <w:keepLines/>
              <w:tabs>
                <w:tab w:val="left" w:pos="567"/>
              </w:tabs>
              <w:ind w:left="286"/>
              <w:rPr>
                <w:rFonts w:asciiTheme="majorHAnsi" w:eastAsia="Times New Roman" w:hAnsiTheme="majorHAnsi"/>
                <w:color w:val="000000"/>
              </w:rPr>
            </w:pPr>
            <w:r w:rsidRPr="00780265">
              <w:rPr>
                <w:rFonts w:asciiTheme="majorHAnsi" w:eastAsia="Times New Roman" w:hAnsiTheme="majorHAnsi"/>
                <w:color w:val="000000"/>
              </w:rPr>
              <w:t>Patients who were biologic and JAK-</w:t>
            </w:r>
            <w:r w:rsidRPr="00780265">
              <w:rPr>
                <w:rFonts w:asciiTheme="majorHAnsi" w:eastAsia="Times New Roman" w:hAnsiTheme="majorHAnsi"/>
              </w:rPr>
              <w:t>inhibitor</w:t>
            </w:r>
            <w:r w:rsidRPr="00780265">
              <w:rPr>
                <w:rFonts w:asciiTheme="majorHAnsi" w:eastAsia="Times New Roman" w:hAnsiTheme="majorHAnsi"/>
                <w:color w:val="000000"/>
              </w:rPr>
              <w:t xml:space="preserve"> naïve </w:t>
            </w:r>
            <w:r w:rsidRPr="00780265">
              <w:rPr>
                <w:rFonts w:asciiTheme="majorHAnsi" w:eastAsia="Times New Roman" w:hAnsiTheme="majorHAnsi"/>
                <w:color w:val="000000"/>
                <w:vertAlign w:val="superscript"/>
              </w:rPr>
              <w:t>a</w:t>
            </w:r>
          </w:p>
        </w:tc>
        <w:tc>
          <w:tcPr>
            <w:tcW w:w="811" w:type="dxa"/>
            <w:tcBorders>
              <w:top w:val="single" w:sz="4" w:space="0" w:color="auto"/>
              <w:left w:val="single" w:sz="4" w:space="0" w:color="auto"/>
              <w:bottom w:val="single" w:sz="4" w:space="0" w:color="auto"/>
              <w:right w:val="single" w:sz="4" w:space="0" w:color="auto"/>
            </w:tcBorders>
            <w:vAlign w:val="center"/>
          </w:tcPr>
          <w:p w14:paraId="42405DDF"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-2.69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5E06A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0.233</w:t>
            </w:r>
          </w:p>
        </w:tc>
        <w:tc>
          <w:tcPr>
            <w:tcW w:w="851" w:type="dxa"/>
            <w:tcBorders>
              <w:left w:val="single" w:sz="4" w:space="0" w:color="auto"/>
              <w:right w:val="single" w:sz="4" w:space="0" w:color="auto"/>
            </w:tcBorders>
            <w:vAlign w:val="center"/>
          </w:tcPr>
          <w:p w14:paraId="44324248"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-3.82</w:t>
            </w:r>
          </w:p>
        </w:tc>
        <w:tc>
          <w:tcPr>
            <w:tcW w:w="1134" w:type="dxa"/>
            <w:gridSpan w:val="2"/>
            <w:tcBorders>
              <w:left w:val="single" w:sz="4" w:space="0" w:color="auto"/>
              <w:right w:val="single" w:sz="4" w:space="0" w:color="auto"/>
            </w:tcBorders>
            <w:vAlign w:val="center"/>
          </w:tcPr>
          <w:p w14:paraId="5725A988"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0.153</w:t>
            </w:r>
          </w:p>
        </w:tc>
        <w:tc>
          <w:tcPr>
            <w:tcW w:w="1791" w:type="dxa"/>
            <w:tcBorders>
              <w:top w:val="single" w:sz="4" w:space="0" w:color="auto"/>
              <w:left w:val="single" w:sz="4" w:space="0" w:color="auto"/>
              <w:bottom w:val="single" w:sz="4" w:space="0" w:color="auto"/>
              <w:right w:val="single" w:sz="4" w:space="0" w:color="auto"/>
            </w:tcBorders>
            <w:vAlign w:val="center"/>
          </w:tcPr>
          <w:p w14:paraId="5AE5BD64" w14:textId="77777777" w:rsidR="00780265" w:rsidRPr="00780265" w:rsidRDefault="00780265" w:rsidP="00780265">
            <w:pPr>
              <w:spacing w:before="40" w:after="40"/>
              <w:jc w:val="center"/>
              <w:rPr>
                <w:rFonts w:asciiTheme="majorHAnsi" w:hAnsiTheme="majorHAnsi"/>
                <w:color w:val="000000" w:themeColor="text1"/>
                <w:lang w:val="en-US"/>
              </w:rPr>
            </w:pPr>
            <w:r w:rsidRPr="00780265">
              <w:rPr>
                <w:rFonts w:asciiTheme="majorHAnsi" w:hAnsiTheme="majorHAnsi" w:cs="Arial"/>
                <w:b/>
                <w:bCs/>
                <w:color w:val="000000" w:themeColor="text1"/>
                <w:lang w:val="en-US"/>
              </w:rPr>
              <w:t>- - -</w:t>
            </w:r>
          </w:p>
        </w:tc>
      </w:tr>
      <w:tr w:rsidR="00780265" w:rsidRPr="00780265" w14:paraId="33B9E367" w14:textId="77777777" w:rsidTr="587CD026">
        <w:trPr>
          <w:trHeight w:val="288"/>
        </w:trPr>
        <w:tc>
          <w:tcPr>
            <w:tcW w:w="3295" w:type="dxa"/>
            <w:tcBorders>
              <w:top w:val="single" w:sz="4" w:space="0" w:color="auto"/>
              <w:left w:val="single" w:sz="4" w:space="0" w:color="auto"/>
              <w:bottom w:val="single" w:sz="4" w:space="0" w:color="auto"/>
              <w:right w:val="single" w:sz="4" w:space="0" w:color="auto"/>
            </w:tcBorders>
          </w:tcPr>
          <w:p w14:paraId="166DC8CF" w14:textId="77777777" w:rsidR="00780265" w:rsidRPr="00780265" w:rsidRDefault="00780265" w:rsidP="00780265">
            <w:pPr>
              <w:keepLines/>
              <w:tabs>
                <w:tab w:val="left" w:pos="567"/>
              </w:tabs>
              <w:ind w:left="286"/>
              <w:rPr>
                <w:rFonts w:asciiTheme="majorHAnsi" w:eastAsia="Times New Roman" w:hAnsiTheme="majorHAnsi"/>
              </w:rPr>
            </w:pPr>
            <w:r w:rsidRPr="00780265">
              <w:rPr>
                <w:rFonts w:asciiTheme="majorHAnsi" w:eastAsia="Times New Roman" w:hAnsiTheme="majorHAnsi"/>
              </w:rPr>
              <w:t xml:space="preserve">Patients who failed </w:t>
            </w:r>
            <w:r w:rsidRPr="00780265">
              <w:rPr>
                <w:rFonts w:asciiTheme="majorHAnsi" w:eastAsia="Times New Roman" w:hAnsiTheme="majorHAnsi"/>
                <w:vertAlign w:val="superscript"/>
              </w:rPr>
              <w:t>b</w:t>
            </w:r>
            <w:r w:rsidRPr="00780265">
              <w:rPr>
                <w:rFonts w:asciiTheme="majorHAnsi" w:eastAsia="Times New Roman" w:hAnsiTheme="majorHAnsi"/>
              </w:rPr>
              <w:t xml:space="preserve"> at least one biologic or JAK-inhibitor </w:t>
            </w:r>
            <w:r w:rsidRPr="00780265">
              <w:rPr>
                <w:rFonts w:asciiTheme="majorHAnsi" w:eastAsia="Times New Roman" w:hAnsiTheme="majorHAnsi"/>
                <w:vertAlign w:val="superscript"/>
              </w:rPr>
              <w:t>d</w:t>
            </w:r>
          </w:p>
        </w:tc>
        <w:tc>
          <w:tcPr>
            <w:tcW w:w="811" w:type="dxa"/>
            <w:tcBorders>
              <w:top w:val="single" w:sz="4" w:space="0" w:color="auto"/>
              <w:left w:val="single" w:sz="4" w:space="0" w:color="auto"/>
              <w:bottom w:val="single" w:sz="4" w:space="0" w:color="auto"/>
              <w:right w:val="single" w:sz="4" w:space="0" w:color="auto"/>
            </w:tcBorders>
            <w:vAlign w:val="center"/>
          </w:tcPr>
          <w:p w14:paraId="0CBD73B6"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-2.66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0CBDAB"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0.346</w:t>
            </w:r>
          </w:p>
        </w:tc>
        <w:tc>
          <w:tcPr>
            <w:tcW w:w="851" w:type="dxa"/>
            <w:tcBorders>
              <w:left w:val="single" w:sz="4" w:space="0" w:color="auto"/>
              <w:right w:val="single" w:sz="4" w:space="0" w:color="auto"/>
            </w:tcBorders>
            <w:vAlign w:val="center"/>
          </w:tcPr>
          <w:p w14:paraId="12D53DF0"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-3.60</w:t>
            </w:r>
          </w:p>
        </w:tc>
        <w:tc>
          <w:tcPr>
            <w:tcW w:w="1134" w:type="dxa"/>
            <w:gridSpan w:val="2"/>
            <w:tcBorders>
              <w:left w:val="single" w:sz="4" w:space="0" w:color="auto"/>
              <w:right w:val="single" w:sz="4" w:space="0" w:color="auto"/>
            </w:tcBorders>
            <w:vAlign w:val="center"/>
          </w:tcPr>
          <w:p w14:paraId="19B5DA7C"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rPr>
              <w:t>0.228</w:t>
            </w:r>
          </w:p>
        </w:tc>
        <w:tc>
          <w:tcPr>
            <w:tcW w:w="1791" w:type="dxa"/>
            <w:tcBorders>
              <w:top w:val="single" w:sz="4" w:space="0" w:color="auto"/>
              <w:left w:val="single" w:sz="4" w:space="0" w:color="auto"/>
              <w:bottom w:val="single" w:sz="4" w:space="0" w:color="auto"/>
              <w:right w:val="single" w:sz="4" w:space="0" w:color="auto"/>
            </w:tcBorders>
            <w:vAlign w:val="center"/>
          </w:tcPr>
          <w:p w14:paraId="708B86A9" w14:textId="77777777" w:rsidR="00780265" w:rsidRPr="00780265" w:rsidRDefault="00780265" w:rsidP="00780265">
            <w:pPr>
              <w:keepLines/>
              <w:tabs>
                <w:tab w:val="left" w:pos="567"/>
              </w:tabs>
              <w:jc w:val="center"/>
              <w:rPr>
                <w:rFonts w:asciiTheme="majorHAnsi" w:eastAsia="Times New Roman" w:hAnsiTheme="majorHAnsi"/>
              </w:rPr>
            </w:pPr>
            <w:r w:rsidRPr="00780265">
              <w:rPr>
                <w:rFonts w:asciiTheme="majorHAnsi" w:eastAsia="Times New Roman" w:hAnsiTheme="majorHAnsi"/>
                <w:b/>
                <w:bCs/>
              </w:rPr>
              <w:t>- - -</w:t>
            </w:r>
          </w:p>
        </w:tc>
      </w:tr>
    </w:tbl>
    <w:p w14:paraId="7D55B05E" w14:textId="77777777" w:rsidR="00780265" w:rsidRPr="00780265" w:rsidRDefault="00780265" w:rsidP="00780265">
      <w:pPr>
        <w:tabs>
          <w:tab w:val="left" w:pos="567"/>
        </w:tabs>
        <w:spacing w:after="0" w:line="240" w:lineRule="auto"/>
        <w:rPr>
          <w:rFonts w:asciiTheme="majorHAnsi" w:eastAsia="Times New Roman" w:hAnsiTheme="majorHAnsi" w:cs="Times New Roman"/>
          <w:sz w:val="16"/>
          <w:szCs w:val="16"/>
          <w:lang w:val="en-US"/>
        </w:rPr>
      </w:pPr>
      <w:r w:rsidRPr="00780265">
        <w:rPr>
          <w:rFonts w:asciiTheme="majorHAnsi" w:eastAsia="Times New Roman" w:hAnsiTheme="majorHAnsi" w:cs="Times New Roman"/>
          <w:sz w:val="16"/>
          <w:szCs w:val="16"/>
          <w:lang w:val="en-GB"/>
        </w:rPr>
        <w:t>Abbreviations:  CI = confidence interval; SC = subcutaneous; LS = least square</w:t>
      </w:r>
    </w:p>
    <w:p w14:paraId="76078A05" w14:textId="6F4D9107" w:rsidR="00780265" w:rsidRPr="00780265" w:rsidRDefault="00780265" w:rsidP="00780265">
      <w:pPr>
        <w:autoSpaceDE w:val="0"/>
        <w:autoSpaceDN w:val="0"/>
        <w:adjustRightInd w:val="0"/>
        <w:spacing w:after="0" w:line="240" w:lineRule="auto"/>
        <w:rPr>
          <w:rFonts w:asciiTheme="majorHAnsi" w:eastAsia="TimesNewRoman" w:hAnsiTheme="majorHAnsi" w:cs="Times New Roman"/>
          <w:sz w:val="16"/>
          <w:szCs w:val="16"/>
          <w:lang w:val="en-US" w:eastAsia="en-GB"/>
        </w:rPr>
      </w:pPr>
      <w:r w:rsidRPr="00780265">
        <w:rPr>
          <w:rFonts w:asciiTheme="majorHAnsi" w:eastAsia="Times New Roman" w:hAnsiTheme="majorHAnsi" w:cs="Times New Roman"/>
          <w:sz w:val="16"/>
          <w:szCs w:val="16"/>
          <w:lang w:val="en-GB"/>
        </w:rPr>
        <w:t>*</w:t>
      </w:r>
      <w:r w:rsidRPr="00780265">
        <w:rPr>
          <w:rFonts w:asciiTheme="majorHAnsi" w:eastAsia="Times New Roman" w:hAnsiTheme="majorHAnsi" w:cs="Times New Roman"/>
          <w:sz w:val="16"/>
          <w:szCs w:val="16"/>
          <w:vertAlign w:val="superscript"/>
          <w:lang w:val="en-GB"/>
        </w:rPr>
        <w:t>1, 2</w:t>
      </w:r>
      <w:r w:rsidRPr="00780265">
        <w:rPr>
          <w:rFonts w:asciiTheme="majorHAnsi" w:eastAsia="TimesNewRoman" w:hAnsiTheme="majorHAnsi" w:cs="Times New Roman"/>
          <w:sz w:val="16"/>
          <w:szCs w:val="16"/>
          <w:lang w:val="en-US" w:eastAsia="en-GB"/>
        </w:rPr>
        <w:t xml:space="preserve"> See footnotes on Table </w:t>
      </w:r>
      <w:r w:rsidR="00097DAF">
        <w:rPr>
          <w:rFonts w:asciiTheme="majorHAnsi" w:eastAsia="TimesNewRoman" w:hAnsiTheme="majorHAnsi" w:cs="Times New Roman"/>
          <w:sz w:val="16"/>
          <w:szCs w:val="16"/>
          <w:lang w:val="en-US" w:eastAsia="en-GB"/>
        </w:rPr>
        <w:t>3</w:t>
      </w:r>
    </w:p>
    <w:p w14:paraId="1A46E1A6" w14:textId="77777777" w:rsidR="00780265" w:rsidRPr="00780265" w:rsidRDefault="00780265" w:rsidP="00780265">
      <w:pPr>
        <w:autoSpaceDE w:val="0"/>
        <w:autoSpaceDN w:val="0"/>
        <w:adjustRightInd w:val="0"/>
        <w:spacing w:after="0" w:line="240" w:lineRule="auto"/>
        <w:ind w:left="284" w:hanging="284"/>
        <w:rPr>
          <w:rFonts w:asciiTheme="majorHAnsi" w:eastAsia="Times New Roman" w:hAnsiTheme="majorHAnsi" w:cs="Times New Roman"/>
          <w:sz w:val="16"/>
          <w:szCs w:val="16"/>
          <w:lang w:val="en-GB"/>
        </w:rPr>
      </w:pPr>
      <w:r w:rsidRPr="00780265">
        <w:rPr>
          <w:rFonts w:asciiTheme="majorHAnsi" w:eastAsia="Times New Roman" w:hAnsiTheme="majorHAnsi" w:cs="Times New Roman"/>
          <w:sz w:val="16"/>
          <w:szCs w:val="16"/>
          <w:lang w:val="en-GB"/>
        </w:rPr>
        <w:t>*</w:t>
      </w:r>
      <w:r w:rsidRPr="00780265">
        <w:rPr>
          <w:rFonts w:asciiTheme="majorHAnsi" w:eastAsia="Times New Roman" w:hAnsiTheme="majorHAnsi" w:cs="Times New Roman"/>
          <w:sz w:val="16"/>
          <w:szCs w:val="16"/>
          <w:vertAlign w:val="superscript"/>
          <w:lang w:val="en-GB"/>
        </w:rPr>
        <w:t>3</w:t>
      </w:r>
      <w:r w:rsidRPr="00780265">
        <w:rPr>
          <w:rFonts w:asciiTheme="majorHAnsi" w:eastAsia="Times New Roman" w:hAnsiTheme="majorHAnsi" w:cs="Times New Roman"/>
          <w:sz w:val="16"/>
          <w:szCs w:val="16"/>
          <w:lang w:val="en-GB"/>
        </w:rPr>
        <w:tab/>
      </w:r>
      <w:r w:rsidRPr="00780265">
        <w:rPr>
          <w:rFonts w:asciiTheme="majorHAnsi" w:eastAsia="TimesNewRoman" w:hAnsiTheme="majorHAnsi" w:cs="Times New Roman"/>
          <w:sz w:val="16"/>
          <w:szCs w:val="16"/>
          <w:lang w:val="en-US" w:eastAsia="en-GB"/>
        </w:rPr>
        <w:t>The proportion of patients who were in clinical remission at week 40 among patients in clinical remission at week 12, with clinical remission defined as:</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Stool frequency (SF) subscore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0 or SF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1 with a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1-point decrease from induction baseline, and</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Rectal bleeding (RB) subscore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0, and</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Endoscopic subscore (ES)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0 or 1 (excluding friability)</w:t>
      </w:r>
    </w:p>
    <w:p w14:paraId="2C4B4C49" w14:textId="77777777" w:rsidR="00780265" w:rsidRPr="00780265" w:rsidRDefault="00780265" w:rsidP="00780265">
      <w:pPr>
        <w:autoSpaceDE w:val="0"/>
        <w:autoSpaceDN w:val="0"/>
        <w:adjustRightInd w:val="0"/>
        <w:spacing w:after="0" w:line="240" w:lineRule="auto"/>
        <w:ind w:left="284" w:hanging="284"/>
        <w:rPr>
          <w:rFonts w:asciiTheme="majorHAnsi" w:eastAsia="TimesNewRoman" w:hAnsiTheme="majorHAnsi" w:cs="Times New Roman"/>
          <w:sz w:val="16"/>
          <w:szCs w:val="16"/>
          <w:lang w:val="en-US" w:eastAsia="en-GB"/>
        </w:rPr>
      </w:pPr>
      <w:r w:rsidRPr="00780265">
        <w:rPr>
          <w:rFonts w:asciiTheme="majorHAnsi" w:eastAsia="Times New Roman" w:hAnsiTheme="majorHAnsi" w:cs="Times New Roman"/>
          <w:sz w:val="16"/>
          <w:szCs w:val="16"/>
          <w:lang w:val="en-GB"/>
        </w:rPr>
        <w:t>*</w:t>
      </w:r>
      <w:r w:rsidRPr="00780265">
        <w:rPr>
          <w:rFonts w:asciiTheme="majorHAnsi" w:eastAsia="Times New Roman" w:hAnsiTheme="majorHAnsi" w:cs="Times New Roman"/>
          <w:sz w:val="16"/>
          <w:szCs w:val="16"/>
          <w:vertAlign w:val="superscript"/>
          <w:lang w:val="en-GB"/>
        </w:rPr>
        <w:t>4</w:t>
      </w:r>
      <w:r w:rsidRPr="00780265">
        <w:rPr>
          <w:rFonts w:asciiTheme="majorHAnsi" w:eastAsia="Times New Roman" w:hAnsiTheme="majorHAnsi" w:cs="Times New Roman"/>
          <w:sz w:val="16"/>
          <w:szCs w:val="16"/>
          <w:lang w:val="en-GB"/>
        </w:rPr>
        <w:tab/>
      </w:r>
      <w:r w:rsidRPr="00780265">
        <w:rPr>
          <w:rFonts w:asciiTheme="majorHAnsi" w:eastAsia="TimesNewRoman" w:hAnsiTheme="majorHAnsi" w:cs="Times New Roman"/>
          <w:sz w:val="16"/>
          <w:szCs w:val="16"/>
          <w:lang w:val="en-US" w:eastAsia="en-GB"/>
        </w:rPr>
        <w:t>Corticosteroid</w:t>
      </w:r>
      <w:r w:rsidRPr="00780265">
        <w:rPr>
          <w:rFonts w:asciiTheme="majorHAnsi" w:eastAsia="TimesNewRoman" w:hAnsiTheme="majorHAnsi" w:cs="Times New Roman"/>
          <w:sz w:val="16"/>
          <w:szCs w:val="16"/>
          <w:lang w:val="en-US" w:eastAsia="en-GB"/>
        </w:rPr>
        <w:noBreakHyphen/>
        <w:t>free remission without surgery, defined as: Clinical remission at week</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40, and</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Symptomatic remission at week</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28, and no corticosteroid use for ≥</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12 weeks prior to week</w:t>
      </w:r>
      <w:r w:rsidRPr="00780265">
        <w:rPr>
          <w:rFonts w:asciiTheme="majorHAnsi" w:eastAsia="Times New Roman" w:hAnsiTheme="majorHAnsi" w:cs="Times New Roman"/>
          <w:sz w:val="16"/>
          <w:szCs w:val="16"/>
          <w:lang w:val="en-GB"/>
        </w:rPr>
        <w:t> </w:t>
      </w:r>
      <w:r w:rsidRPr="00780265">
        <w:rPr>
          <w:rFonts w:asciiTheme="majorHAnsi" w:eastAsia="TimesNewRoman" w:hAnsiTheme="majorHAnsi" w:cs="Times New Roman"/>
          <w:sz w:val="16"/>
          <w:szCs w:val="16"/>
          <w:lang w:val="en-US" w:eastAsia="en-GB"/>
        </w:rPr>
        <w:t>40</w:t>
      </w:r>
    </w:p>
    <w:p w14:paraId="5FBA6216" w14:textId="77777777" w:rsidR="00780265" w:rsidRPr="00780265" w:rsidRDefault="00780265" w:rsidP="00780265">
      <w:pPr>
        <w:keepLines/>
        <w:spacing w:before="20" w:after="20" w:line="240" w:lineRule="auto"/>
        <w:ind w:left="284" w:hanging="284"/>
        <w:rPr>
          <w:rFonts w:asciiTheme="majorHAnsi" w:eastAsia="Times New Roman" w:hAnsiTheme="majorHAnsi" w:cs="Times New Roman"/>
          <w:sz w:val="16"/>
          <w:szCs w:val="16"/>
          <w:lang w:val="en-US" w:eastAsia="x-none"/>
        </w:rPr>
      </w:pPr>
      <w:r w:rsidRPr="00780265">
        <w:rPr>
          <w:rFonts w:asciiTheme="majorHAnsi" w:eastAsia="TimesNewRoman" w:hAnsiTheme="majorHAnsi" w:cs="Times New Roman"/>
          <w:sz w:val="16"/>
          <w:szCs w:val="16"/>
          <w:lang w:val="en-US" w:eastAsia="en-GB"/>
        </w:rPr>
        <w:t>*</w:t>
      </w:r>
      <w:r w:rsidRPr="00780265">
        <w:rPr>
          <w:rFonts w:asciiTheme="majorHAnsi" w:eastAsia="TimesNewRoman" w:hAnsiTheme="majorHAnsi" w:cs="Times New Roman"/>
          <w:sz w:val="16"/>
          <w:szCs w:val="16"/>
          <w:vertAlign w:val="superscript"/>
          <w:lang w:val="en-US" w:eastAsia="en-GB"/>
        </w:rPr>
        <w:t>5</w:t>
      </w:r>
      <w:r w:rsidRPr="00780265">
        <w:rPr>
          <w:rFonts w:asciiTheme="majorHAnsi" w:eastAsia="TimesNewRoman" w:hAnsiTheme="majorHAnsi" w:cs="Times New Roman"/>
          <w:sz w:val="16"/>
          <w:szCs w:val="16"/>
          <w:lang w:val="en-US" w:eastAsia="en-GB"/>
        </w:rPr>
        <w:tab/>
      </w:r>
      <w:r w:rsidRPr="00780265">
        <w:rPr>
          <w:rFonts w:asciiTheme="majorHAnsi" w:eastAsia="Times New Roman" w:hAnsiTheme="majorHAnsi" w:cs="Times New Roman"/>
          <w:sz w:val="16"/>
          <w:szCs w:val="16"/>
          <w:lang w:val="en-US" w:eastAsia="x-none"/>
        </w:rPr>
        <w:t>Endoscopic improvement defined as: ES = 0 or 1 (excluding friability)</w:t>
      </w:r>
    </w:p>
    <w:p w14:paraId="0C51D078" w14:textId="77777777" w:rsidR="00780265" w:rsidRPr="00780265" w:rsidRDefault="00780265" w:rsidP="00780265">
      <w:pPr>
        <w:autoSpaceDE w:val="0"/>
        <w:autoSpaceDN w:val="0"/>
        <w:adjustRightInd w:val="0"/>
        <w:spacing w:after="0" w:line="240" w:lineRule="auto"/>
        <w:ind w:left="284" w:hanging="284"/>
        <w:rPr>
          <w:rFonts w:asciiTheme="majorHAnsi" w:eastAsia="TimesNewRoman" w:hAnsiTheme="majorHAnsi" w:cs="Times New Roman"/>
          <w:sz w:val="16"/>
          <w:szCs w:val="16"/>
          <w:lang w:val="en-US" w:eastAsia="en-GB"/>
        </w:rPr>
      </w:pPr>
      <w:r w:rsidRPr="00780265">
        <w:rPr>
          <w:rFonts w:asciiTheme="majorHAnsi" w:eastAsia="Times New Roman" w:hAnsiTheme="majorHAnsi" w:cs="Times New Roman"/>
          <w:sz w:val="16"/>
          <w:szCs w:val="16"/>
          <w:lang w:val="en-GB"/>
        </w:rPr>
        <w:t>*</w:t>
      </w:r>
      <w:r w:rsidRPr="00780265">
        <w:rPr>
          <w:rFonts w:asciiTheme="majorHAnsi" w:eastAsia="Times New Roman" w:hAnsiTheme="majorHAnsi" w:cs="Times New Roman"/>
          <w:sz w:val="16"/>
          <w:szCs w:val="16"/>
          <w:vertAlign w:val="superscript"/>
          <w:lang w:val="en-GB"/>
        </w:rPr>
        <w:t>6</w:t>
      </w:r>
      <w:r w:rsidRPr="00780265">
        <w:rPr>
          <w:rFonts w:asciiTheme="majorHAnsi" w:eastAsia="Times New Roman" w:hAnsiTheme="majorHAnsi" w:cs="Times New Roman"/>
          <w:sz w:val="16"/>
          <w:szCs w:val="16"/>
          <w:lang w:val="en-GB"/>
        </w:rPr>
        <w:tab/>
      </w:r>
      <w:r w:rsidRPr="00780265">
        <w:rPr>
          <w:rFonts w:asciiTheme="majorHAnsi" w:eastAsia="TimesNewRoman" w:hAnsiTheme="majorHAnsi" w:cs="Times New Roman"/>
          <w:sz w:val="16"/>
          <w:szCs w:val="16"/>
          <w:lang w:val="en-US" w:eastAsia="en-GB"/>
        </w:rPr>
        <w:t xml:space="preserve">Histo-endoscopic mucosal remission, defined as achieving both: 1. </w:t>
      </w:r>
      <w:r w:rsidRPr="00780265">
        <w:rPr>
          <w:rFonts w:asciiTheme="majorHAnsi" w:eastAsia="TimesNewRoman,Bold" w:hAnsiTheme="majorHAnsi" w:cs="Times New Roman"/>
          <w:sz w:val="16"/>
          <w:szCs w:val="16"/>
          <w:lang w:val="en-US" w:eastAsia="en-GB"/>
        </w:rPr>
        <w:t xml:space="preserve">Histologic remission, </w:t>
      </w:r>
      <w:r w:rsidRPr="00780265">
        <w:rPr>
          <w:rFonts w:asciiTheme="majorHAnsi" w:eastAsia="TimesNewRoman" w:hAnsiTheme="majorHAnsi" w:cs="Times New Roman"/>
          <w:sz w:val="16"/>
          <w:szCs w:val="16"/>
          <w:lang w:val="en-US" w:eastAsia="en-GB"/>
        </w:rPr>
        <w:t>defined as Geboes subscores of 0 for grades: 2b (lamina propria neutrophils), and</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3 (neutrophils in epithelium), and</w:t>
      </w:r>
      <w:r w:rsidRPr="00780265">
        <w:rPr>
          <w:rFonts w:asciiTheme="majorHAnsi" w:eastAsia="CourierNew" w:hAnsiTheme="majorHAnsi" w:cs="Times New Roman"/>
          <w:sz w:val="16"/>
          <w:szCs w:val="16"/>
          <w:lang w:val="en-US" w:eastAsia="en-GB"/>
        </w:rPr>
        <w:t xml:space="preserve"> </w:t>
      </w:r>
      <w:r w:rsidRPr="00780265">
        <w:rPr>
          <w:rFonts w:asciiTheme="majorHAnsi" w:eastAsia="TimesNewRoman" w:hAnsiTheme="majorHAnsi" w:cs="Times New Roman"/>
          <w:sz w:val="16"/>
          <w:szCs w:val="16"/>
          <w:lang w:val="en-US" w:eastAsia="en-GB"/>
        </w:rPr>
        <w:t>4 (crypt destruction), and 5 (erosion or ulceration) and 2. Mayo endoscopic score 0 or 1 (excluding friability)</w:t>
      </w:r>
    </w:p>
    <w:p w14:paraId="39B74357" w14:textId="77777777" w:rsidR="00780265" w:rsidRPr="00780265" w:rsidRDefault="00780265" w:rsidP="00780265">
      <w:pPr>
        <w:tabs>
          <w:tab w:val="left" w:pos="284"/>
          <w:tab w:val="left" w:pos="567"/>
        </w:tabs>
        <w:spacing w:after="0" w:line="240" w:lineRule="auto"/>
        <w:ind w:left="284" w:hanging="284"/>
        <w:rPr>
          <w:rFonts w:asciiTheme="majorHAnsi" w:eastAsia="Times New Roman" w:hAnsiTheme="majorHAnsi" w:cs="Times New Roman"/>
          <w:color w:val="000000"/>
          <w:sz w:val="16"/>
          <w:szCs w:val="16"/>
          <w:lang w:val="en-US"/>
        </w:rPr>
      </w:pPr>
      <w:r w:rsidRPr="00780265">
        <w:rPr>
          <w:rFonts w:asciiTheme="majorHAnsi" w:eastAsia="Times New Roman" w:hAnsiTheme="majorHAnsi" w:cs="Times New Roman"/>
          <w:color w:val="000000" w:themeColor="text1"/>
          <w:sz w:val="16"/>
          <w:szCs w:val="16"/>
          <w:vertAlign w:val="superscript"/>
          <w:lang w:val="en-US"/>
        </w:rPr>
        <w:t>*7</w:t>
      </w:r>
      <w:r w:rsidRPr="00780265">
        <w:rPr>
          <w:rFonts w:asciiTheme="majorHAnsi" w:eastAsia="Times New Roman" w:hAnsiTheme="majorHAnsi" w:cs="Times New Roman"/>
          <w:color w:val="000000" w:themeColor="text1"/>
          <w:sz w:val="16"/>
          <w:szCs w:val="16"/>
          <w:lang w:val="en-US"/>
        </w:rPr>
        <w:tab/>
        <w:t>NRS 0 or 1 in patients with urgency NRS ≥ 3 at baseline in LUCENT</w:t>
      </w:r>
      <w:r w:rsidRPr="00780265">
        <w:rPr>
          <w:rFonts w:asciiTheme="majorHAnsi" w:eastAsia="Times New Roman" w:hAnsiTheme="majorHAnsi" w:cs="Times New Roman"/>
          <w:color w:val="000000" w:themeColor="text1"/>
          <w:sz w:val="16"/>
          <w:szCs w:val="16"/>
          <w:lang w:val="en-US"/>
        </w:rPr>
        <w:noBreakHyphen/>
        <w:t>1</w:t>
      </w:r>
    </w:p>
    <w:p w14:paraId="469F3FD7" w14:textId="77777777" w:rsidR="00780265" w:rsidRPr="00780265" w:rsidRDefault="00780265" w:rsidP="00780265">
      <w:pPr>
        <w:autoSpaceDE w:val="0"/>
        <w:autoSpaceDN w:val="0"/>
        <w:adjustRightInd w:val="0"/>
        <w:spacing w:after="0" w:line="240" w:lineRule="auto"/>
        <w:ind w:left="284" w:hanging="284"/>
        <w:rPr>
          <w:rFonts w:asciiTheme="majorHAnsi" w:eastAsia="Times New Roman" w:hAnsiTheme="majorHAnsi" w:cs="Times New Roman"/>
          <w:sz w:val="16"/>
          <w:szCs w:val="16"/>
          <w:lang w:val="en-US"/>
        </w:rPr>
      </w:pPr>
      <w:r w:rsidRPr="00780265">
        <w:rPr>
          <w:rFonts w:asciiTheme="majorHAnsi" w:eastAsia="TimesNewRoman" w:hAnsiTheme="majorHAnsi" w:cs="Times New Roman"/>
          <w:sz w:val="16"/>
          <w:szCs w:val="16"/>
          <w:lang w:val="en-US" w:eastAsia="en-GB"/>
        </w:rPr>
        <w:t>*</w:t>
      </w:r>
      <w:r w:rsidRPr="00780265">
        <w:rPr>
          <w:rFonts w:asciiTheme="majorHAnsi" w:eastAsia="TimesNewRoman" w:hAnsiTheme="majorHAnsi" w:cs="Times New Roman"/>
          <w:sz w:val="16"/>
          <w:szCs w:val="16"/>
          <w:vertAlign w:val="superscript"/>
          <w:lang w:val="en-US" w:eastAsia="en-GB"/>
        </w:rPr>
        <w:t>8</w:t>
      </w:r>
      <w:r w:rsidRPr="00780265">
        <w:rPr>
          <w:rFonts w:asciiTheme="majorHAnsi" w:eastAsia="TimesNewRoman" w:hAnsiTheme="majorHAnsi" w:cs="Times New Roman"/>
          <w:sz w:val="16"/>
          <w:szCs w:val="16"/>
          <w:lang w:val="en-US" w:eastAsia="en-GB"/>
        </w:rPr>
        <w:tab/>
        <w:t>Change from baseline in the Urgency Numeric Rating Scale score</w:t>
      </w:r>
    </w:p>
    <w:p w14:paraId="2FDB6283" w14:textId="01268666" w:rsidR="00780265" w:rsidRPr="00780265" w:rsidRDefault="00780265" w:rsidP="00780265">
      <w:pPr>
        <w:numPr>
          <w:ilvl w:val="0"/>
          <w:numId w:val="12"/>
        </w:numPr>
        <w:tabs>
          <w:tab w:val="left" w:pos="284"/>
          <w:tab w:val="left" w:pos="567"/>
        </w:tabs>
        <w:spacing w:after="0" w:line="240" w:lineRule="auto"/>
        <w:ind w:left="284" w:hanging="284"/>
        <w:contextualSpacing/>
        <w:rPr>
          <w:rFonts w:asciiTheme="majorHAnsi" w:eastAsia="Times New Roman" w:hAnsiTheme="majorHAnsi" w:cs="Times New Roman"/>
          <w:color w:val="000000"/>
          <w:sz w:val="16"/>
          <w:szCs w:val="16"/>
          <w:lang w:val="en-US" w:eastAsia="en-GB"/>
        </w:rPr>
      </w:pPr>
      <w:r w:rsidRPr="00780265">
        <w:rPr>
          <w:rFonts w:asciiTheme="majorHAnsi" w:eastAsia="Times New Roman" w:hAnsiTheme="majorHAnsi" w:cs="Times New Roman"/>
          <w:color w:val="000000" w:themeColor="text1"/>
          <w:sz w:val="16"/>
          <w:szCs w:val="16"/>
          <w:lang w:val="en-US" w:eastAsia="en-GB"/>
        </w:rPr>
        <w:t>An additional 1 patient on placebo and 8 patients on mirikizumab were previously exposed to but did not fail a biologic or JAK</w:t>
      </w:r>
      <w:r w:rsidRPr="00780265">
        <w:rPr>
          <w:rFonts w:asciiTheme="majorHAnsi" w:eastAsia="Times New Roman" w:hAnsiTheme="majorHAnsi" w:cs="Times New Roman"/>
          <w:color w:val="000000" w:themeColor="text1"/>
          <w:sz w:val="16"/>
          <w:szCs w:val="16"/>
          <w:lang w:val="en-US" w:eastAsia="en-GB"/>
        </w:rPr>
        <w:noBreakHyphen/>
        <w:t>inhibitor.</w:t>
      </w:r>
    </w:p>
    <w:p w14:paraId="0E5EFE6E" w14:textId="77777777" w:rsidR="00780265" w:rsidRPr="00780265" w:rsidRDefault="00780265" w:rsidP="00780265">
      <w:pPr>
        <w:numPr>
          <w:ilvl w:val="0"/>
          <w:numId w:val="12"/>
        </w:numPr>
        <w:tabs>
          <w:tab w:val="left" w:pos="284"/>
          <w:tab w:val="left" w:pos="567"/>
        </w:tabs>
        <w:spacing w:after="0" w:line="240" w:lineRule="auto"/>
        <w:ind w:left="142" w:hanging="142"/>
        <w:contextualSpacing/>
        <w:rPr>
          <w:rFonts w:asciiTheme="majorHAnsi" w:eastAsia="Times New Roman" w:hAnsiTheme="majorHAnsi" w:cs="Times New Roman"/>
          <w:sz w:val="16"/>
          <w:szCs w:val="16"/>
          <w:lang w:val="en-GB" w:eastAsia="en-GB"/>
        </w:rPr>
      </w:pPr>
      <w:r w:rsidRPr="00780265">
        <w:rPr>
          <w:rFonts w:asciiTheme="majorHAnsi" w:eastAsia="Times New Roman" w:hAnsiTheme="majorHAnsi" w:cs="Times New Roman"/>
          <w:color w:val="000000" w:themeColor="text1"/>
          <w:sz w:val="16"/>
          <w:szCs w:val="16"/>
          <w:lang w:val="en-GB" w:eastAsia="en-GB"/>
        </w:rPr>
        <w:t>Loss of response, inadequate response or intolerance.</w:t>
      </w:r>
    </w:p>
    <w:p w14:paraId="6D537655" w14:textId="77777777" w:rsidR="00780265" w:rsidRPr="00780265" w:rsidRDefault="00780265" w:rsidP="00780265">
      <w:pPr>
        <w:numPr>
          <w:ilvl w:val="0"/>
          <w:numId w:val="12"/>
        </w:numPr>
        <w:tabs>
          <w:tab w:val="left" w:pos="284"/>
          <w:tab w:val="left" w:pos="567"/>
        </w:tabs>
        <w:spacing w:after="0" w:line="240" w:lineRule="auto"/>
        <w:ind w:left="284" w:hanging="284"/>
        <w:contextualSpacing/>
        <w:rPr>
          <w:rFonts w:asciiTheme="majorHAnsi" w:eastAsia="Times New Roman" w:hAnsiTheme="majorHAnsi" w:cs="Times New Roman"/>
          <w:sz w:val="16"/>
          <w:szCs w:val="16"/>
          <w:lang w:val="en-GB" w:eastAsia="en-GB"/>
        </w:rPr>
      </w:pPr>
      <w:r w:rsidRPr="00780265">
        <w:rPr>
          <w:rFonts w:asciiTheme="majorHAnsi" w:eastAsia="Times New Roman" w:hAnsiTheme="majorHAnsi" w:cs="Times New Roman"/>
          <w:sz w:val="16"/>
          <w:szCs w:val="16"/>
          <w:lang w:val="en-GB" w:eastAsia="en-GB"/>
        </w:rPr>
        <w:t>p &lt; 0.001</w:t>
      </w:r>
    </w:p>
    <w:p w14:paraId="35EF99CF" w14:textId="77777777" w:rsidR="00780265" w:rsidRPr="00780265" w:rsidRDefault="00780265" w:rsidP="00780265">
      <w:pPr>
        <w:numPr>
          <w:ilvl w:val="0"/>
          <w:numId w:val="12"/>
        </w:numPr>
        <w:tabs>
          <w:tab w:val="left" w:pos="284"/>
          <w:tab w:val="left" w:pos="567"/>
        </w:tabs>
        <w:spacing w:after="0" w:line="240" w:lineRule="auto"/>
        <w:ind w:left="284" w:hanging="284"/>
        <w:contextualSpacing/>
        <w:rPr>
          <w:rFonts w:asciiTheme="majorHAnsi" w:eastAsia="Times New Roman" w:hAnsiTheme="majorHAnsi" w:cs="Times New Roman"/>
          <w:sz w:val="16"/>
          <w:szCs w:val="16"/>
          <w:lang w:val="en-GB" w:eastAsia="en-GB"/>
        </w:rPr>
      </w:pPr>
      <w:r w:rsidRPr="00780265">
        <w:rPr>
          <w:rFonts w:asciiTheme="majorHAnsi" w:eastAsia="Times New Roman" w:hAnsiTheme="majorHAnsi" w:cs="Times New Roman"/>
          <w:sz w:val="16"/>
          <w:szCs w:val="16"/>
          <w:lang w:val="en-GB" w:eastAsia="en-GB"/>
        </w:rPr>
        <w:t>Mirikizumab results in the subgroup of patients who failed more than one biologic or JAK</w:t>
      </w:r>
      <w:r w:rsidRPr="00780265">
        <w:rPr>
          <w:rFonts w:asciiTheme="majorHAnsi" w:eastAsia="Times New Roman" w:hAnsiTheme="majorHAnsi" w:cs="Times New Roman"/>
          <w:sz w:val="16"/>
          <w:szCs w:val="16"/>
          <w:lang w:val="en-GB" w:eastAsia="en-GB"/>
        </w:rPr>
        <w:noBreakHyphen/>
        <w:t>inhibitor were consistent with results in the overall population.</w:t>
      </w:r>
    </w:p>
    <w:p w14:paraId="1875F871" w14:textId="19A3A211" w:rsidR="00A459E7" w:rsidRDefault="00A459E7" w:rsidP="00863571">
      <w:pPr>
        <w:ind w:left="210" w:firstLine="17"/>
        <w:rPr>
          <w:rFonts w:asciiTheme="majorHAnsi" w:hAnsiTheme="majorHAnsi" w:cstheme="minorHAnsi"/>
          <w:lang w:val="en"/>
        </w:rPr>
      </w:pPr>
    </w:p>
    <w:p w14:paraId="79AE1DCD" w14:textId="6E4B504B" w:rsidR="000B33B8" w:rsidRPr="000B33B8" w:rsidRDefault="000B33B8" w:rsidP="00F24CCC">
      <w:pPr>
        <w:ind w:firstLine="17"/>
        <w:rPr>
          <w:rFonts w:asciiTheme="majorHAnsi" w:hAnsiTheme="majorHAnsi"/>
          <w:lang w:val="en"/>
        </w:rPr>
      </w:pPr>
      <w:r w:rsidRPr="5E553B1D">
        <w:rPr>
          <w:rFonts w:asciiTheme="majorHAnsi" w:hAnsiTheme="majorHAnsi"/>
          <w:lang w:val="en"/>
        </w:rPr>
        <w:t xml:space="preserve">The beneficial effect of mirikizumab on symptomatic, endoscopic and histologic outcomes was observed in induction and in maintenance both in patients who failed conventional therapy </w:t>
      </w:r>
      <w:r w:rsidR="007B3ACC">
        <w:rPr>
          <w:rFonts w:asciiTheme="majorHAnsi" w:hAnsiTheme="majorHAnsi"/>
          <w:lang w:val="en"/>
        </w:rPr>
        <w:t>(</w:t>
      </w:r>
      <w:r w:rsidRPr="5E553B1D">
        <w:rPr>
          <w:rFonts w:asciiTheme="majorHAnsi" w:hAnsiTheme="majorHAnsi"/>
          <w:lang w:val="en"/>
        </w:rPr>
        <w:t xml:space="preserve">but </w:t>
      </w:r>
      <w:r w:rsidR="00CD1391">
        <w:rPr>
          <w:rFonts w:asciiTheme="majorHAnsi" w:hAnsiTheme="majorHAnsi"/>
          <w:lang w:val="en"/>
        </w:rPr>
        <w:t xml:space="preserve">had </w:t>
      </w:r>
      <w:r w:rsidRPr="5E553B1D">
        <w:rPr>
          <w:rFonts w:asciiTheme="majorHAnsi" w:hAnsiTheme="majorHAnsi"/>
          <w:lang w:val="en"/>
        </w:rPr>
        <w:t xml:space="preserve">not </w:t>
      </w:r>
      <w:r w:rsidR="00CD1391">
        <w:rPr>
          <w:rFonts w:asciiTheme="majorHAnsi" w:hAnsiTheme="majorHAnsi"/>
          <w:lang w:val="en"/>
        </w:rPr>
        <w:t xml:space="preserve">failed </w:t>
      </w:r>
      <w:r w:rsidRPr="5E553B1D">
        <w:rPr>
          <w:rFonts w:asciiTheme="majorHAnsi" w:hAnsiTheme="majorHAnsi"/>
          <w:lang w:val="en"/>
        </w:rPr>
        <w:t>a biologic or JAK inhibitor therapy</w:t>
      </w:r>
      <w:r w:rsidR="007B3ACC">
        <w:rPr>
          <w:rFonts w:asciiTheme="majorHAnsi" w:hAnsiTheme="majorHAnsi"/>
          <w:lang w:val="en"/>
        </w:rPr>
        <w:t>)</w:t>
      </w:r>
      <w:r w:rsidRPr="5E553B1D">
        <w:rPr>
          <w:rFonts w:asciiTheme="majorHAnsi" w:hAnsiTheme="majorHAnsi"/>
          <w:lang w:val="en"/>
        </w:rPr>
        <w:t xml:space="preserve"> as well as in those who had failed at least one or more biologic or JAK inhibitor. At week 12, 50.2% of patients who were inadequate responders to a biologic or JAK inhibitor therapy achieved clinical response with mirikizumab and of those who were re</w:t>
      </w:r>
      <w:r w:rsidR="005E4C5D" w:rsidRPr="5E553B1D">
        <w:rPr>
          <w:rFonts w:asciiTheme="majorHAnsi" w:hAnsiTheme="majorHAnsi"/>
          <w:lang w:val="en"/>
        </w:rPr>
        <w:t>-</w:t>
      </w:r>
      <w:r w:rsidRPr="5E553B1D">
        <w:rPr>
          <w:rFonts w:asciiTheme="majorHAnsi" w:hAnsiTheme="majorHAnsi"/>
          <w:lang w:val="en"/>
        </w:rPr>
        <w:t>randomi</w:t>
      </w:r>
      <w:r w:rsidR="005923E4" w:rsidRPr="5E553B1D">
        <w:rPr>
          <w:rFonts w:asciiTheme="majorHAnsi" w:hAnsiTheme="majorHAnsi"/>
          <w:lang w:val="en"/>
        </w:rPr>
        <w:t>s</w:t>
      </w:r>
      <w:r w:rsidRPr="5E553B1D">
        <w:rPr>
          <w:rFonts w:asciiTheme="majorHAnsi" w:hAnsiTheme="majorHAnsi"/>
          <w:lang w:val="en"/>
        </w:rPr>
        <w:t>ed to mirikizumab for maintenance treatment 45.9% were in clinical remission at week 40.</w:t>
      </w:r>
    </w:p>
    <w:p w14:paraId="2F2E7EE7" w14:textId="5EA5883A" w:rsidR="000B33B8" w:rsidRPr="000B33B8" w:rsidRDefault="000B33B8" w:rsidP="00F24CCC">
      <w:pPr>
        <w:ind w:firstLine="17"/>
        <w:rPr>
          <w:rFonts w:asciiTheme="majorHAnsi" w:hAnsiTheme="majorHAnsi" w:cstheme="minorHAnsi"/>
          <w:lang w:val="en"/>
        </w:rPr>
      </w:pPr>
      <w:r w:rsidRPr="000B33B8">
        <w:rPr>
          <w:rFonts w:asciiTheme="majorHAnsi" w:hAnsiTheme="majorHAnsi" w:cstheme="minorHAnsi"/>
          <w:lang w:val="en"/>
        </w:rPr>
        <w:t xml:space="preserve">The efficacy and safety profile of mirikizumab was consistent across subgroups, </w:t>
      </w:r>
      <w:r w:rsidR="00821A52" w:rsidRPr="000B33B8">
        <w:rPr>
          <w:rFonts w:asciiTheme="majorHAnsi" w:hAnsiTheme="majorHAnsi" w:cstheme="minorHAnsi"/>
          <w:lang w:val="en"/>
        </w:rPr>
        <w:t>i.e.,</w:t>
      </w:r>
      <w:r w:rsidRPr="000B33B8">
        <w:rPr>
          <w:rFonts w:asciiTheme="majorHAnsi" w:hAnsiTheme="majorHAnsi" w:cstheme="minorHAnsi"/>
          <w:lang w:val="en"/>
        </w:rPr>
        <w:t xml:space="preserve"> age, gender, body weight, disease activity severity at baseline and region.</w:t>
      </w:r>
    </w:p>
    <w:p w14:paraId="24D4201E" w14:textId="167F40A2" w:rsidR="000B33B8" w:rsidRPr="0039426A" w:rsidRDefault="000B33B8" w:rsidP="00F24CCC">
      <w:pPr>
        <w:ind w:firstLine="17"/>
        <w:rPr>
          <w:rFonts w:asciiTheme="majorHAnsi" w:hAnsiTheme="majorHAnsi" w:cstheme="minorHAnsi"/>
          <w:u w:val="single"/>
          <w:lang w:val="en"/>
        </w:rPr>
      </w:pPr>
      <w:r w:rsidRPr="0039426A">
        <w:rPr>
          <w:rFonts w:asciiTheme="majorHAnsi" w:hAnsiTheme="majorHAnsi" w:cstheme="minorHAnsi"/>
          <w:u w:val="single"/>
          <w:lang w:val="en"/>
        </w:rPr>
        <w:t>Week 24 Responders to mirikizumab extended induction (LUCENT-2)</w:t>
      </w:r>
    </w:p>
    <w:p w14:paraId="6906C417" w14:textId="1F569564" w:rsidR="000B33B8" w:rsidRDefault="00114CF2" w:rsidP="00F24CCC">
      <w:pPr>
        <w:ind w:firstLine="17"/>
        <w:rPr>
          <w:rFonts w:asciiTheme="majorHAnsi" w:hAnsiTheme="majorHAnsi" w:cstheme="minorHAnsi"/>
          <w:lang w:val="en"/>
        </w:rPr>
      </w:pPr>
      <w:r>
        <w:rPr>
          <w:rFonts w:asciiTheme="majorHAnsi" w:hAnsiTheme="majorHAnsi" w:cstheme="minorHAnsi"/>
          <w:lang w:val="en"/>
        </w:rPr>
        <w:t>P</w:t>
      </w:r>
      <w:r w:rsidR="000B33B8" w:rsidRPr="000B33B8">
        <w:rPr>
          <w:rFonts w:asciiTheme="majorHAnsi" w:hAnsiTheme="majorHAnsi" w:cstheme="minorHAnsi"/>
          <w:lang w:val="en"/>
        </w:rPr>
        <w:t>atients who were no</w:t>
      </w:r>
      <w:r>
        <w:rPr>
          <w:rFonts w:asciiTheme="majorHAnsi" w:hAnsiTheme="majorHAnsi" w:cstheme="minorHAnsi"/>
          <w:lang w:val="en"/>
        </w:rPr>
        <w:t>n</w:t>
      </w:r>
      <w:r w:rsidR="000B33B8" w:rsidRPr="000B33B8">
        <w:rPr>
          <w:rFonts w:asciiTheme="majorHAnsi" w:hAnsiTheme="majorHAnsi" w:cstheme="minorHAnsi"/>
          <w:lang w:val="en"/>
        </w:rPr>
        <w:t xml:space="preserve"> respon</w:t>
      </w:r>
      <w:r>
        <w:rPr>
          <w:rFonts w:asciiTheme="majorHAnsi" w:hAnsiTheme="majorHAnsi" w:cstheme="minorHAnsi"/>
          <w:lang w:val="en"/>
        </w:rPr>
        <w:t>ders</w:t>
      </w:r>
      <w:r w:rsidR="000B33B8" w:rsidRPr="000B33B8">
        <w:rPr>
          <w:rFonts w:asciiTheme="majorHAnsi" w:hAnsiTheme="majorHAnsi" w:cstheme="minorHAnsi"/>
          <w:lang w:val="en"/>
        </w:rPr>
        <w:t xml:space="preserve"> at week 12 of LUCENT-1 were eligible to receive extended open label induction therapy in LUCENT-2 (300 mg mirikizumab IV at weeks 0, 4 and 8). Of those 272 patients, 146 (53.7%) achieved clinical response at week 12 (24 weeks after the first induction dose), and 144 patients received the maintenance dose of 200 mg mirikizumab Q4W SC; among these patients, a majority (72.2%) maintained clinical response and 36.1% achieved clinical remission at week 40.</w:t>
      </w:r>
    </w:p>
    <w:p w14:paraId="439D90FB" w14:textId="77777777" w:rsidR="000B33B8" w:rsidRPr="00810CF6" w:rsidRDefault="000B33B8" w:rsidP="00F24CCC">
      <w:pPr>
        <w:ind w:firstLine="17"/>
        <w:rPr>
          <w:rFonts w:asciiTheme="majorHAnsi" w:hAnsiTheme="majorHAnsi" w:cstheme="minorHAnsi"/>
          <w:u w:val="single"/>
          <w:lang w:val="en"/>
        </w:rPr>
      </w:pPr>
      <w:r w:rsidRPr="00810CF6">
        <w:rPr>
          <w:rFonts w:asciiTheme="majorHAnsi" w:hAnsiTheme="majorHAnsi" w:cstheme="minorHAnsi"/>
          <w:u w:val="single"/>
          <w:lang w:val="en"/>
        </w:rPr>
        <w:lastRenderedPageBreak/>
        <w:t>Recapture of efficacy after loss of response to mirikizumab maintenance (LUCENT-2)</w:t>
      </w:r>
    </w:p>
    <w:p w14:paraId="510DC5A4" w14:textId="4A18704F" w:rsidR="000B33B8" w:rsidRPr="000B33B8" w:rsidRDefault="000B33B8" w:rsidP="00F24CCC">
      <w:pPr>
        <w:ind w:firstLine="17"/>
        <w:rPr>
          <w:rFonts w:asciiTheme="majorHAnsi" w:hAnsiTheme="majorHAnsi"/>
          <w:lang w:val="en"/>
        </w:rPr>
      </w:pPr>
      <w:r w:rsidRPr="3F838120">
        <w:rPr>
          <w:rFonts w:asciiTheme="majorHAnsi" w:hAnsiTheme="majorHAnsi"/>
          <w:lang w:val="en"/>
        </w:rPr>
        <w:t>Patients who developed symptomatic and confirmatory endoscopic loss of response (5.2%) between week 12 and 28 of LUCENT-2 while on maintenance therapy with mirikizumab, received open label mirikizumab re</w:t>
      </w:r>
      <w:r w:rsidR="00330032" w:rsidRPr="3F838120">
        <w:rPr>
          <w:rFonts w:asciiTheme="majorHAnsi" w:hAnsiTheme="majorHAnsi"/>
          <w:lang w:val="en"/>
        </w:rPr>
        <w:t>-</w:t>
      </w:r>
      <w:r w:rsidRPr="3F838120">
        <w:rPr>
          <w:rFonts w:asciiTheme="majorHAnsi" w:hAnsiTheme="majorHAnsi"/>
          <w:lang w:val="en"/>
        </w:rPr>
        <w:t>induction therapy with 300 mg mirikizumab Q4W IV for 3 doses (referred to as rescue dosing). Of these, 63.2%</w:t>
      </w:r>
      <w:r w:rsidR="1E149D51" w:rsidRPr="3F838120">
        <w:rPr>
          <w:rFonts w:asciiTheme="majorHAnsi" w:hAnsiTheme="majorHAnsi"/>
          <w:lang w:val="en"/>
        </w:rPr>
        <w:t xml:space="preserve"> </w:t>
      </w:r>
      <w:r w:rsidR="532ACC9D" w:rsidRPr="3F838120">
        <w:rPr>
          <w:rFonts w:asciiTheme="majorHAnsi" w:hAnsiTheme="majorHAnsi"/>
          <w:lang w:val="en"/>
        </w:rPr>
        <w:t>(12/19)</w:t>
      </w:r>
      <w:r w:rsidRPr="3F838120">
        <w:rPr>
          <w:rFonts w:asciiTheme="majorHAnsi" w:hAnsiTheme="majorHAnsi"/>
          <w:lang w:val="en"/>
        </w:rPr>
        <w:t xml:space="preserve"> patients achieved symptomatic response and 36.8% </w:t>
      </w:r>
      <w:r w:rsidR="4E8AED6A" w:rsidRPr="3F838120">
        <w:rPr>
          <w:rFonts w:asciiTheme="majorHAnsi" w:hAnsiTheme="majorHAnsi"/>
          <w:lang w:val="en"/>
        </w:rPr>
        <w:t xml:space="preserve">(7/19) </w:t>
      </w:r>
      <w:r w:rsidR="1E149D51" w:rsidRPr="3F838120">
        <w:rPr>
          <w:rFonts w:asciiTheme="majorHAnsi" w:hAnsiTheme="majorHAnsi"/>
          <w:lang w:val="en"/>
        </w:rPr>
        <w:t>achieved</w:t>
      </w:r>
      <w:r w:rsidRPr="3F838120">
        <w:rPr>
          <w:rFonts w:asciiTheme="majorHAnsi" w:hAnsiTheme="majorHAnsi"/>
          <w:lang w:val="en"/>
        </w:rPr>
        <w:t xml:space="preserve"> symptomatic remission after 12 weeks rescue dosing.</w:t>
      </w:r>
    </w:p>
    <w:p w14:paraId="52F0B2D3" w14:textId="187C351D" w:rsidR="005713F0" w:rsidRPr="00635F4D" w:rsidRDefault="00AF0751" w:rsidP="7BCE04AD">
      <w:pPr>
        <w:ind w:firstLine="17"/>
        <w:rPr>
          <w:rFonts w:asciiTheme="majorHAnsi" w:hAnsiTheme="majorHAnsi"/>
          <w:b/>
          <w:bCs/>
          <w:u w:val="single"/>
          <w:lang w:val="en"/>
        </w:rPr>
      </w:pPr>
      <w:r w:rsidRPr="7BCE04AD">
        <w:rPr>
          <w:rFonts w:asciiTheme="majorHAnsi" w:hAnsiTheme="majorHAnsi"/>
          <w:b/>
          <w:bCs/>
          <w:u w:val="single"/>
          <w:lang w:val="en"/>
        </w:rPr>
        <w:t>Other secondary outcomes (LUCENT-1 and LUCENT-2)</w:t>
      </w:r>
    </w:p>
    <w:p w14:paraId="4BD8B26F" w14:textId="175C4BAD" w:rsidR="000B33B8" w:rsidRPr="00E81124" w:rsidRDefault="000B33B8" w:rsidP="00F24CCC">
      <w:pPr>
        <w:ind w:firstLine="17"/>
        <w:rPr>
          <w:rFonts w:asciiTheme="majorHAnsi" w:hAnsiTheme="majorHAnsi" w:cstheme="minorHAnsi"/>
          <w:u w:val="single"/>
          <w:lang w:val="en"/>
        </w:rPr>
      </w:pPr>
      <w:r w:rsidRPr="00E81124">
        <w:rPr>
          <w:rFonts w:asciiTheme="majorHAnsi" w:hAnsiTheme="majorHAnsi" w:cstheme="minorHAnsi"/>
          <w:u w:val="single"/>
          <w:lang w:val="en"/>
        </w:rPr>
        <w:t>Histologic results</w:t>
      </w:r>
    </w:p>
    <w:p w14:paraId="50A5F56D" w14:textId="546200E7" w:rsidR="000B33B8" w:rsidRPr="000B33B8" w:rsidRDefault="000B33B8" w:rsidP="00F24CCC">
      <w:pPr>
        <w:ind w:firstLine="17"/>
        <w:rPr>
          <w:rFonts w:asciiTheme="majorHAnsi" w:hAnsiTheme="majorHAnsi" w:cstheme="minorHAnsi"/>
          <w:lang w:val="en"/>
        </w:rPr>
      </w:pPr>
      <w:r w:rsidRPr="000B33B8">
        <w:rPr>
          <w:rFonts w:asciiTheme="majorHAnsi" w:hAnsiTheme="majorHAnsi" w:cstheme="minorHAnsi"/>
          <w:lang w:val="en"/>
        </w:rPr>
        <w:t>At week 12 significantly greater proportions of patients in the mirikizumab group achieved histologic improvement (39.2%) compared with patients in the placebo group (20.7%). At week 40 histologic remission was observed with significantly more patients in the mirikizumab group (48.5%) as compared to placebo (24.6%).</w:t>
      </w:r>
    </w:p>
    <w:p w14:paraId="09C52D5E" w14:textId="4662DD2C" w:rsidR="000B33B8" w:rsidRPr="00E81124" w:rsidRDefault="000B33B8" w:rsidP="00F24CCC">
      <w:pPr>
        <w:ind w:firstLine="17"/>
        <w:rPr>
          <w:rFonts w:asciiTheme="majorHAnsi" w:hAnsiTheme="majorHAnsi" w:cstheme="minorHAnsi"/>
          <w:u w:val="single"/>
          <w:lang w:val="en"/>
        </w:rPr>
      </w:pPr>
      <w:r w:rsidRPr="00E81124">
        <w:rPr>
          <w:rFonts w:asciiTheme="majorHAnsi" w:hAnsiTheme="majorHAnsi" w:cstheme="minorHAnsi"/>
          <w:u w:val="single"/>
          <w:lang w:val="en"/>
        </w:rPr>
        <w:t>Stable maintenance of symptomatic remission</w:t>
      </w:r>
    </w:p>
    <w:p w14:paraId="40B34F4B" w14:textId="08D7D7CF" w:rsidR="000B33B8" w:rsidRPr="000B33B8" w:rsidRDefault="000B33B8" w:rsidP="00F24CCC">
      <w:pPr>
        <w:ind w:firstLine="17"/>
        <w:rPr>
          <w:rFonts w:asciiTheme="majorHAnsi" w:hAnsiTheme="majorHAnsi" w:cstheme="minorHAnsi"/>
          <w:lang w:val="en"/>
        </w:rPr>
      </w:pPr>
      <w:r w:rsidRPr="000B33B8">
        <w:rPr>
          <w:rFonts w:asciiTheme="majorHAnsi" w:hAnsiTheme="majorHAnsi" w:cstheme="minorHAnsi"/>
          <w:lang w:val="en"/>
        </w:rPr>
        <w:t>Stable maintenance of symptomatic remission was defined as the proportion of patients in symptomatic remission for at least 7 out of 9 visits from week 4 to week 36 and in symptomatic remission at week 40 among patients in symptomatic remission and clinical response at week 12 of LUCENT</w:t>
      </w:r>
      <w:r w:rsidR="00FA1E42">
        <w:rPr>
          <w:rFonts w:asciiTheme="majorHAnsi" w:hAnsiTheme="majorHAnsi" w:cstheme="minorHAnsi"/>
          <w:lang w:val="en"/>
        </w:rPr>
        <w:t>-</w:t>
      </w:r>
      <w:r w:rsidRPr="000B33B8">
        <w:rPr>
          <w:rFonts w:asciiTheme="majorHAnsi" w:hAnsiTheme="majorHAnsi" w:cstheme="minorHAnsi"/>
          <w:lang w:val="en"/>
        </w:rPr>
        <w:t>1. At week 40 of LUCENT</w:t>
      </w:r>
      <w:r w:rsidR="00FA1E42">
        <w:rPr>
          <w:rFonts w:asciiTheme="majorHAnsi" w:hAnsiTheme="majorHAnsi" w:cstheme="minorHAnsi"/>
          <w:lang w:val="en"/>
        </w:rPr>
        <w:t>-</w:t>
      </w:r>
      <w:r w:rsidRPr="000B33B8">
        <w:rPr>
          <w:rFonts w:asciiTheme="majorHAnsi" w:hAnsiTheme="majorHAnsi" w:cstheme="minorHAnsi"/>
          <w:lang w:val="en"/>
        </w:rPr>
        <w:t>2, the proportion of patients achieving stable maintenance of symptomatic remission was greater in patients treated with mirikizumab (69.7%) versus placebo (38.4%).</w:t>
      </w:r>
    </w:p>
    <w:p w14:paraId="39F5D57A" w14:textId="76434A25" w:rsidR="000B33B8" w:rsidRPr="00E81124" w:rsidRDefault="000B33B8" w:rsidP="00F24CCC">
      <w:pPr>
        <w:ind w:firstLine="17"/>
        <w:rPr>
          <w:rFonts w:asciiTheme="majorHAnsi" w:hAnsiTheme="majorHAnsi" w:cstheme="minorHAnsi"/>
          <w:u w:val="single"/>
          <w:lang w:val="en"/>
        </w:rPr>
      </w:pPr>
      <w:r w:rsidRPr="00E81124">
        <w:rPr>
          <w:rFonts w:asciiTheme="majorHAnsi" w:hAnsiTheme="majorHAnsi" w:cstheme="minorHAnsi"/>
          <w:u w:val="single"/>
          <w:lang w:val="en"/>
        </w:rPr>
        <w:t>Health-related quality of life</w:t>
      </w:r>
    </w:p>
    <w:p w14:paraId="270B6C02" w14:textId="3FD08DD3" w:rsidR="000B33B8" w:rsidRPr="000B33B8" w:rsidRDefault="000B33B8" w:rsidP="00F24CCC">
      <w:pPr>
        <w:ind w:firstLine="17"/>
        <w:rPr>
          <w:rFonts w:asciiTheme="majorHAnsi" w:hAnsiTheme="majorHAnsi"/>
          <w:lang w:val="en"/>
        </w:rPr>
      </w:pPr>
      <w:r w:rsidRPr="3A171448">
        <w:rPr>
          <w:rFonts w:asciiTheme="majorHAnsi" w:hAnsiTheme="majorHAnsi"/>
          <w:lang w:val="en"/>
        </w:rPr>
        <w:t>Health-related quality of life was assessed by Inflammatory Bowel Disease Questionnaire (IBDQ). IBDQ response was defined as</w:t>
      </w:r>
      <w:r w:rsidR="003772E2" w:rsidRPr="3A171448">
        <w:rPr>
          <w:rFonts w:asciiTheme="majorHAnsi" w:hAnsiTheme="majorHAnsi"/>
          <w:lang w:val="en"/>
        </w:rPr>
        <w:t xml:space="preserve"> </w:t>
      </w:r>
      <w:r w:rsidR="009262FD" w:rsidRPr="3A171448">
        <w:rPr>
          <w:rFonts w:asciiTheme="majorHAnsi" w:hAnsiTheme="majorHAnsi"/>
          <w:lang w:val="en"/>
        </w:rPr>
        <w:t xml:space="preserve">a </w:t>
      </w:r>
      <w:r w:rsidR="00C8065D" w:rsidRPr="3A171448">
        <w:rPr>
          <w:rFonts w:asciiTheme="majorHAnsi" w:hAnsiTheme="majorHAnsi"/>
          <w:lang w:val="en"/>
        </w:rPr>
        <w:t>≥</w:t>
      </w:r>
      <w:r w:rsidRPr="3A171448">
        <w:rPr>
          <w:rFonts w:asciiTheme="majorHAnsi" w:hAnsiTheme="majorHAnsi"/>
          <w:lang w:val="en"/>
        </w:rPr>
        <w:t xml:space="preserve">16 point improvement from baseline in IBDQ score and IBDQ remission was defined as a score of </w:t>
      </w:r>
      <w:r w:rsidR="00BC2B4C" w:rsidRPr="3A171448">
        <w:rPr>
          <w:rFonts w:asciiTheme="majorHAnsi" w:hAnsiTheme="majorHAnsi"/>
          <w:lang w:val="en"/>
        </w:rPr>
        <w:t>≥</w:t>
      </w:r>
      <w:r w:rsidRPr="3A171448">
        <w:rPr>
          <w:rFonts w:asciiTheme="majorHAnsi" w:hAnsiTheme="majorHAnsi"/>
          <w:lang w:val="en"/>
        </w:rPr>
        <w:t>170. At week 12 of LUCENT</w:t>
      </w:r>
      <w:r w:rsidR="00FA1E42" w:rsidRPr="3A171448">
        <w:rPr>
          <w:rFonts w:asciiTheme="majorHAnsi" w:hAnsiTheme="majorHAnsi"/>
          <w:lang w:val="en"/>
        </w:rPr>
        <w:t>-</w:t>
      </w:r>
      <w:r w:rsidRPr="3A171448">
        <w:rPr>
          <w:rFonts w:asciiTheme="majorHAnsi" w:hAnsiTheme="majorHAnsi"/>
          <w:lang w:val="en"/>
        </w:rPr>
        <w:t xml:space="preserve">1, 57.5% of mirikizumab-treated patients achieved IBDQ remission versus 39.8% </w:t>
      </w:r>
      <w:r w:rsidR="00772D7F" w:rsidRPr="3A171448">
        <w:rPr>
          <w:rFonts w:asciiTheme="majorHAnsi" w:hAnsiTheme="majorHAnsi"/>
          <w:lang w:val="en"/>
        </w:rPr>
        <w:t xml:space="preserve">in </w:t>
      </w:r>
      <w:r w:rsidRPr="3A171448">
        <w:rPr>
          <w:rFonts w:asciiTheme="majorHAnsi" w:hAnsiTheme="majorHAnsi"/>
          <w:lang w:val="en"/>
        </w:rPr>
        <w:t>placebo and 72.7% of mirikizumab treated patients achieved IBDQ response versus 55.8% in placebo. In LUCENT</w:t>
      </w:r>
      <w:r w:rsidR="00024B6F" w:rsidRPr="3A171448">
        <w:rPr>
          <w:rFonts w:asciiTheme="majorHAnsi" w:hAnsiTheme="majorHAnsi"/>
          <w:lang w:val="en"/>
        </w:rPr>
        <w:t>-</w:t>
      </w:r>
      <w:r w:rsidRPr="3A171448">
        <w:rPr>
          <w:rFonts w:asciiTheme="majorHAnsi" w:hAnsiTheme="majorHAnsi"/>
          <w:lang w:val="en"/>
        </w:rPr>
        <w:t>2 at week 40, 72.3% of mirikizumab treated patients achieved maintenance of IBDQ remission versus 43.0% placebo treated patients and 79.2% mirikizumab treated patients achieved IBDQ response versus 49.2% of placebo treated patients.</w:t>
      </w:r>
    </w:p>
    <w:p w14:paraId="0B4CFCDB" w14:textId="65D7BE18" w:rsidR="000B33B8" w:rsidRPr="000B33B8" w:rsidRDefault="000B33B8" w:rsidP="00F24CCC">
      <w:pPr>
        <w:ind w:firstLine="17"/>
        <w:rPr>
          <w:rFonts w:asciiTheme="majorHAnsi" w:hAnsiTheme="majorHAnsi" w:cstheme="minorHAnsi"/>
          <w:lang w:val="en"/>
        </w:rPr>
      </w:pPr>
      <w:r w:rsidRPr="000B33B8">
        <w:rPr>
          <w:rFonts w:asciiTheme="majorHAnsi" w:hAnsiTheme="majorHAnsi" w:cstheme="minorHAnsi"/>
          <w:lang w:val="en"/>
        </w:rPr>
        <w:t>At week 12 in LUCENT</w:t>
      </w:r>
      <w:r w:rsidR="00024B6F">
        <w:rPr>
          <w:rFonts w:asciiTheme="majorHAnsi" w:hAnsiTheme="majorHAnsi" w:cstheme="minorHAnsi"/>
          <w:lang w:val="en"/>
        </w:rPr>
        <w:t>-</w:t>
      </w:r>
      <w:r w:rsidRPr="000B33B8">
        <w:rPr>
          <w:rFonts w:asciiTheme="majorHAnsi" w:hAnsiTheme="majorHAnsi" w:cstheme="minorHAnsi"/>
          <w:lang w:val="en"/>
        </w:rPr>
        <w:t>1 and week 40 in LUCENT</w:t>
      </w:r>
      <w:r w:rsidR="00024B6F">
        <w:rPr>
          <w:rFonts w:asciiTheme="majorHAnsi" w:hAnsiTheme="majorHAnsi" w:cstheme="minorHAnsi"/>
          <w:lang w:val="en"/>
        </w:rPr>
        <w:t>-</w:t>
      </w:r>
      <w:r w:rsidRPr="000B33B8">
        <w:rPr>
          <w:rFonts w:asciiTheme="majorHAnsi" w:hAnsiTheme="majorHAnsi" w:cstheme="minorHAnsi"/>
          <w:lang w:val="en"/>
        </w:rPr>
        <w:t>2, patients receiving mirikizumab experienced significantly more improvements in work productivity with greater reductions in overall work impairment and activity impairment as assessed by the Work Productivity and Activity Impairment Questionnaire-Ulcerative Colitis (WPAI-UC) questionnaire than patients receiving placebo.</w:t>
      </w:r>
    </w:p>
    <w:p w14:paraId="32DA6A20" w14:textId="468B76A8" w:rsidR="000B33B8" w:rsidRPr="001861D3" w:rsidRDefault="000B33B8" w:rsidP="00F24CCC">
      <w:pPr>
        <w:ind w:firstLine="17"/>
        <w:rPr>
          <w:rFonts w:asciiTheme="majorHAnsi" w:hAnsiTheme="majorHAnsi" w:cstheme="minorHAnsi"/>
          <w:u w:val="single"/>
          <w:lang w:val="en"/>
        </w:rPr>
      </w:pPr>
      <w:r w:rsidRPr="001861D3">
        <w:rPr>
          <w:rFonts w:asciiTheme="majorHAnsi" w:hAnsiTheme="majorHAnsi" w:cstheme="minorHAnsi"/>
          <w:u w:val="single"/>
          <w:lang w:val="en"/>
        </w:rPr>
        <w:t>Immunogenicity</w:t>
      </w:r>
    </w:p>
    <w:p w14:paraId="358D35FA" w14:textId="0057D280" w:rsidR="000B33B8" w:rsidRPr="00863571" w:rsidRDefault="34AD3608" w:rsidP="79FD38FA">
      <w:pPr>
        <w:ind w:firstLine="17"/>
        <w:rPr>
          <w:rFonts w:asciiTheme="majorHAnsi" w:hAnsiTheme="majorHAnsi"/>
          <w:lang w:val="en"/>
        </w:rPr>
      </w:pPr>
      <w:r w:rsidRPr="79FD38FA">
        <w:rPr>
          <w:rFonts w:asciiTheme="majorHAnsi" w:hAnsiTheme="majorHAnsi"/>
          <w:lang w:val="en"/>
        </w:rPr>
        <w:t>As with all therapeutic proteins, there is potential for immunogenicity. The detection of antibody formation is highly dependent on the sensitivity and specificity of the assay. With 12 months of treatment, up to 23% of mirikizumab treated patients developed anti</w:t>
      </w:r>
      <w:r w:rsidR="28AD41AC" w:rsidRPr="79FD38FA">
        <w:rPr>
          <w:rFonts w:asciiTheme="majorHAnsi" w:hAnsiTheme="majorHAnsi"/>
          <w:lang w:val="en"/>
        </w:rPr>
        <w:t>-</w:t>
      </w:r>
      <w:r w:rsidRPr="79FD38FA">
        <w:rPr>
          <w:rFonts w:asciiTheme="majorHAnsi" w:hAnsiTheme="majorHAnsi"/>
          <w:lang w:val="en"/>
        </w:rPr>
        <w:t xml:space="preserve">drug </w:t>
      </w:r>
      <w:r w:rsidRPr="79FD38FA">
        <w:rPr>
          <w:rFonts w:asciiTheme="majorHAnsi" w:hAnsiTheme="majorHAnsi"/>
          <w:lang w:val="en"/>
        </w:rPr>
        <w:lastRenderedPageBreak/>
        <w:t>antibodies, most of which were of low titr</w:t>
      </w:r>
      <w:r w:rsidR="28AD41AC" w:rsidRPr="79FD38FA">
        <w:rPr>
          <w:rFonts w:asciiTheme="majorHAnsi" w:hAnsiTheme="majorHAnsi"/>
          <w:lang w:val="en"/>
        </w:rPr>
        <w:t>e</w:t>
      </w:r>
      <w:r w:rsidRPr="79FD38FA">
        <w:rPr>
          <w:rFonts w:asciiTheme="majorHAnsi" w:hAnsiTheme="majorHAnsi"/>
          <w:lang w:val="en"/>
        </w:rPr>
        <w:t xml:space="preserve"> and tested positive for neutralising activity. Higher antibody titr</w:t>
      </w:r>
      <w:r w:rsidR="28AD41AC" w:rsidRPr="79FD38FA">
        <w:rPr>
          <w:rFonts w:asciiTheme="majorHAnsi" w:hAnsiTheme="majorHAnsi"/>
          <w:lang w:val="en"/>
        </w:rPr>
        <w:t>e</w:t>
      </w:r>
      <w:r w:rsidRPr="79FD38FA">
        <w:rPr>
          <w:rFonts w:asciiTheme="majorHAnsi" w:hAnsiTheme="majorHAnsi"/>
          <w:lang w:val="en"/>
        </w:rPr>
        <w:t>s in approximately 2% of subjects treated with mirikizumab were associated with lower serum mirikizumab concentrations and reduced clinical response</w:t>
      </w:r>
      <w:r w:rsidR="5B844721" w:rsidRPr="79FD38FA">
        <w:rPr>
          <w:rFonts w:asciiTheme="majorHAnsi" w:hAnsiTheme="majorHAnsi"/>
          <w:lang w:val="en"/>
        </w:rPr>
        <w:t xml:space="preserve">. Clinical data indicate a small </w:t>
      </w:r>
      <w:r w:rsidR="746A8A32" w:rsidRPr="79FD38FA">
        <w:rPr>
          <w:rFonts w:asciiTheme="majorHAnsi" w:hAnsiTheme="majorHAnsi"/>
          <w:lang w:val="en"/>
        </w:rPr>
        <w:t xml:space="preserve">risk </w:t>
      </w:r>
      <w:r w:rsidR="4D2DCB83" w:rsidRPr="79FD38FA">
        <w:rPr>
          <w:rFonts w:asciiTheme="majorHAnsi" w:hAnsiTheme="majorHAnsi"/>
          <w:lang w:val="en"/>
        </w:rPr>
        <w:t>that</w:t>
      </w:r>
      <w:r w:rsidR="23CA4E79" w:rsidRPr="79FD38FA">
        <w:rPr>
          <w:rFonts w:asciiTheme="majorHAnsi" w:hAnsiTheme="majorHAnsi"/>
          <w:lang w:val="en"/>
        </w:rPr>
        <w:t xml:space="preserve"> </w:t>
      </w:r>
      <w:r w:rsidR="0E20B08D" w:rsidRPr="79FD38FA">
        <w:rPr>
          <w:rFonts w:asciiTheme="majorHAnsi" w:hAnsiTheme="majorHAnsi"/>
          <w:lang w:val="en"/>
        </w:rPr>
        <w:t xml:space="preserve">neutralising </w:t>
      </w:r>
      <w:r w:rsidR="23CA4E79" w:rsidRPr="79FD38FA">
        <w:rPr>
          <w:rFonts w:asciiTheme="majorHAnsi" w:hAnsiTheme="majorHAnsi"/>
          <w:lang w:val="en"/>
        </w:rPr>
        <w:t>antibod</w:t>
      </w:r>
      <w:r w:rsidR="004487A7" w:rsidRPr="79FD38FA">
        <w:rPr>
          <w:rFonts w:asciiTheme="majorHAnsi" w:hAnsiTheme="majorHAnsi"/>
          <w:lang w:val="en"/>
        </w:rPr>
        <w:t>ies</w:t>
      </w:r>
      <w:r w:rsidR="23CA4E79" w:rsidRPr="79FD38FA">
        <w:rPr>
          <w:rFonts w:asciiTheme="majorHAnsi" w:hAnsiTheme="majorHAnsi"/>
          <w:lang w:val="en"/>
        </w:rPr>
        <w:t xml:space="preserve"> </w:t>
      </w:r>
      <w:r w:rsidR="0E20B08D" w:rsidRPr="79FD38FA">
        <w:rPr>
          <w:rFonts w:asciiTheme="majorHAnsi" w:hAnsiTheme="majorHAnsi"/>
          <w:lang w:val="en"/>
        </w:rPr>
        <w:t>at titre≥1:160 may reduce mirikizumab</w:t>
      </w:r>
      <w:r w:rsidR="004487A7" w:rsidRPr="79FD38FA">
        <w:rPr>
          <w:rFonts w:asciiTheme="majorHAnsi" w:hAnsiTheme="majorHAnsi"/>
          <w:lang w:val="en"/>
        </w:rPr>
        <w:t xml:space="preserve"> efficacy. </w:t>
      </w:r>
      <w:r w:rsidRPr="79FD38FA">
        <w:rPr>
          <w:rFonts w:asciiTheme="majorHAnsi" w:hAnsiTheme="majorHAnsi"/>
          <w:lang w:val="en"/>
        </w:rPr>
        <w:t>No association was found between anti</w:t>
      </w:r>
      <w:r w:rsidR="28AD41AC" w:rsidRPr="79FD38FA">
        <w:rPr>
          <w:rFonts w:asciiTheme="majorHAnsi" w:hAnsiTheme="majorHAnsi"/>
          <w:lang w:val="en"/>
        </w:rPr>
        <w:t>-</w:t>
      </w:r>
      <w:r w:rsidRPr="79FD38FA">
        <w:rPr>
          <w:rFonts w:asciiTheme="majorHAnsi" w:hAnsiTheme="majorHAnsi"/>
          <w:lang w:val="en"/>
        </w:rPr>
        <w:t>mirikizumab antibodies and hypersensitivity or injection related events.</w:t>
      </w:r>
    </w:p>
    <w:p w14:paraId="10ED950D" w14:textId="4727847B" w:rsidR="001A3992" w:rsidRDefault="001A3992" w:rsidP="001A3992">
      <w:pPr>
        <w:pStyle w:val="Heading2"/>
        <w:keepNext/>
        <w:spacing w:before="0" w:after="120"/>
        <w:rPr>
          <w:lang w:val="en-US"/>
        </w:rPr>
      </w:pPr>
      <w:bookmarkStart w:id="10" w:name="_Ref101871476"/>
      <w:r w:rsidRPr="00EC3C40">
        <w:rPr>
          <w:lang w:val="en-US"/>
        </w:rPr>
        <w:t>Pharmacokinetic properties</w:t>
      </w:r>
      <w:bookmarkEnd w:id="10"/>
      <w:r w:rsidR="0012736B">
        <w:rPr>
          <w:lang w:val="en-US"/>
        </w:rPr>
        <w:fldChar w:fldCharType="begin"/>
      </w:r>
      <w:r w:rsidR="0012736B">
        <w:rPr>
          <w:lang w:val="en-US"/>
        </w:rPr>
        <w:instrText xml:space="preserve"> DOCVARIABLE vault_nd_424dfdf9-f45e-4fc7-b153-1d681549c111 \* MERGEFORMAT </w:instrText>
      </w:r>
      <w:r w:rsidR="0012736B">
        <w:rPr>
          <w:lang w:val="en-US"/>
        </w:rPr>
        <w:fldChar w:fldCharType="separate"/>
      </w:r>
      <w:r w:rsidR="0012736B">
        <w:rPr>
          <w:lang w:val="en-US"/>
        </w:rPr>
        <w:t xml:space="preserve"> </w:t>
      </w:r>
      <w:r w:rsidR="0012736B">
        <w:rPr>
          <w:lang w:val="en-US"/>
        </w:rPr>
        <w:fldChar w:fldCharType="end"/>
      </w:r>
    </w:p>
    <w:p w14:paraId="5BF532E0" w14:textId="5CBF7634" w:rsidR="00292422" w:rsidRPr="00292422" w:rsidRDefault="0063643D" w:rsidP="00292422">
      <w:pPr>
        <w:rPr>
          <w:rFonts w:asciiTheme="majorHAnsi" w:hAnsiTheme="majorHAnsi" w:cstheme="minorHAnsi"/>
          <w:lang w:val="en"/>
        </w:rPr>
      </w:pPr>
      <w:r w:rsidRPr="004E6A12">
        <w:rPr>
          <w:rFonts w:asciiTheme="majorHAnsi" w:hAnsiTheme="majorHAnsi" w:cstheme="minorHAnsi"/>
          <w:lang w:val="en"/>
        </w:rPr>
        <w:t>Mirikizumab has pharmacokinetic characteristics typical of an IgG4 monoclonal antibody.</w:t>
      </w:r>
      <w:r w:rsidR="004E6A12">
        <w:rPr>
          <w:rFonts w:asciiTheme="majorHAnsi" w:hAnsiTheme="majorHAnsi" w:cstheme="minorHAnsi"/>
          <w:lang w:val="en"/>
        </w:rPr>
        <w:t xml:space="preserve"> </w:t>
      </w:r>
      <w:r w:rsidR="003800A2">
        <w:rPr>
          <w:rFonts w:asciiTheme="majorHAnsi" w:hAnsiTheme="majorHAnsi" w:cstheme="minorHAnsi"/>
          <w:lang w:val="en"/>
        </w:rPr>
        <w:t>It</w:t>
      </w:r>
      <w:r w:rsidR="00292422" w:rsidRPr="00292422">
        <w:rPr>
          <w:rFonts w:asciiTheme="majorHAnsi" w:hAnsiTheme="majorHAnsi" w:cstheme="minorHAnsi"/>
          <w:lang w:val="en"/>
        </w:rPr>
        <w:t xml:space="preserve"> exhibited linear pharmacokinetics with dose-proportional increase in exposure over a dose range of 5 to 2400 mg given as an intravenous injection or over a dose range of 120 to 400 mg given as a subcutaneous injection, in patients with ulcerative colitis or in healthy volunteers. There was no apparent accumulation in serum mirikizumab concentration over time when given subcutaneously every 4 weeks.</w:t>
      </w:r>
    </w:p>
    <w:p w14:paraId="41C5AC7B" w14:textId="68ADB14F" w:rsidR="00292422" w:rsidRPr="00292422" w:rsidRDefault="00292422" w:rsidP="00292422">
      <w:pPr>
        <w:rPr>
          <w:rFonts w:asciiTheme="majorHAnsi" w:hAnsiTheme="majorHAnsi" w:cstheme="minorHAnsi"/>
          <w:lang w:val="en"/>
        </w:rPr>
      </w:pPr>
      <w:r w:rsidRPr="00292422">
        <w:rPr>
          <w:rFonts w:asciiTheme="majorHAnsi" w:hAnsiTheme="majorHAnsi" w:cstheme="minorHAnsi"/>
          <w:lang w:val="en"/>
        </w:rPr>
        <w:t>Mean (coefficient variation [CV%]) C</w:t>
      </w:r>
      <w:r w:rsidRPr="0059222A">
        <w:rPr>
          <w:rFonts w:asciiTheme="majorHAnsi" w:hAnsiTheme="majorHAnsi" w:cstheme="minorHAnsi"/>
          <w:vertAlign w:val="subscript"/>
          <w:lang w:val="en"/>
        </w:rPr>
        <w:t>max</w:t>
      </w:r>
      <w:r w:rsidRPr="00292422">
        <w:rPr>
          <w:rFonts w:asciiTheme="majorHAnsi" w:hAnsiTheme="majorHAnsi" w:cstheme="minorHAnsi"/>
          <w:lang w:val="en"/>
        </w:rPr>
        <w:t xml:space="preserve"> and area under the curve (AUC) after induction dosing (300 mg every 4 weeks administered by intravenous infusion) in patients with ulcerative colitis were 99.7 (22.7) µg/mL and 538 (34.4) µg*day/mL, respectively. The mean (CV%) C</w:t>
      </w:r>
      <w:r w:rsidRPr="0059222A">
        <w:rPr>
          <w:rFonts w:asciiTheme="majorHAnsi" w:hAnsiTheme="majorHAnsi" w:cstheme="minorHAnsi"/>
          <w:vertAlign w:val="subscript"/>
          <w:lang w:val="en"/>
        </w:rPr>
        <w:t>max</w:t>
      </w:r>
      <w:r w:rsidRPr="00292422">
        <w:rPr>
          <w:rFonts w:asciiTheme="majorHAnsi" w:hAnsiTheme="majorHAnsi" w:cstheme="minorHAnsi"/>
          <w:lang w:val="en"/>
        </w:rPr>
        <w:t xml:space="preserve"> and AUC after maintenance dosing (200 mg every 4 weeks by subcutaneous injection) were 10.1 (52.1) µg/mL and 160 (57.6) µg*day/mL, respectively.</w:t>
      </w:r>
    </w:p>
    <w:p w14:paraId="66FEF898" w14:textId="169DBAA0" w:rsidR="00F14D14" w:rsidRDefault="0021200F" w:rsidP="000E16F7">
      <w:pPr>
        <w:pStyle w:val="Heading3"/>
        <w:spacing w:before="0" w:after="120"/>
        <w:ind w:left="0"/>
        <w:rPr>
          <w:rFonts w:cstheme="minorHAnsi"/>
        </w:rPr>
      </w:pPr>
      <w:r w:rsidRPr="00497C85">
        <w:rPr>
          <w:rFonts w:cstheme="minorHAnsi"/>
        </w:rPr>
        <w:t>Absorption</w:t>
      </w:r>
      <w:r w:rsidR="0012736B">
        <w:rPr>
          <w:rFonts w:cstheme="minorHAnsi"/>
        </w:rPr>
        <w:fldChar w:fldCharType="begin"/>
      </w:r>
      <w:r w:rsidR="0012736B">
        <w:rPr>
          <w:rFonts w:cstheme="minorHAnsi"/>
        </w:rPr>
        <w:instrText xml:space="preserve"> DOCVARIABLE vault_nd_998a8b85-ae9e-40ba-8798-544e1599184c \* MERGEFORMAT </w:instrText>
      </w:r>
      <w:r w:rsidR="0012736B">
        <w:rPr>
          <w:rFonts w:cstheme="minorHAnsi"/>
        </w:rPr>
        <w:fldChar w:fldCharType="separate"/>
      </w:r>
      <w:r w:rsidR="0012736B">
        <w:rPr>
          <w:rFonts w:cstheme="minorHAnsi"/>
        </w:rPr>
        <w:t xml:space="preserve"> </w:t>
      </w:r>
      <w:r w:rsidR="0012736B">
        <w:rPr>
          <w:rFonts w:cstheme="minorHAnsi"/>
        </w:rPr>
        <w:fldChar w:fldCharType="end"/>
      </w:r>
    </w:p>
    <w:p w14:paraId="6ED819F1" w14:textId="7258F6B7" w:rsidR="002C553C" w:rsidRPr="00EA2414" w:rsidRDefault="002C553C" w:rsidP="000E16F7">
      <w:pPr>
        <w:rPr>
          <w:rFonts w:asciiTheme="majorHAnsi" w:hAnsiTheme="majorHAnsi" w:cstheme="minorHAnsi"/>
          <w:lang w:val="en"/>
        </w:rPr>
      </w:pPr>
      <w:r w:rsidRPr="00EA2414">
        <w:rPr>
          <w:rFonts w:asciiTheme="majorHAnsi" w:hAnsiTheme="majorHAnsi" w:cstheme="minorHAnsi"/>
          <w:lang w:val="en"/>
        </w:rPr>
        <w:t>Following subcutaneous dosing of OMVOH, peak serum concentrations were achieved 2-3 days post dose with an estimated absolute bioavailability of 44%.</w:t>
      </w:r>
    </w:p>
    <w:p w14:paraId="057BCB79" w14:textId="63B03044" w:rsidR="0021200F" w:rsidRPr="00EA2414" w:rsidRDefault="002C553C" w:rsidP="000E16F7">
      <w:pPr>
        <w:rPr>
          <w:rFonts w:asciiTheme="majorHAnsi" w:hAnsiTheme="majorHAnsi" w:cstheme="minorHAnsi"/>
          <w:lang w:val="en"/>
        </w:rPr>
      </w:pPr>
      <w:r w:rsidRPr="00EA2414">
        <w:rPr>
          <w:rFonts w:asciiTheme="majorHAnsi" w:hAnsiTheme="majorHAnsi" w:cstheme="minorHAnsi"/>
          <w:lang w:val="en"/>
        </w:rPr>
        <w:t>Injection site location did not significantly influence absorption of mirikizumab</w:t>
      </w:r>
      <w:r w:rsidR="000C38EE" w:rsidRPr="00EA2414">
        <w:rPr>
          <w:rFonts w:asciiTheme="majorHAnsi" w:hAnsiTheme="majorHAnsi" w:cstheme="minorHAnsi"/>
          <w:lang w:val="en"/>
        </w:rPr>
        <w:t>.</w:t>
      </w:r>
      <w:r w:rsidRPr="00EA2414">
        <w:rPr>
          <w:rFonts w:asciiTheme="majorHAnsi" w:hAnsiTheme="majorHAnsi" w:cstheme="minorHAnsi"/>
          <w:lang w:val="en"/>
        </w:rPr>
        <w:t xml:space="preserve"> </w:t>
      </w:r>
    </w:p>
    <w:p w14:paraId="793999D3" w14:textId="5FA663B5" w:rsidR="0021200F" w:rsidRDefault="0021200F" w:rsidP="000E16F7">
      <w:pPr>
        <w:pStyle w:val="Heading3"/>
        <w:spacing w:before="0" w:after="120"/>
        <w:ind w:left="0"/>
        <w:rPr>
          <w:rFonts w:cstheme="minorHAnsi"/>
          <w:b w:val="0"/>
        </w:rPr>
      </w:pPr>
      <w:r w:rsidRPr="00497C85">
        <w:rPr>
          <w:rFonts w:cstheme="minorHAnsi"/>
        </w:rPr>
        <w:t>Distribution</w:t>
      </w:r>
      <w:r w:rsidR="0012736B">
        <w:rPr>
          <w:rFonts w:cstheme="minorHAnsi"/>
        </w:rPr>
        <w:fldChar w:fldCharType="begin"/>
      </w:r>
      <w:r w:rsidR="0012736B">
        <w:rPr>
          <w:rFonts w:cstheme="minorHAnsi"/>
        </w:rPr>
        <w:instrText xml:space="preserve"> DOCVARIABLE vault_nd_c15342bf-e9df-4a6f-882f-1b588a6e9ab3 \* MERGEFORMAT </w:instrText>
      </w:r>
      <w:r w:rsidR="0012736B">
        <w:rPr>
          <w:rFonts w:cstheme="minorHAnsi"/>
        </w:rPr>
        <w:fldChar w:fldCharType="separate"/>
      </w:r>
      <w:r w:rsidR="0012736B">
        <w:rPr>
          <w:rFonts w:cstheme="minorHAnsi"/>
        </w:rPr>
        <w:t xml:space="preserve"> </w:t>
      </w:r>
      <w:r w:rsidR="0012736B">
        <w:rPr>
          <w:rFonts w:cstheme="minorHAnsi"/>
        </w:rPr>
        <w:fldChar w:fldCharType="end"/>
      </w:r>
    </w:p>
    <w:p w14:paraId="05AD137F" w14:textId="7B0DAC20" w:rsidR="00EA2414" w:rsidRPr="00F34142" w:rsidRDefault="00F34142" w:rsidP="000E16F7">
      <w:pPr>
        <w:rPr>
          <w:rFonts w:asciiTheme="majorHAnsi" w:hAnsiTheme="majorHAnsi" w:cstheme="minorHAnsi"/>
          <w:lang w:val="en"/>
        </w:rPr>
      </w:pPr>
      <w:r w:rsidRPr="00F34142">
        <w:rPr>
          <w:rFonts w:asciiTheme="majorHAnsi" w:hAnsiTheme="majorHAnsi" w:cstheme="minorHAnsi"/>
          <w:lang w:val="en"/>
        </w:rPr>
        <w:t>The mean total volume of distribution was 4.83 L.</w:t>
      </w:r>
    </w:p>
    <w:p w14:paraId="31CF2EB0" w14:textId="07B4D796" w:rsidR="0021200F" w:rsidRDefault="0021200F" w:rsidP="000E16F7">
      <w:pPr>
        <w:pStyle w:val="Heading3"/>
        <w:spacing w:before="0" w:after="120"/>
        <w:ind w:left="0"/>
        <w:rPr>
          <w:rFonts w:cstheme="minorHAnsi"/>
          <w:b w:val="0"/>
        </w:rPr>
      </w:pPr>
      <w:r w:rsidRPr="00497C85">
        <w:rPr>
          <w:rFonts w:cstheme="minorHAnsi"/>
        </w:rPr>
        <w:t>Metabolism</w:t>
      </w:r>
      <w:r w:rsidR="0012736B">
        <w:rPr>
          <w:rFonts w:cstheme="minorHAnsi"/>
        </w:rPr>
        <w:fldChar w:fldCharType="begin"/>
      </w:r>
      <w:r w:rsidR="0012736B">
        <w:rPr>
          <w:rFonts w:cstheme="minorHAnsi"/>
        </w:rPr>
        <w:instrText xml:space="preserve"> DOCVARIABLE vault_nd_415b35ef-e25c-4af6-9d47-5100eb7f1807 \* MERGEFORMAT </w:instrText>
      </w:r>
      <w:r w:rsidR="0012736B">
        <w:rPr>
          <w:rFonts w:cstheme="minorHAnsi"/>
        </w:rPr>
        <w:fldChar w:fldCharType="separate"/>
      </w:r>
      <w:r w:rsidR="0012736B">
        <w:rPr>
          <w:rFonts w:cstheme="minorHAnsi"/>
        </w:rPr>
        <w:t xml:space="preserve"> </w:t>
      </w:r>
      <w:r w:rsidR="0012736B">
        <w:rPr>
          <w:rFonts w:cstheme="minorHAnsi"/>
        </w:rPr>
        <w:fldChar w:fldCharType="end"/>
      </w:r>
    </w:p>
    <w:p w14:paraId="22B8C7DC" w14:textId="70D10A6A" w:rsidR="00B93977" w:rsidRPr="00B93977" w:rsidRDefault="00B93977" w:rsidP="000E16F7">
      <w:pPr>
        <w:rPr>
          <w:rFonts w:asciiTheme="majorHAnsi" w:hAnsiTheme="majorHAnsi" w:cstheme="minorHAnsi"/>
          <w:lang w:val="en"/>
        </w:rPr>
      </w:pPr>
      <w:r w:rsidRPr="00B93977">
        <w:rPr>
          <w:rFonts w:asciiTheme="majorHAnsi" w:hAnsiTheme="majorHAnsi" w:cstheme="minorHAnsi"/>
          <w:lang w:val="en"/>
        </w:rPr>
        <w:t>Mirikizumab is a humanized IgG4 monoclonal antibody and is expected to be degraded into small peptides and amino acids via catabolic pathways in the same manner as endogenous IgG.</w:t>
      </w:r>
    </w:p>
    <w:p w14:paraId="743ED34D" w14:textId="67AE6DD8" w:rsidR="0021200F" w:rsidRDefault="0021200F" w:rsidP="000E16F7">
      <w:pPr>
        <w:pStyle w:val="Heading3"/>
        <w:spacing w:before="0" w:after="120"/>
        <w:ind w:left="0"/>
        <w:rPr>
          <w:rFonts w:cstheme="minorHAnsi"/>
          <w:b w:val="0"/>
        </w:rPr>
      </w:pPr>
      <w:r w:rsidRPr="00497C85">
        <w:rPr>
          <w:rFonts w:cstheme="minorHAnsi"/>
        </w:rPr>
        <w:t>Excretion</w:t>
      </w:r>
      <w:r w:rsidR="0012736B">
        <w:rPr>
          <w:rFonts w:cstheme="minorHAnsi"/>
        </w:rPr>
        <w:fldChar w:fldCharType="begin"/>
      </w:r>
      <w:r w:rsidR="0012736B">
        <w:rPr>
          <w:rFonts w:cstheme="minorHAnsi"/>
        </w:rPr>
        <w:instrText xml:space="preserve"> DOCVARIABLE vault_nd_499f8946-b8de-436f-8c86-2594938ecc88 \* MERGEFORMAT </w:instrText>
      </w:r>
      <w:r w:rsidR="0012736B">
        <w:rPr>
          <w:rFonts w:cstheme="minorHAnsi"/>
        </w:rPr>
        <w:fldChar w:fldCharType="separate"/>
      </w:r>
      <w:r w:rsidR="0012736B">
        <w:rPr>
          <w:rFonts w:cstheme="minorHAnsi"/>
        </w:rPr>
        <w:t xml:space="preserve"> </w:t>
      </w:r>
      <w:r w:rsidR="0012736B">
        <w:rPr>
          <w:rFonts w:cstheme="minorHAnsi"/>
        </w:rPr>
        <w:fldChar w:fldCharType="end"/>
      </w:r>
    </w:p>
    <w:p w14:paraId="6456A484" w14:textId="3F0F15D1" w:rsidR="00712727" w:rsidRDefault="000B6A7E" w:rsidP="000E16F7">
      <w:pPr>
        <w:rPr>
          <w:rFonts w:asciiTheme="majorHAnsi" w:hAnsiTheme="majorHAnsi" w:cstheme="minorHAnsi"/>
          <w:lang w:val="en"/>
        </w:rPr>
      </w:pPr>
      <w:r w:rsidRPr="000B6A7E">
        <w:rPr>
          <w:rFonts w:asciiTheme="majorHAnsi" w:hAnsiTheme="majorHAnsi" w:cstheme="minorHAnsi"/>
          <w:lang w:val="en"/>
        </w:rPr>
        <w:t>In the population PK analysis, mean clearance was 0.0229 L/hr and the mean half-life is 9.3 days in patients with ulcerative colitis. Clearance is independent of dose.</w:t>
      </w:r>
    </w:p>
    <w:p w14:paraId="109DBA4F" w14:textId="570A40DA" w:rsidR="00712727" w:rsidRPr="00712727" w:rsidRDefault="00712727" w:rsidP="00712727">
      <w:pPr>
        <w:rPr>
          <w:rFonts w:asciiTheme="majorHAnsi" w:hAnsiTheme="majorHAnsi" w:cstheme="minorHAnsi"/>
          <w:u w:val="single"/>
          <w:lang w:val="en"/>
        </w:rPr>
      </w:pPr>
      <w:r w:rsidRPr="00712727">
        <w:rPr>
          <w:rFonts w:asciiTheme="majorHAnsi" w:hAnsiTheme="majorHAnsi" w:cstheme="minorHAnsi"/>
          <w:u w:val="single"/>
          <w:lang w:val="en"/>
        </w:rPr>
        <w:t>Specific Populations</w:t>
      </w:r>
    </w:p>
    <w:p w14:paraId="0E012A0A" w14:textId="77777777" w:rsidR="00712727" w:rsidRPr="00712727" w:rsidRDefault="00712727" w:rsidP="00712727">
      <w:pPr>
        <w:rPr>
          <w:rFonts w:asciiTheme="majorHAnsi" w:hAnsiTheme="majorHAnsi" w:cstheme="minorHAnsi"/>
          <w:lang w:val="en"/>
        </w:rPr>
      </w:pPr>
      <w:r w:rsidRPr="00712727">
        <w:rPr>
          <w:rFonts w:asciiTheme="majorHAnsi" w:hAnsiTheme="majorHAnsi" w:cstheme="minorHAnsi"/>
          <w:lang w:val="en"/>
        </w:rPr>
        <w:t>Age, Sex, Weight, Race, Ethnicity</w:t>
      </w:r>
    </w:p>
    <w:p w14:paraId="77F6E154" w14:textId="7951045C" w:rsidR="00712727" w:rsidRDefault="00712727" w:rsidP="00914E53">
      <w:pPr>
        <w:rPr>
          <w:rFonts w:asciiTheme="majorHAnsi" w:hAnsiTheme="majorHAnsi" w:cstheme="minorHAnsi"/>
          <w:lang w:val="en"/>
        </w:rPr>
      </w:pPr>
      <w:r w:rsidRPr="00712727">
        <w:rPr>
          <w:rFonts w:asciiTheme="majorHAnsi" w:hAnsiTheme="majorHAnsi" w:cstheme="minorHAnsi"/>
          <w:lang w:val="en"/>
        </w:rPr>
        <w:t>Population pharmacokinetic analysis showed that age, sex, weight, or race/ethnicity did not have a significant effect on the pharmacokinetics of mirikizumab.</w:t>
      </w:r>
    </w:p>
    <w:p w14:paraId="293D281C" w14:textId="500129AA" w:rsidR="001A3992" w:rsidRPr="00EC3C40" w:rsidRDefault="001A3992" w:rsidP="001A3992">
      <w:pPr>
        <w:pStyle w:val="Heading2"/>
        <w:spacing w:before="0" w:after="120"/>
        <w:rPr>
          <w:lang w:val="en-US"/>
        </w:rPr>
      </w:pPr>
      <w:bookmarkStart w:id="11" w:name="_Ref101856310"/>
      <w:r w:rsidRPr="00EC3C40">
        <w:rPr>
          <w:lang w:val="en-US"/>
        </w:rPr>
        <w:lastRenderedPageBreak/>
        <w:t>Preclinical safety data</w:t>
      </w:r>
      <w:bookmarkEnd w:id="11"/>
      <w:r w:rsidR="0012736B">
        <w:rPr>
          <w:lang w:val="en-US"/>
        </w:rPr>
        <w:fldChar w:fldCharType="begin"/>
      </w:r>
      <w:r w:rsidR="0012736B">
        <w:rPr>
          <w:lang w:val="en-US"/>
        </w:rPr>
        <w:instrText xml:space="preserve"> DOCVARIABLE vault_nd_4812abbc-82fc-4166-a0cf-b629806527f2 \* MERGEFORMAT </w:instrText>
      </w:r>
      <w:r w:rsidR="0012736B">
        <w:rPr>
          <w:lang w:val="en-US"/>
        </w:rPr>
        <w:fldChar w:fldCharType="separate"/>
      </w:r>
      <w:r w:rsidR="0012736B">
        <w:rPr>
          <w:lang w:val="en-US"/>
        </w:rPr>
        <w:t xml:space="preserve"> </w:t>
      </w:r>
      <w:r w:rsidR="0012736B">
        <w:rPr>
          <w:lang w:val="en-US"/>
        </w:rPr>
        <w:fldChar w:fldCharType="end"/>
      </w:r>
    </w:p>
    <w:p w14:paraId="2A388CD2" w14:textId="0C4FB8A4" w:rsidR="001A3992" w:rsidRDefault="001A3992" w:rsidP="00F63EFF">
      <w:pPr>
        <w:pStyle w:val="Heading3"/>
        <w:spacing w:before="0" w:after="120"/>
        <w:ind w:left="0"/>
      </w:pPr>
      <w:r w:rsidRPr="00B878CC">
        <w:t>Genotoxicity</w:t>
      </w:r>
      <w:fldSimple w:instr="DOCVARIABLE vault_nd_02fb1a28-877f-4c4e-a909-5a679d70dd61 \* MERGEFORMAT">
        <w:r w:rsidR="0012736B">
          <w:t xml:space="preserve"> </w:t>
        </w:r>
      </w:fldSimple>
    </w:p>
    <w:p w14:paraId="7AD055CA" w14:textId="773F891E" w:rsidR="00023647" w:rsidRPr="00407901" w:rsidRDefault="00D35673" w:rsidP="005B7CB0">
      <w:pPr>
        <w:rPr>
          <w:rFonts w:asciiTheme="majorHAnsi" w:hAnsiTheme="majorHAnsi" w:cstheme="minorHAnsi"/>
          <w:lang w:val="en"/>
        </w:rPr>
      </w:pPr>
      <w:r w:rsidRPr="00407901">
        <w:rPr>
          <w:rFonts w:asciiTheme="majorHAnsi" w:hAnsiTheme="majorHAnsi" w:cstheme="minorHAnsi"/>
          <w:lang w:val="en"/>
        </w:rPr>
        <w:t>Genoto</w:t>
      </w:r>
      <w:r w:rsidR="005B7CB0" w:rsidRPr="00407901">
        <w:rPr>
          <w:rFonts w:asciiTheme="majorHAnsi" w:hAnsiTheme="majorHAnsi" w:cstheme="minorHAnsi"/>
          <w:lang w:val="en"/>
        </w:rPr>
        <w:t xml:space="preserve">xicity studies have not been conducted </w:t>
      </w:r>
      <w:r w:rsidR="005953D8" w:rsidRPr="00407901">
        <w:rPr>
          <w:rFonts w:asciiTheme="majorHAnsi" w:hAnsiTheme="majorHAnsi" w:cstheme="minorHAnsi"/>
          <w:lang w:val="en"/>
        </w:rPr>
        <w:t xml:space="preserve">with mirikizumab. As mirikizumab is a monoclonal antibody, it is not </w:t>
      </w:r>
      <w:r w:rsidR="00BA6DDD" w:rsidRPr="00407901">
        <w:rPr>
          <w:rFonts w:asciiTheme="majorHAnsi" w:hAnsiTheme="majorHAnsi" w:cstheme="minorHAnsi"/>
          <w:lang w:val="en"/>
        </w:rPr>
        <w:t xml:space="preserve">expected to interact directly with DNA. </w:t>
      </w:r>
    </w:p>
    <w:p w14:paraId="567F152D" w14:textId="35ABFCB9" w:rsidR="001A3992" w:rsidRDefault="001A3992" w:rsidP="00F63EFF">
      <w:pPr>
        <w:pStyle w:val="Heading3"/>
        <w:spacing w:before="0" w:after="120"/>
        <w:ind w:left="0"/>
        <w:rPr>
          <w:lang w:val="en-US"/>
        </w:rPr>
      </w:pPr>
      <w:r w:rsidRPr="00B878CC">
        <w:t>Carcin</w:t>
      </w:r>
      <w:r w:rsidRPr="00B878CC">
        <w:rPr>
          <w:lang w:val="en-US"/>
        </w:rPr>
        <w:t>ogenicity</w:t>
      </w:r>
      <w:r w:rsidR="0012736B">
        <w:rPr>
          <w:lang w:val="en-US"/>
        </w:rPr>
        <w:fldChar w:fldCharType="begin"/>
      </w:r>
      <w:r w:rsidR="0012736B">
        <w:rPr>
          <w:lang w:val="en-US"/>
        </w:rPr>
        <w:instrText xml:space="preserve"> DOCVARIABLE vault_nd_1f9b9697-1f26-45c4-8b9a-d3648170ed6c \* MERGEFORMAT </w:instrText>
      </w:r>
      <w:r w:rsidR="0012736B">
        <w:rPr>
          <w:lang w:val="en-US"/>
        </w:rPr>
        <w:fldChar w:fldCharType="separate"/>
      </w:r>
      <w:r w:rsidR="0012736B">
        <w:rPr>
          <w:lang w:val="en-US"/>
        </w:rPr>
        <w:t xml:space="preserve"> </w:t>
      </w:r>
      <w:r w:rsidR="0012736B">
        <w:rPr>
          <w:lang w:val="en-US"/>
        </w:rPr>
        <w:fldChar w:fldCharType="end"/>
      </w:r>
    </w:p>
    <w:p w14:paraId="20F770FB" w14:textId="4A845ABD" w:rsidR="0011693E" w:rsidRDefault="003760FE" w:rsidP="00F63EFF">
      <w:pPr>
        <w:rPr>
          <w:rFonts w:asciiTheme="majorHAnsi" w:hAnsiTheme="majorHAnsi" w:cstheme="minorHAnsi"/>
          <w:lang w:val="en"/>
        </w:rPr>
      </w:pPr>
      <w:r>
        <w:rPr>
          <w:rFonts w:asciiTheme="majorHAnsi" w:hAnsiTheme="majorHAnsi" w:cstheme="minorHAnsi"/>
          <w:lang w:val="en"/>
        </w:rPr>
        <w:t xml:space="preserve">Animal </w:t>
      </w:r>
      <w:r w:rsidR="00D85BC2" w:rsidRPr="00D85BC2">
        <w:rPr>
          <w:rFonts w:asciiTheme="majorHAnsi" w:hAnsiTheme="majorHAnsi" w:cstheme="minorHAnsi"/>
          <w:lang w:val="en"/>
        </w:rPr>
        <w:t>studies have not been conducted to evaluate the carcinogenic potential of mirikizumab</w:t>
      </w:r>
      <w:r w:rsidR="00983C45">
        <w:rPr>
          <w:rFonts w:asciiTheme="majorHAnsi" w:hAnsiTheme="majorHAnsi" w:cstheme="minorHAnsi"/>
          <w:lang w:val="en"/>
        </w:rPr>
        <w:t>.</w:t>
      </w:r>
    </w:p>
    <w:p w14:paraId="645C44B9" w14:textId="1E94A664" w:rsidR="001A3992" w:rsidRPr="00013A95" w:rsidRDefault="001A3992" w:rsidP="001A3992">
      <w:pPr>
        <w:pStyle w:val="Heading1"/>
        <w:spacing w:before="0" w:after="120"/>
        <w:rPr>
          <w:lang w:val="en-US"/>
        </w:rPr>
      </w:pPr>
      <w:r w:rsidRPr="00013A95">
        <w:rPr>
          <w:lang w:val="en-US"/>
        </w:rPr>
        <w:t>Pharmaceutical particulars</w:t>
      </w:r>
      <w:r w:rsidR="0012736B" w:rsidRPr="00013A95">
        <w:rPr>
          <w:lang w:val="en-US"/>
        </w:rPr>
        <w:fldChar w:fldCharType="begin"/>
      </w:r>
      <w:r w:rsidR="0012736B" w:rsidRPr="00013A95">
        <w:rPr>
          <w:lang w:val="en-US"/>
        </w:rPr>
        <w:instrText xml:space="preserve"> DOCVARIABLE VAULT_ND_57418619-4533-4617-851e-4ec371b140ff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42C56431" w14:textId="5B81495A" w:rsidR="005B2812" w:rsidRPr="00497C85" w:rsidRDefault="005B2812" w:rsidP="005B2812">
      <w:pPr>
        <w:pStyle w:val="Heading2"/>
        <w:spacing w:before="0" w:after="120"/>
        <w:rPr>
          <w:rFonts w:cstheme="minorHAnsi"/>
          <w:lang w:val="en-US"/>
        </w:rPr>
      </w:pPr>
      <w:bookmarkStart w:id="12" w:name="_Ref101513910"/>
      <w:r w:rsidRPr="00497C85">
        <w:rPr>
          <w:rFonts w:cstheme="minorHAnsi"/>
          <w:lang w:val="en-US"/>
        </w:rPr>
        <w:t>List of excipients</w:t>
      </w:r>
      <w:bookmarkEnd w:id="12"/>
      <w:r w:rsidR="0012736B">
        <w:rPr>
          <w:rFonts w:cstheme="minorHAnsi"/>
          <w:lang w:val="en-US"/>
        </w:rPr>
        <w:fldChar w:fldCharType="begin"/>
      </w:r>
      <w:r w:rsidR="0012736B">
        <w:rPr>
          <w:rFonts w:cstheme="minorHAnsi"/>
          <w:lang w:val="en-US"/>
        </w:rPr>
        <w:instrText xml:space="preserve"> DOCVARIABLE vault_nd_ed4125a3-8d18-44f6-b64e-df8cf19997a4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24CB2E39" w14:textId="77777777" w:rsidR="0055009F" w:rsidRDefault="0055009F" w:rsidP="00D451E4">
      <w:pPr>
        <w:spacing w:after="120" w:line="240" w:lineRule="auto"/>
        <w:rPr>
          <w:rFonts w:asciiTheme="majorHAnsi" w:hAnsiTheme="majorHAnsi" w:cstheme="minorHAnsi"/>
          <w:lang w:val="en"/>
        </w:rPr>
      </w:pPr>
      <w:r>
        <w:rPr>
          <w:rFonts w:asciiTheme="majorHAnsi" w:hAnsiTheme="majorHAnsi" w:cstheme="minorHAnsi"/>
          <w:lang w:val="en"/>
        </w:rPr>
        <w:t>Sodium Chloride</w:t>
      </w:r>
    </w:p>
    <w:p w14:paraId="4A7FDEAE" w14:textId="36058164" w:rsidR="00463915" w:rsidRDefault="001E4057" w:rsidP="00D451E4">
      <w:pPr>
        <w:spacing w:after="120" w:line="240" w:lineRule="auto"/>
        <w:rPr>
          <w:rFonts w:asciiTheme="majorHAnsi" w:hAnsiTheme="majorHAnsi" w:cstheme="minorHAnsi"/>
          <w:lang w:val="en"/>
        </w:rPr>
      </w:pPr>
      <w:r>
        <w:rPr>
          <w:rFonts w:asciiTheme="majorHAnsi" w:hAnsiTheme="majorHAnsi" w:cstheme="minorHAnsi"/>
          <w:lang w:val="en"/>
        </w:rPr>
        <w:t>Sodium citrate dihydrate</w:t>
      </w:r>
    </w:p>
    <w:p w14:paraId="0C41AEFA" w14:textId="4FA96B8B" w:rsidR="001E4057" w:rsidRDefault="00062297" w:rsidP="00D451E4">
      <w:pPr>
        <w:spacing w:after="120" w:line="240" w:lineRule="auto"/>
        <w:rPr>
          <w:rFonts w:asciiTheme="majorHAnsi" w:hAnsiTheme="majorHAnsi" w:cstheme="minorHAnsi"/>
          <w:lang w:val="en"/>
        </w:rPr>
      </w:pPr>
      <w:r>
        <w:rPr>
          <w:rFonts w:asciiTheme="majorHAnsi" w:hAnsiTheme="majorHAnsi" w:cstheme="minorHAnsi"/>
          <w:lang w:val="en"/>
        </w:rPr>
        <w:t xml:space="preserve">Citric acid </w:t>
      </w:r>
    </w:p>
    <w:p w14:paraId="3CEA033C" w14:textId="0478DCAB" w:rsidR="00062297" w:rsidRDefault="00062297" w:rsidP="00D451E4">
      <w:pPr>
        <w:spacing w:after="120" w:line="240" w:lineRule="auto"/>
        <w:rPr>
          <w:rFonts w:asciiTheme="majorHAnsi" w:hAnsiTheme="majorHAnsi" w:cstheme="minorHAnsi"/>
          <w:lang w:val="en"/>
        </w:rPr>
      </w:pPr>
      <w:r>
        <w:rPr>
          <w:rFonts w:asciiTheme="majorHAnsi" w:hAnsiTheme="majorHAnsi" w:cstheme="minorHAnsi"/>
          <w:lang w:val="en"/>
        </w:rPr>
        <w:t>Polysorbate 80</w:t>
      </w:r>
    </w:p>
    <w:p w14:paraId="2BB647B1" w14:textId="135B4C25" w:rsidR="00062297" w:rsidRDefault="00062297" w:rsidP="00D451E4">
      <w:pPr>
        <w:spacing w:after="120" w:line="240" w:lineRule="auto"/>
        <w:rPr>
          <w:rFonts w:asciiTheme="majorHAnsi" w:hAnsiTheme="majorHAnsi" w:cstheme="minorHAnsi"/>
          <w:lang w:val="en"/>
        </w:rPr>
      </w:pPr>
      <w:r>
        <w:rPr>
          <w:rFonts w:asciiTheme="majorHAnsi" w:hAnsiTheme="majorHAnsi" w:cstheme="minorHAnsi"/>
          <w:lang w:val="en"/>
        </w:rPr>
        <w:t>Water for Injection</w:t>
      </w:r>
      <w:r w:rsidR="00A37AB9">
        <w:rPr>
          <w:rFonts w:asciiTheme="majorHAnsi" w:hAnsiTheme="majorHAnsi" w:cstheme="minorHAnsi"/>
          <w:lang w:val="en"/>
        </w:rPr>
        <w:t>s</w:t>
      </w:r>
    </w:p>
    <w:p w14:paraId="372018C4" w14:textId="2B6FE371" w:rsidR="005B2812" w:rsidRPr="00497C85" w:rsidRDefault="005B2812" w:rsidP="005B2812">
      <w:pPr>
        <w:pStyle w:val="Heading2"/>
        <w:keepNext/>
        <w:keepLines/>
        <w:spacing w:before="0" w:after="120"/>
        <w:rPr>
          <w:rFonts w:cstheme="minorHAnsi"/>
          <w:lang w:val="en-US"/>
        </w:rPr>
      </w:pPr>
      <w:r w:rsidRPr="00497C85">
        <w:rPr>
          <w:rFonts w:cstheme="minorHAnsi"/>
          <w:lang w:val="en-US"/>
        </w:rPr>
        <w:t>Incompatibilities</w:t>
      </w:r>
      <w:r w:rsidR="0012736B">
        <w:rPr>
          <w:rFonts w:cstheme="minorHAnsi"/>
          <w:lang w:val="en-US"/>
        </w:rPr>
        <w:fldChar w:fldCharType="begin"/>
      </w:r>
      <w:r w:rsidR="0012736B">
        <w:rPr>
          <w:rFonts w:cstheme="minorHAnsi"/>
          <w:lang w:val="en-US"/>
        </w:rPr>
        <w:instrText xml:space="preserve"> DOCVARIABLE vault_nd_456e19fa-998c-4b46-8c74-134cf0c58be0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6562DDB5" w14:textId="48EDA1B1" w:rsidR="005B2812" w:rsidRPr="00497C85" w:rsidRDefault="005B2812" w:rsidP="005B2812">
      <w:pPr>
        <w:rPr>
          <w:rFonts w:asciiTheme="majorHAnsi" w:hAnsiTheme="majorHAnsi" w:cstheme="minorHAnsi"/>
          <w:lang w:val="en-US"/>
        </w:rPr>
      </w:pPr>
      <w:r w:rsidRPr="00497C85">
        <w:rPr>
          <w:rFonts w:asciiTheme="majorHAnsi" w:hAnsiTheme="majorHAnsi" w:cstheme="minorHAnsi"/>
          <w:lang w:val="en"/>
        </w:rPr>
        <w:t xml:space="preserve">Incompatibilities were either not assessed or not identified as part of the registration of this medicine. </w:t>
      </w:r>
    </w:p>
    <w:p w14:paraId="1CE06609" w14:textId="113A2092" w:rsidR="005B2812" w:rsidRPr="00497C85" w:rsidRDefault="005B2812" w:rsidP="005B2812">
      <w:pPr>
        <w:pStyle w:val="Heading2"/>
        <w:spacing w:before="0" w:after="120"/>
        <w:rPr>
          <w:rFonts w:cstheme="minorHAnsi"/>
          <w:lang w:val="en-US"/>
        </w:rPr>
      </w:pPr>
      <w:r w:rsidRPr="00497C85">
        <w:rPr>
          <w:rFonts w:cstheme="minorHAnsi"/>
          <w:lang w:val="en-US"/>
        </w:rPr>
        <w:t>Shelf life</w:t>
      </w:r>
      <w:r w:rsidR="0012736B">
        <w:rPr>
          <w:rFonts w:cstheme="minorHAnsi"/>
          <w:lang w:val="en-US"/>
        </w:rPr>
        <w:fldChar w:fldCharType="begin"/>
      </w:r>
      <w:r w:rsidR="0012736B">
        <w:rPr>
          <w:rFonts w:cstheme="minorHAnsi"/>
          <w:lang w:val="en-US"/>
        </w:rPr>
        <w:instrText xml:space="preserve"> DOCVARIABLE vault_nd_a03cc022-defe-45a6-84eb-4c941a24ab95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67B735B8" w14:textId="66F48E91" w:rsidR="005B2812" w:rsidRDefault="005B2812" w:rsidP="003116BA">
      <w:pPr>
        <w:rPr>
          <w:rFonts w:asciiTheme="majorHAnsi" w:hAnsiTheme="majorHAnsi" w:cstheme="minorHAnsi"/>
          <w:lang w:val="en"/>
        </w:rPr>
      </w:pPr>
      <w:r w:rsidRPr="00497C85">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7A94B47F" w14:textId="061008E4" w:rsidR="005B2812" w:rsidRDefault="005B2812" w:rsidP="005B2812">
      <w:pPr>
        <w:pStyle w:val="Heading2"/>
        <w:keepNext/>
        <w:keepLines/>
        <w:spacing w:before="0" w:after="120"/>
        <w:rPr>
          <w:rFonts w:cstheme="minorHAnsi"/>
          <w:lang w:val="en-US"/>
        </w:rPr>
      </w:pPr>
      <w:r w:rsidRPr="00497C85">
        <w:rPr>
          <w:rFonts w:cstheme="minorHAnsi"/>
          <w:lang w:val="en-US"/>
        </w:rPr>
        <w:t>Special precautions for storage</w:t>
      </w:r>
      <w:r w:rsidR="0012736B">
        <w:rPr>
          <w:rFonts w:cstheme="minorHAnsi"/>
          <w:lang w:val="en-US"/>
        </w:rPr>
        <w:fldChar w:fldCharType="begin"/>
      </w:r>
      <w:r w:rsidR="0012736B">
        <w:rPr>
          <w:rFonts w:cstheme="minorHAnsi"/>
          <w:lang w:val="en-US"/>
        </w:rPr>
        <w:instrText xml:space="preserve"> DOCVARIABLE vault_nd_689c152e-ad13-40cb-bd45-9d719d5c9f19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7696DB25" w14:textId="54705E4E" w:rsidR="00421AEA" w:rsidRPr="003B5EB4" w:rsidRDefault="00514BFE" w:rsidP="00421AEA">
      <w:pPr>
        <w:rPr>
          <w:rFonts w:asciiTheme="majorHAnsi" w:hAnsiTheme="majorHAnsi" w:cstheme="minorHAnsi"/>
          <w:u w:val="single"/>
          <w:lang w:val="en"/>
        </w:rPr>
      </w:pPr>
      <w:r>
        <w:rPr>
          <w:rFonts w:asciiTheme="majorHAnsi" w:hAnsiTheme="majorHAnsi" w:cstheme="minorHAnsi"/>
          <w:u w:val="single"/>
          <w:lang w:val="en"/>
        </w:rPr>
        <w:t>Un</w:t>
      </w:r>
      <w:r w:rsidR="00483238">
        <w:rPr>
          <w:rFonts w:asciiTheme="majorHAnsi" w:hAnsiTheme="majorHAnsi" w:cstheme="minorHAnsi"/>
          <w:u w:val="single"/>
          <w:lang w:val="en"/>
        </w:rPr>
        <w:t>o</w:t>
      </w:r>
      <w:r>
        <w:rPr>
          <w:rFonts w:asciiTheme="majorHAnsi" w:hAnsiTheme="majorHAnsi" w:cstheme="minorHAnsi"/>
          <w:u w:val="single"/>
          <w:lang w:val="en"/>
        </w:rPr>
        <w:t xml:space="preserve">pened </w:t>
      </w:r>
      <w:r w:rsidR="003B5EB4" w:rsidRPr="003B5EB4">
        <w:rPr>
          <w:rFonts w:asciiTheme="majorHAnsi" w:hAnsiTheme="majorHAnsi" w:cstheme="minorHAnsi"/>
          <w:u w:val="single"/>
          <w:lang w:val="en"/>
        </w:rPr>
        <w:t>Vial</w:t>
      </w:r>
    </w:p>
    <w:p w14:paraId="6D84A14A" w14:textId="4F052211" w:rsidR="005115CB" w:rsidRPr="00AD24C5" w:rsidRDefault="005115CB" w:rsidP="00407901">
      <w:pPr>
        <w:rPr>
          <w:lang w:val="en-US"/>
        </w:rPr>
      </w:pPr>
      <w:r w:rsidRPr="00407901">
        <w:rPr>
          <w:rFonts w:asciiTheme="majorHAnsi" w:hAnsiTheme="majorHAnsi"/>
          <w:lang w:val="en-US"/>
        </w:rPr>
        <w:t>Store refrigerated at 2°C to 8°C in the original carton to protect from light until time of dilution</w:t>
      </w:r>
      <w:r w:rsidR="00B33D54" w:rsidRPr="00407901">
        <w:rPr>
          <w:rFonts w:asciiTheme="majorHAnsi" w:hAnsiTheme="majorHAnsi"/>
          <w:lang w:val="en-US"/>
        </w:rPr>
        <w:t>. Do not freeze.</w:t>
      </w:r>
      <w:r w:rsidRPr="005115CB">
        <w:rPr>
          <w:lang w:val="en-US"/>
        </w:rPr>
        <w:tab/>
      </w:r>
    </w:p>
    <w:p w14:paraId="026483DB" w14:textId="12F8B9A6" w:rsidR="00E06A9D" w:rsidRPr="002636BA" w:rsidRDefault="001C5838" w:rsidP="005115CB">
      <w:pPr>
        <w:rPr>
          <w:rFonts w:asciiTheme="majorHAnsi" w:hAnsiTheme="majorHAnsi" w:cstheme="minorHAnsi"/>
          <w:u w:val="single"/>
          <w:lang w:val="en"/>
        </w:rPr>
      </w:pPr>
      <w:r>
        <w:rPr>
          <w:rFonts w:asciiTheme="majorHAnsi" w:hAnsiTheme="majorHAnsi" w:cstheme="minorHAnsi"/>
          <w:u w:val="single"/>
          <w:lang w:val="en"/>
        </w:rPr>
        <w:t>Diluted</w:t>
      </w:r>
      <w:r w:rsidRPr="002636BA">
        <w:rPr>
          <w:rFonts w:asciiTheme="majorHAnsi" w:hAnsiTheme="majorHAnsi" w:cstheme="minorHAnsi"/>
          <w:u w:val="single"/>
          <w:lang w:val="en"/>
        </w:rPr>
        <w:t xml:space="preserve"> </w:t>
      </w:r>
      <w:r w:rsidR="002636BA" w:rsidRPr="002636BA">
        <w:rPr>
          <w:rFonts w:asciiTheme="majorHAnsi" w:hAnsiTheme="majorHAnsi" w:cstheme="minorHAnsi"/>
          <w:u w:val="single"/>
          <w:lang w:val="en"/>
        </w:rPr>
        <w:t>infusion solution</w:t>
      </w:r>
    </w:p>
    <w:p w14:paraId="66BF93F7" w14:textId="77777777" w:rsidR="00E177F9" w:rsidRDefault="00E177F9" w:rsidP="00B07DD1">
      <w:pPr>
        <w:rPr>
          <w:rFonts w:asciiTheme="majorHAnsi" w:hAnsiTheme="majorHAnsi"/>
          <w:lang w:val="en-US"/>
        </w:rPr>
      </w:pPr>
      <w:r w:rsidRPr="00FF72DE">
        <w:rPr>
          <w:rFonts w:asciiTheme="majorHAnsi" w:hAnsiTheme="majorHAnsi"/>
          <w:lang w:val="en-US"/>
        </w:rPr>
        <w:t>Mirikizumab is diluted in either 0.9% (9 mg/mL) sodium chloride injection or 5% (50 mg/mL) dextrose (or glucose) injection. If not used immediately, store the dosing solution under refrigerated conditions at 2°C to 8°C.</w:t>
      </w:r>
      <w:r w:rsidRPr="00197B60">
        <w:rPr>
          <w:rFonts w:asciiTheme="majorHAnsi" w:hAnsiTheme="majorHAnsi"/>
          <w:lang w:val="en-US"/>
        </w:rPr>
        <w:t xml:space="preserve"> </w:t>
      </w:r>
    </w:p>
    <w:p w14:paraId="2749ECBE" w14:textId="1630BC96" w:rsidR="00ED273C" w:rsidRDefault="00B07DD1" w:rsidP="00B07DD1">
      <w:pPr>
        <w:rPr>
          <w:rFonts w:asciiTheme="majorHAnsi" w:hAnsiTheme="majorHAnsi" w:cstheme="minorHAnsi"/>
          <w:lang w:val="en"/>
        </w:rPr>
      </w:pPr>
      <w:r w:rsidRPr="00B07DD1">
        <w:rPr>
          <w:rFonts w:asciiTheme="majorHAnsi" w:hAnsiTheme="majorHAnsi" w:cstheme="minorHAnsi"/>
          <w:lang w:val="en"/>
        </w:rPr>
        <w:t xml:space="preserve">It is recommended to start the infusion immediately after preparation. </w:t>
      </w:r>
    </w:p>
    <w:p w14:paraId="6231251E" w14:textId="66017A71" w:rsidR="001E1B79" w:rsidRPr="00407901" w:rsidRDefault="001812EC" w:rsidP="00D451E4">
      <w:pPr>
        <w:pStyle w:val="ListParagraph"/>
        <w:numPr>
          <w:ilvl w:val="0"/>
          <w:numId w:val="14"/>
        </w:numPr>
        <w:spacing w:after="120" w:line="240" w:lineRule="auto"/>
        <w:ind w:left="714" w:hanging="357"/>
        <w:rPr>
          <w:rFonts w:asciiTheme="majorHAnsi" w:hAnsiTheme="majorHAnsi" w:cstheme="minorHAnsi"/>
          <w:lang w:val="en-US"/>
        </w:rPr>
      </w:pPr>
      <w:r w:rsidRPr="00407901">
        <w:rPr>
          <w:rFonts w:asciiTheme="majorHAnsi" w:hAnsiTheme="majorHAnsi" w:cstheme="minorHAnsi"/>
          <w:lang w:val="en-US"/>
        </w:rPr>
        <w:t>Do not freeze. Do not use if frozen</w:t>
      </w:r>
    </w:p>
    <w:p w14:paraId="7DF2731B" w14:textId="650A9A1F" w:rsidR="001E1B79" w:rsidRPr="00407901" w:rsidRDefault="001812EC" w:rsidP="00407901">
      <w:pPr>
        <w:pStyle w:val="ListParagraph"/>
        <w:numPr>
          <w:ilvl w:val="0"/>
          <w:numId w:val="14"/>
        </w:numPr>
        <w:rPr>
          <w:rFonts w:asciiTheme="majorHAnsi" w:hAnsiTheme="majorHAnsi"/>
          <w:lang w:val="en-US"/>
        </w:rPr>
      </w:pPr>
      <w:r w:rsidRPr="00A55533">
        <w:rPr>
          <w:rFonts w:asciiTheme="majorHAnsi" w:hAnsiTheme="majorHAnsi"/>
          <w:lang w:val="en-US"/>
        </w:rPr>
        <w:t xml:space="preserve">Do not shake </w:t>
      </w:r>
    </w:p>
    <w:p w14:paraId="407AD37C" w14:textId="159CF42C" w:rsidR="001E1B79" w:rsidRPr="00407901" w:rsidRDefault="001812EC" w:rsidP="00D451E4">
      <w:pPr>
        <w:pStyle w:val="ListParagraph"/>
        <w:numPr>
          <w:ilvl w:val="0"/>
          <w:numId w:val="14"/>
        </w:numPr>
        <w:ind w:right="-188"/>
        <w:rPr>
          <w:lang w:val="en-US"/>
        </w:rPr>
      </w:pPr>
      <w:r w:rsidRPr="00A55533">
        <w:rPr>
          <w:rFonts w:asciiTheme="majorHAnsi" w:hAnsiTheme="majorHAnsi"/>
          <w:lang w:val="en-US"/>
        </w:rPr>
        <w:t>Do not shake the diluted solution in the prepared infusion bag (gently invert the infusion bag to mix)</w:t>
      </w:r>
    </w:p>
    <w:p w14:paraId="59099119" w14:textId="41500677" w:rsidR="009C3555" w:rsidRPr="001E1B79" w:rsidRDefault="001812EC" w:rsidP="00407901">
      <w:pPr>
        <w:pStyle w:val="ListParagraph"/>
        <w:numPr>
          <w:ilvl w:val="0"/>
          <w:numId w:val="14"/>
        </w:numPr>
        <w:rPr>
          <w:lang w:val="en-US"/>
        </w:rPr>
      </w:pPr>
      <w:r w:rsidRPr="00A55533">
        <w:rPr>
          <w:rFonts w:asciiTheme="majorHAnsi" w:hAnsiTheme="majorHAnsi"/>
          <w:lang w:val="en-US"/>
        </w:rPr>
        <w:t>Do not freeze the diluted solution in the prepared infusion bag</w:t>
      </w:r>
    </w:p>
    <w:p w14:paraId="4412BE7C" w14:textId="04638988" w:rsidR="00ED273C" w:rsidRPr="00407901" w:rsidRDefault="009C3555" w:rsidP="00B07DD1">
      <w:pPr>
        <w:rPr>
          <w:rFonts w:asciiTheme="majorHAnsi" w:hAnsiTheme="majorHAnsi" w:cstheme="minorHAnsi"/>
          <w:u w:val="single"/>
          <w:lang w:val="en-US"/>
        </w:rPr>
      </w:pPr>
      <w:r w:rsidRPr="009C3555">
        <w:rPr>
          <w:rFonts w:asciiTheme="majorHAnsi" w:hAnsiTheme="majorHAnsi" w:cstheme="minorHAnsi"/>
          <w:u w:val="single"/>
          <w:lang w:val="en"/>
        </w:rPr>
        <w:lastRenderedPageBreak/>
        <w:t>Saline solution</w:t>
      </w:r>
    </w:p>
    <w:p w14:paraId="135FCB09" w14:textId="24417AB6" w:rsidR="00803FF2" w:rsidRDefault="00803FF2" w:rsidP="00803FF2">
      <w:pPr>
        <w:rPr>
          <w:rFonts w:asciiTheme="majorHAnsi" w:hAnsiTheme="majorHAnsi"/>
          <w:lang w:val="en"/>
        </w:rPr>
      </w:pPr>
      <w:r w:rsidRPr="6E369CA1">
        <w:rPr>
          <w:rFonts w:asciiTheme="majorHAnsi" w:hAnsiTheme="majorHAnsi"/>
          <w:lang w:val="en"/>
        </w:rPr>
        <w:t xml:space="preserve">If not used immediately, OMVOH </w:t>
      </w:r>
      <w:r w:rsidRPr="3F05CA2A">
        <w:rPr>
          <w:rFonts w:asciiTheme="majorHAnsi" w:hAnsiTheme="majorHAnsi"/>
          <w:lang w:val="en"/>
        </w:rPr>
        <w:t>300</w:t>
      </w:r>
      <w:r w:rsidR="46BF0418" w:rsidRPr="3F05CA2A">
        <w:rPr>
          <w:rFonts w:asciiTheme="majorHAnsi" w:hAnsiTheme="majorHAnsi"/>
          <w:lang w:val="en"/>
        </w:rPr>
        <w:t xml:space="preserve"> </w:t>
      </w:r>
      <w:r w:rsidRPr="3F05CA2A">
        <w:rPr>
          <w:rFonts w:asciiTheme="majorHAnsi" w:hAnsiTheme="majorHAnsi"/>
          <w:lang w:val="en"/>
        </w:rPr>
        <w:t>mg</w:t>
      </w:r>
      <w:r w:rsidRPr="6E369CA1">
        <w:rPr>
          <w:rFonts w:asciiTheme="majorHAnsi" w:hAnsiTheme="majorHAnsi"/>
          <w:lang w:val="en"/>
        </w:rPr>
        <w:t xml:space="preserve"> solution prepared with 0.9% saline may be stored refrigerated (2</w:t>
      </w:r>
      <w:r w:rsidR="00A32761" w:rsidRPr="00FF72DE">
        <w:rPr>
          <w:rFonts w:asciiTheme="majorHAnsi" w:hAnsiTheme="majorHAnsi"/>
          <w:lang w:val="en-US"/>
        </w:rPr>
        <w:t>°</w:t>
      </w:r>
      <w:r w:rsidRPr="6E369CA1">
        <w:rPr>
          <w:rFonts w:asciiTheme="majorHAnsi" w:hAnsiTheme="majorHAnsi"/>
          <w:lang w:val="en"/>
        </w:rPr>
        <w:t>C to 8</w:t>
      </w:r>
      <w:r w:rsidR="009E6449" w:rsidRPr="00FF72DE">
        <w:rPr>
          <w:rFonts w:asciiTheme="majorHAnsi" w:hAnsiTheme="majorHAnsi"/>
          <w:lang w:val="en-US"/>
        </w:rPr>
        <w:t>°</w:t>
      </w:r>
      <w:r w:rsidRPr="6E369CA1">
        <w:rPr>
          <w:rFonts w:asciiTheme="majorHAnsi" w:hAnsiTheme="majorHAnsi"/>
          <w:lang w:val="en"/>
        </w:rPr>
        <w:t>C) for a maximum of 96 hours or at room temperature (</w:t>
      </w:r>
      <w:r w:rsidR="48DDD1EB" w:rsidRPr="3D6F50B2">
        <w:rPr>
          <w:rFonts w:asciiTheme="majorHAnsi" w:hAnsiTheme="majorHAnsi"/>
          <w:lang w:val="en"/>
        </w:rPr>
        <w:t xml:space="preserve">not exceeding </w:t>
      </w:r>
      <w:r w:rsidRPr="6E369CA1">
        <w:rPr>
          <w:rFonts w:asciiTheme="majorHAnsi" w:hAnsiTheme="majorHAnsi"/>
          <w:lang w:val="en"/>
        </w:rPr>
        <w:t>25</w:t>
      </w:r>
      <w:r w:rsidR="009E6449" w:rsidRPr="00FF72DE">
        <w:rPr>
          <w:rFonts w:asciiTheme="majorHAnsi" w:hAnsiTheme="majorHAnsi"/>
          <w:lang w:val="en-US"/>
        </w:rPr>
        <w:t>°</w:t>
      </w:r>
      <w:r w:rsidRPr="6E369CA1">
        <w:rPr>
          <w:rFonts w:asciiTheme="majorHAnsi" w:hAnsiTheme="majorHAnsi"/>
          <w:lang w:val="en"/>
        </w:rPr>
        <w:t>C) for a maximum of 10 hours.</w:t>
      </w:r>
    </w:p>
    <w:p w14:paraId="23F169C1" w14:textId="60AAAC81" w:rsidR="009412B7" w:rsidRDefault="009B5BF5" w:rsidP="001812EC">
      <w:pPr>
        <w:rPr>
          <w:lang w:val="en-US"/>
        </w:rPr>
      </w:pPr>
      <w:r w:rsidRPr="00407901">
        <w:rPr>
          <w:rFonts w:asciiTheme="majorHAnsi" w:hAnsiTheme="majorHAnsi" w:cstheme="minorHAnsi"/>
          <w:u w:val="single"/>
          <w:lang w:val="en"/>
        </w:rPr>
        <w:t>Dextrose (or Glucose) solution</w:t>
      </w:r>
    </w:p>
    <w:p w14:paraId="72E59F5D" w14:textId="47367CF8" w:rsidR="00601086" w:rsidRDefault="009412B7" w:rsidP="001812EC">
      <w:pPr>
        <w:rPr>
          <w:rFonts w:asciiTheme="majorHAnsi" w:hAnsiTheme="majorHAnsi"/>
          <w:lang w:val="en-US"/>
        </w:rPr>
      </w:pPr>
      <w:r w:rsidRPr="00407901">
        <w:rPr>
          <w:rFonts w:asciiTheme="majorHAnsi" w:hAnsiTheme="majorHAnsi"/>
          <w:lang w:val="en"/>
        </w:rPr>
        <w:t>If not used immediately,</w:t>
      </w:r>
      <w:r>
        <w:rPr>
          <w:lang w:val="en-US"/>
        </w:rPr>
        <w:t xml:space="preserve"> </w:t>
      </w:r>
      <w:r w:rsidR="00D87074">
        <w:rPr>
          <w:rFonts w:asciiTheme="majorHAnsi" w:hAnsiTheme="majorHAnsi"/>
          <w:lang w:val="en"/>
        </w:rPr>
        <w:t xml:space="preserve">OMVOH 300 mg </w:t>
      </w:r>
      <w:r w:rsidR="00D87074" w:rsidRPr="0080722A">
        <w:rPr>
          <w:rFonts w:asciiTheme="majorHAnsi" w:hAnsiTheme="majorHAnsi"/>
          <w:lang w:val="en"/>
        </w:rPr>
        <w:t>solution prepared with 5% dextrose (or glucose) may be stored refrigerated (2</w:t>
      </w:r>
      <w:r w:rsidR="009E6449" w:rsidRPr="00FF72DE">
        <w:rPr>
          <w:rFonts w:asciiTheme="majorHAnsi" w:hAnsiTheme="majorHAnsi"/>
          <w:lang w:val="en-US"/>
        </w:rPr>
        <w:t>°</w:t>
      </w:r>
      <w:r w:rsidR="00D87074" w:rsidRPr="0080722A">
        <w:rPr>
          <w:rFonts w:asciiTheme="majorHAnsi" w:hAnsiTheme="majorHAnsi"/>
          <w:lang w:val="en"/>
        </w:rPr>
        <w:t>C</w:t>
      </w:r>
      <w:r w:rsidR="00D87074">
        <w:rPr>
          <w:rFonts w:asciiTheme="majorHAnsi" w:hAnsiTheme="majorHAnsi"/>
          <w:lang w:val="en"/>
        </w:rPr>
        <w:t xml:space="preserve"> to </w:t>
      </w:r>
      <w:r w:rsidR="00D87074" w:rsidRPr="0080722A">
        <w:rPr>
          <w:rFonts w:asciiTheme="majorHAnsi" w:hAnsiTheme="majorHAnsi"/>
          <w:lang w:val="en"/>
        </w:rPr>
        <w:t>8</w:t>
      </w:r>
      <w:r w:rsidR="009E6449" w:rsidRPr="00FF72DE">
        <w:rPr>
          <w:rFonts w:asciiTheme="majorHAnsi" w:hAnsiTheme="majorHAnsi"/>
          <w:lang w:val="en-US"/>
        </w:rPr>
        <w:t>°</w:t>
      </w:r>
      <w:r w:rsidR="00D87074" w:rsidRPr="0080722A">
        <w:rPr>
          <w:rFonts w:asciiTheme="majorHAnsi" w:hAnsiTheme="majorHAnsi"/>
          <w:lang w:val="en"/>
        </w:rPr>
        <w:t xml:space="preserve">C) for </w:t>
      </w:r>
      <w:r w:rsidR="00D87074">
        <w:rPr>
          <w:rFonts w:asciiTheme="majorHAnsi" w:hAnsiTheme="majorHAnsi"/>
          <w:lang w:val="en"/>
        </w:rPr>
        <w:t xml:space="preserve">a maximum of </w:t>
      </w:r>
      <w:r w:rsidR="00D87074" w:rsidRPr="0080722A">
        <w:rPr>
          <w:rFonts w:asciiTheme="majorHAnsi" w:hAnsiTheme="majorHAnsi"/>
          <w:lang w:val="en"/>
        </w:rPr>
        <w:t>48 hours or at room temperature (</w:t>
      </w:r>
      <w:r w:rsidR="6FE06D91" w:rsidRPr="00407901">
        <w:rPr>
          <w:rFonts w:asciiTheme="majorHAnsi" w:hAnsiTheme="majorHAnsi"/>
          <w:lang w:val="en"/>
        </w:rPr>
        <w:t xml:space="preserve">not </w:t>
      </w:r>
      <w:r w:rsidR="5C109E30" w:rsidRPr="04137CC1">
        <w:rPr>
          <w:rFonts w:asciiTheme="majorHAnsi" w:hAnsiTheme="majorHAnsi"/>
          <w:lang w:val="en"/>
        </w:rPr>
        <w:t>exceeding</w:t>
      </w:r>
      <w:r w:rsidR="00D87074">
        <w:rPr>
          <w:rFonts w:asciiTheme="majorHAnsi" w:hAnsiTheme="majorHAnsi"/>
          <w:lang w:val="en"/>
        </w:rPr>
        <w:t xml:space="preserve"> </w:t>
      </w:r>
      <w:r w:rsidR="00D87074" w:rsidRPr="0080722A">
        <w:rPr>
          <w:rFonts w:asciiTheme="majorHAnsi" w:hAnsiTheme="majorHAnsi"/>
          <w:lang w:val="en"/>
        </w:rPr>
        <w:t>25</w:t>
      </w:r>
      <w:r w:rsidR="003745F2" w:rsidRPr="00FF72DE">
        <w:rPr>
          <w:rFonts w:asciiTheme="majorHAnsi" w:hAnsiTheme="majorHAnsi"/>
          <w:lang w:val="en-US"/>
        </w:rPr>
        <w:t>°</w:t>
      </w:r>
      <w:r w:rsidR="00D87074" w:rsidRPr="0080722A">
        <w:rPr>
          <w:rFonts w:asciiTheme="majorHAnsi" w:hAnsiTheme="majorHAnsi"/>
          <w:lang w:val="en"/>
        </w:rPr>
        <w:t xml:space="preserve">C) for </w:t>
      </w:r>
      <w:r w:rsidR="00D87074">
        <w:rPr>
          <w:rFonts w:asciiTheme="majorHAnsi" w:hAnsiTheme="majorHAnsi"/>
          <w:lang w:val="en"/>
        </w:rPr>
        <w:t xml:space="preserve">a maximum of </w:t>
      </w:r>
      <w:r w:rsidR="00D87074" w:rsidRPr="0080722A">
        <w:rPr>
          <w:rFonts w:asciiTheme="majorHAnsi" w:hAnsiTheme="majorHAnsi"/>
          <w:lang w:val="en"/>
        </w:rPr>
        <w:t>5 hours.</w:t>
      </w:r>
    </w:p>
    <w:p w14:paraId="20086560" w14:textId="09FBD652" w:rsidR="005B36C1" w:rsidRDefault="00FD4226" w:rsidP="005B36C1">
      <w:pPr>
        <w:rPr>
          <w:rFonts w:asciiTheme="majorHAnsi" w:hAnsiTheme="majorHAnsi" w:cstheme="minorHAnsi"/>
          <w:u w:val="single"/>
          <w:lang w:val="en"/>
        </w:rPr>
      </w:pPr>
      <w:r>
        <w:rPr>
          <w:rFonts w:asciiTheme="majorHAnsi" w:hAnsiTheme="majorHAnsi" w:cstheme="minorHAnsi"/>
          <w:u w:val="single"/>
          <w:lang w:val="en"/>
        </w:rPr>
        <w:t>Autoinjector</w:t>
      </w:r>
      <w:r w:rsidR="005B36C1" w:rsidRPr="005B36C1">
        <w:rPr>
          <w:rFonts w:asciiTheme="majorHAnsi" w:hAnsiTheme="majorHAnsi" w:cstheme="minorHAnsi"/>
          <w:smallCaps/>
          <w:u w:val="single"/>
          <w:lang w:val="en"/>
        </w:rPr>
        <w:t xml:space="preserve"> </w:t>
      </w:r>
      <w:r>
        <w:rPr>
          <w:rFonts w:asciiTheme="majorHAnsi" w:hAnsiTheme="majorHAnsi" w:cstheme="minorHAnsi"/>
          <w:smallCaps/>
          <w:u w:val="single"/>
          <w:lang w:val="en"/>
        </w:rPr>
        <w:t>(</w:t>
      </w:r>
      <w:r>
        <w:rPr>
          <w:rFonts w:asciiTheme="majorHAnsi" w:hAnsiTheme="majorHAnsi" w:cstheme="minorHAnsi"/>
          <w:u w:val="single"/>
          <w:lang w:val="en"/>
        </w:rPr>
        <w:t>pre</w:t>
      </w:r>
      <w:r w:rsidR="001A049A">
        <w:rPr>
          <w:rFonts w:asciiTheme="majorHAnsi" w:hAnsiTheme="majorHAnsi" w:cstheme="minorHAnsi"/>
          <w:u w:val="single"/>
          <w:lang w:val="en"/>
        </w:rPr>
        <w:t>-</w:t>
      </w:r>
      <w:r>
        <w:rPr>
          <w:rFonts w:asciiTheme="majorHAnsi" w:hAnsiTheme="majorHAnsi" w:cstheme="minorHAnsi"/>
          <w:u w:val="single"/>
          <w:lang w:val="en"/>
        </w:rPr>
        <w:t>filled pen</w:t>
      </w:r>
      <w:r w:rsidR="00BB50D7">
        <w:rPr>
          <w:rFonts w:asciiTheme="majorHAnsi" w:hAnsiTheme="majorHAnsi" w:cstheme="minorHAnsi"/>
          <w:u w:val="single"/>
          <w:lang w:val="en"/>
        </w:rPr>
        <w:t>) and pre</w:t>
      </w:r>
      <w:r w:rsidR="001A049A">
        <w:rPr>
          <w:rFonts w:asciiTheme="majorHAnsi" w:hAnsiTheme="majorHAnsi" w:cstheme="minorHAnsi"/>
          <w:u w:val="single"/>
          <w:lang w:val="en"/>
        </w:rPr>
        <w:t>-</w:t>
      </w:r>
      <w:r w:rsidR="00BB50D7">
        <w:rPr>
          <w:rFonts w:asciiTheme="majorHAnsi" w:hAnsiTheme="majorHAnsi" w:cstheme="minorHAnsi"/>
          <w:u w:val="single"/>
          <w:lang w:val="en"/>
        </w:rPr>
        <w:t>filled syringe</w:t>
      </w:r>
    </w:p>
    <w:p w14:paraId="4BECA0AE" w14:textId="0F12E1A8" w:rsidR="00A863F4" w:rsidRPr="00A55533" w:rsidRDefault="00A863F4" w:rsidP="00407901">
      <w:pPr>
        <w:pStyle w:val="ListParagraph"/>
        <w:numPr>
          <w:ilvl w:val="0"/>
          <w:numId w:val="15"/>
        </w:numPr>
        <w:rPr>
          <w:rFonts w:asciiTheme="majorHAnsi" w:hAnsiTheme="majorHAnsi"/>
          <w:lang w:val="en-US"/>
        </w:rPr>
      </w:pPr>
      <w:r w:rsidRPr="00A55533">
        <w:rPr>
          <w:rFonts w:asciiTheme="majorHAnsi" w:hAnsiTheme="majorHAnsi"/>
          <w:lang w:val="en-US"/>
        </w:rPr>
        <w:t>Store refrigerated at 2°C to 8°C in the original carton to protect from light until use</w:t>
      </w:r>
    </w:p>
    <w:p w14:paraId="4FDD1A3D" w14:textId="6267A0CD" w:rsidR="00A863F4" w:rsidRPr="00A55533" w:rsidRDefault="00A863F4" w:rsidP="00407901">
      <w:pPr>
        <w:pStyle w:val="ListParagraph"/>
        <w:numPr>
          <w:ilvl w:val="0"/>
          <w:numId w:val="15"/>
        </w:numPr>
        <w:rPr>
          <w:rFonts w:asciiTheme="majorHAnsi" w:hAnsiTheme="majorHAnsi"/>
          <w:lang w:val="en-US"/>
        </w:rPr>
      </w:pPr>
      <w:r w:rsidRPr="00A55533">
        <w:rPr>
          <w:rFonts w:asciiTheme="majorHAnsi" w:hAnsiTheme="majorHAnsi"/>
          <w:lang w:val="en-US"/>
        </w:rPr>
        <w:t>May be stored outside of refrigeration in the original carton at not more than 30°C for up to 2 weeks. Once stored out of the refrigerator, do not place back in the refrigerator. If these conditions are exceeded, mirikizumab must be discarded.</w:t>
      </w:r>
    </w:p>
    <w:p w14:paraId="704466A1" w14:textId="3C90D035" w:rsidR="00A863F4" w:rsidRPr="00A55533" w:rsidRDefault="00A863F4" w:rsidP="00407901">
      <w:pPr>
        <w:pStyle w:val="ListParagraph"/>
        <w:numPr>
          <w:ilvl w:val="0"/>
          <w:numId w:val="15"/>
        </w:numPr>
        <w:rPr>
          <w:rFonts w:asciiTheme="majorHAnsi" w:hAnsiTheme="majorHAnsi"/>
          <w:lang w:val="en-US"/>
        </w:rPr>
      </w:pPr>
      <w:r w:rsidRPr="00A55533">
        <w:rPr>
          <w:rFonts w:asciiTheme="majorHAnsi" w:hAnsiTheme="majorHAnsi"/>
          <w:lang w:val="en-US"/>
        </w:rPr>
        <w:t>Do not freeze</w:t>
      </w:r>
      <w:r w:rsidR="0014564A" w:rsidRPr="00A55533">
        <w:rPr>
          <w:rFonts w:asciiTheme="majorHAnsi" w:hAnsiTheme="majorHAnsi"/>
          <w:lang w:val="en-US"/>
        </w:rPr>
        <w:t>.</w:t>
      </w:r>
      <w:r w:rsidRPr="00A55533">
        <w:rPr>
          <w:rFonts w:asciiTheme="majorHAnsi" w:hAnsiTheme="majorHAnsi"/>
          <w:lang w:val="en-US"/>
        </w:rPr>
        <w:t xml:space="preserve"> Do not use if frozen</w:t>
      </w:r>
    </w:p>
    <w:p w14:paraId="0B2231D7" w14:textId="1A906523" w:rsidR="00A863F4" w:rsidRPr="00A55533" w:rsidRDefault="00A863F4" w:rsidP="00407901">
      <w:pPr>
        <w:pStyle w:val="ListParagraph"/>
        <w:numPr>
          <w:ilvl w:val="0"/>
          <w:numId w:val="15"/>
        </w:numPr>
        <w:rPr>
          <w:rFonts w:asciiTheme="majorHAnsi" w:hAnsiTheme="majorHAnsi"/>
          <w:lang w:val="en-US"/>
        </w:rPr>
      </w:pPr>
      <w:r w:rsidRPr="00A55533">
        <w:rPr>
          <w:rFonts w:asciiTheme="majorHAnsi" w:hAnsiTheme="majorHAnsi"/>
          <w:lang w:val="en-US"/>
        </w:rPr>
        <w:t>Do not shake</w:t>
      </w:r>
    </w:p>
    <w:p w14:paraId="7F17D43A" w14:textId="3084A810" w:rsidR="006E3848" w:rsidRPr="00A55533" w:rsidRDefault="00A863F4" w:rsidP="00407901">
      <w:pPr>
        <w:pStyle w:val="ListParagraph"/>
        <w:numPr>
          <w:ilvl w:val="0"/>
          <w:numId w:val="15"/>
        </w:numPr>
        <w:rPr>
          <w:rFonts w:asciiTheme="majorHAnsi" w:hAnsiTheme="majorHAnsi"/>
          <w:lang w:val="en-US"/>
        </w:rPr>
      </w:pPr>
      <w:r w:rsidRPr="00A55533">
        <w:rPr>
          <w:rFonts w:asciiTheme="majorHAnsi" w:hAnsiTheme="majorHAnsi"/>
          <w:lang w:val="en-US"/>
        </w:rPr>
        <w:t>Discard autoinjector (pre</w:t>
      </w:r>
      <w:r w:rsidR="001A049A" w:rsidRPr="00A55533">
        <w:rPr>
          <w:rFonts w:asciiTheme="majorHAnsi" w:hAnsiTheme="majorHAnsi"/>
          <w:lang w:val="en-US"/>
        </w:rPr>
        <w:t>-</w:t>
      </w:r>
      <w:r w:rsidRPr="00A55533">
        <w:rPr>
          <w:rFonts w:asciiTheme="majorHAnsi" w:hAnsiTheme="majorHAnsi"/>
          <w:lang w:val="en-US"/>
        </w:rPr>
        <w:t>filled pen) or pre</w:t>
      </w:r>
      <w:r w:rsidR="001A049A" w:rsidRPr="00A55533">
        <w:rPr>
          <w:rFonts w:asciiTheme="majorHAnsi" w:hAnsiTheme="majorHAnsi"/>
          <w:lang w:val="en-US"/>
        </w:rPr>
        <w:t>-</w:t>
      </w:r>
      <w:r w:rsidRPr="00A55533">
        <w:rPr>
          <w:rFonts w:asciiTheme="majorHAnsi" w:hAnsiTheme="majorHAnsi"/>
          <w:lang w:val="en-US"/>
        </w:rPr>
        <w:t xml:space="preserve">filled syringe in </w:t>
      </w:r>
      <w:r w:rsidR="00892EA3" w:rsidRPr="00A55533">
        <w:rPr>
          <w:rFonts w:asciiTheme="majorHAnsi" w:hAnsiTheme="majorHAnsi"/>
          <w:lang w:val="en-US"/>
        </w:rPr>
        <w:t xml:space="preserve">sharps </w:t>
      </w:r>
      <w:r w:rsidRPr="00A55533">
        <w:rPr>
          <w:rFonts w:asciiTheme="majorHAnsi" w:hAnsiTheme="majorHAnsi"/>
          <w:lang w:val="en-US"/>
        </w:rPr>
        <w:t>container</w:t>
      </w:r>
      <w:r w:rsidR="00476B92" w:rsidRPr="00A55533">
        <w:rPr>
          <w:rFonts w:asciiTheme="majorHAnsi" w:hAnsiTheme="majorHAnsi"/>
          <w:lang w:val="en-US"/>
        </w:rPr>
        <w:t>.</w:t>
      </w:r>
    </w:p>
    <w:p w14:paraId="35DD787A" w14:textId="19801052" w:rsidR="005B2812" w:rsidRDefault="005B2812" w:rsidP="005B2812">
      <w:pPr>
        <w:pStyle w:val="Heading2"/>
        <w:spacing w:before="0" w:after="120"/>
        <w:rPr>
          <w:rFonts w:cstheme="minorHAnsi"/>
          <w:lang w:val="en-US"/>
        </w:rPr>
      </w:pPr>
      <w:r w:rsidRPr="00497C85">
        <w:rPr>
          <w:rFonts w:cstheme="minorHAnsi"/>
          <w:lang w:val="en-US"/>
        </w:rPr>
        <w:t>Nature and contents of container</w:t>
      </w:r>
      <w:r w:rsidR="0012736B">
        <w:rPr>
          <w:rFonts w:cstheme="minorHAnsi"/>
          <w:lang w:val="en-US"/>
        </w:rPr>
        <w:fldChar w:fldCharType="begin"/>
      </w:r>
      <w:r w:rsidR="0012736B">
        <w:rPr>
          <w:rFonts w:cstheme="minorHAnsi"/>
          <w:lang w:val="en-US"/>
        </w:rPr>
        <w:instrText xml:space="preserve"> DOCVARIABLE vault_nd_45f0ffb4-7036-4ad8-808f-47d20c1ede8b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1535B671" w14:textId="164E693F" w:rsidR="00115F23" w:rsidRPr="00B10275" w:rsidRDefault="00C84100" w:rsidP="00115F23">
      <w:pPr>
        <w:rPr>
          <w:rFonts w:asciiTheme="majorHAnsi" w:hAnsiTheme="majorHAnsi" w:cstheme="minorHAnsi"/>
          <w:u w:val="single"/>
          <w:lang w:val="en"/>
        </w:rPr>
      </w:pPr>
      <w:r w:rsidRPr="00B10275">
        <w:rPr>
          <w:rFonts w:asciiTheme="majorHAnsi" w:hAnsiTheme="majorHAnsi" w:cstheme="minorHAnsi"/>
          <w:u w:val="single"/>
          <w:lang w:val="en"/>
        </w:rPr>
        <w:t>Vial</w:t>
      </w:r>
    </w:p>
    <w:p w14:paraId="5928610A" w14:textId="68D191D4" w:rsidR="00C84100" w:rsidRDefault="00A66B76" w:rsidP="00115F23">
      <w:pPr>
        <w:rPr>
          <w:rFonts w:asciiTheme="majorHAnsi" w:hAnsiTheme="majorHAnsi" w:cstheme="minorHAnsi"/>
          <w:lang w:val="en"/>
        </w:rPr>
      </w:pPr>
      <w:r w:rsidRPr="00B10275">
        <w:rPr>
          <w:rFonts w:asciiTheme="majorHAnsi" w:hAnsiTheme="majorHAnsi" w:cstheme="minorHAnsi"/>
          <w:lang w:val="en"/>
        </w:rPr>
        <w:t xml:space="preserve">OMVOH </w:t>
      </w:r>
      <w:r w:rsidR="00AF2347">
        <w:rPr>
          <w:rFonts w:asciiTheme="majorHAnsi" w:hAnsiTheme="majorHAnsi" w:cstheme="minorHAnsi"/>
          <w:lang w:val="en"/>
        </w:rPr>
        <w:t xml:space="preserve">300 mg/15 mL </w:t>
      </w:r>
      <w:r w:rsidRPr="00B10275">
        <w:rPr>
          <w:rFonts w:asciiTheme="majorHAnsi" w:hAnsiTheme="majorHAnsi" w:cstheme="minorHAnsi"/>
          <w:lang w:val="en"/>
        </w:rPr>
        <w:t xml:space="preserve">is supplied in </w:t>
      </w:r>
      <w:r w:rsidR="007E22AC" w:rsidRPr="00B10275">
        <w:rPr>
          <w:rFonts w:asciiTheme="majorHAnsi" w:hAnsiTheme="majorHAnsi" w:cstheme="minorHAnsi"/>
          <w:lang w:val="en"/>
        </w:rPr>
        <w:t>a single use glass vial</w:t>
      </w:r>
      <w:r w:rsidR="003B42DB" w:rsidRPr="00B10275">
        <w:rPr>
          <w:rFonts w:asciiTheme="majorHAnsi" w:hAnsiTheme="majorHAnsi" w:cstheme="minorHAnsi"/>
          <w:lang w:val="en"/>
        </w:rPr>
        <w:t xml:space="preserve"> with a </w:t>
      </w:r>
      <w:r w:rsidR="00B10275" w:rsidRPr="00B10275">
        <w:rPr>
          <w:rFonts w:asciiTheme="majorHAnsi" w:hAnsiTheme="majorHAnsi" w:cstheme="minorHAnsi"/>
          <w:lang w:val="en"/>
        </w:rPr>
        <w:t xml:space="preserve">rubber </w:t>
      </w:r>
      <w:r w:rsidR="003B42DB" w:rsidRPr="00B10275">
        <w:rPr>
          <w:rFonts w:asciiTheme="majorHAnsi" w:hAnsiTheme="majorHAnsi" w:cstheme="minorHAnsi"/>
          <w:lang w:val="en"/>
        </w:rPr>
        <w:t>stopper</w:t>
      </w:r>
      <w:r w:rsidR="00615D2D">
        <w:rPr>
          <w:rFonts w:asciiTheme="majorHAnsi" w:hAnsiTheme="majorHAnsi" w:cstheme="minorHAnsi"/>
          <w:lang w:val="en"/>
        </w:rPr>
        <w:t>.</w:t>
      </w:r>
      <w:r w:rsidR="001B735B" w:rsidRPr="00B10275">
        <w:rPr>
          <w:rFonts w:asciiTheme="majorHAnsi" w:hAnsiTheme="majorHAnsi" w:cstheme="minorHAnsi"/>
          <w:lang w:val="en"/>
        </w:rPr>
        <w:t xml:space="preserve"> </w:t>
      </w:r>
      <w:r w:rsidR="008B6C0E">
        <w:rPr>
          <w:rFonts w:asciiTheme="majorHAnsi" w:hAnsiTheme="majorHAnsi" w:cstheme="minorHAnsi"/>
          <w:lang w:val="en"/>
        </w:rPr>
        <w:t>The stopper is not made with natural rubber latex.</w:t>
      </w:r>
    </w:p>
    <w:p w14:paraId="58687265" w14:textId="4E2F2CF1" w:rsidR="00E7000D" w:rsidRDefault="00E7000D" w:rsidP="00115F23">
      <w:pPr>
        <w:rPr>
          <w:rFonts w:asciiTheme="majorHAnsi" w:hAnsiTheme="majorHAnsi" w:cstheme="minorHAnsi"/>
          <w:lang w:val="en"/>
        </w:rPr>
      </w:pPr>
      <w:r>
        <w:rPr>
          <w:rFonts w:asciiTheme="majorHAnsi" w:hAnsiTheme="majorHAnsi" w:cstheme="minorHAnsi"/>
          <w:lang w:val="en"/>
        </w:rPr>
        <w:t>OMVOH is available in pack</w:t>
      </w:r>
      <w:r w:rsidR="0083760F">
        <w:rPr>
          <w:rFonts w:asciiTheme="majorHAnsi" w:hAnsiTheme="majorHAnsi" w:cstheme="minorHAnsi"/>
          <w:lang w:val="en"/>
        </w:rPr>
        <w:t xml:space="preserve"> size of 1 vial</w:t>
      </w:r>
      <w:r w:rsidR="00BA472D">
        <w:rPr>
          <w:rFonts w:asciiTheme="majorHAnsi" w:hAnsiTheme="majorHAnsi" w:cstheme="minorHAnsi"/>
          <w:lang w:val="en"/>
        </w:rPr>
        <w:t>.</w:t>
      </w:r>
    </w:p>
    <w:p w14:paraId="4554E9B3" w14:textId="2331FCB0" w:rsidR="00EB6472" w:rsidRDefault="008F504A" w:rsidP="00115F23">
      <w:pPr>
        <w:rPr>
          <w:rFonts w:asciiTheme="majorHAnsi" w:hAnsiTheme="majorHAnsi" w:cstheme="minorHAnsi"/>
          <w:u w:val="single"/>
          <w:lang w:val="en"/>
        </w:rPr>
      </w:pPr>
      <w:r w:rsidRPr="008F504A">
        <w:rPr>
          <w:rFonts w:asciiTheme="majorHAnsi" w:hAnsiTheme="majorHAnsi" w:cstheme="minorHAnsi"/>
          <w:u w:val="single"/>
          <w:lang w:val="en"/>
        </w:rPr>
        <w:t>Autoinjector (</w:t>
      </w:r>
      <w:r w:rsidR="004F683F">
        <w:rPr>
          <w:rFonts w:asciiTheme="majorHAnsi" w:hAnsiTheme="majorHAnsi" w:cstheme="minorHAnsi"/>
          <w:u w:val="single"/>
          <w:lang w:val="en"/>
        </w:rPr>
        <w:t>p</w:t>
      </w:r>
      <w:r w:rsidR="001816DC">
        <w:rPr>
          <w:rFonts w:asciiTheme="majorHAnsi" w:hAnsiTheme="majorHAnsi" w:cstheme="minorHAnsi"/>
          <w:u w:val="single"/>
          <w:lang w:val="en"/>
        </w:rPr>
        <w:t>r</w:t>
      </w:r>
      <w:r w:rsidR="00EB6472" w:rsidRPr="008F504A">
        <w:rPr>
          <w:rFonts w:asciiTheme="majorHAnsi" w:hAnsiTheme="majorHAnsi" w:cstheme="minorHAnsi"/>
          <w:u w:val="single"/>
          <w:lang w:val="en"/>
        </w:rPr>
        <w:t>e</w:t>
      </w:r>
      <w:r w:rsidR="001A049A">
        <w:rPr>
          <w:rFonts w:asciiTheme="majorHAnsi" w:hAnsiTheme="majorHAnsi" w:cstheme="minorHAnsi"/>
          <w:u w:val="single"/>
          <w:lang w:val="en"/>
        </w:rPr>
        <w:t>-</w:t>
      </w:r>
      <w:r w:rsidR="00EB6472" w:rsidRPr="008F504A">
        <w:rPr>
          <w:rFonts w:asciiTheme="majorHAnsi" w:hAnsiTheme="majorHAnsi" w:cstheme="minorHAnsi"/>
          <w:u w:val="single"/>
          <w:lang w:val="en"/>
        </w:rPr>
        <w:t xml:space="preserve">filled </w:t>
      </w:r>
      <w:r w:rsidR="004F683F">
        <w:rPr>
          <w:rFonts w:asciiTheme="majorHAnsi" w:hAnsiTheme="majorHAnsi" w:cstheme="minorHAnsi"/>
          <w:u w:val="single"/>
          <w:lang w:val="en"/>
        </w:rPr>
        <w:t>p</w:t>
      </w:r>
      <w:r w:rsidR="00EB6472" w:rsidRPr="008F504A">
        <w:rPr>
          <w:rFonts w:asciiTheme="majorHAnsi" w:hAnsiTheme="majorHAnsi" w:cstheme="minorHAnsi"/>
          <w:u w:val="single"/>
          <w:lang w:val="en"/>
        </w:rPr>
        <w:t>en</w:t>
      </w:r>
      <w:r w:rsidRPr="008F504A">
        <w:rPr>
          <w:rFonts w:asciiTheme="majorHAnsi" w:hAnsiTheme="majorHAnsi" w:cstheme="minorHAnsi"/>
          <w:u w:val="single"/>
          <w:lang w:val="en"/>
        </w:rPr>
        <w:t>)</w:t>
      </w:r>
      <w:r w:rsidR="000853B7">
        <w:rPr>
          <w:rFonts w:asciiTheme="majorHAnsi" w:hAnsiTheme="majorHAnsi" w:cstheme="minorHAnsi"/>
          <w:u w:val="single"/>
          <w:lang w:val="en"/>
        </w:rPr>
        <w:t xml:space="preserve"> and Pre</w:t>
      </w:r>
      <w:r w:rsidR="001A049A">
        <w:rPr>
          <w:rFonts w:asciiTheme="majorHAnsi" w:hAnsiTheme="majorHAnsi" w:cstheme="minorHAnsi"/>
          <w:u w:val="single"/>
          <w:lang w:val="en"/>
        </w:rPr>
        <w:t>-</w:t>
      </w:r>
      <w:r w:rsidR="000853B7">
        <w:rPr>
          <w:rFonts w:asciiTheme="majorHAnsi" w:hAnsiTheme="majorHAnsi" w:cstheme="minorHAnsi"/>
          <w:u w:val="single"/>
          <w:lang w:val="en"/>
        </w:rPr>
        <w:t>filled Syringe</w:t>
      </w:r>
    </w:p>
    <w:p w14:paraId="657F9731" w14:textId="5958C2E3" w:rsidR="00560B99" w:rsidRDefault="0080446D" w:rsidP="00115F23">
      <w:pPr>
        <w:rPr>
          <w:rFonts w:asciiTheme="majorHAnsi" w:hAnsiTheme="majorHAnsi" w:cstheme="minorHAnsi"/>
          <w:lang w:val="en"/>
        </w:rPr>
      </w:pPr>
      <w:r>
        <w:rPr>
          <w:rFonts w:asciiTheme="majorHAnsi" w:hAnsiTheme="majorHAnsi" w:cstheme="minorHAnsi"/>
          <w:lang w:val="en"/>
        </w:rPr>
        <w:t xml:space="preserve">OMVOH </w:t>
      </w:r>
      <w:r w:rsidR="00C3662A">
        <w:rPr>
          <w:rFonts w:asciiTheme="majorHAnsi" w:hAnsiTheme="majorHAnsi" w:cstheme="minorHAnsi"/>
          <w:lang w:val="en"/>
        </w:rPr>
        <w:t xml:space="preserve">100 mg/mL </w:t>
      </w:r>
      <w:r w:rsidR="001A3D13">
        <w:rPr>
          <w:rFonts w:asciiTheme="majorHAnsi" w:hAnsiTheme="majorHAnsi" w:cstheme="minorHAnsi"/>
          <w:lang w:val="en"/>
        </w:rPr>
        <w:t xml:space="preserve">is supplied in a 1 mL </w:t>
      </w:r>
      <w:r>
        <w:rPr>
          <w:rFonts w:asciiTheme="majorHAnsi" w:hAnsiTheme="majorHAnsi" w:cstheme="minorHAnsi"/>
          <w:lang w:val="en"/>
        </w:rPr>
        <w:t>autoinjector</w:t>
      </w:r>
      <w:r w:rsidR="001A049A">
        <w:rPr>
          <w:rFonts w:asciiTheme="majorHAnsi" w:hAnsiTheme="majorHAnsi" w:cstheme="minorHAnsi"/>
          <w:lang w:val="en"/>
        </w:rPr>
        <w:t xml:space="preserve"> (pre-filled pen)</w:t>
      </w:r>
      <w:r>
        <w:rPr>
          <w:rFonts w:asciiTheme="majorHAnsi" w:hAnsiTheme="majorHAnsi" w:cstheme="minorHAnsi"/>
          <w:lang w:val="en"/>
        </w:rPr>
        <w:t xml:space="preserve"> or pre</w:t>
      </w:r>
      <w:r w:rsidR="001A049A">
        <w:rPr>
          <w:rFonts w:asciiTheme="majorHAnsi" w:hAnsiTheme="majorHAnsi" w:cstheme="minorHAnsi"/>
          <w:lang w:val="en"/>
        </w:rPr>
        <w:t>-</w:t>
      </w:r>
      <w:r>
        <w:rPr>
          <w:rFonts w:asciiTheme="majorHAnsi" w:hAnsiTheme="majorHAnsi" w:cstheme="minorHAnsi"/>
          <w:lang w:val="en"/>
        </w:rPr>
        <w:t>filled syringe</w:t>
      </w:r>
      <w:r w:rsidR="005E1809">
        <w:rPr>
          <w:rFonts w:asciiTheme="majorHAnsi" w:hAnsiTheme="majorHAnsi" w:cstheme="minorHAnsi"/>
          <w:lang w:val="en"/>
        </w:rPr>
        <w:t>.</w:t>
      </w:r>
      <w:r w:rsidR="00666641">
        <w:rPr>
          <w:rFonts w:asciiTheme="majorHAnsi" w:hAnsiTheme="majorHAnsi" w:cstheme="minorHAnsi"/>
          <w:lang w:val="en"/>
        </w:rPr>
        <w:t xml:space="preserve"> The solution i</w:t>
      </w:r>
      <w:r w:rsidR="00666641" w:rsidRPr="00666641">
        <w:rPr>
          <w:rFonts w:asciiTheme="majorHAnsi" w:hAnsiTheme="majorHAnsi" w:cstheme="minorHAnsi"/>
          <w:lang w:val="en"/>
        </w:rPr>
        <w:t>s contained in a clear glass syringe barrel with plunger.</w:t>
      </w:r>
      <w:r w:rsidR="00565085">
        <w:rPr>
          <w:rFonts w:asciiTheme="majorHAnsi" w:hAnsiTheme="majorHAnsi" w:cstheme="minorHAnsi"/>
          <w:lang w:val="en"/>
        </w:rPr>
        <w:t xml:space="preserve"> The plunger is not made with natural rubber latex.</w:t>
      </w:r>
    </w:p>
    <w:p w14:paraId="4B8DCF91" w14:textId="6A6C3FE5" w:rsidR="00BA472D" w:rsidRDefault="00B56CFF" w:rsidP="00115F23">
      <w:pPr>
        <w:rPr>
          <w:rFonts w:asciiTheme="majorHAnsi" w:hAnsiTheme="majorHAnsi" w:cstheme="minorHAnsi"/>
          <w:lang w:val="en"/>
        </w:rPr>
      </w:pPr>
      <w:r>
        <w:rPr>
          <w:rFonts w:asciiTheme="majorHAnsi" w:hAnsiTheme="majorHAnsi" w:cstheme="minorHAnsi"/>
          <w:lang w:val="en"/>
        </w:rPr>
        <w:t>OMVOH is available in pack sizes of 2, 4 or 6</w:t>
      </w:r>
      <w:r w:rsidR="00D460FA">
        <w:rPr>
          <w:rFonts w:asciiTheme="majorHAnsi" w:hAnsiTheme="majorHAnsi" w:cstheme="minorHAnsi"/>
          <w:lang w:val="en"/>
        </w:rPr>
        <w:t xml:space="preserve"> single dose autoinjector </w:t>
      </w:r>
      <w:r w:rsidR="00D17C2C">
        <w:rPr>
          <w:rFonts w:asciiTheme="majorHAnsi" w:hAnsiTheme="majorHAnsi" w:cstheme="minorHAnsi"/>
          <w:lang w:val="en"/>
        </w:rPr>
        <w:t xml:space="preserve">(pre-filled pen) </w:t>
      </w:r>
      <w:r w:rsidR="00D460FA">
        <w:rPr>
          <w:rFonts w:asciiTheme="majorHAnsi" w:hAnsiTheme="majorHAnsi" w:cstheme="minorHAnsi"/>
          <w:lang w:val="en"/>
        </w:rPr>
        <w:t>or pre</w:t>
      </w:r>
      <w:r w:rsidR="00D17C2C">
        <w:rPr>
          <w:rFonts w:asciiTheme="majorHAnsi" w:hAnsiTheme="majorHAnsi" w:cstheme="minorHAnsi"/>
          <w:lang w:val="en"/>
        </w:rPr>
        <w:t>-</w:t>
      </w:r>
      <w:r w:rsidR="00D460FA">
        <w:rPr>
          <w:rFonts w:asciiTheme="majorHAnsi" w:hAnsiTheme="majorHAnsi" w:cstheme="minorHAnsi"/>
          <w:lang w:val="en"/>
        </w:rPr>
        <w:t>filled syringe</w:t>
      </w:r>
      <w:r w:rsidR="00D460FA" w:rsidRPr="00D460FA">
        <w:rPr>
          <w:rFonts w:asciiTheme="majorHAnsi" w:hAnsiTheme="majorHAnsi" w:cstheme="minorHAnsi"/>
          <w:vertAlign w:val="superscript"/>
          <w:lang w:val="en"/>
        </w:rPr>
        <w:t>*</w:t>
      </w:r>
      <w:r w:rsidR="00D460FA">
        <w:rPr>
          <w:rFonts w:asciiTheme="majorHAnsi" w:hAnsiTheme="majorHAnsi" w:cstheme="minorHAnsi"/>
          <w:lang w:val="en"/>
        </w:rPr>
        <w:t>.</w:t>
      </w:r>
    </w:p>
    <w:p w14:paraId="5789017C" w14:textId="58275702" w:rsidR="00D460FA" w:rsidRPr="008A7FF8" w:rsidRDefault="008A7FF8" w:rsidP="008A7FF8">
      <w:pPr>
        <w:rPr>
          <w:rFonts w:asciiTheme="majorHAnsi" w:hAnsiTheme="majorHAnsi" w:cstheme="minorHAnsi"/>
          <w:lang w:val="en"/>
        </w:rPr>
      </w:pPr>
      <w:r w:rsidRPr="008A7FF8">
        <w:rPr>
          <w:rFonts w:asciiTheme="majorHAnsi" w:hAnsiTheme="majorHAnsi" w:cstheme="minorHAnsi"/>
          <w:vertAlign w:val="superscript"/>
          <w:lang w:val="en"/>
        </w:rPr>
        <w:t>*</w:t>
      </w:r>
      <w:r>
        <w:rPr>
          <w:rFonts w:asciiTheme="majorHAnsi" w:hAnsiTheme="majorHAnsi" w:cstheme="minorHAnsi"/>
          <w:lang w:val="en"/>
        </w:rPr>
        <w:t xml:space="preserve"> Not all pack sizes or presentations may be marketed.</w:t>
      </w:r>
    </w:p>
    <w:p w14:paraId="0C63C268" w14:textId="7F0127A2" w:rsidR="005B2812" w:rsidRPr="00497C85" w:rsidRDefault="005B2812" w:rsidP="005B2812">
      <w:pPr>
        <w:pStyle w:val="Heading2"/>
        <w:spacing w:before="0" w:after="120"/>
        <w:rPr>
          <w:rFonts w:cstheme="minorHAnsi"/>
          <w:lang w:val="en-US"/>
        </w:rPr>
      </w:pPr>
      <w:r w:rsidRPr="00497C85">
        <w:rPr>
          <w:rFonts w:cstheme="minorHAnsi"/>
          <w:lang w:val="en-US"/>
        </w:rPr>
        <w:t>Special precautions for disposal</w:t>
      </w:r>
      <w:r w:rsidR="0012736B">
        <w:rPr>
          <w:rFonts w:cstheme="minorHAnsi"/>
          <w:lang w:val="en-US"/>
        </w:rPr>
        <w:fldChar w:fldCharType="begin"/>
      </w:r>
      <w:r w:rsidR="0012736B">
        <w:rPr>
          <w:rFonts w:cstheme="minorHAnsi"/>
          <w:lang w:val="en-US"/>
        </w:rPr>
        <w:instrText xml:space="preserve"> DOCVARIABLE vault_nd_0903c17d-a6ac-4800-832d-ac647c90dedd \* MERGEFORMAT </w:instrText>
      </w:r>
      <w:r w:rsidR="0012736B">
        <w:rPr>
          <w:rFonts w:cstheme="minorHAnsi"/>
          <w:lang w:val="en-US"/>
        </w:rPr>
        <w:fldChar w:fldCharType="separate"/>
      </w:r>
      <w:r w:rsidR="0012736B">
        <w:rPr>
          <w:rFonts w:cstheme="minorHAnsi"/>
          <w:lang w:val="en-US"/>
        </w:rPr>
        <w:t xml:space="preserve"> </w:t>
      </w:r>
      <w:r w:rsidR="0012736B">
        <w:rPr>
          <w:rFonts w:cstheme="minorHAnsi"/>
          <w:lang w:val="en-US"/>
        </w:rPr>
        <w:fldChar w:fldCharType="end"/>
      </w:r>
    </w:p>
    <w:p w14:paraId="446A7C0A" w14:textId="1BE84EB6" w:rsidR="005B2812" w:rsidRDefault="0021200F" w:rsidP="0021200F">
      <w:pPr>
        <w:rPr>
          <w:rFonts w:asciiTheme="majorHAnsi" w:hAnsiTheme="majorHAnsi" w:cstheme="minorHAnsi"/>
          <w:lang w:val="en"/>
        </w:rPr>
      </w:pPr>
      <w:r w:rsidRPr="00497C85">
        <w:rPr>
          <w:rFonts w:asciiTheme="majorHAnsi" w:hAnsiTheme="majorHAnsi" w:cstheme="minorHAnsi"/>
          <w:lang w:val="en"/>
        </w:rPr>
        <w:t>In Australia, any unused medicine or waste material should be disposed of</w:t>
      </w:r>
      <w:r>
        <w:rPr>
          <w:rFonts w:asciiTheme="majorHAnsi" w:hAnsiTheme="majorHAnsi" w:cstheme="minorHAnsi"/>
          <w:lang w:val="en"/>
        </w:rPr>
        <w:t xml:space="preserve"> in accordance with local requirements. </w:t>
      </w:r>
    </w:p>
    <w:p w14:paraId="44255CB5" w14:textId="3442CA1D" w:rsidR="001A3992" w:rsidRPr="00EC3C40" w:rsidRDefault="001A3992" w:rsidP="001A3992">
      <w:pPr>
        <w:pStyle w:val="Heading2"/>
        <w:spacing w:before="0" w:after="120"/>
        <w:rPr>
          <w:lang w:val="en-US"/>
        </w:rPr>
      </w:pPr>
      <w:r w:rsidRPr="00EC3C40">
        <w:rPr>
          <w:lang w:val="en-US"/>
        </w:rPr>
        <w:t>Physicochemical properties</w:t>
      </w:r>
      <w:r w:rsidR="0012736B">
        <w:rPr>
          <w:lang w:val="en-US"/>
        </w:rPr>
        <w:fldChar w:fldCharType="begin"/>
      </w:r>
      <w:r w:rsidR="0012736B">
        <w:rPr>
          <w:lang w:val="en-US"/>
        </w:rPr>
        <w:instrText xml:space="preserve"> DOCVARIABLE vault_nd_0d119e17-e4fb-4130-b1c7-5636ffd23fdd \* MERGEFORMAT </w:instrText>
      </w:r>
      <w:r w:rsidR="0012736B">
        <w:rPr>
          <w:lang w:val="en-US"/>
        </w:rPr>
        <w:fldChar w:fldCharType="separate"/>
      </w:r>
      <w:r w:rsidR="0012736B">
        <w:rPr>
          <w:lang w:val="en-US"/>
        </w:rPr>
        <w:t xml:space="preserve"> </w:t>
      </w:r>
      <w:r w:rsidR="0012736B">
        <w:rPr>
          <w:lang w:val="en-US"/>
        </w:rPr>
        <w:fldChar w:fldCharType="end"/>
      </w:r>
    </w:p>
    <w:p w14:paraId="686253C2" w14:textId="5863EEB9" w:rsidR="001A3992" w:rsidRDefault="001A3992" w:rsidP="001A3992">
      <w:pPr>
        <w:pStyle w:val="Heading3"/>
        <w:spacing w:before="0" w:after="120"/>
        <w:rPr>
          <w:lang w:val="en-US"/>
        </w:rPr>
      </w:pPr>
      <w:r>
        <w:rPr>
          <w:lang w:val="en-US"/>
        </w:rPr>
        <w:lastRenderedPageBreak/>
        <w:t>Chemical structure</w:t>
      </w:r>
      <w:r w:rsidR="0012736B">
        <w:rPr>
          <w:lang w:val="en-US"/>
        </w:rPr>
        <w:fldChar w:fldCharType="begin"/>
      </w:r>
      <w:r w:rsidR="0012736B">
        <w:rPr>
          <w:lang w:val="en-US"/>
        </w:rPr>
        <w:instrText xml:space="preserve"> DOCVARIABLE vault_nd_5120f641-f643-49ea-90a0-f644ec295229 \* MERGEFORMAT </w:instrText>
      </w:r>
      <w:r w:rsidR="0012736B">
        <w:rPr>
          <w:lang w:val="en-US"/>
        </w:rPr>
        <w:fldChar w:fldCharType="separate"/>
      </w:r>
      <w:r w:rsidR="0012736B">
        <w:rPr>
          <w:lang w:val="en-US"/>
        </w:rPr>
        <w:t xml:space="preserve"> </w:t>
      </w:r>
      <w:r w:rsidR="0012736B">
        <w:rPr>
          <w:lang w:val="en-US"/>
        </w:rPr>
        <w:fldChar w:fldCharType="end"/>
      </w:r>
    </w:p>
    <w:p w14:paraId="0EA90FDD" w14:textId="157A0C9D" w:rsidR="009C64C9" w:rsidRPr="009C64C9" w:rsidRDefault="009C64C9" w:rsidP="009C64C9">
      <w:pPr>
        <w:rPr>
          <w:lang w:val="en-US"/>
        </w:rPr>
      </w:pPr>
      <w:r>
        <w:rPr>
          <w:noProof/>
          <w:color w:val="2B579A"/>
          <w:shd w:val="clear" w:color="auto" w:fill="E6E6E6"/>
          <w:lang w:val="en-US"/>
        </w:rPr>
        <w:drawing>
          <wp:inline distT="0" distB="0" distL="0" distR="0" wp14:anchorId="76A30830" wp14:editId="38DAA6AD">
            <wp:extent cx="2311879" cy="241730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8531" cy="2424261"/>
                    </a:xfrm>
                    <a:prstGeom prst="rect">
                      <a:avLst/>
                    </a:prstGeom>
                    <a:noFill/>
                  </pic:spPr>
                </pic:pic>
              </a:graphicData>
            </a:graphic>
          </wp:inline>
        </w:drawing>
      </w:r>
    </w:p>
    <w:p w14:paraId="1F3428AC" w14:textId="7E5A4046" w:rsidR="001A3992" w:rsidRDefault="001A3992" w:rsidP="001A3992">
      <w:pPr>
        <w:pStyle w:val="Heading3"/>
        <w:spacing w:before="0" w:after="120"/>
        <w:rPr>
          <w:lang w:val="en-US"/>
        </w:rPr>
      </w:pPr>
      <w:r w:rsidRPr="00EC3C40">
        <w:rPr>
          <w:lang w:val="en-US"/>
        </w:rPr>
        <w:t>CAS number</w:t>
      </w:r>
      <w:r w:rsidR="0012736B">
        <w:rPr>
          <w:lang w:val="en-US"/>
        </w:rPr>
        <w:fldChar w:fldCharType="begin"/>
      </w:r>
      <w:r w:rsidR="0012736B">
        <w:rPr>
          <w:lang w:val="en-US"/>
        </w:rPr>
        <w:instrText xml:space="preserve"> DOCVARIABLE vault_nd_abdec934-8a0b-4848-8103-98d65b1316dc \* MERGEFORMAT </w:instrText>
      </w:r>
      <w:r w:rsidR="0012736B">
        <w:rPr>
          <w:lang w:val="en-US"/>
        </w:rPr>
        <w:fldChar w:fldCharType="separate"/>
      </w:r>
      <w:r w:rsidR="0012736B">
        <w:rPr>
          <w:lang w:val="en-US"/>
        </w:rPr>
        <w:t xml:space="preserve"> </w:t>
      </w:r>
      <w:r w:rsidR="0012736B">
        <w:rPr>
          <w:lang w:val="en-US"/>
        </w:rPr>
        <w:fldChar w:fldCharType="end"/>
      </w:r>
    </w:p>
    <w:p w14:paraId="45FE71E6" w14:textId="6E22D8FD" w:rsidR="009C64C9" w:rsidRPr="00E17D51" w:rsidRDefault="00E17D51" w:rsidP="009C64C9">
      <w:pPr>
        <w:rPr>
          <w:rFonts w:asciiTheme="majorHAnsi" w:hAnsiTheme="majorHAnsi"/>
          <w:lang w:val="en-US"/>
        </w:rPr>
      </w:pPr>
      <w:r w:rsidRPr="00E17D51">
        <w:rPr>
          <w:rFonts w:asciiTheme="majorHAnsi" w:hAnsiTheme="majorHAnsi"/>
          <w:lang w:val="en-US"/>
        </w:rPr>
        <w:t>1884201-71-1</w:t>
      </w:r>
    </w:p>
    <w:p w14:paraId="2F09173E" w14:textId="09B56D61" w:rsidR="001A3992" w:rsidRPr="00013A95" w:rsidRDefault="001A3992" w:rsidP="001A3992">
      <w:pPr>
        <w:pStyle w:val="Heading1"/>
        <w:spacing w:before="0" w:after="120"/>
        <w:rPr>
          <w:lang w:val="en-US"/>
        </w:rPr>
      </w:pPr>
      <w:r w:rsidRPr="00013A95">
        <w:rPr>
          <w:lang w:val="en-US"/>
        </w:rPr>
        <w:t>Medicine schedule (Poisons Standard)</w:t>
      </w:r>
      <w:r w:rsidR="0012736B" w:rsidRPr="00013A95">
        <w:rPr>
          <w:lang w:val="en-US"/>
        </w:rPr>
        <w:fldChar w:fldCharType="begin"/>
      </w:r>
      <w:r w:rsidR="0012736B" w:rsidRPr="00013A95">
        <w:rPr>
          <w:lang w:val="en-US"/>
        </w:rPr>
        <w:instrText xml:space="preserve"> DOCVARIABLE VAULT_ND_54e7b09e-f125-4e6b-85f1-8486489f3fab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17D6B771" w14:textId="0A63EFD6" w:rsidR="00BD640D" w:rsidRPr="004E12B4" w:rsidRDefault="00BD640D" w:rsidP="00BD640D">
      <w:pPr>
        <w:rPr>
          <w:rFonts w:asciiTheme="majorHAnsi" w:hAnsiTheme="majorHAnsi"/>
          <w:lang w:val="en-US"/>
        </w:rPr>
      </w:pPr>
      <w:r w:rsidRPr="004E12B4">
        <w:rPr>
          <w:rFonts w:asciiTheme="majorHAnsi" w:hAnsiTheme="majorHAnsi"/>
          <w:lang w:val="en-US"/>
        </w:rPr>
        <w:t>Schedule 4</w:t>
      </w:r>
    </w:p>
    <w:p w14:paraId="0ACD6750" w14:textId="776F602C" w:rsidR="00285173" w:rsidRPr="00013A95" w:rsidRDefault="001A3992" w:rsidP="00285173">
      <w:pPr>
        <w:pStyle w:val="Heading1"/>
        <w:spacing w:before="0" w:after="120"/>
        <w:rPr>
          <w:lang w:val="en-US"/>
        </w:rPr>
      </w:pPr>
      <w:r w:rsidRPr="00013A95">
        <w:rPr>
          <w:lang w:val="en-US"/>
        </w:rPr>
        <w:t>Sponsor</w:t>
      </w:r>
      <w:r w:rsidR="0012736B" w:rsidRPr="00013A95">
        <w:rPr>
          <w:lang w:val="en-US"/>
        </w:rPr>
        <w:fldChar w:fldCharType="begin"/>
      </w:r>
      <w:r w:rsidR="0012736B" w:rsidRPr="00013A95">
        <w:rPr>
          <w:lang w:val="en-US"/>
        </w:rPr>
        <w:instrText xml:space="preserve"> DOCVARIABLE VAULT_ND_5454230f-81dd-496b-bcf2-79c7617d3d13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4A941F07" w14:textId="77777777" w:rsidR="003116BA" w:rsidRDefault="005F1F55" w:rsidP="003116BA">
      <w:pPr>
        <w:rPr>
          <w:rFonts w:asciiTheme="majorHAnsi" w:hAnsiTheme="majorHAnsi"/>
          <w:lang w:val="en-US"/>
        </w:rPr>
      </w:pPr>
      <w:r w:rsidRPr="005F1F55">
        <w:rPr>
          <w:rFonts w:asciiTheme="majorHAnsi" w:hAnsiTheme="majorHAnsi"/>
          <w:lang w:val="en-US"/>
        </w:rPr>
        <w:t>Eli Lilly Australia Pty Ltd</w:t>
      </w:r>
    </w:p>
    <w:p w14:paraId="7513DBFC" w14:textId="6C303810" w:rsidR="005F1F55" w:rsidRPr="005F1F55" w:rsidRDefault="00BC6F8C" w:rsidP="1016E262">
      <w:pPr>
        <w:rPr>
          <w:rFonts w:asciiTheme="majorHAnsi" w:hAnsiTheme="majorHAnsi"/>
          <w:lang w:val="en-US"/>
        </w:rPr>
      </w:pPr>
      <w:r>
        <w:rPr>
          <w:rFonts w:asciiTheme="majorHAnsi" w:hAnsiTheme="majorHAnsi"/>
          <w:lang w:val="en-US"/>
        </w:rPr>
        <w:t xml:space="preserve">Level </w:t>
      </w:r>
      <w:r w:rsidR="00162FB4">
        <w:rPr>
          <w:rFonts w:asciiTheme="majorHAnsi" w:hAnsiTheme="majorHAnsi"/>
          <w:lang w:val="en-US"/>
        </w:rPr>
        <w:t>9, 60 Margaret Street, Sydney, NSW 2000</w:t>
      </w:r>
    </w:p>
    <w:p w14:paraId="15EB38AD" w14:textId="77777777" w:rsidR="005F1F55" w:rsidRPr="005F1F55" w:rsidRDefault="005F1F55" w:rsidP="003116BA">
      <w:pPr>
        <w:rPr>
          <w:rFonts w:asciiTheme="majorHAnsi" w:hAnsiTheme="majorHAnsi"/>
          <w:lang w:val="en-US"/>
        </w:rPr>
      </w:pPr>
      <w:r w:rsidRPr="005F1F55">
        <w:rPr>
          <w:rFonts w:asciiTheme="majorHAnsi" w:hAnsiTheme="majorHAnsi"/>
          <w:lang w:val="en-US"/>
        </w:rPr>
        <w:t>AUSTRALIA</w:t>
      </w:r>
    </w:p>
    <w:p w14:paraId="0DEF67D8" w14:textId="7578EA19" w:rsidR="00BD640D" w:rsidRDefault="005F1F55" w:rsidP="003116BA">
      <w:pPr>
        <w:rPr>
          <w:rFonts w:asciiTheme="majorHAnsi" w:hAnsiTheme="majorHAnsi"/>
          <w:lang w:val="en-US"/>
        </w:rPr>
      </w:pPr>
      <w:r w:rsidRPr="005F1F55">
        <w:rPr>
          <w:rFonts w:asciiTheme="majorHAnsi" w:hAnsiTheme="majorHAnsi"/>
          <w:lang w:val="en-US"/>
        </w:rPr>
        <w:t>Phone: 1800 454 559</w:t>
      </w:r>
    </w:p>
    <w:p w14:paraId="05012DF9" w14:textId="1857273A" w:rsidR="00285173" w:rsidRPr="00013A95" w:rsidRDefault="00285173" w:rsidP="00285173">
      <w:pPr>
        <w:pStyle w:val="Heading1"/>
        <w:spacing w:before="0" w:after="120"/>
        <w:rPr>
          <w:lang w:val="en-US"/>
        </w:rPr>
      </w:pPr>
      <w:r w:rsidRPr="00013A95">
        <w:rPr>
          <w:lang w:val="en-US"/>
        </w:rPr>
        <w:t xml:space="preserve">Date of first approval </w:t>
      </w:r>
      <w:r w:rsidR="0012736B" w:rsidRPr="00013A95">
        <w:rPr>
          <w:lang w:val="en-US"/>
        </w:rPr>
        <w:fldChar w:fldCharType="begin"/>
      </w:r>
      <w:r w:rsidR="0012736B" w:rsidRPr="00013A95">
        <w:rPr>
          <w:lang w:val="en-US"/>
        </w:rPr>
        <w:instrText xml:space="preserve"> DOCVARIABLE VAULT_ND_54197fcf-2174-42c5-a90a-b57ba3b426fb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0894774E" w14:textId="66D7489F" w:rsidR="00722400" w:rsidRPr="00722400" w:rsidRDefault="001A46B1" w:rsidP="00722400">
      <w:pPr>
        <w:rPr>
          <w:lang w:val="en-US"/>
        </w:rPr>
      </w:pPr>
      <w:r>
        <w:rPr>
          <w:lang w:val="en-US"/>
        </w:rPr>
        <w:t>27 September 2023</w:t>
      </w:r>
    </w:p>
    <w:p w14:paraId="194D6EFE" w14:textId="5D69F0DB" w:rsidR="00285173" w:rsidRPr="00013A95" w:rsidRDefault="00285173" w:rsidP="00285173">
      <w:pPr>
        <w:pStyle w:val="Heading1"/>
        <w:spacing w:before="0" w:after="120"/>
        <w:rPr>
          <w:lang w:val="en-US"/>
        </w:rPr>
      </w:pPr>
      <w:r w:rsidRPr="00013A95">
        <w:rPr>
          <w:lang w:val="en-US"/>
        </w:rPr>
        <w:t>Date of revision</w:t>
      </w:r>
      <w:r w:rsidR="0012736B" w:rsidRPr="00013A95">
        <w:rPr>
          <w:lang w:val="en-US"/>
        </w:rPr>
        <w:fldChar w:fldCharType="begin"/>
      </w:r>
      <w:r w:rsidR="0012736B" w:rsidRPr="00013A95">
        <w:rPr>
          <w:lang w:val="en-US"/>
        </w:rPr>
        <w:instrText xml:space="preserve"> DOCVARIABLE VAULT_ND_ba589f26-2942-4429-af03-296c824f5cc4 \* MERGEFORMAT </w:instrText>
      </w:r>
      <w:r w:rsidR="0012736B" w:rsidRPr="00013A95">
        <w:rPr>
          <w:lang w:val="en-US"/>
        </w:rPr>
        <w:fldChar w:fldCharType="separate"/>
      </w:r>
      <w:r w:rsidR="0012736B" w:rsidRPr="00013A95">
        <w:rPr>
          <w:lang w:val="en-US"/>
        </w:rPr>
        <w:t xml:space="preserve"> </w:t>
      </w:r>
      <w:r w:rsidR="0012736B" w:rsidRPr="00013A95">
        <w:rPr>
          <w:lang w:val="en-US"/>
        </w:rPr>
        <w:fldChar w:fldCharType="end"/>
      </w:r>
    </w:p>
    <w:p w14:paraId="4AA7CF54" w14:textId="1CDC567D" w:rsidR="00285173" w:rsidRDefault="00285173" w:rsidP="00285173">
      <w:pPr>
        <w:pStyle w:val="Heading2"/>
        <w:numPr>
          <w:ilvl w:val="0"/>
          <w:numId w:val="0"/>
        </w:numPr>
        <w:spacing w:before="0" w:after="120"/>
        <w:rPr>
          <w:lang w:val="en-US"/>
        </w:rPr>
      </w:pPr>
      <w:r w:rsidRPr="007D497E">
        <w:rPr>
          <w:lang w:val="en-US"/>
        </w:rPr>
        <w:t>Summary table of changes</w:t>
      </w:r>
      <w:r w:rsidR="0012736B">
        <w:rPr>
          <w:lang w:val="en-US"/>
        </w:rPr>
        <w:fldChar w:fldCharType="begin"/>
      </w:r>
      <w:r w:rsidR="0012736B">
        <w:rPr>
          <w:lang w:val="en-US"/>
        </w:rPr>
        <w:instrText xml:space="preserve"> DOCVARIABLE vault_nd_1ba87600-ebc2-4044-b3fe-193c8bf01eea \* MERGEFORMAT </w:instrText>
      </w:r>
      <w:r w:rsidR="0012736B">
        <w:rPr>
          <w:lang w:val="en-US"/>
        </w:rPr>
        <w:fldChar w:fldCharType="separate"/>
      </w:r>
      <w:r w:rsidR="0012736B">
        <w:rPr>
          <w:lang w:val="en-US"/>
        </w:rPr>
        <w:t xml:space="preserve"> </w:t>
      </w:r>
      <w:r w:rsidR="0012736B">
        <w:rPr>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23AC16C0" w14:textId="77777777" w:rsidTr="001A4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22C9A72E" w14:textId="77777777" w:rsidR="00285173" w:rsidRPr="002E277D" w:rsidRDefault="00285173" w:rsidP="00D73AD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2D1F4523" w14:textId="77777777" w:rsidR="00285173" w:rsidRPr="002E277D" w:rsidRDefault="00285173" w:rsidP="00D73AD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3538587B" w14:textId="77777777" w:rsidTr="001A46B1">
        <w:tc>
          <w:tcPr>
            <w:cnfStyle w:val="001000000000" w:firstRow="0" w:lastRow="0" w:firstColumn="1" w:lastColumn="0" w:oddVBand="0" w:evenVBand="0" w:oddHBand="0" w:evenHBand="0" w:firstRowFirstColumn="0" w:firstRowLastColumn="0" w:lastRowFirstColumn="0" w:lastRowLastColumn="0"/>
            <w:tcW w:w="1371" w:type="dxa"/>
            <w:vAlign w:val="center"/>
          </w:tcPr>
          <w:p w14:paraId="1BF17EB9" w14:textId="0B821294" w:rsidR="00285173" w:rsidRDefault="003116BA" w:rsidP="00D73ADF">
            <w:pPr>
              <w:rPr>
                <w:lang w:val="en-US"/>
              </w:rPr>
            </w:pPr>
            <w:r>
              <w:rPr>
                <w:lang w:val="en-US"/>
              </w:rPr>
              <w:t>All</w:t>
            </w:r>
          </w:p>
        </w:tc>
        <w:tc>
          <w:tcPr>
            <w:tcW w:w="7635" w:type="dxa"/>
            <w:vAlign w:val="center"/>
          </w:tcPr>
          <w:p w14:paraId="1A9730D0" w14:textId="427AF598" w:rsidR="00285173" w:rsidRPr="00BE0F0B" w:rsidRDefault="003116BA" w:rsidP="00D73ADF">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BE0F0B">
              <w:rPr>
                <w:rFonts w:asciiTheme="majorHAnsi" w:hAnsiTheme="majorHAnsi"/>
                <w:lang w:val="en-US"/>
              </w:rPr>
              <w:t xml:space="preserve">New </w:t>
            </w:r>
            <w:r w:rsidR="00FA0455">
              <w:rPr>
                <w:rFonts w:asciiTheme="majorHAnsi" w:hAnsiTheme="majorHAnsi"/>
                <w:lang w:val="en-US"/>
              </w:rPr>
              <w:t>biolo</w:t>
            </w:r>
            <w:r w:rsidR="00723CDE">
              <w:rPr>
                <w:rFonts w:asciiTheme="majorHAnsi" w:hAnsiTheme="majorHAnsi"/>
                <w:lang w:val="en-US"/>
              </w:rPr>
              <w:t xml:space="preserve">gical </w:t>
            </w:r>
            <w:r w:rsidR="00BE0F0B" w:rsidRPr="00BE0F0B">
              <w:rPr>
                <w:rFonts w:asciiTheme="majorHAnsi" w:hAnsiTheme="majorHAnsi"/>
                <w:lang w:val="en-US"/>
              </w:rPr>
              <w:t>entity</w:t>
            </w:r>
          </w:p>
        </w:tc>
      </w:tr>
    </w:tbl>
    <w:p w14:paraId="28A9DB8A" w14:textId="77777777" w:rsidR="00285173" w:rsidRPr="00557591" w:rsidRDefault="00285173" w:rsidP="00285173">
      <w:pPr>
        <w:spacing w:after="120"/>
        <w:rPr>
          <w:lang w:val="en-US"/>
        </w:rPr>
      </w:pPr>
    </w:p>
    <w:p w14:paraId="1758043E" w14:textId="5258675E" w:rsidR="00960CD5" w:rsidRDefault="00CC3544" w:rsidP="00407901">
      <w:r>
        <w:t>OMVOH</w:t>
      </w:r>
      <w:r w:rsidRPr="00CC3544">
        <w:t>® is a registered trademark of Eli Lilly and Company</w:t>
      </w:r>
    </w:p>
    <w:sectPr w:rsidR="00960CD5">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B5A9" w14:textId="77777777" w:rsidR="00B759A2" w:rsidRDefault="00B759A2" w:rsidP="001A3992">
      <w:pPr>
        <w:spacing w:after="0" w:line="240" w:lineRule="auto"/>
      </w:pPr>
      <w:r>
        <w:separator/>
      </w:r>
    </w:p>
    <w:p w14:paraId="2F8CFE45" w14:textId="77777777" w:rsidR="00B759A2" w:rsidRDefault="00B759A2"/>
  </w:endnote>
  <w:endnote w:type="continuationSeparator" w:id="0">
    <w:p w14:paraId="50FE6A96" w14:textId="77777777" w:rsidR="00B759A2" w:rsidRDefault="00B759A2" w:rsidP="001A3992">
      <w:pPr>
        <w:spacing w:after="0" w:line="240" w:lineRule="auto"/>
      </w:pPr>
      <w:r>
        <w:continuationSeparator/>
      </w:r>
    </w:p>
    <w:p w14:paraId="4B4BCE2A" w14:textId="77777777" w:rsidR="00B759A2" w:rsidRDefault="00B759A2"/>
  </w:endnote>
  <w:endnote w:type="continuationNotice" w:id="1">
    <w:p w14:paraId="100C8088" w14:textId="77777777" w:rsidR="00B759A2" w:rsidRDefault="00B759A2">
      <w:pPr>
        <w:spacing w:after="0" w:line="240" w:lineRule="auto"/>
      </w:pPr>
    </w:p>
    <w:p w14:paraId="4AABAD29" w14:textId="77777777" w:rsidR="00B759A2" w:rsidRDefault="00B75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sig w:usb0="00000003" w:usb1="08070000" w:usb2="00000010" w:usb3="00000000" w:csb0="00020001" w:csb1="00000000"/>
  </w:font>
  <w:font w:name="CourierNew">
    <w:altName w:val="MS Gothic"/>
    <w:panose1 w:val="00000000000000000000"/>
    <w:charset w:val="80"/>
    <w:family w:val="auto"/>
    <w:notTrueType/>
    <w:pitch w:val="default"/>
    <w:sig w:usb0="00000003" w:usb1="08070000" w:usb2="00000010" w:usb3="00000000" w:csb0="00020001" w:csb1="00000000"/>
  </w:font>
  <w:font w:name="TimesNewRoman,Bold">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A701" w14:textId="77777777" w:rsidR="00526D05" w:rsidRDefault="00526D05">
    <w:pPr>
      <w:pStyle w:val="Footer"/>
    </w:pPr>
  </w:p>
  <w:p w14:paraId="1A2497CB" w14:textId="77777777" w:rsidR="00526D05" w:rsidRDefault="00526D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60923"/>
      <w:docPartObj>
        <w:docPartGallery w:val="Page Numbers (Bottom of Page)"/>
        <w:docPartUnique/>
      </w:docPartObj>
    </w:sdtPr>
    <w:sdtEndPr>
      <w:rPr>
        <w:rFonts w:asciiTheme="majorHAnsi" w:hAnsiTheme="majorHAnsi"/>
        <w:sz w:val="20"/>
        <w:szCs w:val="20"/>
      </w:rPr>
    </w:sdtEndPr>
    <w:sdtContent>
      <w:sdt>
        <w:sdtPr>
          <w:id w:val="-1769616900"/>
          <w:docPartObj>
            <w:docPartGallery w:val="Page Numbers (Top of Page)"/>
            <w:docPartUnique/>
          </w:docPartObj>
        </w:sdtPr>
        <w:sdtEndPr>
          <w:rPr>
            <w:rFonts w:asciiTheme="majorHAnsi" w:hAnsiTheme="majorHAnsi"/>
            <w:sz w:val="20"/>
            <w:szCs w:val="20"/>
          </w:rPr>
        </w:sdtEndPr>
        <w:sdtContent>
          <w:p w14:paraId="5C9760A0" w14:textId="0CDF4509" w:rsidR="003A26F5" w:rsidRPr="008D20BF" w:rsidRDefault="008D20BF" w:rsidP="008D20BF">
            <w:pPr>
              <w:pStyle w:val="Footer"/>
              <w:pBdr>
                <w:top w:val="single" w:sz="4" w:space="1" w:color="auto"/>
              </w:pBdr>
              <w:rPr>
                <w:rFonts w:asciiTheme="majorHAnsi" w:hAnsiTheme="majorHAnsi"/>
                <w:sz w:val="20"/>
                <w:szCs w:val="20"/>
              </w:rPr>
            </w:pPr>
            <w:r w:rsidRPr="008D20BF">
              <w:rPr>
                <w:rFonts w:asciiTheme="majorHAnsi" w:hAnsiTheme="majorHAnsi"/>
                <w:sz w:val="20"/>
                <w:szCs w:val="20"/>
              </w:rPr>
              <w:t>OMVOH v</w:t>
            </w:r>
            <w:r w:rsidR="001A46B1">
              <w:rPr>
                <w:rFonts w:asciiTheme="majorHAnsi" w:hAnsiTheme="majorHAnsi"/>
                <w:sz w:val="20"/>
                <w:szCs w:val="20"/>
              </w:rPr>
              <w:t>A1</w:t>
            </w:r>
            <w:r w:rsidRPr="008D20BF">
              <w:rPr>
                <w:rFonts w:asciiTheme="majorHAnsi" w:hAnsiTheme="majorHAnsi"/>
                <w:sz w:val="20"/>
                <w:szCs w:val="20"/>
              </w:rPr>
              <w:t>_</w:t>
            </w:r>
            <w:r w:rsidR="001A46B1">
              <w:rPr>
                <w:rFonts w:asciiTheme="majorHAnsi" w:hAnsiTheme="majorHAnsi"/>
                <w:sz w:val="20"/>
                <w:szCs w:val="20"/>
              </w:rPr>
              <w:t xml:space="preserve">October </w:t>
            </w:r>
            <w:r w:rsidRPr="008D20BF">
              <w:rPr>
                <w:rFonts w:asciiTheme="majorHAnsi" w:hAnsiTheme="majorHAnsi"/>
                <w:sz w:val="20"/>
                <w:szCs w:val="20"/>
              </w:rPr>
              <w:t>202</w:t>
            </w:r>
            <w:r w:rsidR="00DF2071">
              <w:rPr>
                <w:rFonts w:asciiTheme="majorHAnsi" w:hAnsiTheme="majorHAnsi"/>
                <w:sz w:val="20"/>
                <w:szCs w:val="20"/>
              </w:rPr>
              <w:t>3</w:t>
            </w:r>
            <w:r>
              <w:tab/>
            </w:r>
            <w:r>
              <w:tab/>
            </w:r>
            <w:r w:rsidR="003A26F5" w:rsidRPr="008D20BF">
              <w:rPr>
                <w:rFonts w:asciiTheme="majorHAnsi" w:hAnsiTheme="majorHAnsi"/>
                <w:sz w:val="20"/>
                <w:szCs w:val="20"/>
              </w:rPr>
              <w:t xml:space="preserve">Page </w:t>
            </w:r>
            <w:r w:rsidR="003A26F5" w:rsidRPr="008D20BF">
              <w:rPr>
                <w:rFonts w:asciiTheme="majorHAnsi" w:hAnsiTheme="majorHAnsi"/>
                <w:b/>
                <w:color w:val="2B579A"/>
                <w:sz w:val="20"/>
                <w:szCs w:val="20"/>
                <w:shd w:val="clear" w:color="auto" w:fill="E6E6E6"/>
              </w:rPr>
              <w:fldChar w:fldCharType="begin"/>
            </w:r>
            <w:r w:rsidR="003A26F5" w:rsidRPr="008D20BF">
              <w:rPr>
                <w:rFonts w:asciiTheme="majorHAnsi" w:hAnsiTheme="majorHAnsi"/>
                <w:b/>
                <w:bCs/>
                <w:sz w:val="20"/>
                <w:szCs w:val="20"/>
              </w:rPr>
              <w:instrText xml:space="preserve"> PAGE </w:instrText>
            </w:r>
            <w:r w:rsidR="003A26F5" w:rsidRPr="008D20BF">
              <w:rPr>
                <w:rFonts w:asciiTheme="majorHAnsi" w:hAnsiTheme="majorHAnsi"/>
                <w:b/>
                <w:color w:val="2B579A"/>
                <w:sz w:val="20"/>
                <w:szCs w:val="20"/>
                <w:shd w:val="clear" w:color="auto" w:fill="E6E6E6"/>
              </w:rPr>
              <w:fldChar w:fldCharType="separate"/>
            </w:r>
            <w:r w:rsidR="003A26F5" w:rsidRPr="008D20BF">
              <w:rPr>
                <w:rFonts w:asciiTheme="majorHAnsi" w:hAnsiTheme="majorHAnsi"/>
                <w:b/>
                <w:bCs/>
                <w:noProof/>
                <w:sz w:val="20"/>
                <w:szCs w:val="20"/>
              </w:rPr>
              <w:t>2</w:t>
            </w:r>
            <w:r w:rsidR="003A26F5" w:rsidRPr="008D20BF">
              <w:rPr>
                <w:rFonts w:asciiTheme="majorHAnsi" w:hAnsiTheme="majorHAnsi"/>
                <w:b/>
                <w:color w:val="2B579A"/>
                <w:sz w:val="20"/>
                <w:szCs w:val="20"/>
                <w:shd w:val="clear" w:color="auto" w:fill="E6E6E6"/>
              </w:rPr>
              <w:fldChar w:fldCharType="end"/>
            </w:r>
            <w:r w:rsidR="003A26F5" w:rsidRPr="008D20BF">
              <w:rPr>
                <w:rFonts w:asciiTheme="majorHAnsi" w:hAnsiTheme="majorHAnsi"/>
                <w:sz w:val="20"/>
                <w:szCs w:val="20"/>
              </w:rPr>
              <w:t xml:space="preserve"> of </w:t>
            </w:r>
            <w:r w:rsidR="003A26F5" w:rsidRPr="008D20BF">
              <w:rPr>
                <w:rFonts w:asciiTheme="majorHAnsi" w:hAnsiTheme="majorHAnsi"/>
                <w:b/>
                <w:color w:val="2B579A"/>
                <w:sz w:val="20"/>
                <w:szCs w:val="20"/>
                <w:shd w:val="clear" w:color="auto" w:fill="E6E6E6"/>
              </w:rPr>
              <w:fldChar w:fldCharType="begin"/>
            </w:r>
            <w:r w:rsidR="003A26F5" w:rsidRPr="008D20BF">
              <w:rPr>
                <w:rFonts w:asciiTheme="majorHAnsi" w:hAnsiTheme="majorHAnsi"/>
                <w:b/>
                <w:bCs/>
                <w:sz w:val="20"/>
                <w:szCs w:val="20"/>
              </w:rPr>
              <w:instrText xml:space="preserve"> NUMPAGES  </w:instrText>
            </w:r>
            <w:r w:rsidR="003A26F5" w:rsidRPr="008D20BF">
              <w:rPr>
                <w:rFonts w:asciiTheme="majorHAnsi" w:hAnsiTheme="majorHAnsi"/>
                <w:b/>
                <w:color w:val="2B579A"/>
                <w:sz w:val="20"/>
                <w:szCs w:val="20"/>
                <w:shd w:val="clear" w:color="auto" w:fill="E6E6E6"/>
              </w:rPr>
              <w:fldChar w:fldCharType="separate"/>
            </w:r>
            <w:r w:rsidR="003A26F5" w:rsidRPr="008D20BF">
              <w:rPr>
                <w:rFonts w:asciiTheme="majorHAnsi" w:hAnsiTheme="majorHAnsi"/>
                <w:b/>
                <w:bCs/>
                <w:noProof/>
                <w:sz w:val="20"/>
                <w:szCs w:val="20"/>
              </w:rPr>
              <w:t>2</w:t>
            </w:r>
            <w:r w:rsidR="003A26F5" w:rsidRPr="008D20BF">
              <w:rPr>
                <w:rFonts w:asciiTheme="majorHAnsi" w:hAnsiTheme="majorHAnsi"/>
                <w:b/>
                <w:color w:val="2B579A"/>
                <w:sz w:val="20"/>
                <w:szCs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950A" w14:textId="77777777" w:rsidR="00B759A2" w:rsidRDefault="00B759A2" w:rsidP="001A3992">
      <w:pPr>
        <w:spacing w:after="0" w:line="240" w:lineRule="auto"/>
      </w:pPr>
      <w:r>
        <w:separator/>
      </w:r>
    </w:p>
    <w:p w14:paraId="3DF1A209" w14:textId="77777777" w:rsidR="00B759A2" w:rsidRDefault="00B759A2"/>
  </w:footnote>
  <w:footnote w:type="continuationSeparator" w:id="0">
    <w:p w14:paraId="6E5D5104" w14:textId="77777777" w:rsidR="00B759A2" w:rsidRDefault="00B759A2" w:rsidP="001A3992">
      <w:pPr>
        <w:spacing w:after="0" w:line="240" w:lineRule="auto"/>
      </w:pPr>
      <w:r>
        <w:continuationSeparator/>
      </w:r>
    </w:p>
    <w:p w14:paraId="0CF9FD11" w14:textId="77777777" w:rsidR="00B759A2" w:rsidRDefault="00B759A2"/>
  </w:footnote>
  <w:footnote w:type="continuationNotice" w:id="1">
    <w:p w14:paraId="3933BCA6" w14:textId="77777777" w:rsidR="00B759A2" w:rsidRDefault="00B759A2">
      <w:pPr>
        <w:spacing w:after="0" w:line="240" w:lineRule="auto"/>
      </w:pPr>
    </w:p>
    <w:p w14:paraId="10D8ECF9" w14:textId="77777777" w:rsidR="00B759A2" w:rsidRDefault="00B75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D05F" w14:textId="77777777" w:rsidR="00526D05" w:rsidRDefault="00526D05">
    <w:pPr>
      <w:pStyle w:val="Header"/>
    </w:pPr>
  </w:p>
  <w:p w14:paraId="33175CEF" w14:textId="77777777" w:rsidR="00526D05" w:rsidRDefault="00526D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D451E4" w:rsidRPr="000B2145" w14:paraId="2D7A3266" w14:textId="77777777" w:rsidTr="00671D70">
      <w:trPr>
        <w:trHeight w:val="1012"/>
      </w:trPr>
      <w:tc>
        <w:tcPr>
          <w:tcW w:w="9180" w:type="dxa"/>
          <w:shd w:val="clear" w:color="auto" w:fill="E4F2E0"/>
        </w:tcPr>
        <w:p w14:paraId="6F1FAE9A" w14:textId="77777777" w:rsidR="00D451E4" w:rsidRPr="000E4791" w:rsidRDefault="00D451E4" w:rsidP="00D451E4">
          <w:pPr>
            <w:pStyle w:val="Footer"/>
            <w:rPr>
              <w:b/>
              <w:sz w:val="18"/>
              <w:szCs w:val="18"/>
            </w:rPr>
          </w:pPr>
          <w:bookmarkStart w:id="13" w:name="_Hlk109054010"/>
          <w:r w:rsidRPr="00F061E3">
            <w:rPr>
              <w:b/>
              <w:sz w:val="18"/>
              <w:szCs w:val="18"/>
            </w:rPr>
            <w:t xml:space="preserve">AusPAR – Omvoh – Mirikizumab - Eli Lilly Australia Pty Ltd - </w:t>
          </w:r>
          <w:bookmarkStart w:id="14" w:name="_Hlk166071608"/>
          <w:r w:rsidRPr="00F061E3">
            <w:rPr>
              <w:b/>
              <w:sz w:val="18"/>
              <w:szCs w:val="18"/>
            </w:rPr>
            <w:t>PM-2022-02424-1-1</w:t>
          </w:r>
          <w:r>
            <w:rPr>
              <w:b/>
              <w:sz w:val="18"/>
              <w:szCs w:val="18"/>
            </w:rPr>
            <w:t xml:space="preserve"> </w:t>
          </w:r>
          <w:bookmarkEnd w:id="14"/>
          <w:r w:rsidRPr="00F061E3">
            <w:rPr>
              <w:b/>
              <w:sz w:val="18"/>
              <w:szCs w:val="18"/>
            </w:rPr>
            <w:t>Final 2 May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3"/>
  </w:tbl>
  <w:p w14:paraId="70BE5EA8" w14:textId="77777777" w:rsidR="00526D05" w:rsidRDefault="00526D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FB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0EF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A63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40F6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D0A7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B695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7A7F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851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40B1A8"/>
    <w:lvl w:ilvl="0">
      <w:start w:val="1"/>
      <w:numFmt w:val="decimal"/>
      <w:pStyle w:val="ListNumber"/>
      <w:lvlText w:val="%1."/>
      <w:lvlJc w:val="left"/>
      <w:pPr>
        <w:tabs>
          <w:tab w:val="num" w:pos="360"/>
        </w:tabs>
        <w:ind w:left="360" w:hanging="360"/>
      </w:pPr>
    </w:lvl>
  </w:abstractNum>
  <w:abstractNum w:abstractNumId="9"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26406"/>
    <w:multiLevelType w:val="hybridMultilevel"/>
    <w:tmpl w:val="11D45B6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DA59DA"/>
    <w:multiLevelType w:val="hybridMultilevel"/>
    <w:tmpl w:val="777C694E"/>
    <w:lvl w:ilvl="0" w:tplc="431AB08C">
      <w:numFmt w:val="bullet"/>
      <w:lvlText w:val="•"/>
      <w:lvlJc w:val="left"/>
      <w:pPr>
        <w:ind w:left="1080" w:hanging="720"/>
      </w:pPr>
      <w:rPr>
        <w:rFonts w:asciiTheme="minorHAnsi" w:eastAsiaTheme="minorHAnsi" w:hAnsiTheme="minorHAns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E21AF"/>
    <w:multiLevelType w:val="hybridMultilevel"/>
    <w:tmpl w:val="D730C3F0"/>
    <w:lvl w:ilvl="0" w:tplc="7F9020D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25424"/>
    <w:multiLevelType w:val="hybridMultilevel"/>
    <w:tmpl w:val="6F7A25C0"/>
    <w:lvl w:ilvl="0" w:tplc="1BC6E1AE">
      <w:start w:val="1"/>
      <w:numFmt w:val="lowerLetter"/>
      <w:lvlText w:val="%1)"/>
      <w:lvlJc w:val="left"/>
      <w:pPr>
        <w:ind w:left="4188"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F52773"/>
    <w:multiLevelType w:val="hybridMultilevel"/>
    <w:tmpl w:val="21B0C8BC"/>
    <w:lvl w:ilvl="0" w:tplc="56766960">
      <w:numFmt w:val="bullet"/>
      <w:lvlText w:val="•"/>
      <w:lvlJc w:val="left"/>
      <w:pPr>
        <w:ind w:left="1080" w:hanging="720"/>
      </w:pPr>
      <w:rPr>
        <w:rFonts w:ascii="Cambria" w:eastAsiaTheme="minorHAnsi" w:hAnsi="Cambria"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135AD5"/>
    <w:multiLevelType w:val="hybridMultilevel"/>
    <w:tmpl w:val="EC0E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612E7"/>
    <w:multiLevelType w:val="hybridMultilevel"/>
    <w:tmpl w:val="A05C5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6F400A"/>
    <w:multiLevelType w:val="hybridMultilevel"/>
    <w:tmpl w:val="B5E4A2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0A40656"/>
    <w:multiLevelType w:val="hybridMultilevel"/>
    <w:tmpl w:val="C2EEB7E6"/>
    <w:lvl w:ilvl="0" w:tplc="B448A888">
      <w:start w:val="1"/>
      <w:numFmt w:val="lowerLetter"/>
      <w:lvlText w:val="%1)"/>
      <w:lvlJc w:val="left"/>
      <w:pPr>
        <w:ind w:left="4755"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795951">
    <w:abstractNumId w:val="23"/>
  </w:num>
  <w:num w:numId="2" w16cid:durableId="1224096608">
    <w:abstractNumId w:val="10"/>
  </w:num>
  <w:num w:numId="3" w16cid:durableId="1850876455">
    <w:abstractNumId w:val="9"/>
  </w:num>
  <w:num w:numId="4" w16cid:durableId="1589848055">
    <w:abstractNumId w:val="19"/>
  </w:num>
  <w:num w:numId="5" w16cid:durableId="168568474">
    <w:abstractNumId w:val="27"/>
  </w:num>
  <w:num w:numId="6" w16cid:durableId="1096906833">
    <w:abstractNumId w:val="25"/>
  </w:num>
  <w:num w:numId="7" w16cid:durableId="735394962">
    <w:abstractNumId w:val="21"/>
  </w:num>
  <w:num w:numId="8" w16cid:durableId="2011365401">
    <w:abstractNumId w:val="26"/>
  </w:num>
  <w:num w:numId="9" w16cid:durableId="2129857607">
    <w:abstractNumId w:val="13"/>
  </w:num>
  <w:num w:numId="10" w16cid:durableId="1895387468">
    <w:abstractNumId w:val="20"/>
  </w:num>
  <w:num w:numId="11" w16cid:durableId="612053114">
    <w:abstractNumId w:val="15"/>
  </w:num>
  <w:num w:numId="12" w16cid:durableId="350762164">
    <w:abstractNumId w:val="24"/>
  </w:num>
  <w:num w:numId="13" w16cid:durableId="1276670528">
    <w:abstractNumId w:val="14"/>
  </w:num>
  <w:num w:numId="14" w16cid:durableId="2077387873">
    <w:abstractNumId w:val="22"/>
  </w:num>
  <w:num w:numId="15" w16cid:durableId="848525683">
    <w:abstractNumId w:val="17"/>
  </w:num>
  <w:num w:numId="16" w16cid:durableId="1095323869">
    <w:abstractNumId w:val="16"/>
  </w:num>
  <w:num w:numId="17" w16cid:durableId="806701199">
    <w:abstractNumId w:val="18"/>
  </w:num>
  <w:num w:numId="18" w16cid:durableId="310866304">
    <w:abstractNumId w:val="12"/>
  </w:num>
  <w:num w:numId="19" w16cid:durableId="792671022">
    <w:abstractNumId w:val="7"/>
  </w:num>
  <w:num w:numId="20" w16cid:durableId="1463428578">
    <w:abstractNumId w:val="6"/>
  </w:num>
  <w:num w:numId="21" w16cid:durableId="1427070259">
    <w:abstractNumId w:val="5"/>
  </w:num>
  <w:num w:numId="22" w16cid:durableId="2092963078">
    <w:abstractNumId w:val="4"/>
  </w:num>
  <w:num w:numId="23" w16cid:durableId="274868616">
    <w:abstractNumId w:val="8"/>
  </w:num>
  <w:num w:numId="24" w16cid:durableId="1325470337">
    <w:abstractNumId w:val="3"/>
  </w:num>
  <w:num w:numId="25" w16cid:durableId="677972662">
    <w:abstractNumId w:val="2"/>
  </w:num>
  <w:num w:numId="26" w16cid:durableId="858784857">
    <w:abstractNumId w:val="1"/>
  </w:num>
  <w:num w:numId="27" w16cid:durableId="1153178144">
    <w:abstractNumId w:val="0"/>
  </w:num>
  <w:num w:numId="28" w16cid:durableId="1003700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fb1a28-877f-4c4e-a909-5a679d70dd61" w:val=" "/>
    <w:docVar w:name="vault_nd_0420c36d-f1c7-4298-bb9f-a2bf2d19b60e" w:val=" "/>
    <w:docVar w:name="vault_nd_0599de98-b23c-459e-81c4-1410e0e96a92" w:val=" "/>
    <w:docVar w:name="vault_nd_065ac230-4a46-4251-8515-6d3c14bb7b99" w:val=" "/>
    <w:docVar w:name="vault_nd_076a6f4a-ffa6-444b-8d85-6452ef85b4a7" w:val=" "/>
    <w:docVar w:name="vault_nd_07839159-9846-47a0-b004-d6dbaae03314" w:val=" "/>
    <w:docVar w:name="vault_nd_0903c17d-a6ac-4800-832d-ac647c90dedd" w:val=" "/>
    <w:docVar w:name="vault_nd_0a3be724-1cb2-480a-b12b-d36999070368" w:val=" "/>
    <w:docVar w:name="vault_nd_0ae0a67b-3360-4d10-9f7f-4421990e060f" w:val=" "/>
    <w:docVar w:name="vault_nd_0d119e17-e4fb-4130-b1c7-5636ffd23fdd" w:val=" "/>
    <w:docVar w:name="VAULT_ND_0ebe82a2-0828-42fa-9bba-5f8e6ade6078" w:val=" "/>
    <w:docVar w:name="vault_nd_11cee9ec-fb5c-4d32-997f-b3205f359a45" w:val=" "/>
    <w:docVar w:name="vault_nd_17a199a4-2727-4ac7-bbcf-04098ecd1e8b" w:val=" "/>
    <w:docVar w:name="vault_nd_18b922af-1b0d-456f-9ffb-4ab3d4f1bcd4" w:val=" "/>
    <w:docVar w:name="VAULT_ND_1b072889-d2a8-4c28-9012-2678c155e55c" w:val=" "/>
    <w:docVar w:name="vault_nd_1ba87600-ebc2-4044-b3fe-193c8bf01eea" w:val=" "/>
    <w:docVar w:name="vault_nd_1f23dba6-932e-4317-bcb3-35bc0edd795e" w:val=" "/>
    <w:docVar w:name="vault_nd_1f9b9697-1f26-45c4-8b9a-d3648170ed6c" w:val=" "/>
    <w:docVar w:name="vault_nd_376780ae-3a87-4eda-84b7-a9dcbc03d66a" w:val=" "/>
    <w:docVar w:name="vault_nd_415b35ef-e25c-4af6-9d47-5100eb7f1807" w:val=" "/>
    <w:docVar w:name="vault_nd_424dfdf9-f45e-4fc7-b153-1d681549c111" w:val=" "/>
    <w:docVar w:name="vault_nd_456e19fa-998c-4b46-8c74-134cf0c58be0" w:val=" "/>
    <w:docVar w:name="vault_nd_45f0ffb4-7036-4ad8-808f-47d20c1ede8b" w:val=" "/>
    <w:docVar w:name="vault_nd_4812abbc-82fc-4166-a0cf-b629806527f2" w:val=" "/>
    <w:docVar w:name="VAULT_ND_490f586f-fe9d-4bac-ab54-56c0080a6a46" w:val=" "/>
    <w:docVar w:name="vault_nd_499f8946-b8de-436f-8c86-2594938ecc88" w:val=" "/>
    <w:docVar w:name="vault_nd_49eccc76-2f2f-462b-be65-45eb6b220938" w:val=" "/>
    <w:docVar w:name="VAULT_ND_4fc44a93-bdef-401c-9c16-9c8b22f53da9" w:val=" "/>
    <w:docVar w:name="vault_nd_5120f641-f643-49ea-90a0-f644ec295229" w:val=" "/>
    <w:docVar w:name="vault_nd_53822ad3-dc9d-4667-af8d-45c59a34cc53" w:val=" "/>
    <w:docVar w:name="VAULT_ND_54197fcf-2174-42c5-a90a-b57ba3b426fb" w:val=" "/>
    <w:docVar w:name="VAULT_ND_5454230f-81dd-496b-bcf2-79c7617d3d13" w:val=" "/>
    <w:docVar w:name="VAULT_ND_54e7b09e-f125-4e6b-85f1-8486489f3fab" w:val=" "/>
    <w:docVar w:name="vault_nd_5605f3b4-450f-4a64-88d7-76e356b89ca3" w:val=" "/>
    <w:docVar w:name="vault_nd_574081db-2132-4bf5-a28f-8d5ffc4b45f4" w:val=" "/>
    <w:docVar w:name="VAULT_ND_57418619-4533-4617-851e-4ec371b140ff" w:val=" "/>
    <w:docVar w:name="vault_nd_5a9741c5-0003-40e6-841e-9bc5786b1496" w:val=" "/>
    <w:docVar w:name="vault_nd_5ba55b4a-18ee-4212-a6c5-21b7affcd754" w:val=" "/>
    <w:docVar w:name="vault_nd_60c6222f-878e-4219-b4cd-bfeaf43b326f" w:val=" "/>
    <w:docVar w:name="vault_nd_635e251f-b79d-4460-a77c-e27d9f0bb24f" w:val=" "/>
    <w:docVar w:name="vault_nd_67b2f51a-eca7-4acb-afd6-8257d8494ef6" w:val=" "/>
    <w:docVar w:name="vault_nd_68132e14-cc38-4795-90f8-acb6d37d4fda" w:val=" "/>
    <w:docVar w:name="vault_nd_689c152e-ad13-40cb-bd45-9d719d5c9f19" w:val=" "/>
    <w:docVar w:name="vault_nd_6ede02c7-3c59-4f60-974c-be79ca020d35" w:val=" "/>
    <w:docVar w:name="vault_nd_7da5304e-dba0-45e7-97c8-e7090a079220" w:val=" "/>
    <w:docVar w:name="vault_nd_7dd71871-3e78-4b4a-9eb8-34ae763948ef" w:val=" "/>
    <w:docVar w:name="vault_nd_8259d0da-8684-4e3f-a38d-d94ab245bc9f" w:val=" "/>
    <w:docVar w:name="vault_nd_8e21ed8a-fdb5-4cd6-a8d4-56db03f1c58b" w:val=" "/>
    <w:docVar w:name="vault_nd_97f7ac68-f287-4895-8abd-8f8c5eb7e451" w:val=" "/>
    <w:docVar w:name="vault_nd_998a8b85-ae9e-40ba-8798-544e1599184c" w:val=" "/>
    <w:docVar w:name="vault_nd_9a5eb4a6-4be8-4706-bee6-d15d889d470f" w:val=" "/>
    <w:docVar w:name="vault_nd_a03cc022-defe-45a6-84eb-4c941a24ab95" w:val=" "/>
    <w:docVar w:name="vault_nd_abdec934-8a0b-4848-8103-98d65b1316dc" w:val=" "/>
    <w:docVar w:name="vault_nd_b0c31b54-ef6f-4627-8cfc-e0730384b42d" w:val=" "/>
    <w:docVar w:name="vault_nd_b2a70a22-7368-4ece-b8de-816ee0f5563e" w:val=" "/>
    <w:docVar w:name="vault_nd_b68fdf1e-89c8-41d2-bc7f-837e7f724c08" w:val=" "/>
    <w:docVar w:name="vault_nd_b9cb12d0-6889-4eb1-9a47-9fec73a9ea74" w:val=" "/>
    <w:docVar w:name="vault_nd_ba2f3ab8-02be-492c-9cf2-953a57df3c7c" w:val=" "/>
    <w:docVar w:name="VAULT_ND_ba589f26-2942-4429-af03-296c824f5cc4" w:val=" "/>
    <w:docVar w:name="vault_nd_bc923b0f-a429-48bc-bdaa-d8884330d4f8" w:val=" "/>
    <w:docVar w:name="VAULT_ND_be0568cc-0a5e-4352-b5a6-4f65806ab31b" w:val=" "/>
    <w:docVar w:name="vault_nd_c15342bf-e9df-4a6f-882f-1b588a6e9ab3" w:val=" "/>
    <w:docVar w:name="vault_nd_c3f24ba0-0008-4226-ada2-8e9a97c97608" w:val=" "/>
    <w:docVar w:name="vault_nd_c5ac2ee3-efaa-4511-8d2a-cb9467a1fbf0" w:val=" "/>
    <w:docVar w:name="vault_nd_d1375cf4-e3bd-407e-9f04-2a80fc20a7af" w:val=" "/>
    <w:docVar w:name="vault_nd_d3ee3d6d-02dc-4efb-89e0-f894cf3af5a9" w:val=" "/>
    <w:docVar w:name="vault_nd_d6641e44-349c-4c6a-8519-9dd5cf425ac9" w:val=" "/>
    <w:docVar w:name="vault_nd_db3df5b8-4fee-4333-81d3-a6e9c86895c0" w:val=" "/>
    <w:docVar w:name="vault_nd_e1d6825b-2d32-4a6a-a4ca-b891af47e3a8" w:val=" "/>
    <w:docVar w:name="vault_nd_ed4125a3-8d18-44f6-b64e-df8cf19997a4" w:val=" "/>
    <w:docVar w:name="vault_nd_f48e7aa6-3493-4103-8c53-589a7e64dd71" w:val=" "/>
    <w:docVar w:name="vault_nd_f70d68c5-66ad-4edd-b9f9-8649087a1ca0" w:val=" "/>
    <w:docVar w:name="VAULT_ND_fb3aa3a3-289e-41be-a983-518e8d2e4b8d" w:val=" "/>
  </w:docVars>
  <w:rsids>
    <w:rsidRoot w:val="00FE7D61"/>
    <w:rsid w:val="00002350"/>
    <w:rsid w:val="0000260B"/>
    <w:rsid w:val="0000561C"/>
    <w:rsid w:val="000104D4"/>
    <w:rsid w:val="000107F6"/>
    <w:rsid w:val="00010811"/>
    <w:rsid w:val="00011EC7"/>
    <w:rsid w:val="000136AA"/>
    <w:rsid w:val="00013A95"/>
    <w:rsid w:val="00014123"/>
    <w:rsid w:val="000155CC"/>
    <w:rsid w:val="000167C6"/>
    <w:rsid w:val="00016841"/>
    <w:rsid w:val="00016F58"/>
    <w:rsid w:val="00017DFF"/>
    <w:rsid w:val="0002013B"/>
    <w:rsid w:val="00021BCD"/>
    <w:rsid w:val="0002265B"/>
    <w:rsid w:val="000228CE"/>
    <w:rsid w:val="00023647"/>
    <w:rsid w:val="00023BD4"/>
    <w:rsid w:val="00024B6F"/>
    <w:rsid w:val="0002662E"/>
    <w:rsid w:val="00026B38"/>
    <w:rsid w:val="00030D83"/>
    <w:rsid w:val="000332C1"/>
    <w:rsid w:val="00034D8A"/>
    <w:rsid w:val="0003566D"/>
    <w:rsid w:val="0003583E"/>
    <w:rsid w:val="00035A90"/>
    <w:rsid w:val="00035B49"/>
    <w:rsid w:val="00036497"/>
    <w:rsid w:val="00037358"/>
    <w:rsid w:val="00037C25"/>
    <w:rsid w:val="0004189C"/>
    <w:rsid w:val="00042302"/>
    <w:rsid w:val="00042BB1"/>
    <w:rsid w:val="00042F59"/>
    <w:rsid w:val="00043ECB"/>
    <w:rsid w:val="00045F9E"/>
    <w:rsid w:val="00046684"/>
    <w:rsid w:val="000507AF"/>
    <w:rsid w:val="000511D5"/>
    <w:rsid w:val="000522B4"/>
    <w:rsid w:val="000544D1"/>
    <w:rsid w:val="0005595C"/>
    <w:rsid w:val="00055A28"/>
    <w:rsid w:val="0005687F"/>
    <w:rsid w:val="00062297"/>
    <w:rsid w:val="0006414A"/>
    <w:rsid w:val="00067B82"/>
    <w:rsid w:val="00071265"/>
    <w:rsid w:val="000715A2"/>
    <w:rsid w:val="00073082"/>
    <w:rsid w:val="000745AA"/>
    <w:rsid w:val="000808F4"/>
    <w:rsid w:val="000824C3"/>
    <w:rsid w:val="00082519"/>
    <w:rsid w:val="00083C17"/>
    <w:rsid w:val="00084930"/>
    <w:rsid w:val="00084BEB"/>
    <w:rsid w:val="000853B7"/>
    <w:rsid w:val="000902BB"/>
    <w:rsid w:val="000918B9"/>
    <w:rsid w:val="00093390"/>
    <w:rsid w:val="00093946"/>
    <w:rsid w:val="00095F9B"/>
    <w:rsid w:val="00096DF4"/>
    <w:rsid w:val="00097A87"/>
    <w:rsid w:val="00097DAF"/>
    <w:rsid w:val="000A2D74"/>
    <w:rsid w:val="000A42A6"/>
    <w:rsid w:val="000A45ED"/>
    <w:rsid w:val="000A5931"/>
    <w:rsid w:val="000A6DB8"/>
    <w:rsid w:val="000B26C9"/>
    <w:rsid w:val="000B33B8"/>
    <w:rsid w:val="000B3E44"/>
    <w:rsid w:val="000B52DE"/>
    <w:rsid w:val="000B6511"/>
    <w:rsid w:val="000B6A7E"/>
    <w:rsid w:val="000B7F2A"/>
    <w:rsid w:val="000C06FD"/>
    <w:rsid w:val="000C0B0D"/>
    <w:rsid w:val="000C1D45"/>
    <w:rsid w:val="000C2395"/>
    <w:rsid w:val="000C35A0"/>
    <w:rsid w:val="000C38EE"/>
    <w:rsid w:val="000C3E34"/>
    <w:rsid w:val="000C4A3F"/>
    <w:rsid w:val="000C64A7"/>
    <w:rsid w:val="000C7C68"/>
    <w:rsid w:val="000D0A03"/>
    <w:rsid w:val="000D1FD7"/>
    <w:rsid w:val="000D23B8"/>
    <w:rsid w:val="000D3231"/>
    <w:rsid w:val="000D32FE"/>
    <w:rsid w:val="000D4A9D"/>
    <w:rsid w:val="000D65B1"/>
    <w:rsid w:val="000D6EB4"/>
    <w:rsid w:val="000D70C0"/>
    <w:rsid w:val="000D76E5"/>
    <w:rsid w:val="000E1240"/>
    <w:rsid w:val="000E16F7"/>
    <w:rsid w:val="000E1B7C"/>
    <w:rsid w:val="000E1C75"/>
    <w:rsid w:val="000E53CC"/>
    <w:rsid w:val="000E64A9"/>
    <w:rsid w:val="000F03D7"/>
    <w:rsid w:val="000F2AB6"/>
    <w:rsid w:val="000F4FF4"/>
    <w:rsid w:val="001000C9"/>
    <w:rsid w:val="00102503"/>
    <w:rsid w:val="00102533"/>
    <w:rsid w:val="00103879"/>
    <w:rsid w:val="0010390C"/>
    <w:rsid w:val="001059BA"/>
    <w:rsid w:val="00106892"/>
    <w:rsid w:val="00106EB6"/>
    <w:rsid w:val="00107350"/>
    <w:rsid w:val="00113A3B"/>
    <w:rsid w:val="00114CF2"/>
    <w:rsid w:val="00114D87"/>
    <w:rsid w:val="001152E6"/>
    <w:rsid w:val="00115394"/>
    <w:rsid w:val="00115F23"/>
    <w:rsid w:val="0011693E"/>
    <w:rsid w:val="00117E29"/>
    <w:rsid w:val="00125A32"/>
    <w:rsid w:val="00126EF8"/>
    <w:rsid w:val="0012736B"/>
    <w:rsid w:val="001274B8"/>
    <w:rsid w:val="00127B3A"/>
    <w:rsid w:val="0013242C"/>
    <w:rsid w:val="00132DD5"/>
    <w:rsid w:val="001357FB"/>
    <w:rsid w:val="001358FE"/>
    <w:rsid w:val="00137771"/>
    <w:rsid w:val="00137CDD"/>
    <w:rsid w:val="00142B6D"/>
    <w:rsid w:val="00142D01"/>
    <w:rsid w:val="00144BD4"/>
    <w:rsid w:val="0014564A"/>
    <w:rsid w:val="00145A0B"/>
    <w:rsid w:val="00145D2C"/>
    <w:rsid w:val="00146265"/>
    <w:rsid w:val="00147937"/>
    <w:rsid w:val="00147CE8"/>
    <w:rsid w:val="00147E1A"/>
    <w:rsid w:val="00150255"/>
    <w:rsid w:val="001507FA"/>
    <w:rsid w:val="00155373"/>
    <w:rsid w:val="00155710"/>
    <w:rsid w:val="001564E4"/>
    <w:rsid w:val="0015660B"/>
    <w:rsid w:val="00156C45"/>
    <w:rsid w:val="00160863"/>
    <w:rsid w:val="00160B72"/>
    <w:rsid w:val="001628DB"/>
    <w:rsid w:val="00162DCF"/>
    <w:rsid w:val="00162FB4"/>
    <w:rsid w:val="00164C9C"/>
    <w:rsid w:val="001656AA"/>
    <w:rsid w:val="00166951"/>
    <w:rsid w:val="00172104"/>
    <w:rsid w:val="00172388"/>
    <w:rsid w:val="00173A3B"/>
    <w:rsid w:val="0017513E"/>
    <w:rsid w:val="00175460"/>
    <w:rsid w:val="001769CF"/>
    <w:rsid w:val="00176DF7"/>
    <w:rsid w:val="001812EC"/>
    <w:rsid w:val="00181563"/>
    <w:rsid w:val="001816DC"/>
    <w:rsid w:val="0018201A"/>
    <w:rsid w:val="001822F0"/>
    <w:rsid w:val="00182951"/>
    <w:rsid w:val="00183129"/>
    <w:rsid w:val="00184E0D"/>
    <w:rsid w:val="00185A95"/>
    <w:rsid w:val="00185C03"/>
    <w:rsid w:val="001861D3"/>
    <w:rsid w:val="00187034"/>
    <w:rsid w:val="0019130A"/>
    <w:rsid w:val="00191F5D"/>
    <w:rsid w:val="00192246"/>
    <w:rsid w:val="0019370B"/>
    <w:rsid w:val="00193FF7"/>
    <w:rsid w:val="00194CDA"/>
    <w:rsid w:val="00196DF9"/>
    <w:rsid w:val="00197360"/>
    <w:rsid w:val="00197B60"/>
    <w:rsid w:val="001A049A"/>
    <w:rsid w:val="001A336D"/>
    <w:rsid w:val="001A3992"/>
    <w:rsid w:val="001A3BDE"/>
    <w:rsid w:val="001A3D13"/>
    <w:rsid w:val="001A4680"/>
    <w:rsid w:val="001A46B1"/>
    <w:rsid w:val="001A57A5"/>
    <w:rsid w:val="001A640E"/>
    <w:rsid w:val="001A71FF"/>
    <w:rsid w:val="001B0345"/>
    <w:rsid w:val="001B2209"/>
    <w:rsid w:val="001B69EA"/>
    <w:rsid w:val="001B735B"/>
    <w:rsid w:val="001B79E2"/>
    <w:rsid w:val="001C1B01"/>
    <w:rsid w:val="001C27AC"/>
    <w:rsid w:val="001C2BC5"/>
    <w:rsid w:val="001C3A49"/>
    <w:rsid w:val="001C4355"/>
    <w:rsid w:val="001C54E0"/>
    <w:rsid w:val="001C5838"/>
    <w:rsid w:val="001C6CA8"/>
    <w:rsid w:val="001D0736"/>
    <w:rsid w:val="001D123E"/>
    <w:rsid w:val="001D1397"/>
    <w:rsid w:val="001D1498"/>
    <w:rsid w:val="001D2BA5"/>
    <w:rsid w:val="001D54E9"/>
    <w:rsid w:val="001D5C25"/>
    <w:rsid w:val="001D6610"/>
    <w:rsid w:val="001E0546"/>
    <w:rsid w:val="001E1253"/>
    <w:rsid w:val="001E1B11"/>
    <w:rsid w:val="001E1B79"/>
    <w:rsid w:val="001E2C26"/>
    <w:rsid w:val="001E3088"/>
    <w:rsid w:val="001E4057"/>
    <w:rsid w:val="001E49BC"/>
    <w:rsid w:val="001E5909"/>
    <w:rsid w:val="001E5FD6"/>
    <w:rsid w:val="001E6DE4"/>
    <w:rsid w:val="001E6E3F"/>
    <w:rsid w:val="001F1A48"/>
    <w:rsid w:val="001F28C9"/>
    <w:rsid w:val="001F45AD"/>
    <w:rsid w:val="001F7C7B"/>
    <w:rsid w:val="002022A8"/>
    <w:rsid w:val="00202A88"/>
    <w:rsid w:val="0020380B"/>
    <w:rsid w:val="0020446D"/>
    <w:rsid w:val="002049F6"/>
    <w:rsid w:val="00205962"/>
    <w:rsid w:val="00206481"/>
    <w:rsid w:val="00206989"/>
    <w:rsid w:val="00206AC0"/>
    <w:rsid w:val="002104AA"/>
    <w:rsid w:val="0021200F"/>
    <w:rsid w:val="0021211D"/>
    <w:rsid w:val="00212720"/>
    <w:rsid w:val="00212A48"/>
    <w:rsid w:val="002133E1"/>
    <w:rsid w:val="00215C30"/>
    <w:rsid w:val="002201C3"/>
    <w:rsid w:val="002217A8"/>
    <w:rsid w:val="00223BE8"/>
    <w:rsid w:val="00224A3C"/>
    <w:rsid w:val="00225103"/>
    <w:rsid w:val="002252C0"/>
    <w:rsid w:val="002258AB"/>
    <w:rsid w:val="00225ABE"/>
    <w:rsid w:val="00225D8B"/>
    <w:rsid w:val="00230BE3"/>
    <w:rsid w:val="002327C4"/>
    <w:rsid w:val="00233898"/>
    <w:rsid w:val="00234C0C"/>
    <w:rsid w:val="0023531B"/>
    <w:rsid w:val="00237409"/>
    <w:rsid w:val="00237E35"/>
    <w:rsid w:val="00240A54"/>
    <w:rsid w:val="00241E6A"/>
    <w:rsid w:val="00242351"/>
    <w:rsid w:val="00242517"/>
    <w:rsid w:val="00242885"/>
    <w:rsid w:val="00242E4B"/>
    <w:rsid w:val="0024590F"/>
    <w:rsid w:val="0024697B"/>
    <w:rsid w:val="00246F44"/>
    <w:rsid w:val="002473BB"/>
    <w:rsid w:val="0025008F"/>
    <w:rsid w:val="00250275"/>
    <w:rsid w:val="00252083"/>
    <w:rsid w:val="002525D7"/>
    <w:rsid w:val="00253FE2"/>
    <w:rsid w:val="002547B3"/>
    <w:rsid w:val="0025571C"/>
    <w:rsid w:val="002559F1"/>
    <w:rsid w:val="00256C5F"/>
    <w:rsid w:val="00259F9B"/>
    <w:rsid w:val="00263619"/>
    <w:rsid w:val="002636BA"/>
    <w:rsid w:val="00265758"/>
    <w:rsid w:val="00265EB8"/>
    <w:rsid w:val="0026766A"/>
    <w:rsid w:val="00270189"/>
    <w:rsid w:val="0027231E"/>
    <w:rsid w:val="002724C2"/>
    <w:rsid w:val="00273B0C"/>
    <w:rsid w:val="00273F6F"/>
    <w:rsid w:val="002744D6"/>
    <w:rsid w:val="00274F90"/>
    <w:rsid w:val="002757A5"/>
    <w:rsid w:val="00275C29"/>
    <w:rsid w:val="00275D29"/>
    <w:rsid w:val="002777D8"/>
    <w:rsid w:val="00280A15"/>
    <w:rsid w:val="00280A28"/>
    <w:rsid w:val="00280B20"/>
    <w:rsid w:val="00280F0D"/>
    <w:rsid w:val="00284EA6"/>
    <w:rsid w:val="00285173"/>
    <w:rsid w:val="002857B8"/>
    <w:rsid w:val="00285C2E"/>
    <w:rsid w:val="00285F0B"/>
    <w:rsid w:val="00286A0C"/>
    <w:rsid w:val="00287628"/>
    <w:rsid w:val="002907A7"/>
    <w:rsid w:val="0029083F"/>
    <w:rsid w:val="00290D0E"/>
    <w:rsid w:val="00292422"/>
    <w:rsid w:val="0029275A"/>
    <w:rsid w:val="00292D37"/>
    <w:rsid w:val="002938DE"/>
    <w:rsid w:val="002947FF"/>
    <w:rsid w:val="00294B17"/>
    <w:rsid w:val="00295B52"/>
    <w:rsid w:val="00296491"/>
    <w:rsid w:val="002973EF"/>
    <w:rsid w:val="00297407"/>
    <w:rsid w:val="002A0037"/>
    <w:rsid w:val="002A23F7"/>
    <w:rsid w:val="002A286A"/>
    <w:rsid w:val="002A2E38"/>
    <w:rsid w:val="002A3706"/>
    <w:rsid w:val="002A4167"/>
    <w:rsid w:val="002A5FE2"/>
    <w:rsid w:val="002A6AC0"/>
    <w:rsid w:val="002A6F76"/>
    <w:rsid w:val="002B0FE1"/>
    <w:rsid w:val="002B16A3"/>
    <w:rsid w:val="002B1992"/>
    <w:rsid w:val="002B259C"/>
    <w:rsid w:val="002B3028"/>
    <w:rsid w:val="002B3DB4"/>
    <w:rsid w:val="002C0AE0"/>
    <w:rsid w:val="002C0FB3"/>
    <w:rsid w:val="002C266C"/>
    <w:rsid w:val="002C2898"/>
    <w:rsid w:val="002C2924"/>
    <w:rsid w:val="002C44A6"/>
    <w:rsid w:val="002C492A"/>
    <w:rsid w:val="002C553C"/>
    <w:rsid w:val="002C73C9"/>
    <w:rsid w:val="002C7E18"/>
    <w:rsid w:val="002D00A3"/>
    <w:rsid w:val="002D0623"/>
    <w:rsid w:val="002D105A"/>
    <w:rsid w:val="002D16F7"/>
    <w:rsid w:val="002D2425"/>
    <w:rsid w:val="002D275D"/>
    <w:rsid w:val="002D3A63"/>
    <w:rsid w:val="002D4071"/>
    <w:rsid w:val="002D57BF"/>
    <w:rsid w:val="002D62D7"/>
    <w:rsid w:val="002D7126"/>
    <w:rsid w:val="002D79F8"/>
    <w:rsid w:val="002E07E6"/>
    <w:rsid w:val="002E16BC"/>
    <w:rsid w:val="002E1AA0"/>
    <w:rsid w:val="002E1F4C"/>
    <w:rsid w:val="002E277D"/>
    <w:rsid w:val="002E4C86"/>
    <w:rsid w:val="002E6811"/>
    <w:rsid w:val="002E6F81"/>
    <w:rsid w:val="002E7150"/>
    <w:rsid w:val="002F1174"/>
    <w:rsid w:val="002F2DB4"/>
    <w:rsid w:val="002F361E"/>
    <w:rsid w:val="00303916"/>
    <w:rsid w:val="00304009"/>
    <w:rsid w:val="0030432A"/>
    <w:rsid w:val="00305ABD"/>
    <w:rsid w:val="00307B9D"/>
    <w:rsid w:val="00310EDE"/>
    <w:rsid w:val="003116BA"/>
    <w:rsid w:val="00312012"/>
    <w:rsid w:val="00312AA2"/>
    <w:rsid w:val="00313870"/>
    <w:rsid w:val="003139CC"/>
    <w:rsid w:val="00314C94"/>
    <w:rsid w:val="00315911"/>
    <w:rsid w:val="00315AF3"/>
    <w:rsid w:val="00315F69"/>
    <w:rsid w:val="00316084"/>
    <w:rsid w:val="00316E34"/>
    <w:rsid w:val="003207DF"/>
    <w:rsid w:val="00322300"/>
    <w:rsid w:val="00322A5C"/>
    <w:rsid w:val="003230E7"/>
    <w:rsid w:val="0032369B"/>
    <w:rsid w:val="00324495"/>
    <w:rsid w:val="003247E8"/>
    <w:rsid w:val="00325495"/>
    <w:rsid w:val="00325A7D"/>
    <w:rsid w:val="00325E91"/>
    <w:rsid w:val="00327554"/>
    <w:rsid w:val="00330032"/>
    <w:rsid w:val="00330099"/>
    <w:rsid w:val="003338CA"/>
    <w:rsid w:val="0033562F"/>
    <w:rsid w:val="00335C42"/>
    <w:rsid w:val="003375BB"/>
    <w:rsid w:val="00340DD9"/>
    <w:rsid w:val="00341D61"/>
    <w:rsid w:val="00342081"/>
    <w:rsid w:val="00346381"/>
    <w:rsid w:val="00346C6E"/>
    <w:rsid w:val="00346D4D"/>
    <w:rsid w:val="00347386"/>
    <w:rsid w:val="00347FD4"/>
    <w:rsid w:val="00351736"/>
    <w:rsid w:val="003517E4"/>
    <w:rsid w:val="00352DE2"/>
    <w:rsid w:val="003534D6"/>
    <w:rsid w:val="003535CA"/>
    <w:rsid w:val="00354336"/>
    <w:rsid w:val="003545FC"/>
    <w:rsid w:val="00354A47"/>
    <w:rsid w:val="00354CF4"/>
    <w:rsid w:val="003555FF"/>
    <w:rsid w:val="003557C6"/>
    <w:rsid w:val="0035691B"/>
    <w:rsid w:val="00356D0A"/>
    <w:rsid w:val="00360357"/>
    <w:rsid w:val="00360874"/>
    <w:rsid w:val="0036247E"/>
    <w:rsid w:val="00362BF6"/>
    <w:rsid w:val="00364520"/>
    <w:rsid w:val="00364AAA"/>
    <w:rsid w:val="00366931"/>
    <w:rsid w:val="00370BFB"/>
    <w:rsid w:val="00371F5D"/>
    <w:rsid w:val="003745F2"/>
    <w:rsid w:val="00374F61"/>
    <w:rsid w:val="0037585E"/>
    <w:rsid w:val="00375DF3"/>
    <w:rsid w:val="003760FE"/>
    <w:rsid w:val="003763AA"/>
    <w:rsid w:val="003764FD"/>
    <w:rsid w:val="003772E2"/>
    <w:rsid w:val="00377B45"/>
    <w:rsid w:val="003800A2"/>
    <w:rsid w:val="00380774"/>
    <w:rsid w:val="003807CC"/>
    <w:rsid w:val="003807FF"/>
    <w:rsid w:val="003811B7"/>
    <w:rsid w:val="00382B52"/>
    <w:rsid w:val="00385317"/>
    <w:rsid w:val="00390BF5"/>
    <w:rsid w:val="00391B25"/>
    <w:rsid w:val="0039312C"/>
    <w:rsid w:val="003936FF"/>
    <w:rsid w:val="00393F98"/>
    <w:rsid w:val="0039426A"/>
    <w:rsid w:val="00395BC1"/>
    <w:rsid w:val="003961E8"/>
    <w:rsid w:val="003962E2"/>
    <w:rsid w:val="00397B1C"/>
    <w:rsid w:val="003A0436"/>
    <w:rsid w:val="003A25F9"/>
    <w:rsid w:val="003A26F5"/>
    <w:rsid w:val="003A490F"/>
    <w:rsid w:val="003A5611"/>
    <w:rsid w:val="003A5ABE"/>
    <w:rsid w:val="003A5B92"/>
    <w:rsid w:val="003A6938"/>
    <w:rsid w:val="003A6FC8"/>
    <w:rsid w:val="003A72E7"/>
    <w:rsid w:val="003A7D9A"/>
    <w:rsid w:val="003B3174"/>
    <w:rsid w:val="003B31C1"/>
    <w:rsid w:val="003B41BB"/>
    <w:rsid w:val="003B42DB"/>
    <w:rsid w:val="003B4436"/>
    <w:rsid w:val="003B4FD8"/>
    <w:rsid w:val="003B5EB4"/>
    <w:rsid w:val="003B5F9B"/>
    <w:rsid w:val="003B627B"/>
    <w:rsid w:val="003B6E05"/>
    <w:rsid w:val="003B7F69"/>
    <w:rsid w:val="003C1138"/>
    <w:rsid w:val="003C1CB7"/>
    <w:rsid w:val="003C211C"/>
    <w:rsid w:val="003C687E"/>
    <w:rsid w:val="003C71A5"/>
    <w:rsid w:val="003C7EF9"/>
    <w:rsid w:val="003D0ADD"/>
    <w:rsid w:val="003D2B6C"/>
    <w:rsid w:val="003D3CB4"/>
    <w:rsid w:val="003D3FFC"/>
    <w:rsid w:val="003D5405"/>
    <w:rsid w:val="003D6821"/>
    <w:rsid w:val="003E2BA7"/>
    <w:rsid w:val="003E32D3"/>
    <w:rsid w:val="003E3885"/>
    <w:rsid w:val="003E63A1"/>
    <w:rsid w:val="003F0136"/>
    <w:rsid w:val="003F03A0"/>
    <w:rsid w:val="003F1CBB"/>
    <w:rsid w:val="003F26DB"/>
    <w:rsid w:val="003F3F87"/>
    <w:rsid w:val="003F438A"/>
    <w:rsid w:val="003F5F2A"/>
    <w:rsid w:val="003F6DD7"/>
    <w:rsid w:val="003F7465"/>
    <w:rsid w:val="00401AF1"/>
    <w:rsid w:val="00402261"/>
    <w:rsid w:val="00403D44"/>
    <w:rsid w:val="0040400A"/>
    <w:rsid w:val="004046F8"/>
    <w:rsid w:val="00404AB1"/>
    <w:rsid w:val="00407901"/>
    <w:rsid w:val="00407B76"/>
    <w:rsid w:val="00410B0B"/>
    <w:rsid w:val="00412295"/>
    <w:rsid w:val="00413E2C"/>
    <w:rsid w:val="00413F89"/>
    <w:rsid w:val="00414578"/>
    <w:rsid w:val="00415CC6"/>
    <w:rsid w:val="00416FB4"/>
    <w:rsid w:val="0042111C"/>
    <w:rsid w:val="00421AEA"/>
    <w:rsid w:val="0042334B"/>
    <w:rsid w:val="00425029"/>
    <w:rsid w:val="0042515A"/>
    <w:rsid w:val="00426E80"/>
    <w:rsid w:val="00431ACD"/>
    <w:rsid w:val="00432475"/>
    <w:rsid w:val="0043319C"/>
    <w:rsid w:val="004338BC"/>
    <w:rsid w:val="004339B8"/>
    <w:rsid w:val="004341A9"/>
    <w:rsid w:val="004341DE"/>
    <w:rsid w:val="0043463C"/>
    <w:rsid w:val="004351A5"/>
    <w:rsid w:val="0043531E"/>
    <w:rsid w:val="004369FF"/>
    <w:rsid w:val="0044102A"/>
    <w:rsid w:val="00441696"/>
    <w:rsid w:val="00441F82"/>
    <w:rsid w:val="00441FC4"/>
    <w:rsid w:val="0044295A"/>
    <w:rsid w:val="00443321"/>
    <w:rsid w:val="00444133"/>
    <w:rsid w:val="00444853"/>
    <w:rsid w:val="00445174"/>
    <w:rsid w:val="004452AB"/>
    <w:rsid w:val="004487A7"/>
    <w:rsid w:val="00450D63"/>
    <w:rsid w:val="00453E51"/>
    <w:rsid w:val="0045494A"/>
    <w:rsid w:val="00454E80"/>
    <w:rsid w:val="00455223"/>
    <w:rsid w:val="00456E37"/>
    <w:rsid w:val="00457CEA"/>
    <w:rsid w:val="00460A2A"/>
    <w:rsid w:val="00460B66"/>
    <w:rsid w:val="004624FF"/>
    <w:rsid w:val="0046293B"/>
    <w:rsid w:val="00462F53"/>
    <w:rsid w:val="00463915"/>
    <w:rsid w:val="00463A56"/>
    <w:rsid w:val="00466698"/>
    <w:rsid w:val="00466A79"/>
    <w:rsid w:val="00470420"/>
    <w:rsid w:val="00470A29"/>
    <w:rsid w:val="00476088"/>
    <w:rsid w:val="00476B92"/>
    <w:rsid w:val="00477596"/>
    <w:rsid w:val="00480127"/>
    <w:rsid w:val="004806B2"/>
    <w:rsid w:val="00482151"/>
    <w:rsid w:val="00482D3A"/>
    <w:rsid w:val="00483238"/>
    <w:rsid w:val="0048436B"/>
    <w:rsid w:val="00484FE5"/>
    <w:rsid w:val="004850A5"/>
    <w:rsid w:val="0048551D"/>
    <w:rsid w:val="00486058"/>
    <w:rsid w:val="00486F7C"/>
    <w:rsid w:val="00487374"/>
    <w:rsid w:val="004877A5"/>
    <w:rsid w:val="0048799E"/>
    <w:rsid w:val="004905EC"/>
    <w:rsid w:val="00490996"/>
    <w:rsid w:val="00490BFD"/>
    <w:rsid w:val="00493DD6"/>
    <w:rsid w:val="00496BBD"/>
    <w:rsid w:val="004A17C7"/>
    <w:rsid w:val="004A1D5E"/>
    <w:rsid w:val="004A6462"/>
    <w:rsid w:val="004A66AB"/>
    <w:rsid w:val="004B14A2"/>
    <w:rsid w:val="004B16A7"/>
    <w:rsid w:val="004B2490"/>
    <w:rsid w:val="004B25A6"/>
    <w:rsid w:val="004B28FC"/>
    <w:rsid w:val="004B5771"/>
    <w:rsid w:val="004B5854"/>
    <w:rsid w:val="004B6B19"/>
    <w:rsid w:val="004C0858"/>
    <w:rsid w:val="004C0940"/>
    <w:rsid w:val="004C24D2"/>
    <w:rsid w:val="004C39AC"/>
    <w:rsid w:val="004C4A3D"/>
    <w:rsid w:val="004C6001"/>
    <w:rsid w:val="004C640B"/>
    <w:rsid w:val="004C7C85"/>
    <w:rsid w:val="004D0DC9"/>
    <w:rsid w:val="004D2F50"/>
    <w:rsid w:val="004D3B53"/>
    <w:rsid w:val="004D4223"/>
    <w:rsid w:val="004D60F2"/>
    <w:rsid w:val="004D617E"/>
    <w:rsid w:val="004D737E"/>
    <w:rsid w:val="004D7411"/>
    <w:rsid w:val="004E12B4"/>
    <w:rsid w:val="004E1376"/>
    <w:rsid w:val="004E45B7"/>
    <w:rsid w:val="004E63C3"/>
    <w:rsid w:val="004E6A12"/>
    <w:rsid w:val="004F0331"/>
    <w:rsid w:val="004F093D"/>
    <w:rsid w:val="004F1727"/>
    <w:rsid w:val="004F1972"/>
    <w:rsid w:val="004F3348"/>
    <w:rsid w:val="004F3FF8"/>
    <w:rsid w:val="004F4167"/>
    <w:rsid w:val="004F4AAA"/>
    <w:rsid w:val="004F678F"/>
    <w:rsid w:val="004F683F"/>
    <w:rsid w:val="004F753B"/>
    <w:rsid w:val="005001E5"/>
    <w:rsid w:val="00501D12"/>
    <w:rsid w:val="005023F6"/>
    <w:rsid w:val="00502F7C"/>
    <w:rsid w:val="00504449"/>
    <w:rsid w:val="00504AED"/>
    <w:rsid w:val="0050575D"/>
    <w:rsid w:val="005066EE"/>
    <w:rsid w:val="00506E79"/>
    <w:rsid w:val="005115CB"/>
    <w:rsid w:val="005118F7"/>
    <w:rsid w:val="00511BCB"/>
    <w:rsid w:val="005121A8"/>
    <w:rsid w:val="00513C3F"/>
    <w:rsid w:val="00514BFE"/>
    <w:rsid w:val="00514F67"/>
    <w:rsid w:val="0051779F"/>
    <w:rsid w:val="00523074"/>
    <w:rsid w:val="00523D79"/>
    <w:rsid w:val="00523E94"/>
    <w:rsid w:val="005241E1"/>
    <w:rsid w:val="005250FA"/>
    <w:rsid w:val="0052585E"/>
    <w:rsid w:val="00526D05"/>
    <w:rsid w:val="005271BF"/>
    <w:rsid w:val="00530237"/>
    <w:rsid w:val="005303F0"/>
    <w:rsid w:val="00531EA1"/>
    <w:rsid w:val="005331E5"/>
    <w:rsid w:val="0053382D"/>
    <w:rsid w:val="00533A15"/>
    <w:rsid w:val="00534379"/>
    <w:rsid w:val="00534454"/>
    <w:rsid w:val="005366C1"/>
    <w:rsid w:val="00537849"/>
    <w:rsid w:val="00537AEB"/>
    <w:rsid w:val="00537F1F"/>
    <w:rsid w:val="0054014C"/>
    <w:rsid w:val="0054389F"/>
    <w:rsid w:val="00545208"/>
    <w:rsid w:val="0054603D"/>
    <w:rsid w:val="0054650E"/>
    <w:rsid w:val="00546E1B"/>
    <w:rsid w:val="00546F25"/>
    <w:rsid w:val="0055009F"/>
    <w:rsid w:val="00550F85"/>
    <w:rsid w:val="00551492"/>
    <w:rsid w:val="005523A8"/>
    <w:rsid w:val="0055657D"/>
    <w:rsid w:val="0056026C"/>
    <w:rsid w:val="00560B99"/>
    <w:rsid w:val="00561282"/>
    <w:rsid w:val="005623FA"/>
    <w:rsid w:val="00562634"/>
    <w:rsid w:val="00564044"/>
    <w:rsid w:val="005645BE"/>
    <w:rsid w:val="005646CD"/>
    <w:rsid w:val="00564888"/>
    <w:rsid w:val="00565085"/>
    <w:rsid w:val="00567005"/>
    <w:rsid w:val="00567802"/>
    <w:rsid w:val="00567AB0"/>
    <w:rsid w:val="005713F0"/>
    <w:rsid w:val="005719CC"/>
    <w:rsid w:val="00572527"/>
    <w:rsid w:val="005729F4"/>
    <w:rsid w:val="0057406E"/>
    <w:rsid w:val="005741DB"/>
    <w:rsid w:val="00575722"/>
    <w:rsid w:val="005757A7"/>
    <w:rsid w:val="0058091D"/>
    <w:rsid w:val="005812A4"/>
    <w:rsid w:val="005815C1"/>
    <w:rsid w:val="005815D8"/>
    <w:rsid w:val="00581B50"/>
    <w:rsid w:val="00581B5F"/>
    <w:rsid w:val="005841FF"/>
    <w:rsid w:val="00584313"/>
    <w:rsid w:val="005843FA"/>
    <w:rsid w:val="005860C8"/>
    <w:rsid w:val="0058645B"/>
    <w:rsid w:val="00586EBB"/>
    <w:rsid w:val="00587367"/>
    <w:rsid w:val="00587A58"/>
    <w:rsid w:val="00591236"/>
    <w:rsid w:val="0059222A"/>
    <w:rsid w:val="005923E4"/>
    <w:rsid w:val="005929F7"/>
    <w:rsid w:val="00593086"/>
    <w:rsid w:val="00594307"/>
    <w:rsid w:val="00594903"/>
    <w:rsid w:val="005950E2"/>
    <w:rsid w:val="005953D8"/>
    <w:rsid w:val="00595CB0"/>
    <w:rsid w:val="00596F6A"/>
    <w:rsid w:val="005A15BC"/>
    <w:rsid w:val="005A1EA6"/>
    <w:rsid w:val="005A203E"/>
    <w:rsid w:val="005A23A1"/>
    <w:rsid w:val="005A29A0"/>
    <w:rsid w:val="005A2FDA"/>
    <w:rsid w:val="005A3F5D"/>
    <w:rsid w:val="005A507C"/>
    <w:rsid w:val="005A6A8C"/>
    <w:rsid w:val="005A7F64"/>
    <w:rsid w:val="005B0BA3"/>
    <w:rsid w:val="005B0E74"/>
    <w:rsid w:val="005B1599"/>
    <w:rsid w:val="005B1CC3"/>
    <w:rsid w:val="005B2812"/>
    <w:rsid w:val="005B295D"/>
    <w:rsid w:val="005B36C1"/>
    <w:rsid w:val="005B3E2B"/>
    <w:rsid w:val="005B4FA6"/>
    <w:rsid w:val="005B7C81"/>
    <w:rsid w:val="005B7CB0"/>
    <w:rsid w:val="005C0591"/>
    <w:rsid w:val="005C25E9"/>
    <w:rsid w:val="005C34A5"/>
    <w:rsid w:val="005C4125"/>
    <w:rsid w:val="005C70F6"/>
    <w:rsid w:val="005C7CFB"/>
    <w:rsid w:val="005D1363"/>
    <w:rsid w:val="005D1CED"/>
    <w:rsid w:val="005D2809"/>
    <w:rsid w:val="005D4725"/>
    <w:rsid w:val="005D4CBC"/>
    <w:rsid w:val="005D517C"/>
    <w:rsid w:val="005E0146"/>
    <w:rsid w:val="005E1137"/>
    <w:rsid w:val="005E1809"/>
    <w:rsid w:val="005E2345"/>
    <w:rsid w:val="005E4C5D"/>
    <w:rsid w:val="005E58BF"/>
    <w:rsid w:val="005F08F7"/>
    <w:rsid w:val="005F1290"/>
    <w:rsid w:val="005F1F55"/>
    <w:rsid w:val="005F2265"/>
    <w:rsid w:val="005F2B36"/>
    <w:rsid w:val="005F3CCE"/>
    <w:rsid w:val="005F5149"/>
    <w:rsid w:val="005F5CD7"/>
    <w:rsid w:val="005F78F0"/>
    <w:rsid w:val="00601086"/>
    <w:rsid w:val="00601541"/>
    <w:rsid w:val="006018AE"/>
    <w:rsid w:val="00603282"/>
    <w:rsid w:val="006043D7"/>
    <w:rsid w:val="0060538E"/>
    <w:rsid w:val="006054FF"/>
    <w:rsid w:val="00605ABE"/>
    <w:rsid w:val="00605CB1"/>
    <w:rsid w:val="0060619B"/>
    <w:rsid w:val="006070EF"/>
    <w:rsid w:val="00607D96"/>
    <w:rsid w:val="00607DF0"/>
    <w:rsid w:val="00607E1C"/>
    <w:rsid w:val="00612228"/>
    <w:rsid w:val="00612DA9"/>
    <w:rsid w:val="00612E90"/>
    <w:rsid w:val="006132AD"/>
    <w:rsid w:val="00615D2D"/>
    <w:rsid w:val="0061602C"/>
    <w:rsid w:val="006161D7"/>
    <w:rsid w:val="006165A6"/>
    <w:rsid w:val="00617993"/>
    <w:rsid w:val="00625147"/>
    <w:rsid w:val="0062641A"/>
    <w:rsid w:val="0062712A"/>
    <w:rsid w:val="006279A9"/>
    <w:rsid w:val="00631275"/>
    <w:rsid w:val="00632271"/>
    <w:rsid w:val="00632F00"/>
    <w:rsid w:val="0063368D"/>
    <w:rsid w:val="00634854"/>
    <w:rsid w:val="006356A9"/>
    <w:rsid w:val="00635F4D"/>
    <w:rsid w:val="0063643D"/>
    <w:rsid w:val="00640A58"/>
    <w:rsid w:val="00640CF6"/>
    <w:rsid w:val="00641C62"/>
    <w:rsid w:val="00644E0C"/>
    <w:rsid w:val="0064587E"/>
    <w:rsid w:val="006458FA"/>
    <w:rsid w:val="00645D85"/>
    <w:rsid w:val="0065020D"/>
    <w:rsid w:val="00650840"/>
    <w:rsid w:val="0065335B"/>
    <w:rsid w:val="00653981"/>
    <w:rsid w:val="006542F7"/>
    <w:rsid w:val="0065451C"/>
    <w:rsid w:val="0065683A"/>
    <w:rsid w:val="00656EA4"/>
    <w:rsid w:val="00660251"/>
    <w:rsid w:val="006614C7"/>
    <w:rsid w:val="00663DD2"/>
    <w:rsid w:val="00664151"/>
    <w:rsid w:val="006646F2"/>
    <w:rsid w:val="006656CB"/>
    <w:rsid w:val="00666641"/>
    <w:rsid w:val="00667B74"/>
    <w:rsid w:val="00670745"/>
    <w:rsid w:val="00672AFE"/>
    <w:rsid w:val="006737F5"/>
    <w:rsid w:val="0067539F"/>
    <w:rsid w:val="00676D35"/>
    <w:rsid w:val="00677211"/>
    <w:rsid w:val="006773DA"/>
    <w:rsid w:val="00677C6A"/>
    <w:rsid w:val="006802E9"/>
    <w:rsid w:val="00681582"/>
    <w:rsid w:val="00681AA2"/>
    <w:rsid w:val="00681D39"/>
    <w:rsid w:val="00683642"/>
    <w:rsid w:val="0068690F"/>
    <w:rsid w:val="00690426"/>
    <w:rsid w:val="00691050"/>
    <w:rsid w:val="0069592C"/>
    <w:rsid w:val="00695C71"/>
    <w:rsid w:val="006972E1"/>
    <w:rsid w:val="00697326"/>
    <w:rsid w:val="006973F7"/>
    <w:rsid w:val="00697A53"/>
    <w:rsid w:val="006A06C4"/>
    <w:rsid w:val="006A4B05"/>
    <w:rsid w:val="006A5516"/>
    <w:rsid w:val="006B07FF"/>
    <w:rsid w:val="006B298B"/>
    <w:rsid w:val="006B2BB9"/>
    <w:rsid w:val="006B2EA7"/>
    <w:rsid w:val="006B325A"/>
    <w:rsid w:val="006B4D8C"/>
    <w:rsid w:val="006B5864"/>
    <w:rsid w:val="006B629A"/>
    <w:rsid w:val="006C0246"/>
    <w:rsid w:val="006C27DD"/>
    <w:rsid w:val="006C414F"/>
    <w:rsid w:val="006C56E2"/>
    <w:rsid w:val="006C658D"/>
    <w:rsid w:val="006C6EBB"/>
    <w:rsid w:val="006C6EDD"/>
    <w:rsid w:val="006C79A0"/>
    <w:rsid w:val="006D0519"/>
    <w:rsid w:val="006D08BE"/>
    <w:rsid w:val="006D149F"/>
    <w:rsid w:val="006D2C6D"/>
    <w:rsid w:val="006D30E4"/>
    <w:rsid w:val="006D3633"/>
    <w:rsid w:val="006D48C9"/>
    <w:rsid w:val="006D548C"/>
    <w:rsid w:val="006D77B0"/>
    <w:rsid w:val="006D7D08"/>
    <w:rsid w:val="006E02EA"/>
    <w:rsid w:val="006E3848"/>
    <w:rsid w:val="006E5CB8"/>
    <w:rsid w:val="006E709C"/>
    <w:rsid w:val="006F3FAB"/>
    <w:rsid w:val="006F57A8"/>
    <w:rsid w:val="006F59E3"/>
    <w:rsid w:val="006F6653"/>
    <w:rsid w:val="006F66CB"/>
    <w:rsid w:val="007016E6"/>
    <w:rsid w:val="0070463D"/>
    <w:rsid w:val="00705493"/>
    <w:rsid w:val="00706FFA"/>
    <w:rsid w:val="007076A4"/>
    <w:rsid w:val="00707BB4"/>
    <w:rsid w:val="007102F9"/>
    <w:rsid w:val="0071065B"/>
    <w:rsid w:val="00710806"/>
    <w:rsid w:val="00710F61"/>
    <w:rsid w:val="00711D63"/>
    <w:rsid w:val="00712727"/>
    <w:rsid w:val="00713464"/>
    <w:rsid w:val="00714BAC"/>
    <w:rsid w:val="007153DE"/>
    <w:rsid w:val="007168AF"/>
    <w:rsid w:val="00717154"/>
    <w:rsid w:val="00720456"/>
    <w:rsid w:val="0072084C"/>
    <w:rsid w:val="00720CFE"/>
    <w:rsid w:val="00720D39"/>
    <w:rsid w:val="00722400"/>
    <w:rsid w:val="00723CDE"/>
    <w:rsid w:val="00724847"/>
    <w:rsid w:val="00724CF8"/>
    <w:rsid w:val="00726068"/>
    <w:rsid w:val="0072639B"/>
    <w:rsid w:val="007267ED"/>
    <w:rsid w:val="0072694E"/>
    <w:rsid w:val="007271E1"/>
    <w:rsid w:val="00727487"/>
    <w:rsid w:val="00730027"/>
    <w:rsid w:val="00730A1C"/>
    <w:rsid w:val="00730D1D"/>
    <w:rsid w:val="00730D50"/>
    <w:rsid w:val="00733E1A"/>
    <w:rsid w:val="00734C51"/>
    <w:rsid w:val="00737161"/>
    <w:rsid w:val="0073735E"/>
    <w:rsid w:val="0074105A"/>
    <w:rsid w:val="00742EB6"/>
    <w:rsid w:val="0074572D"/>
    <w:rsid w:val="007461A5"/>
    <w:rsid w:val="0075044C"/>
    <w:rsid w:val="00750CCB"/>
    <w:rsid w:val="007511DE"/>
    <w:rsid w:val="00751C02"/>
    <w:rsid w:val="00752612"/>
    <w:rsid w:val="00752809"/>
    <w:rsid w:val="00753362"/>
    <w:rsid w:val="00754239"/>
    <w:rsid w:val="00754350"/>
    <w:rsid w:val="00754B43"/>
    <w:rsid w:val="00756242"/>
    <w:rsid w:val="00756446"/>
    <w:rsid w:val="00756A99"/>
    <w:rsid w:val="00756CB7"/>
    <w:rsid w:val="00757190"/>
    <w:rsid w:val="007572E3"/>
    <w:rsid w:val="00760430"/>
    <w:rsid w:val="00760C38"/>
    <w:rsid w:val="0076140C"/>
    <w:rsid w:val="00761420"/>
    <w:rsid w:val="00761BD2"/>
    <w:rsid w:val="00761C37"/>
    <w:rsid w:val="007637D4"/>
    <w:rsid w:val="00763E5A"/>
    <w:rsid w:val="007649B1"/>
    <w:rsid w:val="0076500D"/>
    <w:rsid w:val="007651F6"/>
    <w:rsid w:val="00765395"/>
    <w:rsid w:val="00765678"/>
    <w:rsid w:val="00767FC9"/>
    <w:rsid w:val="00770D2E"/>
    <w:rsid w:val="00772D7F"/>
    <w:rsid w:val="00774092"/>
    <w:rsid w:val="00774709"/>
    <w:rsid w:val="00775BF6"/>
    <w:rsid w:val="007765CD"/>
    <w:rsid w:val="00780265"/>
    <w:rsid w:val="00781427"/>
    <w:rsid w:val="0078205C"/>
    <w:rsid w:val="007824DC"/>
    <w:rsid w:val="0078264C"/>
    <w:rsid w:val="00783252"/>
    <w:rsid w:val="00783271"/>
    <w:rsid w:val="007839FA"/>
    <w:rsid w:val="007847F9"/>
    <w:rsid w:val="0078526E"/>
    <w:rsid w:val="00785A90"/>
    <w:rsid w:val="00786127"/>
    <w:rsid w:val="00786311"/>
    <w:rsid w:val="00786C9A"/>
    <w:rsid w:val="00787298"/>
    <w:rsid w:val="00792393"/>
    <w:rsid w:val="0079726E"/>
    <w:rsid w:val="00797717"/>
    <w:rsid w:val="00797D81"/>
    <w:rsid w:val="007A2232"/>
    <w:rsid w:val="007A2F24"/>
    <w:rsid w:val="007A32FB"/>
    <w:rsid w:val="007A395C"/>
    <w:rsid w:val="007A3E78"/>
    <w:rsid w:val="007A4954"/>
    <w:rsid w:val="007A4CD3"/>
    <w:rsid w:val="007A6CBC"/>
    <w:rsid w:val="007A7AE0"/>
    <w:rsid w:val="007A7C4C"/>
    <w:rsid w:val="007A7E4C"/>
    <w:rsid w:val="007B0E63"/>
    <w:rsid w:val="007B10D3"/>
    <w:rsid w:val="007B1A49"/>
    <w:rsid w:val="007B1CAB"/>
    <w:rsid w:val="007B23DD"/>
    <w:rsid w:val="007B31D8"/>
    <w:rsid w:val="007B3ACC"/>
    <w:rsid w:val="007B5354"/>
    <w:rsid w:val="007B54B9"/>
    <w:rsid w:val="007B751F"/>
    <w:rsid w:val="007B78CA"/>
    <w:rsid w:val="007B7F6C"/>
    <w:rsid w:val="007C00F7"/>
    <w:rsid w:val="007C2B96"/>
    <w:rsid w:val="007C34B3"/>
    <w:rsid w:val="007C3543"/>
    <w:rsid w:val="007C66C8"/>
    <w:rsid w:val="007C7475"/>
    <w:rsid w:val="007D209E"/>
    <w:rsid w:val="007D2AF2"/>
    <w:rsid w:val="007D30D1"/>
    <w:rsid w:val="007D3343"/>
    <w:rsid w:val="007D49A8"/>
    <w:rsid w:val="007D4C81"/>
    <w:rsid w:val="007D512F"/>
    <w:rsid w:val="007D7C33"/>
    <w:rsid w:val="007E0DB4"/>
    <w:rsid w:val="007E22AC"/>
    <w:rsid w:val="007E402A"/>
    <w:rsid w:val="007E56F0"/>
    <w:rsid w:val="007E6129"/>
    <w:rsid w:val="007E732D"/>
    <w:rsid w:val="007E7E86"/>
    <w:rsid w:val="007F1549"/>
    <w:rsid w:val="007F1A9F"/>
    <w:rsid w:val="007F1BEC"/>
    <w:rsid w:val="007F39C9"/>
    <w:rsid w:val="007F3B09"/>
    <w:rsid w:val="007F4F1F"/>
    <w:rsid w:val="007F6B03"/>
    <w:rsid w:val="007F7A2F"/>
    <w:rsid w:val="0080167E"/>
    <w:rsid w:val="00802571"/>
    <w:rsid w:val="00803C11"/>
    <w:rsid w:val="00803FF2"/>
    <w:rsid w:val="0080446D"/>
    <w:rsid w:val="00805975"/>
    <w:rsid w:val="00806F96"/>
    <w:rsid w:val="00810B41"/>
    <w:rsid w:val="00810BDF"/>
    <w:rsid w:val="00810CF6"/>
    <w:rsid w:val="00811CEF"/>
    <w:rsid w:val="008129A2"/>
    <w:rsid w:val="008137DE"/>
    <w:rsid w:val="008144F8"/>
    <w:rsid w:val="00814C57"/>
    <w:rsid w:val="00816980"/>
    <w:rsid w:val="00817C1D"/>
    <w:rsid w:val="00817D95"/>
    <w:rsid w:val="00821A52"/>
    <w:rsid w:val="00825131"/>
    <w:rsid w:val="008252C6"/>
    <w:rsid w:val="0083023D"/>
    <w:rsid w:val="00830472"/>
    <w:rsid w:val="00831FD5"/>
    <w:rsid w:val="00832099"/>
    <w:rsid w:val="00833B95"/>
    <w:rsid w:val="00834CEA"/>
    <w:rsid w:val="00834E30"/>
    <w:rsid w:val="008351B3"/>
    <w:rsid w:val="0083760F"/>
    <w:rsid w:val="00840762"/>
    <w:rsid w:val="00843832"/>
    <w:rsid w:val="00846D6A"/>
    <w:rsid w:val="008475F7"/>
    <w:rsid w:val="00850865"/>
    <w:rsid w:val="00853D13"/>
    <w:rsid w:val="00854B22"/>
    <w:rsid w:val="00854BC3"/>
    <w:rsid w:val="00854F7A"/>
    <w:rsid w:val="00855509"/>
    <w:rsid w:val="00855E91"/>
    <w:rsid w:val="0085692F"/>
    <w:rsid w:val="0085777D"/>
    <w:rsid w:val="00860DF9"/>
    <w:rsid w:val="0086132B"/>
    <w:rsid w:val="00863571"/>
    <w:rsid w:val="00863785"/>
    <w:rsid w:val="008654EE"/>
    <w:rsid w:val="0086658B"/>
    <w:rsid w:val="00867436"/>
    <w:rsid w:val="008702E2"/>
    <w:rsid w:val="00871CAA"/>
    <w:rsid w:val="00871FFB"/>
    <w:rsid w:val="008730B6"/>
    <w:rsid w:val="00875AF8"/>
    <w:rsid w:val="00875D03"/>
    <w:rsid w:val="00876BE7"/>
    <w:rsid w:val="008771F3"/>
    <w:rsid w:val="00880615"/>
    <w:rsid w:val="0088160E"/>
    <w:rsid w:val="00881E3E"/>
    <w:rsid w:val="008834FC"/>
    <w:rsid w:val="00883B07"/>
    <w:rsid w:val="00883F20"/>
    <w:rsid w:val="00885EAB"/>
    <w:rsid w:val="008914BE"/>
    <w:rsid w:val="00891EC4"/>
    <w:rsid w:val="00892EA3"/>
    <w:rsid w:val="008939A0"/>
    <w:rsid w:val="00894F08"/>
    <w:rsid w:val="00897980"/>
    <w:rsid w:val="00897C2E"/>
    <w:rsid w:val="00897CF5"/>
    <w:rsid w:val="008A02CE"/>
    <w:rsid w:val="008A06F8"/>
    <w:rsid w:val="008A1921"/>
    <w:rsid w:val="008A2038"/>
    <w:rsid w:val="008A2E8B"/>
    <w:rsid w:val="008A345B"/>
    <w:rsid w:val="008A3821"/>
    <w:rsid w:val="008A6838"/>
    <w:rsid w:val="008A7FF8"/>
    <w:rsid w:val="008B065C"/>
    <w:rsid w:val="008B07E9"/>
    <w:rsid w:val="008B0911"/>
    <w:rsid w:val="008B3254"/>
    <w:rsid w:val="008B5B7F"/>
    <w:rsid w:val="008B5DFF"/>
    <w:rsid w:val="008B6C0E"/>
    <w:rsid w:val="008B78E1"/>
    <w:rsid w:val="008B7AC8"/>
    <w:rsid w:val="008C022E"/>
    <w:rsid w:val="008C038C"/>
    <w:rsid w:val="008C0A58"/>
    <w:rsid w:val="008C0F2F"/>
    <w:rsid w:val="008C1DC4"/>
    <w:rsid w:val="008C1DED"/>
    <w:rsid w:val="008D00F2"/>
    <w:rsid w:val="008D20BF"/>
    <w:rsid w:val="008D2B91"/>
    <w:rsid w:val="008D2BBE"/>
    <w:rsid w:val="008D56BF"/>
    <w:rsid w:val="008D5FE7"/>
    <w:rsid w:val="008D7E06"/>
    <w:rsid w:val="008E00DB"/>
    <w:rsid w:val="008E22F7"/>
    <w:rsid w:val="008E234F"/>
    <w:rsid w:val="008E3F72"/>
    <w:rsid w:val="008E4036"/>
    <w:rsid w:val="008E47C9"/>
    <w:rsid w:val="008E4D41"/>
    <w:rsid w:val="008E5977"/>
    <w:rsid w:val="008E610C"/>
    <w:rsid w:val="008E64F5"/>
    <w:rsid w:val="008E6640"/>
    <w:rsid w:val="008E721F"/>
    <w:rsid w:val="008E7704"/>
    <w:rsid w:val="008F04AB"/>
    <w:rsid w:val="008F079E"/>
    <w:rsid w:val="008F17F1"/>
    <w:rsid w:val="008F21C1"/>
    <w:rsid w:val="008F4ED4"/>
    <w:rsid w:val="008F504A"/>
    <w:rsid w:val="008F5212"/>
    <w:rsid w:val="008F5C3A"/>
    <w:rsid w:val="008F653E"/>
    <w:rsid w:val="008F659F"/>
    <w:rsid w:val="0090206B"/>
    <w:rsid w:val="00902531"/>
    <w:rsid w:val="00903900"/>
    <w:rsid w:val="00903F83"/>
    <w:rsid w:val="009042E8"/>
    <w:rsid w:val="0090487D"/>
    <w:rsid w:val="00904F1C"/>
    <w:rsid w:val="00905FE6"/>
    <w:rsid w:val="00907549"/>
    <w:rsid w:val="00912018"/>
    <w:rsid w:val="00912344"/>
    <w:rsid w:val="00913AE0"/>
    <w:rsid w:val="00913B41"/>
    <w:rsid w:val="00914E53"/>
    <w:rsid w:val="00915139"/>
    <w:rsid w:val="00916598"/>
    <w:rsid w:val="009169F3"/>
    <w:rsid w:val="00916D8F"/>
    <w:rsid w:val="009170A9"/>
    <w:rsid w:val="009212DE"/>
    <w:rsid w:val="00921D56"/>
    <w:rsid w:val="00922373"/>
    <w:rsid w:val="00922892"/>
    <w:rsid w:val="009262FD"/>
    <w:rsid w:val="00926F51"/>
    <w:rsid w:val="009314E9"/>
    <w:rsid w:val="009315BA"/>
    <w:rsid w:val="00931B57"/>
    <w:rsid w:val="00931D64"/>
    <w:rsid w:val="00931FF7"/>
    <w:rsid w:val="009344DC"/>
    <w:rsid w:val="00934507"/>
    <w:rsid w:val="00934A78"/>
    <w:rsid w:val="00934DAB"/>
    <w:rsid w:val="0093623E"/>
    <w:rsid w:val="009371AF"/>
    <w:rsid w:val="009412B7"/>
    <w:rsid w:val="00941FA6"/>
    <w:rsid w:val="0094220E"/>
    <w:rsid w:val="00942B7F"/>
    <w:rsid w:val="00944A14"/>
    <w:rsid w:val="00945F5E"/>
    <w:rsid w:val="00947263"/>
    <w:rsid w:val="00947337"/>
    <w:rsid w:val="009503EC"/>
    <w:rsid w:val="009528E1"/>
    <w:rsid w:val="00952BAF"/>
    <w:rsid w:val="0095307E"/>
    <w:rsid w:val="00955C40"/>
    <w:rsid w:val="00960CD5"/>
    <w:rsid w:val="00960EB6"/>
    <w:rsid w:val="00961021"/>
    <w:rsid w:val="00961769"/>
    <w:rsid w:val="00962E3A"/>
    <w:rsid w:val="0096445F"/>
    <w:rsid w:val="0096691F"/>
    <w:rsid w:val="00970072"/>
    <w:rsid w:val="0097166E"/>
    <w:rsid w:val="00971F5B"/>
    <w:rsid w:val="009725C3"/>
    <w:rsid w:val="0097289C"/>
    <w:rsid w:val="00980512"/>
    <w:rsid w:val="00980646"/>
    <w:rsid w:val="00982DD7"/>
    <w:rsid w:val="00983791"/>
    <w:rsid w:val="00983C45"/>
    <w:rsid w:val="00984409"/>
    <w:rsid w:val="00984D9C"/>
    <w:rsid w:val="00985614"/>
    <w:rsid w:val="00985ED2"/>
    <w:rsid w:val="00986D87"/>
    <w:rsid w:val="00986FE2"/>
    <w:rsid w:val="009871F7"/>
    <w:rsid w:val="00990320"/>
    <w:rsid w:val="0099062C"/>
    <w:rsid w:val="00990D15"/>
    <w:rsid w:val="009932EB"/>
    <w:rsid w:val="0099391D"/>
    <w:rsid w:val="00994AF1"/>
    <w:rsid w:val="00996B3D"/>
    <w:rsid w:val="00996F87"/>
    <w:rsid w:val="00997563"/>
    <w:rsid w:val="00997CAD"/>
    <w:rsid w:val="009A0485"/>
    <w:rsid w:val="009A05B0"/>
    <w:rsid w:val="009A2F30"/>
    <w:rsid w:val="009A2FFA"/>
    <w:rsid w:val="009A3E07"/>
    <w:rsid w:val="009A5398"/>
    <w:rsid w:val="009A5BDB"/>
    <w:rsid w:val="009A62E5"/>
    <w:rsid w:val="009A6605"/>
    <w:rsid w:val="009A721C"/>
    <w:rsid w:val="009B0830"/>
    <w:rsid w:val="009B3DB1"/>
    <w:rsid w:val="009B48E9"/>
    <w:rsid w:val="009B5BF5"/>
    <w:rsid w:val="009B7565"/>
    <w:rsid w:val="009C3555"/>
    <w:rsid w:val="009C377A"/>
    <w:rsid w:val="009C39C3"/>
    <w:rsid w:val="009C64C9"/>
    <w:rsid w:val="009C66A7"/>
    <w:rsid w:val="009D1077"/>
    <w:rsid w:val="009D4D74"/>
    <w:rsid w:val="009D6715"/>
    <w:rsid w:val="009D7183"/>
    <w:rsid w:val="009D722F"/>
    <w:rsid w:val="009D729F"/>
    <w:rsid w:val="009D7D4D"/>
    <w:rsid w:val="009E04F0"/>
    <w:rsid w:val="009E0BF9"/>
    <w:rsid w:val="009E187A"/>
    <w:rsid w:val="009E2605"/>
    <w:rsid w:val="009E2B94"/>
    <w:rsid w:val="009E35A9"/>
    <w:rsid w:val="009E36C0"/>
    <w:rsid w:val="009E48A9"/>
    <w:rsid w:val="009E6449"/>
    <w:rsid w:val="009E672D"/>
    <w:rsid w:val="009E6B03"/>
    <w:rsid w:val="009F041D"/>
    <w:rsid w:val="009F0E8D"/>
    <w:rsid w:val="009F1DA8"/>
    <w:rsid w:val="009F25B5"/>
    <w:rsid w:val="009F308C"/>
    <w:rsid w:val="009F38BB"/>
    <w:rsid w:val="009F3B27"/>
    <w:rsid w:val="009F5F47"/>
    <w:rsid w:val="009F6BBD"/>
    <w:rsid w:val="009F6E38"/>
    <w:rsid w:val="009F7838"/>
    <w:rsid w:val="00A01963"/>
    <w:rsid w:val="00A02060"/>
    <w:rsid w:val="00A032A7"/>
    <w:rsid w:val="00A03518"/>
    <w:rsid w:val="00A06CC7"/>
    <w:rsid w:val="00A078CB"/>
    <w:rsid w:val="00A07D4D"/>
    <w:rsid w:val="00A103E4"/>
    <w:rsid w:val="00A11744"/>
    <w:rsid w:val="00A129BC"/>
    <w:rsid w:val="00A12BAC"/>
    <w:rsid w:val="00A14B39"/>
    <w:rsid w:val="00A14B87"/>
    <w:rsid w:val="00A14CFE"/>
    <w:rsid w:val="00A20F3C"/>
    <w:rsid w:val="00A20F6B"/>
    <w:rsid w:val="00A21B72"/>
    <w:rsid w:val="00A2228A"/>
    <w:rsid w:val="00A227D3"/>
    <w:rsid w:val="00A2309A"/>
    <w:rsid w:val="00A24252"/>
    <w:rsid w:val="00A252E5"/>
    <w:rsid w:val="00A269E2"/>
    <w:rsid w:val="00A31B2D"/>
    <w:rsid w:val="00A31E72"/>
    <w:rsid w:val="00A3200E"/>
    <w:rsid w:val="00A32761"/>
    <w:rsid w:val="00A36DA3"/>
    <w:rsid w:val="00A3726B"/>
    <w:rsid w:val="00A377D4"/>
    <w:rsid w:val="00A37AB9"/>
    <w:rsid w:val="00A40EB5"/>
    <w:rsid w:val="00A450F3"/>
    <w:rsid w:val="00A459E7"/>
    <w:rsid w:val="00A46414"/>
    <w:rsid w:val="00A46FEA"/>
    <w:rsid w:val="00A4797B"/>
    <w:rsid w:val="00A50924"/>
    <w:rsid w:val="00A51572"/>
    <w:rsid w:val="00A53CEB"/>
    <w:rsid w:val="00A53EC6"/>
    <w:rsid w:val="00A549BA"/>
    <w:rsid w:val="00A54AE4"/>
    <w:rsid w:val="00A55533"/>
    <w:rsid w:val="00A55EE9"/>
    <w:rsid w:val="00A57BD5"/>
    <w:rsid w:val="00A57FB1"/>
    <w:rsid w:val="00A6031B"/>
    <w:rsid w:val="00A60897"/>
    <w:rsid w:val="00A61539"/>
    <w:rsid w:val="00A64655"/>
    <w:rsid w:val="00A64B70"/>
    <w:rsid w:val="00A65255"/>
    <w:rsid w:val="00A66B76"/>
    <w:rsid w:val="00A67705"/>
    <w:rsid w:val="00A67FDC"/>
    <w:rsid w:val="00A71AB3"/>
    <w:rsid w:val="00A72EDB"/>
    <w:rsid w:val="00A73137"/>
    <w:rsid w:val="00A7412F"/>
    <w:rsid w:val="00A745BF"/>
    <w:rsid w:val="00A74A1B"/>
    <w:rsid w:val="00A74E72"/>
    <w:rsid w:val="00A75A78"/>
    <w:rsid w:val="00A7701D"/>
    <w:rsid w:val="00A77CAC"/>
    <w:rsid w:val="00A81909"/>
    <w:rsid w:val="00A82951"/>
    <w:rsid w:val="00A82AF0"/>
    <w:rsid w:val="00A8477D"/>
    <w:rsid w:val="00A863F4"/>
    <w:rsid w:val="00A8686A"/>
    <w:rsid w:val="00A870D0"/>
    <w:rsid w:val="00A873AF"/>
    <w:rsid w:val="00A87A9A"/>
    <w:rsid w:val="00A9103A"/>
    <w:rsid w:val="00A918A6"/>
    <w:rsid w:val="00A9619C"/>
    <w:rsid w:val="00A96F0B"/>
    <w:rsid w:val="00A97843"/>
    <w:rsid w:val="00A97D27"/>
    <w:rsid w:val="00AA05F0"/>
    <w:rsid w:val="00AA1413"/>
    <w:rsid w:val="00AA3169"/>
    <w:rsid w:val="00AA3F99"/>
    <w:rsid w:val="00AB0F20"/>
    <w:rsid w:val="00AB26A8"/>
    <w:rsid w:val="00AB5278"/>
    <w:rsid w:val="00AB5AB4"/>
    <w:rsid w:val="00AB6411"/>
    <w:rsid w:val="00AB78A9"/>
    <w:rsid w:val="00AC21A7"/>
    <w:rsid w:val="00AC2BCA"/>
    <w:rsid w:val="00AC7C4C"/>
    <w:rsid w:val="00AD07C0"/>
    <w:rsid w:val="00AD0CC4"/>
    <w:rsid w:val="00AD243F"/>
    <w:rsid w:val="00AD24C5"/>
    <w:rsid w:val="00AD595B"/>
    <w:rsid w:val="00AD7ADC"/>
    <w:rsid w:val="00AE0F48"/>
    <w:rsid w:val="00AE21ED"/>
    <w:rsid w:val="00AE2568"/>
    <w:rsid w:val="00AE25CA"/>
    <w:rsid w:val="00AE34DB"/>
    <w:rsid w:val="00AE3EA3"/>
    <w:rsid w:val="00AE40A1"/>
    <w:rsid w:val="00AE4762"/>
    <w:rsid w:val="00AE4AF4"/>
    <w:rsid w:val="00AE5A08"/>
    <w:rsid w:val="00AE5D4A"/>
    <w:rsid w:val="00AF0099"/>
    <w:rsid w:val="00AF0751"/>
    <w:rsid w:val="00AF2347"/>
    <w:rsid w:val="00AF238D"/>
    <w:rsid w:val="00AF2792"/>
    <w:rsid w:val="00AF2FA5"/>
    <w:rsid w:val="00AF3DFD"/>
    <w:rsid w:val="00AF55E3"/>
    <w:rsid w:val="00AF6432"/>
    <w:rsid w:val="00AF67CF"/>
    <w:rsid w:val="00AF6F6C"/>
    <w:rsid w:val="00AF7F54"/>
    <w:rsid w:val="00B0351A"/>
    <w:rsid w:val="00B04E05"/>
    <w:rsid w:val="00B04EB1"/>
    <w:rsid w:val="00B05CFE"/>
    <w:rsid w:val="00B0683E"/>
    <w:rsid w:val="00B07DD1"/>
    <w:rsid w:val="00B10097"/>
    <w:rsid w:val="00B10275"/>
    <w:rsid w:val="00B107CC"/>
    <w:rsid w:val="00B118D3"/>
    <w:rsid w:val="00B12C02"/>
    <w:rsid w:val="00B13747"/>
    <w:rsid w:val="00B1378E"/>
    <w:rsid w:val="00B14545"/>
    <w:rsid w:val="00B14B3D"/>
    <w:rsid w:val="00B15348"/>
    <w:rsid w:val="00B17A80"/>
    <w:rsid w:val="00B17DDB"/>
    <w:rsid w:val="00B20B0F"/>
    <w:rsid w:val="00B23264"/>
    <w:rsid w:val="00B237B5"/>
    <w:rsid w:val="00B24256"/>
    <w:rsid w:val="00B266C2"/>
    <w:rsid w:val="00B27320"/>
    <w:rsid w:val="00B31354"/>
    <w:rsid w:val="00B31FBD"/>
    <w:rsid w:val="00B3293B"/>
    <w:rsid w:val="00B33793"/>
    <w:rsid w:val="00B337FB"/>
    <w:rsid w:val="00B33D54"/>
    <w:rsid w:val="00B34A8F"/>
    <w:rsid w:val="00B3625B"/>
    <w:rsid w:val="00B413F6"/>
    <w:rsid w:val="00B417B0"/>
    <w:rsid w:val="00B4306B"/>
    <w:rsid w:val="00B437C6"/>
    <w:rsid w:val="00B4390B"/>
    <w:rsid w:val="00B43A61"/>
    <w:rsid w:val="00B43EC3"/>
    <w:rsid w:val="00B443BC"/>
    <w:rsid w:val="00B45D8E"/>
    <w:rsid w:val="00B460A3"/>
    <w:rsid w:val="00B46A0F"/>
    <w:rsid w:val="00B46EC7"/>
    <w:rsid w:val="00B5025F"/>
    <w:rsid w:val="00B53116"/>
    <w:rsid w:val="00B53AD7"/>
    <w:rsid w:val="00B53EA2"/>
    <w:rsid w:val="00B56A8C"/>
    <w:rsid w:val="00B56CFF"/>
    <w:rsid w:val="00B574AA"/>
    <w:rsid w:val="00B60030"/>
    <w:rsid w:val="00B641AA"/>
    <w:rsid w:val="00B65ACA"/>
    <w:rsid w:val="00B66908"/>
    <w:rsid w:val="00B712A8"/>
    <w:rsid w:val="00B714AB"/>
    <w:rsid w:val="00B72158"/>
    <w:rsid w:val="00B7470E"/>
    <w:rsid w:val="00B75915"/>
    <w:rsid w:val="00B759A2"/>
    <w:rsid w:val="00B81040"/>
    <w:rsid w:val="00B8223E"/>
    <w:rsid w:val="00B82DE5"/>
    <w:rsid w:val="00B837BB"/>
    <w:rsid w:val="00B83C74"/>
    <w:rsid w:val="00B84EFB"/>
    <w:rsid w:val="00B856ED"/>
    <w:rsid w:val="00B87EDB"/>
    <w:rsid w:val="00B912F3"/>
    <w:rsid w:val="00B9186A"/>
    <w:rsid w:val="00B92626"/>
    <w:rsid w:val="00B92649"/>
    <w:rsid w:val="00B93977"/>
    <w:rsid w:val="00B93EB7"/>
    <w:rsid w:val="00B969A6"/>
    <w:rsid w:val="00BA2528"/>
    <w:rsid w:val="00BA472D"/>
    <w:rsid w:val="00BA6447"/>
    <w:rsid w:val="00BA6DDD"/>
    <w:rsid w:val="00BA7469"/>
    <w:rsid w:val="00BB50D7"/>
    <w:rsid w:val="00BB57F3"/>
    <w:rsid w:val="00BB585B"/>
    <w:rsid w:val="00BB5E66"/>
    <w:rsid w:val="00BB6BF2"/>
    <w:rsid w:val="00BB7994"/>
    <w:rsid w:val="00BC1AD7"/>
    <w:rsid w:val="00BC2B4C"/>
    <w:rsid w:val="00BC464A"/>
    <w:rsid w:val="00BC4936"/>
    <w:rsid w:val="00BC6F8C"/>
    <w:rsid w:val="00BC75E4"/>
    <w:rsid w:val="00BD02CC"/>
    <w:rsid w:val="00BD09DD"/>
    <w:rsid w:val="00BD3263"/>
    <w:rsid w:val="00BD3838"/>
    <w:rsid w:val="00BD4758"/>
    <w:rsid w:val="00BD5027"/>
    <w:rsid w:val="00BD532A"/>
    <w:rsid w:val="00BD640D"/>
    <w:rsid w:val="00BD7999"/>
    <w:rsid w:val="00BD7A0C"/>
    <w:rsid w:val="00BD7ED6"/>
    <w:rsid w:val="00BE0F0B"/>
    <w:rsid w:val="00BE16AA"/>
    <w:rsid w:val="00BE2741"/>
    <w:rsid w:val="00BE2813"/>
    <w:rsid w:val="00BE2A26"/>
    <w:rsid w:val="00BE3374"/>
    <w:rsid w:val="00BE401C"/>
    <w:rsid w:val="00BE5ED2"/>
    <w:rsid w:val="00BE6665"/>
    <w:rsid w:val="00BE68B2"/>
    <w:rsid w:val="00BE6B95"/>
    <w:rsid w:val="00BE76D4"/>
    <w:rsid w:val="00BE76F4"/>
    <w:rsid w:val="00BF0963"/>
    <w:rsid w:val="00BF0F32"/>
    <w:rsid w:val="00BF58EA"/>
    <w:rsid w:val="00BF6D07"/>
    <w:rsid w:val="00C0081E"/>
    <w:rsid w:val="00C01B27"/>
    <w:rsid w:val="00C02050"/>
    <w:rsid w:val="00C02107"/>
    <w:rsid w:val="00C02A81"/>
    <w:rsid w:val="00C0342A"/>
    <w:rsid w:val="00C0376B"/>
    <w:rsid w:val="00C038A9"/>
    <w:rsid w:val="00C0457C"/>
    <w:rsid w:val="00C068C9"/>
    <w:rsid w:val="00C10776"/>
    <w:rsid w:val="00C11876"/>
    <w:rsid w:val="00C1219A"/>
    <w:rsid w:val="00C12973"/>
    <w:rsid w:val="00C138A3"/>
    <w:rsid w:val="00C142A9"/>
    <w:rsid w:val="00C14782"/>
    <w:rsid w:val="00C17E57"/>
    <w:rsid w:val="00C20ED8"/>
    <w:rsid w:val="00C20FA9"/>
    <w:rsid w:val="00C236BA"/>
    <w:rsid w:val="00C23CF8"/>
    <w:rsid w:val="00C2754D"/>
    <w:rsid w:val="00C302EA"/>
    <w:rsid w:val="00C30AF8"/>
    <w:rsid w:val="00C31A40"/>
    <w:rsid w:val="00C31E8F"/>
    <w:rsid w:val="00C322DF"/>
    <w:rsid w:val="00C32E98"/>
    <w:rsid w:val="00C33458"/>
    <w:rsid w:val="00C3346F"/>
    <w:rsid w:val="00C33A68"/>
    <w:rsid w:val="00C34551"/>
    <w:rsid w:val="00C3662A"/>
    <w:rsid w:val="00C368ED"/>
    <w:rsid w:val="00C37D0F"/>
    <w:rsid w:val="00C37EC2"/>
    <w:rsid w:val="00C40089"/>
    <w:rsid w:val="00C40FF7"/>
    <w:rsid w:val="00C4157D"/>
    <w:rsid w:val="00C4315B"/>
    <w:rsid w:val="00C435BD"/>
    <w:rsid w:val="00C4394B"/>
    <w:rsid w:val="00C4521D"/>
    <w:rsid w:val="00C45F51"/>
    <w:rsid w:val="00C46640"/>
    <w:rsid w:val="00C46A36"/>
    <w:rsid w:val="00C46C72"/>
    <w:rsid w:val="00C46F67"/>
    <w:rsid w:val="00C47AD4"/>
    <w:rsid w:val="00C54DB9"/>
    <w:rsid w:val="00C56065"/>
    <w:rsid w:val="00C5615A"/>
    <w:rsid w:val="00C56A95"/>
    <w:rsid w:val="00C571EC"/>
    <w:rsid w:val="00C6024F"/>
    <w:rsid w:val="00C60AF6"/>
    <w:rsid w:val="00C6218A"/>
    <w:rsid w:val="00C63C29"/>
    <w:rsid w:val="00C64040"/>
    <w:rsid w:val="00C6490D"/>
    <w:rsid w:val="00C64D59"/>
    <w:rsid w:val="00C65C99"/>
    <w:rsid w:val="00C6775F"/>
    <w:rsid w:val="00C736F1"/>
    <w:rsid w:val="00C75651"/>
    <w:rsid w:val="00C76442"/>
    <w:rsid w:val="00C769D2"/>
    <w:rsid w:val="00C76A99"/>
    <w:rsid w:val="00C76AC2"/>
    <w:rsid w:val="00C8065D"/>
    <w:rsid w:val="00C813D7"/>
    <w:rsid w:val="00C8156B"/>
    <w:rsid w:val="00C84100"/>
    <w:rsid w:val="00C85144"/>
    <w:rsid w:val="00C85E73"/>
    <w:rsid w:val="00C877B9"/>
    <w:rsid w:val="00C87A50"/>
    <w:rsid w:val="00C90CFA"/>
    <w:rsid w:val="00C92081"/>
    <w:rsid w:val="00C93605"/>
    <w:rsid w:val="00C9364B"/>
    <w:rsid w:val="00C94713"/>
    <w:rsid w:val="00C97FE9"/>
    <w:rsid w:val="00CA0592"/>
    <w:rsid w:val="00CA3E30"/>
    <w:rsid w:val="00CA4323"/>
    <w:rsid w:val="00CA6256"/>
    <w:rsid w:val="00CA68FC"/>
    <w:rsid w:val="00CB12C2"/>
    <w:rsid w:val="00CB1609"/>
    <w:rsid w:val="00CB17B1"/>
    <w:rsid w:val="00CB27F5"/>
    <w:rsid w:val="00CB35A5"/>
    <w:rsid w:val="00CB44B3"/>
    <w:rsid w:val="00CB617E"/>
    <w:rsid w:val="00CB6F6B"/>
    <w:rsid w:val="00CC1383"/>
    <w:rsid w:val="00CC3544"/>
    <w:rsid w:val="00CC7D1D"/>
    <w:rsid w:val="00CD0364"/>
    <w:rsid w:val="00CD05FA"/>
    <w:rsid w:val="00CD1391"/>
    <w:rsid w:val="00CD33BE"/>
    <w:rsid w:val="00CD33DB"/>
    <w:rsid w:val="00CD4278"/>
    <w:rsid w:val="00CD45EA"/>
    <w:rsid w:val="00CE196A"/>
    <w:rsid w:val="00CE22E7"/>
    <w:rsid w:val="00CE27E8"/>
    <w:rsid w:val="00CE4F18"/>
    <w:rsid w:val="00CE6589"/>
    <w:rsid w:val="00CE6BFA"/>
    <w:rsid w:val="00CE79CD"/>
    <w:rsid w:val="00CF08F5"/>
    <w:rsid w:val="00CF0B42"/>
    <w:rsid w:val="00CF1180"/>
    <w:rsid w:val="00CF2CE2"/>
    <w:rsid w:val="00CF3382"/>
    <w:rsid w:val="00CF4135"/>
    <w:rsid w:val="00CF5674"/>
    <w:rsid w:val="00CF726D"/>
    <w:rsid w:val="00D00BF4"/>
    <w:rsid w:val="00D0275E"/>
    <w:rsid w:val="00D030E3"/>
    <w:rsid w:val="00D0340B"/>
    <w:rsid w:val="00D0389E"/>
    <w:rsid w:val="00D03F5A"/>
    <w:rsid w:val="00D05330"/>
    <w:rsid w:val="00D05494"/>
    <w:rsid w:val="00D07960"/>
    <w:rsid w:val="00D1157E"/>
    <w:rsid w:val="00D1200A"/>
    <w:rsid w:val="00D1275A"/>
    <w:rsid w:val="00D12CF8"/>
    <w:rsid w:val="00D138F1"/>
    <w:rsid w:val="00D15485"/>
    <w:rsid w:val="00D15840"/>
    <w:rsid w:val="00D17C2C"/>
    <w:rsid w:val="00D205BF"/>
    <w:rsid w:val="00D21048"/>
    <w:rsid w:val="00D22A0D"/>
    <w:rsid w:val="00D23A90"/>
    <w:rsid w:val="00D249DD"/>
    <w:rsid w:val="00D322B0"/>
    <w:rsid w:val="00D32FC6"/>
    <w:rsid w:val="00D33F62"/>
    <w:rsid w:val="00D342E0"/>
    <w:rsid w:val="00D344F9"/>
    <w:rsid w:val="00D345B8"/>
    <w:rsid w:val="00D35673"/>
    <w:rsid w:val="00D4218F"/>
    <w:rsid w:val="00D4437A"/>
    <w:rsid w:val="00D4507F"/>
    <w:rsid w:val="00D451E4"/>
    <w:rsid w:val="00D460FA"/>
    <w:rsid w:val="00D46711"/>
    <w:rsid w:val="00D471B5"/>
    <w:rsid w:val="00D47A50"/>
    <w:rsid w:val="00D50CEE"/>
    <w:rsid w:val="00D5301A"/>
    <w:rsid w:val="00D55569"/>
    <w:rsid w:val="00D5709A"/>
    <w:rsid w:val="00D60C89"/>
    <w:rsid w:val="00D6118D"/>
    <w:rsid w:val="00D61BE8"/>
    <w:rsid w:val="00D63803"/>
    <w:rsid w:val="00D66293"/>
    <w:rsid w:val="00D66510"/>
    <w:rsid w:val="00D66BE2"/>
    <w:rsid w:val="00D702B8"/>
    <w:rsid w:val="00D7170B"/>
    <w:rsid w:val="00D71A68"/>
    <w:rsid w:val="00D72843"/>
    <w:rsid w:val="00D73ADF"/>
    <w:rsid w:val="00D74441"/>
    <w:rsid w:val="00D751C6"/>
    <w:rsid w:val="00D761C1"/>
    <w:rsid w:val="00D762B3"/>
    <w:rsid w:val="00D80880"/>
    <w:rsid w:val="00D80A12"/>
    <w:rsid w:val="00D82CE4"/>
    <w:rsid w:val="00D83A53"/>
    <w:rsid w:val="00D83EDF"/>
    <w:rsid w:val="00D8417F"/>
    <w:rsid w:val="00D85BC2"/>
    <w:rsid w:val="00D85E9F"/>
    <w:rsid w:val="00D86D5F"/>
    <w:rsid w:val="00D87074"/>
    <w:rsid w:val="00D919C4"/>
    <w:rsid w:val="00D92421"/>
    <w:rsid w:val="00D94AFE"/>
    <w:rsid w:val="00D95648"/>
    <w:rsid w:val="00D96412"/>
    <w:rsid w:val="00D97446"/>
    <w:rsid w:val="00D97FB2"/>
    <w:rsid w:val="00DA0DD5"/>
    <w:rsid w:val="00DA1280"/>
    <w:rsid w:val="00DA140E"/>
    <w:rsid w:val="00DA19B7"/>
    <w:rsid w:val="00DA2D8C"/>
    <w:rsid w:val="00DA5C0B"/>
    <w:rsid w:val="00DA6AC5"/>
    <w:rsid w:val="00DB01CF"/>
    <w:rsid w:val="00DB19C7"/>
    <w:rsid w:val="00DB3B8D"/>
    <w:rsid w:val="00DB4990"/>
    <w:rsid w:val="00DB4F26"/>
    <w:rsid w:val="00DC04AC"/>
    <w:rsid w:val="00DC07F7"/>
    <w:rsid w:val="00DC0951"/>
    <w:rsid w:val="00DC0B93"/>
    <w:rsid w:val="00DC269D"/>
    <w:rsid w:val="00DC4604"/>
    <w:rsid w:val="00DC51E4"/>
    <w:rsid w:val="00DC5523"/>
    <w:rsid w:val="00DC565E"/>
    <w:rsid w:val="00DC70C4"/>
    <w:rsid w:val="00DD0224"/>
    <w:rsid w:val="00DD0B77"/>
    <w:rsid w:val="00DD23AB"/>
    <w:rsid w:val="00DD2E49"/>
    <w:rsid w:val="00DD36F4"/>
    <w:rsid w:val="00DD3E21"/>
    <w:rsid w:val="00DD47E3"/>
    <w:rsid w:val="00DE04CE"/>
    <w:rsid w:val="00DE1536"/>
    <w:rsid w:val="00DE1E98"/>
    <w:rsid w:val="00DE31A1"/>
    <w:rsid w:val="00DE6709"/>
    <w:rsid w:val="00DE7016"/>
    <w:rsid w:val="00DE710A"/>
    <w:rsid w:val="00DE7735"/>
    <w:rsid w:val="00DE7823"/>
    <w:rsid w:val="00DE7CAA"/>
    <w:rsid w:val="00DF0676"/>
    <w:rsid w:val="00DF0869"/>
    <w:rsid w:val="00DF1674"/>
    <w:rsid w:val="00DF1EED"/>
    <w:rsid w:val="00DF2071"/>
    <w:rsid w:val="00DF4328"/>
    <w:rsid w:val="00DF475E"/>
    <w:rsid w:val="00DF4A03"/>
    <w:rsid w:val="00DF6226"/>
    <w:rsid w:val="00DF7A0E"/>
    <w:rsid w:val="00E0059D"/>
    <w:rsid w:val="00E0139B"/>
    <w:rsid w:val="00E01473"/>
    <w:rsid w:val="00E0392A"/>
    <w:rsid w:val="00E04623"/>
    <w:rsid w:val="00E056D3"/>
    <w:rsid w:val="00E06232"/>
    <w:rsid w:val="00E06A9D"/>
    <w:rsid w:val="00E06C2F"/>
    <w:rsid w:val="00E07961"/>
    <w:rsid w:val="00E07DFD"/>
    <w:rsid w:val="00E10947"/>
    <w:rsid w:val="00E1151C"/>
    <w:rsid w:val="00E11D43"/>
    <w:rsid w:val="00E12401"/>
    <w:rsid w:val="00E131BB"/>
    <w:rsid w:val="00E15287"/>
    <w:rsid w:val="00E159BD"/>
    <w:rsid w:val="00E1635D"/>
    <w:rsid w:val="00E164C9"/>
    <w:rsid w:val="00E177F9"/>
    <w:rsid w:val="00E178FE"/>
    <w:rsid w:val="00E17D51"/>
    <w:rsid w:val="00E17EF8"/>
    <w:rsid w:val="00E208C3"/>
    <w:rsid w:val="00E226CA"/>
    <w:rsid w:val="00E23494"/>
    <w:rsid w:val="00E255AC"/>
    <w:rsid w:val="00E339A9"/>
    <w:rsid w:val="00E33AFA"/>
    <w:rsid w:val="00E33EA4"/>
    <w:rsid w:val="00E3507A"/>
    <w:rsid w:val="00E36541"/>
    <w:rsid w:val="00E3786F"/>
    <w:rsid w:val="00E4025C"/>
    <w:rsid w:val="00E40EBA"/>
    <w:rsid w:val="00E4151C"/>
    <w:rsid w:val="00E415D8"/>
    <w:rsid w:val="00E41748"/>
    <w:rsid w:val="00E4232F"/>
    <w:rsid w:val="00E4418F"/>
    <w:rsid w:val="00E50F7A"/>
    <w:rsid w:val="00E512E4"/>
    <w:rsid w:val="00E5153E"/>
    <w:rsid w:val="00E52EEA"/>
    <w:rsid w:val="00E532A0"/>
    <w:rsid w:val="00E53A37"/>
    <w:rsid w:val="00E54294"/>
    <w:rsid w:val="00E57EBE"/>
    <w:rsid w:val="00E620E7"/>
    <w:rsid w:val="00E646DE"/>
    <w:rsid w:val="00E661BB"/>
    <w:rsid w:val="00E661FC"/>
    <w:rsid w:val="00E666B5"/>
    <w:rsid w:val="00E673CF"/>
    <w:rsid w:val="00E67452"/>
    <w:rsid w:val="00E7000D"/>
    <w:rsid w:val="00E7008D"/>
    <w:rsid w:val="00E70FDF"/>
    <w:rsid w:val="00E715F0"/>
    <w:rsid w:val="00E736F2"/>
    <w:rsid w:val="00E73D34"/>
    <w:rsid w:val="00E73E85"/>
    <w:rsid w:val="00E74A56"/>
    <w:rsid w:val="00E7621E"/>
    <w:rsid w:val="00E77248"/>
    <w:rsid w:val="00E777C4"/>
    <w:rsid w:val="00E8102E"/>
    <w:rsid w:val="00E81124"/>
    <w:rsid w:val="00E8219E"/>
    <w:rsid w:val="00E82BE5"/>
    <w:rsid w:val="00E837FD"/>
    <w:rsid w:val="00E83C6D"/>
    <w:rsid w:val="00E84FFF"/>
    <w:rsid w:val="00E855BE"/>
    <w:rsid w:val="00E860FD"/>
    <w:rsid w:val="00E86710"/>
    <w:rsid w:val="00E86EC4"/>
    <w:rsid w:val="00E87428"/>
    <w:rsid w:val="00E9247B"/>
    <w:rsid w:val="00E92C13"/>
    <w:rsid w:val="00E94A8E"/>
    <w:rsid w:val="00E95443"/>
    <w:rsid w:val="00E95E3E"/>
    <w:rsid w:val="00E963FA"/>
    <w:rsid w:val="00E974B5"/>
    <w:rsid w:val="00E97666"/>
    <w:rsid w:val="00EA1DBF"/>
    <w:rsid w:val="00EA2414"/>
    <w:rsid w:val="00EA343E"/>
    <w:rsid w:val="00EA368B"/>
    <w:rsid w:val="00EA3FBC"/>
    <w:rsid w:val="00EA5EEF"/>
    <w:rsid w:val="00EA776C"/>
    <w:rsid w:val="00EB0D82"/>
    <w:rsid w:val="00EB0DE6"/>
    <w:rsid w:val="00EB2487"/>
    <w:rsid w:val="00EB37FA"/>
    <w:rsid w:val="00EB42C1"/>
    <w:rsid w:val="00EB5106"/>
    <w:rsid w:val="00EB6472"/>
    <w:rsid w:val="00EB6818"/>
    <w:rsid w:val="00EB6E6A"/>
    <w:rsid w:val="00EB7573"/>
    <w:rsid w:val="00EC1107"/>
    <w:rsid w:val="00EC22B3"/>
    <w:rsid w:val="00EC2AC8"/>
    <w:rsid w:val="00EC4DF7"/>
    <w:rsid w:val="00EC522B"/>
    <w:rsid w:val="00EC5CA2"/>
    <w:rsid w:val="00EC7BB7"/>
    <w:rsid w:val="00ED273C"/>
    <w:rsid w:val="00ED285F"/>
    <w:rsid w:val="00ED30F1"/>
    <w:rsid w:val="00ED3C9A"/>
    <w:rsid w:val="00EE0196"/>
    <w:rsid w:val="00EE07AE"/>
    <w:rsid w:val="00EE15E9"/>
    <w:rsid w:val="00EE164A"/>
    <w:rsid w:val="00EE21BC"/>
    <w:rsid w:val="00EE23D1"/>
    <w:rsid w:val="00EE6038"/>
    <w:rsid w:val="00EE6F05"/>
    <w:rsid w:val="00EF0331"/>
    <w:rsid w:val="00EF159B"/>
    <w:rsid w:val="00EF1B93"/>
    <w:rsid w:val="00EF1C36"/>
    <w:rsid w:val="00EF29A0"/>
    <w:rsid w:val="00EF371D"/>
    <w:rsid w:val="00EF6B72"/>
    <w:rsid w:val="00EF6E7C"/>
    <w:rsid w:val="00EF8C98"/>
    <w:rsid w:val="00F01EAE"/>
    <w:rsid w:val="00F03B29"/>
    <w:rsid w:val="00F0564C"/>
    <w:rsid w:val="00F1093A"/>
    <w:rsid w:val="00F11512"/>
    <w:rsid w:val="00F11F52"/>
    <w:rsid w:val="00F1344A"/>
    <w:rsid w:val="00F13E3F"/>
    <w:rsid w:val="00F13F46"/>
    <w:rsid w:val="00F14D14"/>
    <w:rsid w:val="00F179DA"/>
    <w:rsid w:val="00F21CED"/>
    <w:rsid w:val="00F23EAC"/>
    <w:rsid w:val="00F240BA"/>
    <w:rsid w:val="00F24CCC"/>
    <w:rsid w:val="00F2629B"/>
    <w:rsid w:val="00F26925"/>
    <w:rsid w:val="00F2717E"/>
    <w:rsid w:val="00F278E3"/>
    <w:rsid w:val="00F3127A"/>
    <w:rsid w:val="00F31B73"/>
    <w:rsid w:val="00F33A5C"/>
    <w:rsid w:val="00F34142"/>
    <w:rsid w:val="00F34C06"/>
    <w:rsid w:val="00F34C43"/>
    <w:rsid w:val="00F369FB"/>
    <w:rsid w:val="00F37711"/>
    <w:rsid w:val="00F37942"/>
    <w:rsid w:val="00F40BF0"/>
    <w:rsid w:val="00F41D7F"/>
    <w:rsid w:val="00F43764"/>
    <w:rsid w:val="00F44140"/>
    <w:rsid w:val="00F44CE1"/>
    <w:rsid w:val="00F46445"/>
    <w:rsid w:val="00F470E5"/>
    <w:rsid w:val="00F47904"/>
    <w:rsid w:val="00F50975"/>
    <w:rsid w:val="00F55F96"/>
    <w:rsid w:val="00F60D39"/>
    <w:rsid w:val="00F61793"/>
    <w:rsid w:val="00F63EFF"/>
    <w:rsid w:val="00F63F88"/>
    <w:rsid w:val="00F6436E"/>
    <w:rsid w:val="00F65886"/>
    <w:rsid w:val="00F65CA2"/>
    <w:rsid w:val="00F663CF"/>
    <w:rsid w:val="00F66436"/>
    <w:rsid w:val="00F671F9"/>
    <w:rsid w:val="00F677A4"/>
    <w:rsid w:val="00F67911"/>
    <w:rsid w:val="00F712C7"/>
    <w:rsid w:val="00F71BC6"/>
    <w:rsid w:val="00F721EF"/>
    <w:rsid w:val="00F7655B"/>
    <w:rsid w:val="00F7661C"/>
    <w:rsid w:val="00F77222"/>
    <w:rsid w:val="00F77DB0"/>
    <w:rsid w:val="00F80288"/>
    <w:rsid w:val="00F806F4"/>
    <w:rsid w:val="00F80D55"/>
    <w:rsid w:val="00F810CF"/>
    <w:rsid w:val="00F819D9"/>
    <w:rsid w:val="00F8252B"/>
    <w:rsid w:val="00F830E1"/>
    <w:rsid w:val="00F84CE7"/>
    <w:rsid w:val="00F84FCA"/>
    <w:rsid w:val="00F856B7"/>
    <w:rsid w:val="00F87F59"/>
    <w:rsid w:val="00F90210"/>
    <w:rsid w:val="00F90919"/>
    <w:rsid w:val="00F931C6"/>
    <w:rsid w:val="00F93324"/>
    <w:rsid w:val="00F942FA"/>
    <w:rsid w:val="00F950DE"/>
    <w:rsid w:val="00F9536E"/>
    <w:rsid w:val="00F95958"/>
    <w:rsid w:val="00FA00C6"/>
    <w:rsid w:val="00FA0455"/>
    <w:rsid w:val="00FA18B9"/>
    <w:rsid w:val="00FA1E42"/>
    <w:rsid w:val="00FA5537"/>
    <w:rsid w:val="00FB1F01"/>
    <w:rsid w:val="00FB1F51"/>
    <w:rsid w:val="00FB29D9"/>
    <w:rsid w:val="00FB2A41"/>
    <w:rsid w:val="00FB3A6F"/>
    <w:rsid w:val="00FB470B"/>
    <w:rsid w:val="00FB542B"/>
    <w:rsid w:val="00FB606E"/>
    <w:rsid w:val="00FC1EF4"/>
    <w:rsid w:val="00FC26D8"/>
    <w:rsid w:val="00FC50C6"/>
    <w:rsid w:val="00FC5474"/>
    <w:rsid w:val="00FD0096"/>
    <w:rsid w:val="00FD1E2E"/>
    <w:rsid w:val="00FD4226"/>
    <w:rsid w:val="00FD563E"/>
    <w:rsid w:val="00FD5CF0"/>
    <w:rsid w:val="00FD5E79"/>
    <w:rsid w:val="00FD6AD9"/>
    <w:rsid w:val="00FD6E11"/>
    <w:rsid w:val="00FE041C"/>
    <w:rsid w:val="00FE385B"/>
    <w:rsid w:val="00FE699D"/>
    <w:rsid w:val="00FE6D37"/>
    <w:rsid w:val="00FE71BF"/>
    <w:rsid w:val="00FE7D61"/>
    <w:rsid w:val="00FF0D8C"/>
    <w:rsid w:val="00FF0DCE"/>
    <w:rsid w:val="00FF1681"/>
    <w:rsid w:val="00FF1F93"/>
    <w:rsid w:val="00FF2939"/>
    <w:rsid w:val="00FF2BE3"/>
    <w:rsid w:val="00FF3396"/>
    <w:rsid w:val="00FF5CF7"/>
    <w:rsid w:val="00FF6346"/>
    <w:rsid w:val="00FF72DE"/>
    <w:rsid w:val="04137CC1"/>
    <w:rsid w:val="0419CD62"/>
    <w:rsid w:val="042306F0"/>
    <w:rsid w:val="050C75A9"/>
    <w:rsid w:val="0645F51D"/>
    <w:rsid w:val="0665FB43"/>
    <w:rsid w:val="076F445B"/>
    <w:rsid w:val="07BB120C"/>
    <w:rsid w:val="07F46919"/>
    <w:rsid w:val="08CC2ADE"/>
    <w:rsid w:val="0975D404"/>
    <w:rsid w:val="09C501F1"/>
    <w:rsid w:val="09D0AC27"/>
    <w:rsid w:val="09F3403F"/>
    <w:rsid w:val="0AEC5C71"/>
    <w:rsid w:val="0BCC54C1"/>
    <w:rsid w:val="0BFEC22A"/>
    <w:rsid w:val="0C11B612"/>
    <w:rsid w:val="0DE6380F"/>
    <w:rsid w:val="0E20B08D"/>
    <w:rsid w:val="0ECF2151"/>
    <w:rsid w:val="0F30FBD3"/>
    <w:rsid w:val="0FD43586"/>
    <w:rsid w:val="1016E262"/>
    <w:rsid w:val="110506E3"/>
    <w:rsid w:val="116F9572"/>
    <w:rsid w:val="122F8E40"/>
    <w:rsid w:val="1235E7F1"/>
    <w:rsid w:val="13189789"/>
    <w:rsid w:val="14DABD01"/>
    <w:rsid w:val="15FB6F65"/>
    <w:rsid w:val="16A393C0"/>
    <w:rsid w:val="17BD0A26"/>
    <w:rsid w:val="19510D61"/>
    <w:rsid w:val="19808BCD"/>
    <w:rsid w:val="19972CB9"/>
    <w:rsid w:val="19DFD838"/>
    <w:rsid w:val="19E6589C"/>
    <w:rsid w:val="1B2BA45B"/>
    <w:rsid w:val="1D47226D"/>
    <w:rsid w:val="1E149D51"/>
    <w:rsid w:val="1E689390"/>
    <w:rsid w:val="1EF49C4A"/>
    <w:rsid w:val="1F10EC58"/>
    <w:rsid w:val="1F46AAC3"/>
    <w:rsid w:val="209FBA8E"/>
    <w:rsid w:val="2120A2ED"/>
    <w:rsid w:val="222FD34F"/>
    <w:rsid w:val="228778F5"/>
    <w:rsid w:val="23CA4E79"/>
    <w:rsid w:val="23ED727B"/>
    <w:rsid w:val="2430C068"/>
    <w:rsid w:val="2624EB8F"/>
    <w:rsid w:val="26493E24"/>
    <w:rsid w:val="267115BF"/>
    <w:rsid w:val="26F70135"/>
    <w:rsid w:val="27C7A16B"/>
    <w:rsid w:val="2854FB5D"/>
    <w:rsid w:val="28AD41AC"/>
    <w:rsid w:val="28D95FB2"/>
    <w:rsid w:val="28F8BB8D"/>
    <w:rsid w:val="29190320"/>
    <w:rsid w:val="2ADB2882"/>
    <w:rsid w:val="2BBC243E"/>
    <w:rsid w:val="2D748524"/>
    <w:rsid w:val="2E007BD0"/>
    <w:rsid w:val="2E556821"/>
    <w:rsid w:val="2E98D884"/>
    <w:rsid w:val="2ED3CB46"/>
    <w:rsid w:val="2F1589F1"/>
    <w:rsid w:val="2F24123A"/>
    <w:rsid w:val="2F389385"/>
    <w:rsid w:val="2F3C5CC8"/>
    <w:rsid w:val="2F607774"/>
    <w:rsid w:val="2FD1829C"/>
    <w:rsid w:val="300852A5"/>
    <w:rsid w:val="31225614"/>
    <w:rsid w:val="320542E2"/>
    <w:rsid w:val="321709F8"/>
    <w:rsid w:val="322BFF09"/>
    <w:rsid w:val="327B6D0E"/>
    <w:rsid w:val="3304D557"/>
    <w:rsid w:val="3425BC85"/>
    <w:rsid w:val="3487CD10"/>
    <w:rsid w:val="34AD3608"/>
    <w:rsid w:val="356B3045"/>
    <w:rsid w:val="3766BF4B"/>
    <w:rsid w:val="3919854B"/>
    <w:rsid w:val="3950E096"/>
    <w:rsid w:val="39A33919"/>
    <w:rsid w:val="3A171448"/>
    <w:rsid w:val="3AB00FFD"/>
    <w:rsid w:val="3B3F097A"/>
    <w:rsid w:val="3B9E9658"/>
    <w:rsid w:val="3BD931C2"/>
    <w:rsid w:val="3BFC3481"/>
    <w:rsid w:val="3C00093A"/>
    <w:rsid w:val="3C3B8E27"/>
    <w:rsid w:val="3C42768A"/>
    <w:rsid w:val="3D5D2A79"/>
    <w:rsid w:val="3D6F50B2"/>
    <w:rsid w:val="3E1BE84D"/>
    <w:rsid w:val="3E42953A"/>
    <w:rsid w:val="3EB40CD5"/>
    <w:rsid w:val="3F05CA2A"/>
    <w:rsid w:val="3F838120"/>
    <w:rsid w:val="3FF414CB"/>
    <w:rsid w:val="40A25DED"/>
    <w:rsid w:val="4285AC95"/>
    <w:rsid w:val="42A7167C"/>
    <w:rsid w:val="42C82D4E"/>
    <w:rsid w:val="42CBDAFC"/>
    <w:rsid w:val="430E2C7A"/>
    <w:rsid w:val="43947048"/>
    <w:rsid w:val="43CCF1BD"/>
    <w:rsid w:val="43FEEEC8"/>
    <w:rsid w:val="4443B1DA"/>
    <w:rsid w:val="44CCF868"/>
    <w:rsid w:val="44F2E1D1"/>
    <w:rsid w:val="46269886"/>
    <w:rsid w:val="46B2154A"/>
    <w:rsid w:val="46BF0418"/>
    <w:rsid w:val="46EDC90E"/>
    <w:rsid w:val="472F319C"/>
    <w:rsid w:val="473F8882"/>
    <w:rsid w:val="4755B7EB"/>
    <w:rsid w:val="476F1048"/>
    <w:rsid w:val="479B912D"/>
    <w:rsid w:val="47A50672"/>
    <w:rsid w:val="48067221"/>
    <w:rsid w:val="48DDD1EB"/>
    <w:rsid w:val="49BB084D"/>
    <w:rsid w:val="4B89BF8B"/>
    <w:rsid w:val="4BB7774E"/>
    <w:rsid w:val="4BF63647"/>
    <w:rsid w:val="4C9205A0"/>
    <w:rsid w:val="4D204B86"/>
    <w:rsid w:val="4D2DCB83"/>
    <w:rsid w:val="4E259D46"/>
    <w:rsid w:val="4E51FC75"/>
    <w:rsid w:val="4E8AED6A"/>
    <w:rsid w:val="4E9DE7EE"/>
    <w:rsid w:val="4EBF2F4D"/>
    <w:rsid w:val="4EDAFC60"/>
    <w:rsid w:val="4F2BAC88"/>
    <w:rsid w:val="5001158D"/>
    <w:rsid w:val="503CF18A"/>
    <w:rsid w:val="513F3C13"/>
    <w:rsid w:val="52129D22"/>
    <w:rsid w:val="521F54C5"/>
    <w:rsid w:val="52498C04"/>
    <w:rsid w:val="52D6364D"/>
    <w:rsid w:val="52D93332"/>
    <w:rsid w:val="52E87694"/>
    <w:rsid w:val="532ACC9D"/>
    <w:rsid w:val="53AE6D83"/>
    <w:rsid w:val="5426EC45"/>
    <w:rsid w:val="5460F82D"/>
    <w:rsid w:val="546B203B"/>
    <w:rsid w:val="54BB0F66"/>
    <w:rsid w:val="54D54FFE"/>
    <w:rsid w:val="54D9E4F3"/>
    <w:rsid w:val="554A3DE4"/>
    <w:rsid w:val="555E1715"/>
    <w:rsid w:val="55A01C16"/>
    <w:rsid w:val="55BCED77"/>
    <w:rsid w:val="5629A54D"/>
    <w:rsid w:val="565FFA5F"/>
    <w:rsid w:val="57694823"/>
    <w:rsid w:val="5775342F"/>
    <w:rsid w:val="582B2362"/>
    <w:rsid w:val="587CD026"/>
    <w:rsid w:val="5899B134"/>
    <w:rsid w:val="58EB51FB"/>
    <w:rsid w:val="591616D7"/>
    <w:rsid w:val="59389735"/>
    <w:rsid w:val="59E5C846"/>
    <w:rsid w:val="5A063DEE"/>
    <w:rsid w:val="5AB71154"/>
    <w:rsid w:val="5ACB3126"/>
    <w:rsid w:val="5AF2E2F0"/>
    <w:rsid w:val="5B3C3546"/>
    <w:rsid w:val="5B844721"/>
    <w:rsid w:val="5BB22A55"/>
    <w:rsid w:val="5BB40AE4"/>
    <w:rsid w:val="5C109E30"/>
    <w:rsid w:val="5C52E1B5"/>
    <w:rsid w:val="5C7037F7"/>
    <w:rsid w:val="5CFC3356"/>
    <w:rsid w:val="5D022051"/>
    <w:rsid w:val="5DD1C1F6"/>
    <w:rsid w:val="5E2E94E7"/>
    <w:rsid w:val="5E395364"/>
    <w:rsid w:val="5E4912BC"/>
    <w:rsid w:val="5E553B1D"/>
    <w:rsid w:val="5E74C9DE"/>
    <w:rsid w:val="5EA5E6B3"/>
    <w:rsid w:val="5EBC034C"/>
    <w:rsid w:val="5F47C650"/>
    <w:rsid w:val="60942217"/>
    <w:rsid w:val="616BFBF9"/>
    <w:rsid w:val="63135C67"/>
    <w:rsid w:val="655EA86B"/>
    <w:rsid w:val="65E7A50B"/>
    <w:rsid w:val="65EC9C14"/>
    <w:rsid w:val="667C2991"/>
    <w:rsid w:val="66C71531"/>
    <w:rsid w:val="67019254"/>
    <w:rsid w:val="6706AF4B"/>
    <w:rsid w:val="677CBAC9"/>
    <w:rsid w:val="67BD1218"/>
    <w:rsid w:val="6845E3C4"/>
    <w:rsid w:val="68E86D1F"/>
    <w:rsid w:val="6AB6E156"/>
    <w:rsid w:val="6AFFAB49"/>
    <w:rsid w:val="6B08EDA8"/>
    <w:rsid w:val="6C459722"/>
    <w:rsid w:val="6C75DA59"/>
    <w:rsid w:val="6C79A9F4"/>
    <w:rsid w:val="6D38AAA7"/>
    <w:rsid w:val="6D6F67EC"/>
    <w:rsid w:val="6E351C4D"/>
    <w:rsid w:val="6E369CA1"/>
    <w:rsid w:val="6EFD953A"/>
    <w:rsid w:val="6FA60411"/>
    <w:rsid w:val="6FE06D91"/>
    <w:rsid w:val="6FFE8F2B"/>
    <w:rsid w:val="6FFF30AF"/>
    <w:rsid w:val="7092A814"/>
    <w:rsid w:val="7141D472"/>
    <w:rsid w:val="717DAEEB"/>
    <w:rsid w:val="721DFE82"/>
    <w:rsid w:val="7268F9EE"/>
    <w:rsid w:val="72E9A4FB"/>
    <w:rsid w:val="7362C4EA"/>
    <w:rsid w:val="746A8A32"/>
    <w:rsid w:val="74A9E106"/>
    <w:rsid w:val="752DB59B"/>
    <w:rsid w:val="75521E07"/>
    <w:rsid w:val="7581EF23"/>
    <w:rsid w:val="77589213"/>
    <w:rsid w:val="77BE6A7C"/>
    <w:rsid w:val="781803D2"/>
    <w:rsid w:val="78575C63"/>
    <w:rsid w:val="79364DB0"/>
    <w:rsid w:val="795B118E"/>
    <w:rsid w:val="798B691F"/>
    <w:rsid w:val="79FD38FA"/>
    <w:rsid w:val="7A6875FB"/>
    <w:rsid w:val="7AEF7453"/>
    <w:rsid w:val="7B5C5435"/>
    <w:rsid w:val="7BAC4F69"/>
    <w:rsid w:val="7BB1B88B"/>
    <w:rsid w:val="7BCE04AD"/>
    <w:rsid w:val="7C81D29A"/>
    <w:rsid w:val="7CBC0D0C"/>
    <w:rsid w:val="7D7BE3E9"/>
    <w:rsid w:val="7E059EA7"/>
    <w:rsid w:val="7E2500E0"/>
    <w:rsid w:val="7F3BBDBD"/>
    <w:rsid w:val="7FCD91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D7C62"/>
  <w15:docId w15:val="{9C3E0280-064E-410D-B498-225F0BBE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375BB"/>
    <w:rPr>
      <w:rFonts w:asciiTheme="minorHAnsi" w:hAnsiTheme="minorHAnsi"/>
      <w:b/>
      <w:bCs/>
    </w:rPr>
  </w:style>
  <w:style w:type="character" w:customStyle="1" w:styleId="CommentSubjectChar">
    <w:name w:val="Comment Subject Char"/>
    <w:basedOn w:val="CommentTextChar"/>
    <w:link w:val="CommentSubject"/>
    <w:uiPriority w:val="99"/>
    <w:semiHidden/>
    <w:rsid w:val="003375BB"/>
    <w:rPr>
      <w:rFonts w:ascii="Cambria" w:hAnsi="Cambria"/>
      <w:b/>
      <w:bCs/>
      <w:sz w:val="20"/>
      <w:szCs w:val="20"/>
    </w:rPr>
  </w:style>
  <w:style w:type="table" w:styleId="TableGrid">
    <w:name w:val="Table Grid"/>
    <w:basedOn w:val="TableNormal"/>
    <w:uiPriority w:val="59"/>
    <w:rsid w:val="00225D8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19E"/>
  </w:style>
  <w:style w:type="paragraph" w:styleId="Revision">
    <w:name w:val="Revision"/>
    <w:hidden/>
    <w:uiPriority w:val="99"/>
    <w:semiHidden/>
    <w:rsid w:val="00A37AB9"/>
    <w:pPr>
      <w:spacing w:after="0" w:line="240" w:lineRule="auto"/>
    </w:pPr>
  </w:style>
  <w:style w:type="character" w:styleId="Mention">
    <w:name w:val="Mention"/>
    <w:basedOn w:val="DefaultParagraphFont"/>
    <w:uiPriority w:val="99"/>
    <w:unhideWhenUsed/>
    <w:rsid w:val="00765678"/>
    <w:rPr>
      <w:color w:val="2B579A"/>
      <w:shd w:val="clear" w:color="auto" w:fill="E6E6E6"/>
    </w:rPr>
  </w:style>
  <w:style w:type="character" w:customStyle="1" w:styleId="normaltextrun">
    <w:name w:val="normaltextrun"/>
    <w:basedOn w:val="DefaultParagraphFont"/>
    <w:rsid w:val="002744D6"/>
  </w:style>
  <w:style w:type="character" w:styleId="UnresolvedMention">
    <w:name w:val="Unresolved Mention"/>
    <w:basedOn w:val="DefaultParagraphFont"/>
    <w:uiPriority w:val="99"/>
    <w:semiHidden/>
    <w:unhideWhenUsed/>
    <w:rsid w:val="00E255AC"/>
    <w:rPr>
      <w:color w:val="605E5C"/>
      <w:shd w:val="clear" w:color="auto" w:fill="E1DFDD"/>
    </w:rPr>
  </w:style>
  <w:style w:type="paragraph" w:styleId="Caption">
    <w:name w:val="caption"/>
    <w:basedOn w:val="Normal"/>
    <w:next w:val="Normal"/>
    <w:uiPriority w:val="35"/>
    <w:unhideWhenUsed/>
    <w:qFormat/>
    <w:rsid w:val="00A55533"/>
    <w:pPr>
      <w:spacing w:line="240" w:lineRule="auto"/>
    </w:pPr>
    <w:rPr>
      <w:i/>
      <w:iCs/>
      <w:color w:val="1F497D" w:themeColor="text2"/>
      <w:sz w:val="18"/>
      <w:szCs w:val="18"/>
    </w:rPr>
  </w:style>
  <w:style w:type="paragraph" w:styleId="Bibliography">
    <w:name w:val="Bibliography"/>
    <w:basedOn w:val="Normal"/>
    <w:next w:val="Normal"/>
    <w:uiPriority w:val="37"/>
    <w:semiHidden/>
    <w:unhideWhenUsed/>
    <w:rsid w:val="000C7C68"/>
  </w:style>
  <w:style w:type="paragraph" w:styleId="BlockText">
    <w:name w:val="Block Text"/>
    <w:basedOn w:val="Normal"/>
    <w:uiPriority w:val="99"/>
    <w:semiHidden/>
    <w:unhideWhenUsed/>
    <w:rsid w:val="000C7C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C7C68"/>
    <w:pPr>
      <w:spacing w:after="120"/>
    </w:pPr>
  </w:style>
  <w:style w:type="character" w:customStyle="1" w:styleId="BodyTextChar">
    <w:name w:val="Body Text Char"/>
    <w:basedOn w:val="DefaultParagraphFont"/>
    <w:link w:val="BodyText"/>
    <w:uiPriority w:val="99"/>
    <w:semiHidden/>
    <w:rsid w:val="000C7C68"/>
  </w:style>
  <w:style w:type="paragraph" w:styleId="BodyText2">
    <w:name w:val="Body Text 2"/>
    <w:basedOn w:val="Normal"/>
    <w:link w:val="BodyText2Char"/>
    <w:uiPriority w:val="99"/>
    <w:semiHidden/>
    <w:unhideWhenUsed/>
    <w:rsid w:val="000C7C68"/>
    <w:pPr>
      <w:spacing w:after="120" w:line="480" w:lineRule="auto"/>
    </w:pPr>
  </w:style>
  <w:style w:type="character" w:customStyle="1" w:styleId="BodyText2Char">
    <w:name w:val="Body Text 2 Char"/>
    <w:basedOn w:val="DefaultParagraphFont"/>
    <w:link w:val="BodyText2"/>
    <w:uiPriority w:val="99"/>
    <w:semiHidden/>
    <w:rsid w:val="000C7C68"/>
  </w:style>
  <w:style w:type="paragraph" w:styleId="BodyText3">
    <w:name w:val="Body Text 3"/>
    <w:basedOn w:val="Normal"/>
    <w:link w:val="BodyText3Char"/>
    <w:uiPriority w:val="99"/>
    <w:semiHidden/>
    <w:unhideWhenUsed/>
    <w:rsid w:val="000C7C68"/>
    <w:pPr>
      <w:spacing w:after="120"/>
    </w:pPr>
    <w:rPr>
      <w:sz w:val="16"/>
      <w:szCs w:val="16"/>
    </w:rPr>
  </w:style>
  <w:style w:type="character" w:customStyle="1" w:styleId="BodyText3Char">
    <w:name w:val="Body Text 3 Char"/>
    <w:basedOn w:val="DefaultParagraphFont"/>
    <w:link w:val="BodyText3"/>
    <w:uiPriority w:val="99"/>
    <w:semiHidden/>
    <w:rsid w:val="000C7C68"/>
    <w:rPr>
      <w:sz w:val="16"/>
      <w:szCs w:val="16"/>
    </w:rPr>
  </w:style>
  <w:style w:type="paragraph" w:styleId="BodyTextFirstIndent">
    <w:name w:val="Body Text First Indent"/>
    <w:basedOn w:val="BodyText"/>
    <w:link w:val="BodyTextFirstIndentChar"/>
    <w:uiPriority w:val="99"/>
    <w:semiHidden/>
    <w:unhideWhenUsed/>
    <w:rsid w:val="000C7C68"/>
    <w:pPr>
      <w:spacing w:after="200"/>
      <w:ind w:firstLine="360"/>
    </w:pPr>
  </w:style>
  <w:style w:type="character" w:customStyle="1" w:styleId="BodyTextFirstIndentChar">
    <w:name w:val="Body Text First Indent Char"/>
    <w:basedOn w:val="BodyTextChar"/>
    <w:link w:val="BodyTextFirstIndent"/>
    <w:uiPriority w:val="99"/>
    <w:semiHidden/>
    <w:rsid w:val="000C7C68"/>
  </w:style>
  <w:style w:type="paragraph" w:styleId="BodyTextIndent">
    <w:name w:val="Body Text Indent"/>
    <w:basedOn w:val="Normal"/>
    <w:link w:val="BodyTextIndentChar"/>
    <w:uiPriority w:val="99"/>
    <w:semiHidden/>
    <w:unhideWhenUsed/>
    <w:rsid w:val="000C7C68"/>
    <w:pPr>
      <w:spacing w:after="120"/>
      <w:ind w:left="283"/>
    </w:pPr>
  </w:style>
  <w:style w:type="character" w:customStyle="1" w:styleId="BodyTextIndentChar">
    <w:name w:val="Body Text Indent Char"/>
    <w:basedOn w:val="DefaultParagraphFont"/>
    <w:link w:val="BodyTextIndent"/>
    <w:uiPriority w:val="99"/>
    <w:semiHidden/>
    <w:rsid w:val="000C7C68"/>
  </w:style>
  <w:style w:type="paragraph" w:styleId="BodyTextFirstIndent2">
    <w:name w:val="Body Text First Indent 2"/>
    <w:basedOn w:val="BodyTextIndent"/>
    <w:link w:val="BodyTextFirstIndent2Char"/>
    <w:uiPriority w:val="99"/>
    <w:semiHidden/>
    <w:unhideWhenUsed/>
    <w:rsid w:val="000C7C68"/>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C7C68"/>
  </w:style>
  <w:style w:type="paragraph" w:styleId="BodyTextIndent2">
    <w:name w:val="Body Text Indent 2"/>
    <w:basedOn w:val="Normal"/>
    <w:link w:val="BodyTextIndent2Char"/>
    <w:uiPriority w:val="99"/>
    <w:semiHidden/>
    <w:unhideWhenUsed/>
    <w:rsid w:val="000C7C68"/>
    <w:pPr>
      <w:spacing w:after="120" w:line="480" w:lineRule="auto"/>
      <w:ind w:left="283"/>
    </w:pPr>
  </w:style>
  <w:style w:type="character" w:customStyle="1" w:styleId="BodyTextIndent2Char">
    <w:name w:val="Body Text Indent 2 Char"/>
    <w:basedOn w:val="DefaultParagraphFont"/>
    <w:link w:val="BodyTextIndent2"/>
    <w:uiPriority w:val="99"/>
    <w:semiHidden/>
    <w:rsid w:val="000C7C68"/>
  </w:style>
  <w:style w:type="paragraph" w:styleId="BodyTextIndent3">
    <w:name w:val="Body Text Indent 3"/>
    <w:basedOn w:val="Normal"/>
    <w:link w:val="BodyTextIndent3Char"/>
    <w:uiPriority w:val="99"/>
    <w:semiHidden/>
    <w:unhideWhenUsed/>
    <w:rsid w:val="000C7C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C7C68"/>
    <w:rPr>
      <w:sz w:val="16"/>
      <w:szCs w:val="16"/>
    </w:rPr>
  </w:style>
  <w:style w:type="paragraph" w:styleId="Closing">
    <w:name w:val="Closing"/>
    <w:basedOn w:val="Normal"/>
    <w:link w:val="ClosingChar"/>
    <w:uiPriority w:val="99"/>
    <w:semiHidden/>
    <w:unhideWhenUsed/>
    <w:rsid w:val="000C7C68"/>
    <w:pPr>
      <w:spacing w:after="0" w:line="240" w:lineRule="auto"/>
      <w:ind w:left="4252"/>
    </w:pPr>
  </w:style>
  <w:style w:type="character" w:customStyle="1" w:styleId="ClosingChar">
    <w:name w:val="Closing Char"/>
    <w:basedOn w:val="DefaultParagraphFont"/>
    <w:link w:val="Closing"/>
    <w:uiPriority w:val="99"/>
    <w:semiHidden/>
    <w:rsid w:val="000C7C68"/>
  </w:style>
  <w:style w:type="paragraph" w:styleId="Date">
    <w:name w:val="Date"/>
    <w:basedOn w:val="Normal"/>
    <w:next w:val="Normal"/>
    <w:link w:val="DateChar"/>
    <w:uiPriority w:val="99"/>
    <w:semiHidden/>
    <w:unhideWhenUsed/>
    <w:rsid w:val="000C7C68"/>
  </w:style>
  <w:style w:type="character" w:customStyle="1" w:styleId="DateChar">
    <w:name w:val="Date Char"/>
    <w:basedOn w:val="DefaultParagraphFont"/>
    <w:link w:val="Date"/>
    <w:uiPriority w:val="99"/>
    <w:semiHidden/>
    <w:rsid w:val="000C7C68"/>
  </w:style>
  <w:style w:type="paragraph" w:styleId="DocumentMap">
    <w:name w:val="Document Map"/>
    <w:basedOn w:val="Normal"/>
    <w:link w:val="DocumentMapChar"/>
    <w:uiPriority w:val="99"/>
    <w:semiHidden/>
    <w:unhideWhenUsed/>
    <w:rsid w:val="000C7C6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7C68"/>
    <w:rPr>
      <w:rFonts w:ascii="Segoe UI" w:hAnsi="Segoe UI" w:cs="Segoe UI"/>
      <w:sz w:val="16"/>
      <w:szCs w:val="16"/>
    </w:rPr>
  </w:style>
  <w:style w:type="paragraph" w:styleId="E-mailSignature">
    <w:name w:val="E-mail Signature"/>
    <w:basedOn w:val="Normal"/>
    <w:link w:val="E-mailSignatureChar"/>
    <w:uiPriority w:val="99"/>
    <w:semiHidden/>
    <w:unhideWhenUsed/>
    <w:rsid w:val="000C7C68"/>
    <w:pPr>
      <w:spacing w:after="0" w:line="240" w:lineRule="auto"/>
    </w:pPr>
  </w:style>
  <w:style w:type="character" w:customStyle="1" w:styleId="E-mailSignatureChar">
    <w:name w:val="E-mail Signature Char"/>
    <w:basedOn w:val="DefaultParagraphFont"/>
    <w:link w:val="E-mailSignature"/>
    <w:uiPriority w:val="99"/>
    <w:semiHidden/>
    <w:rsid w:val="000C7C68"/>
  </w:style>
  <w:style w:type="paragraph" w:styleId="EndnoteText">
    <w:name w:val="endnote text"/>
    <w:basedOn w:val="Normal"/>
    <w:link w:val="EndnoteTextChar"/>
    <w:uiPriority w:val="99"/>
    <w:semiHidden/>
    <w:unhideWhenUsed/>
    <w:rsid w:val="000C7C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7C68"/>
    <w:rPr>
      <w:sz w:val="20"/>
      <w:szCs w:val="20"/>
    </w:rPr>
  </w:style>
  <w:style w:type="paragraph" w:styleId="EnvelopeAddress">
    <w:name w:val="envelope address"/>
    <w:basedOn w:val="Normal"/>
    <w:uiPriority w:val="99"/>
    <w:semiHidden/>
    <w:unhideWhenUsed/>
    <w:rsid w:val="000C7C6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7C68"/>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C7C68"/>
    <w:pPr>
      <w:spacing w:after="0" w:line="240" w:lineRule="auto"/>
    </w:pPr>
    <w:rPr>
      <w:i/>
      <w:iCs/>
    </w:rPr>
  </w:style>
  <w:style w:type="character" w:customStyle="1" w:styleId="HTMLAddressChar">
    <w:name w:val="HTML Address Char"/>
    <w:basedOn w:val="DefaultParagraphFont"/>
    <w:link w:val="HTMLAddress"/>
    <w:uiPriority w:val="99"/>
    <w:semiHidden/>
    <w:rsid w:val="000C7C68"/>
    <w:rPr>
      <w:i/>
      <w:iCs/>
    </w:rPr>
  </w:style>
  <w:style w:type="paragraph" w:styleId="HTMLPreformatted">
    <w:name w:val="HTML Preformatted"/>
    <w:basedOn w:val="Normal"/>
    <w:link w:val="HTMLPreformattedChar"/>
    <w:uiPriority w:val="99"/>
    <w:semiHidden/>
    <w:unhideWhenUsed/>
    <w:rsid w:val="000C7C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7C68"/>
    <w:rPr>
      <w:rFonts w:ascii="Consolas" w:hAnsi="Consolas"/>
      <w:sz w:val="20"/>
      <w:szCs w:val="20"/>
    </w:rPr>
  </w:style>
  <w:style w:type="paragraph" w:styleId="Index1">
    <w:name w:val="index 1"/>
    <w:basedOn w:val="Normal"/>
    <w:next w:val="Normal"/>
    <w:autoRedefine/>
    <w:uiPriority w:val="99"/>
    <w:semiHidden/>
    <w:unhideWhenUsed/>
    <w:rsid w:val="000C7C68"/>
    <w:pPr>
      <w:spacing w:after="0" w:line="240" w:lineRule="auto"/>
      <w:ind w:left="220" w:hanging="220"/>
    </w:pPr>
  </w:style>
  <w:style w:type="paragraph" w:styleId="Index2">
    <w:name w:val="index 2"/>
    <w:basedOn w:val="Normal"/>
    <w:next w:val="Normal"/>
    <w:autoRedefine/>
    <w:uiPriority w:val="99"/>
    <w:semiHidden/>
    <w:unhideWhenUsed/>
    <w:rsid w:val="000C7C68"/>
    <w:pPr>
      <w:spacing w:after="0" w:line="240" w:lineRule="auto"/>
      <w:ind w:left="440" w:hanging="220"/>
    </w:pPr>
  </w:style>
  <w:style w:type="paragraph" w:styleId="Index3">
    <w:name w:val="index 3"/>
    <w:basedOn w:val="Normal"/>
    <w:next w:val="Normal"/>
    <w:autoRedefine/>
    <w:uiPriority w:val="99"/>
    <w:semiHidden/>
    <w:unhideWhenUsed/>
    <w:rsid w:val="000C7C68"/>
    <w:pPr>
      <w:spacing w:after="0" w:line="240" w:lineRule="auto"/>
      <w:ind w:left="660" w:hanging="220"/>
    </w:pPr>
  </w:style>
  <w:style w:type="paragraph" w:styleId="Index4">
    <w:name w:val="index 4"/>
    <w:basedOn w:val="Normal"/>
    <w:next w:val="Normal"/>
    <w:autoRedefine/>
    <w:uiPriority w:val="99"/>
    <w:semiHidden/>
    <w:unhideWhenUsed/>
    <w:rsid w:val="000C7C68"/>
    <w:pPr>
      <w:spacing w:after="0" w:line="240" w:lineRule="auto"/>
      <w:ind w:left="880" w:hanging="220"/>
    </w:pPr>
  </w:style>
  <w:style w:type="paragraph" w:styleId="Index5">
    <w:name w:val="index 5"/>
    <w:basedOn w:val="Normal"/>
    <w:next w:val="Normal"/>
    <w:autoRedefine/>
    <w:uiPriority w:val="99"/>
    <w:semiHidden/>
    <w:unhideWhenUsed/>
    <w:rsid w:val="000C7C68"/>
    <w:pPr>
      <w:spacing w:after="0" w:line="240" w:lineRule="auto"/>
      <w:ind w:left="1100" w:hanging="220"/>
    </w:pPr>
  </w:style>
  <w:style w:type="paragraph" w:styleId="Index6">
    <w:name w:val="index 6"/>
    <w:basedOn w:val="Normal"/>
    <w:next w:val="Normal"/>
    <w:autoRedefine/>
    <w:uiPriority w:val="99"/>
    <w:semiHidden/>
    <w:unhideWhenUsed/>
    <w:rsid w:val="000C7C68"/>
    <w:pPr>
      <w:spacing w:after="0" w:line="240" w:lineRule="auto"/>
      <w:ind w:left="1320" w:hanging="220"/>
    </w:pPr>
  </w:style>
  <w:style w:type="paragraph" w:styleId="Index7">
    <w:name w:val="index 7"/>
    <w:basedOn w:val="Normal"/>
    <w:next w:val="Normal"/>
    <w:autoRedefine/>
    <w:uiPriority w:val="99"/>
    <w:semiHidden/>
    <w:unhideWhenUsed/>
    <w:rsid w:val="000C7C68"/>
    <w:pPr>
      <w:spacing w:after="0" w:line="240" w:lineRule="auto"/>
      <w:ind w:left="1540" w:hanging="220"/>
    </w:pPr>
  </w:style>
  <w:style w:type="paragraph" w:styleId="Index8">
    <w:name w:val="index 8"/>
    <w:basedOn w:val="Normal"/>
    <w:next w:val="Normal"/>
    <w:autoRedefine/>
    <w:uiPriority w:val="99"/>
    <w:semiHidden/>
    <w:unhideWhenUsed/>
    <w:rsid w:val="000C7C68"/>
    <w:pPr>
      <w:spacing w:after="0" w:line="240" w:lineRule="auto"/>
      <w:ind w:left="1760" w:hanging="220"/>
    </w:pPr>
  </w:style>
  <w:style w:type="paragraph" w:styleId="Index9">
    <w:name w:val="index 9"/>
    <w:basedOn w:val="Normal"/>
    <w:next w:val="Normal"/>
    <w:autoRedefine/>
    <w:uiPriority w:val="99"/>
    <w:semiHidden/>
    <w:unhideWhenUsed/>
    <w:rsid w:val="000C7C68"/>
    <w:pPr>
      <w:spacing w:after="0" w:line="240" w:lineRule="auto"/>
      <w:ind w:left="1980" w:hanging="220"/>
    </w:pPr>
  </w:style>
  <w:style w:type="paragraph" w:styleId="IndexHeading">
    <w:name w:val="index heading"/>
    <w:basedOn w:val="Normal"/>
    <w:next w:val="Index1"/>
    <w:uiPriority w:val="99"/>
    <w:semiHidden/>
    <w:unhideWhenUsed/>
    <w:rsid w:val="000C7C6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7C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C7C68"/>
    <w:rPr>
      <w:i/>
      <w:iCs/>
      <w:color w:val="4F81BD" w:themeColor="accent1"/>
    </w:rPr>
  </w:style>
  <w:style w:type="paragraph" w:styleId="List">
    <w:name w:val="List"/>
    <w:basedOn w:val="Normal"/>
    <w:uiPriority w:val="99"/>
    <w:semiHidden/>
    <w:unhideWhenUsed/>
    <w:rsid w:val="000C7C68"/>
    <w:pPr>
      <w:ind w:left="283" w:hanging="283"/>
      <w:contextualSpacing/>
    </w:pPr>
  </w:style>
  <w:style w:type="paragraph" w:styleId="List2">
    <w:name w:val="List 2"/>
    <w:basedOn w:val="Normal"/>
    <w:uiPriority w:val="99"/>
    <w:semiHidden/>
    <w:unhideWhenUsed/>
    <w:rsid w:val="000C7C68"/>
    <w:pPr>
      <w:ind w:left="566" w:hanging="283"/>
      <w:contextualSpacing/>
    </w:pPr>
  </w:style>
  <w:style w:type="paragraph" w:styleId="List3">
    <w:name w:val="List 3"/>
    <w:basedOn w:val="Normal"/>
    <w:uiPriority w:val="99"/>
    <w:semiHidden/>
    <w:unhideWhenUsed/>
    <w:rsid w:val="000C7C68"/>
    <w:pPr>
      <w:ind w:left="849" w:hanging="283"/>
      <w:contextualSpacing/>
    </w:pPr>
  </w:style>
  <w:style w:type="paragraph" w:styleId="List4">
    <w:name w:val="List 4"/>
    <w:basedOn w:val="Normal"/>
    <w:uiPriority w:val="99"/>
    <w:semiHidden/>
    <w:unhideWhenUsed/>
    <w:rsid w:val="000C7C68"/>
    <w:pPr>
      <w:ind w:left="1132" w:hanging="283"/>
      <w:contextualSpacing/>
    </w:pPr>
  </w:style>
  <w:style w:type="paragraph" w:styleId="List5">
    <w:name w:val="List 5"/>
    <w:basedOn w:val="Normal"/>
    <w:uiPriority w:val="99"/>
    <w:semiHidden/>
    <w:unhideWhenUsed/>
    <w:rsid w:val="000C7C68"/>
    <w:pPr>
      <w:ind w:left="1415" w:hanging="283"/>
      <w:contextualSpacing/>
    </w:pPr>
  </w:style>
  <w:style w:type="paragraph" w:styleId="ListBullet2">
    <w:name w:val="List Bullet 2"/>
    <w:basedOn w:val="Normal"/>
    <w:uiPriority w:val="99"/>
    <w:semiHidden/>
    <w:unhideWhenUsed/>
    <w:rsid w:val="000C7C68"/>
    <w:pPr>
      <w:numPr>
        <w:numId w:val="19"/>
      </w:numPr>
      <w:contextualSpacing/>
    </w:pPr>
  </w:style>
  <w:style w:type="paragraph" w:styleId="ListBullet3">
    <w:name w:val="List Bullet 3"/>
    <w:basedOn w:val="Normal"/>
    <w:uiPriority w:val="99"/>
    <w:semiHidden/>
    <w:unhideWhenUsed/>
    <w:rsid w:val="000C7C68"/>
    <w:pPr>
      <w:numPr>
        <w:numId w:val="20"/>
      </w:numPr>
      <w:contextualSpacing/>
    </w:pPr>
  </w:style>
  <w:style w:type="paragraph" w:styleId="ListBullet4">
    <w:name w:val="List Bullet 4"/>
    <w:basedOn w:val="Normal"/>
    <w:uiPriority w:val="99"/>
    <w:semiHidden/>
    <w:unhideWhenUsed/>
    <w:rsid w:val="000C7C68"/>
    <w:pPr>
      <w:numPr>
        <w:numId w:val="21"/>
      </w:numPr>
      <w:contextualSpacing/>
    </w:pPr>
  </w:style>
  <w:style w:type="paragraph" w:styleId="ListBullet5">
    <w:name w:val="List Bullet 5"/>
    <w:basedOn w:val="Normal"/>
    <w:uiPriority w:val="99"/>
    <w:semiHidden/>
    <w:unhideWhenUsed/>
    <w:rsid w:val="000C7C68"/>
    <w:pPr>
      <w:numPr>
        <w:numId w:val="22"/>
      </w:numPr>
      <w:contextualSpacing/>
    </w:pPr>
  </w:style>
  <w:style w:type="paragraph" w:styleId="ListContinue">
    <w:name w:val="List Continue"/>
    <w:basedOn w:val="Normal"/>
    <w:uiPriority w:val="99"/>
    <w:semiHidden/>
    <w:unhideWhenUsed/>
    <w:rsid w:val="000C7C68"/>
    <w:pPr>
      <w:spacing w:after="120"/>
      <w:ind w:left="283"/>
      <w:contextualSpacing/>
    </w:pPr>
  </w:style>
  <w:style w:type="paragraph" w:styleId="ListContinue2">
    <w:name w:val="List Continue 2"/>
    <w:basedOn w:val="Normal"/>
    <w:uiPriority w:val="99"/>
    <w:semiHidden/>
    <w:unhideWhenUsed/>
    <w:rsid w:val="000C7C68"/>
    <w:pPr>
      <w:spacing w:after="120"/>
      <w:ind w:left="566"/>
      <w:contextualSpacing/>
    </w:pPr>
  </w:style>
  <w:style w:type="paragraph" w:styleId="ListContinue3">
    <w:name w:val="List Continue 3"/>
    <w:basedOn w:val="Normal"/>
    <w:uiPriority w:val="99"/>
    <w:semiHidden/>
    <w:unhideWhenUsed/>
    <w:rsid w:val="000C7C68"/>
    <w:pPr>
      <w:spacing w:after="120"/>
      <w:ind w:left="849"/>
      <w:contextualSpacing/>
    </w:pPr>
  </w:style>
  <w:style w:type="paragraph" w:styleId="ListContinue4">
    <w:name w:val="List Continue 4"/>
    <w:basedOn w:val="Normal"/>
    <w:uiPriority w:val="99"/>
    <w:semiHidden/>
    <w:unhideWhenUsed/>
    <w:rsid w:val="000C7C68"/>
    <w:pPr>
      <w:spacing w:after="120"/>
      <w:ind w:left="1132"/>
      <w:contextualSpacing/>
    </w:pPr>
  </w:style>
  <w:style w:type="paragraph" w:styleId="ListContinue5">
    <w:name w:val="List Continue 5"/>
    <w:basedOn w:val="Normal"/>
    <w:uiPriority w:val="99"/>
    <w:semiHidden/>
    <w:unhideWhenUsed/>
    <w:rsid w:val="000C7C68"/>
    <w:pPr>
      <w:spacing w:after="120"/>
      <w:ind w:left="1415"/>
      <w:contextualSpacing/>
    </w:pPr>
  </w:style>
  <w:style w:type="paragraph" w:styleId="ListNumber">
    <w:name w:val="List Number"/>
    <w:basedOn w:val="Normal"/>
    <w:uiPriority w:val="99"/>
    <w:semiHidden/>
    <w:unhideWhenUsed/>
    <w:rsid w:val="000C7C68"/>
    <w:pPr>
      <w:numPr>
        <w:numId w:val="23"/>
      </w:numPr>
      <w:contextualSpacing/>
    </w:pPr>
  </w:style>
  <w:style w:type="paragraph" w:styleId="ListNumber2">
    <w:name w:val="List Number 2"/>
    <w:basedOn w:val="Normal"/>
    <w:uiPriority w:val="99"/>
    <w:semiHidden/>
    <w:unhideWhenUsed/>
    <w:rsid w:val="000C7C68"/>
    <w:pPr>
      <w:numPr>
        <w:numId w:val="24"/>
      </w:numPr>
      <w:contextualSpacing/>
    </w:pPr>
  </w:style>
  <w:style w:type="paragraph" w:styleId="ListNumber3">
    <w:name w:val="List Number 3"/>
    <w:basedOn w:val="Normal"/>
    <w:uiPriority w:val="99"/>
    <w:semiHidden/>
    <w:unhideWhenUsed/>
    <w:rsid w:val="000C7C68"/>
    <w:pPr>
      <w:numPr>
        <w:numId w:val="25"/>
      </w:numPr>
      <w:contextualSpacing/>
    </w:pPr>
  </w:style>
  <w:style w:type="paragraph" w:styleId="ListNumber4">
    <w:name w:val="List Number 4"/>
    <w:basedOn w:val="Normal"/>
    <w:uiPriority w:val="99"/>
    <w:semiHidden/>
    <w:unhideWhenUsed/>
    <w:rsid w:val="000C7C68"/>
    <w:pPr>
      <w:numPr>
        <w:numId w:val="26"/>
      </w:numPr>
      <w:contextualSpacing/>
    </w:pPr>
  </w:style>
  <w:style w:type="paragraph" w:styleId="ListNumber5">
    <w:name w:val="List Number 5"/>
    <w:basedOn w:val="Normal"/>
    <w:uiPriority w:val="99"/>
    <w:semiHidden/>
    <w:unhideWhenUsed/>
    <w:rsid w:val="000C7C68"/>
    <w:pPr>
      <w:numPr>
        <w:numId w:val="27"/>
      </w:numPr>
      <w:contextualSpacing/>
    </w:pPr>
  </w:style>
  <w:style w:type="paragraph" w:styleId="MacroText">
    <w:name w:val="macro"/>
    <w:link w:val="MacroTextChar"/>
    <w:uiPriority w:val="99"/>
    <w:semiHidden/>
    <w:unhideWhenUsed/>
    <w:rsid w:val="000C7C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C7C68"/>
    <w:rPr>
      <w:rFonts w:ascii="Consolas" w:hAnsi="Consolas"/>
      <w:sz w:val="20"/>
      <w:szCs w:val="20"/>
    </w:rPr>
  </w:style>
  <w:style w:type="paragraph" w:styleId="MessageHeader">
    <w:name w:val="Message Header"/>
    <w:basedOn w:val="Normal"/>
    <w:link w:val="MessageHeaderChar"/>
    <w:uiPriority w:val="99"/>
    <w:semiHidden/>
    <w:unhideWhenUsed/>
    <w:rsid w:val="000C7C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7C68"/>
    <w:rPr>
      <w:rFonts w:asciiTheme="majorHAnsi" w:eastAsiaTheme="majorEastAsia" w:hAnsiTheme="majorHAnsi" w:cstheme="majorBidi"/>
      <w:sz w:val="24"/>
      <w:szCs w:val="24"/>
      <w:shd w:val="pct20" w:color="auto" w:fill="auto"/>
    </w:rPr>
  </w:style>
  <w:style w:type="paragraph" w:styleId="NoSpacing">
    <w:name w:val="No Spacing"/>
    <w:uiPriority w:val="1"/>
    <w:qFormat/>
    <w:rsid w:val="000C7C68"/>
    <w:pPr>
      <w:spacing w:after="0" w:line="240" w:lineRule="auto"/>
    </w:pPr>
  </w:style>
  <w:style w:type="paragraph" w:styleId="NormalWeb">
    <w:name w:val="Normal (Web)"/>
    <w:basedOn w:val="Normal"/>
    <w:uiPriority w:val="99"/>
    <w:unhideWhenUsed/>
    <w:rsid w:val="000C7C68"/>
    <w:rPr>
      <w:rFonts w:ascii="Times New Roman" w:hAnsi="Times New Roman" w:cs="Times New Roman"/>
      <w:sz w:val="24"/>
      <w:szCs w:val="24"/>
    </w:rPr>
  </w:style>
  <w:style w:type="paragraph" w:styleId="NormalIndent">
    <w:name w:val="Normal Indent"/>
    <w:basedOn w:val="Normal"/>
    <w:uiPriority w:val="99"/>
    <w:semiHidden/>
    <w:unhideWhenUsed/>
    <w:rsid w:val="000C7C68"/>
    <w:pPr>
      <w:ind w:left="720"/>
    </w:pPr>
  </w:style>
  <w:style w:type="paragraph" w:styleId="NoteHeading">
    <w:name w:val="Note Heading"/>
    <w:basedOn w:val="Normal"/>
    <w:next w:val="Normal"/>
    <w:link w:val="NoteHeadingChar"/>
    <w:uiPriority w:val="99"/>
    <w:semiHidden/>
    <w:unhideWhenUsed/>
    <w:rsid w:val="000C7C68"/>
    <w:pPr>
      <w:spacing w:after="0" w:line="240" w:lineRule="auto"/>
    </w:pPr>
  </w:style>
  <w:style w:type="character" w:customStyle="1" w:styleId="NoteHeadingChar">
    <w:name w:val="Note Heading Char"/>
    <w:basedOn w:val="DefaultParagraphFont"/>
    <w:link w:val="NoteHeading"/>
    <w:uiPriority w:val="99"/>
    <w:semiHidden/>
    <w:rsid w:val="000C7C68"/>
  </w:style>
  <w:style w:type="paragraph" w:styleId="PlainText">
    <w:name w:val="Plain Text"/>
    <w:basedOn w:val="Normal"/>
    <w:link w:val="PlainTextChar"/>
    <w:uiPriority w:val="99"/>
    <w:semiHidden/>
    <w:unhideWhenUsed/>
    <w:rsid w:val="000C7C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7C68"/>
    <w:rPr>
      <w:rFonts w:ascii="Consolas" w:hAnsi="Consolas"/>
      <w:sz w:val="21"/>
      <w:szCs w:val="21"/>
    </w:rPr>
  </w:style>
  <w:style w:type="paragraph" w:styleId="Quote">
    <w:name w:val="Quote"/>
    <w:basedOn w:val="Normal"/>
    <w:next w:val="Normal"/>
    <w:link w:val="QuoteChar"/>
    <w:uiPriority w:val="29"/>
    <w:qFormat/>
    <w:rsid w:val="000C7C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7C68"/>
    <w:rPr>
      <w:i/>
      <w:iCs/>
      <w:color w:val="404040" w:themeColor="text1" w:themeTint="BF"/>
    </w:rPr>
  </w:style>
  <w:style w:type="paragraph" w:styleId="Salutation">
    <w:name w:val="Salutation"/>
    <w:basedOn w:val="Normal"/>
    <w:next w:val="Normal"/>
    <w:link w:val="SalutationChar"/>
    <w:uiPriority w:val="99"/>
    <w:semiHidden/>
    <w:unhideWhenUsed/>
    <w:rsid w:val="000C7C68"/>
  </w:style>
  <w:style w:type="character" w:customStyle="1" w:styleId="SalutationChar">
    <w:name w:val="Salutation Char"/>
    <w:basedOn w:val="DefaultParagraphFont"/>
    <w:link w:val="Salutation"/>
    <w:uiPriority w:val="99"/>
    <w:semiHidden/>
    <w:rsid w:val="000C7C68"/>
  </w:style>
  <w:style w:type="paragraph" w:styleId="Signature">
    <w:name w:val="Signature"/>
    <w:basedOn w:val="Normal"/>
    <w:link w:val="SignatureChar"/>
    <w:uiPriority w:val="99"/>
    <w:semiHidden/>
    <w:unhideWhenUsed/>
    <w:rsid w:val="000C7C68"/>
    <w:pPr>
      <w:spacing w:after="0" w:line="240" w:lineRule="auto"/>
      <w:ind w:left="4252"/>
    </w:pPr>
  </w:style>
  <w:style w:type="character" w:customStyle="1" w:styleId="SignatureChar">
    <w:name w:val="Signature Char"/>
    <w:basedOn w:val="DefaultParagraphFont"/>
    <w:link w:val="Signature"/>
    <w:uiPriority w:val="99"/>
    <w:semiHidden/>
    <w:rsid w:val="000C7C68"/>
  </w:style>
  <w:style w:type="paragraph" w:styleId="Subtitle">
    <w:name w:val="Subtitle"/>
    <w:basedOn w:val="Normal"/>
    <w:next w:val="Normal"/>
    <w:link w:val="SubtitleChar"/>
    <w:uiPriority w:val="11"/>
    <w:qFormat/>
    <w:rsid w:val="000C7C6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C6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C7C68"/>
    <w:pPr>
      <w:spacing w:after="0"/>
      <w:ind w:left="220" w:hanging="220"/>
    </w:pPr>
  </w:style>
  <w:style w:type="paragraph" w:styleId="TableofFigures">
    <w:name w:val="table of figures"/>
    <w:basedOn w:val="Normal"/>
    <w:next w:val="Normal"/>
    <w:uiPriority w:val="99"/>
    <w:semiHidden/>
    <w:unhideWhenUsed/>
    <w:rsid w:val="000C7C68"/>
    <w:pPr>
      <w:spacing w:after="0"/>
    </w:pPr>
  </w:style>
  <w:style w:type="paragraph" w:styleId="Title">
    <w:name w:val="Title"/>
    <w:basedOn w:val="Normal"/>
    <w:next w:val="Normal"/>
    <w:link w:val="TitleChar"/>
    <w:uiPriority w:val="10"/>
    <w:qFormat/>
    <w:rsid w:val="000C7C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6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C7C6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C7C68"/>
    <w:pPr>
      <w:spacing w:after="100"/>
    </w:pPr>
  </w:style>
  <w:style w:type="paragraph" w:styleId="TOC2">
    <w:name w:val="toc 2"/>
    <w:basedOn w:val="Normal"/>
    <w:next w:val="Normal"/>
    <w:autoRedefine/>
    <w:uiPriority w:val="39"/>
    <w:semiHidden/>
    <w:unhideWhenUsed/>
    <w:rsid w:val="000C7C68"/>
    <w:pPr>
      <w:spacing w:after="100"/>
      <w:ind w:left="220"/>
    </w:pPr>
  </w:style>
  <w:style w:type="paragraph" w:styleId="TOC3">
    <w:name w:val="toc 3"/>
    <w:basedOn w:val="Normal"/>
    <w:next w:val="Normal"/>
    <w:autoRedefine/>
    <w:uiPriority w:val="39"/>
    <w:semiHidden/>
    <w:unhideWhenUsed/>
    <w:rsid w:val="000C7C68"/>
    <w:pPr>
      <w:spacing w:after="100"/>
      <w:ind w:left="440"/>
    </w:pPr>
  </w:style>
  <w:style w:type="paragraph" w:styleId="TOC4">
    <w:name w:val="toc 4"/>
    <w:basedOn w:val="Normal"/>
    <w:next w:val="Normal"/>
    <w:autoRedefine/>
    <w:uiPriority w:val="39"/>
    <w:semiHidden/>
    <w:unhideWhenUsed/>
    <w:rsid w:val="000C7C68"/>
    <w:pPr>
      <w:spacing w:after="100"/>
      <w:ind w:left="660"/>
    </w:pPr>
  </w:style>
  <w:style w:type="paragraph" w:styleId="TOC5">
    <w:name w:val="toc 5"/>
    <w:basedOn w:val="Normal"/>
    <w:next w:val="Normal"/>
    <w:autoRedefine/>
    <w:uiPriority w:val="39"/>
    <w:semiHidden/>
    <w:unhideWhenUsed/>
    <w:rsid w:val="000C7C68"/>
    <w:pPr>
      <w:spacing w:after="100"/>
      <w:ind w:left="880"/>
    </w:pPr>
  </w:style>
  <w:style w:type="paragraph" w:styleId="TOC6">
    <w:name w:val="toc 6"/>
    <w:basedOn w:val="Normal"/>
    <w:next w:val="Normal"/>
    <w:autoRedefine/>
    <w:uiPriority w:val="39"/>
    <w:semiHidden/>
    <w:unhideWhenUsed/>
    <w:rsid w:val="000C7C68"/>
    <w:pPr>
      <w:spacing w:after="100"/>
      <w:ind w:left="1100"/>
    </w:pPr>
  </w:style>
  <w:style w:type="paragraph" w:styleId="TOC7">
    <w:name w:val="toc 7"/>
    <w:basedOn w:val="Normal"/>
    <w:next w:val="Normal"/>
    <w:autoRedefine/>
    <w:uiPriority w:val="39"/>
    <w:semiHidden/>
    <w:unhideWhenUsed/>
    <w:rsid w:val="000C7C68"/>
    <w:pPr>
      <w:spacing w:after="100"/>
      <w:ind w:left="1320"/>
    </w:pPr>
  </w:style>
  <w:style w:type="paragraph" w:styleId="TOC8">
    <w:name w:val="toc 8"/>
    <w:basedOn w:val="Normal"/>
    <w:next w:val="Normal"/>
    <w:autoRedefine/>
    <w:uiPriority w:val="39"/>
    <w:semiHidden/>
    <w:unhideWhenUsed/>
    <w:rsid w:val="000C7C68"/>
    <w:pPr>
      <w:spacing w:after="100"/>
      <w:ind w:left="1540"/>
    </w:pPr>
  </w:style>
  <w:style w:type="paragraph" w:styleId="TOC9">
    <w:name w:val="toc 9"/>
    <w:basedOn w:val="Normal"/>
    <w:next w:val="Normal"/>
    <w:autoRedefine/>
    <w:uiPriority w:val="39"/>
    <w:semiHidden/>
    <w:unhideWhenUsed/>
    <w:rsid w:val="000C7C68"/>
    <w:pPr>
      <w:spacing w:after="100"/>
      <w:ind w:left="1760"/>
    </w:pPr>
  </w:style>
  <w:style w:type="paragraph" w:styleId="TOCHeading">
    <w:name w:val="TOC Heading"/>
    <w:basedOn w:val="Heading1"/>
    <w:next w:val="Normal"/>
    <w:uiPriority w:val="39"/>
    <w:semiHidden/>
    <w:unhideWhenUsed/>
    <w:qFormat/>
    <w:rsid w:val="000C7C68"/>
    <w:pPr>
      <w:numPr>
        <w:numId w:val="0"/>
      </w:numPr>
      <w:spacing w:before="240"/>
      <w:outlineLvl w:val="9"/>
    </w:pPr>
    <w:rPr>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87350">
      <w:bodyDiv w:val="1"/>
      <w:marLeft w:val="0"/>
      <w:marRight w:val="0"/>
      <w:marTop w:val="0"/>
      <w:marBottom w:val="0"/>
      <w:divBdr>
        <w:top w:val="none" w:sz="0" w:space="0" w:color="auto"/>
        <w:left w:val="none" w:sz="0" w:space="0" w:color="auto"/>
        <w:bottom w:val="none" w:sz="0" w:space="0" w:color="auto"/>
        <w:right w:val="none" w:sz="0" w:space="0" w:color="auto"/>
      </w:divBdr>
    </w:div>
    <w:div w:id="18064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84759\Downloads\pi-template-new-format-with-black-triangl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D6307FE19AC940B8F601C25AFE33FA" ma:contentTypeVersion="17" ma:contentTypeDescription="Create a new document." ma:contentTypeScope="" ma:versionID="84061e47de986c28827dfcf1631f5e9e">
  <xsd:schema xmlns:xsd="http://www.w3.org/2001/XMLSchema" xmlns:xs="http://www.w3.org/2001/XMLSchema" xmlns:p="http://schemas.microsoft.com/office/2006/metadata/properties" xmlns:ns2="213b5b92-4a10-49b8-8c40-5a7742dd02e5" xmlns:ns3="085344ca-2f23-4ac3-8921-9dfc5a10ae6e" targetNamespace="http://schemas.microsoft.com/office/2006/metadata/properties" ma:root="true" ma:fieldsID="a05cfbb019077ffabd7dc2c1461022fc" ns2:_="" ns3:_="">
    <xsd:import namespace="213b5b92-4a10-49b8-8c40-5a7742dd02e5"/>
    <xsd:import namespace="085344ca-2f23-4ac3-8921-9dfc5a10ae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b5b92-4a10-49b8-8c40-5a7742dd0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db9bf-65a7-4dcd-b9fe-2cabe70ed6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344ca-2f23-4ac3-8921-9dfc5a10ae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8361a4-8a4c-4c02-b146-31b945b74c74}" ma:internalName="TaxCatchAll" ma:showField="CatchAllData" ma:web="085344ca-2f23-4ac3-8921-9dfc5a10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85344ca-2f23-4ac3-8921-9dfc5a10ae6e">
      <UserInfo>
        <DisplayName>Chloe Huseyin</DisplayName>
        <AccountId>350</AccountId>
        <AccountType/>
      </UserInfo>
      <UserInfo>
        <DisplayName>Christopher Joseph Kaiser</DisplayName>
        <AccountId>2592</AccountId>
        <AccountType/>
      </UserInfo>
      <UserInfo>
        <DisplayName>Kris Todd</DisplayName>
        <AccountId>321</AccountId>
        <AccountType/>
      </UserInfo>
      <UserInfo>
        <DisplayName>Teresa J Berg</DisplayName>
        <AccountId>245</AccountId>
        <AccountType/>
      </UserInfo>
      <UserInfo>
        <DisplayName>Omolara Rashidat Adetunji</DisplayName>
        <AccountId>2629</AccountId>
        <AccountType/>
      </UserInfo>
      <UserInfo>
        <DisplayName>Gemma Louise Dickinson</DisplayName>
        <AccountId>565</AccountId>
        <AccountType/>
      </UserInfo>
      <UserInfo>
        <DisplayName>Sihe Wang</DisplayName>
        <AccountId>4175</AccountId>
        <AccountType/>
      </UserInfo>
      <UserInfo>
        <DisplayName>David Henry Adams</DisplayName>
        <AccountId>2354</AccountId>
        <AccountType/>
      </UserInfo>
      <UserInfo>
        <DisplayName>Trevor Lissoos</DisplayName>
        <AccountId>218</AccountId>
        <AccountType/>
      </UserInfo>
      <UserInfo>
        <DisplayName>Christine A Radawski</DisplayName>
        <AccountId>1323</AccountId>
        <AccountType/>
      </UserInfo>
      <UserInfo>
        <DisplayName>Nathan Morris</DisplayName>
        <AccountId>264</AccountId>
        <AccountType/>
      </UserInfo>
      <UserInfo>
        <DisplayName>NOAH O AGADA</DisplayName>
        <AccountId>5220</AccountId>
        <AccountType/>
      </UserInfo>
      <UserInfo>
        <DisplayName>Uyen Luu-Heiskanen</DisplayName>
        <AccountId>1014</AccountId>
        <AccountType/>
      </UserInfo>
      <UserInfo>
        <DisplayName>KATHY GIBSON</DisplayName>
        <AccountId>4293</AccountId>
        <AccountType/>
      </UserInfo>
    </SharedWithUsers>
    <TaxCatchAll xmlns="085344ca-2f23-4ac3-8921-9dfc5a10ae6e" xsi:nil="true"/>
    <lcf76f155ced4ddcb4097134ff3c332f xmlns="213b5b92-4a10-49b8-8c40-5a7742dd02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A7A0E-4754-4BA3-AF1F-5E7C8A6E334A}">
  <ds:schemaRefs>
    <ds:schemaRef ds:uri="http://schemas.openxmlformats.org/officeDocument/2006/bibliography"/>
  </ds:schemaRefs>
</ds:datastoreItem>
</file>

<file path=customXml/itemProps2.xml><?xml version="1.0" encoding="utf-8"?>
<ds:datastoreItem xmlns:ds="http://schemas.openxmlformats.org/officeDocument/2006/customXml" ds:itemID="{4C4CC5B9-E74D-4330-8676-1A97DDD98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b5b92-4a10-49b8-8c40-5a7742dd02e5"/>
    <ds:schemaRef ds:uri="085344ca-2f23-4ac3-8921-9dfc5a10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11DCE-74BE-4208-B046-343F7DDB7C81}">
  <ds:schemaRefs>
    <ds:schemaRef ds:uri="http://schemas.microsoft.com/office/2006/metadata/properties"/>
    <ds:schemaRef ds:uri="http://schemas.microsoft.com/office/infopath/2007/PartnerControls"/>
    <ds:schemaRef ds:uri="085344ca-2f23-4ac3-8921-9dfc5a10ae6e"/>
    <ds:schemaRef ds:uri="213b5b92-4a10-49b8-8c40-5a7742dd02e5"/>
    <ds:schemaRef ds:uri="10bda268-b5be-4629-8734-09314cbfd9d0"/>
  </ds:schemaRefs>
</ds:datastoreItem>
</file>

<file path=customXml/itemProps4.xml><?xml version="1.0" encoding="utf-8"?>
<ds:datastoreItem xmlns:ds="http://schemas.openxmlformats.org/officeDocument/2006/customXml" ds:itemID="{0C48DB4E-81FD-4880-8972-2C340B4B8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pi-template-new-format-with-black-triangle (5).dotx</Template>
  <TotalTime>6</TotalTime>
  <Pages>21</Pages>
  <Words>6980</Words>
  <Characters>45081</Characters>
  <Application>Microsoft Office Word</Application>
  <DocSecurity>0</DocSecurity>
  <Lines>883</Lines>
  <Paragraphs>452</Paragraphs>
  <ScaleCrop>false</ScaleCrop>
  <HeadingPairs>
    <vt:vector size="2" baseType="variant">
      <vt:variant>
        <vt:lpstr>Title</vt:lpstr>
      </vt:variant>
      <vt:variant>
        <vt:i4>1</vt:i4>
      </vt:variant>
    </vt:vector>
  </HeadingPairs>
  <TitlesOfParts>
    <vt:vector size="1" baseType="lpstr">
      <vt:lpstr>Attachment Product information for Omvoh</vt:lpstr>
    </vt:vector>
  </TitlesOfParts>
  <Company>Eli Lilly Australia Pty Ltd</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Omvoh</dc:title>
  <dc:subject>prescription medicines</dc:subject>
  <dc:creator>Eli Lilly Australia Pty Ltd</dc:creator>
  <cp:keywords/>
  <cp:lastModifiedBy>LACK, Janet</cp:lastModifiedBy>
  <cp:revision>3</cp:revision>
  <cp:lastPrinted>2023-01-05T21:40:00Z</cp:lastPrinted>
  <dcterms:created xsi:type="dcterms:W3CDTF">2024-05-08T05:45:00Z</dcterms:created>
  <dcterms:modified xsi:type="dcterms:W3CDTF">2024-05-08T05:55:00Z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6034400</vt:r8>
  </property>
  <property fmtid="{D5CDD505-2E9C-101B-9397-08002B2CF9AE}" pid="3" name="MediaServiceImageTags">
    <vt:lpwstr/>
  </property>
  <property fmtid="{D5CDD505-2E9C-101B-9397-08002B2CF9AE}" pid="4" name="ContentTypeId">
    <vt:lpwstr>0x010100F3D6307FE19AC940B8F601C25AFE33FA</vt:lpwstr>
  </property>
</Properties>
</file>