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FAC49C" w14:textId="77777777" w:rsidTr="002B29B2">
        <w:tc>
          <w:tcPr>
            <w:tcW w:w="8720" w:type="dxa"/>
          </w:tcPr>
          <w:p w14:paraId="1505FBAE" w14:textId="4045A8CD" w:rsidR="00F02AEC" w:rsidRDefault="00522B11" w:rsidP="002B29B2">
            <w:pPr>
              <w:pStyle w:val="Title"/>
            </w:pPr>
            <w:r>
              <w:t xml:space="preserve">Notice of </w:t>
            </w:r>
            <w:r w:rsidR="001026C0">
              <w:t>final</w:t>
            </w:r>
            <w:r>
              <w:t xml:space="preserve"> decision to amend the current Poisons Standard</w:t>
            </w:r>
            <w:r w:rsidR="00993FCC">
              <w:t xml:space="preserve"> in relation to bromoxynil</w:t>
            </w:r>
          </w:p>
          <w:p w14:paraId="0BAC9C74" w14:textId="1175C7EE" w:rsidR="000F2D6C" w:rsidRPr="00215D48" w:rsidRDefault="000F2D6C" w:rsidP="002B29B2">
            <w:pPr>
              <w:pStyle w:val="Title"/>
            </w:pPr>
          </w:p>
        </w:tc>
      </w:tr>
      <w:tr w:rsidR="00F02AEC" w:rsidRPr="00215D48" w14:paraId="708AC3B4" w14:textId="77777777" w:rsidTr="002B29B2">
        <w:trPr>
          <w:trHeight w:val="1916"/>
        </w:trPr>
        <w:tc>
          <w:tcPr>
            <w:tcW w:w="8720" w:type="dxa"/>
          </w:tcPr>
          <w:p w14:paraId="6A5596E5" w14:textId="45FE4508" w:rsidR="00F02AEC" w:rsidRPr="00215D48" w:rsidRDefault="00D655A2" w:rsidP="002B29B2">
            <w:pPr>
              <w:pStyle w:val="Subtitle"/>
              <w:ind w:left="0"/>
            </w:pPr>
            <w:r>
              <w:t xml:space="preserve">17 </w:t>
            </w:r>
            <w:r w:rsidR="000F2D6C">
              <w:t>April</w:t>
            </w:r>
            <w:r w:rsidR="00522B11">
              <w:t xml:space="preserve"> 20</w:t>
            </w:r>
            <w:r w:rsidR="00F53C7E">
              <w:t>24</w:t>
            </w:r>
          </w:p>
        </w:tc>
      </w:tr>
      <w:tr w:rsidR="00F02AEC" w:rsidRPr="00215D48" w14:paraId="30616D62" w14:textId="77777777" w:rsidTr="002B29B2">
        <w:tc>
          <w:tcPr>
            <w:tcW w:w="8720" w:type="dxa"/>
          </w:tcPr>
          <w:p w14:paraId="1682BB8A" w14:textId="6F7CEE70" w:rsidR="00F02AEC" w:rsidRPr="00215D48" w:rsidRDefault="00F02AEC" w:rsidP="00F54CA9">
            <w:pPr>
              <w:pStyle w:val="Date"/>
            </w:pPr>
          </w:p>
        </w:tc>
      </w:tr>
    </w:tbl>
    <w:p w14:paraId="24AE10AF" w14:textId="77777777" w:rsidR="00F02AEC" w:rsidRPr="00215D48" w:rsidRDefault="00F02AEC" w:rsidP="00AB7B01">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C2D95F" w14:textId="77777777" w:rsidR="00F02AEC" w:rsidRPr="00993FCC" w:rsidRDefault="00F02AEC" w:rsidP="00BA0DFC">
      <w:pPr>
        <w:pStyle w:val="LegalSubheading"/>
        <w:rPr>
          <w:rFonts w:cs="Arial"/>
          <w:sz w:val="16"/>
          <w:szCs w:val="16"/>
        </w:rPr>
      </w:pPr>
      <w:r w:rsidRPr="00993FCC">
        <w:rPr>
          <w:rFonts w:cs="Arial"/>
          <w:sz w:val="16"/>
          <w:szCs w:val="16"/>
        </w:rPr>
        <w:lastRenderedPageBreak/>
        <w:t>Copyright</w:t>
      </w:r>
    </w:p>
    <w:p w14:paraId="0219FC83" w14:textId="00A1A0DA" w:rsidR="00930D58" w:rsidRPr="00993FCC" w:rsidRDefault="00F02AEC" w:rsidP="00FA49C3">
      <w:pPr>
        <w:pStyle w:val="LegalCopy"/>
        <w:rPr>
          <w:rFonts w:cs="Arial"/>
          <w:color w:val="auto"/>
          <w:sz w:val="16"/>
          <w:szCs w:val="16"/>
        </w:rPr>
      </w:pPr>
      <w:r w:rsidRPr="00993FCC">
        <w:rPr>
          <w:rFonts w:cs="Arial"/>
          <w:color w:val="auto"/>
          <w:sz w:val="16"/>
          <w:szCs w:val="16"/>
        </w:rPr>
        <w:t>© Commonwealth of Australia 202</w:t>
      </w:r>
      <w:r w:rsidR="00F87D48">
        <w:rPr>
          <w:rFonts w:cs="Arial"/>
          <w:color w:val="auto"/>
          <w:sz w:val="16"/>
          <w:szCs w:val="16"/>
        </w:rPr>
        <w:t>4</w:t>
      </w:r>
      <w:r w:rsidRPr="00993FCC">
        <w:rPr>
          <w:rFonts w:cs="Arial"/>
          <w:color w:val="auto"/>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93FCC">
        <w:rPr>
          <w:rFonts w:cs="Arial"/>
          <w:i/>
          <w:color w:val="auto"/>
          <w:sz w:val="16"/>
          <w:szCs w:val="16"/>
        </w:rPr>
        <w:t>Copyright Act 1968</w:t>
      </w:r>
      <w:r w:rsidRPr="00993FCC">
        <w:rPr>
          <w:rFonts w:cs="Arial"/>
          <w:color w:val="auto"/>
          <w:sz w:val="16"/>
          <w:szCs w:val="16"/>
        </w:rPr>
        <w:t xml:space="preserve"> or allowed by this copyright notice, all other rights are </w:t>
      </w:r>
      <w:proofErr w:type="gramStart"/>
      <w:r w:rsidRPr="00993FCC">
        <w:rPr>
          <w:rFonts w:cs="Arial"/>
          <w:color w:val="auto"/>
          <w:sz w:val="16"/>
          <w:szCs w:val="16"/>
        </w:rPr>
        <w:t>reserved</w:t>
      </w:r>
      <w:proofErr w:type="gramEnd"/>
      <w:r w:rsidRPr="00993FCC">
        <w:rPr>
          <w:rFonts w:cs="Arial"/>
          <w:color w:val="auto"/>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Pr="00993FCC">
          <w:rPr>
            <w:rStyle w:val="Hyperlink"/>
            <w:rFonts w:cs="Arial"/>
            <w:color w:val="auto"/>
            <w:sz w:val="16"/>
            <w:szCs w:val="16"/>
          </w:rPr>
          <w:t>tga.copyright@tga.gov.au</w:t>
        </w:r>
      </w:hyperlink>
      <w:r w:rsidRPr="00993FCC">
        <w:rPr>
          <w:rFonts w:cs="Arial"/>
          <w:color w:val="auto"/>
          <w:sz w:val="16"/>
          <w:szCs w:val="16"/>
        </w:rPr>
        <w:t>.</w:t>
      </w:r>
    </w:p>
    <w:p w14:paraId="39F8EFC1" w14:textId="0225CA68" w:rsidR="00175CD8" w:rsidRPr="00AB7B01" w:rsidRDefault="00175CD8" w:rsidP="00175CD8">
      <w:pPr>
        <w:rPr>
          <w:rFonts w:cstheme="minorHAnsi"/>
          <w:sz w:val="16"/>
          <w:szCs w:val="16"/>
        </w:rPr>
      </w:pPr>
    </w:p>
    <w:p w14:paraId="73EF69EA" w14:textId="77777777" w:rsidR="0090744F" w:rsidRPr="00AB7B01" w:rsidRDefault="0090744F" w:rsidP="0090744F">
      <w:pPr>
        <w:rPr>
          <w:rFonts w:cstheme="minorHAnsi"/>
          <w:b/>
          <w:sz w:val="16"/>
          <w:szCs w:val="16"/>
        </w:rPr>
      </w:pPr>
      <w:r w:rsidRPr="00AB7B01">
        <w:rPr>
          <w:rFonts w:cstheme="minorHAnsi"/>
          <w:b/>
          <w:sz w:val="16"/>
          <w:szCs w:val="16"/>
        </w:rPr>
        <w:t>Confidentiality</w:t>
      </w:r>
    </w:p>
    <w:p w14:paraId="42BF299F" w14:textId="77777777" w:rsidR="0090744F" w:rsidRPr="00AB7B01" w:rsidRDefault="0090744F" w:rsidP="0090744F">
      <w:pPr>
        <w:rPr>
          <w:rFonts w:cstheme="minorHAnsi"/>
          <w:sz w:val="16"/>
          <w:szCs w:val="16"/>
        </w:rPr>
      </w:pPr>
      <w:r w:rsidRPr="00AB7B01">
        <w:rPr>
          <w:rFonts w:cstheme="minorHAnsi"/>
          <w:sz w:val="16"/>
          <w:szCs w:val="16"/>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7ED2B179" w14:textId="77777777" w:rsidR="0090744F" w:rsidRDefault="0090744F" w:rsidP="00175CD8"/>
    <w:p w14:paraId="5DE1070C" w14:textId="77777777" w:rsidR="00A620B8" w:rsidRDefault="00A620B8" w:rsidP="00A620B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0932251" w14:textId="77777777" w:rsidR="00D92106" w:rsidRPr="00FA49C3" w:rsidRDefault="00D92106"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1E128181" w14:textId="77777777" w:rsidR="00F02AEC" w:rsidRPr="00215D48" w:rsidRDefault="00F02AEC" w:rsidP="00035110">
          <w:pPr>
            <w:pStyle w:val="NonTOCheading2"/>
          </w:pPr>
          <w:r w:rsidRPr="00215D48">
            <w:t>Contents</w:t>
          </w:r>
        </w:p>
        <w:p w14:paraId="50446C40" w14:textId="39595FEE" w:rsidR="00714674"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4061982" w:history="1">
            <w:r w:rsidR="00714674" w:rsidRPr="00602DE6">
              <w:rPr>
                <w:rStyle w:val="Hyperlink"/>
                <w:noProof/>
              </w:rPr>
              <w:t xml:space="preserve">Notice of final decision made under Regulation 42ZCZV of the </w:t>
            </w:r>
            <w:r w:rsidR="00714674" w:rsidRPr="00602DE6">
              <w:rPr>
                <w:rStyle w:val="Hyperlink"/>
                <w:i/>
                <w:iCs/>
                <w:noProof/>
              </w:rPr>
              <w:t>Therapeutic Goods Regulations 1990</w:t>
            </w:r>
            <w:r w:rsidR="00714674">
              <w:rPr>
                <w:noProof/>
                <w:webHidden/>
              </w:rPr>
              <w:tab/>
            </w:r>
            <w:r w:rsidR="00714674">
              <w:rPr>
                <w:noProof/>
                <w:webHidden/>
              </w:rPr>
              <w:fldChar w:fldCharType="begin"/>
            </w:r>
            <w:r w:rsidR="00714674">
              <w:rPr>
                <w:noProof/>
                <w:webHidden/>
              </w:rPr>
              <w:instrText xml:space="preserve"> PAGEREF _Toc164061982 \h </w:instrText>
            </w:r>
            <w:r w:rsidR="00714674">
              <w:rPr>
                <w:noProof/>
                <w:webHidden/>
              </w:rPr>
            </w:r>
            <w:r w:rsidR="00714674">
              <w:rPr>
                <w:noProof/>
                <w:webHidden/>
              </w:rPr>
              <w:fldChar w:fldCharType="separate"/>
            </w:r>
            <w:r w:rsidR="00714674">
              <w:rPr>
                <w:noProof/>
                <w:webHidden/>
              </w:rPr>
              <w:t>4</w:t>
            </w:r>
            <w:r w:rsidR="00714674">
              <w:rPr>
                <w:noProof/>
                <w:webHidden/>
              </w:rPr>
              <w:fldChar w:fldCharType="end"/>
            </w:r>
          </w:hyperlink>
        </w:p>
        <w:p w14:paraId="6BF9AE10" w14:textId="3653EAAF" w:rsidR="00714674" w:rsidRDefault="00D655A2">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4061983" w:history="1">
            <w:r w:rsidR="00714674" w:rsidRPr="00602DE6">
              <w:rPr>
                <w:rStyle w:val="Hyperlink"/>
                <w:noProof/>
              </w:rPr>
              <w:t>Final decision on proposed amendment not referred to an expert advisory committee</w:t>
            </w:r>
            <w:r w:rsidR="00714674">
              <w:rPr>
                <w:noProof/>
                <w:webHidden/>
              </w:rPr>
              <w:tab/>
            </w:r>
            <w:r w:rsidR="00714674">
              <w:rPr>
                <w:noProof/>
                <w:webHidden/>
              </w:rPr>
              <w:fldChar w:fldCharType="begin"/>
            </w:r>
            <w:r w:rsidR="00714674">
              <w:rPr>
                <w:noProof/>
                <w:webHidden/>
              </w:rPr>
              <w:instrText xml:space="preserve"> PAGEREF _Toc164061983 \h </w:instrText>
            </w:r>
            <w:r w:rsidR="00714674">
              <w:rPr>
                <w:noProof/>
                <w:webHidden/>
              </w:rPr>
            </w:r>
            <w:r w:rsidR="00714674">
              <w:rPr>
                <w:noProof/>
                <w:webHidden/>
              </w:rPr>
              <w:fldChar w:fldCharType="separate"/>
            </w:r>
            <w:r w:rsidR="00714674">
              <w:rPr>
                <w:noProof/>
                <w:webHidden/>
              </w:rPr>
              <w:t>5</w:t>
            </w:r>
            <w:r w:rsidR="00714674">
              <w:rPr>
                <w:noProof/>
                <w:webHidden/>
              </w:rPr>
              <w:fldChar w:fldCharType="end"/>
            </w:r>
          </w:hyperlink>
        </w:p>
        <w:p w14:paraId="64977B58" w14:textId="26FB00DA" w:rsidR="00714674" w:rsidRDefault="00D655A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4061984" w:history="1">
            <w:r w:rsidR="00714674" w:rsidRPr="00602DE6">
              <w:rPr>
                <w:rStyle w:val="Hyperlink"/>
                <w:noProof/>
              </w:rPr>
              <w:t>Final decision in relation to bromoxynil</w:t>
            </w:r>
            <w:r w:rsidR="00714674">
              <w:rPr>
                <w:noProof/>
                <w:webHidden/>
              </w:rPr>
              <w:tab/>
            </w:r>
            <w:r w:rsidR="00714674">
              <w:rPr>
                <w:noProof/>
                <w:webHidden/>
              </w:rPr>
              <w:fldChar w:fldCharType="begin"/>
            </w:r>
            <w:r w:rsidR="00714674">
              <w:rPr>
                <w:noProof/>
                <w:webHidden/>
              </w:rPr>
              <w:instrText xml:space="preserve"> PAGEREF _Toc164061984 \h </w:instrText>
            </w:r>
            <w:r w:rsidR="00714674">
              <w:rPr>
                <w:noProof/>
                <w:webHidden/>
              </w:rPr>
            </w:r>
            <w:r w:rsidR="00714674">
              <w:rPr>
                <w:noProof/>
                <w:webHidden/>
              </w:rPr>
              <w:fldChar w:fldCharType="separate"/>
            </w:r>
            <w:r w:rsidR="00714674">
              <w:rPr>
                <w:noProof/>
                <w:webHidden/>
              </w:rPr>
              <w:t>5</w:t>
            </w:r>
            <w:r w:rsidR="00714674">
              <w:rPr>
                <w:noProof/>
                <w:webHidden/>
              </w:rPr>
              <w:fldChar w:fldCharType="end"/>
            </w:r>
          </w:hyperlink>
        </w:p>
        <w:p w14:paraId="2263CF97" w14:textId="450ADB86" w:rsidR="00714674" w:rsidRDefault="00D655A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4061985" w:history="1">
            <w:r w:rsidR="00714674" w:rsidRPr="00602DE6">
              <w:rPr>
                <w:rStyle w:val="Hyperlink"/>
                <w:noProof/>
              </w:rPr>
              <w:t>Materials considered</w:t>
            </w:r>
            <w:r w:rsidR="00714674">
              <w:rPr>
                <w:noProof/>
                <w:webHidden/>
              </w:rPr>
              <w:tab/>
            </w:r>
            <w:r w:rsidR="00714674">
              <w:rPr>
                <w:noProof/>
                <w:webHidden/>
              </w:rPr>
              <w:fldChar w:fldCharType="begin"/>
            </w:r>
            <w:r w:rsidR="00714674">
              <w:rPr>
                <w:noProof/>
                <w:webHidden/>
              </w:rPr>
              <w:instrText xml:space="preserve"> PAGEREF _Toc164061985 \h </w:instrText>
            </w:r>
            <w:r w:rsidR="00714674">
              <w:rPr>
                <w:noProof/>
                <w:webHidden/>
              </w:rPr>
            </w:r>
            <w:r w:rsidR="00714674">
              <w:rPr>
                <w:noProof/>
                <w:webHidden/>
              </w:rPr>
              <w:fldChar w:fldCharType="separate"/>
            </w:r>
            <w:r w:rsidR="00714674">
              <w:rPr>
                <w:noProof/>
                <w:webHidden/>
              </w:rPr>
              <w:t>5</w:t>
            </w:r>
            <w:r w:rsidR="00714674">
              <w:rPr>
                <w:noProof/>
                <w:webHidden/>
              </w:rPr>
              <w:fldChar w:fldCharType="end"/>
            </w:r>
          </w:hyperlink>
        </w:p>
        <w:p w14:paraId="6A1F878E" w14:textId="3A5A923B" w:rsidR="00714674" w:rsidRDefault="00D655A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4061986" w:history="1">
            <w:r w:rsidR="00714674" w:rsidRPr="00602DE6">
              <w:rPr>
                <w:rStyle w:val="Hyperlink"/>
                <w:noProof/>
              </w:rPr>
              <w:t>Proposal</w:t>
            </w:r>
            <w:r w:rsidR="00714674">
              <w:rPr>
                <w:noProof/>
                <w:webHidden/>
              </w:rPr>
              <w:tab/>
            </w:r>
            <w:r w:rsidR="00714674">
              <w:rPr>
                <w:noProof/>
                <w:webHidden/>
              </w:rPr>
              <w:fldChar w:fldCharType="begin"/>
            </w:r>
            <w:r w:rsidR="00714674">
              <w:rPr>
                <w:noProof/>
                <w:webHidden/>
              </w:rPr>
              <w:instrText xml:space="preserve"> PAGEREF _Toc164061986 \h </w:instrText>
            </w:r>
            <w:r w:rsidR="00714674">
              <w:rPr>
                <w:noProof/>
                <w:webHidden/>
              </w:rPr>
            </w:r>
            <w:r w:rsidR="00714674">
              <w:rPr>
                <w:noProof/>
                <w:webHidden/>
              </w:rPr>
              <w:fldChar w:fldCharType="separate"/>
            </w:r>
            <w:r w:rsidR="00714674">
              <w:rPr>
                <w:noProof/>
                <w:webHidden/>
              </w:rPr>
              <w:t>5</w:t>
            </w:r>
            <w:r w:rsidR="00714674">
              <w:rPr>
                <w:noProof/>
                <w:webHidden/>
              </w:rPr>
              <w:fldChar w:fldCharType="end"/>
            </w:r>
          </w:hyperlink>
        </w:p>
        <w:p w14:paraId="56A03929" w14:textId="10B0FA65" w:rsidR="00714674" w:rsidRDefault="00D655A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4061987" w:history="1">
            <w:r w:rsidR="00714674" w:rsidRPr="00602DE6">
              <w:rPr>
                <w:rStyle w:val="Hyperlink"/>
                <w:noProof/>
              </w:rPr>
              <w:t>Interim decision and reasons for the interim decision (including findings on material questions of fact)</w:t>
            </w:r>
            <w:r w:rsidR="00714674">
              <w:rPr>
                <w:noProof/>
                <w:webHidden/>
              </w:rPr>
              <w:tab/>
            </w:r>
            <w:r w:rsidR="00714674">
              <w:rPr>
                <w:noProof/>
                <w:webHidden/>
              </w:rPr>
              <w:fldChar w:fldCharType="begin"/>
            </w:r>
            <w:r w:rsidR="00714674">
              <w:rPr>
                <w:noProof/>
                <w:webHidden/>
              </w:rPr>
              <w:instrText xml:space="preserve"> PAGEREF _Toc164061987 \h </w:instrText>
            </w:r>
            <w:r w:rsidR="00714674">
              <w:rPr>
                <w:noProof/>
                <w:webHidden/>
              </w:rPr>
            </w:r>
            <w:r w:rsidR="00714674">
              <w:rPr>
                <w:noProof/>
                <w:webHidden/>
              </w:rPr>
              <w:fldChar w:fldCharType="separate"/>
            </w:r>
            <w:r w:rsidR="00714674">
              <w:rPr>
                <w:noProof/>
                <w:webHidden/>
              </w:rPr>
              <w:t>6</w:t>
            </w:r>
            <w:r w:rsidR="00714674">
              <w:rPr>
                <w:noProof/>
                <w:webHidden/>
              </w:rPr>
              <w:fldChar w:fldCharType="end"/>
            </w:r>
          </w:hyperlink>
        </w:p>
        <w:p w14:paraId="5BBDCD48" w14:textId="3424547D" w:rsidR="00714674" w:rsidRDefault="00D655A2">
          <w:pPr>
            <w:pStyle w:val="TOC2"/>
            <w:rPr>
              <w:rFonts w:asciiTheme="minorHAnsi" w:eastAsiaTheme="minorEastAsia" w:hAnsiTheme="minorHAnsi" w:cstheme="minorBidi"/>
              <w:noProof/>
              <w:color w:val="auto"/>
              <w:kern w:val="2"/>
              <w:sz w:val="22"/>
              <w:szCs w:val="22"/>
              <w:lang w:eastAsia="en-AU"/>
              <w14:ligatures w14:val="standardContextual"/>
            </w:rPr>
          </w:pPr>
          <w:hyperlink w:anchor="_Toc164061988" w:history="1">
            <w:r w:rsidR="00714674" w:rsidRPr="00602DE6">
              <w:rPr>
                <w:rStyle w:val="Hyperlink"/>
                <w:noProof/>
              </w:rPr>
              <w:t>Reasons for the final decision (including findings on material questions of fact)</w:t>
            </w:r>
            <w:r w:rsidR="00714674">
              <w:rPr>
                <w:noProof/>
                <w:webHidden/>
              </w:rPr>
              <w:tab/>
            </w:r>
            <w:r w:rsidR="00714674">
              <w:rPr>
                <w:noProof/>
                <w:webHidden/>
              </w:rPr>
              <w:fldChar w:fldCharType="begin"/>
            </w:r>
            <w:r w:rsidR="00714674">
              <w:rPr>
                <w:noProof/>
                <w:webHidden/>
              </w:rPr>
              <w:instrText xml:space="preserve"> PAGEREF _Toc164061988 \h </w:instrText>
            </w:r>
            <w:r w:rsidR="00714674">
              <w:rPr>
                <w:noProof/>
                <w:webHidden/>
              </w:rPr>
            </w:r>
            <w:r w:rsidR="00714674">
              <w:rPr>
                <w:noProof/>
                <w:webHidden/>
              </w:rPr>
              <w:fldChar w:fldCharType="separate"/>
            </w:r>
            <w:r w:rsidR="00714674">
              <w:rPr>
                <w:noProof/>
                <w:webHidden/>
              </w:rPr>
              <w:t>7</w:t>
            </w:r>
            <w:r w:rsidR="00714674">
              <w:rPr>
                <w:noProof/>
                <w:webHidden/>
              </w:rPr>
              <w:fldChar w:fldCharType="end"/>
            </w:r>
          </w:hyperlink>
        </w:p>
        <w:p w14:paraId="74F18401" w14:textId="1B7938DF" w:rsidR="00F02AEC" w:rsidRPr="00215D48" w:rsidRDefault="00F02AEC" w:rsidP="00F401EF">
          <w:r w:rsidRPr="00215D48">
            <w:fldChar w:fldCharType="end"/>
          </w:r>
        </w:p>
      </w:sdtContent>
    </w:sdt>
    <w:p w14:paraId="706207E8" w14:textId="77777777" w:rsidR="00F02AEC" w:rsidRPr="00215D48" w:rsidRDefault="00F02AEC" w:rsidP="0055653F">
      <w:r w:rsidRPr="00215D48">
        <w:br w:type="page"/>
      </w:r>
    </w:p>
    <w:p w14:paraId="7BD63EB2" w14:textId="41AD949F" w:rsidR="00F02AEC" w:rsidRDefault="00522B11" w:rsidP="0040761D">
      <w:pPr>
        <w:pStyle w:val="Heading2"/>
        <w:numPr>
          <w:ilvl w:val="0"/>
          <w:numId w:val="34"/>
        </w:numPr>
        <w:ind w:hanging="720"/>
        <w:rPr>
          <w:i/>
          <w:iCs/>
        </w:rPr>
      </w:pPr>
      <w:bookmarkStart w:id="0" w:name="_Toc164061982"/>
      <w:r>
        <w:lastRenderedPageBreak/>
        <w:t xml:space="preserve">Notice of </w:t>
      </w:r>
      <w:r w:rsidR="001026C0">
        <w:t>final</w:t>
      </w:r>
      <w:r>
        <w:t xml:space="preserve"> decision made under Regulation 42ZCZ</w:t>
      </w:r>
      <w:r w:rsidR="00CF39B5">
        <w:t>V</w:t>
      </w:r>
      <w:r>
        <w:t xml:space="preserve"> of the </w:t>
      </w:r>
      <w:r w:rsidRPr="00522B11">
        <w:rPr>
          <w:i/>
          <w:iCs/>
        </w:rPr>
        <w:t>Therapeutic Goods Regulations 1990</w:t>
      </w:r>
      <w:bookmarkEnd w:id="0"/>
    </w:p>
    <w:p w14:paraId="101AA074" w14:textId="612F56B9" w:rsidR="00E44CED" w:rsidRPr="00E0696E" w:rsidRDefault="001026C0" w:rsidP="00532B1F">
      <w:r w:rsidRPr="00E0696E">
        <w:t xml:space="preserve">This document constitutes a notice </w:t>
      </w:r>
      <w:r w:rsidR="00E44CED" w:rsidRPr="00E0696E">
        <w:t xml:space="preserve">a notice for the purposes of regulation 42ZCZX of the </w:t>
      </w:r>
      <w:r w:rsidR="00E44CED" w:rsidRPr="00E0696E">
        <w:rPr>
          <w:i/>
          <w:iCs/>
        </w:rPr>
        <w:t>Therapeutic Goods Regulations 1990</w:t>
      </w:r>
      <w:r w:rsidR="00E44CED" w:rsidRPr="00E0696E">
        <w:t xml:space="preserve"> (the </w:t>
      </w:r>
      <w:r w:rsidR="00E44CED" w:rsidRPr="00E0696E">
        <w:rPr>
          <w:b/>
          <w:bCs/>
        </w:rPr>
        <w:t>Regulations</w:t>
      </w:r>
      <w:r w:rsidR="00E44CED" w:rsidRPr="00E0696E">
        <w:t>). This notice sets out:</w:t>
      </w:r>
    </w:p>
    <w:p w14:paraId="48944635" w14:textId="23984516" w:rsidR="00522B11" w:rsidRPr="00E0696E" w:rsidRDefault="00E44CED" w:rsidP="00F624F2">
      <w:pPr>
        <w:pStyle w:val="ListBullet-dotick"/>
      </w:pPr>
      <w:r w:rsidRPr="00E0696E">
        <w:t>the</w:t>
      </w:r>
      <w:r w:rsidR="001026C0" w:rsidRPr="00E0696E">
        <w:t xml:space="preserve"> final decision made by a delegate of </w:t>
      </w:r>
      <w:r w:rsidR="001026C0" w:rsidRPr="00532B1F">
        <w:t>the</w:t>
      </w:r>
      <w:r w:rsidR="001026C0" w:rsidRPr="00E0696E">
        <w:t xml:space="preserve"> Secretary of the Department of the Health and Aged Care (the </w:t>
      </w:r>
      <w:r w:rsidR="001026C0" w:rsidRPr="00E0696E">
        <w:rPr>
          <w:b/>
          <w:bCs/>
        </w:rPr>
        <w:t>Delegate)</w:t>
      </w:r>
      <w:r w:rsidR="001026C0" w:rsidRPr="00E0696E">
        <w:t xml:space="preserve"> under Regulation 42ZCZ</w:t>
      </w:r>
      <w:r w:rsidR="00E0696E" w:rsidRPr="00E0696E">
        <w:t>W</w:t>
      </w:r>
      <w:r w:rsidR="001026C0" w:rsidRPr="00E0696E">
        <w:t xml:space="preserve"> in relation to proposed amendments to the current Poisons Standard which were not referred to an expert advisory</w:t>
      </w:r>
      <w:r w:rsidR="0040761D">
        <w:t xml:space="preserve"> committee</w:t>
      </w:r>
      <w:r w:rsidR="009421DD" w:rsidRPr="00E0696E">
        <w:rPr>
          <w:rStyle w:val="FootnoteReference"/>
          <w:sz w:val="22"/>
        </w:rPr>
        <w:footnoteReference w:id="1"/>
      </w:r>
    </w:p>
    <w:p w14:paraId="08AFAF86" w14:textId="26C97881" w:rsidR="00054542" w:rsidRPr="00E0696E" w:rsidRDefault="00054542" w:rsidP="00F624F2">
      <w:pPr>
        <w:pStyle w:val="ListBullet-dotick"/>
      </w:pPr>
      <w:r w:rsidRPr="00E0696E">
        <w:t>the reasons for the decision</w:t>
      </w:r>
    </w:p>
    <w:p w14:paraId="63752873" w14:textId="09272F52" w:rsidR="00E44CED" w:rsidRPr="00124882" w:rsidRDefault="00E44CED" w:rsidP="00F624F2">
      <w:pPr>
        <w:pStyle w:val="ListBullet-dotick"/>
      </w:pPr>
      <w:r w:rsidRPr="00124882">
        <w:t>the date of effect of the amendment (in circumstances where the final decision is to amend the current Poisons Standard).</w:t>
      </w:r>
    </w:p>
    <w:p w14:paraId="0CEBA740" w14:textId="739328BC" w:rsidR="001026C0" w:rsidRPr="00124882" w:rsidRDefault="001026C0" w:rsidP="00532B1F">
      <w:r w:rsidRPr="00124882">
        <w:t xml:space="preserve">The final decision follows an application to amend the Poisons Standard in relation to bromoxynil received on 8 February 2024 (the </w:t>
      </w:r>
      <w:r w:rsidRPr="00490110">
        <w:rPr>
          <w:b/>
          <w:bCs/>
        </w:rPr>
        <w:t>Application</w:t>
      </w:r>
      <w:r w:rsidRPr="00124882">
        <w:t>).</w:t>
      </w:r>
    </w:p>
    <w:p w14:paraId="477BEDEF" w14:textId="5CA082E5" w:rsidR="001026C0" w:rsidRPr="00E0696E" w:rsidRDefault="001026C0" w:rsidP="00532B1F">
      <w:r w:rsidRPr="00E0696E">
        <w:t>Pursuant to r 42ZCZV of the Regulations, on 2 April</w:t>
      </w:r>
      <w:r w:rsidR="00532B1F">
        <w:t xml:space="preserve"> 2024</w:t>
      </w:r>
      <w:r w:rsidRPr="00E0696E">
        <w:t>, the Delegate:</w:t>
      </w:r>
    </w:p>
    <w:p w14:paraId="7863BFB0" w14:textId="492CC678" w:rsidR="001026C0" w:rsidRPr="00E0696E" w:rsidRDefault="001026C0" w:rsidP="00532B1F">
      <w:pPr>
        <w:pStyle w:val="Legislation-list"/>
        <w:jc w:val="left"/>
      </w:pPr>
      <w:r w:rsidRPr="00E0696E">
        <w:t>made an interim decision on the application having regard to the information provided by the</w:t>
      </w:r>
      <w:r w:rsidR="00532B1F">
        <w:t xml:space="preserve"> </w:t>
      </w:r>
      <w:r w:rsidRPr="00E0696E">
        <w:t>applicant</w:t>
      </w:r>
      <w:r w:rsidR="002A208F" w:rsidRPr="00E0696E">
        <w:t>, and</w:t>
      </w:r>
    </w:p>
    <w:p w14:paraId="25BDC949" w14:textId="77777777" w:rsidR="001026C0" w:rsidRPr="00E0696E" w:rsidRDefault="001026C0" w:rsidP="00532B1F">
      <w:pPr>
        <w:pStyle w:val="Legislation-list"/>
        <w:jc w:val="left"/>
      </w:pPr>
      <w:r w:rsidRPr="00E0696E">
        <w:t>provided the applicant a written notice setting out the interim decision and the reasons for the decision, and advised that they may, within the period specified in the notice (not being less than 10 business days after the date of the notice), make a written submission to the Delegate about the interim decisions.</w:t>
      </w:r>
    </w:p>
    <w:p w14:paraId="5AE55B96" w14:textId="646D20D8" w:rsidR="001026C0" w:rsidRPr="00124882" w:rsidRDefault="001026C0" w:rsidP="00532B1F">
      <w:r w:rsidRPr="00E0696E">
        <w:t xml:space="preserve">A response to the interim decision was received from the applicant on 11 April 2024. After considering this response, the Delegate is making their final decision to confirm their interim decision in relation to </w:t>
      </w:r>
      <w:r w:rsidR="00277427" w:rsidRPr="00E0696E">
        <w:t>bromoxynil</w:t>
      </w:r>
      <w:r w:rsidRPr="00E0696E">
        <w:t xml:space="preserve"> in accordance with r 42ZCZW of the Regulations. In accordance with r 42ZCZX of the Regulations, this notice provides a publication of the Delegate’s decision, and the reasons for the decision.</w:t>
      </w:r>
    </w:p>
    <w:p w14:paraId="51A104F0" w14:textId="77777777" w:rsidR="00522B11" w:rsidRPr="00124882" w:rsidRDefault="00522B11" w:rsidP="00AB7B01">
      <w:pPr>
        <w:rPr>
          <w:rFonts w:cs="Arial"/>
          <w:b/>
          <w:bCs/>
          <w:i/>
          <w:iCs/>
          <w:sz w:val="22"/>
          <w:szCs w:val="22"/>
        </w:rPr>
      </w:pPr>
      <w:r w:rsidRPr="00124882">
        <w:rPr>
          <w:rFonts w:cs="Arial"/>
          <w:b/>
          <w:bCs/>
          <w:i/>
          <w:iCs/>
          <w:sz w:val="22"/>
          <w:szCs w:val="22"/>
        </w:rPr>
        <w:t>Defined terms</w:t>
      </w:r>
    </w:p>
    <w:p w14:paraId="2947561D" w14:textId="77777777" w:rsidR="00522B11" w:rsidRPr="00124882" w:rsidRDefault="00522B11" w:rsidP="00532B1F">
      <w:r w:rsidRPr="00124882">
        <w:t>In this notice the following defined terms are used in addition to those above:</w:t>
      </w:r>
    </w:p>
    <w:p w14:paraId="30BF51BB" w14:textId="1F957BAA" w:rsidR="00522B11" w:rsidRPr="00124882" w:rsidRDefault="00522B11" w:rsidP="00F624F2">
      <w:pPr>
        <w:pStyle w:val="ListBullet-dotick"/>
      </w:pPr>
      <w:r w:rsidRPr="00124882">
        <w:t xml:space="preserve">the </w:t>
      </w:r>
      <w:r w:rsidRPr="00532B1F">
        <w:t>Therapeutic</w:t>
      </w:r>
      <w:r w:rsidRPr="00124882">
        <w:t xml:space="preserve"> Goods Act 1989 (Cth) (the </w:t>
      </w:r>
      <w:r w:rsidRPr="00124882">
        <w:rPr>
          <w:b/>
          <w:bCs/>
        </w:rPr>
        <w:t>Act</w:t>
      </w:r>
      <w:r w:rsidRPr="00124882">
        <w:t>)</w:t>
      </w:r>
    </w:p>
    <w:p w14:paraId="36AF3971" w14:textId="44018B5F" w:rsidR="00522B11" w:rsidRPr="00124882" w:rsidRDefault="00522B11" w:rsidP="00F624F2">
      <w:pPr>
        <w:pStyle w:val="ListBullet-dotick"/>
      </w:pPr>
      <w:r w:rsidRPr="00124882">
        <w:t xml:space="preserve">the Scheduling Policy Framework 2018 (the </w:t>
      </w:r>
      <w:r w:rsidRPr="00124882">
        <w:rPr>
          <w:b/>
          <w:bCs/>
        </w:rPr>
        <w:t>SPF</w:t>
      </w:r>
      <w:r w:rsidRPr="00124882">
        <w:t>)</w:t>
      </w:r>
    </w:p>
    <w:p w14:paraId="7B3B7AF7" w14:textId="0A4C88E1" w:rsidR="00522B11" w:rsidRPr="00124882" w:rsidRDefault="00522B11" w:rsidP="00F624F2">
      <w:pPr>
        <w:pStyle w:val="ListBullet-dotick"/>
      </w:pPr>
      <w:r w:rsidRPr="00124882">
        <w:t xml:space="preserve">the Scheduling handbook: Guidance for amending the Poisons Standard (the </w:t>
      </w:r>
      <w:r w:rsidRPr="00124882">
        <w:rPr>
          <w:b/>
          <w:bCs/>
        </w:rPr>
        <w:t>Handbook</w:t>
      </w:r>
      <w:r w:rsidRPr="00124882">
        <w:t>)</w:t>
      </w:r>
    </w:p>
    <w:p w14:paraId="17DD973B" w14:textId="57378A61" w:rsidR="00522B11" w:rsidRPr="00124882" w:rsidRDefault="00522B11" w:rsidP="00F624F2">
      <w:pPr>
        <w:pStyle w:val="ListBullet-dotick"/>
      </w:pPr>
      <w:r w:rsidRPr="00124882">
        <w:t xml:space="preserve">the Therapeutic Goods Administration (the </w:t>
      </w:r>
      <w:r w:rsidRPr="00124882">
        <w:rPr>
          <w:b/>
          <w:bCs/>
        </w:rPr>
        <w:t>TGA</w:t>
      </w:r>
      <w:r w:rsidRPr="00124882">
        <w:t>).</w:t>
      </w:r>
    </w:p>
    <w:p w14:paraId="777C96D0" w14:textId="4A2CBE04" w:rsidR="009421DD" w:rsidRPr="00124882" w:rsidRDefault="00522B11" w:rsidP="00532B1F">
      <w:pPr>
        <w:pStyle w:val="ListBullet"/>
        <w:numPr>
          <w:ilvl w:val="0"/>
          <w:numId w:val="0"/>
        </w:numPr>
        <w:rPr>
          <w:i/>
          <w:iCs/>
          <w:szCs w:val="20"/>
        </w:rPr>
      </w:pPr>
      <w:r w:rsidRPr="00124882">
        <w:rPr>
          <w:i/>
          <w:iCs/>
          <w:szCs w:val="20"/>
        </w:rPr>
        <w:t>Note: additional terms are also be defined for individual decisions.</w:t>
      </w:r>
    </w:p>
    <w:p w14:paraId="4C6A6128" w14:textId="77777777" w:rsidR="00B30B64" w:rsidRDefault="00B30B64">
      <w:pPr>
        <w:rPr>
          <w:rFonts w:cstheme="minorHAnsi"/>
        </w:rPr>
      </w:pPr>
      <w:r>
        <w:rPr>
          <w:rFonts w:cstheme="minorHAnsi"/>
        </w:rPr>
        <w:br w:type="page"/>
      </w:r>
    </w:p>
    <w:p w14:paraId="281E2508" w14:textId="6818CBE7" w:rsidR="00B30B64" w:rsidRDefault="00277427" w:rsidP="0040761D">
      <w:pPr>
        <w:pStyle w:val="Heading2"/>
        <w:numPr>
          <w:ilvl w:val="0"/>
          <w:numId w:val="34"/>
        </w:numPr>
        <w:ind w:hanging="720"/>
      </w:pPr>
      <w:bookmarkStart w:id="1" w:name="_Toc164061983"/>
      <w:r>
        <w:lastRenderedPageBreak/>
        <w:t>Final</w:t>
      </w:r>
      <w:r w:rsidR="00B30B64">
        <w:t xml:space="preserve"> decision on proposed amendment not referred to an </w:t>
      </w:r>
      <w:r w:rsidR="00C23983">
        <w:t>expert a</w:t>
      </w:r>
      <w:r w:rsidR="00B30B64">
        <w:t xml:space="preserve">dvisory </w:t>
      </w:r>
      <w:r w:rsidR="00C23983">
        <w:t>c</w:t>
      </w:r>
      <w:r w:rsidR="00B30B64">
        <w:t>ommittee</w:t>
      </w:r>
      <w:bookmarkEnd w:id="1"/>
    </w:p>
    <w:p w14:paraId="4491E41F" w14:textId="004EFDCD" w:rsidR="00277427" w:rsidRDefault="00277427" w:rsidP="00B30B64">
      <w:pPr>
        <w:pStyle w:val="Heading3"/>
      </w:pPr>
      <w:bookmarkStart w:id="2" w:name="_Toc164061984"/>
      <w:r>
        <w:t>Final decision in relation to bromoxynil</w:t>
      </w:r>
      <w:bookmarkEnd w:id="2"/>
    </w:p>
    <w:p w14:paraId="28295131" w14:textId="522E6A65" w:rsidR="00277427" w:rsidRPr="002A208F" w:rsidRDefault="00277427" w:rsidP="00532B1F">
      <w:r w:rsidRPr="00E0696E">
        <w:t>Pursuant to r 42ZCZ</w:t>
      </w:r>
      <w:r w:rsidR="00E0696E" w:rsidRPr="00E0696E">
        <w:t>W</w:t>
      </w:r>
      <w:r w:rsidRPr="00E0696E">
        <w:t xml:space="preserve"> of the Regulations, the Delegate has made a final decision to amend the current Poisons Standard in relation to bromoxynil as</w:t>
      </w:r>
      <w:r w:rsidR="00E44CED" w:rsidRPr="00E0696E">
        <w:t xml:space="preserve"> follows</w:t>
      </w:r>
      <w:r w:rsidR="00532B1F">
        <w:t>:</w:t>
      </w:r>
      <w:r w:rsidRPr="00E0696E">
        <w:rPr>
          <w:rStyle w:val="FootnoteReference"/>
          <w:sz w:val="22"/>
          <w:szCs w:val="22"/>
        </w:rPr>
        <w:footnoteReference w:id="2"/>
      </w:r>
    </w:p>
    <w:p w14:paraId="541C852A" w14:textId="77777777" w:rsidR="00277427" w:rsidRPr="00532B1F" w:rsidRDefault="00277427" w:rsidP="00277427">
      <w:pPr>
        <w:spacing w:before="120" w:after="180" w:line="240" w:lineRule="atLeast"/>
        <w:ind w:left="567"/>
        <w:rPr>
          <w:rFonts w:eastAsia="Cambria" w:cstheme="minorHAnsi"/>
          <w:b/>
        </w:rPr>
      </w:pPr>
      <w:r w:rsidRPr="00532B1F">
        <w:rPr>
          <w:rFonts w:eastAsia="Cambria" w:cstheme="minorHAnsi"/>
          <w:b/>
        </w:rPr>
        <w:t>Schedule 7 – New Entry</w:t>
      </w:r>
    </w:p>
    <w:p w14:paraId="652D7738" w14:textId="77777777" w:rsidR="00277427" w:rsidRPr="00532B1F" w:rsidRDefault="00277427" w:rsidP="00277427">
      <w:pPr>
        <w:shd w:val="clear" w:color="auto" w:fill="FFFFFF"/>
        <w:spacing w:after="0" w:line="240" w:lineRule="auto"/>
        <w:rPr>
          <w:rFonts w:eastAsia="Times New Roman" w:cstheme="minorHAnsi"/>
          <w:color w:val="000000"/>
          <w:u w:val="single"/>
          <w:lang w:eastAsia="en-AU"/>
        </w:rPr>
      </w:pPr>
      <w:r w:rsidRPr="00532B1F">
        <w:rPr>
          <w:rFonts w:eastAsia="Times New Roman" w:cstheme="minorHAnsi"/>
          <w:color w:val="000000"/>
          <w:lang w:eastAsia="en-AU"/>
        </w:rPr>
        <w:tab/>
      </w:r>
      <w:r w:rsidRPr="00532B1F">
        <w:rPr>
          <w:rFonts w:eastAsia="Times New Roman" w:cstheme="minorHAnsi"/>
          <w:color w:val="00B050"/>
          <w:u w:val="single"/>
          <w:lang w:eastAsia="en-AU"/>
        </w:rPr>
        <w:t xml:space="preserve">BROMOXYNIL </w:t>
      </w:r>
      <w:r w:rsidRPr="00532B1F">
        <w:rPr>
          <w:rFonts w:eastAsia="Times New Roman" w:cstheme="minorHAnsi"/>
          <w:b/>
          <w:bCs/>
          <w:color w:val="00B050"/>
          <w:u w:val="single"/>
          <w:lang w:eastAsia="en-AU"/>
        </w:rPr>
        <w:t>except</w:t>
      </w:r>
      <w:r w:rsidRPr="00532B1F">
        <w:rPr>
          <w:rFonts w:eastAsia="Times New Roman" w:cstheme="minorHAnsi"/>
          <w:color w:val="00B050"/>
          <w:u w:val="single"/>
          <w:lang w:eastAsia="en-AU"/>
        </w:rPr>
        <w:t xml:space="preserve"> when included in Schedule 6.</w:t>
      </w:r>
    </w:p>
    <w:p w14:paraId="1C438CD1" w14:textId="77777777" w:rsidR="00277427" w:rsidRPr="00532B1F" w:rsidRDefault="00277427" w:rsidP="00277427">
      <w:pPr>
        <w:spacing w:before="240" w:after="180" w:line="240" w:lineRule="atLeast"/>
        <w:ind w:left="567"/>
        <w:rPr>
          <w:rFonts w:eastAsia="Cambria" w:cstheme="minorHAnsi"/>
          <w:b/>
        </w:rPr>
      </w:pPr>
      <w:r w:rsidRPr="00532B1F">
        <w:rPr>
          <w:rFonts w:eastAsia="Cambria" w:cstheme="minorHAnsi"/>
          <w:b/>
        </w:rPr>
        <w:t>Schedule 6 – Amend Entry</w:t>
      </w:r>
    </w:p>
    <w:p w14:paraId="667DEFDC" w14:textId="77777777" w:rsidR="00277427" w:rsidRPr="00532B1F" w:rsidRDefault="00277427" w:rsidP="00277427">
      <w:pPr>
        <w:spacing w:before="120" w:after="180" w:line="240" w:lineRule="atLeast"/>
        <w:ind w:left="567" w:firstLine="153"/>
        <w:rPr>
          <w:rFonts w:eastAsia="Cambria" w:cstheme="minorHAnsi"/>
          <w:strike/>
          <w:color w:val="FF0000"/>
        </w:rPr>
      </w:pPr>
      <w:r w:rsidRPr="00532B1F">
        <w:rPr>
          <w:rFonts w:eastAsia="Cambria" w:cstheme="minorHAnsi"/>
        </w:rPr>
        <w:t xml:space="preserve">BROMOXYNIL </w:t>
      </w:r>
      <w:r w:rsidRPr="00532B1F">
        <w:rPr>
          <w:rFonts w:eastAsia="Cambria" w:cstheme="minorHAnsi"/>
          <w:color w:val="00B050"/>
          <w:u w:val="single"/>
        </w:rPr>
        <w:t>in preparations containing 1.5% or less of bromoxynil</w:t>
      </w:r>
      <w:r w:rsidRPr="00532B1F">
        <w:rPr>
          <w:rFonts w:eastAsia="Cambria" w:cstheme="minorHAnsi"/>
        </w:rPr>
        <w:t>.</w:t>
      </w:r>
    </w:p>
    <w:p w14:paraId="0867C522" w14:textId="77777777" w:rsidR="00277427" w:rsidRPr="00532B1F" w:rsidRDefault="00277427" w:rsidP="00277427">
      <w:pPr>
        <w:spacing w:before="120" w:after="180" w:line="240" w:lineRule="atLeast"/>
        <w:ind w:left="567"/>
        <w:rPr>
          <w:rFonts w:eastAsia="Cambria" w:cstheme="minorHAnsi"/>
          <w:b/>
        </w:rPr>
      </w:pPr>
      <w:r w:rsidRPr="00532B1F">
        <w:rPr>
          <w:rFonts w:eastAsia="Cambria" w:cstheme="minorHAnsi"/>
          <w:b/>
        </w:rPr>
        <w:t>Index – Amend Entry</w:t>
      </w:r>
    </w:p>
    <w:p w14:paraId="100266A5" w14:textId="77777777" w:rsidR="00277427" w:rsidRPr="00532B1F" w:rsidRDefault="00277427" w:rsidP="00277427">
      <w:pPr>
        <w:spacing w:before="120" w:after="180" w:line="240" w:lineRule="atLeast"/>
        <w:ind w:left="567" w:firstLine="153"/>
        <w:rPr>
          <w:rFonts w:eastAsia="Cambria" w:cstheme="minorHAnsi"/>
          <w:b/>
          <w:bCs/>
        </w:rPr>
      </w:pPr>
      <w:r w:rsidRPr="00532B1F">
        <w:rPr>
          <w:rFonts w:eastAsia="Cambria" w:cstheme="minorHAnsi"/>
          <w:b/>
          <w:bCs/>
        </w:rPr>
        <w:t>BROMOXYNIL</w:t>
      </w:r>
    </w:p>
    <w:p w14:paraId="472891BF" w14:textId="77777777" w:rsidR="00277427" w:rsidRPr="00532B1F" w:rsidRDefault="00277427" w:rsidP="00277427">
      <w:pPr>
        <w:spacing w:before="120" w:after="180" w:line="240" w:lineRule="atLeast"/>
        <w:ind w:left="567" w:firstLine="153"/>
        <w:rPr>
          <w:rFonts w:eastAsia="Cambria" w:cstheme="minorHAnsi"/>
        </w:rPr>
      </w:pPr>
      <w:r w:rsidRPr="00532B1F">
        <w:rPr>
          <w:rFonts w:eastAsia="Cambria" w:cstheme="minorHAnsi"/>
          <w:color w:val="00B050"/>
          <w:u w:val="single"/>
        </w:rPr>
        <w:t>Schedule 7</w:t>
      </w:r>
      <w:r w:rsidRPr="00532B1F">
        <w:rPr>
          <w:rFonts w:eastAsia="Cambria" w:cstheme="minorHAnsi"/>
        </w:rPr>
        <w:br/>
      </w:r>
      <w:r w:rsidRPr="00532B1F">
        <w:rPr>
          <w:rFonts w:eastAsia="Cambria" w:cstheme="minorHAnsi"/>
        </w:rPr>
        <w:tab/>
        <w:t>Schedule 6</w:t>
      </w:r>
    </w:p>
    <w:p w14:paraId="127FCA17" w14:textId="59B4929C" w:rsidR="00054542" w:rsidRPr="00532B1F" w:rsidRDefault="00054542" w:rsidP="00863C0B">
      <w:pPr>
        <w:ind w:left="567"/>
        <w:rPr>
          <w:rFonts w:eastAsia="Cambria" w:cstheme="minorHAnsi"/>
          <w:b/>
          <w:bCs/>
          <w:i/>
          <w:iCs/>
        </w:rPr>
      </w:pPr>
      <w:r w:rsidRPr="00532B1F">
        <w:rPr>
          <w:rFonts w:eastAsia="Cambria" w:cstheme="minorHAnsi"/>
          <w:b/>
          <w:bCs/>
          <w:i/>
          <w:iCs/>
        </w:rPr>
        <w:t>Implementation date</w:t>
      </w:r>
    </w:p>
    <w:p w14:paraId="293D1799" w14:textId="7F69566A" w:rsidR="00277427" w:rsidRPr="00532B1F" w:rsidRDefault="00277427" w:rsidP="00863C0B">
      <w:pPr>
        <w:ind w:left="567"/>
        <w:rPr>
          <w:rFonts w:cs="Arial"/>
        </w:rPr>
      </w:pPr>
      <w:r w:rsidRPr="00532B1F">
        <w:rPr>
          <w:rFonts w:eastAsia="Cambria" w:cstheme="minorHAnsi"/>
        </w:rPr>
        <w:t>1 February 2025</w:t>
      </w:r>
    </w:p>
    <w:p w14:paraId="277F7428" w14:textId="41EFCF4C" w:rsidR="00B30B64" w:rsidRPr="00215D48" w:rsidRDefault="00A620B8" w:rsidP="00B30B64">
      <w:pPr>
        <w:pStyle w:val="Heading3"/>
      </w:pPr>
      <w:bookmarkStart w:id="3" w:name="_Toc164061985"/>
      <w:r>
        <w:t>Materials considered</w:t>
      </w:r>
      <w:bookmarkEnd w:id="3"/>
    </w:p>
    <w:p w14:paraId="75DA4C71" w14:textId="256739FE" w:rsidR="00054542" w:rsidRPr="002A208F" w:rsidRDefault="00054542" w:rsidP="00532B1F">
      <w:r w:rsidRPr="002A208F">
        <w:t>In making this final decision, the Delegate considered the following material:</w:t>
      </w:r>
    </w:p>
    <w:p w14:paraId="555F0A10" w14:textId="729EFB86" w:rsidR="00EA1811" w:rsidRDefault="00EA1811" w:rsidP="00F624F2">
      <w:pPr>
        <w:pStyle w:val="ListBullet-dotick"/>
      </w:pPr>
      <w:r w:rsidRPr="002A208F">
        <w:t xml:space="preserve">the Delegate’s </w:t>
      </w:r>
      <w:hyperlink r:id="rId13" w:history="1">
        <w:r w:rsidRPr="00890FF9">
          <w:rPr>
            <w:rStyle w:val="Hyperlink"/>
          </w:rPr>
          <w:t>final decision</w:t>
        </w:r>
      </w:hyperlink>
      <w:r w:rsidRPr="002A208F">
        <w:t xml:space="preserve"> </w:t>
      </w:r>
      <w:r w:rsidR="00FF7C35">
        <w:t xml:space="preserve">dated </w:t>
      </w:r>
      <w:r w:rsidR="00FF7C35" w:rsidRPr="002A208F">
        <w:t xml:space="preserve">4 September 2023 (the </w:t>
      </w:r>
      <w:r w:rsidR="00FF7C35" w:rsidRPr="002A208F">
        <w:rPr>
          <w:b/>
          <w:bCs/>
        </w:rPr>
        <w:t>2023 Final Decision</w:t>
      </w:r>
      <w:r w:rsidR="00FF7C35" w:rsidRPr="002A208F">
        <w:t>)</w:t>
      </w:r>
      <w:r w:rsidR="00FF7C35">
        <w:t xml:space="preserve"> </w:t>
      </w:r>
      <w:r w:rsidRPr="002A208F">
        <w:t>to amend the current Poison</w:t>
      </w:r>
      <w:r>
        <w:t>s</w:t>
      </w:r>
      <w:r w:rsidRPr="002A208F">
        <w:t xml:space="preserve"> Standard with regards to bromoxynil </w:t>
      </w:r>
    </w:p>
    <w:p w14:paraId="46EBBF51" w14:textId="4EECBA6D" w:rsidR="00D2438C" w:rsidRPr="002A208F" w:rsidRDefault="00D2438C" w:rsidP="00F624F2">
      <w:pPr>
        <w:pStyle w:val="ListBullet-dotick"/>
      </w:pPr>
      <w:r w:rsidRPr="002A208F">
        <w:t xml:space="preserve">the application to amend the current Poisons Standard with respect to bromoxynil as specified in </w:t>
      </w:r>
      <w:r w:rsidR="008415E3">
        <w:t>2023 Final Decision</w:t>
      </w:r>
      <w:r w:rsidRPr="002A208F">
        <w:t xml:space="preserve"> but to defer the date of implementation (the </w:t>
      </w:r>
      <w:r w:rsidRPr="002A208F">
        <w:rPr>
          <w:b/>
          <w:bCs/>
        </w:rPr>
        <w:t>Application</w:t>
      </w:r>
      <w:r w:rsidRPr="002A208F">
        <w:t>)</w:t>
      </w:r>
    </w:p>
    <w:p w14:paraId="5B9E7E55" w14:textId="77777777" w:rsidR="00D2438C" w:rsidRPr="002A208F" w:rsidRDefault="00D2438C" w:rsidP="00F624F2">
      <w:pPr>
        <w:pStyle w:val="ListBullet-dotick"/>
      </w:pPr>
      <w:r w:rsidRPr="002A208F">
        <w:t xml:space="preserve">subsection 52E(1) of the </w:t>
      </w:r>
      <w:r w:rsidRPr="002A208F">
        <w:rPr>
          <w:i/>
          <w:iCs/>
        </w:rPr>
        <w:t>Therapeutic Goods Act 1989</w:t>
      </w:r>
      <w:r w:rsidRPr="002A208F">
        <w:t xml:space="preserve"> (Cth) </w:t>
      </w:r>
      <w:r w:rsidRPr="002A208F">
        <w:rPr>
          <w:iCs/>
        </w:rPr>
        <w:t xml:space="preserve">(the </w:t>
      </w:r>
      <w:r w:rsidRPr="002A208F">
        <w:rPr>
          <w:b/>
          <w:bCs/>
          <w:iCs/>
        </w:rPr>
        <w:t>Act</w:t>
      </w:r>
      <w:r w:rsidRPr="002A208F">
        <w:rPr>
          <w:iCs/>
        </w:rPr>
        <w:t>)</w:t>
      </w:r>
      <w:r w:rsidRPr="002A208F">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79034898" w14:textId="0FE92C73" w:rsidR="00D2438C" w:rsidRPr="002A208F" w:rsidRDefault="00D2438C" w:rsidP="00F624F2">
      <w:pPr>
        <w:pStyle w:val="ListBullet-dotick"/>
      </w:pPr>
      <w:r w:rsidRPr="002A208F">
        <w:t xml:space="preserve">the applicant’s response to the interim decision, received on </w:t>
      </w:r>
      <w:r w:rsidR="003C565F" w:rsidRPr="002A208F">
        <w:t>11 April 2024</w:t>
      </w:r>
    </w:p>
    <w:p w14:paraId="0E04DB6B" w14:textId="77777777" w:rsidR="00D2438C" w:rsidRPr="002A208F" w:rsidRDefault="00D2438C" w:rsidP="00F624F2">
      <w:pPr>
        <w:pStyle w:val="ListBullet-dotick"/>
      </w:pPr>
      <w:r w:rsidRPr="002A208F">
        <w:t xml:space="preserve">the </w:t>
      </w:r>
      <w:hyperlink r:id="rId14" w:history="1">
        <w:r w:rsidRPr="00532B1F">
          <w:rPr>
            <w:rStyle w:val="Hyperlink"/>
            <w:szCs w:val="20"/>
          </w:rPr>
          <w:t>Scheduling Policy Framework</w:t>
        </w:r>
      </w:hyperlink>
      <w:r w:rsidRPr="00532B1F">
        <w:rPr>
          <w:szCs w:val="20"/>
        </w:rPr>
        <w:t xml:space="preserve"> </w:t>
      </w:r>
      <w:r w:rsidRPr="002A208F">
        <w:t xml:space="preserve">2018 (the </w:t>
      </w:r>
      <w:r w:rsidRPr="002A208F">
        <w:rPr>
          <w:b/>
          <w:bCs/>
        </w:rPr>
        <w:t>SPF</w:t>
      </w:r>
      <w:r w:rsidRPr="002A208F">
        <w:t>), and</w:t>
      </w:r>
    </w:p>
    <w:p w14:paraId="434FD7D6" w14:textId="42D3DA68" w:rsidR="00D2438C" w:rsidRPr="002A208F" w:rsidRDefault="00D2438C" w:rsidP="00F624F2">
      <w:pPr>
        <w:pStyle w:val="ListBullet-dotick"/>
      </w:pPr>
      <w:r w:rsidRPr="00532B1F">
        <w:rPr>
          <w:szCs w:val="20"/>
        </w:rPr>
        <w:t xml:space="preserve">the </w:t>
      </w:r>
      <w:hyperlink r:id="rId15" w:history="1">
        <w:r w:rsidRPr="00532B1F">
          <w:rPr>
            <w:rStyle w:val="Hyperlink"/>
            <w:szCs w:val="20"/>
          </w:rPr>
          <w:t>Scheduling handbook: Guidance for amending the Poisons Standard</w:t>
        </w:r>
      </w:hyperlink>
      <w:r w:rsidRPr="002A208F">
        <w:t xml:space="preserve"> (the </w:t>
      </w:r>
      <w:r w:rsidRPr="002A208F">
        <w:rPr>
          <w:b/>
          <w:bCs/>
        </w:rPr>
        <w:t>Handbook</w:t>
      </w:r>
      <w:r w:rsidRPr="002A208F">
        <w:t>).</w:t>
      </w:r>
    </w:p>
    <w:p w14:paraId="64D23CD4" w14:textId="77777777" w:rsidR="00490110" w:rsidRDefault="00490110">
      <w:pPr>
        <w:rPr>
          <w:rFonts w:eastAsia="Times New Roman" w:cs="Times New Roman"/>
          <w:b/>
          <w:bCs/>
          <w:color w:val="001871"/>
          <w:sz w:val="32"/>
          <w:szCs w:val="32"/>
        </w:rPr>
      </w:pPr>
      <w:bookmarkStart w:id="4" w:name="_Toc164061986"/>
      <w:r>
        <w:br w:type="page"/>
      </w:r>
    </w:p>
    <w:p w14:paraId="5F97EA9C" w14:textId="0E3A1207" w:rsidR="00B30B64" w:rsidRPr="00A620B8" w:rsidRDefault="00B30B64" w:rsidP="00A620B8">
      <w:pPr>
        <w:pStyle w:val="Heading3"/>
      </w:pPr>
      <w:r w:rsidRPr="00A620B8">
        <w:lastRenderedPageBreak/>
        <w:t>Proposal</w:t>
      </w:r>
      <w:bookmarkEnd w:id="4"/>
    </w:p>
    <w:p w14:paraId="26AB44F3" w14:textId="19F6D382" w:rsidR="00773DFF" w:rsidRPr="009F7026" w:rsidRDefault="0076068E" w:rsidP="00532B1F">
      <w:r w:rsidRPr="009F7026">
        <w:t xml:space="preserve">Currently bromoxynil is included </w:t>
      </w:r>
      <w:r w:rsidR="00B47323" w:rsidRPr="009F7026">
        <w:t xml:space="preserve">in the Poisons Standard </w:t>
      </w:r>
      <w:r w:rsidRPr="009F7026">
        <w:t xml:space="preserve">as a Schedule 6 substance. </w:t>
      </w:r>
      <w:r w:rsidR="00773DFF" w:rsidRPr="009F7026">
        <w:t xml:space="preserve">In </w:t>
      </w:r>
      <w:r w:rsidR="00B47323" w:rsidRPr="009F7026">
        <w:t>November 2022</w:t>
      </w:r>
      <w:r w:rsidR="00773DFF" w:rsidRPr="009F7026">
        <w:t xml:space="preserve">, the Delegate received a proposal to create a new entry in Schedule 7 of the Poisons Standard for preparations containing greater than 1% of bromoxynil. </w:t>
      </w:r>
      <w:r w:rsidR="00A4788C">
        <w:t>O</w:t>
      </w:r>
      <w:r w:rsidR="00A4788C" w:rsidRPr="009F7026">
        <w:t>n 4 September 2023</w:t>
      </w:r>
      <w:r w:rsidR="00A4788C">
        <w:t>, a</w:t>
      </w:r>
      <w:r w:rsidR="00141F4D" w:rsidRPr="009F7026">
        <w:t>fter due consideration pursuant to the Act and the Regulations</w:t>
      </w:r>
      <w:r w:rsidR="00A4788C">
        <w:t xml:space="preserve">, </w:t>
      </w:r>
      <w:r w:rsidR="006E24F3" w:rsidRPr="009F7026">
        <w:t xml:space="preserve">the Delegate </w:t>
      </w:r>
      <w:r w:rsidR="002628CF" w:rsidRPr="009F7026">
        <w:t>made</w:t>
      </w:r>
      <w:r w:rsidR="006E24F3" w:rsidRPr="009F7026">
        <w:t xml:space="preserve"> a </w:t>
      </w:r>
      <w:r w:rsidR="002628CF" w:rsidRPr="009F7026">
        <w:t xml:space="preserve">final </w:t>
      </w:r>
      <w:r w:rsidR="006E24F3" w:rsidRPr="009F7026">
        <w:t xml:space="preserve">decision to amend the Poison Standard </w:t>
      </w:r>
      <w:r w:rsidR="00773DFF" w:rsidRPr="009F7026">
        <w:t>with regards to bromoxynil</w:t>
      </w:r>
      <w:r w:rsidR="003C565F" w:rsidRPr="009F7026">
        <w:t>. The 2023 Final Decision was</w:t>
      </w:r>
      <w:r w:rsidR="00773DFF" w:rsidRPr="009F7026">
        <w:t xml:space="preserve"> to:</w:t>
      </w:r>
    </w:p>
    <w:p w14:paraId="2D866F87" w14:textId="3220919B" w:rsidR="00773DFF" w:rsidRPr="009F7026" w:rsidRDefault="006E24F3" w:rsidP="00F624F2">
      <w:pPr>
        <w:pStyle w:val="ListBullet-dotick"/>
      </w:pPr>
      <w:r w:rsidRPr="009F7026">
        <w:t xml:space="preserve">create </w:t>
      </w:r>
      <w:r w:rsidR="00F63E45" w:rsidRPr="009F7026">
        <w:t xml:space="preserve">a new </w:t>
      </w:r>
      <w:r w:rsidRPr="009F7026">
        <w:t xml:space="preserve">Schedule 7 entry for </w:t>
      </w:r>
      <w:r w:rsidR="00773DFF" w:rsidRPr="009F7026">
        <w:t xml:space="preserve">preparations containing </w:t>
      </w:r>
      <w:r w:rsidR="00385DDF" w:rsidRPr="009F7026">
        <w:t>more than 1.5%</w:t>
      </w:r>
      <w:r w:rsidR="00773DFF" w:rsidRPr="009F7026">
        <w:t xml:space="preserve"> bromoxynil, </w:t>
      </w:r>
      <w:r w:rsidRPr="009F7026">
        <w:t xml:space="preserve">and </w:t>
      </w:r>
    </w:p>
    <w:p w14:paraId="4CAF3EC0" w14:textId="26B74539" w:rsidR="00773DFF" w:rsidRPr="009F7026" w:rsidRDefault="00F63E45" w:rsidP="00F624F2">
      <w:pPr>
        <w:pStyle w:val="ListBullet-dotick"/>
      </w:pPr>
      <w:r w:rsidRPr="009F7026">
        <w:t>amend</w:t>
      </w:r>
      <w:r w:rsidR="006E24F3" w:rsidRPr="009F7026">
        <w:t xml:space="preserve"> the existing Schedule 6 entry</w:t>
      </w:r>
      <w:r w:rsidR="00773DFF" w:rsidRPr="009F7026">
        <w:t xml:space="preserve"> to capture all other bromoxynil preparations</w:t>
      </w:r>
      <w:r w:rsidR="006E24F3" w:rsidRPr="009F7026">
        <w:t>.</w:t>
      </w:r>
    </w:p>
    <w:p w14:paraId="757AF55A" w14:textId="43C4779D" w:rsidR="000768F2" w:rsidRPr="009F7026" w:rsidRDefault="006E24F3" w:rsidP="00532B1F">
      <w:r w:rsidRPr="009F7026">
        <w:t xml:space="preserve">The </w:t>
      </w:r>
      <w:r w:rsidR="00773DFF" w:rsidRPr="009F7026">
        <w:t xml:space="preserve">Delegate decided that the amendments </w:t>
      </w:r>
      <w:r w:rsidRPr="009F7026">
        <w:t>will come into effect on 1 June 2024.</w:t>
      </w:r>
    </w:p>
    <w:p w14:paraId="4EA17638" w14:textId="28A5B777" w:rsidR="003C565F" w:rsidRPr="009F7026" w:rsidRDefault="00C51212" w:rsidP="00532B1F">
      <w:r>
        <w:t>O</w:t>
      </w:r>
      <w:r w:rsidRPr="009F7026">
        <w:t>n 8 February 2024</w:t>
      </w:r>
      <w:r>
        <w:t>, t</w:t>
      </w:r>
      <w:r w:rsidR="003C565F" w:rsidRPr="009F7026">
        <w:t>he Delegate received an application to defer the implementation date for the amendment specified in the 2023 Final Decision with regards to bromoxynil</w:t>
      </w:r>
      <w:r w:rsidR="00D92106" w:rsidRPr="009F7026">
        <w:t xml:space="preserve"> to </w:t>
      </w:r>
      <w:r w:rsidR="00D92106" w:rsidRPr="00490110">
        <w:t>1</w:t>
      </w:r>
      <w:r w:rsidRPr="00490110">
        <w:t> </w:t>
      </w:r>
      <w:r w:rsidR="00D92106" w:rsidRPr="00490110">
        <w:t>January 2025.</w:t>
      </w:r>
    </w:p>
    <w:p w14:paraId="282CCE61" w14:textId="5A700BC3" w:rsidR="00B30B64" w:rsidRPr="00A620B8" w:rsidRDefault="00B30B64" w:rsidP="00A620B8">
      <w:pPr>
        <w:pStyle w:val="Heading3"/>
      </w:pPr>
      <w:bookmarkStart w:id="5" w:name="_Toc164061987"/>
      <w:r w:rsidRPr="00A620B8">
        <w:t>Interim decision</w:t>
      </w:r>
      <w:bookmarkEnd w:id="5"/>
    </w:p>
    <w:p w14:paraId="568295A2" w14:textId="217C9328" w:rsidR="00F63E45" w:rsidRPr="001E4336" w:rsidRDefault="00B30B64" w:rsidP="00532B1F">
      <w:pPr>
        <w:rPr>
          <w:rFonts w:eastAsia="Cambria" w:cstheme="minorHAnsi"/>
          <w:strike/>
        </w:rPr>
      </w:pPr>
      <w:r w:rsidRPr="001E4336">
        <w:t>Pursuant to regulation 42ZCZ</w:t>
      </w:r>
      <w:r w:rsidR="00D55DE9" w:rsidRPr="001E4336">
        <w:t>V</w:t>
      </w:r>
      <w:r w:rsidRPr="001E4336">
        <w:t xml:space="preserve"> of the Regulations, </w:t>
      </w:r>
      <w:r w:rsidR="00DE7418">
        <w:t>I</w:t>
      </w:r>
      <w:r w:rsidRPr="001E4336">
        <w:t xml:space="preserve"> made an interim decision to amend the current Poisons Standard in relation to </w:t>
      </w:r>
      <w:r w:rsidR="00A46A57" w:rsidRPr="001E4336">
        <w:t>bromoxynil</w:t>
      </w:r>
      <w:r w:rsidRPr="001E4336">
        <w:t xml:space="preserve"> as</w:t>
      </w:r>
      <w:r w:rsidR="002628CF" w:rsidRPr="001E4336">
        <w:t xml:space="preserve"> specified in the </w:t>
      </w:r>
      <w:r w:rsidR="00E249EA" w:rsidRPr="001E4336">
        <w:t xml:space="preserve">2023 </w:t>
      </w:r>
      <w:r w:rsidR="000768F2" w:rsidRPr="001E4336">
        <w:t>F</w:t>
      </w:r>
      <w:r w:rsidR="002628CF" w:rsidRPr="001E4336">
        <w:t xml:space="preserve">inal </w:t>
      </w:r>
      <w:r w:rsidR="000768F2" w:rsidRPr="001E4336">
        <w:t>D</w:t>
      </w:r>
      <w:r w:rsidR="002628CF" w:rsidRPr="001E4336">
        <w:t>ecision</w:t>
      </w:r>
      <w:r w:rsidR="00054542" w:rsidRPr="001E4336">
        <w:t xml:space="preserve"> but with an implementation date of </w:t>
      </w:r>
      <w:r w:rsidR="00673F17" w:rsidRPr="001E4336">
        <w:rPr>
          <w:rFonts w:eastAsia="Cambria" w:cstheme="minorHAnsi"/>
          <w:b/>
          <w:bCs/>
        </w:rPr>
        <w:t>1</w:t>
      </w:r>
      <w:r w:rsidR="000768F2" w:rsidRPr="001E4336">
        <w:rPr>
          <w:rFonts w:eastAsia="Cambria" w:cstheme="minorHAnsi"/>
          <w:b/>
          <w:bCs/>
        </w:rPr>
        <w:t> </w:t>
      </w:r>
      <w:r w:rsidR="00673F17" w:rsidRPr="001E4336">
        <w:rPr>
          <w:rFonts w:eastAsia="Cambria" w:cstheme="minorHAnsi"/>
          <w:b/>
          <w:bCs/>
        </w:rPr>
        <w:t>February</w:t>
      </w:r>
      <w:r w:rsidR="000768F2" w:rsidRPr="001E4336">
        <w:rPr>
          <w:rFonts w:eastAsia="Cambria" w:cstheme="minorHAnsi"/>
          <w:b/>
          <w:bCs/>
        </w:rPr>
        <w:t> </w:t>
      </w:r>
      <w:r w:rsidR="00673F17" w:rsidRPr="001E4336">
        <w:rPr>
          <w:rFonts w:eastAsia="Cambria" w:cstheme="minorHAnsi"/>
          <w:b/>
          <w:bCs/>
        </w:rPr>
        <w:t>202</w:t>
      </w:r>
      <w:r w:rsidR="00E447AA" w:rsidRPr="001E4336">
        <w:rPr>
          <w:rFonts w:eastAsia="Cambria" w:cstheme="minorHAnsi"/>
          <w:b/>
          <w:bCs/>
        </w:rPr>
        <w:t>5</w:t>
      </w:r>
      <w:r w:rsidR="00673F17" w:rsidRPr="001E4336">
        <w:rPr>
          <w:rFonts w:eastAsia="Cambria" w:cstheme="minorHAnsi"/>
        </w:rPr>
        <w:t>.</w:t>
      </w:r>
      <w:r w:rsidR="00490110">
        <w:rPr>
          <w:rFonts w:eastAsia="Cambria" w:cstheme="minorHAnsi"/>
        </w:rPr>
        <w:t xml:space="preserve"> The interim decision was provided to the applicant on 2 April 2024.</w:t>
      </w:r>
    </w:p>
    <w:p w14:paraId="21892DD8" w14:textId="5F187F7F" w:rsidR="00210796" w:rsidRPr="001E4336" w:rsidRDefault="00D72250" w:rsidP="00532B1F">
      <w:r w:rsidRPr="001E4336">
        <w:t xml:space="preserve">My </w:t>
      </w:r>
      <w:r w:rsidR="00E249EA" w:rsidRPr="001E4336">
        <w:t xml:space="preserve">2023 </w:t>
      </w:r>
      <w:r w:rsidRPr="001E4336">
        <w:t xml:space="preserve">Final Decision </w:t>
      </w:r>
      <w:r w:rsidR="002F77B1" w:rsidRPr="001E4336">
        <w:t>agree</w:t>
      </w:r>
      <w:r w:rsidR="00AC0F14" w:rsidRPr="001E4336">
        <w:t>d</w:t>
      </w:r>
      <w:r w:rsidRPr="001E4336">
        <w:t xml:space="preserve"> with </w:t>
      </w:r>
      <w:r w:rsidR="00EA330B" w:rsidRPr="001E4336">
        <w:t xml:space="preserve">the </w:t>
      </w:r>
      <w:r w:rsidR="00490110" w:rsidRPr="001E4336">
        <w:t>advice of the Advisory Committee on Chemicals Scheduling (ACCS 36, March 2023)</w:t>
      </w:r>
      <w:r w:rsidR="001F104A" w:rsidRPr="001E4336">
        <w:t>.</w:t>
      </w:r>
      <w:r w:rsidR="00EA330B" w:rsidRPr="001E4336">
        <w:t xml:space="preserve"> </w:t>
      </w:r>
      <w:r w:rsidR="001F104A" w:rsidRPr="001E4336">
        <w:t xml:space="preserve">Further, </w:t>
      </w:r>
      <w:r w:rsidRPr="001E4336">
        <w:t xml:space="preserve">I did not receive any </w:t>
      </w:r>
      <w:r w:rsidR="00BD6BCE" w:rsidRPr="001E4336">
        <w:t>submissions oppos</w:t>
      </w:r>
      <w:r w:rsidRPr="001E4336">
        <w:t xml:space="preserve">ing </w:t>
      </w:r>
      <w:r w:rsidR="00BD6BCE" w:rsidRPr="001E4336">
        <w:t xml:space="preserve">the proposal or </w:t>
      </w:r>
      <w:r w:rsidRPr="001E4336">
        <w:t xml:space="preserve">my interim </w:t>
      </w:r>
      <w:r w:rsidR="00BD6BCE" w:rsidRPr="001E4336">
        <w:t>decision</w:t>
      </w:r>
      <w:r w:rsidR="001F104A" w:rsidRPr="001E4336">
        <w:t xml:space="preserve"> to up-schedule bromoxynil </w:t>
      </w:r>
      <w:r w:rsidR="00490110">
        <w:t xml:space="preserve">(including the implementation date) </w:t>
      </w:r>
      <w:r w:rsidR="001F104A" w:rsidRPr="001E4336">
        <w:t xml:space="preserve">during </w:t>
      </w:r>
      <w:r w:rsidR="00993FCC" w:rsidRPr="001E4336">
        <w:t xml:space="preserve">the </w:t>
      </w:r>
      <w:r w:rsidR="0040761D">
        <w:t>two</w:t>
      </w:r>
      <w:r w:rsidR="00B47836" w:rsidRPr="001E4336">
        <w:t> </w:t>
      </w:r>
      <w:r w:rsidR="001F104A" w:rsidRPr="001E4336">
        <w:t>round</w:t>
      </w:r>
      <w:r w:rsidR="00A06321" w:rsidRPr="001E4336">
        <w:t>s</w:t>
      </w:r>
      <w:r w:rsidR="001F104A" w:rsidRPr="001E4336">
        <w:t xml:space="preserve"> of </w:t>
      </w:r>
      <w:r w:rsidR="00B30C97" w:rsidRPr="001E4336">
        <w:t xml:space="preserve">public </w:t>
      </w:r>
      <w:r w:rsidR="001F104A" w:rsidRPr="001E4336">
        <w:t>consultation.</w:t>
      </w:r>
    </w:p>
    <w:p w14:paraId="7A4EA90E" w14:textId="3702A4C1" w:rsidR="00AA4966" w:rsidRPr="001E4336" w:rsidRDefault="00473B26" w:rsidP="00532B1F">
      <w:r w:rsidRPr="001E4336">
        <w:t xml:space="preserve">In October 2023, a peak body representing stakeholders in the agricultural industry voiced concerns regarding the </w:t>
      </w:r>
      <w:r w:rsidR="00336ECA" w:rsidRPr="001E4336">
        <w:t>implementation date of 1 June</w:t>
      </w:r>
      <w:r w:rsidR="00210796" w:rsidRPr="001E4336">
        <w:t xml:space="preserve"> 2024</w:t>
      </w:r>
      <w:r w:rsidR="007C34F3" w:rsidRPr="001E4336">
        <w:t xml:space="preserve"> for the up scheduling of bromoxynil</w:t>
      </w:r>
      <w:r w:rsidR="00336ECA" w:rsidRPr="001E4336">
        <w:t>.</w:t>
      </w:r>
      <w:r w:rsidR="00E3444F" w:rsidRPr="001E4336">
        <w:t xml:space="preserve"> </w:t>
      </w:r>
      <w:r w:rsidR="00210796" w:rsidRPr="001E4336">
        <w:t xml:space="preserve">These </w:t>
      </w:r>
      <w:r w:rsidR="00E3444F" w:rsidRPr="001E4336">
        <w:t>concerns</w:t>
      </w:r>
      <w:r w:rsidR="00210796" w:rsidRPr="001E4336">
        <w:t xml:space="preserve"> were described in detail in the </w:t>
      </w:r>
      <w:r w:rsidR="007C34F3" w:rsidRPr="001E4336">
        <w:t>Application</w:t>
      </w:r>
      <w:r w:rsidR="00210796" w:rsidRPr="001E4336">
        <w:t xml:space="preserve">. Other major </w:t>
      </w:r>
      <w:r w:rsidR="00A1560E" w:rsidRPr="001E4336">
        <w:t xml:space="preserve">industry stakeholders </w:t>
      </w:r>
      <w:r w:rsidR="00E72ABD" w:rsidRPr="001E4336">
        <w:t xml:space="preserve">have </w:t>
      </w:r>
      <w:r w:rsidR="00210796" w:rsidRPr="001E4336">
        <w:t>a</w:t>
      </w:r>
      <w:r w:rsidR="00AA4966" w:rsidRPr="001E4336">
        <w:t xml:space="preserve">lso communicated similar </w:t>
      </w:r>
      <w:r w:rsidR="00E249EA" w:rsidRPr="001E4336">
        <w:t>concerns</w:t>
      </w:r>
      <w:r w:rsidR="00A1560E" w:rsidRPr="001E4336">
        <w:t xml:space="preserve"> </w:t>
      </w:r>
      <w:r w:rsidR="00AA4966" w:rsidRPr="001E4336">
        <w:t>posed by the implementation date of 1 June</w:t>
      </w:r>
      <w:r w:rsidR="007C34F3" w:rsidRPr="001E4336">
        <w:t xml:space="preserve"> 2024</w:t>
      </w:r>
      <w:r w:rsidR="00AA4966" w:rsidRPr="001E4336">
        <w:t xml:space="preserve">. </w:t>
      </w:r>
      <w:r w:rsidR="00E3444F" w:rsidRPr="001E4336">
        <w:t>The key issues are summarised below</w:t>
      </w:r>
      <w:r w:rsidR="00490110">
        <w:t>:</w:t>
      </w:r>
    </w:p>
    <w:p w14:paraId="30A8A617" w14:textId="655854FC" w:rsidR="00AA4966" w:rsidRPr="001E4336" w:rsidRDefault="00050BD6" w:rsidP="00F624F2">
      <w:pPr>
        <w:pStyle w:val="ListBullet-dotick"/>
      </w:pPr>
      <w:r w:rsidRPr="001E4336">
        <w:t>Bromoxynil</w:t>
      </w:r>
      <w:r w:rsidR="002E0954">
        <w:t xml:space="preserve"> agricultural</w:t>
      </w:r>
      <w:r w:rsidRPr="001E4336">
        <w:t xml:space="preserve"> products </w:t>
      </w:r>
      <w:r w:rsidR="008F6760" w:rsidRPr="001E4336">
        <w:t xml:space="preserve">are </w:t>
      </w:r>
      <w:r w:rsidR="00AA4966" w:rsidRPr="001E4336">
        <w:t xml:space="preserve">essential to control </w:t>
      </w:r>
      <w:r w:rsidR="00B74797" w:rsidRPr="001E4336">
        <w:t>weeds in key crops such as wheat, oats, barley, rye</w:t>
      </w:r>
      <w:r w:rsidR="00D67039" w:rsidRPr="001E4336">
        <w:t>, linseed</w:t>
      </w:r>
      <w:r w:rsidR="00725827" w:rsidRPr="001E4336">
        <w:t xml:space="preserve"> and</w:t>
      </w:r>
      <w:r w:rsidR="00D67039" w:rsidRPr="001E4336">
        <w:t xml:space="preserve"> lucerne</w:t>
      </w:r>
      <w:r w:rsidR="00FF3CBC" w:rsidRPr="001E4336">
        <w:t xml:space="preserve">. </w:t>
      </w:r>
      <w:r w:rsidR="00AA4966" w:rsidRPr="001E4336">
        <w:t>T</w:t>
      </w:r>
      <w:r w:rsidR="00575C1C" w:rsidRPr="001E4336">
        <w:t>he use of bromoxynil is cr</w:t>
      </w:r>
      <w:r w:rsidR="00993FCC" w:rsidRPr="001E4336">
        <w:t>itic</w:t>
      </w:r>
      <w:r w:rsidR="00575C1C" w:rsidRPr="001E4336">
        <w:t xml:space="preserve">al in maintaining </w:t>
      </w:r>
      <w:r w:rsidR="007F17C1" w:rsidRPr="001E4336">
        <w:t xml:space="preserve">a </w:t>
      </w:r>
      <w:r w:rsidR="00BB6DAD" w:rsidRPr="001E4336">
        <w:t>reliab</w:t>
      </w:r>
      <w:r w:rsidR="007F17C1" w:rsidRPr="001E4336">
        <w:t>le</w:t>
      </w:r>
      <w:r w:rsidR="00B1283D" w:rsidRPr="001E4336">
        <w:t xml:space="preserve">, quality supply of </w:t>
      </w:r>
      <w:r w:rsidR="00273E92" w:rsidRPr="001E4336">
        <w:t>sustenance for all Australians</w:t>
      </w:r>
      <w:r w:rsidR="007F17C1" w:rsidRPr="001E4336">
        <w:t>.</w:t>
      </w:r>
    </w:p>
    <w:p w14:paraId="010E48B4" w14:textId="67C665C6" w:rsidR="00AA4966" w:rsidRPr="001E4336" w:rsidRDefault="00783FFC" w:rsidP="00F624F2">
      <w:pPr>
        <w:pStyle w:val="ListBullet-dotick"/>
      </w:pPr>
      <w:r w:rsidRPr="001E4336">
        <w:t>Approximately 80</w:t>
      </w:r>
      <w:r w:rsidR="00E3444F" w:rsidRPr="001E4336">
        <w:t>–</w:t>
      </w:r>
      <w:r w:rsidRPr="001E4336">
        <w:t xml:space="preserve">90% of the bromoxynil </w:t>
      </w:r>
      <w:r w:rsidR="002E0954">
        <w:t xml:space="preserve">agricultural </w:t>
      </w:r>
      <w:r w:rsidRPr="001E4336">
        <w:t xml:space="preserve">products are supplied, purchased and used </w:t>
      </w:r>
      <w:r w:rsidR="00E3444F" w:rsidRPr="001E4336">
        <w:t xml:space="preserve">between </w:t>
      </w:r>
      <w:r w:rsidRPr="001E4336">
        <w:t>May</w:t>
      </w:r>
      <w:r w:rsidR="00E3444F" w:rsidRPr="001E4336">
        <w:t xml:space="preserve"> and </w:t>
      </w:r>
      <w:r w:rsidRPr="001E4336">
        <w:t>July</w:t>
      </w:r>
      <w:r w:rsidR="007C34F3" w:rsidRPr="001E4336">
        <w:t xml:space="preserve">. </w:t>
      </w:r>
      <w:r w:rsidRPr="001E4336">
        <w:t xml:space="preserve">This represents a volume of 800,000 </w:t>
      </w:r>
      <w:r w:rsidR="00E3444F" w:rsidRPr="001E4336">
        <w:t>to</w:t>
      </w:r>
      <w:r w:rsidRPr="001E4336">
        <w:t xml:space="preserve"> 900,000 litres</w:t>
      </w:r>
      <w:r w:rsidR="007C34F3" w:rsidRPr="001E4336">
        <w:t xml:space="preserve"> </w:t>
      </w:r>
      <w:r w:rsidR="00E249EA" w:rsidRPr="001E4336">
        <w:t xml:space="preserve">(for each of the major suppliers) </w:t>
      </w:r>
      <w:r w:rsidR="007C34F3" w:rsidRPr="001E4336">
        <w:t>and the implementation date of 1 June 2024 falls in the middle of the peak use period</w:t>
      </w:r>
      <w:r w:rsidRPr="001E4336">
        <w:t>.</w:t>
      </w:r>
    </w:p>
    <w:p w14:paraId="4E6E3DE8" w14:textId="08C14761" w:rsidR="00BA1248" w:rsidRPr="001E4336" w:rsidRDefault="00783FFC" w:rsidP="00F624F2">
      <w:pPr>
        <w:pStyle w:val="ListBullet-dotick"/>
      </w:pPr>
      <w:r w:rsidRPr="001E4336">
        <w:t>Compliance with the storage requirements for a Schedule 7 poison</w:t>
      </w:r>
      <w:r w:rsidR="00BA1248" w:rsidRPr="001E4336">
        <w:t xml:space="preserve"> </w:t>
      </w:r>
      <w:r w:rsidRPr="001E4336">
        <w:t>pose</w:t>
      </w:r>
      <w:r w:rsidR="00E249EA" w:rsidRPr="001E4336">
        <w:t>s</w:t>
      </w:r>
      <w:r w:rsidRPr="001E4336">
        <w:t xml:space="preserve"> significant challenge</w:t>
      </w:r>
      <w:r w:rsidR="00E249EA" w:rsidRPr="001E4336">
        <w:t>s</w:t>
      </w:r>
      <w:r w:rsidRPr="001E4336">
        <w:t>.</w:t>
      </w:r>
      <w:r w:rsidR="00BA1248" w:rsidRPr="001E4336">
        <w:t xml:space="preserve"> </w:t>
      </w:r>
      <w:r w:rsidR="00E249EA" w:rsidRPr="001E4336">
        <w:t xml:space="preserve">There are </w:t>
      </w:r>
      <w:r w:rsidR="00E45F8B">
        <w:t>numerous</w:t>
      </w:r>
      <w:r w:rsidR="00E249EA" w:rsidRPr="001E4336">
        <w:t xml:space="preserve"> sites around Australia for each of the major suppliers. Each site needs to be evaluated by a safety officer to determine the changes required for storage. The construction or expansion of secure storage facilities required to house the large volume of bromoxynil used during the peak period</w:t>
      </w:r>
      <w:r w:rsidR="00147AB6">
        <w:t>,</w:t>
      </w:r>
      <w:r w:rsidR="00E249EA" w:rsidRPr="001E4336">
        <w:t xml:space="preserve"> is unlikely to be completed by 1 June 2024. </w:t>
      </w:r>
      <w:r w:rsidR="009375E5" w:rsidRPr="001E4336">
        <w:t xml:space="preserve">This </w:t>
      </w:r>
      <w:r w:rsidR="00BA1248" w:rsidRPr="001E4336">
        <w:t>is a</w:t>
      </w:r>
      <w:r w:rsidR="009375E5" w:rsidRPr="001E4336">
        <w:t xml:space="preserve"> human health</w:t>
      </w:r>
      <w:r w:rsidR="00BA1248" w:rsidRPr="001E4336">
        <w:t xml:space="preserve"> risk</w:t>
      </w:r>
      <w:r w:rsidR="009375E5" w:rsidRPr="001E4336">
        <w:t xml:space="preserve"> due to potential </w:t>
      </w:r>
      <w:r w:rsidR="00E3444F" w:rsidRPr="001E4336">
        <w:t xml:space="preserve">for </w:t>
      </w:r>
      <w:r w:rsidR="009375E5" w:rsidRPr="001E4336">
        <w:t xml:space="preserve">unsecured </w:t>
      </w:r>
      <w:r w:rsidR="00BA1248" w:rsidRPr="001E4336">
        <w:t xml:space="preserve">storage of bromoxynil </w:t>
      </w:r>
      <w:r w:rsidR="009375E5" w:rsidRPr="001E4336">
        <w:t>on distribution</w:t>
      </w:r>
      <w:r w:rsidR="00BA1248" w:rsidRPr="001E4336">
        <w:t xml:space="preserve"> and/or retail</w:t>
      </w:r>
      <w:r w:rsidR="009375E5" w:rsidRPr="001E4336">
        <w:t xml:space="preserve"> sites</w:t>
      </w:r>
      <w:r w:rsidR="00BA1248" w:rsidRPr="001E4336">
        <w:t>.</w:t>
      </w:r>
    </w:p>
    <w:p w14:paraId="056C199C" w14:textId="79DC0311" w:rsidR="00E249EA" w:rsidRPr="001E4336" w:rsidRDefault="00E249EA" w:rsidP="00F624F2">
      <w:pPr>
        <w:pStyle w:val="ListBullet-dotick"/>
      </w:pPr>
      <w:r w:rsidRPr="001E4336">
        <w:t>Industry noted that</w:t>
      </w:r>
      <w:r w:rsidR="008D2666">
        <w:t xml:space="preserve"> the</w:t>
      </w:r>
      <w:r w:rsidRPr="001E4336">
        <w:t xml:space="preserve"> logistics </w:t>
      </w:r>
      <w:r w:rsidR="008D2666">
        <w:t>are</w:t>
      </w:r>
      <w:r w:rsidRPr="001E4336">
        <w:t xml:space="preserve"> also complicated by distance, with the majority of bromoxynil </w:t>
      </w:r>
      <w:r w:rsidR="00973164">
        <w:t xml:space="preserve">agricultural </w:t>
      </w:r>
      <w:r w:rsidRPr="001E4336">
        <w:t>products manufactured on Australia’s east coast, while most products are supplied to Western Australia.</w:t>
      </w:r>
    </w:p>
    <w:p w14:paraId="2095363C" w14:textId="488230D0" w:rsidR="00E249EA" w:rsidRPr="001E4336" w:rsidRDefault="00E249EA" w:rsidP="00F624F2">
      <w:pPr>
        <w:pStyle w:val="ListBullet-dotick"/>
      </w:pPr>
      <w:r w:rsidRPr="001E4336">
        <w:t xml:space="preserve">In addition, despite marketing programs that encourage early seasonal purchase of bromoxynil </w:t>
      </w:r>
      <w:r w:rsidR="00973164">
        <w:t xml:space="preserve">agricultural </w:t>
      </w:r>
      <w:r w:rsidRPr="001E4336">
        <w:t>products for holding on farms, timeframes for purchasing decisions are strongly linked to factors such as favourable weather which contributes to the intensity of supply required during the peak purchase period.</w:t>
      </w:r>
    </w:p>
    <w:p w14:paraId="56913061" w14:textId="7B774E09" w:rsidR="00AA4966" w:rsidRPr="001E4336" w:rsidRDefault="00BA1248" w:rsidP="00F624F2">
      <w:pPr>
        <w:pStyle w:val="ListBullet-dotick"/>
      </w:pPr>
      <w:r w:rsidRPr="001E4336">
        <w:lastRenderedPageBreak/>
        <w:t xml:space="preserve">Other obligations of commercial stakeholders under the relevant state and territory legislation for the storage of Schedule 7 substances, if any, must also be considered. </w:t>
      </w:r>
      <w:r w:rsidR="009375E5" w:rsidRPr="001E4336">
        <w:t>Lack of compliant storage facilities</w:t>
      </w:r>
      <w:r w:rsidR="00E249EA" w:rsidRPr="001E4336">
        <w:t>, and transport distances,</w:t>
      </w:r>
      <w:r w:rsidR="009375E5" w:rsidRPr="001E4336">
        <w:t xml:space="preserve"> will have flow on effects on the warehousing, supply</w:t>
      </w:r>
      <w:r w:rsidR="00E3444F" w:rsidRPr="001E4336">
        <w:t xml:space="preserve"> and</w:t>
      </w:r>
      <w:r w:rsidR="009375E5" w:rsidRPr="001E4336">
        <w:t xml:space="preserve"> transport across Australia and may lead to product shortage or unavailability during</w:t>
      </w:r>
      <w:r w:rsidR="00E249EA" w:rsidRPr="001E4336">
        <w:t xml:space="preserve"> the</w:t>
      </w:r>
      <w:r w:rsidR="009375E5" w:rsidRPr="001E4336">
        <w:t xml:space="preserve"> peak use</w:t>
      </w:r>
      <w:r w:rsidR="00E3444F" w:rsidRPr="001E4336">
        <w:t xml:space="preserve"> period</w:t>
      </w:r>
      <w:r w:rsidR="009375E5" w:rsidRPr="001E4336">
        <w:t>.</w:t>
      </w:r>
    </w:p>
    <w:p w14:paraId="381D02E5" w14:textId="79D41789" w:rsidR="00E3444F" w:rsidRPr="001E4336" w:rsidRDefault="00E20AD7" w:rsidP="00532B1F">
      <w:r w:rsidRPr="001E4336">
        <w:t>I also note</w:t>
      </w:r>
      <w:r w:rsidR="00531774">
        <w:t>d</w:t>
      </w:r>
      <w:r w:rsidRPr="001E4336">
        <w:t xml:space="preserve"> that the application did not raise any objections to the </w:t>
      </w:r>
      <w:r w:rsidR="00E249EA" w:rsidRPr="001E4336">
        <w:t xml:space="preserve">2023 </w:t>
      </w:r>
      <w:r w:rsidRPr="001E4336">
        <w:t>Final Decision to up</w:t>
      </w:r>
      <w:r w:rsidR="00531774">
        <w:t xml:space="preserve"> </w:t>
      </w:r>
      <w:r w:rsidRPr="001E4336">
        <w:t xml:space="preserve">schedule bromoxynil and only sought to defer the implementation date of that decision. </w:t>
      </w:r>
      <w:r w:rsidR="00E3444F" w:rsidRPr="001E4336">
        <w:t>Th</w:t>
      </w:r>
      <w:r w:rsidR="001A774E" w:rsidRPr="001E4336">
        <w:t>e</w:t>
      </w:r>
      <w:r w:rsidR="00E3444F" w:rsidRPr="001E4336">
        <w:t>refore, I decide</w:t>
      </w:r>
      <w:r w:rsidR="001A774E" w:rsidRPr="001E4336">
        <w:t>d</w:t>
      </w:r>
      <w:r w:rsidR="00E3444F" w:rsidRPr="001E4336">
        <w:t xml:space="preserve"> not to refer the application to</w:t>
      </w:r>
      <w:r w:rsidR="001A774E" w:rsidRPr="001E4336">
        <w:t xml:space="preserve"> an expert advisory committee.</w:t>
      </w:r>
    </w:p>
    <w:p w14:paraId="6B6E779E" w14:textId="7290BFD4" w:rsidR="00A1560E" w:rsidRPr="001E4336" w:rsidRDefault="00E20AD7" w:rsidP="00532B1F">
      <w:r w:rsidRPr="001E4336">
        <w:t>While it is irregular to alter any final decision to amend the Poisons Standard after it has been published, I recognise</w:t>
      </w:r>
      <w:r w:rsidR="00640F60">
        <w:t>d</w:t>
      </w:r>
      <w:r w:rsidRPr="001E4336">
        <w:t xml:space="preserve"> the extenuating circumstances in this case should the </w:t>
      </w:r>
      <w:r w:rsidR="00E249EA" w:rsidRPr="001E4336">
        <w:t xml:space="preserve">2023 </w:t>
      </w:r>
      <w:r w:rsidRPr="001E4336">
        <w:t xml:space="preserve">Final Decision and its original implementation date of 1 June 2024 be allowed to stand. Therefore, I decided to amend the Poisons Standard with regards to bromoxynil as specified in the </w:t>
      </w:r>
      <w:r w:rsidR="00E249EA" w:rsidRPr="001E4336">
        <w:t xml:space="preserve">2023 </w:t>
      </w:r>
      <w:r w:rsidRPr="001E4336">
        <w:t>Final Decision, but with an implementation date of 1 February 2025.</w:t>
      </w:r>
      <w:r w:rsidR="00E53E27">
        <w:t xml:space="preserve"> </w:t>
      </w:r>
    </w:p>
    <w:p w14:paraId="1AFC0576" w14:textId="3C7BCE84" w:rsidR="00D92106" w:rsidRPr="00A620B8" w:rsidRDefault="00D92106" w:rsidP="00A620B8">
      <w:pPr>
        <w:pStyle w:val="Heading3"/>
      </w:pPr>
      <w:bookmarkStart w:id="6" w:name="_Toc164061988"/>
      <w:r w:rsidRPr="00A620B8">
        <w:t>Reasons for the final decision (including findings on material questions of fact)</w:t>
      </w:r>
      <w:bookmarkEnd w:id="6"/>
    </w:p>
    <w:p w14:paraId="0ADDBABB" w14:textId="77777777" w:rsidR="003B6ACB" w:rsidRDefault="00E0696E" w:rsidP="00532B1F">
      <w:pPr>
        <w:rPr>
          <w:rFonts w:cs="Arial"/>
        </w:rPr>
      </w:pPr>
      <w:r w:rsidRPr="001E4336">
        <w:t>Pursuant to regulation 42ZCZ</w:t>
      </w:r>
      <w:r>
        <w:t>W</w:t>
      </w:r>
      <w:r w:rsidRPr="001E4336">
        <w:t xml:space="preserve"> of the Regulations</w:t>
      </w:r>
      <w:r>
        <w:t>,</w:t>
      </w:r>
      <w:r w:rsidRPr="00640F60" w:rsidDel="00305E06">
        <w:rPr>
          <w:rFonts w:cs="Arial"/>
          <w:bCs/>
          <w:color w:val="0D0D0D" w:themeColor="text1" w:themeTint="F2"/>
        </w:rPr>
        <w:t xml:space="preserve"> </w:t>
      </w:r>
      <w:r w:rsidR="00A620B8" w:rsidRPr="00640F60" w:rsidDel="00305E06">
        <w:rPr>
          <w:rFonts w:cs="Arial"/>
          <w:bCs/>
          <w:color w:val="0D0D0D" w:themeColor="text1" w:themeTint="F2"/>
        </w:rPr>
        <w:t xml:space="preserve">I have made a final decision to confirm my interim decision to </w:t>
      </w:r>
      <w:r w:rsidR="007757B6">
        <w:rPr>
          <w:rFonts w:cs="Arial"/>
          <w:bCs/>
          <w:color w:val="0D0D0D" w:themeColor="text1" w:themeTint="F2"/>
        </w:rPr>
        <w:t xml:space="preserve">amend </w:t>
      </w:r>
      <w:r w:rsidR="007757B6" w:rsidRPr="001E4336">
        <w:t>the Poisons Standard with regards to bromoxynil as specified in the 2023 Final Decision</w:t>
      </w:r>
      <w:r w:rsidR="007757B6">
        <w:t xml:space="preserve"> </w:t>
      </w:r>
      <w:r w:rsidR="007757B6" w:rsidRPr="001E4336">
        <w:t>with an implementation date of 1 February 2025</w:t>
      </w:r>
      <w:r w:rsidR="007757B6">
        <w:t>.</w:t>
      </w:r>
      <w:r w:rsidR="00A620B8" w:rsidRPr="00640F60">
        <w:rPr>
          <w:rFonts w:cs="Arial"/>
        </w:rPr>
        <w:t xml:space="preserve"> </w:t>
      </w:r>
    </w:p>
    <w:p w14:paraId="71C4EE33" w14:textId="5D64499F" w:rsidR="00D92106" w:rsidRPr="00640F60" w:rsidRDefault="00A620B8" w:rsidP="00532B1F">
      <w:pPr>
        <w:rPr>
          <w:b/>
          <w:bCs/>
        </w:rPr>
      </w:pPr>
      <w:r w:rsidRPr="00640F60">
        <w:rPr>
          <w:rFonts w:cs="Arial"/>
        </w:rPr>
        <w:t xml:space="preserve">I have considered the applicant’s response </w:t>
      </w:r>
      <w:r w:rsidR="007F7D48">
        <w:rPr>
          <w:rFonts w:cs="Arial"/>
        </w:rPr>
        <w:t>dated</w:t>
      </w:r>
      <w:r w:rsidR="00883503">
        <w:rPr>
          <w:rFonts w:cs="Arial"/>
        </w:rPr>
        <w:t xml:space="preserve"> 11</w:t>
      </w:r>
      <w:r w:rsidR="007F7D48">
        <w:rPr>
          <w:rFonts w:cs="Arial"/>
        </w:rPr>
        <w:t> </w:t>
      </w:r>
      <w:r w:rsidR="00883503">
        <w:rPr>
          <w:rFonts w:cs="Arial"/>
        </w:rPr>
        <w:t>April</w:t>
      </w:r>
      <w:r w:rsidR="007F7D48">
        <w:rPr>
          <w:rFonts w:cs="Arial"/>
        </w:rPr>
        <w:t> </w:t>
      </w:r>
      <w:r w:rsidR="00883503">
        <w:rPr>
          <w:rFonts w:cs="Arial"/>
        </w:rPr>
        <w:t xml:space="preserve">2024 </w:t>
      </w:r>
      <w:r w:rsidR="007F7D48">
        <w:rPr>
          <w:rFonts w:cs="Arial"/>
        </w:rPr>
        <w:t xml:space="preserve">which </w:t>
      </w:r>
      <w:r w:rsidR="0040761D">
        <w:rPr>
          <w:rFonts w:cs="Arial"/>
        </w:rPr>
        <w:t>agrees</w:t>
      </w:r>
      <w:r w:rsidR="007D0AE6">
        <w:rPr>
          <w:rFonts w:cs="Arial"/>
        </w:rPr>
        <w:t xml:space="preserve"> </w:t>
      </w:r>
      <w:r w:rsidR="007F7D48">
        <w:rPr>
          <w:rFonts w:cs="Arial"/>
        </w:rPr>
        <w:t>with</w:t>
      </w:r>
      <w:r w:rsidRPr="00640F60">
        <w:rPr>
          <w:rFonts w:cs="Arial"/>
        </w:rPr>
        <w:t xml:space="preserve"> my interim decision.</w:t>
      </w:r>
      <w:r w:rsidR="00E53E27">
        <w:rPr>
          <w:rFonts w:cs="Arial"/>
        </w:rPr>
        <w:t xml:space="preserve"> </w:t>
      </w:r>
      <w:r w:rsidR="003B6ACB" w:rsidRPr="00C02602">
        <w:t xml:space="preserve">I am aware that some suppliers have </w:t>
      </w:r>
      <w:r w:rsidR="00490110">
        <w:t>progressed</w:t>
      </w:r>
      <w:r w:rsidR="003B6ACB" w:rsidRPr="00C02602">
        <w:t xml:space="preserve"> arrangements to implement </w:t>
      </w:r>
      <w:r w:rsidR="00490110">
        <w:t>product</w:t>
      </w:r>
      <w:r w:rsidR="003B6ACB" w:rsidRPr="00C02602">
        <w:t xml:space="preserve"> </w:t>
      </w:r>
      <w:r w:rsidR="00490110">
        <w:t>changes in anticipation of the original implementation date of</w:t>
      </w:r>
      <w:r w:rsidR="003B6ACB" w:rsidRPr="00C02602">
        <w:t xml:space="preserve"> 1 June 2024. I appreciate the</w:t>
      </w:r>
      <w:r w:rsidR="00490110">
        <w:t>se</w:t>
      </w:r>
      <w:r w:rsidR="003B6ACB" w:rsidRPr="00C02602">
        <w:t xml:space="preserve"> efforts and acknowledge </w:t>
      </w:r>
      <w:r w:rsidR="00490110">
        <w:t xml:space="preserve">that </w:t>
      </w:r>
      <w:r w:rsidR="003B6ACB" w:rsidRPr="00C02602">
        <w:t>disruptions to work plan</w:t>
      </w:r>
      <w:r w:rsidR="00490110">
        <w:t>s that may occur from a</w:t>
      </w:r>
      <w:r w:rsidR="003B6ACB" w:rsidRPr="00C02602">
        <w:t xml:space="preserve"> deferral. However, in view of the </w:t>
      </w:r>
      <w:r w:rsidR="00490110">
        <w:t xml:space="preserve">new evidence of the </w:t>
      </w:r>
      <w:r w:rsidR="003B6ACB" w:rsidRPr="00C02602">
        <w:t>s</w:t>
      </w:r>
      <w:r w:rsidR="00490110">
        <w:t xml:space="preserve">ubstantial </w:t>
      </w:r>
      <w:r w:rsidR="003B6ACB" w:rsidRPr="00C02602">
        <w:t xml:space="preserve">impact of the </w:t>
      </w:r>
      <w:r w:rsidR="00490110">
        <w:t xml:space="preserve">original </w:t>
      </w:r>
      <w:r w:rsidR="003B6ACB" w:rsidRPr="00C02602">
        <w:t xml:space="preserve">implementation date for </w:t>
      </w:r>
      <w:r w:rsidR="00490110">
        <w:t xml:space="preserve">the </w:t>
      </w:r>
      <w:proofErr w:type="gramStart"/>
      <w:r w:rsidR="00490110">
        <w:t>up-scheduling</w:t>
      </w:r>
      <w:proofErr w:type="gramEnd"/>
      <w:r w:rsidR="00490110">
        <w:t xml:space="preserve"> of </w:t>
      </w:r>
      <w:r w:rsidR="003B6ACB" w:rsidRPr="00C02602">
        <w:t xml:space="preserve">bromoxynil on industry, I have </w:t>
      </w:r>
      <w:r w:rsidR="00490110">
        <w:t>decided to defer the implementation date</w:t>
      </w:r>
      <w:r w:rsidR="003B6ACB" w:rsidRPr="00C02602">
        <w:t>.</w:t>
      </w:r>
      <w:r w:rsidR="003B6ACB">
        <w:t xml:space="preserve"> </w:t>
      </w:r>
      <w:r w:rsidR="00E53E27" w:rsidRPr="00E53E27">
        <w:t xml:space="preserve">While there are no changes from the 2023 Final Decision with regards to the amendments to the entry for bromoxynil, the implementation date of 1 June 2024 will be superseded and deferred to </w:t>
      </w:r>
      <w:r w:rsidR="00E53E27" w:rsidRPr="00094B33">
        <w:rPr>
          <w:b/>
          <w:bCs/>
        </w:rPr>
        <w:t>1 February 2025</w:t>
      </w:r>
      <w:r w:rsidR="00E53E27" w:rsidRPr="00E53E27">
        <w:t>.</w:t>
      </w:r>
    </w:p>
    <w:p w14:paraId="323D4245" w14:textId="51CBE626" w:rsidR="00D92106" w:rsidRPr="00C410F0" w:rsidRDefault="00D92106" w:rsidP="00532B1F">
      <w:r w:rsidRPr="00C410F0">
        <w:t xml:space="preserve">My decision to delay the implementation of the 2023 Final Decision does not negate the hazards associated with bromoxynil. I retain the concerns raised in the 2023 Final Decision, in particular, the increasing association of bromoxynil with incidents of self-harm. I encourage all holders of bromoxynil products to exercise caution in storing, supplying, and using bromoxynil products in the interim. </w:t>
      </w:r>
      <w:r w:rsidR="00AA01DA">
        <w:t>I</w:t>
      </w:r>
      <w:r w:rsidRPr="00C410F0">
        <w:t xml:space="preserve"> encourage suppliers and retail outlets to continue plans to phase out home and garden products containing bromoxynil that will not be consistent with the forthcoming change to the Poisons Standard.</w:t>
      </w:r>
    </w:p>
    <w:p w14:paraId="73242D73" w14:textId="77777777" w:rsidR="00D92106" w:rsidRPr="00C410F0" w:rsidRDefault="00D92106" w:rsidP="00532B1F">
      <w:r w:rsidRPr="00C410F0">
        <w:t>I also encourage all stakeholders affected by scheduling decisions to engage with the public consultations conducted as part of the scheduling of medicines and chemicals. While every effort is made by the decision maker to independently acquire information that inform scheduling decisions, feedback from stakeholders, peak bodies and the wider community is crucial to the decision-making process.</w:t>
      </w:r>
    </w:p>
    <w:p w14:paraId="7AD40D50" w14:textId="4C8ADC03" w:rsidR="00F02AEC" w:rsidRPr="00203751" w:rsidRDefault="009421DD" w:rsidP="00203751">
      <w:pPr>
        <w:rPr>
          <w:rFonts w:eastAsia="Cambria" w:cstheme="minorHAnsi"/>
          <w:color w:val="333F48"/>
        </w:rPr>
        <w:sectPr w:rsidR="00F02AEC" w:rsidRPr="00203751" w:rsidSect="00AE7C6A">
          <w:headerReference w:type="default" r:id="rId16"/>
          <w:footerReference w:type="default" r:id="rId17"/>
          <w:pgSz w:w="11906" w:h="16838" w:code="9"/>
          <w:pgMar w:top="1134" w:right="1418" w:bottom="1361" w:left="1418" w:header="573" w:footer="567" w:gutter="0"/>
          <w:cols w:space="708"/>
          <w:docGrid w:linePitch="360"/>
        </w:sectPr>
      </w:pPr>
      <w:r>
        <w:rPr>
          <w:rFonts w:cstheme="minorHAnsi"/>
        </w:rPr>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5212A2">
              <w:rPr>
                <w:color w:val="auto"/>
              </w:rPr>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5212A2" w:rsidRDefault="00F02AEC" w:rsidP="00EB5622">
            <w:pPr>
              <w:pStyle w:val="Address"/>
              <w:jc w:val="center"/>
              <w:rPr>
                <w:color w:val="auto"/>
              </w:rPr>
            </w:pPr>
            <w:r w:rsidRPr="005212A2">
              <w:rPr>
                <w:color w:val="auto"/>
              </w:rPr>
              <w:t>PO Box 100 Woden ACT 2606 Australia</w:t>
            </w:r>
          </w:p>
          <w:p w14:paraId="066495A2" w14:textId="77777777" w:rsidR="00F02AEC" w:rsidRDefault="00F02AEC">
            <w:pPr>
              <w:pStyle w:val="Address"/>
              <w:jc w:val="center"/>
              <w:rPr>
                <w:sz w:val="22"/>
                <w:szCs w:val="22"/>
              </w:rPr>
            </w:pPr>
            <w:r w:rsidRPr="005212A2">
              <w:rPr>
                <w:color w:val="auto"/>
              </w:rPr>
              <w:t>Email</w:t>
            </w:r>
            <w:r w:rsidRPr="00215D48">
              <w:t xml:space="preserve">: </w:t>
            </w:r>
            <w:hyperlink r:id="rId18" w:history="1">
              <w:r w:rsidRPr="00215D48">
                <w:rPr>
                  <w:rStyle w:val="Hyperlink"/>
                </w:rPr>
                <w:t>info@tga.gov.au</w:t>
              </w:r>
            </w:hyperlink>
            <w:r w:rsidRPr="00215D48">
              <w:t xml:space="preserve">  </w:t>
            </w:r>
            <w:r w:rsidRPr="005212A2">
              <w:rPr>
                <w:color w:val="auto"/>
              </w:rPr>
              <w:t xml:space="preserve">Phone: 1800 020 </w:t>
            </w:r>
            <w:proofErr w:type="gramStart"/>
            <w:r w:rsidRPr="005212A2">
              <w:rPr>
                <w:color w:val="auto"/>
              </w:rPr>
              <w:t>653  Fax</w:t>
            </w:r>
            <w:proofErr w:type="gramEnd"/>
            <w:r w:rsidRPr="005212A2">
              <w:rPr>
                <w:color w:val="auto"/>
              </w:rPr>
              <w:t>: 02 6203 1605</w:t>
            </w:r>
          </w:p>
          <w:p w14:paraId="5BCD25E4" w14:textId="77777777" w:rsidR="00F02AEC" w:rsidRPr="00215D48" w:rsidRDefault="00D655A2">
            <w:pPr>
              <w:pStyle w:val="Address"/>
              <w:jc w:val="center"/>
              <w:rPr>
                <w:rStyle w:val="Hyperlink"/>
                <w:b/>
                <w:color w:val="auto"/>
                <w:sz w:val="22"/>
              </w:rPr>
            </w:pPr>
            <w:hyperlink r:id="rId19"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C75846" w:rsidRDefault="00C75846"/>
    <w:sectPr w:rsidR="00C75846" w:rsidSect="00AE7C6A">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E4CF" w14:textId="77777777" w:rsidR="00090674" w:rsidRDefault="00090674" w:rsidP="00F02AEC">
      <w:pPr>
        <w:spacing w:after="0" w:line="240" w:lineRule="auto"/>
      </w:pPr>
      <w:r>
        <w:separator/>
      </w:r>
    </w:p>
  </w:endnote>
  <w:endnote w:type="continuationSeparator" w:id="0">
    <w:p w14:paraId="68041906" w14:textId="77777777" w:rsidR="00090674" w:rsidRDefault="00090674"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D655A2">
                <w:fldChar w:fldCharType="begin"/>
              </w:r>
              <w:r w:rsidR="00D655A2">
                <w:instrText xml:space="preserve"> NUMPAGES  </w:instrText>
              </w:r>
              <w:r w:rsidR="00D655A2">
                <w:fldChar w:fldCharType="separate"/>
              </w:r>
              <w:r>
                <w:rPr>
                  <w:noProof/>
                </w:rPr>
                <w:t>2</w:t>
              </w:r>
              <w:r w:rsidR="00D655A2">
                <w:rPr>
                  <w:noProof/>
                </w:rPr>
                <w:fldChar w:fldCharType="end"/>
              </w:r>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992"/>
    </w:tblGrid>
    <w:tr w:rsidR="00F02AEC" w:rsidRPr="005212A2" w14:paraId="1054AAE5" w14:textId="77777777" w:rsidTr="00490110">
      <w:trPr>
        <w:trHeight w:val="423"/>
      </w:trPr>
      <w:tc>
        <w:tcPr>
          <w:tcW w:w="8080" w:type="dxa"/>
          <w:tcBorders>
            <w:top w:val="single" w:sz="4" w:space="0" w:color="auto"/>
          </w:tcBorders>
        </w:tcPr>
        <w:p w14:paraId="4B9D0562" w14:textId="3F67997F" w:rsidR="00F02AEC" w:rsidRPr="005212A2" w:rsidRDefault="00993FCC" w:rsidP="0090744F">
          <w:pPr>
            <w:pStyle w:val="Footer"/>
            <w:ind w:left="-105"/>
            <w:rPr>
              <w:rFonts w:asciiTheme="minorHAnsi" w:hAnsiTheme="minorHAnsi" w:cstheme="minorHAnsi"/>
              <w:sz w:val="18"/>
              <w:szCs w:val="22"/>
            </w:rPr>
          </w:pPr>
          <w:r>
            <w:t xml:space="preserve">Notice of </w:t>
          </w:r>
          <w:r w:rsidR="00130B8B">
            <w:t>final</w:t>
          </w:r>
          <w:r>
            <w:t xml:space="preserve"> decision to amend the current Poisons Standard in relation to bromoxynil, </w:t>
          </w:r>
          <w:r w:rsidR="00F87D48">
            <w:t>April</w:t>
          </w:r>
          <w:r>
            <w:t xml:space="preserve"> 2024</w:t>
          </w:r>
          <w:r w:rsidR="00F02AEC" w:rsidRPr="005212A2">
            <w:rPr>
              <w:rFonts w:asciiTheme="minorHAnsi" w:hAnsiTheme="minorHAnsi" w:cstheme="minorHAnsi"/>
              <w:sz w:val="18"/>
              <w:szCs w:val="22"/>
            </w:rPr>
            <w:br/>
          </w:r>
        </w:p>
      </w:tc>
      <w:tc>
        <w:tcPr>
          <w:tcW w:w="992" w:type="dxa"/>
          <w:tcBorders>
            <w:top w:val="single" w:sz="4" w:space="0" w:color="auto"/>
          </w:tcBorders>
        </w:tcPr>
        <w:sdt>
          <w:sdtPr>
            <w:rPr>
              <w:rFonts w:asciiTheme="minorHAnsi" w:hAnsiTheme="minorHAnsi" w:cstheme="minorHAnsi"/>
              <w:sz w:val="18"/>
              <w:szCs w:val="22"/>
            </w:rPr>
            <w:id w:val="11571659"/>
            <w:docPartObj>
              <w:docPartGallery w:val="Page Numbers (Top of Page)"/>
              <w:docPartUnique/>
            </w:docPartObj>
          </w:sdtPr>
          <w:sdtEndPr/>
          <w:sdtContent>
            <w:p w14:paraId="61E459C4" w14:textId="77777777" w:rsidR="00F02AEC" w:rsidRPr="005212A2" w:rsidRDefault="00F02AEC" w:rsidP="0090744F">
              <w:pPr>
                <w:pStyle w:val="Footer"/>
                <w:ind w:right="-102"/>
                <w:jc w:val="right"/>
                <w:rPr>
                  <w:rFonts w:asciiTheme="minorHAnsi" w:hAnsiTheme="minorHAnsi" w:cstheme="minorHAnsi"/>
                  <w:sz w:val="18"/>
                  <w:szCs w:val="22"/>
                </w:rPr>
              </w:pPr>
              <w:r w:rsidRPr="005212A2">
                <w:rPr>
                  <w:rFonts w:asciiTheme="minorHAnsi" w:hAnsiTheme="minorHAnsi" w:cstheme="minorHAnsi"/>
                  <w:sz w:val="18"/>
                  <w:szCs w:val="22"/>
                </w:rPr>
                <w:t xml:space="preserve">Page </w:t>
              </w:r>
              <w:r w:rsidRPr="005212A2">
                <w:rPr>
                  <w:rFonts w:asciiTheme="minorHAnsi" w:hAnsiTheme="minorHAnsi" w:cstheme="minorHAnsi"/>
                  <w:sz w:val="18"/>
                  <w:szCs w:val="22"/>
                </w:rPr>
                <w:fldChar w:fldCharType="begin"/>
              </w:r>
              <w:r w:rsidRPr="005212A2">
                <w:rPr>
                  <w:rFonts w:asciiTheme="minorHAnsi" w:hAnsiTheme="minorHAnsi" w:cstheme="minorHAnsi"/>
                  <w:sz w:val="18"/>
                  <w:szCs w:val="22"/>
                </w:rPr>
                <w:instrText xml:space="preserve"> PAGE </w:instrText>
              </w:r>
              <w:r w:rsidRPr="005212A2">
                <w:rPr>
                  <w:rFonts w:asciiTheme="minorHAnsi" w:hAnsiTheme="minorHAnsi" w:cstheme="minorHAnsi"/>
                  <w:sz w:val="18"/>
                  <w:szCs w:val="22"/>
                </w:rPr>
                <w:fldChar w:fldCharType="separate"/>
              </w:r>
              <w:r w:rsidRPr="005212A2">
                <w:rPr>
                  <w:rFonts w:asciiTheme="minorHAnsi" w:hAnsiTheme="minorHAnsi" w:cstheme="minorHAnsi"/>
                  <w:noProof/>
                  <w:sz w:val="18"/>
                  <w:szCs w:val="22"/>
                </w:rPr>
                <w:t>6</w:t>
              </w:r>
              <w:r w:rsidRPr="005212A2">
                <w:rPr>
                  <w:rFonts w:asciiTheme="minorHAnsi" w:hAnsiTheme="minorHAnsi" w:cstheme="minorHAnsi"/>
                  <w:noProof/>
                  <w:sz w:val="18"/>
                  <w:szCs w:val="22"/>
                </w:rPr>
                <w:fldChar w:fldCharType="end"/>
              </w:r>
              <w:r w:rsidRPr="005212A2">
                <w:rPr>
                  <w:rFonts w:asciiTheme="minorHAnsi" w:hAnsiTheme="minorHAnsi" w:cstheme="minorHAnsi"/>
                  <w:sz w:val="18"/>
                  <w:szCs w:val="22"/>
                </w:rPr>
                <w:t xml:space="preserve"> of </w:t>
              </w:r>
              <w:r w:rsidR="001A5C54" w:rsidRPr="005212A2">
                <w:rPr>
                  <w:rFonts w:asciiTheme="minorHAnsi" w:hAnsiTheme="minorHAnsi" w:cstheme="minorHAnsi"/>
                  <w:sz w:val="18"/>
                  <w:szCs w:val="22"/>
                </w:rPr>
                <w:fldChar w:fldCharType="begin"/>
              </w:r>
              <w:r w:rsidR="001A5C54" w:rsidRPr="005212A2">
                <w:rPr>
                  <w:rFonts w:asciiTheme="minorHAnsi" w:hAnsiTheme="minorHAnsi" w:cstheme="minorHAnsi"/>
                  <w:sz w:val="18"/>
                  <w:szCs w:val="22"/>
                </w:rPr>
                <w:instrText xml:space="preserve"> NUMPAGES  </w:instrText>
              </w:r>
              <w:r w:rsidR="001A5C54" w:rsidRPr="005212A2">
                <w:rPr>
                  <w:rFonts w:asciiTheme="minorHAnsi" w:hAnsiTheme="minorHAnsi" w:cstheme="minorHAnsi"/>
                  <w:sz w:val="18"/>
                  <w:szCs w:val="22"/>
                </w:rPr>
                <w:fldChar w:fldCharType="separate"/>
              </w:r>
              <w:r w:rsidRPr="005212A2">
                <w:rPr>
                  <w:rFonts w:asciiTheme="minorHAnsi" w:hAnsiTheme="minorHAnsi" w:cstheme="minorHAnsi"/>
                  <w:noProof/>
                  <w:sz w:val="18"/>
                  <w:szCs w:val="22"/>
                </w:rPr>
                <w:t>7</w:t>
              </w:r>
              <w:r w:rsidR="001A5C54" w:rsidRPr="005212A2">
                <w:rPr>
                  <w:rFonts w:asciiTheme="minorHAnsi" w:hAnsiTheme="minorHAnsi" w:cstheme="minorHAnsi"/>
                  <w:noProof/>
                  <w:sz w:val="18"/>
                  <w:szCs w:val="22"/>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C75846" w:rsidRPr="008E3C43" w:rsidRDefault="00C7584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2693" w14:textId="77777777" w:rsidR="00090674" w:rsidRDefault="00090674" w:rsidP="00F02AEC">
      <w:pPr>
        <w:spacing w:after="0" w:line="240" w:lineRule="auto"/>
      </w:pPr>
      <w:r>
        <w:separator/>
      </w:r>
    </w:p>
  </w:footnote>
  <w:footnote w:type="continuationSeparator" w:id="0">
    <w:p w14:paraId="792BBCB3" w14:textId="77777777" w:rsidR="00090674" w:rsidRDefault="00090674" w:rsidP="00F02AEC">
      <w:pPr>
        <w:spacing w:after="0" w:line="240" w:lineRule="auto"/>
      </w:pPr>
      <w:r>
        <w:continuationSeparator/>
      </w:r>
    </w:p>
  </w:footnote>
  <w:footnote w:id="1">
    <w:p w14:paraId="76CD5AF3" w14:textId="08E269FC" w:rsidR="009421DD" w:rsidRPr="009421DD" w:rsidRDefault="009421DD">
      <w:pPr>
        <w:pStyle w:val="FootnoteText"/>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2">
    <w:p w14:paraId="2187B64E" w14:textId="77777777" w:rsidR="00277427" w:rsidRDefault="00277427" w:rsidP="00277427">
      <w:pPr>
        <w:pStyle w:val="FootnoteText"/>
      </w:pPr>
      <w:r>
        <w:rPr>
          <w:rStyle w:val="FootnoteReference"/>
        </w:rPr>
        <w:footnoteRef/>
      </w:r>
      <w:r>
        <w:t xml:space="preserve"> </w:t>
      </w:r>
      <w:r w:rsidRPr="00463126">
        <w:rPr>
          <w:rFonts w:cs="Arial"/>
          <w:color w:val="auto"/>
          <w:szCs w:val="14"/>
        </w:rPr>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61312"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5212A2" w:rsidRDefault="00F02AEC" w:rsidP="00C3408D">
    <w:pPr>
      <w:pStyle w:val="Header"/>
      <w:rPr>
        <w:rFonts w:asciiTheme="minorHAnsi" w:hAnsiTheme="minorHAnsi" w:cstheme="minorHAnsi"/>
        <w:sz w:val="18"/>
        <w:szCs w:val="22"/>
      </w:rPr>
    </w:pPr>
    <w:r w:rsidRPr="005212A2">
      <w:rPr>
        <w:rFonts w:asciiTheme="minorHAnsi" w:hAnsiTheme="minorHAnsi" w:cstheme="minorHAnsi"/>
        <w:sz w:val="18"/>
        <w:szCs w:val="22"/>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C75846" w:rsidRPr="00FE501F" w:rsidRDefault="00C7584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942BF"/>
    <w:multiLevelType w:val="hybridMultilevel"/>
    <w:tmpl w:val="D9EA73E8"/>
    <w:lvl w:ilvl="0" w:tplc="F482A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3D65371"/>
    <w:multiLevelType w:val="hybridMultilevel"/>
    <w:tmpl w:val="34725CC2"/>
    <w:lvl w:ilvl="0" w:tplc="FE407A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DA2681"/>
    <w:multiLevelType w:val="hybridMultilevel"/>
    <w:tmpl w:val="CD2A3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B315A04"/>
    <w:multiLevelType w:val="hybridMultilevel"/>
    <w:tmpl w:val="082A9118"/>
    <w:lvl w:ilvl="0" w:tplc="C0AC0B5C">
      <w:start w:val="1"/>
      <w:numFmt w:val="bullet"/>
      <w:pStyle w:val="List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76B6AB9"/>
    <w:multiLevelType w:val="hybridMultilevel"/>
    <w:tmpl w:val="183C31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5F5F4D"/>
    <w:multiLevelType w:val="hybridMultilevel"/>
    <w:tmpl w:val="2B3AC970"/>
    <w:lvl w:ilvl="0" w:tplc="4FBAF5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5958CF"/>
    <w:multiLevelType w:val="hybridMultilevel"/>
    <w:tmpl w:val="C4187D56"/>
    <w:lvl w:ilvl="0" w:tplc="ACF0F3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6943E7"/>
    <w:multiLevelType w:val="hybridMultilevel"/>
    <w:tmpl w:val="91DC3D48"/>
    <w:lvl w:ilvl="0" w:tplc="6EF63F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132FAA"/>
    <w:multiLevelType w:val="hybridMultilevel"/>
    <w:tmpl w:val="172C38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111BA6"/>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785286">
    <w:abstractNumId w:val="11"/>
    <w:lvlOverride w:ilvl="0">
      <w:lvl w:ilvl="0">
        <w:start w:val="4"/>
        <w:numFmt w:val="bullet"/>
        <w:lvlText w:val="•"/>
        <w:lvlJc w:val="left"/>
        <w:pPr>
          <w:ind w:left="360" w:hanging="360"/>
        </w:pPr>
        <w:rPr>
          <w:rFonts w:ascii="Cambria" w:eastAsia="Cambria" w:hAnsi="Cambria" w:hint="default"/>
        </w:rPr>
      </w:lvl>
    </w:lvlOverride>
  </w:num>
  <w:num w:numId="2" w16cid:durableId="1151097230">
    <w:abstractNumId w:val="8"/>
  </w:num>
  <w:num w:numId="3" w16cid:durableId="327247483">
    <w:abstractNumId w:val="10"/>
  </w:num>
  <w:num w:numId="4" w16cid:durableId="589394339">
    <w:abstractNumId w:val="20"/>
  </w:num>
  <w:num w:numId="5" w16cid:durableId="1062023140">
    <w:abstractNumId w:val="13"/>
  </w:num>
  <w:num w:numId="6" w16cid:durableId="246038333">
    <w:abstractNumId w:val="19"/>
  </w:num>
  <w:num w:numId="7" w16cid:durableId="13390435">
    <w:abstractNumId w:val="8"/>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1345666599">
    <w:abstractNumId w:val="21"/>
  </w:num>
  <w:num w:numId="9" w16cid:durableId="1150485018">
    <w:abstractNumId w:val="18"/>
  </w:num>
  <w:num w:numId="10" w16cid:durableId="2138644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18016">
    <w:abstractNumId w:val="9"/>
  </w:num>
  <w:num w:numId="12" w16cid:durableId="183516229">
    <w:abstractNumId w:val="25"/>
  </w:num>
  <w:num w:numId="13" w16cid:durableId="266891704">
    <w:abstractNumId w:val="27"/>
  </w:num>
  <w:num w:numId="14" w16cid:durableId="520900893">
    <w:abstractNumId w:val="26"/>
  </w:num>
  <w:num w:numId="15" w16cid:durableId="811213117">
    <w:abstractNumId w:val="22"/>
  </w:num>
  <w:num w:numId="16" w16cid:durableId="1363478902">
    <w:abstractNumId w:val="16"/>
  </w:num>
  <w:num w:numId="17" w16cid:durableId="2145192071">
    <w:abstractNumId w:val="5"/>
  </w:num>
  <w:num w:numId="18" w16cid:durableId="870067104">
    <w:abstractNumId w:val="11"/>
  </w:num>
  <w:num w:numId="19" w16cid:durableId="1743983183">
    <w:abstractNumId w:val="2"/>
  </w:num>
  <w:num w:numId="20" w16cid:durableId="93333059">
    <w:abstractNumId w:val="4"/>
  </w:num>
  <w:num w:numId="21" w16cid:durableId="485055834">
    <w:abstractNumId w:val="1"/>
  </w:num>
  <w:num w:numId="22" w16cid:durableId="549998793">
    <w:abstractNumId w:val="0"/>
  </w:num>
  <w:num w:numId="23" w16cid:durableId="20860647">
    <w:abstractNumId w:val="12"/>
  </w:num>
  <w:num w:numId="24" w16cid:durableId="329143521">
    <w:abstractNumId w:val="6"/>
  </w:num>
  <w:num w:numId="25" w16cid:durableId="830145655">
    <w:abstractNumId w:val="23"/>
  </w:num>
  <w:num w:numId="26" w16cid:durableId="59133663">
    <w:abstractNumId w:val="7"/>
  </w:num>
  <w:num w:numId="27" w16cid:durableId="1437826852">
    <w:abstractNumId w:val="12"/>
  </w:num>
  <w:num w:numId="28" w16cid:durableId="382675454">
    <w:abstractNumId w:val="12"/>
  </w:num>
  <w:num w:numId="29" w16cid:durableId="328991443">
    <w:abstractNumId w:val="12"/>
  </w:num>
  <w:num w:numId="30" w16cid:durableId="2023050124">
    <w:abstractNumId w:val="14"/>
  </w:num>
  <w:num w:numId="31" w16cid:durableId="1871994777">
    <w:abstractNumId w:val="17"/>
  </w:num>
  <w:num w:numId="32" w16cid:durableId="1152526449">
    <w:abstractNumId w:val="15"/>
  </w:num>
  <w:num w:numId="33" w16cid:durableId="888031233">
    <w:abstractNumId w:val="3"/>
  </w:num>
  <w:num w:numId="34" w16cid:durableId="846018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370F5"/>
    <w:rsid w:val="00050BD6"/>
    <w:rsid w:val="00054542"/>
    <w:rsid w:val="00073E40"/>
    <w:rsid w:val="000768F2"/>
    <w:rsid w:val="00090674"/>
    <w:rsid w:val="00094B33"/>
    <w:rsid w:val="00094B81"/>
    <w:rsid w:val="000B092D"/>
    <w:rsid w:val="000B6EA8"/>
    <w:rsid w:val="000F2D6C"/>
    <w:rsid w:val="000F648C"/>
    <w:rsid w:val="000F6B7F"/>
    <w:rsid w:val="001026C0"/>
    <w:rsid w:val="00121B25"/>
    <w:rsid w:val="0012473C"/>
    <w:rsid w:val="00124882"/>
    <w:rsid w:val="00130B8B"/>
    <w:rsid w:val="00133852"/>
    <w:rsid w:val="00141F4D"/>
    <w:rsid w:val="001449AB"/>
    <w:rsid w:val="00147AB6"/>
    <w:rsid w:val="00162B79"/>
    <w:rsid w:val="00175CD8"/>
    <w:rsid w:val="001A5C54"/>
    <w:rsid w:val="001A774E"/>
    <w:rsid w:val="001D369F"/>
    <w:rsid w:val="001E4336"/>
    <w:rsid w:val="001F104A"/>
    <w:rsid w:val="001F14B6"/>
    <w:rsid w:val="002008D8"/>
    <w:rsid w:val="00203751"/>
    <w:rsid w:val="00205945"/>
    <w:rsid w:val="00207A1D"/>
    <w:rsid w:val="00210796"/>
    <w:rsid w:val="00230036"/>
    <w:rsid w:val="00232BE4"/>
    <w:rsid w:val="00241900"/>
    <w:rsid w:val="00260E7B"/>
    <w:rsid w:val="002628CF"/>
    <w:rsid w:val="00273E92"/>
    <w:rsid w:val="00277427"/>
    <w:rsid w:val="002811FC"/>
    <w:rsid w:val="002A208F"/>
    <w:rsid w:val="002B7571"/>
    <w:rsid w:val="002C0BC5"/>
    <w:rsid w:val="002C14BB"/>
    <w:rsid w:val="002C6CF0"/>
    <w:rsid w:val="002E0954"/>
    <w:rsid w:val="002F77B1"/>
    <w:rsid w:val="003008D8"/>
    <w:rsid w:val="003050B8"/>
    <w:rsid w:val="00306A86"/>
    <w:rsid w:val="00336ECA"/>
    <w:rsid w:val="0035444D"/>
    <w:rsid w:val="00385DDF"/>
    <w:rsid w:val="003A3929"/>
    <w:rsid w:val="003B6ACB"/>
    <w:rsid w:val="003C54F7"/>
    <w:rsid w:val="003C565F"/>
    <w:rsid w:val="003D701F"/>
    <w:rsid w:val="003E0F81"/>
    <w:rsid w:val="003F5260"/>
    <w:rsid w:val="0040761D"/>
    <w:rsid w:val="004246B8"/>
    <w:rsid w:val="00432A07"/>
    <w:rsid w:val="00432C21"/>
    <w:rsid w:val="004575FA"/>
    <w:rsid w:val="00463126"/>
    <w:rsid w:val="004667F5"/>
    <w:rsid w:val="00473B26"/>
    <w:rsid w:val="00481419"/>
    <w:rsid w:val="00490110"/>
    <w:rsid w:val="004C5034"/>
    <w:rsid w:val="004D0BAA"/>
    <w:rsid w:val="004D38DD"/>
    <w:rsid w:val="004E3B71"/>
    <w:rsid w:val="00515F7C"/>
    <w:rsid w:val="005212A2"/>
    <w:rsid w:val="00522B11"/>
    <w:rsid w:val="00531774"/>
    <w:rsid w:val="00532B1F"/>
    <w:rsid w:val="00563C36"/>
    <w:rsid w:val="005641F5"/>
    <w:rsid w:val="005656F7"/>
    <w:rsid w:val="00575C1C"/>
    <w:rsid w:val="0058575E"/>
    <w:rsid w:val="0058767F"/>
    <w:rsid w:val="005A34E2"/>
    <w:rsid w:val="005D395E"/>
    <w:rsid w:val="005E044E"/>
    <w:rsid w:val="005E1EC3"/>
    <w:rsid w:val="005E631F"/>
    <w:rsid w:val="00640F60"/>
    <w:rsid w:val="00644510"/>
    <w:rsid w:val="00673F17"/>
    <w:rsid w:val="006832B5"/>
    <w:rsid w:val="006970BF"/>
    <w:rsid w:val="006A1F0B"/>
    <w:rsid w:val="006B66B4"/>
    <w:rsid w:val="006C2E51"/>
    <w:rsid w:val="006C2FEA"/>
    <w:rsid w:val="006E24F3"/>
    <w:rsid w:val="006E3E84"/>
    <w:rsid w:val="006E63B5"/>
    <w:rsid w:val="006E6E63"/>
    <w:rsid w:val="006F24DD"/>
    <w:rsid w:val="007011D9"/>
    <w:rsid w:val="00704888"/>
    <w:rsid w:val="00710310"/>
    <w:rsid w:val="007120E8"/>
    <w:rsid w:val="00712C6B"/>
    <w:rsid w:val="00713732"/>
    <w:rsid w:val="00714674"/>
    <w:rsid w:val="00725827"/>
    <w:rsid w:val="0074329D"/>
    <w:rsid w:val="00746990"/>
    <w:rsid w:val="0076068E"/>
    <w:rsid w:val="00773DFF"/>
    <w:rsid w:val="007757B6"/>
    <w:rsid w:val="00783FFC"/>
    <w:rsid w:val="00797A86"/>
    <w:rsid w:val="007A64C9"/>
    <w:rsid w:val="007B7A68"/>
    <w:rsid w:val="007C1E08"/>
    <w:rsid w:val="007C34F3"/>
    <w:rsid w:val="007D0AE6"/>
    <w:rsid w:val="007E5EFF"/>
    <w:rsid w:val="007E67A1"/>
    <w:rsid w:val="007F0A77"/>
    <w:rsid w:val="007F17C1"/>
    <w:rsid w:val="007F7D48"/>
    <w:rsid w:val="0080033D"/>
    <w:rsid w:val="00820F42"/>
    <w:rsid w:val="00822951"/>
    <w:rsid w:val="00830DB2"/>
    <w:rsid w:val="008329DB"/>
    <w:rsid w:val="008415E3"/>
    <w:rsid w:val="008436DE"/>
    <w:rsid w:val="0084439E"/>
    <w:rsid w:val="00863C0B"/>
    <w:rsid w:val="00873D44"/>
    <w:rsid w:val="00883503"/>
    <w:rsid w:val="00890FF9"/>
    <w:rsid w:val="008B6F93"/>
    <w:rsid w:val="008C24E7"/>
    <w:rsid w:val="008C58D6"/>
    <w:rsid w:val="008D2666"/>
    <w:rsid w:val="008F6760"/>
    <w:rsid w:val="009031DD"/>
    <w:rsid w:val="0090744F"/>
    <w:rsid w:val="00915A60"/>
    <w:rsid w:val="0092311B"/>
    <w:rsid w:val="00930D58"/>
    <w:rsid w:val="009375E5"/>
    <w:rsid w:val="009421DD"/>
    <w:rsid w:val="00952E10"/>
    <w:rsid w:val="00973164"/>
    <w:rsid w:val="00993FCC"/>
    <w:rsid w:val="009A6E6B"/>
    <w:rsid w:val="009B082B"/>
    <w:rsid w:val="009B4770"/>
    <w:rsid w:val="009B4F37"/>
    <w:rsid w:val="009E24BB"/>
    <w:rsid w:val="009E37E6"/>
    <w:rsid w:val="009F7026"/>
    <w:rsid w:val="00A06321"/>
    <w:rsid w:val="00A1027C"/>
    <w:rsid w:val="00A1560E"/>
    <w:rsid w:val="00A30D6C"/>
    <w:rsid w:val="00A35C22"/>
    <w:rsid w:val="00A45813"/>
    <w:rsid w:val="00A46A57"/>
    <w:rsid w:val="00A46F22"/>
    <w:rsid w:val="00A4788C"/>
    <w:rsid w:val="00A57913"/>
    <w:rsid w:val="00A620B8"/>
    <w:rsid w:val="00A8353F"/>
    <w:rsid w:val="00AA01DA"/>
    <w:rsid w:val="00AA4966"/>
    <w:rsid w:val="00AB785C"/>
    <w:rsid w:val="00AB7B01"/>
    <w:rsid w:val="00AB7CBF"/>
    <w:rsid w:val="00AC0F14"/>
    <w:rsid w:val="00AD741E"/>
    <w:rsid w:val="00AF7822"/>
    <w:rsid w:val="00B1283D"/>
    <w:rsid w:val="00B162AB"/>
    <w:rsid w:val="00B23981"/>
    <w:rsid w:val="00B30B64"/>
    <w:rsid w:val="00B30C97"/>
    <w:rsid w:val="00B415FA"/>
    <w:rsid w:val="00B43073"/>
    <w:rsid w:val="00B46BC0"/>
    <w:rsid w:val="00B47323"/>
    <w:rsid w:val="00B47836"/>
    <w:rsid w:val="00B64F59"/>
    <w:rsid w:val="00B74797"/>
    <w:rsid w:val="00B87C39"/>
    <w:rsid w:val="00BA1248"/>
    <w:rsid w:val="00BB6DAD"/>
    <w:rsid w:val="00BD4C76"/>
    <w:rsid w:val="00BD6BCE"/>
    <w:rsid w:val="00BF0E89"/>
    <w:rsid w:val="00BF6B60"/>
    <w:rsid w:val="00C02602"/>
    <w:rsid w:val="00C23983"/>
    <w:rsid w:val="00C26882"/>
    <w:rsid w:val="00C33D01"/>
    <w:rsid w:val="00C410F0"/>
    <w:rsid w:val="00C46767"/>
    <w:rsid w:val="00C46CF9"/>
    <w:rsid w:val="00C47C92"/>
    <w:rsid w:val="00C51212"/>
    <w:rsid w:val="00C5291D"/>
    <w:rsid w:val="00C65A45"/>
    <w:rsid w:val="00C722BF"/>
    <w:rsid w:val="00C725E4"/>
    <w:rsid w:val="00C75846"/>
    <w:rsid w:val="00C81D7F"/>
    <w:rsid w:val="00CA5B4B"/>
    <w:rsid w:val="00CB0550"/>
    <w:rsid w:val="00CB7DFA"/>
    <w:rsid w:val="00CD5F90"/>
    <w:rsid w:val="00CF335C"/>
    <w:rsid w:val="00CF3718"/>
    <w:rsid w:val="00CF39B5"/>
    <w:rsid w:val="00D0679F"/>
    <w:rsid w:val="00D078BE"/>
    <w:rsid w:val="00D13F8A"/>
    <w:rsid w:val="00D22054"/>
    <w:rsid w:val="00D2438C"/>
    <w:rsid w:val="00D34FBE"/>
    <w:rsid w:val="00D4099E"/>
    <w:rsid w:val="00D440C6"/>
    <w:rsid w:val="00D55DE9"/>
    <w:rsid w:val="00D655A2"/>
    <w:rsid w:val="00D67039"/>
    <w:rsid w:val="00D72250"/>
    <w:rsid w:val="00D918D5"/>
    <w:rsid w:val="00D92106"/>
    <w:rsid w:val="00DD6035"/>
    <w:rsid w:val="00DE6D19"/>
    <w:rsid w:val="00DE7418"/>
    <w:rsid w:val="00DE7B47"/>
    <w:rsid w:val="00DF1989"/>
    <w:rsid w:val="00DF4847"/>
    <w:rsid w:val="00E0696E"/>
    <w:rsid w:val="00E120E4"/>
    <w:rsid w:val="00E20AD7"/>
    <w:rsid w:val="00E249EA"/>
    <w:rsid w:val="00E3444F"/>
    <w:rsid w:val="00E42CEC"/>
    <w:rsid w:val="00E447AA"/>
    <w:rsid w:val="00E44CED"/>
    <w:rsid w:val="00E45F8B"/>
    <w:rsid w:val="00E53D3F"/>
    <w:rsid w:val="00E53E27"/>
    <w:rsid w:val="00E61E1C"/>
    <w:rsid w:val="00E62621"/>
    <w:rsid w:val="00E63F63"/>
    <w:rsid w:val="00E72ABD"/>
    <w:rsid w:val="00E73AF4"/>
    <w:rsid w:val="00E76905"/>
    <w:rsid w:val="00EA1811"/>
    <w:rsid w:val="00EA330B"/>
    <w:rsid w:val="00EC4A9E"/>
    <w:rsid w:val="00ED5021"/>
    <w:rsid w:val="00ED62AC"/>
    <w:rsid w:val="00EE0A54"/>
    <w:rsid w:val="00EF04C3"/>
    <w:rsid w:val="00F02AEC"/>
    <w:rsid w:val="00F15F1D"/>
    <w:rsid w:val="00F32472"/>
    <w:rsid w:val="00F53C7E"/>
    <w:rsid w:val="00F559B3"/>
    <w:rsid w:val="00F61C94"/>
    <w:rsid w:val="00F624F2"/>
    <w:rsid w:val="00F63E45"/>
    <w:rsid w:val="00F87D48"/>
    <w:rsid w:val="00F917E4"/>
    <w:rsid w:val="00FA49C3"/>
    <w:rsid w:val="00FD1E86"/>
    <w:rsid w:val="00FE0104"/>
    <w:rsid w:val="00FF3CBC"/>
    <w:rsid w:val="00FF419A"/>
    <w:rsid w:val="00FF7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F9"/>
    <w:rPr>
      <w:rFonts w:ascii="Arial" w:hAnsi="Arial"/>
    </w:rPr>
  </w:style>
  <w:style w:type="paragraph" w:styleId="Heading1">
    <w:name w:val="heading 1"/>
    <w:basedOn w:val="Normal"/>
    <w:next w:val="Normal"/>
    <w:link w:val="Heading1Char"/>
    <w:uiPriority w:val="9"/>
    <w:qFormat/>
    <w:rsid w:val="00890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90FF9"/>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890FF9"/>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890FF9"/>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890FF9"/>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890FF9"/>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autoRedefine/>
    <w:uiPriority w:val="9"/>
    <w:semiHidden/>
    <w:unhideWhenUsed/>
    <w:qFormat/>
    <w:rsid w:val="00AB785C"/>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90FF9"/>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890FF9"/>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890FF9"/>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890FF9"/>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890FF9"/>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890FF9"/>
    <w:rPr>
      <w:rFonts w:ascii="Arial" w:eastAsia="Times New Roman" w:hAnsi="Arial" w:cs="Times New Roman"/>
      <w:bCs/>
      <w:color w:val="001871"/>
      <w:sz w:val="24"/>
      <w:szCs w:val="21"/>
    </w:rPr>
  </w:style>
  <w:style w:type="paragraph" w:styleId="Date">
    <w:name w:val="Date"/>
    <w:basedOn w:val="Normal"/>
    <w:next w:val="Normal"/>
    <w:link w:val="DateChar"/>
    <w:uiPriority w:val="99"/>
    <w:rsid w:val="00890FF9"/>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890FF9"/>
    <w:rPr>
      <w:rFonts w:ascii="Arial" w:eastAsia="Cambria" w:hAnsi="Arial" w:cs="Times New Roman"/>
      <w:color w:val="333F4A"/>
      <w:sz w:val="28"/>
    </w:rPr>
  </w:style>
  <w:style w:type="paragraph" w:styleId="Footer">
    <w:name w:val="footer"/>
    <w:basedOn w:val="Normal"/>
    <w:link w:val="FooterChar"/>
    <w:uiPriority w:val="99"/>
    <w:rsid w:val="00890FF9"/>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890FF9"/>
    <w:rPr>
      <w:rFonts w:ascii="Arial" w:eastAsia="Cambria" w:hAnsi="Arial" w:cs="Times New Roman"/>
      <w:color w:val="333F4A"/>
      <w:sz w:val="17"/>
    </w:rPr>
  </w:style>
  <w:style w:type="paragraph" w:styleId="Header">
    <w:name w:val="header"/>
    <w:basedOn w:val="Normal"/>
    <w:link w:val="HeaderChar"/>
    <w:uiPriority w:val="99"/>
    <w:rsid w:val="00890FF9"/>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890FF9"/>
    <w:rPr>
      <w:rFonts w:ascii="Arial" w:eastAsia="Cambria" w:hAnsi="Arial" w:cs="Times New Roman"/>
      <w:color w:val="333F4A"/>
      <w:sz w:val="17"/>
    </w:rPr>
  </w:style>
  <w:style w:type="character" w:styleId="Hyperlink">
    <w:name w:val="Hyperlink"/>
    <w:basedOn w:val="DefaultParagraphFont"/>
    <w:uiPriority w:val="99"/>
    <w:unhideWhenUsed/>
    <w:rsid w:val="00890FF9"/>
    <w:rPr>
      <w:rFonts w:ascii="Arial" w:hAnsi="Arial"/>
      <w:color w:val="0000FF"/>
      <w:u w:val="single"/>
    </w:rPr>
  </w:style>
  <w:style w:type="paragraph" w:customStyle="1" w:styleId="LegalCopy">
    <w:name w:val="Legal Copy"/>
    <w:basedOn w:val="Footer"/>
    <w:rsid w:val="00890FF9"/>
  </w:style>
  <w:style w:type="paragraph" w:customStyle="1" w:styleId="LegalSubheading">
    <w:name w:val="Legal Subheading"/>
    <w:basedOn w:val="Normal"/>
    <w:rsid w:val="00890FF9"/>
    <w:pPr>
      <w:outlineLvl w:val="1"/>
    </w:pPr>
    <w:rPr>
      <w:sz w:val="17"/>
    </w:rPr>
  </w:style>
  <w:style w:type="paragraph" w:styleId="ListBullet">
    <w:name w:val="List Bullet"/>
    <w:basedOn w:val="Normal"/>
    <w:autoRedefine/>
    <w:uiPriority w:val="2"/>
    <w:qFormat/>
    <w:rsid w:val="00890FF9"/>
    <w:pPr>
      <w:numPr>
        <w:numId w:val="23"/>
      </w:numPr>
      <w:spacing w:before="120" w:after="180" w:line="240" w:lineRule="atLeast"/>
    </w:pPr>
    <w:rPr>
      <w:rFonts w:eastAsia="Cambria" w:cs="Arial"/>
      <w:szCs w:val="22"/>
    </w:rPr>
  </w:style>
  <w:style w:type="paragraph" w:styleId="ListBullet2">
    <w:name w:val="List Bullet 2"/>
    <w:basedOn w:val="Normal"/>
    <w:autoRedefine/>
    <w:uiPriority w:val="2"/>
    <w:qFormat/>
    <w:rsid w:val="00890FF9"/>
    <w:pPr>
      <w:numPr>
        <w:ilvl w:val="1"/>
        <w:numId w:val="18"/>
      </w:numPr>
      <w:spacing w:before="120" w:after="180" w:line="240" w:lineRule="atLeast"/>
    </w:pPr>
    <w:rPr>
      <w:rFonts w:eastAsia="Cambria" w:cs="Times New Roman"/>
    </w:rPr>
  </w:style>
  <w:style w:type="paragraph" w:styleId="ListBullet3">
    <w:name w:val="List Bullet 3"/>
    <w:basedOn w:val="Normal"/>
    <w:uiPriority w:val="2"/>
    <w:qFormat/>
    <w:rsid w:val="00890FF9"/>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890FF9"/>
    <w:pPr>
      <w:numPr>
        <w:numId w:val="18"/>
      </w:numPr>
    </w:pPr>
  </w:style>
  <w:style w:type="paragraph" w:customStyle="1" w:styleId="Numberbullet0">
    <w:name w:val="Number bullet"/>
    <w:basedOn w:val="ListBullet"/>
    <w:uiPriority w:val="3"/>
    <w:qFormat/>
    <w:rsid w:val="00890FF9"/>
    <w:pPr>
      <w:numPr>
        <w:numId w:val="2"/>
      </w:numPr>
    </w:pPr>
  </w:style>
  <w:style w:type="paragraph" w:customStyle="1" w:styleId="Numberbullet2">
    <w:name w:val="Number bullet 2"/>
    <w:basedOn w:val="ListBullet2"/>
    <w:uiPriority w:val="3"/>
    <w:qFormat/>
    <w:rsid w:val="00890FF9"/>
    <w:pPr>
      <w:numPr>
        <w:numId w:val="2"/>
      </w:numPr>
    </w:pPr>
  </w:style>
  <w:style w:type="paragraph" w:customStyle="1" w:styleId="Numberbullet3">
    <w:name w:val="Number bullet 3"/>
    <w:basedOn w:val="Normal"/>
    <w:uiPriority w:val="3"/>
    <w:qFormat/>
    <w:rsid w:val="00890FF9"/>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890FF9"/>
    <w:pPr>
      <w:numPr>
        <w:numId w:val="2"/>
      </w:numPr>
    </w:pPr>
  </w:style>
  <w:style w:type="paragraph" w:styleId="Subtitle">
    <w:name w:val="Subtitle"/>
    <w:basedOn w:val="Normal"/>
    <w:link w:val="SubtitleChar"/>
    <w:uiPriority w:val="11"/>
    <w:rsid w:val="00890FF9"/>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890FF9"/>
    <w:rPr>
      <w:rFonts w:ascii="Arial" w:eastAsia="Times New Roman" w:hAnsi="Arial" w:cs="Times New Roman"/>
      <w:bCs/>
      <w:iCs/>
      <w:color w:val="006BA6"/>
      <w:sz w:val="40"/>
      <w:szCs w:val="24"/>
    </w:rPr>
  </w:style>
  <w:style w:type="table" w:styleId="TableGrid">
    <w:name w:val="Table Grid"/>
    <w:basedOn w:val="TableNormal"/>
    <w:uiPriority w:val="59"/>
    <w:rsid w:val="00890FF9"/>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890FF9"/>
    <w:pPr>
      <w:spacing w:before="120" w:after="360" w:line="240" w:lineRule="atLeast"/>
      <w:jc w:val="center"/>
    </w:pPr>
    <w:rPr>
      <w:rFonts w:eastAsia="Cambria" w:cs="Times New Roman"/>
      <w:b/>
      <w:color w:val="333F48"/>
      <w:sz w:val="28"/>
    </w:rPr>
  </w:style>
  <w:style w:type="paragraph" w:styleId="Title">
    <w:name w:val="Title"/>
    <w:link w:val="TitleChar"/>
    <w:uiPriority w:val="10"/>
    <w:rsid w:val="00890FF9"/>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890FF9"/>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890FF9"/>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890FF9"/>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890FF9"/>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890FF9"/>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890FF9"/>
    <w:rPr>
      <w:rFonts w:ascii="Arial" w:eastAsia="Cambria" w:hAnsi="Arial" w:cs="Times New Roman"/>
      <w:color w:val="333F48"/>
      <w:sz w:val="16"/>
    </w:rPr>
  </w:style>
  <w:style w:type="character" w:styleId="FootnoteReference">
    <w:name w:val="footnote reference"/>
    <w:basedOn w:val="DefaultParagraphFont"/>
    <w:uiPriority w:val="99"/>
    <w:semiHidden/>
    <w:unhideWhenUsed/>
    <w:rsid w:val="00890FF9"/>
    <w:rPr>
      <w:vertAlign w:val="superscript"/>
    </w:rPr>
  </w:style>
  <w:style w:type="paragraph" w:customStyle="1" w:styleId="NonTOCheading2">
    <w:name w:val="Non TOC heading 2"/>
    <w:basedOn w:val="Normal"/>
    <w:next w:val="Normal"/>
    <w:rsid w:val="00890FF9"/>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890FF9"/>
    <w:pPr>
      <w:pBdr>
        <w:bottom w:val="none" w:sz="0" w:space="0" w:color="auto"/>
      </w:pBdr>
      <w:spacing w:line="240" w:lineRule="atLeast"/>
    </w:pPr>
  </w:style>
  <w:style w:type="paragraph" w:customStyle="1" w:styleId="Tabledescription">
    <w:name w:val="Table description"/>
    <w:basedOn w:val="Normal"/>
    <w:next w:val="Normal"/>
    <w:rsid w:val="00890FF9"/>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890FF9"/>
    <w:pPr>
      <w:keepNext/>
      <w:spacing w:before="120" w:after="180" w:line="240" w:lineRule="atLeast"/>
    </w:pPr>
    <w:rPr>
      <w:rFonts w:eastAsia="Cambria" w:cs="Times New Roman"/>
      <w:b/>
      <w:color w:val="333F48"/>
    </w:rPr>
  </w:style>
  <w:style w:type="paragraph" w:customStyle="1" w:styleId="Address">
    <w:name w:val="Address"/>
    <w:basedOn w:val="Normal"/>
    <w:rsid w:val="00890FF9"/>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890FF9"/>
    <w:pPr>
      <w:tabs>
        <w:tab w:val="left" w:pos="425"/>
      </w:tabs>
      <w:ind w:left="714" w:hanging="357"/>
    </w:pPr>
  </w:style>
  <w:style w:type="paragraph" w:customStyle="1" w:styleId="ListBullet-donotcross">
    <w:name w:val="List Bullet - do not (cross)"/>
    <w:basedOn w:val="ListBullet"/>
    <w:autoRedefine/>
    <w:uiPriority w:val="1"/>
    <w:qFormat/>
    <w:rsid w:val="00890FF9"/>
    <w:pPr>
      <w:ind w:left="357" w:hanging="357"/>
    </w:pPr>
    <w:rPr>
      <w:rFonts w:eastAsiaTheme="minorHAnsi" w:cstheme="minorBidi"/>
    </w:rPr>
  </w:style>
  <w:style w:type="table" w:customStyle="1" w:styleId="TGABlack2023">
    <w:name w:val="TGA Black 2023"/>
    <w:basedOn w:val="TableTGAblue2023"/>
    <w:uiPriority w:val="99"/>
    <w:rsid w:val="00890FF9"/>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numbering" w:customStyle="1" w:styleId="NumberBullet1">
    <w:name w:val="NumberBullet1"/>
    <w:uiPriority w:val="99"/>
    <w:locked/>
    <w:rsid w:val="002008D8"/>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FF9"/>
    <w:rPr>
      <w:color w:val="808080"/>
    </w:rPr>
  </w:style>
  <w:style w:type="character" w:customStyle="1" w:styleId="Heading7Char">
    <w:name w:val="Heading 7 Char"/>
    <w:basedOn w:val="DefaultParagraphFont"/>
    <w:link w:val="Heading7"/>
    <w:uiPriority w:val="9"/>
    <w:semiHidden/>
    <w:rsid w:val="00AB785C"/>
    <w:rPr>
      <w:rFonts w:asciiTheme="majorHAnsi" w:eastAsiaTheme="majorEastAsia" w:hAnsiTheme="majorHAnsi" w:cstheme="majorBidi"/>
      <w:i/>
      <w:iCs/>
      <w:color w:val="000000" w:themeColor="text1"/>
      <w:sz w:val="22"/>
    </w:rPr>
  </w:style>
  <w:style w:type="character" w:styleId="SubtleReference">
    <w:name w:val="Subtle Reference"/>
    <w:basedOn w:val="DefaultParagraphFont"/>
    <w:uiPriority w:val="31"/>
    <w:qFormat/>
    <w:rsid w:val="00AB785C"/>
    <w:rPr>
      <w:smallCaps/>
      <w:color w:val="000000" w:themeColor="text1"/>
    </w:rPr>
  </w:style>
  <w:style w:type="character" w:styleId="SubtleEmphasis">
    <w:name w:val="Subtle Emphasis"/>
    <w:basedOn w:val="DefaultParagraphFont"/>
    <w:uiPriority w:val="19"/>
    <w:qFormat/>
    <w:rsid w:val="00AB785C"/>
    <w:rPr>
      <w:i/>
      <w:iCs/>
      <w:color w:val="000000" w:themeColor="text1"/>
    </w:rPr>
  </w:style>
  <w:style w:type="paragraph" w:styleId="CommentSubject">
    <w:name w:val="annotation subject"/>
    <w:basedOn w:val="CommentText"/>
    <w:next w:val="CommentText"/>
    <w:link w:val="CommentSubjectChar"/>
    <w:uiPriority w:val="99"/>
    <w:semiHidden/>
    <w:unhideWhenUsed/>
    <w:rsid w:val="00AB785C"/>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785C"/>
    <w:rPr>
      <w:rFonts w:ascii="Cambria" w:eastAsia="Cambria" w:hAnsi="Cambria" w:cs="Times New Roman"/>
      <w:b/>
      <w:bCs/>
      <w:color w:val="000000" w:themeColor="text1"/>
    </w:rPr>
  </w:style>
  <w:style w:type="paragraph" w:styleId="NoSpacing">
    <w:name w:val="No Spacing"/>
    <w:autoRedefine/>
    <w:uiPriority w:val="1"/>
    <w:qFormat/>
    <w:rsid w:val="005656F7"/>
    <w:pPr>
      <w:spacing w:after="0" w:line="240" w:lineRule="auto"/>
    </w:pPr>
    <w:rPr>
      <w:color w:val="000000" w:themeColor="text1"/>
      <w:sz w:val="22"/>
    </w:rPr>
  </w:style>
  <w:style w:type="character" w:styleId="Emphasis">
    <w:name w:val="Emphasis"/>
    <w:basedOn w:val="DefaultParagraphFont"/>
    <w:uiPriority w:val="20"/>
    <w:qFormat/>
    <w:rsid w:val="005656F7"/>
    <w:rPr>
      <w:i/>
      <w:iCs/>
    </w:rPr>
  </w:style>
  <w:style w:type="character" w:styleId="Strong">
    <w:name w:val="Strong"/>
    <w:basedOn w:val="DefaultParagraphFont"/>
    <w:uiPriority w:val="22"/>
    <w:qFormat/>
    <w:rsid w:val="005656F7"/>
    <w:rPr>
      <w:b/>
      <w:bCs/>
    </w:rPr>
  </w:style>
  <w:style w:type="paragraph" w:styleId="Quote">
    <w:name w:val="Quote"/>
    <w:basedOn w:val="Normal"/>
    <w:next w:val="Normal"/>
    <w:link w:val="QuoteChar"/>
    <w:autoRedefine/>
    <w:uiPriority w:val="29"/>
    <w:qFormat/>
    <w:rsid w:val="005656F7"/>
    <w:pPr>
      <w:spacing w:before="200" w:after="160"/>
      <w:ind w:left="864" w:right="864"/>
      <w:jc w:val="center"/>
    </w:pPr>
    <w:rPr>
      <w:i/>
      <w:iCs/>
    </w:rPr>
  </w:style>
  <w:style w:type="character" w:customStyle="1" w:styleId="QuoteChar">
    <w:name w:val="Quote Char"/>
    <w:basedOn w:val="DefaultParagraphFont"/>
    <w:link w:val="Quote"/>
    <w:uiPriority w:val="29"/>
    <w:rsid w:val="005656F7"/>
    <w:rPr>
      <w:i/>
      <w:iCs/>
      <w:color w:val="000000" w:themeColor="text1"/>
      <w:sz w:val="22"/>
    </w:rPr>
  </w:style>
  <w:style w:type="character" w:styleId="BookTitle">
    <w:name w:val="Book Title"/>
    <w:basedOn w:val="DefaultParagraphFont"/>
    <w:uiPriority w:val="33"/>
    <w:qFormat/>
    <w:rsid w:val="005656F7"/>
    <w:rPr>
      <w:b/>
      <w:bCs/>
      <w:i/>
      <w:iCs/>
      <w:spacing w:val="5"/>
    </w:rPr>
  </w:style>
  <w:style w:type="paragraph" w:styleId="ListParagraph">
    <w:name w:val="List Paragraph"/>
    <w:basedOn w:val="ListBullet"/>
    <w:autoRedefine/>
    <w:uiPriority w:val="34"/>
    <w:qFormat/>
    <w:rsid w:val="00890FF9"/>
    <w:pPr>
      <w:ind w:left="357" w:hanging="357"/>
      <w:contextualSpacing/>
    </w:pPr>
  </w:style>
  <w:style w:type="character" w:styleId="UnresolvedMention">
    <w:name w:val="Unresolved Mention"/>
    <w:basedOn w:val="DefaultParagraphFont"/>
    <w:uiPriority w:val="99"/>
    <w:semiHidden/>
    <w:unhideWhenUsed/>
    <w:rsid w:val="00F15F1D"/>
    <w:rPr>
      <w:color w:val="605E5C"/>
      <w:shd w:val="clear" w:color="auto" w:fill="E1DFDD"/>
    </w:rPr>
  </w:style>
  <w:style w:type="character" w:customStyle="1" w:styleId="Heading1Char">
    <w:name w:val="Heading 1 Char"/>
    <w:basedOn w:val="DefaultParagraphFont"/>
    <w:link w:val="Heading1"/>
    <w:uiPriority w:val="9"/>
    <w:rsid w:val="00890FF9"/>
    <w:rPr>
      <w:rFonts w:asciiTheme="majorHAnsi" w:eastAsiaTheme="majorEastAsia" w:hAnsiTheme="majorHAnsi" w:cstheme="majorBidi"/>
      <w:color w:val="2F5496" w:themeColor="accent1" w:themeShade="BF"/>
      <w:sz w:val="32"/>
      <w:szCs w:val="32"/>
    </w:rPr>
  </w:style>
  <w:style w:type="paragraph" w:customStyle="1" w:styleId="Legislation">
    <w:name w:val="Legislation"/>
    <w:basedOn w:val="Normal"/>
    <w:qFormat/>
    <w:rsid w:val="00890FF9"/>
    <w:pPr>
      <w:jc w:val="center"/>
    </w:pPr>
    <w:rPr>
      <w:i/>
      <w:color w:val="333F48"/>
    </w:rPr>
  </w:style>
  <w:style w:type="paragraph" w:customStyle="1" w:styleId="Legislation-list">
    <w:name w:val="Legislation-list"/>
    <w:basedOn w:val="Numberbullet0"/>
    <w:qFormat/>
    <w:rsid w:val="00890FF9"/>
    <w:pPr>
      <w:numPr>
        <w:numId w:val="20"/>
      </w:numPr>
      <w:jc w:val="center"/>
    </w:pPr>
    <w:rPr>
      <w:i/>
    </w:rPr>
  </w:style>
  <w:style w:type="paragraph" w:styleId="TOCHeading">
    <w:name w:val="TOC Heading"/>
    <w:basedOn w:val="Heading1"/>
    <w:next w:val="Normal"/>
    <w:uiPriority w:val="39"/>
    <w:unhideWhenUsed/>
    <w:qFormat/>
    <w:rsid w:val="00890FF9"/>
    <w:pPr>
      <w:outlineLvl w:val="9"/>
    </w:pPr>
    <w:rPr>
      <w:lang w:val="en-US"/>
    </w:rPr>
  </w:style>
  <w:style w:type="character" w:styleId="FollowedHyperlink">
    <w:name w:val="FollowedHyperlink"/>
    <w:basedOn w:val="DefaultParagraphFont"/>
    <w:uiPriority w:val="99"/>
    <w:semiHidden/>
    <w:unhideWhenUsed/>
    <w:rsid w:val="00993FCC"/>
    <w:rPr>
      <w:color w:val="954F72" w:themeColor="followedHyperlink"/>
      <w:u w:val="single"/>
    </w:rPr>
  </w:style>
  <w:style w:type="paragraph" w:styleId="Revision">
    <w:name w:val="Revision"/>
    <w:hidden/>
    <w:uiPriority w:val="99"/>
    <w:semiHidden/>
    <w:rsid w:val="0076068E"/>
    <w:pPr>
      <w:spacing w:after="0" w:line="240" w:lineRule="auto"/>
    </w:pPr>
    <w:rPr>
      <w:rFonts w:ascii="Arial" w:hAnsi="Arial"/>
    </w:rPr>
  </w:style>
  <w:style w:type="paragraph" w:styleId="NormalWeb">
    <w:name w:val="Normal (Web)"/>
    <w:basedOn w:val="Normal"/>
    <w:uiPriority w:val="99"/>
    <w:semiHidden/>
    <w:unhideWhenUsed/>
    <w:rsid w:val="00A620B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459251">
      <w:bodyDiv w:val="1"/>
      <w:marLeft w:val="0"/>
      <w:marRight w:val="0"/>
      <w:marTop w:val="0"/>
      <w:marBottom w:val="0"/>
      <w:divBdr>
        <w:top w:val="none" w:sz="0" w:space="0" w:color="auto"/>
        <w:left w:val="none" w:sz="0" w:space="0" w:color="auto"/>
        <w:bottom w:val="none" w:sz="0" w:space="0" w:color="auto"/>
        <w:right w:val="none" w:sz="0" w:space="0" w:color="auto"/>
      </w:divBdr>
    </w:div>
    <w:div w:id="19150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sites/default/files/2023-09/notice-final-decision-amend-not-amend-current-poisons-standard-acms41-accs-36-joint-acms-accs-33.pdf"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ga.gov.au/publication/scheduling-handbook-guidance-amending-poisons-standard"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ld\OneDrive%20-%20Department%20of%20Health\Documents\Custom%20Office%20Templates\External%20publication%20PMP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 PMPN.dotx</Template>
  <TotalTime>2</TotalTime>
  <Pages>8</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the current Poisons Standard in relation to bromoxynil</dc:title>
  <dc:subject>poisons standard</dc:subject>
  <dc:creator>Therapeutic Goods Administration</dc:creator>
  <cp:keywords/>
  <dc:description/>
  <cp:lastModifiedBy>LACK, Janet</cp:lastModifiedBy>
  <cp:revision>3</cp:revision>
  <dcterms:created xsi:type="dcterms:W3CDTF">2024-04-16T22:27:00Z</dcterms:created>
  <dcterms:modified xsi:type="dcterms:W3CDTF">2024-04-16T22:30:00Z</dcterms:modified>
</cp:coreProperties>
</file>