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7A2A" w14:textId="77777777" w:rsidR="00375DF3" w:rsidRPr="00E52B5F" w:rsidRDefault="00375DF3" w:rsidP="003B7CFF">
      <w:pPr>
        <w:pStyle w:val="Paragraph"/>
        <w:rPr>
          <w:lang w:val="en-AU"/>
        </w:rPr>
      </w:pPr>
      <w:r w:rsidRPr="00E52B5F">
        <w:rPr>
          <w:noProof/>
          <w:lang w:val="en-AU"/>
        </w:rPr>
        <mc:AlternateContent>
          <mc:Choice Requires="wps">
            <w:drawing>
              <wp:inline distT="0" distB="0" distL="0" distR="0" wp14:anchorId="27E2CF50" wp14:editId="4337EFAD">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7B09D" w14:textId="77777777" w:rsidR="0002784E" w:rsidRPr="00BE2A26" w:rsidRDefault="0002784E"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7E2CF5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0A7B09D" w14:textId="77777777" w:rsidR="0002784E" w:rsidRPr="00BE2A26" w:rsidRDefault="0002784E"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E52B5F">
        <w:rPr>
          <w:lang w:val="en-AU"/>
        </w:rPr>
        <w:t>This medicinal product is subject to additional monitoring in Australia. This will allow quick identification of new safety information. Healthcare professionals are asked to report any suspected adverse events at</w:t>
      </w:r>
      <w:r w:rsidR="008958C0" w:rsidRPr="00E52B5F">
        <w:rPr>
          <w:lang w:val="en-AU"/>
        </w:rPr>
        <w:t xml:space="preserve"> www.tga.gov.au/reporting-problems.</w:t>
      </w:r>
    </w:p>
    <w:p w14:paraId="62108D82" w14:textId="7F4031F2" w:rsidR="006018AE" w:rsidRPr="00E52B5F" w:rsidRDefault="006018AE" w:rsidP="00FC5018">
      <w:pPr>
        <w:pStyle w:val="Heading1"/>
        <w:pageBreakBefore w:val="0"/>
        <w:numPr>
          <w:ilvl w:val="0"/>
          <w:numId w:val="0"/>
        </w:numPr>
        <w:rPr>
          <w:lang w:val="en-AU"/>
        </w:rPr>
      </w:pPr>
      <w:r w:rsidRPr="00E52B5F">
        <w:rPr>
          <w:lang w:val="en-AU"/>
        </w:rPr>
        <w:t xml:space="preserve">Australian </w:t>
      </w:r>
      <w:r w:rsidR="005F69B2">
        <w:rPr>
          <w:lang w:val="en-AU"/>
        </w:rPr>
        <w:t>Product Information</w:t>
      </w:r>
      <w:r w:rsidR="007B4DF7" w:rsidRPr="00E52B5F">
        <w:rPr>
          <w:lang w:val="en-AU"/>
        </w:rPr>
        <w:t xml:space="preserve"> </w:t>
      </w:r>
      <w:r w:rsidR="00B15FDD" w:rsidRPr="00E52B5F">
        <w:rPr>
          <w:lang w:val="en-AU"/>
        </w:rPr>
        <w:t>BEYFORTUS</w:t>
      </w:r>
      <w:r w:rsidR="00ED27EC" w:rsidRPr="00E52B5F">
        <w:rPr>
          <w:lang w:val="en-AU"/>
        </w:rPr>
        <w:t>™</w:t>
      </w:r>
      <w:r w:rsidR="00A32E10" w:rsidRPr="00E52B5F">
        <w:rPr>
          <w:lang w:val="en-AU"/>
        </w:rPr>
        <w:t xml:space="preserve"> (</w:t>
      </w:r>
      <w:r w:rsidR="00230EF4" w:rsidRPr="00E52B5F">
        <w:rPr>
          <w:lang w:val="en-AU"/>
        </w:rPr>
        <w:t>nirsevimab</w:t>
      </w:r>
      <w:r w:rsidR="00ED27EC" w:rsidRPr="00E52B5F">
        <w:rPr>
          <w:lang w:val="en-AU"/>
        </w:rPr>
        <w:t xml:space="preserve">) </w:t>
      </w:r>
      <w:r w:rsidR="00230EF4" w:rsidRPr="00E52B5F">
        <w:rPr>
          <w:lang w:val="en-AU"/>
        </w:rPr>
        <w:t>solution for injection</w:t>
      </w:r>
    </w:p>
    <w:p w14:paraId="30118F0A" w14:textId="77777777" w:rsidR="001A3992" w:rsidRPr="00E52B5F" w:rsidRDefault="001A3992" w:rsidP="00157877">
      <w:pPr>
        <w:pStyle w:val="Heading1"/>
        <w:pageBreakBefore w:val="0"/>
        <w:rPr>
          <w:lang w:val="en-AU"/>
        </w:rPr>
      </w:pPr>
      <w:r w:rsidRPr="00E52B5F">
        <w:rPr>
          <w:lang w:val="en-AU"/>
        </w:rPr>
        <w:t>Name of the medicine</w:t>
      </w:r>
    </w:p>
    <w:p w14:paraId="0C655C92" w14:textId="561D717A" w:rsidR="0080644B" w:rsidRPr="00E52B5F" w:rsidRDefault="00230EF4" w:rsidP="00157877">
      <w:pPr>
        <w:rPr>
          <w:lang w:val="en-AU"/>
        </w:rPr>
      </w:pPr>
      <w:r w:rsidRPr="00E52B5F">
        <w:rPr>
          <w:lang w:val="en-AU"/>
        </w:rPr>
        <w:t>Nirsevimab</w:t>
      </w:r>
    </w:p>
    <w:p w14:paraId="279D1173" w14:textId="28BB487D" w:rsidR="001A3992" w:rsidRPr="00E52B5F" w:rsidRDefault="001A3992" w:rsidP="00157877">
      <w:pPr>
        <w:pStyle w:val="Heading1"/>
        <w:pageBreakBefore w:val="0"/>
        <w:rPr>
          <w:lang w:val="en-AU"/>
        </w:rPr>
      </w:pPr>
      <w:bookmarkStart w:id="0" w:name="_Ref505770391"/>
      <w:r w:rsidRPr="00E52B5F">
        <w:rPr>
          <w:lang w:val="en-AU"/>
        </w:rPr>
        <w:t>Qualitative and quantitative composition</w:t>
      </w:r>
      <w:bookmarkEnd w:id="0"/>
    </w:p>
    <w:p w14:paraId="641AAEF5" w14:textId="2170291C" w:rsidR="00CF3333" w:rsidRPr="00E52B5F" w:rsidRDefault="00C176CD" w:rsidP="00157877">
      <w:pPr>
        <w:rPr>
          <w:u w:val="single"/>
          <w:lang w:val="en-AU"/>
        </w:rPr>
      </w:pPr>
      <w:r w:rsidRPr="00E52B5F">
        <w:rPr>
          <w:u w:val="single"/>
          <w:lang w:val="en-AU"/>
        </w:rPr>
        <w:t xml:space="preserve">BEYFORTUS </w:t>
      </w:r>
      <w:r w:rsidR="00CF3333" w:rsidRPr="00E52B5F">
        <w:rPr>
          <w:u w:val="single"/>
          <w:lang w:val="en-AU"/>
        </w:rPr>
        <w:t>50</w:t>
      </w:r>
      <w:r w:rsidRPr="00E52B5F">
        <w:rPr>
          <w:u w:val="single"/>
          <w:lang w:val="en-AU"/>
        </w:rPr>
        <w:t> </w:t>
      </w:r>
      <w:r w:rsidR="00CF3333" w:rsidRPr="00E52B5F">
        <w:rPr>
          <w:u w:val="single"/>
          <w:lang w:val="en-AU"/>
        </w:rPr>
        <w:t>mg solution for injection in prefilled syringe</w:t>
      </w:r>
    </w:p>
    <w:p w14:paraId="6EB6DB72" w14:textId="256F4294" w:rsidR="00CF3333" w:rsidRPr="00E52B5F" w:rsidRDefault="00CF3333" w:rsidP="00157877">
      <w:pPr>
        <w:rPr>
          <w:lang w:val="en-AU"/>
        </w:rPr>
      </w:pPr>
      <w:r w:rsidRPr="00E52B5F">
        <w:rPr>
          <w:lang w:val="en-AU"/>
        </w:rPr>
        <w:t>Each pre</w:t>
      </w:r>
      <w:r w:rsidR="005F69B2">
        <w:rPr>
          <w:lang w:val="en-AU"/>
        </w:rPr>
        <w:t>-</w:t>
      </w:r>
      <w:r w:rsidRPr="00E52B5F">
        <w:rPr>
          <w:lang w:val="en-AU"/>
        </w:rPr>
        <w:t>filled syringe contains 50</w:t>
      </w:r>
      <w:r w:rsidR="00C176CD" w:rsidRPr="00E52B5F">
        <w:rPr>
          <w:lang w:val="en-AU"/>
        </w:rPr>
        <w:t> </w:t>
      </w:r>
      <w:r w:rsidRPr="00E52B5F">
        <w:rPr>
          <w:lang w:val="en-AU"/>
        </w:rPr>
        <w:t>mg of nirsevimab in 0.5</w:t>
      </w:r>
      <w:r w:rsidR="00C176CD" w:rsidRPr="00E52B5F">
        <w:rPr>
          <w:lang w:val="en-AU"/>
        </w:rPr>
        <w:t> </w:t>
      </w:r>
      <w:r w:rsidRPr="00E52B5F">
        <w:rPr>
          <w:lang w:val="en-AU"/>
        </w:rPr>
        <w:t>mL (100</w:t>
      </w:r>
      <w:r w:rsidR="00C176CD" w:rsidRPr="00E52B5F">
        <w:rPr>
          <w:lang w:val="en-AU"/>
        </w:rPr>
        <w:t> </w:t>
      </w:r>
      <w:r w:rsidRPr="00E52B5F">
        <w:rPr>
          <w:lang w:val="en-AU"/>
        </w:rPr>
        <w:t xml:space="preserve">mg/mL). </w:t>
      </w:r>
    </w:p>
    <w:p w14:paraId="780D9A93" w14:textId="1BD779E8" w:rsidR="00CF3333" w:rsidRPr="00E52B5F" w:rsidRDefault="00C176CD" w:rsidP="00157877">
      <w:pPr>
        <w:rPr>
          <w:u w:val="single"/>
          <w:lang w:val="en-AU"/>
        </w:rPr>
      </w:pPr>
      <w:r w:rsidRPr="00E52B5F">
        <w:rPr>
          <w:u w:val="single"/>
          <w:lang w:val="en-AU"/>
        </w:rPr>
        <w:t xml:space="preserve">BEYFORTUS </w:t>
      </w:r>
      <w:r w:rsidR="00CF3333" w:rsidRPr="00E52B5F">
        <w:rPr>
          <w:u w:val="single"/>
          <w:lang w:val="en-AU"/>
        </w:rPr>
        <w:t>100</w:t>
      </w:r>
      <w:r w:rsidRPr="00E52B5F">
        <w:rPr>
          <w:u w:val="single"/>
          <w:lang w:val="en-AU"/>
        </w:rPr>
        <w:t> </w:t>
      </w:r>
      <w:r w:rsidR="00CF3333" w:rsidRPr="00E52B5F">
        <w:rPr>
          <w:u w:val="single"/>
          <w:lang w:val="en-AU"/>
        </w:rPr>
        <w:t>mg solution for injection in prefilled syringe</w:t>
      </w:r>
    </w:p>
    <w:p w14:paraId="3CEFE47A" w14:textId="6FCB8B2D" w:rsidR="00CF3333" w:rsidRPr="00E52B5F" w:rsidRDefault="00CF3333" w:rsidP="00157877">
      <w:pPr>
        <w:rPr>
          <w:lang w:val="en-AU"/>
        </w:rPr>
      </w:pPr>
      <w:r w:rsidRPr="00E52B5F">
        <w:rPr>
          <w:lang w:val="en-AU"/>
        </w:rPr>
        <w:t>Each pre</w:t>
      </w:r>
      <w:r w:rsidR="005F69B2">
        <w:rPr>
          <w:lang w:val="en-AU"/>
        </w:rPr>
        <w:t>-</w:t>
      </w:r>
      <w:r w:rsidRPr="00E52B5F">
        <w:rPr>
          <w:lang w:val="en-AU"/>
        </w:rPr>
        <w:t>filled syringe contains 100</w:t>
      </w:r>
      <w:r w:rsidR="00C176CD" w:rsidRPr="00E52B5F">
        <w:rPr>
          <w:lang w:val="en-AU"/>
        </w:rPr>
        <w:t> </w:t>
      </w:r>
      <w:r w:rsidRPr="00E52B5F">
        <w:rPr>
          <w:lang w:val="en-AU"/>
        </w:rPr>
        <w:t>mg of nirsevimab in 1</w:t>
      </w:r>
      <w:r w:rsidR="00C176CD" w:rsidRPr="00E52B5F">
        <w:rPr>
          <w:lang w:val="en-AU"/>
        </w:rPr>
        <w:t> </w:t>
      </w:r>
      <w:r w:rsidRPr="00E52B5F">
        <w:rPr>
          <w:lang w:val="en-AU"/>
        </w:rPr>
        <w:t>mL (100</w:t>
      </w:r>
      <w:r w:rsidR="00C176CD" w:rsidRPr="00E52B5F">
        <w:rPr>
          <w:lang w:val="en-AU"/>
        </w:rPr>
        <w:t> </w:t>
      </w:r>
      <w:r w:rsidRPr="00E52B5F">
        <w:rPr>
          <w:lang w:val="en-AU"/>
        </w:rPr>
        <w:t>mg/mL).</w:t>
      </w:r>
    </w:p>
    <w:p w14:paraId="693A605D" w14:textId="7D8F9111" w:rsidR="00ED27EC" w:rsidRPr="00E52B5F" w:rsidRDefault="00ED27EC" w:rsidP="00157877">
      <w:pPr>
        <w:rPr>
          <w:lang w:val="en-AU"/>
        </w:rPr>
      </w:pPr>
      <w:bookmarkStart w:id="1" w:name="_Hlk505357644"/>
      <w:r w:rsidRPr="00E52B5F">
        <w:rPr>
          <w:lang w:val="en-AU"/>
        </w:rPr>
        <w:t xml:space="preserve">For the full list of excipients, see Section </w:t>
      </w:r>
      <w:r w:rsidRPr="00E52B5F">
        <w:rPr>
          <w:lang w:val="en-AU"/>
        </w:rPr>
        <w:fldChar w:fldCharType="begin"/>
      </w:r>
      <w:r w:rsidRPr="00E52B5F">
        <w:rPr>
          <w:lang w:val="en-AU"/>
        </w:rPr>
        <w:instrText xml:space="preserve"> REF _Ref505768678 \r \h </w:instrText>
      </w:r>
      <w:r w:rsidR="00986EEB" w:rsidRPr="00E52B5F">
        <w:rPr>
          <w:lang w:val="en-AU"/>
        </w:rPr>
        <w:instrText xml:space="preserve"> \* MERGEFORMAT </w:instrText>
      </w:r>
      <w:r w:rsidRPr="00E52B5F">
        <w:rPr>
          <w:lang w:val="en-AU"/>
        </w:rPr>
      </w:r>
      <w:r w:rsidRPr="00E52B5F">
        <w:rPr>
          <w:lang w:val="en-AU"/>
        </w:rPr>
        <w:fldChar w:fldCharType="separate"/>
      </w:r>
      <w:r w:rsidR="006040F3">
        <w:rPr>
          <w:lang w:val="en-AU"/>
        </w:rPr>
        <w:t>6.1</w:t>
      </w:r>
      <w:r w:rsidRPr="00E52B5F">
        <w:rPr>
          <w:lang w:val="en-AU"/>
        </w:rPr>
        <w:fldChar w:fldCharType="end"/>
      </w:r>
      <w:r w:rsidR="007228AC" w:rsidRPr="00E52B5F">
        <w:rPr>
          <w:lang w:val="en-AU"/>
        </w:rPr>
        <w:t xml:space="preserve"> </w:t>
      </w:r>
      <w:r w:rsidR="007228AC" w:rsidRPr="00E52B5F">
        <w:rPr>
          <w:lang w:val="en-AU"/>
        </w:rPr>
        <w:fldChar w:fldCharType="begin"/>
      </w:r>
      <w:r w:rsidR="007228AC" w:rsidRPr="00E52B5F">
        <w:rPr>
          <w:lang w:val="en-AU"/>
        </w:rPr>
        <w:instrText xml:space="preserve"> REF _Ref505768678 \h  \* MERGEFORMAT </w:instrText>
      </w:r>
      <w:r w:rsidR="007228AC" w:rsidRPr="00E52B5F">
        <w:rPr>
          <w:lang w:val="en-AU"/>
        </w:rPr>
      </w:r>
      <w:r w:rsidR="007228AC" w:rsidRPr="00E52B5F">
        <w:rPr>
          <w:lang w:val="en-AU"/>
        </w:rPr>
        <w:fldChar w:fldCharType="separate"/>
      </w:r>
      <w:r w:rsidR="006040F3" w:rsidRPr="00E52B5F">
        <w:rPr>
          <w:lang w:val="en-AU"/>
        </w:rPr>
        <w:t>List of excipients</w:t>
      </w:r>
      <w:r w:rsidR="007228AC" w:rsidRPr="00E52B5F">
        <w:rPr>
          <w:lang w:val="en-AU"/>
        </w:rPr>
        <w:fldChar w:fldCharType="end"/>
      </w:r>
      <w:r w:rsidR="007228AC" w:rsidRPr="00E52B5F">
        <w:rPr>
          <w:lang w:val="en-AU"/>
        </w:rPr>
        <w:t>.</w:t>
      </w:r>
    </w:p>
    <w:bookmarkEnd w:id="1"/>
    <w:p w14:paraId="7F8FBC21" w14:textId="77777777" w:rsidR="001A3992" w:rsidRPr="00E52B5F" w:rsidRDefault="001A3992" w:rsidP="00157877">
      <w:pPr>
        <w:pStyle w:val="Heading1"/>
        <w:pageBreakBefore w:val="0"/>
        <w:rPr>
          <w:lang w:val="en-AU"/>
        </w:rPr>
      </w:pPr>
      <w:r w:rsidRPr="00E52B5F">
        <w:rPr>
          <w:lang w:val="en-AU"/>
        </w:rPr>
        <w:t>Pharmaceutical form</w:t>
      </w:r>
    </w:p>
    <w:p w14:paraId="3EA45C39" w14:textId="1A411B1C" w:rsidR="0080644B" w:rsidRPr="00E52B5F" w:rsidRDefault="00230EF4" w:rsidP="007B4DF7">
      <w:pPr>
        <w:rPr>
          <w:lang w:val="en-AU"/>
        </w:rPr>
      </w:pPr>
      <w:r w:rsidRPr="00E52B5F">
        <w:rPr>
          <w:lang w:val="en-AU"/>
        </w:rPr>
        <w:t>Solution for injection</w:t>
      </w:r>
    </w:p>
    <w:p w14:paraId="51496F1C" w14:textId="79A91BE4" w:rsidR="00CF3333" w:rsidRPr="00E52B5F" w:rsidRDefault="00CF3333" w:rsidP="007B4DF7">
      <w:pPr>
        <w:rPr>
          <w:lang w:val="en-AU"/>
        </w:rPr>
      </w:pPr>
      <w:r w:rsidRPr="00E52B5F">
        <w:rPr>
          <w:lang w:val="en-AU"/>
        </w:rPr>
        <w:t>Clear to opalescent, colourless to yellow, pH 6.0 solution in a prefilled syringe</w:t>
      </w:r>
    </w:p>
    <w:p w14:paraId="4272D664" w14:textId="77777777" w:rsidR="001A3992" w:rsidRPr="00E52B5F" w:rsidRDefault="001A3992" w:rsidP="007B4DF7">
      <w:pPr>
        <w:pStyle w:val="Heading1"/>
        <w:pageBreakBefore w:val="0"/>
        <w:rPr>
          <w:lang w:val="en-AU"/>
        </w:rPr>
      </w:pPr>
      <w:r w:rsidRPr="00E52B5F">
        <w:rPr>
          <w:lang w:val="en-AU"/>
        </w:rPr>
        <w:t>Clinical particulars</w:t>
      </w:r>
    </w:p>
    <w:p w14:paraId="4A979272" w14:textId="77777777" w:rsidR="001A3992" w:rsidRPr="00E52B5F" w:rsidRDefault="001A3992" w:rsidP="007B4DF7">
      <w:pPr>
        <w:pStyle w:val="Heading2"/>
        <w:rPr>
          <w:lang w:val="en-AU"/>
        </w:rPr>
      </w:pPr>
      <w:r w:rsidRPr="00E52B5F">
        <w:rPr>
          <w:lang w:val="en-AU"/>
        </w:rPr>
        <w:t>Therapeutic indi</w:t>
      </w:r>
      <w:r w:rsidR="003B7CFF" w:rsidRPr="00E52B5F">
        <w:rPr>
          <w:lang w:val="en-AU"/>
        </w:rPr>
        <w:t>cations</w:t>
      </w:r>
    </w:p>
    <w:p w14:paraId="4AB61246" w14:textId="114573FA" w:rsidR="0092320C" w:rsidRPr="00E52B5F" w:rsidRDefault="0092320C" w:rsidP="007B4DF7">
      <w:pPr>
        <w:rPr>
          <w:lang w:val="en-AU"/>
        </w:rPr>
      </w:pPr>
      <w:r w:rsidRPr="00E52B5F">
        <w:rPr>
          <w:lang w:val="en-AU"/>
        </w:rPr>
        <w:t xml:space="preserve">BEYFORTUS is indicated for the prevention of Respiratory Syncytial Virus (RSV) lower respiratory tract disease in: </w:t>
      </w:r>
    </w:p>
    <w:p w14:paraId="45E7DAFA" w14:textId="6EA7366E" w:rsidR="0092320C" w:rsidRPr="00E52B5F" w:rsidRDefault="006A3509" w:rsidP="006A3509">
      <w:pPr>
        <w:pStyle w:val="ListNumber"/>
        <w:numPr>
          <w:ilvl w:val="0"/>
          <w:numId w:val="21"/>
        </w:numPr>
        <w:rPr>
          <w:lang w:val="en-AU"/>
        </w:rPr>
      </w:pPr>
      <w:r w:rsidRPr="00E52B5F">
        <w:rPr>
          <w:lang w:val="en-AU"/>
        </w:rPr>
        <w:t xml:space="preserve">Neonates and infants </w:t>
      </w:r>
      <w:r w:rsidRPr="005F69B2">
        <w:rPr>
          <w:lang w:val="en-AU"/>
        </w:rPr>
        <w:t>born during or</w:t>
      </w:r>
      <w:r w:rsidRPr="00E52B5F">
        <w:rPr>
          <w:lang w:val="en-AU"/>
        </w:rPr>
        <w:t xml:space="preserve"> entering their first RSV season.</w:t>
      </w:r>
    </w:p>
    <w:p w14:paraId="26949E3C" w14:textId="1FE0082F" w:rsidR="0092320C" w:rsidRPr="00E52B5F" w:rsidRDefault="0092320C" w:rsidP="00157877">
      <w:pPr>
        <w:pStyle w:val="ListNumber"/>
        <w:numPr>
          <w:ilvl w:val="0"/>
          <w:numId w:val="21"/>
        </w:numPr>
        <w:rPr>
          <w:lang w:val="en-AU"/>
        </w:rPr>
      </w:pPr>
      <w:r w:rsidRPr="00E52B5F">
        <w:rPr>
          <w:lang w:val="en-AU"/>
        </w:rPr>
        <w:t>Children up to 24 months of age who remain vulnerable to severe RSV disease through their second RSV season</w:t>
      </w:r>
      <w:r w:rsidR="006A3509" w:rsidRPr="00E52B5F">
        <w:rPr>
          <w:lang w:val="en-AU"/>
        </w:rPr>
        <w:t>.</w:t>
      </w:r>
    </w:p>
    <w:p w14:paraId="173EA356" w14:textId="6BDF2750" w:rsidR="0012114B" w:rsidRPr="00E52B5F" w:rsidRDefault="0012114B" w:rsidP="007B4DF7">
      <w:pPr>
        <w:rPr>
          <w:lang w:val="en-AU"/>
        </w:rPr>
      </w:pPr>
      <w:r w:rsidRPr="00E52B5F">
        <w:rPr>
          <w:lang w:val="en-AU"/>
        </w:rPr>
        <w:t>BEYFORTUS should be used in accordance with official recommendations.</w:t>
      </w:r>
    </w:p>
    <w:p w14:paraId="0E7A83C8" w14:textId="37953518" w:rsidR="003B7CFF" w:rsidRPr="00E52B5F" w:rsidRDefault="001A3992" w:rsidP="00157877">
      <w:pPr>
        <w:pStyle w:val="Heading2"/>
        <w:rPr>
          <w:lang w:val="en-AU"/>
        </w:rPr>
      </w:pPr>
      <w:bookmarkStart w:id="2" w:name="_Ref145343096"/>
      <w:r w:rsidRPr="00E52B5F">
        <w:rPr>
          <w:lang w:val="en-AU"/>
        </w:rPr>
        <w:lastRenderedPageBreak/>
        <w:t>Dose and method of administration</w:t>
      </w:r>
      <w:bookmarkEnd w:id="2"/>
    </w:p>
    <w:p w14:paraId="2330DF11" w14:textId="08C886D1" w:rsidR="00215906" w:rsidRPr="00E52B5F" w:rsidRDefault="00215906" w:rsidP="00FC5018">
      <w:pPr>
        <w:pStyle w:val="Heading3"/>
        <w:numPr>
          <w:ilvl w:val="0"/>
          <w:numId w:val="0"/>
        </w:numPr>
        <w:rPr>
          <w:lang w:val="en-AU"/>
        </w:rPr>
      </w:pPr>
      <w:r w:rsidRPr="00E52B5F">
        <w:rPr>
          <w:lang w:val="en-AU"/>
        </w:rPr>
        <w:t>Dosing recommendations</w:t>
      </w:r>
    </w:p>
    <w:p w14:paraId="5EB4D911" w14:textId="1E7E1E35" w:rsidR="005F69B2" w:rsidRPr="005F69B2" w:rsidRDefault="00FB3BF4" w:rsidP="005F69B2">
      <w:pPr>
        <w:pStyle w:val="Heading4"/>
        <w:numPr>
          <w:ilvl w:val="0"/>
          <w:numId w:val="0"/>
        </w:numPr>
        <w:ind w:left="862" w:hanging="862"/>
        <w:rPr>
          <w:strike/>
          <w:lang w:val="en-AU"/>
        </w:rPr>
      </w:pPr>
      <w:r w:rsidRPr="005F69B2">
        <w:rPr>
          <w:lang w:val="en-AU"/>
        </w:rPr>
        <w:t xml:space="preserve">Neonates and Infants: First RSV Season </w:t>
      </w:r>
    </w:p>
    <w:p w14:paraId="714B7D82" w14:textId="20E93134" w:rsidR="00A13A83" w:rsidRPr="005F69B2" w:rsidRDefault="00A13A83" w:rsidP="00A13A83">
      <w:pPr>
        <w:rPr>
          <w:color w:val="auto"/>
          <w:lang w:val="en-AU"/>
        </w:rPr>
      </w:pPr>
      <w:r w:rsidRPr="005F69B2">
        <w:rPr>
          <w:color w:val="auto"/>
          <w:lang w:val="en-AU"/>
        </w:rPr>
        <w:t xml:space="preserve">For neonates and infants born during or entering the RSV season, administer BEYFORTUS starting from birth. For infants born outside the RSV season, </w:t>
      </w:r>
      <w:bookmarkStart w:id="3" w:name="_Hlk138496685"/>
      <w:r w:rsidRPr="005F69B2">
        <w:rPr>
          <w:color w:val="auto"/>
          <w:lang w:val="en-AU"/>
        </w:rPr>
        <w:t xml:space="preserve">administer BEYFORTUS once prior to the start of the RSV season considering duration of protection provided by BEYFORTUS </w:t>
      </w:r>
      <w:r w:rsidR="006B4F91" w:rsidRPr="005F69B2">
        <w:rPr>
          <w:color w:val="auto"/>
          <w:lang w:val="en-AU"/>
        </w:rPr>
        <w:t>(</w:t>
      </w:r>
      <w:r w:rsidRPr="005F69B2">
        <w:rPr>
          <w:color w:val="auto"/>
          <w:lang w:val="en-AU"/>
        </w:rPr>
        <w:t xml:space="preserve">see Section </w:t>
      </w:r>
      <w:r w:rsidRPr="005F69B2">
        <w:rPr>
          <w:color w:val="auto"/>
          <w:lang w:val="en-AU"/>
        </w:rPr>
        <w:fldChar w:fldCharType="begin"/>
      </w:r>
      <w:r w:rsidRPr="005F69B2">
        <w:rPr>
          <w:color w:val="auto"/>
          <w:lang w:val="en-AU"/>
        </w:rPr>
        <w:instrText xml:space="preserve"> REF _Ref145513942 \r \h  \* MERGEFORMAT </w:instrText>
      </w:r>
      <w:r w:rsidRPr="005F69B2">
        <w:rPr>
          <w:color w:val="auto"/>
          <w:lang w:val="en-AU"/>
        </w:rPr>
      </w:r>
      <w:r w:rsidRPr="005F69B2">
        <w:rPr>
          <w:color w:val="auto"/>
          <w:lang w:val="en-AU"/>
        </w:rPr>
        <w:fldChar w:fldCharType="separate"/>
      </w:r>
      <w:r w:rsidR="006040F3">
        <w:rPr>
          <w:color w:val="auto"/>
          <w:lang w:val="en-AU"/>
        </w:rPr>
        <w:t>5.1</w:t>
      </w:r>
      <w:r w:rsidRPr="005F69B2">
        <w:rPr>
          <w:color w:val="auto"/>
          <w:lang w:val="en-AU"/>
        </w:rPr>
        <w:fldChar w:fldCharType="end"/>
      </w:r>
      <w:bookmarkEnd w:id="3"/>
      <w:r w:rsidRPr="005F69B2">
        <w:rPr>
          <w:color w:val="auto"/>
          <w:lang w:val="en-AU"/>
        </w:rPr>
        <w:t>).</w:t>
      </w:r>
    </w:p>
    <w:p w14:paraId="781AE6D3" w14:textId="47E2CDBF" w:rsidR="00A13A83" w:rsidRPr="005F69B2" w:rsidRDefault="00A13A83" w:rsidP="00A13A83">
      <w:pPr>
        <w:rPr>
          <w:color w:val="auto"/>
          <w:lang w:val="en-AU"/>
        </w:rPr>
      </w:pPr>
      <w:r w:rsidRPr="005F69B2">
        <w:rPr>
          <w:color w:val="auto"/>
          <w:lang w:val="en-AU"/>
        </w:rPr>
        <w:t xml:space="preserve">The recommended dosage of BEYFORTUS for neonates and infants born during or entering their first RSV season is based on body weight (see </w:t>
      </w:r>
      <w:r w:rsidRPr="005F69B2">
        <w:rPr>
          <w:color w:val="auto"/>
          <w:lang w:val="en-AU"/>
        </w:rPr>
        <w:fldChar w:fldCharType="begin"/>
      </w:r>
      <w:r w:rsidRPr="005F69B2">
        <w:rPr>
          <w:color w:val="auto"/>
          <w:lang w:val="en-AU"/>
        </w:rPr>
        <w:instrText xml:space="preserve"> REF _Ref145513801 \h  \* MERGEFORMAT </w:instrText>
      </w:r>
      <w:r w:rsidRPr="005F69B2">
        <w:rPr>
          <w:color w:val="auto"/>
          <w:lang w:val="en-AU"/>
        </w:rPr>
      </w:r>
      <w:r w:rsidRPr="005F69B2">
        <w:rPr>
          <w:color w:val="auto"/>
          <w:lang w:val="en-AU"/>
        </w:rPr>
        <w:fldChar w:fldCharType="separate"/>
      </w:r>
      <w:r w:rsidR="006040F3" w:rsidRPr="006040F3">
        <w:rPr>
          <w:color w:val="auto"/>
          <w:lang w:val="en-AU"/>
        </w:rPr>
        <w:t>Table 1</w:t>
      </w:r>
      <w:r w:rsidRPr="005F69B2">
        <w:rPr>
          <w:color w:val="auto"/>
          <w:lang w:val="en-AU"/>
        </w:rPr>
        <w:fldChar w:fldCharType="end"/>
      </w:r>
      <w:r w:rsidRPr="005F69B2">
        <w:rPr>
          <w:color w:val="auto"/>
          <w:lang w:val="en-AU"/>
        </w:rPr>
        <w:t>) and is administered as a single intramuscular (IM) injection.</w:t>
      </w:r>
    </w:p>
    <w:p w14:paraId="7F7F8608" w14:textId="0DE7C83C" w:rsidR="00A13A83" w:rsidRPr="005F69B2" w:rsidRDefault="00A13A83" w:rsidP="00A13A83">
      <w:pPr>
        <w:pStyle w:val="Caption"/>
        <w:rPr>
          <w:rFonts w:cs="Times New Roman"/>
          <w:b w:val="0"/>
          <w:lang w:val="en-AU"/>
        </w:rPr>
      </w:pPr>
      <w:bookmarkStart w:id="4" w:name="_Ref145513801"/>
      <w:r w:rsidRPr="005F69B2">
        <w:rPr>
          <w:lang w:val="en-AU"/>
        </w:rPr>
        <w:t>Table </w:t>
      </w:r>
      <w:r w:rsidRPr="005F69B2">
        <w:rPr>
          <w:lang w:val="en-AU"/>
        </w:rPr>
        <w:fldChar w:fldCharType="begin"/>
      </w:r>
      <w:r w:rsidRPr="005F69B2">
        <w:rPr>
          <w:lang w:val="en-AU"/>
        </w:rPr>
        <w:instrText xml:space="preserve"> SEQ Table \* ARABIC </w:instrText>
      </w:r>
      <w:r w:rsidRPr="005F69B2">
        <w:rPr>
          <w:lang w:val="en-AU"/>
        </w:rPr>
        <w:fldChar w:fldCharType="separate"/>
      </w:r>
      <w:r w:rsidR="006040F3">
        <w:rPr>
          <w:noProof/>
          <w:lang w:val="en-AU"/>
        </w:rPr>
        <w:t>1</w:t>
      </w:r>
      <w:r w:rsidRPr="005F69B2">
        <w:rPr>
          <w:lang w:val="en-AU"/>
        </w:rPr>
        <w:fldChar w:fldCharType="end"/>
      </w:r>
      <w:bookmarkEnd w:id="4"/>
      <w:r w:rsidRPr="005F69B2">
        <w:rPr>
          <w:lang w:val="en-AU"/>
        </w:rPr>
        <w:t xml:space="preserve"> ­ </w:t>
      </w:r>
      <w:r w:rsidRPr="005F69B2">
        <w:rPr>
          <w:rFonts w:cs="Times New Roman"/>
          <w:lang w:val="en-AU"/>
        </w:rPr>
        <w:t>Recommended Dosage of BEYFORTUS in Neonates and Infants Born During or Entering Their First RSV Season</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387"/>
      </w:tblGrid>
      <w:tr w:rsidR="005F69B2" w:rsidRPr="005F69B2" w14:paraId="5A9EB467" w14:textId="77777777" w:rsidTr="00A13A83">
        <w:trPr>
          <w:cantSplit/>
          <w:trHeight w:val="347"/>
          <w:tblHeader/>
          <w:jc w:val="center"/>
        </w:trPr>
        <w:tc>
          <w:tcPr>
            <w:tcW w:w="3847" w:type="dxa"/>
            <w:tcBorders>
              <w:top w:val="single" w:sz="4" w:space="0" w:color="000000"/>
              <w:bottom w:val="single" w:sz="4" w:space="0" w:color="000000"/>
            </w:tcBorders>
            <w:shd w:val="clear" w:color="auto" w:fill="auto"/>
          </w:tcPr>
          <w:p w14:paraId="5A7939B0" w14:textId="77777777" w:rsidR="00A13A83" w:rsidRPr="005F69B2" w:rsidRDefault="00A13A83" w:rsidP="00A13A83">
            <w:pPr>
              <w:pStyle w:val="TblHeadingCenter"/>
              <w:rPr>
                <w:lang w:val="en-AU"/>
              </w:rPr>
            </w:pPr>
            <w:r w:rsidRPr="005F69B2">
              <w:rPr>
                <w:lang w:val="en-AU"/>
              </w:rPr>
              <w:t>Body Weight at Time of Dosing</w:t>
            </w:r>
          </w:p>
        </w:tc>
        <w:tc>
          <w:tcPr>
            <w:tcW w:w="3387" w:type="dxa"/>
            <w:tcBorders>
              <w:top w:val="single" w:sz="4" w:space="0" w:color="000000"/>
              <w:bottom w:val="single" w:sz="4" w:space="0" w:color="000000"/>
            </w:tcBorders>
            <w:shd w:val="clear" w:color="auto" w:fill="auto"/>
          </w:tcPr>
          <w:p w14:paraId="77A6F1FF" w14:textId="77777777" w:rsidR="00A13A83" w:rsidRPr="005F69B2" w:rsidRDefault="00A13A83" w:rsidP="00A13A83">
            <w:pPr>
              <w:pStyle w:val="TblHeadingCenter"/>
              <w:rPr>
                <w:lang w:val="en-AU"/>
              </w:rPr>
            </w:pPr>
            <w:r w:rsidRPr="005F69B2">
              <w:rPr>
                <w:lang w:val="en-AU"/>
              </w:rPr>
              <w:t xml:space="preserve">Recommended </w:t>
            </w:r>
            <w:r w:rsidRPr="005F69B2">
              <w:rPr>
                <w:bCs/>
                <w:lang w:val="en-AU"/>
              </w:rPr>
              <w:t>Dosage</w:t>
            </w:r>
          </w:p>
        </w:tc>
      </w:tr>
      <w:tr w:rsidR="005F69B2" w:rsidRPr="005F69B2" w14:paraId="6959E6EB" w14:textId="77777777" w:rsidTr="00A13A83">
        <w:trPr>
          <w:cantSplit/>
          <w:trHeight w:val="365"/>
          <w:jc w:val="center"/>
        </w:trPr>
        <w:tc>
          <w:tcPr>
            <w:tcW w:w="3847" w:type="dxa"/>
            <w:tcBorders>
              <w:top w:val="single" w:sz="4" w:space="0" w:color="000000"/>
            </w:tcBorders>
            <w:shd w:val="clear" w:color="auto" w:fill="auto"/>
          </w:tcPr>
          <w:p w14:paraId="157BBB7F" w14:textId="77777777" w:rsidR="00A13A83" w:rsidRPr="005F69B2" w:rsidRDefault="00A13A83" w:rsidP="00A13A83">
            <w:pPr>
              <w:pStyle w:val="TblTextCenter"/>
              <w:rPr>
                <w:lang w:val="en-AU"/>
              </w:rPr>
            </w:pPr>
            <w:r w:rsidRPr="005F69B2">
              <w:rPr>
                <w:lang w:val="en-AU"/>
              </w:rPr>
              <w:t>Less than 5 kg</w:t>
            </w:r>
          </w:p>
        </w:tc>
        <w:tc>
          <w:tcPr>
            <w:tcW w:w="3387" w:type="dxa"/>
            <w:tcBorders>
              <w:top w:val="single" w:sz="4" w:space="0" w:color="000000"/>
            </w:tcBorders>
            <w:shd w:val="clear" w:color="auto" w:fill="auto"/>
          </w:tcPr>
          <w:p w14:paraId="46D4B614" w14:textId="77777777" w:rsidR="00A13A83" w:rsidRPr="005F69B2" w:rsidRDefault="00A13A83" w:rsidP="00A13A83">
            <w:pPr>
              <w:pStyle w:val="TblTextCenter"/>
              <w:rPr>
                <w:lang w:val="en-AU"/>
              </w:rPr>
            </w:pPr>
            <w:r w:rsidRPr="005F69B2">
              <w:rPr>
                <w:lang w:val="en-AU"/>
              </w:rPr>
              <w:t xml:space="preserve">50 mg by IM injection </w:t>
            </w:r>
          </w:p>
        </w:tc>
      </w:tr>
      <w:tr w:rsidR="005F69B2" w:rsidRPr="005F69B2" w14:paraId="54D97B54" w14:textId="77777777" w:rsidTr="00A13A83">
        <w:trPr>
          <w:cantSplit/>
          <w:trHeight w:val="365"/>
          <w:jc w:val="center"/>
        </w:trPr>
        <w:tc>
          <w:tcPr>
            <w:tcW w:w="3847" w:type="dxa"/>
            <w:tcBorders>
              <w:bottom w:val="single" w:sz="12" w:space="0" w:color="auto"/>
            </w:tcBorders>
            <w:shd w:val="clear" w:color="auto" w:fill="auto"/>
          </w:tcPr>
          <w:p w14:paraId="38FCB46A" w14:textId="77777777" w:rsidR="00A13A83" w:rsidRPr="005F69B2" w:rsidRDefault="00A13A83" w:rsidP="00A13A83">
            <w:pPr>
              <w:pStyle w:val="TblTextCenter"/>
              <w:rPr>
                <w:lang w:val="en-AU"/>
              </w:rPr>
            </w:pPr>
            <w:r w:rsidRPr="005F69B2">
              <w:rPr>
                <w:lang w:val="en-AU"/>
              </w:rPr>
              <w:t>5 kg and greater</w:t>
            </w:r>
          </w:p>
        </w:tc>
        <w:tc>
          <w:tcPr>
            <w:tcW w:w="3387" w:type="dxa"/>
            <w:tcBorders>
              <w:bottom w:val="single" w:sz="12" w:space="0" w:color="auto"/>
            </w:tcBorders>
            <w:shd w:val="clear" w:color="auto" w:fill="auto"/>
          </w:tcPr>
          <w:p w14:paraId="51A227B0" w14:textId="77777777" w:rsidR="00A13A83" w:rsidRPr="005F69B2" w:rsidRDefault="00A13A83" w:rsidP="00A13A83">
            <w:pPr>
              <w:pStyle w:val="TblTextCenter"/>
              <w:rPr>
                <w:lang w:val="en-AU"/>
              </w:rPr>
            </w:pPr>
            <w:r w:rsidRPr="005F69B2">
              <w:rPr>
                <w:lang w:val="en-AU"/>
              </w:rPr>
              <w:t>100 mg by IM injection</w:t>
            </w:r>
          </w:p>
        </w:tc>
      </w:tr>
      <w:tr w:rsidR="005F69B2" w:rsidRPr="005F69B2" w14:paraId="1CD7A260" w14:textId="77777777" w:rsidTr="00A13A83">
        <w:trPr>
          <w:cantSplit/>
          <w:trHeight w:val="243"/>
          <w:jc w:val="center"/>
        </w:trPr>
        <w:tc>
          <w:tcPr>
            <w:tcW w:w="7234" w:type="dxa"/>
            <w:gridSpan w:val="2"/>
            <w:tcBorders>
              <w:top w:val="single" w:sz="12" w:space="0" w:color="auto"/>
            </w:tcBorders>
            <w:shd w:val="clear" w:color="auto" w:fill="auto"/>
          </w:tcPr>
          <w:p w14:paraId="7D14AA56" w14:textId="77777777" w:rsidR="00A13A83" w:rsidRPr="005F69B2" w:rsidRDefault="00A13A83" w:rsidP="00A13A83">
            <w:pPr>
              <w:pStyle w:val="TblFigFootnote"/>
              <w:rPr>
                <w:lang w:val="en-AU"/>
              </w:rPr>
            </w:pPr>
          </w:p>
        </w:tc>
      </w:tr>
    </w:tbl>
    <w:p w14:paraId="61283B79" w14:textId="11CD451D" w:rsidR="00A13A83" w:rsidRPr="005F69B2" w:rsidRDefault="00A13A83" w:rsidP="00A13A83">
      <w:pPr>
        <w:rPr>
          <w:color w:val="auto"/>
          <w:lang w:val="en-AU"/>
        </w:rPr>
      </w:pPr>
      <w:r w:rsidRPr="005F69B2">
        <w:rPr>
          <w:color w:val="auto"/>
          <w:lang w:val="en-AU"/>
        </w:rPr>
        <w:t>Dosing in infants with a body weight from 1.0 kg to &lt;1.6 kg is based on extrapolation, no clinical data are available. Exposure in infants &lt;1 kg is anticipated to yield higher exposures than in those weighing more. The benefits and risks of nirsevimab use in infants &lt;1 kg should be carefully considered.</w:t>
      </w:r>
    </w:p>
    <w:p w14:paraId="64DBEE26" w14:textId="27D993D6" w:rsidR="00DA2CDF" w:rsidRPr="005F69B2" w:rsidRDefault="00DA2CDF" w:rsidP="00DA2CDF">
      <w:pPr>
        <w:rPr>
          <w:color w:val="auto"/>
          <w:lang w:val="en-AU"/>
        </w:rPr>
      </w:pPr>
      <w:r w:rsidRPr="005F69B2">
        <w:rPr>
          <w:color w:val="auto"/>
          <w:lang w:val="en-AU"/>
        </w:rPr>
        <w:t>There are limited data available in extremely preterm infants (Gestational Age [GA] &lt;29 weeks) less than 8 weeks of age (see Section 4.8, 5.1 and 5.2). No clinical data are available in infants with a postmenstrual age (gestational age at birth plus chronological age) of less than 32 weeks.</w:t>
      </w:r>
    </w:p>
    <w:p w14:paraId="68F819E0" w14:textId="5FE52236" w:rsidR="005F69B2" w:rsidRPr="005F69B2" w:rsidRDefault="00FB3BF4" w:rsidP="005F69B2">
      <w:pPr>
        <w:pStyle w:val="Heading4Unnumbered"/>
        <w:rPr>
          <w:strike/>
          <w:lang w:val="en-AU"/>
        </w:rPr>
      </w:pPr>
      <w:r w:rsidRPr="005F69B2">
        <w:rPr>
          <w:i/>
          <w:lang w:val="en-AU"/>
        </w:rPr>
        <w:t xml:space="preserve">Children Who Remain at Increased Risk for Severe RSV Disease: Second RSV Season </w:t>
      </w:r>
    </w:p>
    <w:p w14:paraId="4BDB1165" w14:textId="58B06E4D" w:rsidR="00A13A83" w:rsidRPr="005F69B2" w:rsidRDefault="00A13A83" w:rsidP="007B4DF7">
      <w:pPr>
        <w:rPr>
          <w:color w:val="auto"/>
          <w:lang w:val="en-AU"/>
        </w:rPr>
      </w:pPr>
      <w:r w:rsidRPr="005F69B2">
        <w:rPr>
          <w:color w:val="auto"/>
          <w:lang w:val="en-AU"/>
        </w:rPr>
        <w:t xml:space="preserve">For children up to 24 months of </w:t>
      </w:r>
      <w:r w:rsidR="00255B1C" w:rsidRPr="005F69B2">
        <w:rPr>
          <w:color w:val="auto"/>
          <w:lang w:val="en-AU"/>
        </w:rPr>
        <w:t xml:space="preserve">chronological </w:t>
      </w:r>
      <w:r w:rsidRPr="005F69B2">
        <w:rPr>
          <w:color w:val="auto"/>
          <w:lang w:val="en-AU"/>
        </w:rPr>
        <w:t>age who remain at increased risk for severe RSV disease in their second RSV season, the recommended dosage of BEYFORTUS is a single 200 mg dose administered as two IM injections (2 x 100 mg)</w:t>
      </w:r>
      <w:r w:rsidR="00E61F57">
        <w:rPr>
          <w:color w:val="auto"/>
          <w:lang w:val="en-AU"/>
        </w:rPr>
        <w:t xml:space="preserve"> </w:t>
      </w:r>
      <w:r w:rsidR="00E61F57" w:rsidRPr="00652A67">
        <w:rPr>
          <w:color w:val="auto"/>
          <w:lang w:val="en-AU"/>
        </w:rPr>
        <w:t>at the same visit</w:t>
      </w:r>
      <w:r w:rsidRPr="005F69B2">
        <w:rPr>
          <w:color w:val="auto"/>
          <w:lang w:val="en-AU"/>
        </w:rPr>
        <w:t>.</w:t>
      </w:r>
    </w:p>
    <w:p w14:paraId="073FA0C9" w14:textId="44314F82" w:rsidR="00644416" w:rsidRPr="005F69B2" w:rsidRDefault="00644416" w:rsidP="00644416">
      <w:pPr>
        <w:pStyle w:val="Heading4Unnumbered"/>
        <w:rPr>
          <w:i/>
          <w:lang w:val="en-AU"/>
        </w:rPr>
      </w:pPr>
      <w:bookmarkStart w:id="5" w:name="_Hlk145340916"/>
      <w:r w:rsidRPr="005F69B2">
        <w:rPr>
          <w:i/>
          <w:lang w:val="en-AU"/>
        </w:rPr>
        <w:t>Children Undergoing</w:t>
      </w:r>
      <w:bookmarkEnd w:id="5"/>
      <w:r w:rsidRPr="005F69B2">
        <w:rPr>
          <w:i/>
          <w:lang w:val="en-AU"/>
        </w:rPr>
        <w:t xml:space="preserve"> Cardiac Surgery with Cardiopulmonary Bypass</w:t>
      </w:r>
    </w:p>
    <w:p w14:paraId="257735A4" w14:textId="0689A7A8" w:rsidR="00644416" w:rsidRPr="005F69B2" w:rsidRDefault="00644416" w:rsidP="00644416">
      <w:pPr>
        <w:rPr>
          <w:color w:val="auto"/>
          <w:lang w:val="en-AU"/>
        </w:rPr>
      </w:pPr>
      <w:r w:rsidRPr="005F69B2">
        <w:rPr>
          <w:color w:val="auto"/>
          <w:lang w:val="en-AU"/>
        </w:rPr>
        <w:t xml:space="preserve">For children undergoing cardiac surgery with cardiopulmonary bypass, an additional dose of BEYFORTUS is recommended as soon as the child is stable after surgery to ensure adequate nirsevimab serum levels. The recommended dosage of BEYFORTUS is administered as an IM injection. </w:t>
      </w:r>
    </w:p>
    <w:p w14:paraId="6951A4E6" w14:textId="77777777" w:rsidR="00644416" w:rsidRPr="005F69B2" w:rsidRDefault="00644416" w:rsidP="00644416">
      <w:pPr>
        <w:rPr>
          <w:i/>
          <w:iCs/>
          <w:color w:val="auto"/>
          <w:lang w:val="en-AU"/>
        </w:rPr>
      </w:pPr>
      <w:r w:rsidRPr="005F69B2">
        <w:rPr>
          <w:i/>
          <w:iCs/>
          <w:color w:val="auto"/>
          <w:lang w:val="en-AU"/>
        </w:rPr>
        <w:t xml:space="preserve">First RSV season: </w:t>
      </w:r>
    </w:p>
    <w:p w14:paraId="58A1F5C5" w14:textId="705AC2E0" w:rsidR="00644416" w:rsidRPr="005F69B2" w:rsidRDefault="00644416" w:rsidP="00644416">
      <w:pPr>
        <w:pStyle w:val="ListParagraph"/>
        <w:numPr>
          <w:ilvl w:val="0"/>
          <w:numId w:val="46"/>
        </w:numPr>
        <w:rPr>
          <w:color w:val="auto"/>
          <w:lang w:val="en-AU"/>
        </w:rPr>
      </w:pPr>
      <w:r w:rsidRPr="005F69B2">
        <w:rPr>
          <w:color w:val="auto"/>
          <w:lang w:val="en-AU"/>
        </w:rPr>
        <w:t xml:space="preserve">If surgery is within 90 days after receiving BEYFORTUS, the additional dose should be based on body weight at the time of the additional dose. Refer to </w:t>
      </w:r>
      <w:r w:rsidR="006B4F91" w:rsidRPr="005F69B2">
        <w:rPr>
          <w:color w:val="auto"/>
          <w:lang w:val="en-AU"/>
        </w:rPr>
        <w:fldChar w:fldCharType="begin"/>
      </w:r>
      <w:r w:rsidR="006B4F91" w:rsidRPr="005F69B2">
        <w:rPr>
          <w:color w:val="auto"/>
          <w:lang w:val="en-AU"/>
        </w:rPr>
        <w:instrText xml:space="preserve"> REF _Ref145513801 \h  \* MERGEFORMAT </w:instrText>
      </w:r>
      <w:r w:rsidR="006B4F91" w:rsidRPr="005F69B2">
        <w:rPr>
          <w:color w:val="auto"/>
          <w:lang w:val="en-AU"/>
        </w:rPr>
      </w:r>
      <w:r w:rsidR="006B4F91" w:rsidRPr="005F69B2">
        <w:rPr>
          <w:color w:val="auto"/>
          <w:lang w:val="en-AU"/>
        </w:rPr>
        <w:fldChar w:fldCharType="separate"/>
      </w:r>
      <w:r w:rsidR="006040F3" w:rsidRPr="006040F3">
        <w:rPr>
          <w:color w:val="auto"/>
          <w:lang w:val="en-AU"/>
        </w:rPr>
        <w:t>Table 1</w:t>
      </w:r>
      <w:r w:rsidR="006B4F91" w:rsidRPr="005F69B2">
        <w:rPr>
          <w:color w:val="auto"/>
          <w:lang w:val="en-AU"/>
        </w:rPr>
        <w:fldChar w:fldCharType="end"/>
      </w:r>
      <w:r w:rsidRPr="005F69B2">
        <w:rPr>
          <w:color w:val="auto"/>
          <w:lang w:val="en-AU"/>
        </w:rPr>
        <w:t xml:space="preserve"> for weight-based dosing. </w:t>
      </w:r>
    </w:p>
    <w:p w14:paraId="3A4BA8EF" w14:textId="5959D4F9" w:rsidR="00644416" w:rsidRPr="005F69B2" w:rsidRDefault="00644416" w:rsidP="00644416">
      <w:pPr>
        <w:pStyle w:val="ListParagraph"/>
        <w:numPr>
          <w:ilvl w:val="0"/>
          <w:numId w:val="46"/>
        </w:numPr>
        <w:rPr>
          <w:color w:val="auto"/>
          <w:lang w:val="en-AU"/>
        </w:rPr>
      </w:pPr>
      <w:r w:rsidRPr="005F69B2">
        <w:rPr>
          <w:color w:val="auto"/>
          <w:lang w:val="en-AU"/>
        </w:rPr>
        <w:lastRenderedPageBreak/>
        <w:t xml:space="preserve">If more than 90 days have elapsed since receiving BEYFORTUS, the additional dose should be 50 mg regardless of body weight. </w:t>
      </w:r>
    </w:p>
    <w:p w14:paraId="039CA4BB" w14:textId="77777777" w:rsidR="00644416" w:rsidRPr="005F69B2" w:rsidRDefault="00644416" w:rsidP="00644416">
      <w:pPr>
        <w:rPr>
          <w:i/>
          <w:iCs/>
          <w:color w:val="auto"/>
          <w:lang w:val="en-AU"/>
        </w:rPr>
      </w:pPr>
      <w:r w:rsidRPr="005F69B2">
        <w:rPr>
          <w:i/>
          <w:iCs/>
          <w:color w:val="auto"/>
          <w:lang w:val="en-AU"/>
        </w:rPr>
        <w:t xml:space="preserve">Second RSV season: </w:t>
      </w:r>
    </w:p>
    <w:p w14:paraId="5B7166B0" w14:textId="4F73378A" w:rsidR="00644416" w:rsidRPr="005F69B2" w:rsidRDefault="00644416" w:rsidP="00644416">
      <w:pPr>
        <w:pStyle w:val="ListParagraph"/>
        <w:numPr>
          <w:ilvl w:val="0"/>
          <w:numId w:val="47"/>
        </w:numPr>
        <w:rPr>
          <w:color w:val="auto"/>
          <w:lang w:val="en-AU"/>
        </w:rPr>
      </w:pPr>
      <w:r w:rsidRPr="005F69B2">
        <w:rPr>
          <w:color w:val="auto"/>
          <w:lang w:val="en-AU"/>
        </w:rPr>
        <w:t xml:space="preserve">If surgery is within 90 days after receiving BEYFORTUS, the additional dose should be 200 mg, regardless of body weight. </w:t>
      </w:r>
    </w:p>
    <w:p w14:paraId="3818F33F" w14:textId="269983C6" w:rsidR="00FB3BF4" w:rsidRPr="005F69B2" w:rsidRDefault="00644416" w:rsidP="00FB3BF4">
      <w:pPr>
        <w:pStyle w:val="ListParagraph"/>
        <w:numPr>
          <w:ilvl w:val="0"/>
          <w:numId w:val="47"/>
        </w:numPr>
        <w:rPr>
          <w:color w:val="auto"/>
          <w:lang w:val="en-AU"/>
        </w:rPr>
      </w:pPr>
      <w:r w:rsidRPr="005F69B2">
        <w:rPr>
          <w:color w:val="auto"/>
          <w:lang w:val="en-AU"/>
        </w:rPr>
        <w:t>If more than 90 days have elapsed since receiving BEYFORTUS, the additional dose should be 100 mg, regardless of body weight.</w:t>
      </w:r>
    </w:p>
    <w:p w14:paraId="69798062" w14:textId="788CD0C2" w:rsidR="00E74112" w:rsidRPr="005F69B2" w:rsidRDefault="00E74112" w:rsidP="00E74112">
      <w:pPr>
        <w:rPr>
          <w:color w:val="auto"/>
          <w:lang w:val="en-AU"/>
        </w:rPr>
      </w:pPr>
      <w:r w:rsidRPr="005F69B2">
        <w:rPr>
          <w:color w:val="auto"/>
          <w:lang w:val="en-AU"/>
        </w:rPr>
        <w:t>The safety and efficacy of nirsevimab in children aged 2 to 18 years have not been established. No data are available.</w:t>
      </w:r>
    </w:p>
    <w:p w14:paraId="004CAC3A" w14:textId="0FFBFDD8" w:rsidR="008D52F0" w:rsidRPr="005F69B2" w:rsidRDefault="00EA0420" w:rsidP="008D52F0">
      <w:pPr>
        <w:rPr>
          <w:color w:val="auto"/>
          <w:lang w:val="en-AU"/>
        </w:rPr>
      </w:pPr>
      <w:r w:rsidRPr="005F69B2">
        <w:rPr>
          <w:color w:val="auto"/>
          <w:lang w:val="en-AU"/>
        </w:rPr>
        <w:t>Limited data</w:t>
      </w:r>
      <w:r w:rsidR="00E61F57">
        <w:rPr>
          <w:color w:val="auto"/>
          <w:lang w:val="en-AU"/>
        </w:rPr>
        <w:t xml:space="preserve"> </w:t>
      </w:r>
      <w:r w:rsidR="00E61F57" w:rsidRPr="00652A67">
        <w:rPr>
          <w:color w:val="auto"/>
          <w:lang w:val="en-AU"/>
        </w:rPr>
        <w:t>or no data</w:t>
      </w:r>
      <w:r w:rsidRPr="005F69B2">
        <w:rPr>
          <w:color w:val="auto"/>
          <w:lang w:val="en-AU"/>
        </w:rPr>
        <w:t xml:space="preserve"> are available in infants</w:t>
      </w:r>
      <w:r w:rsidR="00E61F57">
        <w:rPr>
          <w:color w:val="auto"/>
          <w:lang w:val="en-AU"/>
        </w:rPr>
        <w:t xml:space="preserve"> </w:t>
      </w:r>
      <w:r w:rsidRPr="005F69B2">
        <w:rPr>
          <w:color w:val="auto"/>
          <w:lang w:val="en-AU"/>
        </w:rPr>
        <w:t xml:space="preserve">with </w:t>
      </w:r>
      <w:r w:rsidR="00E61F57" w:rsidRPr="00652A67">
        <w:rPr>
          <w:color w:val="auto"/>
          <w:lang w:val="en-AU"/>
        </w:rPr>
        <w:t xml:space="preserve">a range of underlying conditions, e.g. </w:t>
      </w:r>
      <w:r w:rsidRPr="005F69B2">
        <w:rPr>
          <w:color w:val="auto"/>
          <w:lang w:val="en-AU"/>
        </w:rPr>
        <w:t>Down syndrome (n=13), Cystic fibrosis (n=5), Congenital airway anomalies (n=9), and Neuromuscular disease (n=0; not evaluated in clinical trials).</w:t>
      </w:r>
    </w:p>
    <w:p w14:paraId="6E231805" w14:textId="77777777" w:rsidR="00ED27EC" w:rsidRPr="00E52B5F" w:rsidRDefault="00ED27EC" w:rsidP="007B4DF7">
      <w:pPr>
        <w:pStyle w:val="Heading3"/>
        <w:numPr>
          <w:ilvl w:val="0"/>
          <w:numId w:val="0"/>
        </w:numPr>
        <w:ind w:left="680" w:hanging="680"/>
        <w:rPr>
          <w:lang w:val="en-AU"/>
        </w:rPr>
      </w:pPr>
      <w:r w:rsidRPr="00E52B5F">
        <w:rPr>
          <w:lang w:val="en-AU"/>
        </w:rPr>
        <w:t>Method of administration</w:t>
      </w:r>
    </w:p>
    <w:p w14:paraId="6533A565" w14:textId="19F368FD" w:rsidR="001E3EE8" w:rsidRPr="00E52B5F" w:rsidRDefault="001E3EE8" w:rsidP="007B4DF7">
      <w:pPr>
        <w:rPr>
          <w:lang w:val="en-AU"/>
        </w:rPr>
      </w:pPr>
      <w:r w:rsidRPr="00E52B5F">
        <w:rPr>
          <w:lang w:val="en-AU"/>
        </w:rPr>
        <w:t xml:space="preserve">BEYFORTUS is for </w:t>
      </w:r>
      <w:r w:rsidR="00552AB9" w:rsidRPr="00E52B5F">
        <w:rPr>
          <w:lang w:val="en-AU"/>
        </w:rPr>
        <w:t>IM</w:t>
      </w:r>
      <w:r w:rsidRPr="00E52B5F">
        <w:rPr>
          <w:lang w:val="en-AU"/>
        </w:rPr>
        <w:t xml:space="preserve"> injection intended for administration by a healthcare professional.</w:t>
      </w:r>
    </w:p>
    <w:p w14:paraId="088813F3" w14:textId="2562B1A8" w:rsidR="001E3EE8" w:rsidRPr="00E52B5F" w:rsidRDefault="004B6EEA" w:rsidP="007B4DF7">
      <w:pPr>
        <w:rPr>
          <w:lang w:val="en-AU"/>
        </w:rPr>
      </w:pPr>
      <w:r w:rsidRPr="00E52B5F">
        <w:rPr>
          <w:lang w:val="en-AU"/>
        </w:rPr>
        <w:t xml:space="preserve">BEYFORTUS </w:t>
      </w:r>
      <w:r w:rsidR="001E3EE8" w:rsidRPr="00E52B5F">
        <w:rPr>
          <w:lang w:val="en-AU"/>
        </w:rPr>
        <w:t xml:space="preserve">is administered intramuscularly, preferably in the anterolateral aspect of the thigh. The gluteal muscle should not be used routinely as an injection site because of the risk of damage to the sciatic nerve. If two injections are required, different injection sites should be used. </w:t>
      </w:r>
    </w:p>
    <w:p w14:paraId="53C5FA10" w14:textId="7AE864B4" w:rsidR="0083681F" w:rsidRPr="00E52B5F" w:rsidRDefault="0083681F" w:rsidP="007B4DF7">
      <w:pPr>
        <w:pStyle w:val="Heading3"/>
        <w:numPr>
          <w:ilvl w:val="0"/>
          <w:numId w:val="0"/>
        </w:numPr>
        <w:ind w:left="680" w:hanging="680"/>
        <w:rPr>
          <w:lang w:val="en-AU"/>
        </w:rPr>
      </w:pPr>
      <w:r w:rsidRPr="00E52B5F">
        <w:rPr>
          <w:lang w:val="en-AU"/>
        </w:rPr>
        <w:t>Instructions for administration</w:t>
      </w:r>
    </w:p>
    <w:p w14:paraId="5E5714B3" w14:textId="5383A3E4" w:rsidR="004B6EEA" w:rsidRPr="00E52B5F" w:rsidRDefault="004B6EEA" w:rsidP="007B4DF7">
      <w:pPr>
        <w:rPr>
          <w:lang w:val="en-AU"/>
        </w:rPr>
      </w:pPr>
      <w:r w:rsidRPr="00E52B5F">
        <w:rPr>
          <w:lang w:val="en-AU"/>
        </w:rPr>
        <w:t xml:space="preserve">BEYFORTUS prefilled syringe is for single use in one patient only. </w:t>
      </w:r>
      <w:r w:rsidR="00B47C8F" w:rsidRPr="00E52B5F">
        <w:rPr>
          <w:lang w:val="en-AU"/>
        </w:rPr>
        <w:t>Contains no antimicrobial preservative.</w:t>
      </w:r>
    </w:p>
    <w:p w14:paraId="0C5F23E3" w14:textId="58D7ABA7" w:rsidR="00EE2266" w:rsidRPr="00E52B5F" w:rsidRDefault="00EE2266" w:rsidP="007B4DF7">
      <w:pPr>
        <w:rPr>
          <w:lang w:val="en-AU"/>
        </w:rPr>
      </w:pPr>
      <w:r w:rsidRPr="00E52B5F">
        <w:rPr>
          <w:lang w:val="en-AU"/>
        </w:rPr>
        <w:t xml:space="preserve">Visually inspect </w:t>
      </w:r>
      <w:r w:rsidR="004B6EEA" w:rsidRPr="00E52B5F">
        <w:rPr>
          <w:lang w:val="en-AU"/>
        </w:rPr>
        <w:t xml:space="preserve">BEYFORTUS </w:t>
      </w:r>
      <w:r w:rsidRPr="00E52B5F">
        <w:rPr>
          <w:lang w:val="en-AU"/>
        </w:rPr>
        <w:t xml:space="preserve">for particulate matter and discolouration prior to administration. </w:t>
      </w:r>
      <w:r w:rsidR="004B6EEA" w:rsidRPr="00E52B5F">
        <w:rPr>
          <w:lang w:val="en-AU"/>
        </w:rPr>
        <w:t xml:space="preserve">BEYFORTUS </w:t>
      </w:r>
      <w:r w:rsidRPr="00E52B5F">
        <w:rPr>
          <w:lang w:val="en-AU"/>
        </w:rPr>
        <w:t xml:space="preserve">is a clear to opalescent, colourless to yellow solution. Do not inject </w:t>
      </w:r>
      <w:r w:rsidR="004B6EEA" w:rsidRPr="00E52B5F">
        <w:rPr>
          <w:lang w:val="en-AU"/>
        </w:rPr>
        <w:t xml:space="preserve">BEYFORTUS </w:t>
      </w:r>
      <w:r w:rsidRPr="00E52B5F">
        <w:rPr>
          <w:lang w:val="en-AU"/>
        </w:rPr>
        <w:t xml:space="preserve">if the liquid is cloudy, discoloured or it contains large particles or foreign particulate matter. </w:t>
      </w:r>
    </w:p>
    <w:p w14:paraId="38F06F3E" w14:textId="27CAE37C" w:rsidR="00EE2266" w:rsidRPr="00E52B5F" w:rsidRDefault="00EE2266" w:rsidP="007B4DF7">
      <w:pPr>
        <w:rPr>
          <w:lang w:val="en-AU"/>
        </w:rPr>
      </w:pPr>
      <w:r w:rsidRPr="00E52B5F">
        <w:rPr>
          <w:lang w:val="en-AU"/>
        </w:rPr>
        <w:t xml:space="preserve">Do not use if the </w:t>
      </w:r>
      <w:r w:rsidR="00E2744C" w:rsidRPr="00E52B5F">
        <w:rPr>
          <w:lang w:val="en-AU"/>
        </w:rPr>
        <w:t xml:space="preserve">BEYFORTUS </w:t>
      </w:r>
      <w:r w:rsidRPr="00E52B5F">
        <w:rPr>
          <w:lang w:val="en-AU"/>
        </w:rPr>
        <w:t>prefilled syringe has been dropped or damaged, the security seal on the carton has been broken, or the expiry date (EXP) has passed.</w:t>
      </w:r>
    </w:p>
    <w:p w14:paraId="6D17165F" w14:textId="4D9F293D" w:rsidR="0083681F" w:rsidRPr="00E52B5F" w:rsidRDefault="00E2744C" w:rsidP="007B4DF7">
      <w:pPr>
        <w:rPr>
          <w:lang w:val="en-AU"/>
        </w:rPr>
      </w:pPr>
      <w:r w:rsidRPr="00E52B5F">
        <w:rPr>
          <w:lang w:val="en-AU"/>
        </w:rPr>
        <w:t xml:space="preserve">BEYFORTUS </w:t>
      </w:r>
      <w:r w:rsidR="004B6EEA" w:rsidRPr="00E52B5F">
        <w:rPr>
          <w:lang w:val="en-AU"/>
        </w:rPr>
        <w:t>is available in a 50 mg</w:t>
      </w:r>
      <w:r w:rsidRPr="00E52B5F">
        <w:rPr>
          <w:lang w:val="en-AU"/>
        </w:rPr>
        <w:t xml:space="preserve"> in 0.5 mL</w:t>
      </w:r>
      <w:r w:rsidR="004B6EEA" w:rsidRPr="00E52B5F">
        <w:rPr>
          <w:lang w:val="en-AU"/>
        </w:rPr>
        <w:t xml:space="preserve"> and a 100 mg</w:t>
      </w:r>
      <w:r w:rsidRPr="00E52B5F">
        <w:rPr>
          <w:lang w:val="en-AU"/>
        </w:rPr>
        <w:t xml:space="preserve"> in 1 mL</w:t>
      </w:r>
      <w:r w:rsidR="004B6EEA" w:rsidRPr="00E52B5F">
        <w:rPr>
          <w:lang w:val="en-AU"/>
        </w:rPr>
        <w:t xml:space="preserve"> prefilled syringe. Check the labels on the </w:t>
      </w:r>
      <w:r w:rsidRPr="00E52B5F">
        <w:rPr>
          <w:lang w:val="en-AU"/>
        </w:rPr>
        <w:t xml:space="preserve">BEYFORTUS </w:t>
      </w:r>
      <w:r w:rsidR="004B6EEA" w:rsidRPr="00E52B5F">
        <w:rPr>
          <w:lang w:val="en-AU"/>
        </w:rPr>
        <w:t xml:space="preserve">carton and prefilled syringe to make sure you have selected the correct </w:t>
      </w:r>
      <w:r w:rsidRPr="00E52B5F">
        <w:rPr>
          <w:lang w:val="en-AU"/>
        </w:rPr>
        <w:t xml:space="preserve">50 mg in 0.5 mL and a 100 mg in 1 mL </w:t>
      </w:r>
      <w:r w:rsidR="004B6EEA" w:rsidRPr="00E52B5F">
        <w:rPr>
          <w:lang w:val="en-AU"/>
        </w:rPr>
        <w:t>presentation as required</w:t>
      </w:r>
      <w:r w:rsidR="0083681F" w:rsidRPr="00E52B5F">
        <w:rPr>
          <w:lang w:val="en-AU"/>
        </w:rPr>
        <w:t>.</w:t>
      </w:r>
    </w:p>
    <w:p w14:paraId="6DFDD9EE" w14:textId="77777777" w:rsidR="007B4DF7" w:rsidRDefault="007B4DF7" w:rsidP="007B4DF7">
      <w:pPr>
        <w:rPr>
          <w:lang w:val="en-AU"/>
        </w:rPr>
      </w:pPr>
    </w:p>
    <w:p w14:paraId="3A2BFB34" w14:textId="77777777" w:rsidR="006374E5" w:rsidRDefault="006374E5" w:rsidP="007B4DF7">
      <w:pPr>
        <w:rPr>
          <w:lang w:val="en-AU"/>
        </w:rPr>
      </w:pPr>
    </w:p>
    <w:p w14:paraId="68034AB4" w14:textId="77777777" w:rsidR="006374E5" w:rsidRDefault="006374E5" w:rsidP="007B4DF7">
      <w:pPr>
        <w:rPr>
          <w:lang w:val="en-AU"/>
        </w:rPr>
      </w:pPr>
    </w:p>
    <w:p w14:paraId="33A5A11C" w14:textId="77777777" w:rsidR="006374E5" w:rsidRPr="00E52B5F" w:rsidRDefault="006374E5" w:rsidP="007B4DF7">
      <w:pPr>
        <w:rPr>
          <w:lang w:val="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83681F" w:rsidRPr="00E52B5F" w14:paraId="2DDAA882" w14:textId="77777777" w:rsidTr="008A5472">
        <w:tc>
          <w:tcPr>
            <w:tcW w:w="4820" w:type="dxa"/>
          </w:tcPr>
          <w:p w14:paraId="29C21D32" w14:textId="2A574362" w:rsidR="0083681F" w:rsidRPr="00E52B5F" w:rsidRDefault="00E2744C" w:rsidP="00E2744C">
            <w:pPr>
              <w:pStyle w:val="Paragraph"/>
              <w:jc w:val="center"/>
              <w:rPr>
                <w:lang w:val="en-AU"/>
              </w:rPr>
            </w:pPr>
            <w:r w:rsidRPr="00E52B5F">
              <w:rPr>
                <w:b/>
                <w:bCs/>
                <w:lang w:val="en-AU"/>
              </w:rPr>
              <w:lastRenderedPageBreak/>
              <w:t xml:space="preserve">BEYFORTUS </w:t>
            </w:r>
            <w:r w:rsidR="0083681F" w:rsidRPr="00E52B5F">
              <w:rPr>
                <w:b/>
                <w:bCs/>
                <w:lang w:val="en-AU"/>
              </w:rPr>
              <w:t>50 mg</w:t>
            </w:r>
            <w:r w:rsidRPr="00E52B5F">
              <w:rPr>
                <w:b/>
                <w:bCs/>
                <w:lang w:val="en-AU"/>
              </w:rPr>
              <w:t xml:space="preserve"> in </w:t>
            </w:r>
            <w:r w:rsidR="0083681F" w:rsidRPr="00E52B5F">
              <w:rPr>
                <w:b/>
                <w:bCs/>
                <w:lang w:val="en-AU"/>
              </w:rPr>
              <w:t>0.5 mL</w:t>
            </w:r>
            <w:r w:rsidRPr="00E52B5F">
              <w:rPr>
                <w:lang w:val="en-AU"/>
              </w:rPr>
              <w:br/>
            </w:r>
            <w:r w:rsidR="0083681F" w:rsidRPr="00E52B5F">
              <w:rPr>
                <w:lang w:val="en-AU"/>
              </w:rPr>
              <w:t>prefilled syringe with a purple plunger rod.</w:t>
            </w:r>
          </w:p>
        </w:tc>
        <w:tc>
          <w:tcPr>
            <w:tcW w:w="4819" w:type="dxa"/>
          </w:tcPr>
          <w:p w14:paraId="16E6C32F" w14:textId="26582099" w:rsidR="0083681F" w:rsidRPr="00E52B5F" w:rsidRDefault="00E2744C" w:rsidP="00E2744C">
            <w:pPr>
              <w:pStyle w:val="Paragraph"/>
              <w:jc w:val="center"/>
              <w:rPr>
                <w:lang w:val="en-AU"/>
              </w:rPr>
            </w:pPr>
            <w:r w:rsidRPr="00E52B5F">
              <w:rPr>
                <w:b/>
                <w:bCs/>
                <w:lang w:val="en-AU"/>
              </w:rPr>
              <w:t xml:space="preserve">BEYFORTUS </w:t>
            </w:r>
            <w:r w:rsidR="0083681F" w:rsidRPr="00E52B5F">
              <w:rPr>
                <w:b/>
                <w:bCs/>
                <w:lang w:val="en-AU"/>
              </w:rPr>
              <w:t xml:space="preserve">100 mg </w:t>
            </w:r>
            <w:r w:rsidRPr="00E52B5F">
              <w:rPr>
                <w:b/>
                <w:bCs/>
                <w:lang w:val="en-AU"/>
              </w:rPr>
              <w:t xml:space="preserve">in </w:t>
            </w:r>
            <w:r w:rsidR="0083681F" w:rsidRPr="00E52B5F">
              <w:rPr>
                <w:b/>
                <w:bCs/>
                <w:lang w:val="en-AU"/>
              </w:rPr>
              <w:t>1 mL</w:t>
            </w:r>
            <w:r w:rsidRPr="00E52B5F">
              <w:rPr>
                <w:lang w:val="en-AU"/>
              </w:rPr>
              <w:br/>
            </w:r>
            <w:r w:rsidR="0083681F" w:rsidRPr="00E52B5F">
              <w:rPr>
                <w:lang w:val="en-AU"/>
              </w:rPr>
              <w:t>prefilled syringe with a light blue plunger rod.</w:t>
            </w:r>
          </w:p>
        </w:tc>
      </w:tr>
      <w:tr w:rsidR="0083681F" w:rsidRPr="00E52B5F" w14:paraId="3F08FA2B" w14:textId="77777777" w:rsidTr="008A5472">
        <w:tc>
          <w:tcPr>
            <w:tcW w:w="4820" w:type="dxa"/>
          </w:tcPr>
          <w:p w14:paraId="387F532D" w14:textId="77777777" w:rsidR="0083681F" w:rsidRPr="00E52B5F" w:rsidRDefault="0083681F" w:rsidP="00450182">
            <w:pPr>
              <w:pStyle w:val="Paragraph"/>
              <w:spacing w:after="0"/>
              <w:rPr>
                <w:lang w:val="en-AU"/>
              </w:rPr>
            </w:pPr>
          </w:p>
          <w:p w14:paraId="07A6B7EC" w14:textId="5ABB4054" w:rsidR="0083681F" w:rsidRPr="00E52B5F" w:rsidRDefault="008A5472" w:rsidP="00450182">
            <w:pPr>
              <w:pStyle w:val="Paragraph"/>
              <w:rPr>
                <w:lang w:val="en-AU"/>
              </w:rPr>
            </w:pPr>
            <w:r w:rsidRPr="00E52B5F">
              <w:rPr>
                <w:noProof/>
                <w:lang w:val="en-AU"/>
              </w:rPr>
              <mc:AlternateContent>
                <mc:Choice Requires="wps">
                  <w:drawing>
                    <wp:anchor distT="0" distB="0" distL="114300" distR="114300" simplePos="0" relativeHeight="251661312" behindDoc="0" locked="0" layoutInCell="1" allowOverlap="1" wp14:anchorId="603AD182" wp14:editId="774C13E6">
                      <wp:simplePos x="0" y="0"/>
                      <wp:positionH relativeFrom="column">
                        <wp:posOffset>-7620</wp:posOffset>
                      </wp:positionH>
                      <wp:positionV relativeFrom="paragraph">
                        <wp:posOffset>417194</wp:posOffset>
                      </wp:positionV>
                      <wp:extent cx="647700" cy="561975"/>
                      <wp:effectExtent l="0" t="0" r="0" b="952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7700" cy="561975"/>
                              </a:xfrm>
                              <a:prstGeom prst="rect">
                                <a:avLst/>
                              </a:prstGeom>
                              <a:solidFill>
                                <a:schemeClr val="lt1"/>
                              </a:solidFill>
                              <a:ln w="6350">
                                <a:noFill/>
                              </a:ln>
                            </wps:spPr>
                            <wps:txbx>
                              <w:txbxContent>
                                <w:p w14:paraId="180CDC47" w14:textId="61052A29" w:rsidR="0002784E" w:rsidRDefault="0002784E" w:rsidP="0083681F">
                                  <w:r>
                                    <w:t>Purple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AD182" id="Text Box 4" o:spid="_x0000_s1027" type="#_x0000_t202" alt="&quot;&quot;" style="position:absolute;margin-left:-.6pt;margin-top:32.85pt;width:51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LQIAAFo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" fillcolor="white [3201]" stroked="f" strokeweight=".5pt">
                      <v:textbox>
                        <w:txbxContent>
                          <w:p w14:paraId="180CDC47" w14:textId="61052A29" w:rsidR="0002784E" w:rsidRDefault="0002784E" w:rsidP="0083681F">
                            <w:r>
                              <w:t>Purple</w:t>
                            </w:r>
                          </w:p>
                        </w:txbxContent>
                      </v:textbox>
                    </v:shape>
                  </w:pict>
                </mc:Fallback>
              </mc:AlternateContent>
            </w:r>
            <w:r w:rsidR="0083681F" w:rsidRPr="00E52B5F">
              <w:rPr>
                <w:noProof/>
                <w:lang w:val="en-AU"/>
              </w:rPr>
              <mc:AlternateContent>
                <mc:Choice Requires="wps">
                  <w:drawing>
                    <wp:anchor distT="0" distB="0" distL="114300" distR="114300" simplePos="0" relativeHeight="251668480" behindDoc="0" locked="0" layoutInCell="1" allowOverlap="1" wp14:anchorId="7A228E06" wp14:editId="0D6AB6C3">
                      <wp:simplePos x="0" y="0"/>
                      <wp:positionH relativeFrom="column">
                        <wp:posOffset>606437</wp:posOffset>
                      </wp:positionH>
                      <wp:positionV relativeFrom="paragraph">
                        <wp:posOffset>495109</wp:posOffset>
                      </wp:positionV>
                      <wp:extent cx="428625" cy="209550"/>
                      <wp:effectExtent l="0" t="0" r="66675" b="57150"/>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C5C9B1" id="_x0000_t32" coordsize="21600,21600" o:spt="32" o:oned="t" path="m,l21600,21600e" filled="f">
                      <v:path arrowok="t" fillok="f" o:connecttype="none"/>
                      <o:lock v:ext="edit" shapetype="t"/>
                    </v:shapetype>
                    <v:shape id="Straight Arrow Connector 12" o:spid="_x0000_s1026" type="#_x0000_t32" alt="&quot;&quot;" style="position:absolute;margin-left:47.75pt;margin-top:39pt;width:33.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" strokecolor="black [3213]">
                      <v:stroke endarrow="block"/>
                    </v:shape>
                  </w:pict>
                </mc:Fallback>
              </mc:AlternateContent>
            </w:r>
            <w:r w:rsidR="0083681F" w:rsidRPr="00E52B5F">
              <w:rPr>
                <w:lang w:val="en-AU"/>
              </w:rPr>
              <w:t xml:space="preserve">                   </w:t>
            </w:r>
            <w:r w:rsidR="0083681F" w:rsidRPr="00E52B5F">
              <w:rPr>
                <w:noProof/>
                <w:lang w:val="en-AU"/>
              </w:rPr>
              <w:drawing>
                <wp:inline distT="0" distB="0" distL="0" distR="0" wp14:anchorId="55A8D6F0" wp14:editId="5B92B4F6">
                  <wp:extent cx="1860550" cy="1099100"/>
                  <wp:effectExtent l="0" t="0" r="6350" b="6350"/>
                  <wp:docPr id="1703311644" name="Picture 17033116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11644" name="Picture 170331164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r="9523"/>
                          <a:stretch>
                            <a:fillRect/>
                          </a:stretch>
                        </pic:blipFill>
                        <pic:spPr>
                          <a:xfrm>
                            <a:off x="0" y="0"/>
                            <a:ext cx="1880137" cy="1110671"/>
                          </a:xfrm>
                          <a:prstGeom prst="rect">
                            <a:avLst/>
                          </a:prstGeom>
                        </pic:spPr>
                      </pic:pic>
                    </a:graphicData>
                  </a:graphic>
                </wp:inline>
              </w:drawing>
            </w:r>
          </w:p>
        </w:tc>
        <w:tc>
          <w:tcPr>
            <w:tcW w:w="4819" w:type="dxa"/>
          </w:tcPr>
          <w:p w14:paraId="21EA92A8" w14:textId="5DA738D1" w:rsidR="0083681F" w:rsidRPr="00E52B5F" w:rsidRDefault="00E2744C" w:rsidP="00450182">
            <w:pPr>
              <w:pStyle w:val="Paragraph"/>
              <w:spacing w:after="0"/>
              <w:jc w:val="right"/>
              <w:rPr>
                <w:lang w:val="en-AU"/>
              </w:rPr>
            </w:pPr>
            <w:r w:rsidRPr="00E52B5F">
              <w:rPr>
                <w:noProof/>
                <w:lang w:val="en-AU"/>
              </w:rPr>
              <mc:AlternateContent>
                <mc:Choice Requires="wps">
                  <w:drawing>
                    <wp:anchor distT="0" distB="0" distL="114300" distR="114300" simplePos="0" relativeHeight="251659264" behindDoc="0" locked="0" layoutInCell="1" allowOverlap="1" wp14:anchorId="3056C4C4" wp14:editId="3CA45205">
                      <wp:simplePos x="0" y="0"/>
                      <wp:positionH relativeFrom="column">
                        <wp:posOffset>217805</wp:posOffset>
                      </wp:positionH>
                      <wp:positionV relativeFrom="paragraph">
                        <wp:posOffset>487680</wp:posOffset>
                      </wp:positionV>
                      <wp:extent cx="804545" cy="66675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4545" cy="666750"/>
                              </a:xfrm>
                              <a:prstGeom prst="rect">
                                <a:avLst/>
                              </a:prstGeom>
                              <a:solidFill>
                                <a:schemeClr val="lt1"/>
                              </a:solidFill>
                              <a:ln w="6350">
                                <a:noFill/>
                              </a:ln>
                            </wps:spPr>
                            <wps:txbx>
                              <w:txbxContent>
                                <w:p w14:paraId="6F95CD80" w14:textId="77777777" w:rsidR="0002784E" w:rsidRDefault="0002784E" w:rsidP="0083681F">
                                  <w:r>
                                    <w:t>Light Blue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6C4C4" id="Text Box 6" o:spid="_x0000_s1028" type="#_x0000_t202" alt="&quot;&quot;" style="position:absolute;left:0;text-align:left;margin-left:17.15pt;margin-top:38.4pt;width:63.3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bBLwIAAFoEAAAOAAAAZHJzL2Uyb0RvYy54bWysVEtv2zAMvg/YfxB0X5xkSdo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" fillcolor="white [3201]" stroked="f" strokeweight=".5pt">
                      <v:textbox>
                        <w:txbxContent>
                          <w:p w14:paraId="6F95CD80" w14:textId="77777777" w:rsidR="0002784E" w:rsidRDefault="0002784E" w:rsidP="0083681F">
                            <w:r>
                              <w:t>Light Blue</w:t>
                            </w:r>
                          </w:p>
                        </w:txbxContent>
                      </v:textbox>
                    </v:shape>
                  </w:pict>
                </mc:Fallback>
              </mc:AlternateContent>
            </w:r>
            <w:r w:rsidRPr="00E52B5F">
              <w:rPr>
                <w:noProof/>
                <w:lang w:val="en-AU"/>
              </w:rPr>
              <mc:AlternateContent>
                <mc:Choice Requires="wps">
                  <w:drawing>
                    <wp:anchor distT="0" distB="0" distL="114300" distR="114300" simplePos="0" relativeHeight="251660288" behindDoc="0" locked="0" layoutInCell="1" allowOverlap="1" wp14:anchorId="4B697C35" wp14:editId="0EA68FD2">
                      <wp:simplePos x="0" y="0"/>
                      <wp:positionH relativeFrom="column">
                        <wp:posOffset>804545</wp:posOffset>
                      </wp:positionH>
                      <wp:positionV relativeFrom="paragraph">
                        <wp:posOffset>718820</wp:posOffset>
                      </wp:positionV>
                      <wp:extent cx="428625" cy="209550"/>
                      <wp:effectExtent l="0" t="0" r="66675" b="5715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9EE71" id="Straight Arrow Connector 5" o:spid="_x0000_s1026" type="#_x0000_t32" alt="&quot;&quot;" style="position:absolute;margin-left:63.35pt;margin-top:56.6pt;width:33.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" strokecolor="black [3213]">
                      <v:stroke endarrow="block"/>
                    </v:shape>
                  </w:pict>
                </mc:Fallback>
              </mc:AlternateContent>
            </w:r>
            <w:r w:rsidR="0083681F" w:rsidRPr="00E52B5F">
              <w:rPr>
                <w:lang w:val="en-AU"/>
              </w:rPr>
              <w:t xml:space="preserve">                             </w:t>
            </w:r>
            <w:r w:rsidR="0083681F" w:rsidRPr="00E52B5F">
              <w:rPr>
                <w:noProof/>
                <w:lang w:val="en-AU"/>
              </w:rPr>
              <w:drawing>
                <wp:inline distT="0" distB="0" distL="0" distR="0" wp14:anchorId="22CDDD81" wp14:editId="263527A5">
                  <wp:extent cx="1934199" cy="1098550"/>
                  <wp:effectExtent l="0" t="0" r="9525" b="6350"/>
                  <wp:docPr id="1392655496" name="Picture 1392655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55496" name="Picture 1392655496">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940720" cy="1102254"/>
                          </a:xfrm>
                          <a:prstGeom prst="rect">
                            <a:avLst/>
                          </a:prstGeom>
                        </pic:spPr>
                      </pic:pic>
                    </a:graphicData>
                  </a:graphic>
                </wp:inline>
              </w:drawing>
            </w:r>
          </w:p>
        </w:tc>
      </w:tr>
    </w:tbl>
    <w:p w14:paraId="567213DE" w14:textId="7BCD04EE" w:rsidR="0083681F" w:rsidRPr="00E52B5F" w:rsidRDefault="0083681F" w:rsidP="007B4DF7">
      <w:pPr>
        <w:rPr>
          <w:lang w:val="en-AU"/>
        </w:rPr>
      </w:pPr>
      <w:r w:rsidRPr="00E52B5F">
        <w:rPr>
          <w:lang w:val="en-AU"/>
        </w:rPr>
        <w:t xml:space="preserve">Refer to </w:t>
      </w:r>
      <w:r w:rsidR="00FC5018" w:rsidRPr="00E52B5F">
        <w:rPr>
          <w:color w:val="0000FF"/>
          <w:lang w:val="en-AU"/>
        </w:rPr>
        <w:fldChar w:fldCharType="begin"/>
      </w:r>
      <w:r w:rsidR="00FC5018" w:rsidRPr="00E52B5F">
        <w:rPr>
          <w:color w:val="0000FF"/>
          <w:lang w:val="en-AU"/>
        </w:rPr>
        <w:instrText xml:space="preserve"> REF _Ref139284760 \h  \* MERGEFORMAT </w:instrText>
      </w:r>
      <w:r w:rsidR="00FC5018" w:rsidRPr="00E52B5F">
        <w:rPr>
          <w:color w:val="0000FF"/>
          <w:lang w:val="en-AU"/>
        </w:rPr>
      </w:r>
      <w:r w:rsidR="00FC5018" w:rsidRPr="00E52B5F">
        <w:rPr>
          <w:color w:val="0000FF"/>
          <w:lang w:val="en-AU"/>
        </w:rPr>
        <w:fldChar w:fldCharType="separate"/>
      </w:r>
      <w:r w:rsidR="006040F3" w:rsidRPr="006040F3">
        <w:rPr>
          <w:color w:val="0000FF"/>
          <w:lang w:val="en-AU"/>
        </w:rPr>
        <w:t>Figure 1</w:t>
      </w:r>
      <w:r w:rsidR="00FC5018" w:rsidRPr="00E52B5F">
        <w:rPr>
          <w:color w:val="0000FF"/>
          <w:lang w:val="en-AU"/>
        </w:rPr>
        <w:fldChar w:fldCharType="end"/>
      </w:r>
      <w:r w:rsidR="00FC5018" w:rsidRPr="00E52B5F">
        <w:rPr>
          <w:color w:val="0000FF"/>
          <w:lang w:val="en-AU"/>
        </w:rPr>
        <w:t xml:space="preserve"> </w:t>
      </w:r>
      <w:r w:rsidRPr="00E52B5F">
        <w:rPr>
          <w:lang w:val="en-AU"/>
        </w:rPr>
        <w:t>for prefilled syringe components.</w:t>
      </w:r>
    </w:p>
    <w:bookmarkStart w:id="6" w:name="_Ref139284760"/>
    <w:p w14:paraId="7AE037EC" w14:textId="23E675D8" w:rsidR="007B4DF7" w:rsidRPr="00E52B5F" w:rsidRDefault="004B21BA" w:rsidP="007B4DF7">
      <w:pPr>
        <w:pStyle w:val="Caption"/>
        <w:rPr>
          <w:lang w:val="en-AU"/>
        </w:rPr>
      </w:pPr>
      <w:r w:rsidRPr="00E52B5F">
        <w:rPr>
          <w:noProof/>
          <w:lang w:val="en-AU"/>
        </w:rPr>
        <mc:AlternateContent>
          <mc:Choice Requires="wps">
            <w:drawing>
              <wp:anchor distT="45720" distB="45720" distL="114300" distR="114300" simplePos="0" relativeHeight="251664384" behindDoc="0" locked="0" layoutInCell="1" allowOverlap="1" wp14:anchorId="4E074E8E" wp14:editId="3101D7D4">
                <wp:simplePos x="0" y="0"/>
                <wp:positionH relativeFrom="column">
                  <wp:posOffset>4213860</wp:posOffset>
                </wp:positionH>
                <wp:positionV relativeFrom="paragraph">
                  <wp:posOffset>451484</wp:posOffset>
                </wp:positionV>
                <wp:extent cx="1052195" cy="485775"/>
                <wp:effectExtent l="0" t="0" r="0" b="0"/>
                <wp:wrapNone/>
                <wp:docPr id="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485775"/>
                        </a:xfrm>
                        <a:prstGeom prst="rect">
                          <a:avLst/>
                        </a:prstGeom>
                        <a:noFill/>
                        <a:ln w="9525">
                          <a:noFill/>
                          <a:miter lim="800000"/>
                          <a:headEnd/>
                          <a:tailEnd/>
                        </a:ln>
                      </wps:spPr>
                      <wps:txbx>
                        <w:txbxContent>
                          <w:p w14:paraId="50E2E9F6" w14:textId="77777777" w:rsidR="0002784E" w:rsidRDefault="0002784E" w:rsidP="0083681F">
                            <w:r>
                              <w:t>Syringe 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74E8E" id="Text Box 2" o:spid="_x0000_s1029" type="#_x0000_t202" alt="&quot;&quot;" style="position:absolute;left:0;text-align:left;margin-left:331.8pt;margin-top:35.55pt;width:82.85pt;height:3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" filled="f" stroked="f">
                <v:textbox>
                  <w:txbxContent>
                    <w:p w14:paraId="50E2E9F6" w14:textId="77777777" w:rsidR="0002784E" w:rsidRDefault="0002784E" w:rsidP="0083681F">
                      <w:r>
                        <w:t>Syringe Cap</w:t>
                      </w:r>
                    </w:p>
                  </w:txbxContent>
                </v:textbox>
              </v:shape>
            </w:pict>
          </mc:Fallback>
        </mc:AlternateContent>
      </w:r>
      <w:r w:rsidR="007B4DF7" w:rsidRPr="00E52B5F">
        <w:rPr>
          <w:lang w:val="en-AU"/>
        </w:rPr>
        <w:t>Figure </w:t>
      </w:r>
      <w:r w:rsidR="007B4DF7" w:rsidRPr="00E52B5F">
        <w:rPr>
          <w:lang w:val="en-AU"/>
        </w:rPr>
        <w:fldChar w:fldCharType="begin"/>
      </w:r>
      <w:r w:rsidR="007B4DF7" w:rsidRPr="00E52B5F">
        <w:rPr>
          <w:lang w:val="en-AU"/>
        </w:rPr>
        <w:instrText xml:space="preserve"> SEQ Figure \* ARABIC </w:instrText>
      </w:r>
      <w:r w:rsidR="007B4DF7" w:rsidRPr="00E52B5F">
        <w:rPr>
          <w:lang w:val="en-AU"/>
        </w:rPr>
        <w:fldChar w:fldCharType="separate"/>
      </w:r>
      <w:r w:rsidR="006040F3">
        <w:rPr>
          <w:noProof/>
          <w:lang w:val="en-AU"/>
        </w:rPr>
        <w:t>1</w:t>
      </w:r>
      <w:r w:rsidR="007B4DF7" w:rsidRPr="00E52B5F">
        <w:rPr>
          <w:lang w:val="en-AU"/>
        </w:rPr>
        <w:fldChar w:fldCharType="end"/>
      </w:r>
      <w:bookmarkEnd w:id="6"/>
      <w:r w:rsidR="007B4DF7" w:rsidRPr="00E52B5F">
        <w:rPr>
          <w:lang w:val="en-AU"/>
        </w:rPr>
        <w:t xml:space="preserve"> ­ Luer lock syringe components</w:t>
      </w:r>
    </w:p>
    <w:bookmarkStart w:id="7" w:name="_Hlk90373745"/>
    <w:p w14:paraId="1B02DA85" w14:textId="0DF1FFEC" w:rsidR="0083681F" w:rsidRPr="00E52B5F" w:rsidRDefault="004B21BA" w:rsidP="00E2744C">
      <w:pPr>
        <w:pStyle w:val="Paragraph"/>
        <w:rPr>
          <w:lang w:val="en-AU"/>
        </w:rPr>
      </w:pPr>
      <w:r w:rsidRPr="00E52B5F">
        <w:rPr>
          <w:noProof/>
          <w:lang w:val="en-AU"/>
        </w:rPr>
        <mc:AlternateContent>
          <mc:Choice Requires="wps">
            <w:drawing>
              <wp:anchor distT="45720" distB="45720" distL="114300" distR="114300" simplePos="0" relativeHeight="251663360" behindDoc="0" locked="0" layoutInCell="1" allowOverlap="1" wp14:anchorId="157CA785" wp14:editId="414C6443">
                <wp:simplePos x="0" y="0"/>
                <wp:positionH relativeFrom="column">
                  <wp:posOffset>2623185</wp:posOffset>
                </wp:positionH>
                <wp:positionV relativeFrom="paragraph">
                  <wp:posOffset>6350</wp:posOffset>
                </wp:positionV>
                <wp:extent cx="1457325" cy="476250"/>
                <wp:effectExtent l="0" t="0" r="0" b="0"/>
                <wp:wrapNone/>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76250"/>
                        </a:xfrm>
                        <a:prstGeom prst="rect">
                          <a:avLst/>
                        </a:prstGeom>
                        <a:noFill/>
                        <a:ln w="9525">
                          <a:noFill/>
                          <a:miter lim="800000"/>
                          <a:headEnd/>
                          <a:tailEnd/>
                        </a:ln>
                      </wps:spPr>
                      <wps:txbx>
                        <w:txbxContent>
                          <w:p w14:paraId="40D59579" w14:textId="77777777" w:rsidR="0002784E" w:rsidRDefault="0002784E" w:rsidP="0083681F">
                            <w:r>
                              <w:t>Rubber Stopper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CA785" id="_x0000_s1030" type="#_x0000_t202" alt="&quot;&quot;" style="position:absolute;margin-left:206.55pt;margin-top:.5pt;width:114.75pt;height: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" filled="f" stroked="f">
                <v:textbox>
                  <w:txbxContent>
                    <w:p w14:paraId="40D59579" w14:textId="77777777" w:rsidR="0002784E" w:rsidRDefault="0002784E" w:rsidP="0083681F">
                      <w:r>
                        <w:t>Rubber Stopper</w:t>
                      </w:r>
                    </w:p>
                  </w:txbxContent>
                </v:textbox>
              </v:shape>
            </w:pict>
          </mc:Fallback>
        </mc:AlternateContent>
      </w:r>
      <w:r w:rsidR="0083681F" w:rsidRPr="00E52B5F">
        <w:rPr>
          <w:noProof/>
          <w:lang w:val="en-AU"/>
        </w:rPr>
        <mc:AlternateContent>
          <mc:Choice Requires="wps">
            <w:drawing>
              <wp:anchor distT="45720" distB="45720" distL="114300" distR="114300" simplePos="0" relativeHeight="251662336" behindDoc="0" locked="0" layoutInCell="1" allowOverlap="1" wp14:anchorId="6C394B6F" wp14:editId="2AAF3808">
                <wp:simplePos x="0" y="0"/>
                <wp:positionH relativeFrom="column">
                  <wp:posOffset>1165860</wp:posOffset>
                </wp:positionH>
                <wp:positionV relativeFrom="paragraph">
                  <wp:posOffset>76835</wp:posOffset>
                </wp:positionV>
                <wp:extent cx="1052195" cy="49530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495300"/>
                        </a:xfrm>
                        <a:prstGeom prst="rect">
                          <a:avLst/>
                        </a:prstGeom>
                        <a:noFill/>
                        <a:ln w="9525">
                          <a:noFill/>
                          <a:miter lim="800000"/>
                          <a:headEnd/>
                          <a:tailEnd/>
                        </a:ln>
                      </wps:spPr>
                      <wps:txbx>
                        <w:txbxContent>
                          <w:p w14:paraId="63BAA0B0" w14:textId="77777777" w:rsidR="0002784E" w:rsidRDefault="0002784E" w:rsidP="0083681F">
                            <w:r>
                              <w:t>Finger Grip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94B6F" id="_x0000_s1031" type="#_x0000_t202" alt="&quot;&quot;" style="position:absolute;margin-left:91.8pt;margin-top:6.05pt;width:82.8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" filled="f" stroked="f">
                <v:textbox>
                  <w:txbxContent>
                    <w:p w14:paraId="63BAA0B0" w14:textId="77777777" w:rsidR="0002784E" w:rsidRDefault="0002784E" w:rsidP="0083681F">
                      <w:r>
                        <w:t>Finger Grip</w:t>
                      </w:r>
                    </w:p>
                  </w:txbxContent>
                </v:textbox>
              </v:shape>
            </w:pict>
          </mc:Fallback>
        </mc:AlternateContent>
      </w:r>
    </w:p>
    <w:p w14:paraId="5785E506" w14:textId="67AB1AB5" w:rsidR="0083681F" w:rsidRPr="00E52B5F" w:rsidRDefault="004B21BA" w:rsidP="0083681F">
      <w:pPr>
        <w:pStyle w:val="Paragraph"/>
        <w:spacing w:after="0"/>
        <w:jc w:val="center"/>
        <w:rPr>
          <w:lang w:val="en-AU"/>
        </w:rPr>
      </w:pPr>
      <w:r w:rsidRPr="00E52B5F">
        <w:rPr>
          <w:noProof/>
          <w:lang w:val="en-AU"/>
        </w:rPr>
        <mc:AlternateContent>
          <mc:Choice Requires="wps">
            <w:drawing>
              <wp:anchor distT="45720" distB="45720" distL="114300" distR="114300" simplePos="0" relativeHeight="251667456" behindDoc="0" locked="0" layoutInCell="1" allowOverlap="1" wp14:anchorId="6E7CDC99" wp14:editId="1F054EA5">
                <wp:simplePos x="0" y="0"/>
                <wp:positionH relativeFrom="column">
                  <wp:posOffset>918210</wp:posOffset>
                </wp:positionH>
                <wp:positionV relativeFrom="paragraph">
                  <wp:posOffset>1130300</wp:posOffset>
                </wp:positionV>
                <wp:extent cx="1052195" cy="552450"/>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552450"/>
                        </a:xfrm>
                        <a:prstGeom prst="rect">
                          <a:avLst/>
                        </a:prstGeom>
                        <a:noFill/>
                        <a:ln w="9525">
                          <a:noFill/>
                          <a:miter lim="800000"/>
                          <a:headEnd/>
                          <a:tailEnd/>
                        </a:ln>
                      </wps:spPr>
                      <wps:txbx>
                        <w:txbxContent>
                          <w:p w14:paraId="2FFAE3AE" w14:textId="77777777" w:rsidR="0002784E" w:rsidRDefault="0002784E" w:rsidP="0083681F">
                            <w:r>
                              <w:t>Plunger Rod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CDC99" id="_x0000_s1032" type="#_x0000_t202" alt="&quot;&quot;" style="position:absolute;left:0;text-align:left;margin-left:72.3pt;margin-top:89pt;width:82.85pt;height:4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dJ+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" filled="f" stroked="f">
                <v:textbox>
                  <w:txbxContent>
                    <w:p w14:paraId="2FFAE3AE" w14:textId="77777777" w:rsidR="0002784E" w:rsidRDefault="0002784E" w:rsidP="0083681F">
                      <w:r>
                        <w:t>Plunger Rod</w:t>
                      </w:r>
                    </w:p>
                  </w:txbxContent>
                </v:textbox>
              </v:shape>
            </w:pict>
          </mc:Fallback>
        </mc:AlternateContent>
      </w:r>
      <w:r w:rsidRPr="00E52B5F">
        <w:rPr>
          <w:noProof/>
          <w:lang w:val="en-AU"/>
        </w:rPr>
        <mc:AlternateContent>
          <mc:Choice Requires="wps">
            <w:drawing>
              <wp:anchor distT="45720" distB="45720" distL="114300" distR="114300" simplePos="0" relativeHeight="251666432" behindDoc="0" locked="0" layoutInCell="1" allowOverlap="1" wp14:anchorId="59C71514" wp14:editId="29A6CB36">
                <wp:simplePos x="0" y="0"/>
                <wp:positionH relativeFrom="column">
                  <wp:posOffset>2651760</wp:posOffset>
                </wp:positionH>
                <wp:positionV relativeFrom="paragraph">
                  <wp:posOffset>1120774</wp:posOffset>
                </wp:positionV>
                <wp:extent cx="1052195" cy="485775"/>
                <wp:effectExtent l="0" t="0" r="0" b="0"/>
                <wp:wrapNone/>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485775"/>
                        </a:xfrm>
                        <a:prstGeom prst="rect">
                          <a:avLst/>
                        </a:prstGeom>
                        <a:noFill/>
                        <a:ln w="9525">
                          <a:noFill/>
                          <a:miter lim="800000"/>
                          <a:headEnd/>
                          <a:tailEnd/>
                        </a:ln>
                      </wps:spPr>
                      <wps:txbx>
                        <w:txbxContent>
                          <w:p w14:paraId="2B8230A8" w14:textId="77777777" w:rsidR="0002784E" w:rsidRDefault="0002784E" w:rsidP="0083681F">
                            <w:r>
                              <w:t>Syringe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71514" id="_x0000_s1033" type="#_x0000_t202" alt="&quot;&quot;" style="position:absolute;left:0;text-align:left;margin-left:208.8pt;margin-top:88.25pt;width:82.85pt;height:38.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" filled="f" stroked="f">
                <v:textbox>
                  <w:txbxContent>
                    <w:p w14:paraId="2B8230A8" w14:textId="77777777" w:rsidR="0002784E" w:rsidRDefault="0002784E" w:rsidP="0083681F">
                      <w:r>
                        <w:t>Syringe Body</w:t>
                      </w:r>
                    </w:p>
                  </w:txbxContent>
                </v:textbox>
              </v:shape>
            </w:pict>
          </mc:Fallback>
        </mc:AlternateContent>
      </w:r>
      <w:r w:rsidR="0083681F" w:rsidRPr="00E52B5F">
        <w:rPr>
          <w:noProof/>
          <w:lang w:val="en-AU"/>
        </w:rPr>
        <mc:AlternateContent>
          <mc:Choice Requires="wps">
            <w:drawing>
              <wp:anchor distT="45720" distB="45720" distL="114300" distR="114300" simplePos="0" relativeHeight="251665408" behindDoc="0" locked="0" layoutInCell="1" allowOverlap="1" wp14:anchorId="6187A498" wp14:editId="7ECEA417">
                <wp:simplePos x="0" y="0"/>
                <wp:positionH relativeFrom="column">
                  <wp:posOffset>4083002</wp:posOffset>
                </wp:positionH>
                <wp:positionV relativeFrom="paragraph">
                  <wp:posOffset>1108039</wp:posOffset>
                </wp:positionV>
                <wp:extent cx="1052422" cy="396815"/>
                <wp:effectExtent l="0" t="0" r="0" b="381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422" cy="396815"/>
                        </a:xfrm>
                        <a:prstGeom prst="rect">
                          <a:avLst/>
                        </a:prstGeom>
                        <a:noFill/>
                        <a:ln w="9525">
                          <a:noFill/>
                          <a:miter lim="800000"/>
                          <a:headEnd/>
                          <a:tailEnd/>
                        </a:ln>
                      </wps:spPr>
                      <wps:txbx>
                        <w:txbxContent>
                          <w:p w14:paraId="3D5F44B6" w14:textId="77777777" w:rsidR="0002784E" w:rsidRDefault="0002784E" w:rsidP="0083681F">
                            <w:r>
                              <w:t>Luer 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7A498" id="_x0000_s1034" type="#_x0000_t202" alt="&quot;&quot;" style="position:absolute;left:0;text-align:left;margin-left:321.5pt;margin-top:87.25pt;width:82.85pt;height:3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" filled="f" stroked="f">
                <v:textbox>
                  <w:txbxContent>
                    <w:p w14:paraId="3D5F44B6" w14:textId="77777777" w:rsidR="0002784E" w:rsidRDefault="0002784E" w:rsidP="0083681F">
                      <w:r>
                        <w:t>Luer Lock</w:t>
                      </w:r>
                    </w:p>
                  </w:txbxContent>
                </v:textbox>
              </v:shape>
            </w:pict>
          </mc:Fallback>
        </mc:AlternateContent>
      </w:r>
      <w:r w:rsidR="0083681F" w:rsidRPr="00E52B5F">
        <w:rPr>
          <w:noProof/>
          <w:lang w:val="en-AU"/>
        </w:rPr>
        <w:drawing>
          <wp:inline distT="0" distB="0" distL="0" distR="0" wp14:anchorId="5ADB73CE" wp14:editId="2FF68F7C">
            <wp:extent cx="4218317" cy="1193934"/>
            <wp:effectExtent l="0" t="0" r="0" b="635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0">
                      <a:extLst>
                        <a:ext uri="{28A0092B-C50C-407E-A947-70E740481C1C}">
                          <a14:useLocalDpi xmlns:a14="http://schemas.microsoft.com/office/drawing/2010/main" val="0"/>
                        </a:ext>
                      </a:extLst>
                    </a:blip>
                    <a:srcRect l="4627" t="9234" r="4138" b="10911"/>
                    <a:stretch/>
                  </pic:blipFill>
                  <pic:spPr bwMode="auto">
                    <a:xfrm>
                      <a:off x="0" y="0"/>
                      <a:ext cx="4271433" cy="1208968"/>
                    </a:xfrm>
                    <a:prstGeom prst="rect">
                      <a:avLst/>
                    </a:prstGeom>
                    <a:ln>
                      <a:noFill/>
                    </a:ln>
                    <a:extLst>
                      <a:ext uri="{53640926-AAD7-44D8-BBD7-CCE9431645EC}">
                        <a14:shadowObscured xmlns:a14="http://schemas.microsoft.com/office/drawing/2010/main"/>
                      </a:ext>
                    </a:extLst>
                  </pic:spPr>
                </pic:pic>
              </a:graphicData>
            </a:graphic>
          </wp:inline>
        </w:drawing>
      </w:r>
    </w:p>
    <w:p w14:paraId="46B006AC" w14:textId="77777777" w:rsidR="0083681F" w:rsidRPr="00E52B5F" w:rsidRDefault="0083681F" w:rsidP="00E2744C">
      <w:pPr>
        <w:pStyle w:val="Paragraph"/>
        <w:rPr>
          <w:lang w:val="en-AU"/>
        </w:rPr>
      </w:pPr>
    </w:p>
    <w:bookmarkEnd w:id="7"/>
    <w:p w14:paraId="011A8544" w14:textId="7570372F" w:rsidR="004B6EEA" w:rsidRPr="00E52B5F" w:rsidRDefault="004B6EEA" w:rsidP="00E2744C">
      <w:pPr>
        <w:pStyle w:val="Paragraph"/>
        <w:rPr>
          <w:lang w:val="en-AU"/>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88"/>
      </w:tblGrid>
      <w:tr w:rsidR="00E2744C" w:rsidRPr="00E52B5F" w14:paraId="5A1376B8" w14:textId="77777777" w:rsidTr="002A6016">
        <w:tc>
          <w:tcPr>
            <w:tcW w:w="993" w:type="dxa"/>
          </w:tcPr>
          <w:p w14:paraId="4E94B36E" w14:textId="6E01F0A5" w:rsidR="00E2744C" w:rsidRPr="00E52B5F" w:rsidRDefault="00E2744C" w:rsidP="00D565D3">
            <w:pPr>
              <w:pStyle w:val="Paragraph"/>
              <w:rPr>
                <w:i/>
                <w:iCs/>
                <w:lang w:val="en-AU"/>
              </w:rPr>
            </w:pPr>
            <w:r w:rsidRPr="00E52B5F">
              <w:rPr>
                <w:i/>
                <w:iCs/>
                <w:lang w:val="en-AU"/>
              </w:rPr>
              <w:t>Step 1</w:t>
            </w:r>
          </w:p>
        </w:tc>
        <w:tc>
          <w:tcPr>
            <w:tcW w:w="8788" w:type="dxa"/>
          </w:tcPr>
          <w:p w14:paraId="39B46F02" w14:textId="4AA82090" w:rsidR="00E2744C" w:rsidRPr="00E52B5F" w:rsidRDefault="00E2744C" w:rsidP="00D565D3">
            <w:pPr>
              <w:pStyle w:val="Paragraph"/>
              <w:rPr>
                <w:lang w:val="en-AU"/>
              </w:rPr>
            </w:pPr>
            <w:bookmarkStart w:id="8" w:name="_Hlk85483425"/>
            <w:r w:rsidRPr="00E52B5F">
              <w:rPr>
                <w:lang w:val="en-AU"/>
              </w:rPr>
              <w:t>Holding the Luer lock in one hand (avoid holding the plunger rod or syringe body), unscrew the syringe cap by twisting it counter clockwise with the other hand.</w:t>
            </w:r>
            <w:bookmarkEnd w:id="8"/>
          </w:p>
        </w:tc>
      </w:tr>
      <w:tr w:rsidR="00E2744C" w:rsidRPr="00E52B5F" w14:paraId="50B6FBBA" w14:textId="77777777" w:rsidTr="002A6016">
        <w:tc>
          <w:tcPr>
            <w:tcW w:w="993" w:type="dxa"/>
          </w:tcPr>
          <w:p w14:paraId="37BE4643" w14:textId="5B79D5C3" w:rsidR="00E2744C" w:rsidRPr="00E52B5F" w:rsidRDefault="00DB2890" w:rsidP="00D565D3">
            <w:pPr>
              <w:pStyle w:val="Paragraph"/>
              <w:rPr>
                <w:i/>
                <w:iCs/>
                <w:lang w:val="en-AU"/>
              </w:rPr>
            </w:pPr>
            <w:r w:rsidRPr="00E52B5F">
              <w:rPr>
                <w:i/>
                <w:iCs/>
                <w:lang w:val="en-AU"/>
              </w:rPr>
              <w:t>Step 2</w:t>
            </w:r>
          </w:p>
        </w:tc>
        <w:tc>
          <w:tcPr>
            <w:tcW w:w="8788" w:type="dxa"/>
          </w:tcPr>
          <w:p w14:paraId="199A54E1" w14:textId="792ECF82" w:rsidR="00E2744C" w:rsidRPr="00E52B5F" w:rsidRDefault="00E2744C" w:rsidP="00D565D3">
            <w:pPr>
              <w:pStyle w:val="Paragraph"/>
              <w:rPr>
                <w:lang w:val="en-AU"/>
              </w:rPr>
            </w:pPr>
            <w:r w:rsidRPr="00E52B5F">
              <w:rPr>
                <w:lang w:val="en-AU"/>
              </w:rPr>
              <w:t xml:space="preserve">Attach a Luer lock needle to the </w:t>
            </w:r>
            <w:r w:rsidR="000E295C" w:rsidRPr="00E52B5F">
              <w:rPr>
                <w:lang w:val="en-AU"/>
              </w:rPr>
              <w:t>prefilled</w:t>
            </w:r>
            <w:r w:rsidRPr="00E52B5F">
              <w:rPr>
                <w:lang w:val="en-AU"/>
              </w:rPr>
              <w:t xml:space="preserve"> syringe by gently twisting the needle clockwise onto the </w:t>
            </w:r>
            <w:r w:rsidR="000E295C" w:rsidRPr="00E52B5F">
              <w:rPr>
                <w:lang w:val="en-AU"/>
              </w:rPr>
              <w:t>prefilled</w:t>
            </w:r>
            <w:r w:rsidRPr="00E52B5F">
              <w:rPr>
                <w:lang w:val="en-AU"/>
              </w:rPr>
              <w:t xml:space="preserve"> syringe until slight resistance is felt.</w:t>
            </w:r>
          </w:p>
        </w:tc>
      </w:tr>
      <w:tr w:rsidR="00E2744C" w:rsidRPr="00E52B5F" w14:paraId="39C03189" w14:textId="77777777" w:rsidTr="002A6016">
        <w:tc>
          <w:tcPr>
            <w:tcW w:w="993" w:type="dxa"/>
          </w:tcPr>
          <w:p w14:paraId="16E3ED0F" w14:textId="6C0A825D" w:rsidR="00E2744C" w:rsidRPr="00E52B5F" w:rsidRDefault="00DB2890" w:rsidP="00D565D3">
            <w:pPr>
              <w:pStyle w:val="Paragraph"/>
              <w:rPr>
                <w:i/>
                <w:iCs/>
                <w:lang w:val="en-AU"/>
              </w:rPr>
            </w:pPr>
            <w:r w:rsidRPr="00E52B5F">
              <w:rPr>
                <w:i/>
                <w:iCs/>
                <w:lang w:val="en-AU"/>
              </w:rPr>
              <w:t>Step 3</w:t>
            </w:r>
          </w:p>
        </w:tc>
        <w:tc>
          <w:tcPr>
            <w:tcW w:w="8788" w:type="dxa"/>
          </w:tcPr>
          <w:p w14:paraId="410A0DCC" w14:textId="37EFBC4D" w:rsidR="00E2744C" w:rsidRPr="00E52B5F" w:rsidRDefault="00E2744C" w:rsidP="00D565D3">
            <w:pPr>
              <w:pStyle w:val="Paragraph"/>
              <w:rPr>
                <w:lang w:val="en-AU"/>
              </w:rPr>
            </w:pPr>
            <w:r w:rsidRPr="00E52B5F">
              <w:rPr>
                <w:lang w:val="en-AU"/>
              </w:rPr>
              <w:t>Hold the syringe body with one hand and carefully pull the needle cover straight off with the other hand. Do not hold the plunger rod while removing the needle cover or the rubber stopper may move. Do not touch the needle or let it touch any surface. Do not recap the needle or detach it from the syringe.</w:t>
            </w:r>
          </w:p>
        </w:tc>
      </w:tr>
      <w:tr w:rsidR="00E2744C" w:rsidRPr="00E52B5F" w14:paraId="16296E6A" w14:textId="77777777" w:rsidTr="002A6016">
        <w:tc>
          <w:tcPr>
            <w:tcW w:w="993" w:type="dxa"/>
          </w:tcPr>
          <w:p w14:paraId="1D393A3A" w14:textId="6A381288" w:rsidR="00E2744C" w:rsidRPr="00E52B5F" w:rsidRDefault="00DB2890" w:rsidP="00D565D3">
            <w:pPr>
              <w:pStyle w:val="Paragraph"/>
              <w:rPr>
                <w:i/>
                <w:iCs/>
                <w:lang w:val="en-AU"/>
              </w:rPr>
            </w:pPr>
            <w:r w:rsidRPr="00E52B5F">
              <w:rPr>
                <w:i/>
                <w:iCs/>
                <w:lang w:val="en-AU"/>
              </w:rPr>
              <w:t>Step 4</w:t>
            </w:r>
          </w:p>
        </w:tc>
        <w:tc>
          <w:tcPr>
            <w:tcW w:w="8788" w:type="dxa"/>
          </w:tcPr>
          <w:p w14:paraId="377B744D" w14:textId="0A983F00" w:rsidR="00E2744C" w:rsidRPr="00E52B5F" w:rsidRDefault="00E2744C" w:rsidP="00D565D3">
            <w:pPr>
              <w:pStyle w:val="Paragraph"/>
              <w:rPr>
                <w:lang w:val="en-AU"/>
              </w:rPr>
            </w:pPr>
            <w:r w:rsidRPr="00E52B5F">
              <w:rPr>
                <w:lang w:val="en-AU"/>
              </w:rPr>
              <w:t xml:space="preserve">Administer the entire contents of the </w:t>
            </w:r>
            <w:r w:rsidR="00DB30AC" w:rsidRPr="00E52B5F">
              <w:rPr>
                <w:lang w:val="en-AU"/>
              </w:rPr>
              <w:t xml:space="preserve">BEYFORTUS </w:t>
            </w:r>
            <w:r w:rsidRPr="00E52B5F">
              <w:rPr>
                <w:lang w:val="en-AU"/>
              </w:rPr>
              <w:t>prefilled syringe as an intramuscular injection, preferably in the anterolateral aspect of the thigh. The gluteal muscle should not be used routinely as an injection site because of the risk of damage to the sciatic nerve.</w:t>
            </w:r>
          </w:p>
        </w:tc>
      </w:tr>
      <w:tr w:rsidR="00E2744C" w:rsidRPr="00E52B5F" w14:paraId="09792DEE" w14:textId="77777777" w:rsidTr="002A6016">
        <w:tc>
          <w:tcPr>
            <w:tcW w:w="993" w:type="dxa"/>
          </w:tcPr>
          <w:p w14:paraId="4E7D9413" w14:textId="042BE937" w:rsidR="00E2744C" w:rsidRPr="00E52B5F" w:rsidRDefault="00DB2890" w:rsidP="00D565D3">
            <w:pPr>
              <w:pStyle w:val="Paragraph"/>
              <w:rPr>
                <w:i/>
                <w:iCs/>
                <w:lang w:val="en-AU"/>
              </w:rPr>
            </w:pPr>
            <w:r w:rsidRPr="00E52B5F">
              <w:rPr>
                <w:i/>
                <w:iCs/>
                <w:lang w:val="en-AU"/>
              </w:rPr>
              <w:t>Step 5</w:t>
            </w:r>
          </w:p>
        </w:tc>
        <w:tc>
          <w:tcPr>
            <w:tcW w:w="8788" w:type="dxa"/>
          </w:tcPr>
          <w:p w14:paraId="42A68640" w14:textId="59D181F7" w:rsidR="00E2744C" w:rsidRPr="00E52B5F" w:rsidRDefault="00E2744C" w:rsidP="00D565D3">
            <w:pPr>
              <w:pStyle w:val="Paragraph"/>
              <w:rPr>
                <w:lang w:val="en-AU"/>
              </w:rPr>
            </w:pPr>
            <w:r w:rsidRPr="00E52B5F">
              <w:rPr>
                <w:lang w:val="en-AU"/>
              </w:rPr>
              <w:t>Dispose of the used syringe immediately</w:t>
            </w:r>
            <w:r w:rsidR="009705B0" w:rsidRPr="00E52B5F">
              <w:rPr>
                <w:lang w:val="en-AU"/>
              </w:rPr>
              <w:t xml:space="preserve"> (see Section </w:t>
            </w:r>
            <w:r w:rsidR="009705B0" w:rsidRPr="00E52B5F">
              <w:rPr>
                <w:lang w:val="en-AU"/>
              </w:rPr>
              <w:fldChar w:fldCharType="begin"/>
            </w:r>
            <w:r w:rsidR="009705B0" w:rsidRPr="00E52B5F">
              <w:rPr>
                <w:lang w:val="en-AU"/>
              </w:rPr>
              <w:instrText xml:space="preserve"> REF _Ref114059183 \r \h </w:instrText>
            </w:r>
            <w:r w:rsidR="009705B0" w:rsidRPr="00E52B5F">
              <w:rPr>
                <w:lang w:val="en-AU"/>
              </w:rPr>
            </w:r>
            <w:r w:rsidR="009705B0" w:rsidRPr="00E52B5F">
              <w:rPr>
                <w:lang w:val="en-AU"/>
              </w:rPr>
              <w:fldChar w:fldCharType="separate"/>
            </w:r>
            <w:r w:rsidR="006040F3">
              <w:rPr>
                <w:lang w:val="en-AU"/>
              </w:rPr>
              <w:t>6.6</w:t>
            </w:r>
            <w:r w:rsidR="009705B0" w:rsidRPr="00E52B5F">
              <w:rPr>
                <w:lang w:val="en-AU"/>
              </w:rPr>
              <w:fldChar w:fldCharType="end"/>
            </w:r>
            <w:r w:rsidR="009705B0" w:rsidRPr="00E52B5F">
              <w:rPr>
                <w:lang w:val="en-AU"/>
              </w:rPr>
              <w:t xml:space="preserve"> </w:t>
            </w:r>
            <w:r w:rsidR="009705B0" w:rsidRPr="00E52B5F">
              <w:rPr>
                <w:lang w:val="en-AU"/>
              </w:rPr>
              <w:fldChar w:fldCharType="begin"/>
            </w:r>
            <w:r w:rsidR="009705B0" w:rsidRPr="00E52B5F">
              <w:rPr>
                <w:lang w:val="en-AU"/>
              </w:rPr>
              <w:instrText xml:space="preserve"> REF _Ref114059183 \h </w:instrText>
            </w:r>
            <w:r w:rsidR="009705B0" w:rsidRPr="00E52B5F">
              <w:rPr>
                <w:lang w:val="en-AU"/>
              </w:rPr>
            </w:r>
            <w:r w:rsidR="009705B0" w:rsidRPr="00E52B5F">
              <w:rPr>
                <w:lang w:val="en-AU"/>
              </w:rPr>
              <w:fldChar w:fldCharType="separate"/>
            </w:r>
            <w:r w:rsidR="006040F3" w:rsidRPr="00E52B5F">
              <w:rPr>
                <w:lang w:val="en-AU"/>
              </w:rPr>
              <w:t>Special precautions for disposal</w:t>
            </w:r>
            <w:r w:rsidR="009705B0" w:rsidRPr="00E52B5F">
              <w:rPr>
                <w:lang w:val="en-AU"/>
              </w:rPr>
              <w:fldChar w:fldCharType="end"/>
            </w:r>
            <w:r w:rsidR="009705B0" w:rsidRPr="00E52B5F">
              <w:rPr>
                <w:lang w:val="en-AU"/>
              </w:rPr>
              <w:t>)</w:t>
            </w:r>
            <w:r w:rsidRPr="00E52B5F">
              <w:rPr>
                <w:lang w:val="en-AU"/>
              </w:rPr>
              <w:t>.</w:t>
            </w:r>
          </w:p>
        </w:tc>
      </w:tr>
      <w:tr w:rsidR="00D565D3" w:rsidRPr="00E52B5F" w14:paraId="66CFD732" w14:textId="77777777" w:rsidTr="002A6016">
        <w:tc>
          <w:tcPr>
            <w:tcW w:w="9781" w:type="dxa"/>
            <w:gridSpan w:val="2"/>
          </w:tcPr>
          <w:p w14:paraId="2180D749" w14:textId="6D0209CC" w:rsidR="00D565D3" w:rsidRPr="00E52B5F" w:rsidRDefault="00D565D3" w:rsidP="00D565D3">
            <w:pPr>
              <w:pStyle w:val="Paragraph"/>
              <w:rPr>
                <w:lang w:val="en-AU"/>
              </w:rPr>
            </w:pPr>
            <w:r w:rsidRPr="00E52B5F">
              <w:rPr>
                <w:lang w:val="en-AU"/>
              </w:rPr>
              <w:t>If two injections are required, repeat steps 1-5 in a different injection site.</w:t>
            </w:r>
          </w:p>
        </w:tc>
      </w:tr>
    </w:tbl>
    <w:p w14:paraId="43D22990" w14:textId="77777777" w:rsidR="001A3992" w:rsidRPr="00E52B5F" w:rsidRDefault="001A3992" w:rsidP="00157877">
      <w:pPr>
        <w:pStyle w:val="Heading2"/>
        <w:rPr>
          <w:lang w:val="en-AU"/>
        </w:rPr>
      </w:pPr>
      <w:r w:rsidRPr="00E52B5F">
        <w:rPr>
          <w:lang w:val="en-AU"/>
        </w:rPr>
        <w:lastRenderedPageBreak/>
        <w:t>Contraindications</w:t>
      </w:r>
    </w:p>
    <w:p w14:paraId="4EBD7D88" w14:textId="7DEB9F3F" w:rsidR="00C85696" w:rsidRPr="00E52B5F" w:rsidRDefault="00C743CF" w:rsidP="00FE63B8">
      <w:pPr>
        <w:rPr>
          <w:lang w:val="en-AU"/>
        </w:rPr>
      </w:pPr>
      <w:r w:rsidRPr="00E52B5F">
        <w:rPr>
          <w:lang w:val="en-AU"/>
        </w:rPr>
        <w:t xml:space="preserve">Individuals with a history of severe hypersensitivity reactions, including anaphylaxis, to the active substances or to any of the excipients listed in </w:t>
      </w:r>
      <w:r w:rsidR="002E55A4" w:rsidRPr="00E52B5F">
        <w:rPr>
          <w:lang w:val="en-AU"/>
        </w:rPr>
        <w:t xml:space="preserve">Section </w:t>
      </w:r>
      <w:r w:rsidR="002E55A4" w:rsidRPr="00E52B5F">
        <w:rPr>
          <w:lang w:val="en-AU"/>
        </w:rPr>
        <w:fldChar w:fldCharType="begin"/>
      </w:r>
      <w:r w:rsidR="002E55A4" w:rsidRPr="00E52B5F">
        <w:rPr>
          <w:lang w:val="en-AU"/>
        </w:rPr>
        <w:instrText xml:space="preserve"> REF _Ref505768678 \r \h  \* MERGEFORMAT </w:instrText>
      </w:r>
      <w:r w:rsidR="002E55A4" w:rsidRPr="00E52B5F">
        <w:rPr>
          <w:lang w:val="en-AU"/>
        </w:rPr>
      </w:r>
      <w:r w:rsidR="002E55A4" w:rsidRPr="00E52B5F">
        <w:rPr>
          <w:lang w:val="en-AU"/>
        </w:rPr>
        <w:fldChar w:fldCharType="separate"/>
      </w:r>
      <w:r w:rsidR="006040F3">
        <w:rPr>
          <w:lang w:val="en-AU"/>
        </w:rPr>
        <w:t>6.1</w:t>
      </w:r>
      <w:r w:rsidR="002E55A4" w:rsidRPr="00E52B5F">
        <w:rPr>
          <w:lang w:val="en-AU"/>
        </w:rPr>
        <w:fldChar w:fldCharType="end"/>
      </w:r>
      <w:r w:rsidR="002E55A4" w:rsidRPr="00E52B5F">
        <w:rPr>
          <w:lang w:val="en-AU"/>
        </w:rPr>
        <w:t xml:space="preserve"> </w:t>
      </w:r>
      <w:r w:rsidR="002E55A4" w:rsidRPr="00E52B5F">
        <w:rPr>
          <w:lang w:val="en-AU"/>
        </w:rPr>
        <w:fldChar w:fldCharType="begin"/>
      </w:r>
      <w:r w:rsidR="002E55A4" w:rsidRPr="00E52B5F">
        <w:rPr>
          <w:lang w:val="en-AU"/>
        </w:rPr>
        <w:instrText xml:space="preserve"> REF _Ref505768678 \h  \* MERGEFORMAT </w:instrText>
      </w:r>
      <w:r w:rsidR="002E55A4" w:rsidRPr="00E52B5F">
        <w:rPr>
          <w:lang w:val="en-AU"/>
        </w:rPr>
      </w:r>
      <w:r w:rsidR="002E55A4" w:rsidRPr="00E52B5F">
        <w:rPr>
          <w:lang w:val="en-AU"/>
        </w:rPr>
        <w:fldChar w:fldCharType="separate"/>
      </w:r>
      <w:r w:rsidR="006040F3" w:rsidRPr="00E52B5F">
        <w:rPr>
          <w:lang w:val="en-AU"/>
        </w:rPr>
        <w:t>List of excipients</w:t>
      </w:r>
      <w:r w:rsidR="002E55A4" w:rsidRPr="00E52B5F">
        <w:rPr>
          <w:lang w:val="en-AU"/>
        </w:rPr>
        <w:fldChar w:fldCharType="end"/>
      </w:r>
      <w:r w:rsidRPr="00E52B5F">
        <w:rPr>
          <w:lang w:val="en-AU"/>
        </w:rPr>
        <w:t>.</w:t>
      </w:r>
    </w:p>
    <w:p w14:paraId="5685A12C" w14:textId="77777777" w:rsidR="001A3992" w:rsidRPr="00E52B5F" w:rsidRDefault="00E74A56" w:rsidP="00157877">
      <w:pPr>
        <w:pStyle w:val="Heading2"/>
        <w:rPr>
          <w:lang w:val="en-AU"/>
        </w:rPr>
      </w:pPr>
      <w:r w:rsidRPr="00E52B5F">
        <w:rPr>
          <w:lang w:val="en-AU"/>
        </w:rPr>
        <w:t>Special warnings and p</w:t>
      </w:r>
      <w:r w:rsidR="001A3992" w:rsidRPr="00E52B5F">
        <w:rPr>
          <w:lang w:val="en-AU"/>
        </w:rPr>
        <w:t xml:space="preserve">recautions </w:t>
      </w:r>
      <w:r w:rsidRPr="00E52B5F">
        <w:rPr>
          <w:lang w:val="en-AU"/>
        </w:rPr>
        <w:t>for use</w:t>
      </w:r>
    </w:p>
    <w:p w14:paraId="7F3A47F9" w14:textId="77777777" w:rsidR="002E55A4" w:rsidRPr="00E52B5F" w:rsidRDefault="002E55A4" w:rsidP="00FE63B8">
      <w:pPr>
        <w:pStyle w:val="Heading3"/>
        <w:numPr>
          <w:ilvl w:val="0"/>
          <w:numId w:val="0"/>
        </w:numPr>
        <w:rPr>
          <w:lang w:val="en-AU"/>
        </w:rPr>
      </w:pPr>
      <w:r w:rsidRPr="00E52B5F">
        <w:rPr>
          <w:lang w:val="en-AU"/>
        </w:rPr>
        <w:t>Hypersensitivity including anaphylaxis</w:t>
      </w:r>
    </w:p>
    <w:p w14:paraId="79E823E6" w14:textId="77777777" w:rsidR="002E55A4" w:rsidRPr="00E52B5F" w:rsidRDefault="002E55A4" w:rsidP="00FE63B8">
      <w:pPr>
        <w:rPr>
          <w:lang w:val="en-AU"/>
        </w:rPr>
      </w:pPr>
      <w:bookmarkStart w:id="9" w:name="_Hlk79004736"/>
      <w:r w:rsidRPr="00E52B5F">
        <w:rPr>
          <w:lang w:val="en-AU"/>
        </w:rPr>
        <w:t>Serious hypersensitivity reactions, including anaphylaxis, have been observed rarely with other IgG1 monoclonal antibodies. If signs and symptoms of a clinically significant hypersensitivity reaction or anaphylaxis occur, immediately discontinue administration and initiate appropriate medicinal products and/or supportive therapy</w:t>
      </w:r>
      <w:bookmarkEnd w:id="9"/>
      <w:r w:rsidRPr="00E52B5F">
        <w:rPr>
          <w:lang w:val="en-AU"/>
        </w:rPr>
        <w:t>.</w:t>
      </w:r>
    </w:p>
    <w:p w14:paraId="59B625EA" w14:textId="13A0FEF7" w:rsidR="002E55A4" w:rsidRPr="00E52B5F" w:rsidRDefault="002E55A4" w:rsidP="00FE63B8">
      <w:pPr>
        <w:pStyle w:val="Heading3"/>
        <w:numPr>
          <w:ilvl w:val="0"/>
          <w:numId w:val="0"/>
        </w:numPr>
        <w:rPr>
          <w:lang w:val="en-AU"/>
        </w:rPr>
      </w:pPr>
      <w:r w:rsidRPr="00E52B5F">
        <w:rPr>
          <w:lang w:val="en-AU"/>
        </w:rPr>
        <w:t xml:space="preserve">Use in individuals with clinically significant bleeding disorders </w:t>
      </w:r>
    </w:p>
    <w:p w14:paraId="3BD9697C" w14:textId="6F56EB8A" w:rsidR="002E55A4" w:rsidRPr="00E52B5F" w:rsidRDefault="002E55A4" w:rsidP="00FE63B8">
      <w:pPr>
        <w:rPr>
          <w:lang w:val="en-AU"/>
        </w:rPr>
      </w:pPr>
      <w:r w:rsidRPr="00E52B5F">
        <w:rPr>
          <w:lang w:val="en-AU"/>
        </w:rPr>
        <w:t>As with any other IM injections, BEYFORTUS should be given with caution to individuals with thrombocytopenia, any coagulation disorder or to individuals on anticoagulation therapy.</w:t>
      </w:r>
    </w:p>
    <w:p w14:paraId="4312A5A4" w14:textId="77777777" w:rsidR="001A3992" w:rsidRPr="00E52B5F" w:rsidRDefault="001A3992" w:rsidP="00FE63B8">
      <w:pPr>
        <w:pStyle w:val="Heading3"/>
        <w:numPr>
          <w:ilvl w:val="0"/>
          <w:numId w:val="0"/>
        </w:numPr>
        <w:rPr>
          <w:lang w:val="en-AU"/>
        </w:rPr>
      </w:pPr>
      <w:r w:rsidRPr="00E52B5F">
        <w:rPr>
          <w:lang w:val="en-AU"/>
        </w:rPr>
        <w:t>Effects on laboratory tests</w:t>
      </w:r>
    </w:p>
    <w:p w14:paraId="0CA8D3F2" w14:textId="538810C5" w:rsidR="00EC60F8" w:rsidRPr="00E52B5F" w:rsidRDefault="00DD7614" w:rsidP="00FE63B8">
      <w:pPr>
        <w:rPr>
          <w:lang w:val="en-AU"/>
        </w:rPr>
      </w:pPr>
      <w:r w:rsidRPr="00E52B5F">
        <w:rPr>
          <w:lang w:val="en-AU"/>
        </w:rPr>
        <w:t>Nirsevimab does not interfere with reverse transcriptase polymerase chain reaction (RT</w:t>
      </w:r>
      <w:r w:rsidRPr="00E52B5F">
        <w:rPr>
          <w:lang w:val="en-AU"/>
        </w:rPr>
        <w:noBreakHyphen/>
        <w:t>PCR) or rapid antigen detection RSV diagnostic assays that employ commercially available antibodies targeting antigenic site I, II, or IV on the RSV fusion (F) protein.</w:t>
      </w:r>
    </w:p>
    <w:p w14:paraId="43D7A249" w14:textId="77777777" w:rsidR="001A3992" w:rsidRPr="00E52B5F" w:rsidRDefault="001A3992" w:rsidP="00FE63B8">
      <w:pPr>
        <w:pStyle w:val="Heading2"/>
        <w:rPr>
          <w:lang w:val="en-AU"/>
        </w:rPr>
      </w:pPr>
      <w:bookmarkStart w:id="10" w:name="_Ref505770425"/>
      <w:r w:rsidRPr="00E52B5F">
        <w:rPr>
          <w:lang w:val="en-AU"/>
        </w:rPr>
        <w:t>Interactions with other medicines and other forms of interactions</w:t>
      </w:r>
      <w:bookmarkEnd w:id="10"/>
    </w:p>
    <w:p w14:paraId="2A40C940" w14:textId="2C7C44D3" w:rsidR="002E55A4" w:rsidRPr="00E52B5F" w:rsidRDefault="002E55A4" w:rsidP="00FE63B8">
      <w:pPr>
        <w:rPr>
          <w:lang w:val="en-AU"/>
        </w:rPr>
      </w:pPr>
      <w:r w:rsidRPr="00E52B5F">
        <w:rPr>
          <w:lang w:val="en-AU"/>
        </w:rPr>
        <w:t>No interaction studies have been conducted. Monoclonal antibodies do not typically have significant drug</w:t>
      </w:r>
      <w:r w:rsidRPr="00E52B5F">
        <w:rPr>
          <w:lang w:val="en-AU"/>
        </w:rPr>
        <w:noBreakHyphen/>
        <w:t xml:space="preserve">drug interaction potential, as they do not directly affect cytochrome P450 enzymes and are not substrates of hepatic or renal transporters. </w:t>
      </w:r>
    </w:p>
    <w:p w14:paraId="12756070" w14:textId="77777777" w:rsidR="002E55A4" w:rsidRPr="00E52B5F" w:rsidRDefault="002E55A4" w:rsidP="00FE63B8">
      <w:pPr>
        <w:rPr>
          <w:lang w:val="en-AU"/>
        </w:rPr>
      </w:pPr>
      <w:r w:rsidRPr="00E52B5F">
        <w:rPr>
          <w:lang w:val="en-AU"/>
        </w:rPr>
        <w:t>Nirsevimab</w:t>
      </w:r>
      <w:r w:rsidRPr="00E52B5F">
        <w:rPr>
          <w:lang w:val="en-AU"/>
        </w:rPr>
        <w:noBreakHyphen/>
        <w:t>mediated drug</w:t>
      </w:r>
      <w:r w:rsidRPr="00E52B5F">
        <w:rPr>
          <w:lang w:val="en-AU"/>
        </w:rPr>
        <w:noBreakHyphen/>
        <w:t>drug interactions are unlikely as the target of nirsevimab is an exogenous virus.</w:t>
      </w:r>
    </w:p>
    <w:p w14:paraId="1CE8B589" w14:textId="77777777" w:rsidR="002E55A4" w:rsidRPr="00E52B5F" w:rsidRDefault="002E55A4" w:rsidP="00FE63B8">
      <w:pPr>
        <w:pStyle w:val="Heading3"/>
        <w:numPr>
          <w:ilvl w:val="0"/>
          <w:numId w:val="0"/>
        </w:numPr>
        <w:ind w:left="680" w:hanging="680"/>
        <w:rPr>
          <w:lang w:val="en-AU"/>
        </w:rPr>
      </w:pPr>
      <w:r w:rsidRPr="00E52B5F">
        <w:rPr>
          <w:lang w:val="en-AU"/>
        </w:rPr>
        <w:t xml:space="preserve">Concomitant administration with vaccines </w:t>
      </w:r>
    </w:p>
    <w:p w14:paraId="2688F774" w14:textId="77777777" w:rsidR="002E55A4" w:rsidRPr="00E52B5F" w:rsidRDefault="002E55A4" w:rsidP="00FE63B8">
      <w:pPr>
        <w:rPr>
          <w:lang w:val="en-AU"/>
        </w:rPr>
      </w:pPr>
      <w:r w:rsidRPr="00E52B5F">
        <w:rPr>
          <w:lang w:val="en-AU"/>
        </w:rPr>
        <w:t>Since nirsevimab is a monoclonal antibody, a passive immunisation specific for RSV, it is not expected to interfere with the active immune response to co</w:t>
      </w:r>
      <w:r w:rsidRPr="00E52B5F">
        <w:rPr>
          <w:lang w:val="en-AU"/>
        </w:rPr>
        <w:noBreakHyphen/>
        <w:t xml:space="preserve">administered vaccines. </w:t>
      </w:r>
    </w:p>
    <w:p w14:paraId="6F89D6D5" w14:textId="36691869" w:rsidR="002E55A4" w:rsidRPr="00E52B5F" w:rsidRDefault="002E55A4" w:rsidP="00FE63B8">
      <w:pPr>
        <w:rPr>
          <w:lang w:val="en-AU"/>
        </w:rPr>
      </w:pPr>
      <w:bookmarkStart w:id="11" w:name="_Hlk90893349"/>
      <w:r w:rsidRPr="00E52B5F">
        <w:rPr>
          <w:lang w:val="en-AU"/>
        </w:rPr>
        <w:t>There is limited experience of co</w:t>
      </w:r>
      <w:r w:rsidRPr="00E52B5F">
        <w:rPr>
          <w:lang w:val="en-AU"/>
        </w:rPr>
        <w:noBreakHyphen/>
        <w:t>administration with vaccines. In clinical trials, when nirsevimab was given with routine childhood vaccines, the safety and reactogenicity profile of the co</w:t>
      </w:r>
      <w:r w:rsidRPr="00E52B5F">
        <w:rPr>
          <w:lang w:val="en-AU"/>
        </w:rPr>
        <w:noBreakHyphen/>
        <w:t>administered regimen was similar to the childhood vaccines given alone. Nirsevimab can be given concomitantly with childhood vaccines</w:t>
      </w:r>
      <w:bookmarkEnd w:id="11"/>
      <w:r w:rsidRPr="00E52B5F">
        <w:rPr>
          <w:lang w:val="en-AU"/>
        </w:rPr>
        <w:t>.</w:t>
      </w:r>
    </w:p>
    <w:p w14:paraId="1603A457" w14:textId="08985BAE" w:rsidR="002E55A4" w:rsidRPr="00E52B5F" w:rsidRDefault="002E55A4" w:rsidP="00FE63B8">
      <w:pPr>
        <w:rPr>
          <w:lang w:val="en-AU"/>
        </w:rPr>
      </w:pPr>
      <w:r w:rsidRPr="00E52B5F">
        <w:rPr>
          <w:lang w:val="en-AU"/>
        </w:rPr>
        <w:t xml:space="preserve">Nirsevimab should not be mixed with any vaccine in the same syringe or vial (see </w:t>
      </w:r>
      <w:r w:rsidR="009F2D8A" w:rsidRPr="00E52B5F">
        <w:rPr>
          <w:lang w:val="en-AU"/>
        </w:rPr>
        <w:t xml:space="preserve">Section </w:t>
      </w:r>
      <w:r w:rsidR="009F2D8A" w:rsidRPr="00E52B5F">
        <w:rPr>
          <w:lang w:val="en-AU"/>
        </w:rPr>
        <w:fldChar w:fldCharType="begin"/>
      </w:r>
      <w:r w:rsidR="009F2D8A" w:rsidRPr="00E52B5F">
        <w:rPr>
          <w:lang w:val="en-AU"/>
        </w:rPr>
        <w:instrText xml:space="preserve"> REF _Ref114050535 \r \h </w:instrText>
      </w:r>
      <w:r w:rsidR="009F2D8A" w:rsidRPr="00E52B5F">
        <w:rPr>
          <w:lang w:val="en-AU"/>
        </w:rPr>
      </w:r>
      <w:r w:rsidR="009F2D8A" w:rsidRPr="00E52B5F">
        <w:rPr>
          <w:lang w:val="en-AU"/>
        </w:rPr>
        <w:fldChar w:fldCharType="separate"/>
      </w:r>
      <w:r w:rsidR="006040F3">
        <w:rPr>
          <w:lang w:val="en-AU"/>
        </w:rPr>
        <w:t>6.2</w:t>
      </w:r>
      <w:r w:rsidR="009F2D8A" w:rsidRPr="00E52B5F">
        <w:rPr>
          <w:lang w:val="en-AU"/>
        </w:rPr>
        <w:fldChar w:fldCharType="end"/>
      </w:r>
      <w:r w:rsidR="009F2D8A" w:rsidRPr="00E52B5F">
        <w:rPr>
          <w:lang w:val="en-AU"/>
        </w:rPr>
        <w:t xml:space="preserve"> </w:t>
      </w:r>
      <w:r w:rsidR="009F2D8A" w:rsidRPr="00E52B5F">
        <w:rPr>
          <w:lang w:val="en-AU"/>
        </w:rPr>
        <w:fldChar w:fldCharType="begin"/>
      </w:r>
      <w:r w:rsidR="009F2D8A" w:rsidRPr="00E52B5F">
        <w:rPr>
          <w:lang w:val="en-AU"/>
        </w:rPr>
        <w:instrText xml:space="preserve"> REF _Ref114050535 \h </w:instrText>
      </w:r>
      <w:r w:rsidR="009F2D8A" w:rsidRPr="00E52B5F">
        <w:rPr>
          <w:lang w:val="en-AU"/>
        </w:rPr>
      </w:r>
      <w:r w:rsidR="009F2D8A" w:rsidRPr="00E52B5F">
        <w:rPr>
          <w:lang w:val="en-AU"/>
        </w:rPr>
        <w:fldChar w:fldCharType="separate"/>
      </w:r>
      <w:r w:rsidR="006040F3" w:rsidRPr="00E52B5F">
        <w:rPr>
          <w:lang w:val="en-AU"/>
        </w:rPr>
        <w:t>Incompatibilities</w:t>
      </w:r>
      <w:r w:rsidR="009F2D8A" w:rsidRPr="00E52B5F">
        <w:rPr>
          <w:lang w:val="en-AU"/>
        </w:rPr>
        <w:fldChar w:fldCharType="end"/>
      </w:r>
      <w:r w:rsidRPr="00E52B5F">
        <w:rPr>
          <w:lang w:val="en-AU"/>
        </w:rPr>
        <w:t>). When administered concomitantly with injectable vaccines, they should be given with separate syringes and at different injection sites.</w:t>
      </w:r>
    </w:p>
    <w:p w14:paraId="18B51BDD" w14:textId="77777777" w:rsidR="00D87ED5" w:rsidRPr="005F69B2" w:rsidRDefault="00D87ED5" w:rsidP="00D87ED5">
      <w:pPr>
        <w:pStyle w:val="Heading3"/>
        <w:numPr>
          <w:ilvl w:val="0"/>
          <w:numId w:val="0"/>
        </w:numPr>
        <w:ind w:left="680" w:hanging="680"/>
        <w:rPr>
          <w:szCs w:val="22"/>
          <w:lang w:val="en-AU"/>
        </w:rPr>
      </w:pPr>
      <w:r w:rsidRPr="005F69B2">
        <w:rPr>
          <w:lang w:val="en-AU"/>
        </w:rPr>
        <w:lastRenderedPageBreak/>
        <w:t>Co-administration with immunoglobulin products</w:t>
      </w:r>
    </w:p>
    <w:p w14:paraId="4F800CA0" w14:textId="575B4C61" w:rsidR="00D87ED5" w:rsidRPr="005F69B2" w:rsidRDefault="00D87ED5" w:rsidP="00D87ED5">
      <w:pPr>
        <w:rPr>
          <w:color w:val="auto"/>
          <w:lang w:val="en-AU"/>
        </w:rPr>
      </w:pPr>
      <w:r w:rsidRPr="005F69B2">
        <w:rPr>
          <w:color w:val="auto"/>
          <w:lang w:val="en-AU"/>
        </w:rPr>
        <w:t>There is no information regarding co-administration of BEYFORTUS with other immunoglobulin products. Palivizumab should not be administered to infants who have already received BEYFORTUS in the same season. There are no data regarding substitution of BEYFORTUS for palivizumab once prophylaxis treatment is initiated with palivizumab for the RSV season. BEYFORTUS may be administered prior to or during the second RSV season to children up to 24 months of age who remain vulnerable to severe RSV disease, and who received palivizumab in their first RSV season.</w:t>
      </w:r>
    </w:p>
    <w:p w14:paraId="76BDC831" w14:textId="16F43EEF" w:rsidR="001A3992" w:rsidRPr="00E52B5F" w:rsidRDefault="001A3992" w:rsidP="00FE63B8">
      <w:pPr>
        <w:pStyle w:val="Heading2"/>
        <w:rPr>
          <w:lang w:val="en-AU"/>
        </w:rPr>
      </w:pPr>
      <w:r w:rsidRPr="00E52B5F">
        <w:rPr>
          <w:lang w:val="en-AU"/>
        </w:rPr>
        <w:t>Fer</w:t>
      </w:r>
      <w:r w:rsidR="00EC60F8" w:rsidRPr="00E52B5F">
        <w:rPr>
          <w:lang w:val="en-AU"/>
        </w:rPr>
        <w:t>tility, pregnancy and lactation</w:t>
      </w:r>
    </w:p>
    <w:p w14:paraId="22C4EFD3" w14:textId="13D967AC" w:rsidR="00AB6B91" w:rsidRPr="00E52B5F" w:rsidRDefault="00AB6B91" w:rsidP="00290F50">
      <w:pPr>
        <w:pStyle w:val="Heading3"/>
        <w:numPr>
          <w:ilvl w:val="0"/>
          <w:numId w:val="0"/>
        </w:numPr>
        <w:ind w:left="680" w:hanging="680"/>
        <w:rPr>
          <w:lang w:val="en-AU"/>
        </w:rPr>
      </w:pPr>
      <w:r w:rsidRPr="00E52B5F">
        <w:rPr>
          <w:lang w:val="en-AU"/>
        </w:rPr>
        <w:t>Effects on fertility</w:t>
      </w:r>
    </w:p>
    <w:p w14:paraId="166AEBA2" w14:textId="42A2BF95" w:rsidR="00AB6B91" w:rsidRPr="00E52B5F" w:rsidRDefault="00AB6B91" w:rsidP="00FE63B8">
      <w:pPr>
        <w:rPr>
          <w:color w:val="auto"/>
          <w:lang w:val="en-AU"/>
        </w:rPr>
      </w:pPr>
      <w:r w:rsidRPr="00E52B5F">
        <w:rPr>
          <w:color w:val="auto"/>
          <w:lang w:val="en-AU"/>
        </w:rPr>
        <w:t>Reproductive toxicity studies have not been performed.</w:t>
      </w:r>
    </w:p>
    <w:p w14:paraId="3AF69601" w14:textId="59FAE312" w:rsidR="00AB6B91" w:rsidRPr="005F69B2" w:rsidRDefault="00AB6B91" w:rsidP="00290F50">
      <w:pPr>
        <w:pStyle w:val="Heading3"/>
        <w:numPr>
          <w:ilvl w:val="0"/>
          <w:numId w:val="0"/>
        </w:numPr>
        <w:ind w:left="680" w:hanging="680"/>
        <w:rPr>
          <w:lang w:val="en-AU"/>
        </w:rPr>
      </w:pPr>
      <w:bookmarkStart w:id="12" w:name="_Hlk145346990"/>
      <w:r w:rsidRPr="00E52B5F">
        <w:rPr>
          <w:lang w:val="en-AU"/>
        </w:rPr>
        <w:t>Use in pregnancy</w:t>
      </w:r>
      <w:r w:rsidR="00D87ED5" w:rsidRPr="005F69B2">
        <w:rPr>
          <w:lang w:val="en-AU"/>
        </w:rPr>
        <w:t xml:space="preserve"> (Category B2)</w:t>
      </w:r>
    </w:p>
    <w:p w14:paraId="20E57A9C" w14:textId="71901BAB" w:rsidR="00AB6B91" w:rsidRPr="00E52B5F" w:rsidRDefault="00AB6B91" w:rsidP="00AB6B91">
      <w:pPr>
        <w:rPr>
          <w:color w:val="auto"/>
          <w:lang w:val="en-AU"/>
        </w:rPr>
      </w:pPr>
      <w:r w:rsidRPr="005F69B2">
        <w:rPr>
          <w:color w:val="auto"/>
          <w:lang w:val="en-AU"/>
        </w:rPr>
        <w:t>BEYFORTUS is not indicated for ad</w:t>
      </w:r>
      <w:r w:rsidRPr="00E52B5F">
        <w:rPr>
          <w:color w:val="auto"/>
          <w:lang w:val="en-AU"/>
        </w:rPr>
        <w:t>ult usage and animal reproduction studies have not been conducted.</w:t>
      </w:r>
    </w:p>
    <w:bookmarkEnd w:id="12"/>
    <w:p w14:paraId="1E9D68C6" w14:textId="77777777" w:rsidR="00AB6B91" w:rsidRPr="00E52B5F" w:rsidRDefault="00AB6B91" w:rsidP="00290F50">
      <w:pPr>
        <w:pStyle w:val="Heading3"/>
        <w:numPr>
          <w:ilvl w:val="0"/>
          <w:numId w:val="0"/>
        </w:numPr>
        <w:ind w:left="680" w:hanging="680"/>
        <w:rPr>
          <w:lang w:val="en-AU"/>
        </w:rPr>
      </w:pPr>
      <w:r w:rsidRPr="00E52B5F">
        <w:rPr>
          <w:lang w:val="en-AU"/>
        </w:rPr>
        <w:t>Use in lactation</w:t>
      </w:r>
    </w:p>
    <w:p w14:paraId="789C8E6B" w14:textId="358E32F3" w:rsidR="00AB6B91" w:rsidRPr="00E52B5F" w:rsidRDefault="00AB6B91" w:rsidP="00AB6B91">
      <w:pPr>
        <w:rPr>
          <w:color w:val="auto"/>
          <w:lang w:val="en-AU"/>
        </w:rPr>
      </w:pPr>
      <w:r w:rsidRPr="00E52B5F">
        <w:rPr>
          <w:color w:val="auto"/>
          <w:lang w:val="en-AU"/>
        </w:rPr>
        <w:t>No data available.</w:t>
      </w:r>
    </w:p>
    <w:p w14:paraId="67EFAD34" w14:textId="77777777" w:rsidR="001A3992" w:rsidRPr="00E52B5F" w:rsidRDefault="001A3992" w:rsidP="00FE63B8">
      <w:pPr>
        <w:pStyle w:val="Heading2"/>
        <w:rPr>
          <w:lang w:val="en-AU"/>
        </w:rPr>
      </w:pPr>
      <w:r w:rsidRPr="00E52B5F">
        <w:rPr>
          <w:lang w:val="en-AU"/>
        </w:rPr>
        <w:t>Effects on ability to drive and use machines</w:t>
      </w:r>
    </w:p>
    <w:p w14:paraId="05C54FED" w14:textId="6A8CA71B" w:rsidR="00446EDD" w:rsidRPr="00E52B5F" w:rsidRDefault="00215906" w:rsidP="00FE63B8">
      <w:pPr>
        <w:rPr>
          <w:lang w:val="en-AU"/>
        </w:rPr>
      </w:pPr>
      <w:r w:rsidRPr="00E52B5F">
        <w:rPr>
          <w:lang w:val="en-AU"/>
        </w:rPr>
        <w:t>Not applicable.</w:t>
      </w:r>
    </w:p>
    <w:p w14:paraId="7D97E207" w14:textId="77777777" w:rsidR="001A3992" w:rsidRPr="00E52B5F" w:rsidRDefault="001A3992" w:rsidP="00FE63B8">
      <w:pPr>
        <w:pStyle w:val="Heading2"/>
        <w:rPr>
          <w:lang w:val="en-AU"/>
        </w:rPr>
      </w:pPr>
      <w:bookmarkStart w:id="13" w:name="_Ref145343117"/>
      <w:r w:rsidRPr="00E52B5F">
        <w:rPr>
          <w:lang w:val="en-AU"/>
        </w:rPr>
        <w:t>Adverse effects (Undesirable effects)</w:t>
      </w:r>
      <w:bookmarkEnd w:id="13"/>
    </w:p>
    <w:p w14:paraId="704EC73A" w14:textId="768FE4EC" w:rsidR="00446EDD" w:rsidRPr="00E52B5F" w:rsidRDefault="001D3AF3" w:rsidP="00FE63B8">
      <w:pPr>
        <w:pStyle w:val="Heading3"/>
        <w:numPr>
          <w:ilvl w:val="0"/>
          <w:numId w:val="0"/>
        </w:numPr>
        <w:rPr>
          <w:lang w:val="en-AU"/>
        </w:rPr>
      </w:pPr>
      <w:r w:rsidRPr="00E52B5F">
        <w:rPr>
          <w:lang w:val="en-AU"/>
        </w:rPr>
        <w:t>Clinical trials</w:t>
      </w:r>
      <w:r w:rsidR="00F93DCB" w:rsidRPr="00E52B5F">
        <w:rPr>
          <w:lang w:val="en-AU"/>
        </w:rPr>
        <w:t xml:space="preserve"> experience</w:t>
      </w:r>
    </w:p>
    <w:p w14:paraId="04B4DFD5" w14:textId="30F393CC" w:rsidR="009F2D8A" w:rsidRPr="00E52B5F" w:rsidRDefault="009F2D8A" w:rsidP="00FE63B8">
      <w:pPr>
        <w:rPr>
          <w:lang w:val="en-AU"/>
        </w:rPr>
      </w:pPr>
      <w:bookmarkStart w:id="14" w:name="_Hlk90893523"/>
      <w:r w:rsidRPr="00E52B5F">
        <w:rPr>
          <w:lang w:val="en-AU"/>
        </w:rPr>
        <w:t>Overall, 2,966 term and preterm infants (Gestational Age [GA] ≥29 weeks) received nirsevimab in two placebo-controlled clinical trials (D5290C00003 and MELODY).</w:t>
      </w:r>
      <w:bookmarkEnd w:id="14"/>
    </w:p>
    <w:bookmarkStart w:id="15" w:name="_Hlk90893612"/>
    <w:p w14:paraId="349FCA31" w14:textId="1DBCA9D4" w:rsidR="009F2D8A" w:rsidRDefault="0083697E" w:rsidP="00FE63B8">
      <w:pPr>
        <w:rPr>
          <w:lang w:val="en-AU"/>
        </w:rPr>
      </w:pPr>
      <w:r w:rsidRPr="00E52B5F">
        <w:rPr>
          <w:color w:val="0000FF"/>
          <w:lang w:val="en-AU"/>
        </w:rPr>
        <w:fldChar w:fldCharType="begin"/>
      </w:r>
      <w:r w:rsidRPr="00E52B5F">
        <w:rPr>
          <w:color w:val="0000FF"/>
          <w:lang w:val="en-AU"/>
        </w:rPr>
        <w:instrText xml:space="preserve"> REF _Ref139285343 \h  \* MERGEFORMAT </w:instrText>
      </w:r>
      <w:r w:rsidRPr="00E52B5F">
        <w:rPr>
          <w:color w:val="0000FF"/>
          <w:lang w:val="en-AU"/>
        </w:rPr>
      </w:r>
      <w:r w:rsidRPr="00E52B5F">
        <w:rPr>
          <w:color w:val="0000FF"/>
          <w:lang w:val="en-AU"/>
        </w:rPr>
        <w:fldChar w:fldCharType="separate"/>
      </w:r>
      <w:r w:rsidR="006040F3" w:rsidRPr="006040F3">
        <w:rPr>
          <w:color w:val="0000FF"/>
          <w:lang w:val="en-AU"/>
        </w:rPr>
        <w:t>Table 2</w:t>
      </w:r>
      <w:r w:rsidRPr="00E52B5F">
        <w:rPr>
          <w:color w:val="0000FF"/>
          <w:lang w:val="en-AU"/>
        </w:rPr>
        <w:fldChar w:fldCharType="end"/>
      </w:r>
      <w:r w:rsidR="009F2D8A" w:rsidRPr="00E52B5F">
        <w:rPr>
          <w:lang w:val="en-AU"/>
        </w:rPr>
        <w:t xml:space="preserve"> presents the adverse reactions of the pooled analysis from D5290C00003 and MELODY (All subjects)</w:t>
      </w:r>
      <w:bookmarkEnd w:id="15"/>
      <w:r w:rsidR="009F2D8A" w:rsidRPr="00E52B5F">
        <w:rPr>
          <w:lang w:val="en-AU"/>
        </w:rPr>
        <w:t>.</w:t>
      </w:r>
    </w:p>
    <w:p w14:paraId="6B902E07" w14:textId="77777777" w:rsidR="006374E5" w:rsidRDefault="006374E5" w:rsidP="00FE63B8">
      <w:pPr>
        <w:rPr>
          <w:lang w:val="en-AU"/>
        </w:rPr>
      </w:pPr>
    </w:p>
    <w:p w14:paraId="3A89C9EA" w14:textId="77777777" w:rsidR="006374E5" w:rsidRPr="00E52B5F" w:rsidRDefault="006374E5" w:rsidP="00FE63B8">
      <w:pPr>
        <w:rPr>
          <w:lang w:val="en-AU"/>
        </w:rPr>
      </w:pPr>
    </w:p>
    <w:p w14:paraId="4C2DBF52" w14:textId="4D7B0AE9" w:rsidR="0083697E" w:rsidRPr="00E52B5F" w:rsidRDefault="0083697E" w:rsidP="0083697E">
      <w:pPr>
        <w:pStyle w:val="Caption"/>
        <w:rPr>
          <w:lang w:val="en-AU"/>
        </w:rPr>
      </w:pPr>
      <w:r w:rsidRPr="00E52B5F">
        <w:rPr>
          <w:lang w:val="en-AU"/>
        </w:rPr>
        <w:lastRenderedPageBreak/>
        <w:t xml:space="preserve"> </w:t>
      </w:r>
      <w:bookmarkStart w:id="16" w:name="_Ref139285343"/>
      <w:r w:rsidRPr="00E52B5F">
        <w:rPr>
          <w:lang w:val="en-AU"/>
        </w:rPr>
        <w:t>Table </w:t>
      </w:r>
      <w:r w:rsidRPr="00E52B5F">
        <w:rPr>
          <w:lang w:val="en-AU"/>
        </w:rPr>
        <w:fldChar w:fldCharType="begin"/>
      </w:r>
      <w:r w:rsidRPr="00E52B5F">
        <w:rPr>
          <w:lang w:val="en-AU"/>
        </w:rPr>
        <w:instrText xml:space="preserve"> SEQ Table \* ARABIC </w:instrText>
      </w:r>
      <w:r w:rsidRPr="00E52B5F">
        <w:rPr>
          <w:lang w:val="en-AU"/>
        </w:rPr>
        <w:fldChar w:fldCharType="separate"/>
      </w:r>
      <w:r w:rsidR="006040F3">
        <w:rPr>
          <w:noProof/>
          <w:lang w:val="en-AU"/>
        </w:rPr>
        <w:t>2</w:t>
      </w:r>
      <w:r w:rsidRPr="00E52B5F">
        <w:rPr>
          <w:lang w:val="en-AU"/>
        </w:rPr>
        <w:fldChar w:fldCharType="end"/>
      </w:r>
      <w:bookmarkEnd w:id="16"/>
      <w:r w:rsidRPr="00E52B5F">
        <w:rPr>
          <w:lang w:val="en-AU"/>
        </w:rPr>
        <w:t xml:space="preserve"> ­ Adverse reactions – pooled analysis D5290C00003 and MELODY (All subjects)</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2"/>
      </w:tblGrid>
      <w:tr w:rsidR="0083697E" w:rsidRPr="00E52B5F" w14:paraId="167DB13D" w14:textId="77777777" w:rsidTr="0083697E">
        <w:trPr>
          <w:cantSplit/>
          <w:tblHeader/>
          <w:jc w:val="center"/>
        </w:trPr>
        <w:tc>
          <w:tcPr>
            <w:tcW w:w="3070" w:type="dxa"/>
            <w:tcBorders>
              <w:top w:val="single" w:sz="4" w:space="0" w:color="000000"/>
              <w:bottom w:val="single" w:sz="4" w:space="0" w:color="000000"/>
            </w:tcBorders>
            <w:shd w:val="clear" w:color="auto" w:fill="auto"/>
          </w:tcPr>
          <w:p w14:paraId="1A4955BB" w14:textId="3E7B5D65" w:rsidR="0083697E" w:rsidRPr="00E52B5F" w:rsidRDefault="0083697E" w:rsidP="0083697E">
            <w:pPr>
              <w:pStyle w:val="TblHeadingCenter"/>
              <w:rPr>
                <w:lang w:val="en-AU"/>
              </w:rPr>
            </w:pPr>
            <w:r w:rsidRPr="00E52B5F">
              <w:rPr>
                <w:lang w:val="en-AU"/>
              </w:rPr>
              <w:t>Frequency</w:t>
            </w:r>
          </w:p>
        </w:tc>
        <w:tc>
          <w:tcPr>
            <w:tcW w:w="3071" w:type="dxa"/>
            <w:tcBorders>
              <w:top w:val="single" w:sz="4" w:space="0" w:color="000000"/>
              <w:bottom w:val="single" w:sz="4" w:space="0" w:color="000000"/>
            </w:tcBorders>
            <w:shd w:val="clear" w:color="auto" w:fill="auto"/>
          </w:tcPr>
          <w:p w14:paraId="0A6A970B" w14:textId="1DBABBCB" w:rsidR="0083697E" w:rsidRPr="00E52B5F" w:rsidRDefault="0083697E" w:rsidP="0083697E">
            <w:pPr>
              <w:pStyle w:val="TblHeadingCenter"/>
              <w:rPr>
                <w:lang w:val="en-AU"/>
              </w:rPr>
            </w:pPr>
            <w:r w:rsidRPr="00E52B5F">
              <w:rPr>
                <w:lang w:val="en-AU"/>
              </w:rPr>
              <w:t>MedDRA System Organ Class</w:t>
            </w:r>
          </w:p>
        </w:tc>
        <w:tc>
          <w:tcPr>
            <w:tcW w:w="3072" w:type="dxa"/>
            <w:tcBorders>
              <w:top w:val="single" w:sz="4" w:space="0" w:color="000000"/>
              <w:bottom w:val="single" w:sz="4" w:space="0" w:color="000000"/>
            </w:tcBorders>
            <w:shd w:val="clear" w:color="auto" w:fill="auto"/>
          </w:tcPr>
          <w:p w14:paraId="363125A3" w14:textId="1FC314E5" w:rsidR="0083697E" w:rsidRPr="00E52B5F" w:rsidRDefault="0083697E" w:rsidP="0083697E">
            <w:pPr>
              <w:pStyle w:val="TblHeadingCenter"/>
              <w:rPr>
                <w:lang w:val="en-AU"/>
              </w:rPr>
            </w:pPr>
            <w:r w:rsidRPr="00E52B5F">
              <w:rPr>
                <w:lang w:val="en-AU"/>
              </w:rPr>
              <w:t>Event</w:t>
            </w:r>
          </w:p>
        </w:tc>
      </w:tr>
      <w:tr w:rsidR="0083697E" w:rsidRPr="00E52B5F" w14:paraId="0F9E654B" w14:textId="77777777" w:rsidTr="0083697E">
        <w:trPr>
          <w:cantSplit/>
          <w:jc w:val="center"/>
        </w:trPr>
        <w:tc>
          <w:tcPr>
            <w:tcW w:w="3070" w:type="dxa"/>
            <w:vMerge w:val="restart"/>
            <w:tcBorders>
              <w:top w:val="single" w:sz="4" w:space="0" w:color="000000"/>
            </w:tcBorders>
            <w:shd w:val="clear" w:color="auto" w:fill="auto"/>
          </w:tcPr>
          <w:p w14:paraId="6F052E86" w14:textId="0B9A70C5" w:rsidR="0083697E" w:rsidRPr="00E52B5F" w:rsidRDefault="0083697E" w:rsidP="0083697E">
            <w:pPr>
              <w:pStyle w:val="TblTextCenter"/>
              <w:rPr>
                <w:lang w:val="en-AU"/>
              </w:rPr>
            </w:pPr>
            <w:r w:rsidRPr="00E52B5F">
              <w:rPr>
                <w:lang w:val="en-AU"/>
              </w:rPr>
              <w:t>Uncommon</w:t>
            </w:r>
            <w:r w:rsidRPr="00E52B5F">
              <w:rPr>
                <w:lang w:val="en-AU"/>
              </w:rPr>
              <w:br/>
              <w:t>(≥0.1% - &lt;1%)</w:t>
            </w:r>
          </w:p>
        </w:tc>
        <w:tc>
          <w:tcPr>
            <w:tcW w:w="3071" w:type="dxa"/>
            <w:tcBorders>
              <w:top w:val="single" w:sz="4" w:space="0" w:color="000000"/>
            </w:tcBorders>
            <w:shd w:val="clear" w:color="auto" w:fill="auto"/>
          </w:tcPr>
          <w:p w14:paraId="34D6C1D1" w14:textId="180AE0BF" w:rsidR="0083697E" w:rsidRPr="00E52B5F" w:rsidRDefault="0083697E" w:rsidP="0083697E">
            <w:pPr>
              <w:pStyle w:val="TblTextCenter"/>
              <w:rPr>
                <w:lang w:val="en-AU"/>
              </w:rPr>
            </w:pPr>
            <w:r w:rsidRPr="00E52B5F">
              <w:rPr>
                <w:lang w:val="en-AU"/>
              </w:rPr>
              <w:t>Skin and subcutaneous tissue disorders</w:t>
            </w:r>
          </w:p>
        </w:tc>
        <w:tc>
          <w:tcPr>
            <w:tcW w:w="3072" w:type="dxa"/>
            <w:tcBorders>
              <w:top w:val="single" w:sz="4" w:space="0" w:color="000000"/>
            </w:tcBorders>
            <w:shd w:val="clear" w:color="auto" w:fill="auto"/>
          </w:tcPr>
          <w:p w14:paraId="2DD64193" w14:textId="00AD3DED" w:rsidR="0083697E" w:rsidRPr="00E52B5F" w:rsidRDefault="0083697E" w:rsidP="0083697E">
            <w:pPr>
              <w:pStyle w:val="TblTextCenter"/>
              <w:rPr>
                <w:lang w:val="en-AU"/>
              </w:rPr>
            </w:pPr>
            <w:r w:rsidRPr="00E52B5F">
              <w:rPr>
                <w:lang w:val="en-AU"/>
              </w:rPr>
              <w:t xml:space="preserve">Rash </w:t>
            </w:r>
            <w:r w:rsidRPr="00E52B5F">
              <w:rPr>
                <w:vertAlign w:val="superscript"/>
                <w:lang w:val="en-AU"/>
              </w:rPr>
              <w:t>a</w:t>
            </w:r>
          </w:p>
        </w:tc>
      </w:tr>
      <w:tr w:rsidR="0083697E" w:rsidRPr="00E52B5F" w14:paraId="3D0C2B71" w14:textId="77777777" w:rsidTr="0083697E">
        <w:trPr>
          <w:cantSplit/>
          <w:jc w:val="center"/>
        </w:trPr>
        <w:tc>
          <w:tcPr>
            <w:tcW w:w="3070" w:type="dxa"/>
            <w:vMerge/>
            <w:shd w:val="clear" w:color="auto" w:fill="auto"/>
          </w:tcPr>
          <w:p w14:paraId="4AA0AD43" w14:textId="77777777" w:rsidR="0083697E" w:rsidRPr="00E52B5F" w:rsidRDefault="0083697E" w:rsidP="0083697E">
            <w:pPr>
              <w:pStyle w:val="TblTextCenter"/>
              <w:rPr>
                <w:lang w:val="en-AU"/>
              </w:rPr>
            </w:pPr>
          </w:p>
        </w:tc>
        <w:tc>
          <w:tcPr>
            <w:tcW w:w="3071" w:type="dxa"/>
            <w:vMerge w:val="restart"/>
            <w:shd w:val="clear" w:color="auto" w:fill="auto"/>
          </w:tcPr>
          <w:p w14:paraId="1123B3F7" w14:textId="745CB795" w:rsidR="0083697E" w:rsidRPr="00E52B5F" w:rsidRDefault="0083697E" w:rsidP="0083697E">
            <w:pPr>
              <w:pStyle w:val="TblTextCenter"/>
              <w:rPr>
                <w:lang w:val="en-AU"/>
              </w:rPr>
            </w:pPr>
            <w:r w:rsidRPr="00E52B5F">
              <w:rPr>
                <w:lang w:val="en-AU"/>
              </w:rPr>
              <w:t>General disorders and administration site conditions</w:t>
            </w:r>
          </w:p>
        </w:tc>
        <w:tc>
          <w:tcPr>
            <w:tcW w:w="3072" w:type="dxa"/>
            <w:shd w:val="clear" w:color="auto" w:fill="auto"/>
          </w:tcPr>
          <w:p w14:paraId="21BBCF4B" w14:textId="112D50FE" w:rsidR="0083697E" w:rsidRPr="00E52B5F" w:rsidRDefault="0083697E" w:rsidP="0083697E">
            <w:pPr>
              <w:pStyle w:val="TblTextCenter"/>
              <w:rPr>
                <w:lang w:val="en-AU"/>
              </w:rPr>
            </w:pPr>
            <w:r w:rsidRPr="00E52B5F">
              <w:rPr>
                <w:lang w:val="en-AU"/>
              </w:rPr>
              <w:t>Injection site reaction</w:t>
            </w:r>
            <w:r w:rsidRPr="00E52B5F">
              <w:rPr>
                <w:vertAlign w:val="superscript"/>
                <w:lang w:val="en-AU"/>
              </w:rPr>
              <w:t xml:space="preserve"> b</w:t>
            </w:r>
          </w:p>
        </w:tc>
      </w:tr>
      <w:tr w:rsidR="0083697E" w:rsidRPr="00E52B5F" w14:paraId="2FF38EBE" w14:textId="77777777" w:rsidTr="0083697E">
        <w:trPr>
          <w:cantSplit/>
          <w:jc w:val="center"/>
        </w:trPr>
        <w:tc>
          <w:tcPr>
            <w:tcW w:w="3070" w:type="dxa"/>
            <w:vMerge/>
            <w:tcBorders>
              <w:bottom w:val="single" w:sz="12" w:space="0" w:color="auto"/>
            </w:tcBorders>
            <w:shd w:val="clear" w:color="auto" w:fill="auto"/>
          </w:tcPr>
          <w:p w14:paraId="16EB5490" w14:textId="77777777" w:rsidR="0083697E" w:rsidRPr="00E52B5F" w:rsidRDefault="0083697E" w:rsidP="0083697E">
            <w:pPr>
              <w:pStyle w:val="TblTextCenter"/>
              <w:rPr>
                <w:lang w:val="en-AU"/>
              </w:rPr>
            </w:pPr>
          </w:p>
        </w:tc>
        <w:tc>
          <w:tcPr>
            <w:tcW w:w="3071" w:type="dxa"/>
            <w:vMerge/>
            <w:tcBorders>
              <w:bottom w:val="single" w:sz="12" w:space="0" w:color="auto"/>
            </w:tcBorders>
            <w:shd w:val="clear" w:color="auto" w:fill="auto"/>
          </w:tcPr>
          <w:p w14:paraId="5D17C8DD" w14:textId="77777777" w:rsidR="0083697E" w:rsidRPr="00E52B5F" w:rsidRDefault="0083697E" w:rsidP="0083697E">
            <w:pPr>
              <w:pStyle w:val="TblTextCenter"/>
              <w:rPr>
                <w:lang w:val="en-AU"/>
              </w:rPr>
            </w:pPr>
          </w:p>
        </w:tc>
        <w:tc>
          <w:tcPr>
            <w:tcW w:w="3072" w:type="dxa"/>
            <w:tcBorders>
              <w:bottom w:val="single" w:sz="12" w:space="0" w:color="auto"/>
            </w:tcBorders>
            <w:shd w:val="clear" w:color="auto" w:fill="auto"/>
          </w:tcPr>
          <w:p w14:paraId="7481BB18" w14:textId="1288D3FA" w:rsidR="0083697E" w:rsidRPr="00E52B5F" w:rsidRDefault="0083697E" w:rsidP="0083697E">
            <w:pPr>
              <w:pStyle w:val="TblTextCenter"/>
              <w:rPr>
                <w:lang w:val="en-AU"/>
              </w:rPr>
            </w:pPr>
            <w:r w:rsidRPr="00E52B5F">
              <w:rPr>
                <w:lang w:val="en-AU"/>
              </w:rPr>
              <w:t xml:space="preserve">Pyrexia </w:t>
            </w:r>
            <w:r w:rsidRPr="00E52B5F">
              <w:rPr>
                <w:vertAlign w:val="superscript"/>
                <w:lang w:val="en-AU"/>
              </w:rPr>
              <w:t>c</w:t>
            </w:r>
          </w:p>
        </w:tc>
      </w:tr>
      <w:tr w:rsidR="0083697E" w:rsidRPr="00E52B5F" w14:paraId="59E47047" w14:textId="77777777" w:rsidTr="0083697E">
        <w:trPr>
          <w:cantSplit/>
          <w:jc w:val="center"/>
        </w:trPr>
        <w:tc>
          <w:tcPr>
            <w:tcW w:w="9213" w:type="dxa"/>
            <w:gridSpan w:val="3"/>
            <w:tcBorders>
              <w:top w:val="single" w:sz="12" w:space="0" w:color="auto"/>
            </w:tcBorders>
            <w:shd w:val="clear" w:color="auto" w:fill="auto"/>
          </w:tcPr>
          <w:p w14:paraId="65A8BBE0" w14:textId="59EB1220" w:rsidR="0083697E" w:rsidRPr="00E52B5F" w:rsidRDefault="0083697E" w:rsidP="0083697E">
            <w:pPr>
              <w:pStyle w:val="TblFigFootnote"/>
              <w:numPr>
                <w:ilvl w:val="0"/>
                <w:numId w:val="39"/>
              </w:numPr>
              <w:rPr>
                <w:lang w:val="en-AU"/>
              </w:rPr>
            </w:pPr>
            <w:r w:rsidRPr="00E52B5F">
              <w:rPr>
                <w:lang w:val="en-AU"/>
              </w:rPr>
              <w:t>Rash was defined by the following grouped preferred terms: rash, rash maculo-papular, rash macular, occurring within 14 days post dose.</w:t>
            </w:r>
          </w:p>
          <w:p w14:paraId="153C5DD0" w14:textId="2508A113" w:rsidR="0083697E" w:rsidRPr="00E52B5F" w:rsidRDefault="0083697E" w:rsidP="0083697E">
            <w:pPr>
              <w:pStyle w:val="TblFigFootnote"/>
              <w:numPr>
                <w:ilvl w:val="0"/>
                <w:numId w:val="39"/>
              </w:numPr>
              <w:rPr>
                <w:lang w:val="en-AU"/>
              </w:rPr>
            </w:pPr>
            <w:r w:rsidRPr="00E52B5F">
              <w:rPr>
                <w:lang w:val="en-AU"/>
              </w:rPr>
              <w:t xml:space="preserve">Injection site reaction was defined by the following grouped preferred terms: injection site reaction, injection site pain, injection site induration, injection site oedema, injection site swelling, occurring within 7 days post dose. </w:t>
            </w:r>
          </w:p>
          <w:p w14:paraId="261A4C0E" w14:textId="524347DB" w:rsidR="0083697E" w:rsidRPr="00E52B5F" w:rsidRDefault="0083697E" w:rsidP="0083697E">
            <w:pPr>
              <w:pStyle w:val="TblFigFootnote"/>
              <w:numPr>
                <w:ilvl w:val="0"/>
                <w:numId w:val="39"/>
              </w:numPr>
              <w:rPr>
                <w:lang w:val="en-AU"/>
              </w:rPr>
            </w:pPr>
            <w:r w:rsidRPr="00E52B5F">
              <w:rPr>
                <w:lang w:val="en-AU"/>
              </w:rPr>
              <w:t>Pyrexia occurring within 7 days post dose.</w:t>
            </w:r>
          </w:p>
        </w:tc>
      </w:tr>
    </w:tbl>
    <w:p w14:paraId="419B4620" w14:textId="58430C9E" w:rsidR="00F93DCB" w:rsidRPr="00E52B5F" w:rsidRDefault="00F93DCB" w:rsidP="00FE63B8">
      <w:pPr>
        <w:pStyle w:val="Heading3"/>
        <w:numPr>
          <w:ilvl w:val="0"/>
          <w:numId w:val="0"/>
        </w:numPr>
        <w:ind w:left="680" w:hanging="680"/>
        <w:rPr>
          <w:lang w:val="en-AU"/>
        </w:rPr>
      </w:pPr>
      <w:r w:rsidRPr="00E52B5F">
        <w:rPr>
          <w:lang w:val="en-AU"/>
        </w:rPr>
        <w:t>Infants and children vulnerable to severe RSV disease</w:t>
      </w:r>
    </w:p>
    <w:p w14:paraId="75008358" w14:textId="77777777" w:rsidR="00B570F3" w:rsidRPr="00E52B5F" w:rsidRDefault="00F93DCB" w:rsidP="00FE63B8">
      <w:pPr>
        <w:rPr>
          <w:lang w:val="en-AU"/>
        </w:rPr>
      </w:pPr>
      <w:r w:rsidRPr="00E52B5F">
        <w:rPr>
          <w:lang w:val="en-AU"/>
        </w:rPr>
        <w:t>Safety was evaluated in MEDLEY in 918 infants at higher risk for severe RSV disease, including 196 extremely preterm infants (GA &lt;29 weeks) and 306 infants with CLD, or CHD entering their first RSV season, who received nirsevimab (614) or palivizumab (304). The safety profile of nirsevimab in infants who received nirsevimab in their first RSV season was comparable to the palivizumab comparator and consistent with the safety profile of nirsevimab in term and preterm infants GA ≥29 weeks (D5290C00003 and MELODY).</w:t>
      </w:r>
    </w:p>
    <w:p w14:paraId="6EF989C3" w14:textId="2FBBCA78" w:rsidR="00F93DCB" w:rsidRPr="00E52B5F" w:rsidRDefault="00F93DCB" w:rsidP="00FE63B8">
      <w:pPr>
        <w:rPr>
          <w:lang w:val="en-AU"/>
        </w:rPr>
      </w:pPr>
      <w:r w:rsidRPr="00E52B5F">
        <w:rPr>
          <w:lang w:val="en-AU"/>
        </w:rPr>
        <w:t>Safety was evaluated in MEDLEY in 220 children with CLD or CHD who received nirsevimab or palivizumab in their first RSV season and went on to receive nirsevimab entering their second RSV season. The safety profile of nirsevimab in children who received nirsevimab in their first and second RSV season (180) was comparable to that in children who received palivizumab in their first RSV season and then nirsevimab in their second RSV season (40). The safety profile of nirsevimab in these children from both arms was consistent with the safety profile of nirsevimab in term and preterm infants GA ≥29 weeks (D5290C00003 and MELODY) and comparable to children who received palivizumab for both RSV seasons.</w:t>
      </w:r>
      <w:r w:rsidR="0077043A" w:rsidRPr="00E52B5F">
        <w:rPr>
          <w:lang w:val="en-AU"/>
        </w:rPr>
        <w:t xml:space="preserve"> </w:t>
      </w:r>
    </w:p>
    <w:p w14:paraId="7626ECF5" w14:textId="29FA9AD9" w:rsidR="00F93DCB" w:rsidRPr="00E52B5F" w:rsidRDefault="00F93DCB" w:rsidP="00FE63B8">
      <w:pPr>
        <w:rPr>
          <w:lang w:val="en-AU"/>
        </w:rPr>
      </w:pPr>
      <w:r w:rsidRPr="00E52B5F">
        <w:rPr>
          <w:color w:val="auto"/>
          <w:lang w:val="en-AU"/>
        </w:rPr>
        <w:t xml:space="preserve">Safety was also evaluated in MUSIC, an open label, uncontrolled, single dose trial in </w:t>
      </w:r>
      <w:r w:rsidR="00F10985" w:rsidRPr="00E52B5F">
        <w:rPr>
          <w:color w:val="auto"/>
          <w:lang w:val="en-AU"/>
        </w:rPr>
        <w:t>100</w:t>
      </w:r>
      <w:r w:rsidRPr="00E52B5F">
        <w:rPr>
          <w:color w:val="auto"/>
          <w:lang w:val="en-AU"/>
        </w:rPr>
        <w:t xml:space="preserve"> immunocompromised infants and children ≤24 months, who received nirsevimab in their first or second RSV season. This included subjects with at least one of the following conditions: immunodeficiency (combined, antibody, or other </w:t>
      </w:r>
      <w:r w:rsidR="00DB30AC" w:rsidRPr="00E52B5F">
        <w:rPr>
          <w:color w:val="auto"/>
          <w:lang w:val="en-AU"/>
        </w:rPr>
        <w:t>aetiology</w:t>
      </w:r>
      <w:r w:rsidRPr="00E52B5F">
        <w:rPr>
          <w:color w:val="auto"/>
          <w:lang w:val="en-AU"/>
        </w:rPr>
        <w:t>) (</w:t>
      </w:r>
      <w:r w:rsidR="00F10985" w:rsidRPr="00E52B5F">
        <w:rPr>
          <w:color w:val="auto"/>
          <w:lang w:val="en-AU"/>
        </w:rPr>
        <w:t>33</w:t>
      </w:r>
      <w:r w:rsidRPr="00E52B5F">
        <w:rPr>
          <w:color w:val="auto"/>
          <w:lang w:val="en-AU"/>
        </w:rPr>
        <w:t>); systemic high-dose corticosteroid therapy (</w:t>
      </w:r>
      <w:r w:rsidR="00F10985" w:rsidRPr="00E52B5F">
        <w:rPr>
          <w:color w:val="auto"/>
          <w:lang w:val="en-AU"/>
        </w:rPr>
        <w:t>29</w:t>
      </w:r>
      <w:r w:rsidRPr="00E52B5F">
        <w:rPr>
          <w:color w:val="auto"/>
          <w:lang w:val="en-AU"/>
        </w:rPr>
        <w:t>); organ or bone marrow transplantation (</w:t>
      </w:r>
      <w:r w:rsidR="00F10985" w:rsidRPr="00E52B5F">
        <w:rPr>
          <w:color w:val="auto"/>
          <w:lang w:val="en-AU"/>
        </w:rPr>
        <w:t>16</w:t>
      </w:r>
      <w:r w:rsidRPr="00E52B5F">
        <w:rPr>
          <w:color w:val="auto"/>
          <w:lang w:val="en-AU"/>
        </w:rPr>
        <w:t>); receiving immunosuppressive chemotherapy (</w:t>
      </w:r>
      <w:r w:rsidR="00F10985" w:rsidRPr="00E52B5F">
        <w:rPr>
          <w:color w:val="auto"/>
          <w:lang w:val="en-AU"/>
        </w:rPr>
        <w:t>20</w:t>
      </w:r>
      <w:r w:rsidRPr="00E52B5F">
        <w:rPr>
          <w:color w:val="auto"/>
          <w:lang w:val="en-AU"/>
        </w:rPr>
        <w:t>); other immunosuppressive therapy (</w:t>
      </w:r>
      <w:r w:rsidR="00F10985" w:rsidRPr="00E52B5F">
        <w:rPr>
          <w:color w:val="auto"/>
          <w:lang w:val="en-AU"/>
        </w:rPr>
        <w:t>15</w:t>
      </w:r>
      <w:r w:rsidRPr="00E52B5F">
        <w:rPr>
          <w:color w:val="auto"/>
          <w:lang w:val="en-AU"/>
        </w:rPr>
        <w:t>), and HIV infection (</w:t>
      </w:r>
      <w:r w:rsidR="00F10985" w:rsidRPr="00E52B5F">
        <w:rPr>
          <w:color w:val="auto"/>
          <w:lang w:val="en-AU"/>
        </w:rPr>
        <w:t>8</w:t>
      </w:r>
      <w:r w:rsidRPr="00E52B5F">
        <w:rPr>
          <w:color w:val="auto"/>
          <w:lang w:val="en-AU"/>
        </w:rPr>
        <w:t>). The safety profile of nirsevimab</w:t>
      </w:r>
      <w:r w:rsidR="00F10985" w:rsidRPr="00E52B5F">
        <w:rPr>
          <w:color w:val="auto"/>
          <w:lang w:val="en-AU"/>
        </w:rPr>
        <w:t xml:space="preserve"> administered in the first or second RSV season</w:t>
      </w:r>
      <w:r w:rsidRPr="00E52B5F">
        <w:rPr>
          <w:color w:val="auto"/>
          <w:lang w:val="en-AU"/>
        </w:rPr>
        <w:t xml:space="preserve"> was consistent with that expected for a population of immunocompromised children and with the safety profil</w:t>
      </w:r>
      <w:r w:rsidRPr="00E52B5F">
        <w:rPr>
          <w:lang w:val="en-AU"/>
        </w:rPr>
        <w:t>e of nirsevimab in term and preterm infants GA ≥29 weeks (D5290C00003 and MELODY).</w:t>
      </w:r>
      <w:r w:rsidR="0077043A" w:rsidRPr="00E52B5F">
        <w:rPr>
          <w:lang w:val="en-AU"/>
        </w:rPr>
        <w:t xml:space="preserve"> </w:t>
      </w:r>
    </w:p>
    <w:p w14:paraId="5972E90F" w14:textId="592D2EC5" w:rsidR="001D3AF3" w:rsidRPr="00E52B5F" w:rsidRDefault="001D3AF3" w:rsidP="00FE63B8">
      <w:pPr>
        <w:pStyle w:val="Heading3"/>
        <w:numPr>
          <w:ilvl w:val="0"/>
          <w:numId w:val="0"/>
        </w:numPr>
        <w:ind w:left="680" w:hanging="680"/>
        <w:rPr>
          <w:lang w:val="en-AU"/>
        </w:rPr>
      </w:pPr>
      <w:r w:rsidRPr="00E52B5F">
        <w:rPr>
          <w:lang w:val="en-AU"/>
        </w:rPr>
        <w:t>Post</w:t>
      </w:r>
      <w:r w:rsidR="00986EEB" w:rsidRPr="00E52B5F">
        <w:rPr>
          <w:lang w:val="en-AU"/>
        </w:rPr>
        <w:t>-</w:t>
      </w:r>
      <w:r w:rsidRPr="00E52B5F">
        <w:rPr>
          <w:lang w:val="en-AU"/>
        </w:rPr>
        <w:t xml:space="preserve">marketing </w:t>
      </w:r>
      <w:r w:rsidR="00B14C54" w:rsidRPr="00E52B5F">
        <w:rPr>
          <w:lang w:val="en-AU"/>
        </w:rPr>
        <w:t>experience</w:t>
      </w:r>
    </w:p>
    <w:p w14:paraId="2863B8BF" w14:textId="094E1CF6" w:rsidR="001D3AF3" w:rsidRPr="00E52B5F" w:rsidRDefault="00F93DCB" w:rsidP="00FE63B8">
      <w:pPr>
        <w:rPr>
          <w:lang w:val="en-AU"/>
        </w:rPr>
      </w:pPr>
      <w:r w:rsidRPr="00E52B5F">
        <w:rPr>
          <w:lang w:val="en-AU"/>
        </w:rPr>
        <w:t>Not applicable.</w:t>
      </w:r>
    </w:p>
    <w:p w14:paraId="0737E7BD" w14:textId="77777777" w:rsidR="00DF3302" w:rsidRPr="00E52B5F" w:rsidRDefault="00DF3302" w:rsidP="00FE63B8">
      <w:pPr>
        <w:pStyle w:val="Heading3"/>
        <w:numPr>
          <w:ilvl w:val="0"/>
          <w:numId w:val="0"/>
        </w:numPr>
        <w:ind w:left="680" w:hanging="680"/>
        <w:rPr>
          <w:lang w:val="en-AU"/>
        </w:rPr>
      </w:pPr>
      <w:r w:rsidRPr="00E52B5F">
        <w:rPr>
          <w:lang w:val="en-AU"/>
        </w:rPr>
        <w:t xml:space="preserve">Reporting suspected adverse </w:t>
      </w:r>
      <w:r w:rsidR="002803FC" w:rsidRPr="00E52B5F">
        <w:rPr>
          <w:lang w:val="en-AU"/>
        </w:rPr>
        <w:t>effects</w:t>
      </w:r>
    </w:p>
    <w:p w14:paraId="00C61698" w14:textId="77777777" w:rsidR="001D3AF3" w:rsidRPr="00E52B5F" w:rsidRDefault="00DF3302" w:rsidP="00FE63B8">
      <w:pPr>
        <w:rPr>
          <w:lang w:val="en-AU"/>
        </w:rPr>
      </w:pPr>
      <w:r w:rsidRPr="00E52B5F">
        <w:rPr>
          <w:lang w:val="en-AU"/>
        </w:rPr>
        <w:t xml:space="preserve">Reporting suspected adverse reactions after registration of the medicinal product is important. It allows continued monitoring of the benefit-risk balance of the medicinal product. Healthcare </w:t>
      </w:r>
      <w:r w:rsidRPr="00E52B5F">
        <w:rPr>
          <w:lang w:val="en-AU"/>
        </w:rPr>
        <w:lastRenderedPageBreak/>
        <w:t xml:space="preserve">professionals are asked to report any suspected adverse reactions at </w:t>
      </w:r>
      <w:r w:rsidR="00F06F31" w:rsidRPr="00E52B5F">
        <w:rPr>
          <w:lang w:val="en-AU"/>
        </w:rPr>
        <w:t>www.tga.gov.au/reporting-problems</w:t>
      </w:r>
      <w:r w:rsidRPr="00E52B5F">
        <w:rPr>
          <w:lang w:val="en-AU"/>
        </w:rPr>
        <w:t>.</w:t>
      </w:r>
    </w:p>
    <w:p w14:paraId="4A5D87AE" w14:textId="77777777" w:rsidR="001A3992" w:rsidRPr="00E52B5F" w:rsidRDefault="001A3992" w:rsidP="00FE63B8">
      <w:pPr>
        <w:pStyle w:val="Heading2"/>
        <w:rPr>
          <w:lang w:val="en-AU"/>
        </w:rPr>
      </w:pPr>
      <w:r w:rsidRPr="00E52B5F">
        <w:rPr>
          <w:lang w:val="en-AU"/>
        </w:rPr>
        <w:t>Overdose</w:t>
      </w:r>
    </w:p>
    <w:p w14:paraId="2D3C4C88" w14:textId="77777777" w:rsidR="0038623B" w:rsidRPr="00E52B5F" w:rsidRDefault="0038623B" w:rsidP="00FE63B8">
      <w:pPr>
        <w:rPr>
          <w:lang w:val="en-AU"/>
        </w:rPr>
      </w:pPr>
      <w:r w:rsidRPr="00E52B5F">
        <w:rPr>
          <w:lang w:val="en-AU"/>
        </w:rPr>
        <w:t>There is very limited experience of overdose with nirsevimab.</w:t>
      </w:r>
    </w:p>
    <w:p w14:paraId="7D50DA2A" w14:textId="1F47E75C" w:rsidR="0038623B" w:rsidRPr="00E52B5F" w:rsidRDefault="0038623B" w:rsidP="00FE63B8">
      <w:pPr>
        <w:rPr>
          <w:lang w:val="en-AU"/>
        </w:rPr>
      </w:pPr>
      <w:r w:rsidRPr="00E52B5F">
        <w:rPr>
          <w:lang w:val="en-AU"/>
        </w:rPr>
        <w:t>There is no specific treatment for an overdose with nirsevimab. In the event of an overdose, the individual should be monitored for the occurrence of adverse reactions and provided with symptomatic treatment as appropriate.</w:t>
      </w:r>
    </w:p>
    <w:p w14:paraId="22A6F32D" w14:textId="60764B02" w:rsidR="00D87298" w:rsidRPr="00E52B5F" w:rsidRDefault="00D87298" w:rsidP="00FE63B8">
      <w:pPr>
        <w:rPr>
          <w:lang w:val="en-AU"/>
        </w:rPr>
      </w:pPr>
      <w:r w:rsidRPr="00E52B5F">
        <w:rPr>
          <w:lang w:val="en-AU"/>
        </w:rPr>
        <w:t>For information on the management of overdose, contact the Poison Information Centre on 131126 (Australia).</w:t>
      </w:r>
    </w:p>
    <w:p w14:paraId="79CBC855" w14:textId="77777777" w:rsidR="001A3992" w:rsidRPr="00E52B5F" w:rsidRDefault="001A3992" w:rsidP="00FE63B8">
      <w:pPr>
        <w:pStyle w:val="Heading1"/>
        <w:pageBreakBefore w:val="0"/>
        <w:rPr>
          <w:lang w:val="en-AU"/>
        </w:rPr>
      </w:pPr>
      <w:r w:rsidRPr="00E52B5F">
        <w:rPr>
          <w:lang w:val="en-AU"/>
        </w:rPr>
        <w:t>Pharmacological properties</w:t>
      </w:r>
    </w:p>
    <w:p w14:paraId="19D14D8E" w14:textId="77777777" w:rsidR="001A3992" w:rsidRPr="00E52B5F" w:rsidRDefault="007403BD" w:rsidP="00FE63B8">
      <w:pPr>
        <w:pStyle w:val="Heading2"/>
        <w:rPr>
          <w:lang w:val="en-AU"/>
        </w:rPr>
      </w:pPr>
      <w:bookmarkStart w:id="17" w:name="_Ref145513942"/>
      <w:r w:rsidRPr="00E52B5F">
        <w:rPr>
          <w:lang w:val="en-AU"/>
        </w:rPr>
        <w:t>Pharmacodynamic properties</w:t>
      </w:r>
      <w:bookmarkEnd w:id="17"/>
    </w:p>
    <w:p w14:paraId="442D6991" w14:textId="4F030FA3" w:rsidR="001A3992" w:rsidRPr="00E52B5F" w:rsidRDefault="001A3992" w:rsidP="00FE63B8">
      <w:pPr>
        <w:pStyle w:val="Heading3"/>
        <w:numPr>
          <w:ilvl w:val="0"/>
          <w:numId w:val="0"/>
        </w:numPr>
        <w:rPr>
          <w:lang w:val="en-AU"/>
        </w:rPr>
      </w:pPr>
      <w:r w:rsidRPr="00E52B5F">
        <w:rPr>
          <w:lang w:val="en-AU"/>
        </w:rPr>
        <w:t>Mechanism of action</w:t>
      </w:r>
    </w:p>
    <w:p w14:paraId="2CED7D41" w14:textId="78C88EF1" w:rsidR="0038623B" w:rsidRPr="00E52B5F" w:rsidRDefault="0038623B" w:rsidP="00FE63B8">
      <w:pPr>
        <w:rPr>
          <w:lang w:val="en-AU"/>
        </w:rPr>
      </w:pPr>
      <w:r w:rsidRPr="00E52B5F">
        <w:rPr>
          <w:lang w:val="en-AU"/>
        </w:rPr>
        <w:t>Nirsevimab is a recombinant neutralising human IgG1ĸ long-acting monoclonal antibody to the prefusion conformation of the RSV F protein which has been modified with a triple amino acid substitution (YTE) in the Fc region to extend serum half</w:t>
      </w:r>
      <w:r w:rsidRPr="00E52B5F">
        <w:rPr>
          <w:lang w:val="en-AU"/>
        </w:rPr>
        <w:noBreakHyphen/>
        <w:t>life. Nirsevimab binds to a highly conserved epitope in antigenic site Ø on the prefusion protein with dissociation constants KD = 0.12 nM and KD = 1.22 nM for RSV subtype A and B strains, respectively. Nirsevimab inhibits the essential membrane fusion step in the viral entry process, neutralising the virus and blocking cell</w:t>
      </w:r>
      <w:r w:rsidRPr="00E52B5F">
        <w:rPr>
          <w:lang w:val="en-AU"/>
        </w:rPr>
        <w:noBreakHyphen/>
        <w:t>to</w:t>
      </w:r>
      <w:r w:rsidRPr="00E52B5F">
        <w:rPr>
          <w:lang w:val="en-AU"/>
        </w:rPr>
        <w:noBreakHyphen/>
        <w:t>cell fusion.</w:t>
      </w:r>
    </w:p>
    <w:p w14:paraId="2DEAF5F7" w14:textId="4120A3CB" w:rsidR="0038623B" w:rsidRPr="00E52B5F" w:rsidRDefault="0038623B" w:rsidP="00FE63B8">
      <w:pPr>
        <w:rPr>
          <w:lang w:val="en-AU"/>
        </w:rPr>
      </w:pPr>
      <w:r w:rsidRPr="00E52B5F">
        <w:rPr>
          <w:lang w:val="en-AU"/>
        </w:rPr>
        <w:t>The potential for rapid protection was evaluated in a cotton rat model of RSV infection using a non</w:t>
      </w:r>
      <w:r w:rsidRPr="00E52B5F">
        <w:rPr>
          <w:lang w:val="en-AU"/>
        </w:rPr>
        <w:noBreakHyphen/>
        <w:t>YTE version of nirsevimab (IG7). Intramuscular administration 1 day prior to inoculation with RSV A or B provided complete protection from viral replication in the upper and lower respiratory tracts.</w:t>
      </w:r>
    </w:p>
    <w:p w14:paraId="1428C849" w14:textId="18F814CF" w:rsidR="00694929" w:rsidRPr="00E52B5F" w:rsidRDefault="00694929" w:rsidP="00FE63B8">
      <w:pPr>
        <w:pStyle w:val="Heading3"/>
        <w:numPr>
          <w:ilvl w:val="0"/>
          <w:numId w:val="0"/>
        </w:numPr>
        <w:ind w:left="680" w:hanging="680"/>
        <w:rPr>
          <w:lang w:val="en-AU"/>
        </w:rPr>
      </w:pPr>
      <w:r w:rsidRPr="00E52B5F">
        <w:rPr>
          <w:lang w:val="en-AU"/>
        </w:rPr>
        <w:t>Pharmacodynamic effects</w:t>
      </w:r>
    </w:p>
    <w:p w14:paraId="7B9867C6" w14:textId="77777777" w:rsidR="00694929" w:rsidRPr="00E52B5F" w:rsidRDefault="00694929" w:rsidP="00FE63B8">
      <w:pPr>
        <w:pStyle w:val="Heading4"/>
        <w:numPr>
          <w:ilvl w:val="0"/>
          <w:numId w:val="0"/>
        </w:numPr>
        <w:ind w:left="862" w:hanging="862"/>
        <w:rPr>
          <w:lang w:val="en-AU"/>
        </w:rPr>
      </w:pPr>
      <w:r w:rsidRPr="00E52B5F">
        <w:rPr>
          <w:lang w:val="en-AU"/>
        </w:rPr>
        <w:t>Antiviral activity</w:t>
      </w:r>
    </w:p>
    <w:p w14:paraId="20D2165E" w14:textId="1C38807C" w:rsidR="00694929" w:rsidRPr="00E52B5F" w:rsidRDefault="00694929" w:rsidP="00FE63B8">
      <w:pPr>
        <w:rPr>
          <w:lang w:val="en-AU"/>
        </w:rPr>
      </w:pPr>
      <w:r w:rsidRPr="00E52B5F">
        <w:rPr>
          <w:lang w:val="en-AU"/>
        </w:rPr>
        <w:t xml:space="preserve">The </w:t>
      </w:r>
      <w:bookmarkStart w:id="18" w:name="_Hlk88160989"/>
      <w:r w:rsidRPr="00E52B5F">
        <w:rPr>
          <w:lang w:val="en-AU"/>
        </w:rPr>
        <w:t>cell culture neutralisation activity of nirsevimab against RSV was measured in a dose</w:t>
      </w:r>
      <w:r w:rsidRPr="00E52B5F">
        <w:rPr>
          <w:lang w:val="en-AU"/>
        </w:rPr>
        <w:noBreakHyphen/>
        <w:t>response model using cultured Hep</w:t>
      </w:r>
      <w:r w:rsidRPr="00E52B5F">
        <w:rPr>
          <w:lang w:val="en-AU"/>
        </w:rPr>
        <w:noBreakHyphen/>
        <w:t>2 cells. Nirsevimab neutralised RSV A and RSV B isolates with median EC50 values of 3.2 ng/mL (range 0.48 to 15 ng/mL) and 2.9 ng/mL (range 0.3 to 59.7 ng/mL), respectively. The clinical RSV isolates (70 RSV A and 49 RSV B) were collected between 2003 and 2017 from subjects across the United States, Australia, Netherlands, Italy, China and Israel and encoded the most common RSV F sequence polymorphisms found among circulating strains.</w:t>
      </w:r>
      <w:bookmarkEnd w:id="18"/>
    </w:p>
    <w:p w14:paraId="36B0CE5E" w14:textId="3EA5D171" w:rsidR="00694929" w:rsidRPr="00E52B5F" w:rsidRDefault="00694929" w:rsidP="00FE63B8">
      <w:pPr>
        <w:rPr>
          <w:lang w:val="en-AU"/>
        </w:rPr>
      </w:pPr>
      <w:r w:rsidRPr="00E52B5F">
        <w:rPr>
          <w:lang w:val="en-AU"/>
        </w:rPr>
        <w:t>Nirsevimab demonstrated in vitro binding to immobilised human FcγRs (FcγRI, FcγRIIA, FcγRIIB, and FcγRIII) and equivalent neutralising activity compared to parental monoclonal antibodies, IG7 and IG7</w:t>
      </w:r>
      <w:r w:rsidRPr="00E52B5F">
        <w:rPr>
          <w:lang w:val="en-AU"/>
        </w:rPr>
        <w:noBreakHyphen/>
        <w:t xml:space="preserve">TM (Fc region modified to reduce FcR binding and effector function). In a cotton rat </w:t>
      </w:r>
      <w:r w:rsidRPr="00E52B5F">
        <w:rPr>
          <w:lang w:val="en-AU"/>
        </w:rPr>
        <w:lastRenderedPageBreak/>
        <w:t>model of RSV infection, IG7 and IG7</w:t>
      </w:r>
      <w:r w:rsidRPr="00E52B5F">
        <w:rPr>
          <w:lang w:val="en-AU"/>
        </w:rPr>
        <w:noBreakHyphen/>
        <w:t>TM exhibited comparable dose</w:t>
      </w:r>
      <w:r w:rsidRPr="00E52B5F">
        <w:rPr>
          <w:lang w:val="en-AU"/>
        </w:rPr>
        <w:noBreakHyphen/>
        <w:t>dependent reduction in RSV replication in the lungs and nasal turbinates, strongly suggesting that protection from RSV infection is dependent on nirsevimab neutralisation activity rather than Fc</w:t>
      </w:r>
      <w:r w:rsidRPr="00E52B5F">
        <w:rPr>
          <w:lang w:val="en-AU"/>
        </w:rPr>
        <w:noBreakHyphen/>
        <w:t>mediated effector function.</w:t>
      </w:r>
    </w:p>
    <w:p w14:paraId="354A53FA" w14:textId="77777777" w:rsidR="00694929" w:rsidRPr="00E52B5F" w:rsidRDefault="00694929" w:rsidP="00FE63B8">
      <w:pPr>
        <w:pStyle w:val="Heading4"/>
        <w:numPr>
          <w:ilvl w:val="0"/>
          <w:numId w:val="0"/>
        </w:numPr>
        <w:ind w:left="862" w:hanging="862"/>
        <w:rPr>
          <w:lang w:val="en-AU"/>
        </w:rPr>
      </w:pPr>
      <w:r w:rsidRPr="00E52B5F">
        <w:rPr>
          <w:lang w:val="en-AU"/>
        </w:rPr>
        <w:t>Antiviral resistance</w:t>
      </w:r>
    </w:p>
    <w:p w14:paraId="7F845F87" w14:textId="7A609EF5" w:rsidR="00694929" w:rsidRPr="00E52B5F" w:rsidRDefault="00694929" w:rsidP="00FE63B8">
      <w:pPr>
        <w:pStyle w:val="Heading5"/>
        <w:numPr>
          <w:ilvl w:val="0"/>
          <w:numId w:val="0"/>
        </w:numPr>
        <w:ind w:left="1009" w:hanging="1009"/>
        <w:rPr>
          <w:lang w:val="en-AU"/>
        </w:rPr>
      </w:pPr>
      <w:r w:rsidRPr="00E52B5F">
        <w:rPr>
          <w:lang w:val="en-AU"/>
        </w:rPr>
        <w:t>In cell culture</w:t>
      </w:r>
    </w:p>
    <w:p w14:paraId="1451C9B6" w14:textId="7A33894B" w:rsidR="00694929" w:rsidRPr="00E52B5F" w:rsidRDefault="00694929" w:rsidP="00FE63B8">
      <w:pPr>
        <w:rPr>
          <w:lang w:val="en-AU"/>
        </w:rPr>
      </w:pPr>
      <w:r w:rsidRPr="00E52B5F">
        <w:rPr>
          <w:lang w:val="en-AU"/>
        </w:rPr>
        <w:t>Escape variants were selected following three passages in cell culture of RSV A2 and B9320 strains in the presence of nirsevimab. Recombinant RSV A variants that showed reduced susceptibility to nirsevimab included those with identified substitutions N67I:N208Y (103</w:t>
      </w:r>
      <w:r w:rsidRPr="00E52B5F">
        <w:rPr>
          <w:lang w:val="en-AU"/>
        </w:rPr>
        <w:noBreakHyphen/>
        <w:t>fold as compared to reference). Recombinant RSV B variants that showed reduced susceptibility to nirsevimab included those with identified substitutions N208D (&gt;90,000</w:t>
      </w:r>
      <w:r w:rsidRPr="00E52B5F">
        <w:rPr>
          <w:lang w:val="en-AU"/>
        </w:rPr>
        <w:noBreakHyphen/>
        <w:t>fold), N208S (&gt;24,000</w:t>
      </w:r>
      <w:r w:rsidRPr="00E52B5F">
        <w:rPr>
          <w:lang w:val="en-AU"/>
        </w:rPr>
        <w:noBreakHyphen/>
        <w:t>fold), K68N:N201S (&gt;13,000</w:t>
      </w:r>
      <w:r w:rsidRPr="00E52B5F">
        <w:rPr>
          <w:lang w:val="en-AU"/>
        </w:rPr>
        <w:noBreakHyphen/>
        <w:t>fold), or K68N:N208S (&gt;90,000</w:t>
      </w:r>
      <w:r w:rsidRPr="00E52B5F">
        <w:rPr>
          <w:lang w:val="en-AU"/>
        </w:rPr>
        <w:noBreakHyphen/>
        <w:t>fold). All resistance</w:t>
      </w:r>
      <w:r w:rsidRPr="00E52B5F">
        <w:rPr>
          <w:lang w:val="en-AU"/>
        </w:rPr>
        <w:noBreakHyphen/>
        <w:t>associated substitutions identified among neutralisation escape variants were located in the nirsevimab binding site (amino acids 62</w:t>
      </w:r>
      <w:r w:rsidRPr="00E52B5F">
        <w:rPr>
          <w:lang w:val="en-AU"/>
        </w:rPr>
        <w:noBreakHyphen/>
        <w:t>69 and 196</w:t>
      </w:r>
      <w:r w:rsidRPr="00E52B5F">
        <w:rPr>
          <w:lang w:val="en-AU"/>
        </w:rPr>
        <w:noBreakHyphen/>
        <w:t xml:space="preserve">212) and were shown to reduce binding affinity to RSV F protein. </w:t>
      </w:r>
    </w:p>
    <w:p w14:paraId="20B414C6" w14:textId="67BF2512" w:rsidR="00694929" w:rsidRPr="00E52B5F" w:rsidRDefault="00694929" w:rsidP="00FE63B8">
      <w:pPr>
        <w:pStyle w:val="Heading5"/>
        <w:numPr>
          <w:ilvl w:val="0"/>
          <w:numId w:val="0"/>
        </w:numPr>
        <w:ind w:left="1009" w:hanging="1009"/>
        <w:rPr>
          <w:lang w:val="en-AU"/>
        </w:rPr>
      </w:pPr>
      <w:r w:rsidRPr="00E52B5F">
        <w:rPr>
          <w:lang w:val="en-AU"/>
        </w:rPr>
        <w:t>In surveillance trials</w:t>
      </w:r>
    </w:p>
    <w:p w14:paraId="02305B3C" w14:textId="06F3D2E4" w:rsidR="00694929" w:rsidRPr="00E52B5F" w:rsidRDefault="00694929" w:rsidP="00FE63B8">
      <w:pPr>
        <w:rPr>
          <w:lang w:val="en-AU"/>
        </w:rPr>
      </w:pPr>
      <w:r w:rsidRPr="00E52B5F">
        <w:rPr>
          <w:lang w:val="en-AU"/>
        </w:rPr>
        <w:t>In prospective, observational, global molecular epidemiology studies (OUTSMART</w:t>
      </w:r>
      <w:r w:rsidRPr="00E52B5F">
        <w:rPr>
          <w:lang w:val="en-AU"/>
        </w:rPr>
        <w:noBreakHyphen/>
        <w:t>RSV and INFORM</w:t>
      </w:r>
      <w:r w:rsidRPr="00E52B5F">
        <w:rPr>
          <w:lang w:val="en-AU"/>
        </w:rPr>
        <w:noBreakHyphen/>
        <w:t>RSV) genetic diversity of RSV F protein sequences has remained low (most amino acids in both RSV A and RSV B &gt;99% conserved) and prevalence of variants harbouring nirsevimab resistance</w:t>
      </w:r>
      <w:r w:rsidRPr="00E52B5F">
        <w:rPr>
          <w:lang w:val="en-AU"/>
        </w:rPr>
        <w:noBreakHyphen/>
        <w:t>associated substitutions has been rare (&lt;1%). Since 2015, most amino acid residues in the nirsevimab binding site have remained highly conserved (&gt;99%) at all positions in RSV A and 22 of the 25 positions in RSV B. Co-occurring mutations I206M:Q209R in the binding site that have become prevalent in RSV B since 2017 retain full susceptibility to nirsevimab (I206M:Q209R, 0.23</w:t>
      </w:r>
      <w:r w:rsidRPr="00E52B5F">
        <w:rPr>
          <w:lang w:val="en-AU"/>
        </w:rPr>
        <w:noBreakHyphen/>
        <w:t>fold change). The S211N substitution which has expanded in prevalence also retains susceptibility to nirsevimab, both individually (1.2</w:t>
      </w:r>
      <w:r w:rsidRPr="00E52B5F">
        <w:rPr>
          <w:lang w:val="en-AU"/>
        </w:rPr>
        <w:noBreakHyphen/>
        <w:t>fold change) and as co-occurring substitutions (I206M:Q209R:S211N, 0.5-fold change).</w:t>
      </w:r>
    </w:p>
    <w:p w14:paraId="1713F86C" w14:textId="2AFE1E59" w:rsidR="000F63CB" w:rsidRPr="00E52B5F" w:rsidRDefault="000F63CB" w:rsidP="00FE63B8">
      <w:pPr>
        <w:pStyle w:val="Heading5"/>
        <w:numPr>
          <w:ilvl w:val="0"/>
          <w:numId w:val="0"/>
        </w:numPr>
        <w:ind w:left="1009" w:hanging="1009"/>
        <w:rPr>
          <w:lang w:val="en-AU"/>
        </w:rPr>
      </w:pPr>
      <w:r w:rsidRPr="00E52B5F">
        <w:rPr>
          <w:lang w:val="en-AU"/>
        </w:rPr>
        <w:t>In clinical trials</w:t>
      </w:r>
    </w:p>
    <w:p w14:paraId="742E093E" w14:textId="422BB33C" w:rsidR="000F63CB" w:rsidRPr="00E52B5F" w:rsidRDefault="000F63CB" w:rsidP="00FE63B8">
      <w:pPr>
        <w:rPr>
          <w:lang w:val="en-AU"/>
        </w:rPr>
      </w:pPr>
      <w:bookmarkStart w:id="19" w:name="_Hlk90894219"/>
      <w:r w:rsidRPr="00E52B5F">
        <w:rPr>
          <w:lang w:val="en-AU"/>
        </w:rPr>
        <w:t>In MELODY, MEDLEY, MUSIC and subjects who received the recommended dose of 50 mg nirsevimab if &lt;5 </w:t>
      </w:r>
      <w:r w:rsidR="00B570F3" w:rsidRPr="00E52B5F">
        <w:rPr>
          <w:lang w:val="en-AU"/>
        </w:rPr>
        <w:t>Kg</w:t>
      </w:r>
      <w:r w:rsidRPr="00E52B5F">
        <w:rPr>
          <w:lang w:val="en-AU"/>
        </w:rPr>
        <w:t xml:space="preserve"> weight in D5290C00003, no subject with medically attended RSV lower respiratory tract infection (MA RSV LRTI) or any RSV case definition had an RSV isolate containing a nirsevimab resistance</w:t>
      </w:r>
      <w:r w:rsidRPr="00E52B5F">
        <w:rPr>
          <w:lang w:val="en-AU"/>
        </w:rPr>
        <w:noBreakHyphen/>
        <w:t>associated substitution in any treatment group.</w:t>
      </w:r>
    </w:p>
    <w:p w14:paraId="252590B4" w14:textId="2187D07A" w:rsidR="000F63CB" w:rsidRPr="00E52B5F" w:rsidRDefault="000F63CB" w:rsidP="00FE63B8">
      <w:pPr>
        <w:rPr>
          <w:lang w:val="en-AU"/>
        </w:rPr>
      </w:pPr>
      <w:r w:rsidRPr="00E52B5F">
        <w:rPr>
          <w:lang w:val="en-AU"/>
        </w:rPr>
        <w:t>In D5290C00003 (subjects who received a single dose of 50 mg nirsevimab), 2 of 40 subjects with RSV infections corresponding to any case definition had a variant containing nirsevimab resistance</w:t>
      </w:r>
      <w:r w:rsidRPr="00E52B5F">
        <w:rPr>
          <w:lang w:val="en-AU"/>
        </w:rPr>
        <w:noBreakHyphen/>
        <w:t xml:space="preserve">associated substitutions. RSV B variants occurred in two subjects receiving below the recommended nirsevimab dose and harboured I64T:K68E:I206M:Q209R co-occurring substitutions or the N208S substitution that showed reduced susceptibility to nirsevimab (IC50 &gt;ULOQ). Resistance associated substitutions were not identified as major variants in any sampling timepoints in MELODY, MEDLEY or MUSIC studies, including post day 361 when nirsevimab </w:t>
      </w:r>
      <w:r w:rsidR="00E52B5F" w:rsidRPr="005F69B2">
        <w:rPr>
          <w:lang w:val="en-AU"/>
        </w:rPr>
        <w:t>titres</w:t>
      </w:r>
      <w:r w:rsidRPr="00E52B5F">
        <w:rPr>
          <w:lang w:val="en-AU"/>
        </w:rPr>
        <w:t xml:space="preserve"> have waned.</w:t>
      </w:r>
    </w:p>
    <w:p w14:paraId="2D2D0290" w14:textId="77777777" w:rsidR="000F63CB" w:rsidRPr="00E52B5F" w:rsidRDefault="000F63CB" w:rsidP="00FE63B8">
      <w:pPr>
        <w:rPr>
          <w:lang w:val="en-AU"/>
        </w:rPr>
      </w:pPr>
      <w:r w:rsidRPr="00E52B5F">
        <w:rPr>
          <w:lang w:val="en-AU"/>
        </w:rPr>
        <w:t xml:space="preserve">Minimal data are available that show that variants resistant to nirsevimab could have cross-resistance to other monoclonal antibodies targeting the F protein of RSV; palivizumab retained full neutralisation potency against resistant associated substitutions identified in D5290C00003. </w:t>
      </w:r>
      <w:r w:rsidRPr="00E52B5F">
        <w:rPr>
          <w:lang w:val="en-AU"/>
        </w:rPr>
        <w:lastRenderedPageBreak/>
        <w:t>Nirsevimab retained activity against recombinant RSV harbouring palivizumab resistance</w:t>
      </w:r>
      <w:r w:rsidRPr="00E52B5F">
        <w:rPr>
          <w:lang w:val="en-AU"/>
        </w:rPr>
        <w:noBreakHyphen/>
        <w:t>associated substitutions identified in molecular epidemiology studies and in neutralisation escape variants of palivizumab.</w:t>
      </w:r>
    </w:p>
    <w:bookmarkEnd w:id="19"/>
    <w:p w14:paraId="742B25D0" w14:textId="71DF0B01" w:rsidR="000F63CB" w:rsidRPr="00E52B5F" w:rsidRDefault="000F63CB" w:rsidP="00FE63B8">
      <w:pPr>
        <w:pStyle w:val="Heading4"/>
        <w:numPr>
          <w:ilvl w:val="0"/>
          <w:numId w:val="0"/>
        </w:numPr>
        <w:ind w:left="862" w:hanging="862"/>
        <w:rPr>
          <w:lang w:val="en-AU"/>
        </w:rPr>
      </w:pPr>
      <w:r w:rsidRPr="00E52B5F">
        <w:rPr>
          <w:lang w:val="en-AU"/>
        </w:rPr>
        <w:t>Pharmacokinetic/pharmacodynamic relationship(s)</w:t>
      </w:r>
      <w:r w:rsidR="009143C1" w:rsidRPr="00E52B5F">
        <w:rPr>
          <w:lang w:val="en-AU"/>
        </w:rPr>
        <w:t xml:space="preserve"> </w:t>
      </w:r>
    </w:p>
    <w:p w14:paraId="36568397" w14:textId="71DD4A6D" w:rsidR="000F63CB" w:rsidRPr="00E52B5F" w:rsidRDefault="000F63CB" w:rsidP="00FE63B8">
      <w:pPr>
        <w:rPr>
          <w:lang w:val="en-AU"/>
        </w:rPr>
      </w:pPr>
      <w:bookmarkStart w:id="20" w:name="_Hlk88161212"/>
      <w:r w:rsidRPr="00E52B5F">
        <w:rPr>
          <w:lang w:val="en-AU"/>
        </w:rPr>
        <w:t xml:space="preserve">In D5290C00003 and MELODY (Primary cohort) </w:t>
      </w:r>
      <w:bookmarkEnd w:id="20"/>
      <w:r w:rsidRPr="00E52B5F">
        <w:rPr>
          <w:lang w:val="en-AU"/>
        </w:rPr>
        <w:t>a positive correlation was observed between a serum AUC (based on clearance at baseline) above 12.8 mg*day/mL and a lower incidence of MA RSV LRTI. The recommended dosing regimen consisting of a 50 mg or 100 mg IM dose for infants in their first RSV season and a 200 mg IM dose for children entering their second RSV season was selected on the basis of these results.</w:t>
      </w:r>
    </w:p>
    <w:p w14:paraId="10009131" w14:textId="14B61AEE" w:rsidR="000F63CB" w:rsidRPr="00E52B5F" w:rsidRDefault="000F63CB" w:rsidP="00FE63B8">
      <w:pPr>
        <w:pStyle w:val="Heading4"/>
        <w:numPr>
          <w:ilvl w:val="0"/>
          <w:numId w:val="0"/>
        </w:numPr>
        <w:ind w:left="862" w:hanging="862"/>
        <w:rPr>
          <w:lang w:val="en-AU"/>
        </w:rPr>
      </w:pPr>
      <w:bookmarkStart w:id="21" w:name="_Hlk85104275"/>
      <w:r w:rsidRPr="00E52B5F">
        <w:rPr>
          <w:lang w:val="en-AU"/>
        </w:rPr>
        <w:t>Immunogenicity</w:t>
      </w:r>
    </w:p>
    <w:p w14:paraId="00CECB03" w14:textId="7B4E810E" w:rsidR="000F63CB" w:rsidRPr="00E52B5F" w:rsidRDefault="000F63CB" w:rsidP="00FE63B8">
      <w:pPr>
        <w:rPr>
          <w:lang w:val="en-AU"/>
        </w:rPr>
      </w:pPr>
      <w:r w:rsidRPr="00E52B5F">
        <w:rPr>
          <w:lang w:val="en-AU"/>
        </w:rPr>
        <w:t>As with all therapeutic proteins, there is potential for immunogenicity. The detection of antibody formation is highly dependent on the sensitivity and specificity of the assay. Additionally, the observed incidence of antibody (including neutralising antibody) positivity in an assay may be influenced by several factors including assay methodology, sample handling, timing of sample collection, concomitant medications, and the paediatric population studied. For these reasons, comparison of the incidence of antibodies to nirsevimab to other products may be misleading.</w:t>
      </w:r>
    </w:p>
    <w:p w14:paraId="184EED23" w14:textId="0837BC3C" w:rsidR="000F63CB" w:rsidRPr="00E52B5F" w:rsidRDefault="000F63CB" w:rsidP="00FE63B8">
      <w:pPr>
        <w:rPr>
          <w:lang w:val="en-AU"/>
        </w:rPr>
      </w:pPr>
      <w:r w:rsidRPr="00E52B5F">
        <w:rPr>
          <w:lang w:val="en-AU"/>
        </w:rPr>
        <w:t xml:space="preserve">In D5290C00003 and </w:t>
      </w:r>
      <w:r w:rsidRPr="00E52B5F">
        <w:rPr>
          <w:color w:val="auto"/>
          <w:lang w:val="en-AU"/>
        </w:rPr>
        <w:t xml:space="preserve">MELODY anti-nirsevimab antibodies were detected in </w:t>
      </w:r>
      <w:r w:rsidR="00F10985" w:rsidRPr="00E52B5F">
        <w:rPr>
          <w:color w:val="auto"/>
          <w:lang w:val="en-AU"/>
        </w:rPr>
        <w:t>148</w:t>
      </w:r>
      <w:r w:rsidRPr="00E52B5F">
        <w:rPr>
          <w:color w:val="auto"/>
          <w:lang w:val="en-AU"/>
        </w:rPr>
        <w:t>/</w:t>
      </w:r>
      <w:r w:rsidR="00F10985" w:rsidRPr="00E52B5F">
        <w:rPr>
          <w:color w:val="auto"/>
          <w:lang w:val="en-AU"/>
        </w:rPr>
        <w:t>2493</w:t>
      </w:r>
      <w:r w:rsidRPr="00E52B5F">
        <w:rPr>
          <w:color w:val="auto"/>
          <w:lang w:val="en-AU"/>
        </w:rPr>
        <w:t> (</w:t>
      </w:r>
      <w:r w:rsidR="00F10985" w:rsidRPr="00E52B5F">
        <w:rPr>
          <w:color w:val="auto"/>
          <w:lang w:val="en-AU"/>
        </w:rPr>
        <w:t>5.9</w:t>
      </w:r>
      <w:r w:rsidRPr="00E52B5F">
        <w:rPr>
          <w:color w:val="auto"/>
          <w:lang w:val="en-AU"/>
        </w:rPr>
        <w:t xml:space="preserve">%) infants who received a single dose of nirsevimab at the recommended dosing regimen during the 361 days post dosing period, and </w:t>
      </w:r>
      <w:r w:rsidR="00F10985" w:rsidRPr="00E52B5F">
        <w:rPr>
          <w:color w:val="auto"/>
          <w:lang w:val="en-AU"/>
        </w:rPr>
        <w:t>110</w:t>
      </w:r>
      <w:r w:rsidRPr="00E52B5F">
        <w:rPr>
          <w:color w:val="auto"/>
          <w:lang w:val="en-AU"/>
        </w:rPr>
        <w:t>/</w:t>
      </w:r>
      <w:r w:rsidR="00F10985" w:rsidRPr="00E52B5F">
        <w:rPr>
          <w:color w:val="auto"/>
          <w:lang w:val="en-AU"/>
        </w:rPr>
        <w:t>2404</w:t>
      </w:r>
      <w:r w:rsidRPr="00E52B5F">
        <w:rPr>
          <w:color w:val="auto"/>
          <w:lang w:val="en-AU"/>
        </w:rPr>
        <w:t xml:space="preserve"> (</w:t>
      </w:r>
      <w:r w:rsidR="00F10985" w:rsidRPr="00E52B5F">
        <w:rPr>
          <w:color w:val="auto"/>
          <w:lang w:val="en-AU"/>
        </w:rPr>
        <w:t>4.6</w:t>
      </w:r>
      <w:r w:rsidRPr="00E52B5F">
        <w:rPr>
          <w:color w:val="auto"/>
          <w:lang w:val="en-AU"/>
        </w:rPr>
        <w:t xml:space="preserve">%) tested positive for anti-drug antibodies (ADA) against the YTE domain. In MELODY </w:t>
      </w:r>
      <w:r w:rsidR="00F10985" w:rsidRPr="00E52B5F">
        <w:rPr>
          <w:color w:val="auto"/>
          <w:lang w:val="en-AU"/>
        </w:rPr>
        <w:t>26</w:t>
      </w:r>
      <w:r w:rsidRPr="00E52B5F">
        <w:rPr>
          <w:color w:val="auto"/>
          <w:lang w:val="en-AU"/>
        </w:rPr>
        <w:t>/</w:t>
      </w:r>
      <w:r w:rsidR="00F10985" w:rsidRPr="00E52B5F">
        <w:rPr>
          <w:color w:val="auto"/>
          <w:lang w:val="en-AU"/>
        </w:rPr>
        <w:t>1877</w:t>
      </w:r>
      <w:r w:rsidRPr="00E52B5F">
        <w:rPr>
          <w:color w:val="auto"/>
          <w:lang w:val="en-AU"/>
        </w:rPr>
        <w:t xml:space="preserve"> (</w:t>
      </w:r>
      <w:r w:rsidR="00F10985" w:rsidRPr="00E52B5F">
        <w:rPr>
          <w:color w:val="auto"/>
          <w:lang w:val="en-AU"/>
        </w:rPr>
        <w:t>1.4</w:t>
      </w:r>
      <w:r w:rsidRPr="00E52B5F">
        <w:rPr>
          <w:color w:val="auto"/>
          <w:lang w:val="en-AU"/>
        </w:rPr>
        <w:t xml:space="preserve">%) of subjects tested positive for nirsevimab neutralising antibodies. For subjects receiving a single dose of nirsevimab in their first RSV season in MEDLEY, anti-nirsevimab antibodies were detected in 32/587 (5.5%) of infants during the 361 days post dosing period. Nirsevimab neutralising antibodies were detected in 2/564 (0.4%) of infants and </w:t>
      </w:r>
      <w:r w:rsidR="00F10985" w:rsidRPr="00E52B5F">
        <w:rPr>
          <w:color w:val="auto"/>
          <w:lang w:val="en-AU"/>
        </w:rPr>
        <w:t>29</w:t>
      </w:r>
      <w:r w:rsidRPr="00E52B5F">
        <w:rPr>
          <w:color w:val="auto"/>
          <w:lang w:val="en-AU"/>
        </w:rPr>
        <w:t>/564 (</w:t>
      </w:r>
      <w:r w:rsidR="00F10985" w:rsidRPr="00E52B5F">
        <w:rPr>
          <w:color w:val="auto"/>
          <w:lang w:val="en-AU"/>
        </w:rPr>
        <w:t>5.1</w:t>
      </w:r>
      <w:r w:rsidRPr="00E52B5F">
        <w:rPr>
          <w:color w:val="auto"/>
          <w:lang w:val="en-AU"/>
        </w:rPr>
        <w:t xml:space="preserve">%) of infants tested positive for ADA against the YTE domain. Of 180 subjects who received nirsevimab in </w:t>
      </w:r>
      <w:r w:rsidR="00F10985" w:rsidRPr="00E52B5F">
        <w:rPr>
          <w:color w:val="auto"/>
          <w:lang w:val="en-AU"/>
        </w:rPr>
        <w:t xml:space="preserve">two consecutive </w:t>
      </w:r>
      <w:r w:rsidRPr="00E52B5F">
        <w:rPr>
          <w:color w:val="auto"/>
          <w:lang w:val="en-AU"/>
        </w:rPr>
        <w:t>RSV season</w:t>
      </w:r>
      <w:r w:rsidR="00505BD4" w:rsidRPr="00E52B5F">
        <w:rPr>
          <w:color w:val="auto"/>
          <w:lang w:val="en-AU"/>
        </w:rPr>
        <w:t>s</w:t>
      </w:r>
      <w:r w:rsidRPr="00E52B5F">
        <w:rPr>
          <w:color w:val="auto"/>
          <w:lang w:val="en-AU"/>
        </w:rPr>
        <w:t xml:space="preserve">, 8 subjects (4.4%) </w:t>
      </w:r>
      <w:r w:rsidR="00505BD4" w:rsidRPr="00E52B5F">
        <w:rPr>
          <w:color w:val="auto"/>
          <w:lang w:val="en-AU"/>
        </w:rPr>
        <w:t xml:space="preserve">and 13 (7.2%) became </w:t>
      </w:r>
      <w:r w:rsidRPr="00E52B5F">
        <w:rPr>
          <w:color w:val="auto"/>
          <w:lang w:val="en-AU"/>
        </w:rPr>
        <w:t xml:space="preserve">ADA positive </w:t>
      </w:r>
      <w:r w:rsidR="00505BD4" w:rsidRPr="00E52B5F">
        <w:rPr>
          <w:color w:val="auto"/>
          <w:lang w:val="en-AU"/>
        </w:rPr>
        <w:t xml:space="preserve">for the first time in the first and second RSV season respectively. Only one subject was ADA positive in both RSV seasons. </w:t>
      </w:r>
      <w:r w:rsidRPr="00E52B5F">
        <w:rPr>
          <w:color w:val="auto"/>
          <w:lang w:val="en-AU"/>
        </w:rPr>
        <w:t xml:space="preserve">In the second RSV season, 8 subjects had anti-YTE ADA and one of the subjects also had neutralising antibodies. For subjects receiving nirsevimab in their first or second RSV season in MUSIC, anti-nirsevimab antibodies were detected in </w:t>
      </w:r>
      <w:r w:rsidR="00505BD4" w:rsidRPr="00E52B5F">
        <w:rPr>
          <w:color w:val="auto"/>
          <w:lang w:val="en-AU"/>
        </w:rPr>
        <w:t>4</w:t>
      </w:r>
      <w:r w:rsidRPr="00E52B5F">
        <w:rPr>
          <w:color w:val="auto"/>
          <w:lang w:val="en-AU"/>
        </w:rPr>
        <w:t>/</w:t>
      </w:r>
      <w:r w:rsidR="00505BD4" w:rsidRPr="00E52B5F">
        <w:rPr>
          <w:color w:val="auto"/>
          <w:lang w:val="en-AU"/>
        </w:rPr>
        <w:t>97</w:t>
      </w:r>
      <w:r w:rsidRPr="00E52B5F">
        <w:rPr>
          <w:color w:val="auto"/>
          <w:lang w:val="en-AU"/>
        </w:rPr>
        <w:t xml:space="preserve"> (</w:t>
      </w:r>
      <w:r w:rsidR="00505BD4" w:rsidRPr="00E52B5F">
        <w:rPr>
          <w:color w:val="auto"/>
          <w:lang w:val="en-AU"/>
        </w:rPr>
        <w:t>4.1</w:t>
      </w:r>
      <w:r w:rsidRPr="00E52B5F">
        <w:rPr>
          <w:color w:val="auto"/>
          <w:lang w:val="en-AU"/>
        </w:rPr>
        <w:t xml:space="preserve">%) of children during the </w:t>
      </w:r>
      <w:r w:rsidR="00505BD4" w:rsidRPr="00E52B5F">
        <w:rPr>
          <w:color w:val="auto"/>
          <w:lang w:val="en-AU"/>
        </w:rPr>
        <w:t>361</w:t>
      </w:r>
      <w:r w:rsidRPr="00E52B5F">
        <w:rPr>
          <w:color w:val="auto"/>
          <w:lang w:val="en-AU"/>
        </w:rPr>
        <w:t> days post dosing period. Nirsevimab neutralising antibodies were detected in 0/</w:t>
      </w:r>
      <w:r w:rsidR="00505BD4" w:rsidRPr="00E52B5F">
        <w:rPr>
          <w:color w:val="auto"/>
          <w:lang w:val="en-AU"/>
        </w:rPr>
        <w:t>97</w:t>
      </w:r>
      <w:r w:rsidRPr="00E52B5F">
        <w:rPr>
          <w:color w:val="auto"/>
          <w:lang w:val="en-AU"/>
        </w:rPr>
        <w:t xml:space="preserve"> (0.0%) of children and </w:t>
      </w:r>
      <w:r w:rsidR="00505BD4" w:rsidRPr="00E52B5F">
        <w:rPr>
          <w:color w:val="auto"/>
          <w:lang w:val="en-AU"/>
        </w:rPr>
        <w:t>4</w:t>
      </w:r>
      <w:r w:rsidRPr="00E52B5F">
        <w:rPr>
          <w:color w:val="auto"/>
          <w:lang w:val="en-AU"/>
        </w:rPr>
        <w:t>/</w:t>
      </w:r>
      <w:r w:rsidR="00505BD4" w:rsidRPr="00E52B5F">
        <w:rPr>
          <w:color w:val="auto"/>
          <w:lang w:val="en-AU"/>
        </w:rPr>
        <w:t>97</w:t>
      </w:r>
      <w:r w:rsidRPr="00E52B5F">
        <w:rPr>
          <w:color w:val="auto"/>
          <w:lang w:val="en-AU"/>
        </w:rPr>
        <w:t xml:space="preserve"> (</w:t>
      </w:r>
      <w:r w:rsidR="00505BD4" w:rsidRPr="00E52B5F">
        <w:rPr>
          <w:color w:val="auto"/>
          <w:lang w:val="en-AU"/>
        </w:rPr>
        <w:t>4.1</w:t>
      </w:r>
      <w:r w:rsidRPr="00E52B5F">
        <w:rPr>
          <w:color w:val="auto"/>
          <w:lang w:val="en-AU"/>
        </w:rPr>
        <w:t xml:space="preserve">%) of children tested positive for ADA against the YTE domain. </w:t>
      </w:r>
    </w:p>
    <w:p w14:paraId="26EC104A" w14:textId="77777777" w:rsidR="000F63CB" w:rsidRPr="00E52B5F" w:rsidRDefault="000F63CB" w:rsidP="00FE63B8">
      <w:pPr>
        <w:rPr>
          <w:lang w:val="en-AU"/>
        </w:rPr>
      </w:pPr>
      <w:r w:rsidRPr="00E52B5F">
        <w:rPr>
          <w:lang w:val="en-AU"/>
        </w:rPr>
        <w:t>The development of ADA against nirsevimab appears to have no clinically relevant effect on its clearance (up to 5 months), efficacy or safety.</w:t>
      </w:r>
    </w:p>
    <w:bookmarkEnd w:id="21"/>
    <w:p w14:paraId="4CEABC31" w14:textId="0508F2E7" w:rsidR="001A3992" w:rsidRPr="00E52B5F" w:rsidRDefault="001A3992" w:rsidP="00FE63B8">
      <w:pPr>
        <w:pStyle w:val="Heading3"/>
        <w:numPr>
          <w:ilvl w:val="0"/>
          <w:numId w:val="0"/>
        </w:numPr>
        <w:rPr>
          <w:lang w:val="en-AU"/>
        </w:rPr>
      </w:pPr>
      <w:r w:rsidRPr="00E52B5F">
        <w:rPr>
          <w:lang w:val="en-AU"/>
        </w:rPr>
        <w:t>Clinical trials</w:t>
      </w:r>
    </w:p>
    <w:p w14:paraId="1F7A42E5" w14:textId="147A3976" w:rsidR="000F63CB" w:rsidRPr="00E52B5F" w:rsidRDefault="000F63CB" w:rsidP="00FE63B8">
      <w:pPr>
        <w:rPr>
          <w:lang w:val="en-AU"/>
        </w:rPr>
      </w:pPr>
      <w:r w:rsidRPr="00E52B5F">
        <w:rPr>
          <w:lang w:val="en-AU"/>
        </w:rPr>
        <w:t>The efficacy and safety of BEYFORTUS were evaluated in two randomised, double</w:t>
      </w:r>
      <w:r w:rsidRPr="00E52B5F">
        <w:rPr>
          <w:lang w:val="en-AU"/>
        </w:rPr>
        <w:noBreakHyphen/>
        <w:t>blind, placebo</w:t>
      </w:r>
      <w:r w:rsidRPr="00E52B5F">
        <w:rPr>
          <w:lang w:val="en-AU"/>
        </w:rPr>
        <w:noBreakHyphen/>
        <w:t xml:space="preserve">controlled multicentre trials (D5290C00003 and MELODY) for the prevention of </w:t>
      </w:r>
      <w:r w:rsidR="00062E05" w:rsidRPr="00E52B5F">
        <w:rPr>
          <w:lang w:val="en-AU"/>
        </w:rPr>
        <w:t xml:space="preserve">MA </w:t>
      </w:r>
      <w:r w:rsidRPr="00E52B5F">
        <w:rPr>
          <w:lang w:val="en-AU"/>
        </w:rPr>
        <w:t xml:space="preserve">RSV LRTI in term and preterm infants (GA ≥29 weeks) entering their first RSV season. Safety and pharmacokinetics (PK) of </w:t>
      </w:r>
      <w:r w:rsidR="00061EC6" w:rsidRPr="00E52B5F">
        <w:rPr>
          <w:lang w:val="en-AU"/>
        </w:rPr>
        <w:t xml:space="preserve">BEYFORTUS </w:t>
      </w:r>
      <w:r w:rsidRPr="00E52B5F">
        <w:rPr>
          <w:lang w:val="en-AU"/>
        </w:rPr>
        <w:t>were also evaluated in a randomised, double</w:t>
      </w:r>
      <w:r w:rsidRPr="00E52B5F">
        <w:rPr>
          <w:lang w:val="en-AU"/>
        </w:rPr>
        <w:noBreakHyphen/>
        <w:t>blind, palivizumab</w:t>
      </w:r>
      <w:r w:rsidRPr="00E52B5F">
        <w:rPr>
          <w:lang w:val="en-AU"/>
        </w:rPr>
        <w:noBreakHyphen/>
        <w:t xml:space="preserve">controlled multicentre trial (MEDLEY) in infants at higher risk for severe RSV disease, including extremely preterm infants (GA &lt;29 weeks) and infants with CLD of prematurity, </w:t>
      </w:r>
      <w:r w:rsidRPr="00E52B5F">
        <w:rPr>
          <w:lang w:val="en-AU"/>
        </w:rPr>
        <w:lastRenderedPageBreak/>
        <w:t>or haemodynamically significant CHD, entering their first RSV season, and children with CLD or CHD entering their second RSV season.</w:t>
      </w:r>
    </w:p>
    <w:p w14:paraId="4FC0F0DF" w14:textId="68F961C2" w:rsidR="00551C6A" w:rsidRPr="005F69B2" w:rsidRDefault="00551C6A" w:rsidP="00551C6A">
      <w:pPr>
        <w:pStyle w:val="Caption"/>
        <w:rPr>
          <w:lang w:val="en-AU"/>
        </w:rPr>
      </w:pPr>
      <w:bookmarkStart w:id="22" w:name="_Ref145515027"/>
      <w:r w:rsidRPr="005F69B2">
        <w:rPr>
          <w:lang w:val="en-AU"/>
        </w:rPr>
        <w:t>Table </w:t>
      </w:r>
      <w:r w:rsidRPr="005F69B2">
        <w:rPr>
          <w:lang w:val="en-AU"/>
        </w:rPr>
        <w:fldChar w:fldCharType="begin"/>
      </w:r>
      <w:r w:rsidRPr="005F69B2">
        <w:rPr>
          <w:lang w:val="en-AU"/>
        </w:rPr>
        <w:instrText xml:space="preserve"> SEQ Table \* ARABIC </w:instrText>
      </w:r>
      <w:r w:rsidRPr="005F69B2">
        <w:rPr>
          <w:lang w:val="en-AU"/>
        </w:rPr>
        <w:fldChar w:fldCharType="separate"/>
      </w:r>
      <w:r w:rsidR="006040F3">
        <w:rPr>
          <w:noProof/>
          <w:lang w:val="en-AU"/>
        </w:rPr>
        <w:t>3</w:t>
      </w:r>
      <w:r w:rsidRPr="005F69B2">
        <w:rPr>
          <w:lang w:val="en-AU"/>
        </w:rPr>
        <w:fldChar w:fldCharType="end"/>
      </w:r>
      <w:bookmarkEnd w:id="22"/>
      <w:r w:rsidRPr="005F69B2">
        <w:rPr>
          <w:lang w:val="en-AU"/>
        </w:rPr>
        <w:t xml:space="preserve"> ­ Trials Conducted with BEYFORTUS for the Prevention of MA RSV LRTI</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F69B2" w:rsidRPr="005F69B2" w14:paraId="201EFA1D" w14:textId="77777777" w:rsidTr="002217DB">
        <w:trPr>
          <w:cantSplit/>
          <w:tblHeader/>
          <w:jc w:val="center"/>
        </w:trPr>
        <w:tc>
          <w:tcPr>
            <w:tcW w:w="3209" w:type="dxa"/>
            <w:tcBorders>
              <w:top w:val="single" w:sz="4" w:space="0" w:color="000000"/>
              <w:bottom w:val="single" w:sz="4" w:space="0" w:color="000000"/>
            </w:tcBorders>
            <w:shd w:val="clear" w:color="auto" w:fill="auto"/>
          </w:tcPr>
          <w:p w14:paraId="37E57D05" w14:textId="77777777" w:rsidR="00551C6A" w:rsidRPr="005F69B2" w:rsidRDefault="00551C6A" w:rsidP="002217DB">
            <w:pPr>
              <w:pStyle w:val="TblHeadingCenter"/>
              <w:rPr>
                <w:lang w:val="en-AU"/>
              </w:rPr>
            </w:pPr>
            <w:r w:rsidRPr="005F69B2">
              <w:rPr>
                <w:lang w:val="en-AU"/>
              </w:rPr>
              <w:t>Trial</w:t>
            </w:r>
          </w:p>
        </w:tc>
        <w:tc>
          <w:tcPr>
            <w:tcW w:w="3209" w:type="dxa"/>
            <w:tcBorders>
              <w:top w:val="single" w:sz="4" w:space="0" w:color="000000"/>
              <w:bottom w:val="single" w:sz="4" w:space="0" w:color="000000"/>
            </w:tcBorders>
            <w:shd w:val="clear" w:color="auto" w:fill="auto"/>
          </w:tcPr>
          <w:p w14:paraId="79F9F2C4" w14:textId="77777777" w:rsidR="00551C6A" w:rsidRPr="005F69B2" w:rsidRDefault="00551C6A" w:rsidP="002217DB">
            <w:pPr>
              <w:pStyle w:val="TblHeadingCenter"/>
              <w:rPr>
                <w:lang w:val="en-AU"/>
              </w:rPr>
            </w:pPr>
            <w:r w:rsidRPr="005F69B2">
              <w:rPr>
                <w:lang w:val="en-AU"/>
              </w:rPr>
              <w:t>Population</w:t>
            </w:r>
          </w:p>
        </w:tc>
        <w:tc>
          <w:tcPr>
            <w:tcW w:w="3210" w:type="dxa"/>
            <w:tcBorders>
              <w:top w:val="single" w:sz="4" w:space="0" w:color="000000"/>
              <w:bottom w:val="single" w:sz="4" w:space="0" w:color="000000"/>
            </w:tcBorders>
            <w:shd w:val="clear" w:color="auto" w:fill="auto"/>
          </w:tcPr>
          <w:p w14:paraId="04E35420" w14:textId="77777777" w:rsidR="00551C6A" w:rsidRPr="005F69B2" w:rsidRDefault="00551C6A" w:rsidP="002217DB">
            <w:pPr>
              <w:pStyle w:val="TblHeadingCenter"/>
              <w:rPr>
                <w:lang w:val="en-AU"/>
              </w:rPr>
            </w:pPr>
            <w:r w:rsidRPr="005F69B2">
              <w:rPr>
                <w:lang w:val="en-AU"/>
              </w:rPr>
              <w:t>Study Arms</w:t>
            </w:r>
          </w:p>
        </w:tc>
      </w:tr>
      <w:tr w:rsidR="005F69B2" w:rsidRPr="005F69B2" w14:paraId="045DCFA9" w14:textId="77777777" w:rsidTr="002217DB">
        <w:trPr>
          <w:cantSplit/>
          <w:jc w:val="center"/>
        </w:trPr>
        <w:tc>
          <w:tcPr>
            <w:tcW w:w="3209" w:type="dxa"/>
            <w:tcBorders>
              <w:top w:val="single" w:sz="4" w:space="0" w:color="000000"/>
            </w:tcBorders>
            <w:shd w:val="clear" w:color="auto" w:fill="auto"/>
          </w:tcPr>
          <w:p w14:paraId="5F6DDDA2" w14:textId="77777777" w:rsidR="00551C6A" w:rsidRPr="005F69B2" w:rsidRDefault="00551C6A" w:rsidP="002217DB">
            <w:pPr>
              <w:pStyle w:val="TblTextCenter"/>
              <w:rPr>
                <w:lang w:val="en-AU"/>
              </w:rPr>
            </w:pPr>
            <w:r w:rsidRPr="005F69B2">
              <w:rPr>
                <w:lang w:val="en-AU"/>
              </w:rPr>
              <w:t xml:space="preserve">D5290C00003 </w:t>
            </w:r>
          </w:p>
          <w:p w14:paraId="6BDD02C6" w14:textId="77777777" w:rsidR="00551C6A" w:rsidRPr="005F69B2" w:rsidRDefault="00551C6A" w:rsidP="002217DB">
            <w:pPr>
              <w:pStyle w:val="TblTextCenter"/>
              <w:rPr>
                <w:lang w:val="en-AU"/>
              </w:rPr>
            </w:pPr>
            <w:r w:rsidRPr="005F69B2">
              <w:rPr>
                <w:lang w:val="en-AU"/>
              </w:rPr>
              <w:t xml:space="preserve">NCT02878330 </w:t>
            </w:r>
          </w:p>
        </w:tc>
        <w:tc>
          <w:tcPr>
            <w:tcW w:w="3209" w:type="dxa"/>
            <w:tcBorders>
              <w:top w:val="single" w:sz="4" w:space="0" w:color="000000"/>
            </w:tcBorders>
            <w:shd w:val="clear" w:color="auto" w:fill="auto"/>
          </w:tcPr>
          <w:p w14:paraId="18C058A6" w14:textId="77777777" w:rsidR="00551C6A" w:rsidRPr="005F69B2" w:rsidRDefault="00551C6A" w:rsidP="002217DB">
            <w:pPr>
              <w:pStyle w:val="TblTextCenter"/>
              <w:rPr>
                <w:lang w:val="en-AU"/>
              </w:rPr>
            </w:pPr>
            <w:r w:rsidRPr="005F69B2">
              <w:rPr>
                <w:lang w:val="en-AU"/>
              </w:rPr>
              <w:t>Infants born at ≥29 to &lt;35 weeks GA entering their first RSV season</w:t>
            </w:r>
          </w:p>
        </w:tc>
        <w:tc>
          <w:tcPr>
            <w:tcW w:w="3210" w:type="dxa"/>
            <w:tcBorders>
              <w:top w:val="single" w:sz="4" w:space="0" w:color="000000"/>
            </w:tcBorders>
            <w:shd w:val="clear" w:color="auto" w:fill="auto"/>
          </w:tcPr>
          <w:p w14:paraId="26158F61" w14:textId="77777777" w:rsidR="00551C6A" w:rsidRPr="005F69B2" w:rsidRDefault="00551C6A" w:rsidP="002217DB">
            <w:pPr>
              <w:pStyle w:val="TblTextCenter"/>
              <w:jc w:val="left"/>
              <w:rPr>
                <w:lang w:val="en-AU"/>
              </w:rPr>
            </w:pPr>
            <w:r w:rsidRPr="005F69B2">
              <w:rPr>
                <w:lang w:val="en-AU"/>
              </w:rPr>
              <w:t xml:space="preserve">BEYFORTUS (N=969)* </w:t>
            </w:r>
          </w:p>
          <w:p w14:paraId="242A431F" w14:textId="77777777" w:rsidR="00551C6A" w:rsidRPr="005F69B2" w:rsidRDefault="00551C6A" w:rsidP="002217DB">
            <w:pPr>
              <w:pStyle w:val="TblTextCenter"/>
              <w:jc w:val="left"/>
              <w:rPr>
                <w:b/>
                <w:bCs/>
                <w:lang w:val="en-AU"/>
              </w:rPr>
            </w:pPr>
            <w:r w:rsidRPr="005F69B2">
              <w:rPr>
                <w:b/>
                <w:bCs/>
                <w:lang w:val="en-AU"/>
              </w:rPr>
              <w:t>Placebo (N=484)</w:t>
            </w:r>
          </w:p>
        </w:tc>
      </w:tr>
      <w:tr w:rsidR="005F69B2" w:rsidRPr="005F69B2" w14:paraId="2A55BC4A" w14:textId="77777777" w:rsidTr="002217DB">
        <w:trPr>
          <w:cantSplit/>
          <w:jc w:val="center"/>
        </w:trPr>
        <w:tc>
          <w:tcPr>
            <w:tcW w:w="3209" w:type="dxa"/>
            <w:shd w:val="clear" w:color="auto" w:fill="auto"/>
          </w:tcPr>
          <w:p w14:paraId="1DF4403E" w14:textId="77777777" w:rsidR="00551C6A" w:rsidRPr="005F69B2" w:rsidRDefault="00551C6A" w:rsidP="002217DB">
            <w:pPr>
              <w:pStyle w:val="TblTextCenter"/>
              <w:rPr>
                <w:lang w:val="en-AU"/>
              </w:rPr>
            </w:pPr>
            <w:r w:rsidRPr="005F69B2">
              <w:rPr>
                <w:lang w:val="en-AU"/>
              </w:rPr>
              <w:t>D5290C00004</w:t>
            </w:r>
          </w:p>
          <w:p w14:paraId="3E5146B1" w14:textId="4F88C0D7" w:rsidR="00551C6A" w:rsidRPr="005F69B2" w:rsidRDefault="00A54AFD" w:rsidP="002217DB">
            <w:pPr>
              <w:pStyle w:val="TblTextCenter"/>
              <w:rPr>
                <w:lang w:val="en-AU"/>
              </w:rPr>
            </w:pPr>
            <w:r w:rsidRPr="005F69B2">
              <w:rPr>
                <w:lang w:val="en-AU"/>
              </w:rPr>
              <w:t>MELODY</w:t>
            </w:r>
          </w:p>
          <w:p w14:paraId="784C3630" w14:textId="30A0C40D" w:rsidR="00551C6A" w:rsidRPr="005F69B2" w:rsidRDefault="00551C6A" w:rsidP="00A54AFD">
            <w:pPr>
              <w:pStyle w:val="TblTextCenter"/>
              <w:rPr>
                <w:lang w:val="en-AU"/>
              </w:rPr>
            </w:pPr>
            <w:r w:rsidRPr="005F69B2">
              <w:rPr>
                <w:lang w:val="en-AU"/>
              </w:rPr>
              <w:t>NCT03979313</w:t>
            </w:r>
          </w:p>
        </w:tc>
        <w:tc>
          <w:tcPr>
            <w:tcW w:w="3209" w:type="dxa"/>
            <w:shd w:val="clear" w:color="auto" w:fill="auto"/>
          </w:tcPr>
          <w:p w14:paraId="1EC7C920" w14:textId="77777777" w:rsidR="00551C6A" w:rsidRPr="005F69B2" w:rsidRDefault="00551C6A" w:rsidP="002217DB">
            <w:pPr>
              <w:pStyle w:val="TblTextCenter"/>
              <w:rPr>
                <w:lang w:val="en-AU"/>
              </w:rPr>
            </w:pPr>
            <w:r w:rsidRPr="005F69B2">
              <w:rPr>
                <w:lang w:val="en-AU"/>
              </w:rPr>
              <w:t>Infants born at ≥35 weeks GA entering their first RSV season</w:t>
            </w:r>
          </w:p>
        </w:tc>
        <w:tc>
          <w:tcPr>
            <w:tcW w:w="3210" w:type="dxa"/>
            <w:shd w:val="clear" w:color="auto" w:fill="auto"/>
          </w:tcPr>
          <w:p w14:paraId="717B8380" w14:textId="77777777" w:rsidR="00551C6A" w:rsidRPr="005F69B2" w:rsidRDefault="00551C6A" w:rsidP="002217DB">
            <w:pPr>
              <w:pStyle w:val="TblTextCenter"/>
              <w:jc w:val="left"/>
              <w:rPr>
                <w:b/>
                <w:bCs/>
                <w:lang w:val="en-AU"/>
              </w:rPr>
            </w:pPr>
            <w:r w:rsidRPr="005F69B2">
              <w:rPr>
                <w:b/>
                <w:bCs/>
                <w:lang w:val="en-AU"/>
              </w:rPr>
              <w:t xml:space="preserve">Primary Cohort†: </w:t>
            </w:r>
          </w:p>
          <w:p w14:paraId="2A70AC27" w14:textId="77777777" w:rsidR="00551C6A" w:rsidRPr="005F69B2" w:rsidRDefault="00551C6A" w:rsidP="002217DB">
            <w:pPr>
              <w:pStyle w:val="TblTextCenter"/>
              <w:jc w:val="left"/>
              <w:rPr>
                <w:lang w:val="en-AU"/>
              </w:rPr>
            </w:pPr>
            <w:r w:rsidRPr="005F69B2">
              <w:rPr>
                <w:lang w:val="en-AU"/>
              </w:rPr>
              <w:t xml:space="preserve">BEYFORTUS (N=994) </w:t>
            </w:r>
          </w:p>
          <w:p w14:paraId="3F892850" w14:textId="77777777" w:rsidR="00551C6A" w:rsidRPr="005F69B2" w:rsidRDefault="00551C6A" w:rsidP="002217DB">
            <w:pPr>
              <w:pStyle w:val="TblTextCenter"/>
              <w:jc w:val="left"/>
              <w:rPr>
                <w:lang w:val="en-AU"/>
              </w:rPr>
            </w:pPr>
            <w:r w:rsidRPr="005F69B2">
              <w:rPr>
                <w:lang w:val="en-AU"/>
              </w:rPr>
              <w:t xml:space="preserve">Placebo (N=496) </w:t>
            </w:r>
          </w:p>
          <w:p w14:paraId="0BDC5E3B" w14:textId="77777777" w:rsidR="00551C6A" w:rsidRPr="005F69B2" w:rsidRDefault="00551C6A" w:rsidP="002217DB">
            <w:pPr>
              <w:pStyle w:val="TblTextCenter"/>
              <w:jc w:val="left"/>
              <w:rPr>
                <w:b/>
                <w:bCs/>
                <w:lang w:val="en-AU"/>
              </w:rPr>
            </w:pPr>
            <w:r w:rsidRPr="005F69B2">
              <w:rPr>
                <w:b/>
                <w:bCs/>
                <w:lang w:val="en-AU"/>
              </w:rPr>
              <w:t>Safety Cohort</w:t>
            </w:r>
            <w:r w:rsidRPr="005F69B2">
              <w:rPr>
                <w:rFonts w:ascii="Calibri" w:hAnsi="Calibri" w:cs="Calibri"/>
                <w:b/>
                <w:bCs/>
                <w:lang w:val="en-AU"/>
              </w:rPr>
              <w:t>ǂ</w:t>
            </w:r>
            <w:r w:rsidRPr="005F69B2">
              <w:rPr>
                <w:b/>
                <w:bCs/>
                <w:lang w:val="en-AU"/>
              </w:rPr>
              <w:t xml:space="preserve">: </w:t>
            </w:r>
          </w:p>
          <w:p w14:paraId="2017B6C2" w14:textId="77777777" w:rsidR="00551C6A" w:rsidRPr="005F69B2" w:rsidRDefault="00551C6A" w:rsidP="002217DB">
            <w:pPr>
              <w:pStyle w:val="TblTextCenter"/>
              <w:jc w:val="left"/>
              <w:rPr>
                <w:lang w:val="en-AU"/>
              </w:rPr>
            </w:pPr>
            <w:r w:rsidRPr="005F69B2">
              <w:rPr>
                <w:lang w:val="en-AU"/>
              </w:rPr>
              <w:t xml:space="preserve">BEYFORTUS (N=1,015) </w:t>
            </w:r>
          </w:p>
          <w:p w14:paraId="48CAE23B" w14:textId="77777777" w:rsidR="00551C6A" w:rsidRPr="005F69B2" w:rsidRDefault="00551C6A" w:rsidP="002217DB">
            <w:pPr>
              <w:pStyle w:val="TblTextCenter"/>
              <w:jc w:val="left"/>
              <w:rPr>
                <w:lang w:val="en-AU"/>
              </w:rPr>
            </w:pPr>
            <w:r w:rsidRPr="005F69B2">
              <w:rPr>
                <w:lang w:val="en-AU"/>
              </w:rPr>
              <w:t>Placebo (N=507)</w:t>
            </w:r>
          </w:p>
        </w:tc>
      </w:tr>
      <w:tr w:rsidR="005F69B2" w:rsidRPr="005F69B2" w14:paraId="17A90DDC" w14:textId="77777777" w:rsidTr="002217DB">
        <w:trPr>
          <w:cantSplit/>
          <w:jc w:val="center"/>
        </w:trPr>
        <w:tc>
          <w:tcPr>
            <w:tcW w:w="3209" w:type="dxa"/>
            <w:tcBorders>
              <w:bottom w:val="single" w:sz="12" w:space="0" w:color="auto"/>
            </w:tcBorders>
            <w:shd w:val="clear" w:color="auto" w:fill="auto"/>
          </w:tcPr>
          <w:p w14:paraId="362527F8" w14:textId="77777777" w:rsidR="00551C6A" w:rsidRPr="005F69B2" w:rsidRDefault="00551C6A" w:rsidP="002217DB">
            <w:pPr>
              <w:pStyle w:val="TblTextCenter"/>
              <w:rPr>
                <w:lang w:val="en-AU"/>
              </w:rPr>
            </w:pPr>
            <w:r w:rsidRPr="005F69B2">
              <w:rPr>
                <w:lang w:val="en-AU"/>
              </w:rPr>
              <w:t xml:space="preserve">D5290C00005 </w:t>
            </w:r>
          </w:p>
          <w:p w14:paraId="4A7B1AB4" w14:textId="3BD3F6DC" w:rsidR="00551C6A" w:rsidRPr="005F69B2" w:rsidRDefault="00A54AFD" w:rsidP="002217DB">
            <w:pPr>
              <w:pStyle w:val="TblTextCenter"/>
              <w:rPr>
                <w:lang w:val="en-AU"/>
              </w:rPr>
            </w:pPr>
            <w:r w:rsidRPr="005F69B2">
              <w:rPr>
                <w:lang w:val="en-AU"/>
              </w:rPr>
              <w:t>MEDLEY</w:t>
            </w:r>
          </w:p>
          <w:p w14:paraId="23402B0D" w14:textId="48D93243" w:rsidR="00551C6A" w:rsidRPr="005F69B2" w:rsidRDefault="00551C6A" w:rsidP="00A54AFD">
            <w:pPr>
              <w:pStyle w:val="TblTextCenter"/>
              <w:rPr>
                <w:lang w:val="en-AU"/>
              </w:rPr>
            </w:pPr>
            <w:r w:rsidRPr="005F69B2">
              <w:rPr>
                <w:lang w:val="en-AU"/>
              </w:rPr>
              <w:t>NCT03959488</w:t>
            </w:r>
          </w:p>
        </w:tc>
        <w:tc>
          <w:tcPr>
            <w:tcW w:w="3209" w:type="dxa"/>
            <w:tcBorders>
              <w:bottom w:val="single" w:sz="12" w:space="0" w:color="auto"/>
            </w:tcBorders>
            <w:shd w:val="clear" w:color="auto" w:fill="auto"/>
          </w:tcPr>
          <w:p w14:paraId="6FC04798" w14:textId="77777777" w:rsidR="00551C6A" w:rsidRPr="005F69B2" w:rsidRDefault="00551C6A" w:rsidP="002217DB">
            <w:pPr>
              <w:pStyle w:val="TblTextCenter"/>
              <w:rPr>
                <w:lang w:val="en-AU"/>
              </w:rPr>
            </w:pPr>
            <w:r w:rsidRPr="005F69B2">
              <w:rPr>
                <w:lang w:val="en-AU"/>
              </w:rPr>
              <w:t>Infants born at &lt;35 weeks GA and infants born with CLD or CHD entering their first RSV season</w:t>
            </w:r>
          </w:p>
          <w:p w14:paraId="3E878310" w14:textId="77777777" w:rsidR="00551C6A" w:rsidRPr="005F69B2" w:rsidRDefault="00551C6A" w:rsidP="002217DB">
            <w:pPr>
              <w:pStyle w:val="TblTextCenter"/>
              <w:rPr>
                <w:lang w:val="en-AU"/>
              </w:rPr>
            </w:pPr>
            <w:r w:rsidRPr="005F69B2">
              <w:rPr>
                <w:lang w:val="en-AU"/>
              </w:rPr>
              <w:t>Infants with CLD or CHD only entering their second RSV season</w:t>
            </w:r>
          </w:p>
        </w:tc>
        <w:tc>
          <w:tcPr>
            <w:tcW w:w="3210" w:type="dxa"/>
            <w:tcBorders>
              <w:bottom w:val="single" w:sz="12" w:space="0" w:color="auto"/>
            </w:tcBorders>
            <w:shd w:val="clear" w:color="auto" w:fill="auto"/>
          </w:tcPr>
          <w:p w14:paraId="6FBBC591" w14:textId="77777777" w:rsidR="00551C6A" w:rsidRPr="005F69B2" w:rsidRDefault="00551C6A" w:rsidP="002217DB">
            <w:pPr>
              <w:pStyle w:val="TblTextCenter"/>
              <w:jc w:val="left"/>
              <w:rPr>
                <w:b/>
                <w:bCs/>
                <w:lang w:val="en-AU"/>
              </w:rPr>
            </w:pPr>
            <w:r w:rsidRPr="005F69B2">
              <w:rPr>
                <w:b/>
                <w:bCs/>
                <w:lang w:val="en-AU"/>
              </w:rPr>
              <w:t xml:space="preserve">RSV Season One: </w:t>
            </w:r>
          </w:p>
          <w:p w14:paraId="119733D4" w14:textId="77777777" w:rsidR="00551C6A" w:rsidRPr="005F69B2" w:rsidRDefault="00551C6A" w:rsidP="002217DB">
            <w:pPr>
              <w:pStyle w:val="TblTextCenter"/>
              <w:jc w:val="left"/>
              <w:rPr>
                <w:lang w:val="en-AU"/>
              </w:rPr>
            </w:pPr>
            <w:r w:rsidRPr="005F69B2">
              <w:rPr>
                <w:lang w:val="en-AU"/>
              </w:rPr>
              <w:t xml:space="preserve">BEYFORTUS (N=616) </w:t>
            </w:r>
          </w:p>
          <w:p w14:paraId="70AC1212" w14:textId="77777777" w:rsidR="00551C6A" w:rsidRPr="005F69B2" w:rsidRDefault="00551C6A" w:rsidP="002217DB">
            <w:pPr>
              <w:pStyle w:val="TblTextCenter"/>
              <w:jc w:val="left"/>
              <w:rPr>
                <w:lang w:val="en-AU"/>
              </w:rPr>
            </w:pPr>
            <w:r w:rsidRPr="005F69B2">
              <w:rPr>
                <w:lang w:val="en-AU"/>
              </w:rPr>
              <w:t xml:space="preserve">Palivizumab (N=304) </w:t>
            </w:r>
          </w:p>
          <w:p w14:paraId="143E3660" w14:textId="77777777" w:rsidR="00551C6A" w:rsidRPr="005F69B2" w:rsidRDefault="00551C6A" w:rsidP="002217DB">
            <w:pPr>
              <w:pStyle w:val="TblTextCenter"/>
              <w:jc w:val="left"/>
              <w:rPr>
                <w:b/>
                <w:bCs/>
                <w:lang w:val="en-AU"/>
              </w:rPr>
            </w:pPr>
            <w:r w:rsidRPr="005F69B2">
              <w:rPr>
                <w:b/>
                <w:bCs/>
                <w:lang w:val="en-AU"/>
              </w:rPr>
              <w:t xml:space="preserve">RSV Season Two: </w:t>
            </w:r>
          </w:p>
          <w:p w14:paraId="31B8C1D7" w14:textId="77777777" w:rsidR="00551C6A" w:rsidRPr="005F69B2" w:rsidRDefault="00551C6A" w:rsidP="002217DB">
            <w:pPr>
              <w:pStyle w:val="TblTextCenter"/>
              <w:jc w:val="left"/>
              <w:rPr>
                <w:lang w:val="en-AU"/>
              </w:rPr>
            </w:pPr>
            <w:r w:rsidRPr="005F69B2">
              <w:rPr>
                <w:lang w:val="en-AU"/>
              </w:rPr>
              <w:t xml:space="preserve">BEYFORTUS (N=220) </w:t>
            </w:r>
          </w:p>
          <w:p w14:paraId="17F11B17" w14:textId="77777777" w:rsidR="00551C6A" w:rsidRPr="005F69B2" w:rsidRDefault="00551C6A" w:rsidP="002217DB">
            <w:pPr>
              <w:pStyle w:val="TblTextCenter"/>
              <w:jc w:val="left"/>
              <w:rPr>
                <w:lang w:val="en-AU"/>
              </w:rPr>
            </w:pPr>
            <w:r w:rsidRPr="005F69B2">
              <w:rPr>
                <w:lang w:val="en-AU"/>
              </w:rPr>
              <w:t>Palivizumab (N=42)</w:t>
            </w:r>
          </w:p>
        </w:tc>
      </w:tr>
      <w:tr w:rsidR="005F69B2" w:rsidRPr="005F69B2" w14:paraId="45FBB4A3" w14:textId="77777777" w:rsidTr="002217DB">
        <w:trPr>
          <w:cantSplit/>
          <w:jc w:val="center"/>
        </w:trPr>
        <w:tc>
          <w:tcPr>
            <w:tcW w:w="9628" w:type="dxa"/>
            <w:gridSpan w:val="3"/>
            <w:tcBorders>
              <w:top w:val="single" w:sz="12" w:space="0" w:color="auto"/>
            </w:tcBorders>
            <w:shd w:val="clear" w:color="auto" w:fill="auto"/>
          </w:tcPr>
          <w:p w14:paraId="4B8575DB" w14:textId="77777777" w:rsidR="00551C6A" w:rsidRPr="005F69B2" w:rsidRDefault="00551C6A" w:rsidP="002217DB">
            <w:pPr>
              <w:pStyle w:val="TblFigFootnote"/>
              <w:rPr>
                <w:lang w:val="en-AU"/>
              </w:rPr>
            </w:pPr>
            <w:r w:rsidRPr="005F69B2">
              <w:rPr>
                <w:lang w:val="en-AU"/>
              </w:rPr>
              <w:t xml:space="preserve">GA gestational age; CLD chronic lung disease; CHD hemodynamically significant chronic heart disease </w:t>
            </w:r>
          </w:p>
          <w:p w14:paraId="5A073098" w14:textId="7089EFA7" w:rsidR="00551C6A" w:rsidRPr="005F69B2" w:rsidRDefault="00551C6A" w:rsidP="002217DB">
            <w:pPr>
              <w:pStyle w:val="TblFigFootnote"/>
              <w:rPr>
                <w:lang w:val="en-AU"/>
              </w:rPr>
            </w:pPr>
            <w:r w:rsidRPr="005F69B2">
              <w:rPr>
                <w:lang w:val="en-AU"/>
              </w:rPr>
              <w:t xml:space="preserve">* All subjects in </w:t>
            </w:r>
            <w:r w:rsidR="00A54AFD" w:rsidRPr="005F69B2">
              <w:rPr>
                <w:lang w:val="en-AU"/>
              </w:rPr>
              <w:t xml:space="preserve">D5290C00003 </w:t>
            </w:r>
            <w:r w:rsidRPr="005F69B2">
              <w:rPr>
                <w:lang w:val="en-AU"/>
              </w:rPr>
              <w:t xml:space="preserve">were included in the efficacy analysis. All subjects in </w:t>
            </w:r>
            <w:r w:rsidR="00A54AFD" w:rsidRPr="005F69B2">
              <w:rPr>
                <w:lang w:val="en-AU"/>
              </w:rPr>
              <w:t xml:space="preserve">D5290C00003 </w:t>
            </w:r>
            <w:r w:rsidRPr="005F69B2">
              <w:rPr>
                <w:lang w:val="en-AU"/>
              </w:rPr>
              <w:t>received 50 mg of BEYFORTUS IM injections regardless of body weight. The recommended BEYFORTUS dose in neonates and infants born during or entering their first RSV season is single IM 50 mg and 100 mg dose for those who weigh &lt;5 kg and ≥5 kg, respectively</w:t>
            </w:r>
            <w:r w:rsidR="00A54AFD" w:rsidRPr="005F69B2">
              <w:rPr>
                <w:lang w:val="en-AU"/>
              </w:rPr>
              <w:t xml:space="preserve"> (see Section </w:t>
            </w:r>
            <w:r w:rsidR="00A54AFD" w:rsidRPr="005F69B2">
              <w:rPr>
                <w:lang w:val="en-AU"/>
              </w:rPr>
              <w:fldChar w:fldCharType="begin"/>
            </w:r>
            <w:r w:rsidR="00A54AFD" w:rsidRPr="005F69B2">
              <w:rPr>
                <w:lang w:val="en-AU"/>
              </w:rPr>
              <w:instrText xml:space="preserve"> REF _Ref145343096 \r \h  \* MERGEFORMAT </w:instrText>
            </w:r>
            <w:r w:rsidR="00A54AFD" w:rsidRPr="005F69B2">
              <w:rPr>
                <w:lang w:val="en-AU"/>
              </w:rPr>
            </w:r>
            <w:r w:rsidR="00A54AFD" w:rsidRPr="005F69B2">
              <w:rPr>
                <w:lang w:val="en-AU"/>
              </w:rPr>
              <w:fldChar w:fldCharType="separate"/>
            </w:r>
            <w:r w:rsidR="006040F3">
              <w:rPr>
                <w:lang w:val="en-AU"/>
              </w:rPr>
              <w:t>4.2</w:t>
            </w:r>
            <w:r w:rsidR="00A54AFD" w:rsidRPr="005F69B2">
              <w:rPr>
                <w:lang w:val="en-AU"/>
              </w:rPr>
              <w:fldChar w:fldCharType="end"/>
            </w:r>
            <w:r w:rsidR="00A54AFD" w:rsidRPr="005F69B2">
              <w:rPr>
                <w:lang w:val="en-AU"/>
              </w:rPr>
              <w:t>)</w:t>
            </w:r>
            <w:r w:rsidRPr="005F69B2">
              <w:rPr>
                <w:lang w:val="en-AU"/>
              </w:rPr>
              <w:t xml:space="preserve">. </w:t>
            </w:r>
          </w:p>
          <w:p w14:paraId="0EBEE0D7" w14:textId="1DB3A801" w:rsidR="00551C6A" w:rsidRPr="005F69B2" w:rsidRDefault="00551C6A" w:rsidP="002217DB">
            <w:pPr>
              <w:pStyle w:val="TblFigFootnote"/>
              <w:rPr>
                <w:lang w:val="en-AU"/>
              </w:rPr>
            </w:pPr>
            <w:r w:rsidRPr="005F69B2">
              <w:rPr>
                <w:lang w:val="en-AU"/>
              </w:rPr>
              <w:t xml:space="preserve">† The primary efficacy analysis for </w:t>
            </w:r>
            <w:r w:rsidR="00A54AFD" w:rsidRPr="005F69B2">
              <w:rPr>
                <w:lang w:val="en-AU"/>
              </w:rPr>
              <w:t>MELODY</w:t>
            </w:r>
            <w:r w:rsidRPr="005F69B2">
              <w:rPr>
                <w:lang w:val="en-AU"/>
              </w:rPr>
              <w:t xml:space="preserve"> is based on subjects from the Primary Cohort. For </w:t>
            </w:r>
            <w:r w:rsidR="00A54AFD" w:rsidRPr="005F69B2">
              <w:rPr>
                <w:lang w:val="en-AU"/>
              </w:rPr>
              <w:t>MELODY</w:t>
            </w:r>
            <w:r w:rsidRPr="005F69B2">
              <w:rPr>
                <w:lang w:val="en-AU"/>
              </w:rPr>
              <w:t xml:space="preserve"> safety population</w:t>
            </w:r>
            <w:r w:rsidR="00A54AFD" w:rsidRPr="005F69B2">
              <w:rPr>
                <w:lang w:val="en-AU"/>
              </w:rPr>
              <w:t xml:space="preserve"> see Section </w:t>
            </w:r>
            <w:r w:rsidR="00A54AFD" w:rsidRPr="005F69B2">
              <w:rPr>
                <w:lang w:val="en-AU"/>
              </w:rPr>
              <w:fldChar w:fldCharType="begin"/>
            </w:r>
            <w:r w:rsidR="00A54AFD" w:rsidRPr="005F69B2">
              <w:rPr>
                <w:lang w:val="en-AU"/>
              </w:rPr>
              <w:instrText xml:space="preserve"> REF _Ref145343117 \r \h  \* MERGEFORMAT </w:instrText>
            </w:r>
            <w:r w:rsidR="00A54AFD" w:rsidRPr="005F69B2">
              <w:rPr>
                <w:lang w:val="en-AU"/>
              </w:rPr>
            </w:r>
            <w:r w:rsidR="00A54AFD" w:rsidRPr="005F69B2">
              <w:rPr>
                <w:lang w:val="en-AU"/>
              </w:rPr>
              <w:fldChar w:fldCharType="separate"/>
            </w:r>
            <w:r w:rsidR="006040F3">
              <w:rPr>
                <w:lang w:val="en-AU"/>
              </w:rPr>
              <w:t>4.8</w:t>
            </w:r>
            <w:r w:rsidR="00A54AFD" w:rsidRPr="005F69B2">
              <w:rPr>
                <w:lang w:val="en-AU"/>
              </w:rPr>
              <w:fldChar w:fldCharType="end"/>
            </w:r>
            <w:r w:rsidRPr="005F69B2">
              <w:rPr>
                <w:lang w:val="en-AU"/>
              </w:rPr>
              <w:t xml:space="preserve">. </w:t>
            </w:r>
          </w:p>
          <w:p w14:paraId="4BC454F2" w14:textId="27DF1BD8" w:rsidR="00551C6A" w:rsidRPr="005F69B2" w:rsidRDefault="00551C6A" w:rsidP="002217DB">
            <w:pPr>
              <w:pStyle w:val="TblFigFootnote"/>
              <w:rPr>
                <w:lang w:val="en-AU"/>
              </w:rPr>
            </w:pPr>
            <w:r w:rsidRPr="005F69B2">
              <w:rPr>
                <w:rFonts w:ascii="Calibri" w:hAnsi="Calibri" w:cs="Calibri"/>
                <w:lang w:val="en-AU"/>
              </w:rPr>
              <w:t>ǂ</w:t>
            </w:r>
            <w:r w:rsidRPr="005F69B2">
              <w:rPr>
                <w:lang w:val="en-AU"/>
              </w:rPr>
              <w:t xml:space="preserve"> </w:t>
            </w:r>
            <w:r w:rsidR="00A54AFD" w:rsidRPr="005F69B2">
              <w:rPr>
                <w:lang w:val="en-AU"/>
              </w:rPr>
              <w:t>MELODY</w:t>
            </w:r>
            <w:r w:rsidRPr="005F69B2">
              <w:rPr>
                <w:lang w:val="en-AU"/>
              </w:rPr>
              <w:t xml:space="preserve"> safety analysis included both Primary and Safety Cohorts</w:t>
            </w:r>
            <w:r w:rsidR="00A54AFD" w:rsidRPr="005F69B2">
              <w:rPr>
                <w:lang w:val="en-AU"/>
              </w:rPr>
              <w:t xml:space="preserve"> (see Section </w:t>
            </w:r>
            <w:r w:rsidR="00A54AFD" w:rsidRPr="005F69B2">
              <w:rPr>
                <w:lang w:val="en-AU"/>
              </w:rPr>
              <w:fldChar w:fldCharType="begin"/>
            </w:r>
            <w:r w:rsidR="00A54AFD" w:rsidRPr="005F69B2">
              <w:rPr>
                <w:lang w:val="en-AU"/>
              </w:rPr>
              <w:instrText xml:space="preserve"> REF _Ref145343117 \r \h  \* MERGEFORMAT </w:instrText>
            </w:r>
            <w:r w:rsidR="00A54AFD" w:rsidRPr="005F69B2">
              <w:rPr>
                <w:lang w:val="en-AU"/>
              </w:rPr>
            </w:r>
            <w:r w:rsidR="00A54AFD" w:rsidRPr="005F69B2">
              <w:rPr>
                <w:lang w:val="en-AU"/>
              </w:rPr>
              <w:fldChar w:fldCharType="separate"/>
            </w:r>
            <w:r w:rsidR="006040F3">
              <w:rPr>
                <w:lang w:val="en-AU"/>
              </w:rPr>
              <w:t>4.8</w:t>
            </w:r>
            <w:r w:rsidR="00A54AFD" w:rsidRPr="005F69B2">
              <w:rPr>
                <w:lang w:val="en-AU"/>
              </w:rPr>
              <w:fldChar w:fldCharType="end"/>
            </w:r>
            <w:r w:rsidR="00A54AFD" w:rsidRPr="005F69B2">
              <w:rPr>
                <w:lang w:val="en-AU"/>
              </w:rPr>
              <w:t>).</w:t>
            </w:r>
          </w:p>
        </w:tc>
      </w:tr>
    </w:tbl>
    <w:p w14:paraId="182EE010" w14:textId="1C651A4D" w:rsidR="000F63CB" w:rsidRPr="005F69B2" w:rsidRDefault="000F63CB" w:rsidP="00FE63B8">
      <w:pPr>
        <w:rPr>
          <w:color w:val="auto"/>
          <w:lang w:val="en-AU"/>
        </w:rPr>
      </w:pPr>
      <w:r w:rsidRPr="005F69B2">
        <w:rPr>
          <w:color w:val="auto"/>
          <w:lang w:val="en-AU"/>
        </w:rPr>
        <w:t xml:space="preserve">Safety and PK of </w:t>
      </w:r>
      <w:r w:rsidR="00061EC6" w:rsidRPr="005F69B2">
        <w:rPr>
          <w:color w:val="auto"/>
          <w:lang w:val="en-AU"/>
        </w:rPr>
        <w:t xml:space="preserve">BEYFORTUS </w:t>
      </w:r>
      <w:r w:rsidRPr="005F69B2">
        <w:rPr>
          <w:color w:val="auto"/>
          <w:lang w:val="en-AU"/>
        </w:rPr>
        <w:t>were also evaluated in an open-label, uncontrolled, single dose multicentre trial (MUSIC) in immunocompromised children ≤24 months of age.</w:t>
      </w:r>
      <w:r w:rsidRPr="005F69B2" w:rsidDel="002B2438">
        <w:rPr>
          <w:color w:val="auto"/>
          <w:lang w:val="en-AU"/>
        </w:rPr>
        <w:t xml:space="preserve"> </w:t>
      </w:r>
    </w:p>
    <w:p w14:paraId="678DCB4B" w14:textId="42C53557" w:rsidR="001D2FE7" w:rsidRPr="005F69B2" w:rsidRDefault="001D2FE7" w:rsidP="001D2FE7">
      <w:pPr>
        <w:rPr>
          <w:color w:val="auto"/>
          <w:lang w:val="en-AU"/>
        </w:rPr>
      </w:pPr>
      <w:r w:rsidRPr="005F69B2">
        <w:rPr>
          <w:color w:val="auto"/>
          <w:lang w:val="en-AU"/>
        </w:rPr>
        <w:t xml:space="preserve">Key demographics and baseline characteristics for MELODY, </w:t>
      </w:r>
      <w:r w:rsidR="002F5A02" w:rsidRPr="005F69B2">
        <w:rPr>
          <w:color w:val="auto"/>
          <w:lang w:val="en-AU"/>
        </w:rPr>
        <w:t>D5290C00003</w:t>
      </w:r>
      <w:r w:rsidRPr="005F69B2">
        <w:rPr>
          <w:color w:val="auto"/>
          <w:lang w:val="en-AU"/>
        </w:rPr>
        <w:t>, and MEDLEY are summari</w:t>
      </w:r>
      <w:r w:rsidR="00E77F94" w:rsidRPr="005F69B2">
        <w:rPr>
          <w:color w:val="auto"/>
          <w:lang w:val="en-AU"/>
        </w:rPr>
        <w:t>s</w:t>
      </w:r>
      <w:r w:rsidRPr="005F69B2">
        <w:rPr>
          <w:color w:val="auto"/>
          <w:lang w:val="en-AU"/>
        </w:rPr>
        <w:t xml:space="preserve">ed in </w:t>
      </w:r>
      <w:r w:rsidR="006B4F91" w:rsidRPr="005F69B2">
        <w:rPr>
          <w:color w:val="auto"/>
          <w:lang w:val="en-AU"/>
        </w:rPr>
        <w:fldChar w:fldCharType="begin"/>
      </w:r>
      <w:r w:rsidR="006B4F91" w:rsidRPr="005F69B2">
        <w:rPr>
          <w:color w:val="auto"/>
          <w:lang w:val="en-AU"/>
        </w:rPr>
        <w:instrText xml:space="preserve"> REF _Ref145515041 \h  \* MERGEFORMAT </w:instrText>
      </w:r>
      <w:r w:rsidR="006B4F91" w:rsidRPr="005F69B2">
        <w:rPr>
          <w:color w:val="auto"/>
          <w:lang w:val="en-AU"/>
        </w:rPr>
      </w:r>
      <w:r w:rsidR="006B4F91" w:rsidRPr="005F69B2">
        <w:rPr>
          <w:color w:val="auto"/>
          <w:lang w:val="en-AU"/>
        </w:rPr>
        <w:fldChar w:fldCharType="separate"/>
      </w:r>
      <w:r w:rsidR="006040F3" w:rsidRPr="006040F3">
        <w:rPr>
          <w:color w:val="auto"/>
          <w:lang w:val="en-AU"/>
        </w:rPr>
        <w:t>Table 4</w:t>
      </w:r>
      <w:r w:rsidR="006B4F91" w:rsidRPr="005F69B2">
        <w:rPr>
          <w:color w:val="auto"/>
          <w:lang w:val="en-AU"/>
        </w:rPr>
        <w:fldChar w:fldCharType="end"/>
      </w:r>
      <w:r w:rsidRPr="005F69B2">
        <w:rPr>
          <w:color w:val="auto"/>
          <w:lang w:val="en-AU"/>
        </w:rPr>
        <w:t xml:space="preserve"> and </w:t>
      </w:r>
      <w:r w:rsidR="006B4F91" w:rsidRPr="005F69B2">
        <w:rPr>
          <w:color w:val="auto"/>
          <w:lang w:val="en-AU"/>
        </w:rPr>
        <w:fldChar w:fldCharType="begin"/>
      </w:r>
      <w:r w:rsidR="006B4F91" w:rsidRPr="005F69B2">
        <w:rPr>
          <w:color w:val="auto"/>
          <w:lang w:val="en-AU"/>
        </w:rPr>
        <w:instrText xml:space="preserve"> REF _Ref145515053 \h  \* MERGEFORMAT </w:instrText>
      </w:r>
      <w:r w:rsidR="006B4F91" w:rsidRPr="005F69B2">
        <w:rPr>
          <w:color w:val="auto"/>
          <w:lang w:val="en-AU"/>
        </w:rPr>
      </w:r>
      <w:r w:rsidR="006B4F91" w:rsidRPr="005F69B2">
        <w:rPr>
          <w:color w:val="auto"/>
          <w:lang w:val="en-AU"/>
        </w:rPr>
        <w:fldChar w:fldCharType="separate"/>
      </w:r>
      <w:r w:rsidR="006040F3" w:rsidRPr="006040F3">
        <w:rPr>
          <w:color w:val="auto"/>
          <w:lang w:val="en-AU"/>
        </w:rPr>
        <w:t>Table 5</w:t>
      </w:r>
      <w:r w:rsidR="006B4F91" w:rsidRPr="005F69B2">
        <w:rPr>
          <w:color w:val="auto"/>
          <w:lang w:val="en-AU"/>
        </w:rPr>
        <w:fldChar w:fldCharType="end"/>
      </w:r>
      <w:r w:rsidRPr="005F69B2">
        <w:rPr>
          <w:color w:val="auto"/>
          <w:lang w:val="en-AU"/>
        </w:rPr>
        <w:t xml:space="preserve">. Across MELODY, </w:t>
      </w:r>
      <w:r w:rsidR="002F5A02" w:rsidRPr="005F69B2">
        <w:rPr>
          <w:color w:val="auto"/>
          <w:lang w:val="en-AU"/>
        </w:rPr>
        <w:t>D5290C00003</w:t>
      </w:r>
      <w:r w:rsidRPr="005F69B2">
        <w:rPr>
          <w:color w:val="auto"/>
          <w:lang w:val="en-AU"/>
        </w:rPr>
        <w:t xml:space="preserve"> and MEDLEY, demographic and baseline characteristics were similar between the nirsevimab and comparator groups and the study populations were representative of the intended target population of all infants in their first RSV season and children who remain vulnerable to severe RSV disease in their second RSV season, including extremely preterm infants, and infants and children up to 24 months of age with CLD or CHD.</w:t>
      </w:r>
    </w:p>
    <w:p w14:paraId="38D70C51" w14:textId="0B07B1FD" w:rsidR="001D2FE7" w:rsidRPr="005F69B2" w:rsidRDefault="001D2FE7" w:rsidP="001D2FE7">
      <w:pPr>
        <w:pStyle w:val="Caption"/>
        <w:rPr>
          <w:lang w:val="en-AU"/>
        </w:rPr>
      </w:pPr>
      <w:r w:rsidRPr="005F69B2">
        <w:rPr>
          <w:lang w:val="en-AU"/>
        </w:rPr>
        <w:t xml:space="preserve"> </w:t>
      </w:r>
      <w:bookmarkStart w:id="23" w:name="_Ref145515041"/>
      <w:r w:rsidRPr="005F69B2">
        <w:rPr>
          <w:lang w:val="en-AU"/>
        </w:rPr>
        <w:t>Table </w:t>
      </w:r>
      <w:r w:rsidRPr="005F69B2">
        <w:rPr>
          <w:lang w:val="en-AU"/>
        </w:rPr>
        <w:fldChar w:fldCharType="begin"/>
      </w:r>
      <w:r w:rsidRPr="005F69B2">
        <w:rPr>
          <w:lang w:val="en-AU"/>
        </w:rPr>
        <w:instrText xml:space="preserve"> SEQ Table \* ARABIC </w:instrText>
      </w:r>
      <w:r w:rsidRPr="005F69B2">
        <w:rPr>
          <w:lang w:val="en-AU"/>
        </w:rPr>
        <w:fldChar w:fldCharType="separate"/>
      </w:r>
      <w:r w:rsidR="006040F3">
        <w:rPr>
          <w:noProof/>
          <w:lang w:val="en-AU"/>
        </w:rPr>
        <w:t>4</w:t>
      </w:r>
      <w:r w:rsidRPr="005F69B2">
        <w:rPr>
          <w:lang w:val="en-AU"/>
        </w:rPr>
        <w:fldChar w:fldCharType="end"/>
      </w:r>
      <w:bookmarkEnd w:id="23"/>
      <w:r w:rsidRPr="005F69B2">
        <w:rPr>
          <w:lang w:val="en-AU"/>
        </w:rPr>
        <w:t xml:space="preserve"> ­ Select Demographic and Baseline Characteristics – MELODY (Primary Cohort), MELODY (All Subjects), </w:t>
      </w:r>
      <w:r w:rsidR="002F5A02" w:rsidRPr="005F69B2">
        <w:rPr>
          <w:lang w:val="en-AU"/>
        </w:rPr>
        <w:t>D5290C00003</w:t>
      </w:r>
      <w:r w:rsidRPr="005F69B2">
        <w:rPr>
          <w:lang w:val="en-AU"/>
        </w:rPr>
        <w:t xml:space="preserve"> (Recommended Dose), </w:t>
      </w:r>
      <w:r w:rsidR="002F5A02" w:rsidRPr="005F69B2">
        <w:rPr>
          <w:lang w:val="en-AU"/>
        </w:rPr>
        <w:t>D5290C00003</w:t>
      </w:r>
    </w:p>
    <w:tbl>
      <w:tblPr>
        <w:tblW w:w="0" w:type="auto"/>
        <w:jc w:val="center"/>
        <w:tblBorders>
          <w:top w:val="single" w:sz="2" w:space="0" w:color="000000"/>
        </w:tblBorders>
        <w:tblLook w:val="0000" w:firstRow="0" w:lastRow="0" w:firstColumn="0" w:lastColumn="0" w:noHBand="0" w:noVBand="0"/>
      </w:tblPr>
      <w:tblGrid>
        <w:gridCol w:w="2281"/>
        <w:gridCol w:w="1745"/>
        <w:gridCol w:w="1748"/>
        <w:gridCol w:w="1962"/>
        <w:gridCol w:w="1902"/>
      </w:tblGrid>
      <w:tr w:rsidR="005F69B2" w:rsidRPr="005F69B2" w14:paraId="536D1BEE" w14:textId="77777777" w:rsidTr="002F5A02">
        <w:trPr>
          <w:cantSplit/>
          <w:tblHeader/>
          <w:jc w:val="center"/>
        </w:trPr>
        <w:tc>
          <w:tcPr>
            <w:tcW w:w="2361" w:type="dxa"/>
            <w:vMerge w:val="restart"/>
            <w:tcBorders>
              <w:top w:val="single" w:sz="4" w:space="0" w:color="000000"/>
            </w:tcBorders>
            <w:shd w:val="clear" w:color="auto" w:fill="auto"/>
            <w:vAlign w:val="center"/>
          </w:tcPr>
          <w:p w14:paraId="29117D60" w14:textId="77777777" w:rsidR="00EB13F0" w:rsidRPr="005F69B2" w:rsidRDefault="00EB13F0" w:rsidP="00EB13F0">
            <w:pPr>
              <w:pStyle w:val="TblTextCenter"/>
              <w:rPr>
                <w:b/>
                <w:bCs/>
                <w:lang w:val="en-AU"/>
              </w:rPr>
            </w:pPr>
            <w:r w:rsidRPr="005F69B2">
              <w:rPr>
                <w:b/>
                <w:bCs/>
                <w:lang w:val="en-AU"/>
              </w:rPr>
              <w:t>Statistic</w:t>
            </w:r>
          </w:p>
        </w:tc>
        <w:tc>
          <w:tcPr>
            <w:tcW w:w="3584" w:type="dxa"/>
            <w:gridSpan w:val="2"/>
            <w:tcBorders>
              <w:top w:val="single" w:sz="4" w:space="0" w:color="000000"/>
            </w:tcBorders>
            <w:shd w:val="clear" w:color="auto" w:fill="auto"/>
            <w:vAlign w:val="center"/>
          </w:tcPr>
          <w:p w14:paraId="1F03869F" w14:textId="77777777" w:rsidR="00EB13F0" w:rsidRPr="005F69B2" w:rsidRDefault="00EB13F0" w:rsidP="00EB13F0">
            <w:pPr>
              <w:pStyle w:val="TblTextCenter"/>
              <w:rPr>
                <w:b/>
                <w:bCs/>
                <w:lang w:val="en-AU"/>
              </w:rPr>
            </w:pPr>
            <w:r w:rsidRPr="005F69B2">
              <w:rPr>
                <w:b/>
                <w:bCs/>
                <w:lang w:val="en-AU"/>
              </w:rPr>
              <w:t>Term and late preterm infants born ≥35 wGA</w:t>
            </w:r>
          </w:p>
        </w:tc>
        <w:tc>
          <w:tcPr>
            <w:tcW w:w="3693" w:type="dxa"/>
            <w:gridSpan w:val="2"/>
            <w:tcBorders>
              <w:top w:val="single" w:sz="4" w:space="0" w:color="000000"/>
            </w:tcBorders>
            <w:shd w:val="clear" w:color="auto" w:fill="auto"/>
            <w:vAlign w:val="center"/>
          </w:tcPr>
          <w:p w14:paraId="655044D2" w14:textId="77777777" w:rsidR="00EB13F0" w:rsidRPr="005F69B2" w:rsidRDefault="00EB13F0" w:rsidP="00EB13F0">
            <w:pPr>
              <w:pStyle w:val="TblTextCenter"/>
              <w:rPr>
                <w:b/>
                <w:bCs/>
                <w:lang w:val="en-AU"/>
              </w:rPr>
            </w:pPr>
            <w:r w:rsidRPr="005F69B2">
              <w:rPr>
                <w:b/>
                <w:bCs/>
                <w:lang w:val="en-AU"/>
              </w:rPr>
              <w:t xml:space="preserve">Very and moderately preterm infants born ≥29 to &lt;35 wGA </w:t>
            </w:r>
          </w:p>
        </w:tc>
      </w:tr>
      <w:tr w:rsidR="005F69B2" w:rsidRPr="005F69B2" w14:paraId="5FA44184" w14:textId="77777777" w:rsidTr="002F5A02">
        <w:trPr>
          <w:cantSplit/>
          <w:tblHeader/>
          <w:jc w:val="center"/>
        </w:trPr>
        <w:tc>
          <w:tcPr>
            <w:tcW w:w="2361" w:type="dxa"/>
            <w:vMerge/>
            <w:shd w:val="clear" w:color="auto" w:fill="auto"/>
            <w:vAlign w:val="center"/>
          </w:tcPr>
          <w:p w14:paraId="1BD56C07" w14:textId="77777777" w:rsidR="00EB13F0" w:rsidRPr="005F69B2" w:rsidRDefault="00EB13F0" w:rsidP="00DB4E44">
            <w:pPr>
              <w:pStyle w:val="TableHead"/>
              <w:spacing w:beforeLines="20" w:before="48" w:afterLines="20" w:after="48"/>
              <w:jc w:val="left"/>
              <w:rPr>
                <w:rFonts w:ascii="Arial" w:hAnsi="Arial" w:cs="Arial"/>
                <w:bCs/>
                <w:sz w:val="22"/>
                <w:szCs w:val="22"/>
                <w:lang w:val="en-AU"/>
              </w:rPr>
            </w:pPr>
          </w:p>
        </w:tc>
        <w:tc>
          <w:tcPr>
            <w:tcW w:w="1790" w:type="dxa"/>
            <w:shd w:val="clear" w:color="auto" w:fill="auto"/>
            <w:vAlign w:val="center"/>
          </w:tcPr>
          <w:p w14:paraId="659E17F7" w14:textId="77777777" w:rsidR="00EB13F0" w:rsidRPr="005F69B2" w:rsidRDefault="00EB13F0" w:rsidP="00EB13F0">
            <w:pPr>
              <w:pStyle w:val="TblTextCenter"/>
              <w:rPr>
                <w:b/>
                <w:bCs/>
                <w:lang w:val="en-AU"/>
              </w:rPr>
            </w:pPr>
            <w:r w:rsidRPr="005F69B2">
              <w:rPr>
                <w:b/>
                <w:bCs/>
                <w:lang w:val="en-AU"/>
              </w:rPr>
              <w:t>MELODY (Primary Cohort)</w:t>
            </w:r>
            <w:r w:rsidRPr="005F69B2">
              <w:rPr>
                <w:b/>
                <w:bCs/>
                <w:vertAlign w:val="superscript"/>
                <w:lang w:val="en-AU"/>
              </w:rPr>
              <w:t>b</w:t>
            </w:r>
          </w:p>
        </w:tc>
        <w:tc>
          <w:tcPr>
            <w:tcW w:w="1794" w:type="dxa"/>
            <w:shd w:val="clear" w:color="auto" w:fill="auto"/>
            <w:vAlign w:val="center"/>
          </w:tcPr>
          <w:p w14:paraId="7D0A4D3F" w14:textId="77777777" w:rsidR="00EB13F0" w:rsidRPr="005F69B2" w:rsidRDefault="00EB13F0" w:rsidP="00EB13F0">
            <w:pPr>
              <w:pStyle w:val="TblTextCenter"/>
              <w:rPr>
                <w:b/>
                <w:bCs/>
                <w:lang w:val="en-AU"/>
              </w:rPr>
            </w:pPr>
            <w:r w:rsidRPr="005F69B2">
              <w:rPr>
                <w:b/>
                <w:bCs/>
                <w:lang w:val="en-AU"/>
              </w:rPr>
              <w:t xml:space="preserve">MELODY </w:t>
            </w:r>
          </w:p>
          <w:p w14:paraId="0F426705" w14:textId="77777777" w:rsidR="00EB13F0" w:rsidRPr="005F69B2" w:rsidRDefault="00EB13F0" w:rsidP="00EB13F0">
            <w:pPr>
              <w:pStyle w:val="TblTextCenter"/>
              <w:rPr>
                <w:b/>
                <w:bCs/>
                <w:lang w:val="en-AU"/>
              </w:rPr>
            </w:pPr>
            <w:r w:rsidRPr="005F69B2">
              <w:rPr>
                <w:b/>
                <w:bCs/>
                <w:lang w:val="en-AU"/>
              </w:rPr>
              <w:t>(All Subjects)</w:t>
            </w:r>
          </w:p>
        </w:tc>
        <w:tc>
          <w:tcPr>
            <w:tcW w:w="1841" w:type="dxa"/>
            <w:shd w:val="clear" w:color="auto" w:fill="auto"/>
          </w:tcPr>
          <w:p w14:paraId="0176EB7C" w14:textId="78FE5FDE" w:rsidR="00EB13F0" w:rsidRPr="005F69B2" w:rsidRDefault="002F5A02" w:rsidP="00EB13F0">
            <w:pPr>
              <w:pStyle w:val="TblTextCenter"/>
              <w:rPr>
                <w:b/>
                <w:bCs/>
                <w:lang w:val="en-AU"/>
              </w:rPr>
            </w:pPr>
            <w:r w:rsidRPr="005F69B2">
              <w:rPr>
                <w:b/>
                <w:bCs/>
                <w:lang w:val="en-AU"/>
              </w:rPr>
              <w:t>D5290C00003</w:t>
            </w:r>
            <w:r w:rsidR="00EB13F0" w:rsidRPr="005F69B2">
              <w:rPr>
                <w:b/>
                <w:bCs/>
                <w:lang w:val="en-AU"/>
              </w:rPr>
              <w:t xml:space="preserve"> (Recommended Dose)</w:t>
            </w:r>
            <w:r w:rsidR="00EB13F0" w:rsidRPr="005F69B2">
              <w:rPr>
                <w:b/>
                <w:bCs/>
                <w:vertAlign w:val="superscript"/>
                <w:lang w:val="en-AU"/>
              </w:rPr>
              <w:t>c</w:t>
            </w:r>
          </w:p>
        </w:tc>
        <w:tc>
          <w:tcPr>
            <w:tcW w:w="1852" w:type="dxa"/>
            <w:shd w:val="clear" w:color="auto" w:fill="auto"/>
          </w:tcPr>
          <w:p w14:paraId="4A349E28" w14:textId="7B7D8642" w:rsidR="00EB13F0" w:rsidRPr="005F69B2" w:rsidRDefault="002F5A02" w:rsidP="00EB13F0">
            <w:pPr>
              <w:pStyle w:val="TblTextCenter"/>
              <w:rPr>
                <w:b/>
                <w:bCs/>
                <w:lang w:val="en-AU"/>
              </w:rPr>
            </w:pPr>
            <w:r w:rsidRPr="005F69B2">
              <w:rPr>
                <w:b/>
                <w:bCs/>
                <w:lang w:val="en-AU"/>
              </w:rPr>
              <w:t>D5290C00003</w:t>
            </w:r>
          </w:p>
        </w:tc>
      </w:tr>
      <w:tr w:rsidR="005F69B2" w:rsidRPr="005F69B2" w14:paraId="076AD2B3" w14:textId="77777777" w:rsidTr="002F5A02">
        <w:trPr>
          <w:cantSplit/>
          <w:tblHeader/>
          <w:jc w:val="center"/>
        </w:trPr>
        <w:tc>
          <w:tcPr>
            <w:tcW w:w="2361" w:type="dxa"/>
            <w:vMerge/>
            <w:shd w:val="clear" w:color="auto" w:fill="auto"/>
            <w:vAlign w:val="center"/>
          </w:tcPr>
          <w:p w14:paraId="3B725A37" w14:textId="77777777" w:rsidR="00EB13F0" w:rsidRPr="005F69B2" w:rsidRDefault="00EB13F0" w:rsidP="00DB4E44">
            <w:pPr>
              <w:pStyle w:val="TableHead"/>
              <w:spacing w:beforeLines="20" w:before="48" w:afterLines="20" w:after="48"/>
              <w:jc w:val="left"/>
              <w:rPr>
                <w:rFonts w:ascii="Arial" w:hAnsi="Arial" w:cs="Arial"/>
                <w:bCs/>
                <w:sz w:val="22"/>
                <w:szCs w:val="22"/>
                <w:lang w:val="en-AU"/>
              </w:rPr>
            </w:pPr>
          </w:p>
        </w:tc>
        <w:tc>
          <w:tcPr>
            <w:tcW w:w="1790" w:type="dxa"/>
            <w:shd w:val="clear" w:color="auto" w:fill="auto"/>
            <w:vAlign w:val="center"/>
          </w:tcPr>
          <w:p w14:paraId="2CFBD416" w14:textId="77777777" w:rsidR="00EB13F0" w:rsidRPr="005F69B2" w:rsidRDefault="00EB13F0" w:rsidP="00EB13F0">
            <w:pPr>
              <w:pStyle w:val="TblTextCenter"/>
              <w:rPr>
                <w:b/>
                <w:bCs/>
                <w:lang w:val="en-AU"/>
              </w:rPr>
            </w:pPr>
            <w:r w:rsidRPr="005F69B2">
              <w:rPr>
                <w:b/>
                <w:bCs/>
                <w:lang w:val="en-AU"/>
              </w:rPr>
              <w:t>Total</w:t>
            </w:r>
            <w:r w:rsidRPr="005F69B2">
              <w:rPr>
                <w:b/>
                <w:bCs/>
                <w:lang w:val="en-AU"/>
              </w:rPr>
              <w:br/>
              <w:t>(N = 1490)</w:t>
            </w:r>
          </w:p>
        </w:tc>
        <w:tc>
          <w:tcPr>
            <w:tcW w:w="1794" w:type="dxa"/>
            <w:shd w:val="clear" w:color="auto" w:fill="auto"/>
            <w:vAlign w:val="center"/>
          </w:tcPr>
          <w:p w14:paraId="54041D3E" w14:textId="77777777" w:rsidR="00EB13F0" w:rsidRPr="005F69B2" w:rsidRDefault="00EB13F0" w:rsidP="00EB13F0">
            <w:pPr>
              <w:pStyle w:val="TblTextCenter"/>
              <w:rPr>
                <w:b/>
                <w:bCs/>
                <w:lang w:val="en-AU"/>
              </w:rPr>
            </w:pPr>
            <w:r w:rsidRPr="005F69B2">
              <w:rPr>
                <w:b/>
                <w:bCs/>
                <w:lang w:val="en-AU"/>
              </w:rPr>
              <w:t>Total</w:t>
            </w:r>
            <w:r w:rsidRPr="005F69B2">
              <w:rPr>
                <w:b/>
                <w:bCs/>
                <w:lang w:val="en-AU"/>
              </w:rPr>
              <w:br/>
              <w:t>(N = 3012)</w:t>
            </w:r>
          </w:p>
        </w:tc>
        <w:tc>
          <w:tcPr>
            <w:tcW w:w="1841" w:type="dxa"/>
            <w:shd w:val="clear" w:color="auto" w:fill="auto"/>
            <w:vAlign w:val="center"/>
          </w:tcPr>
          <w:p w14:paraId="3CE2B7C7" w14:textId="77777777" w:rsidR="00EB13F0" w:rsidRPr="005F69B2" w:rsidRDefault="00EB13F0" w:rsidP="00EB13F0">
            <w:pPr>
              <w:pStyle w:val="TblTextCenter"/>
              <w:rPr>
                <w:b/>
                <w:bCs/>
                <w:lang w:val="en-AU"/>
              </w:rPr>
            </w:pPr>
            <w:r w:rsidRPr="005F69B2">
              <w:rPr>
                <w:b/>
                <w:bCs/>
                <w:lang w:val="en-AU"/>
              </w:rPr>
              <w:t>Total</w:t>
            </w:r>
            <w:r w:rsidRPr="005F69B2">
              <w:rPr>
                <w:b/>
                <w:bCs/>
                <w:lang w:val="en-AU"/>
              </w:rPr>
              <w:br/>
              <w:t>(N = 860)</w:t>
            </w:r>
          </w:p>
        </w:tc>
        <w:tc>
          <w:tcPr>
            <w:tcW w:w="1852" w:type="dxa"/>
            <w:shd w:val="clear" w:color="auto" w:fill="auto"/>
          </w:tcPr>
          <w:p w14:paraId="60B1287B" w14:textId="77777777" w:rsidR="00EB13F0" w:rsidRPr="005F69B2" w:rsidRDefault="00EB13F0" w:rsidP="00EB13F0">
            <w:pPr>
              <w:pStyle w:val="TblTextCenter"/>
              <w:rPr>
                <w:b/>
                <w:bCs/>
                <w:lang w:val="en-AU"/>
              </w:rPr>
            </w:pPr>
            <w:r w:rsidRPr="005F69B2">
              <w:rPr>
                <w:b/>
                <w:bCs/>
                <w:lang w:val="en-AU"/>
              </w:rPr>
              <w:t>Total</w:t>
            </w:r>
            <w:r w:rsidRPr="005F69B2">
              <w:rPr>
                <w:b/>
                <w:bCs/>
                <w:lang w:val="en-AU"/>
              </w:rPr>
              <w:br/>
              <w:t>(N = 1453)</w:t>
            </w:r>
          </w:p>
        </w:tc>
      </w:tr>
      <w:tr w:rsidR="005F69B2" w:rsidRPr="005F69B2" w14:paraId="74431418" w14:textId="77777777" w:rsidTr="002F5A02">
        <w:trPr>
          <w:cantSplit/>
          <w:jc w:val="center"/>
        </w:trPr>
        <w:tc>
          <w:tcPr>
            <w:tcW w:w="7786" w:type="dxa"/>
            <w:gridSpan w:val="4"/>
            <w:shd w:val="clear" w:color="auto" w:fill="auto"/>
            <w:vAlign w:val="center"/>
          </w:tcPr>
          <w:p w14:paraId="2821D29A" w14:textId="77777777" w:rsidR="00EB13F0" w:rsidRPr="005F69B2" w:rsidRDefault="00EB13F0" w:rsidP="00EB13F0">
            <w:pPr>
              <w:pStyle w:val="TblTextCenter"/>
              <w:jc w:val="left"/>
              <w:rPr>
                <w:b/>
                <w:bCs/>
                <w:lang w:val="en-AU"/>
              </w:rPr>
            </w:pPr>
            <w:r w:rsidRPr="005F69B2">
              <w:rPr>
                <w:b/>
                <w:bCs/>
                <w:lang w:val="en-AU"/>
              </w:rPr>
              <w:t xml:space="preserve">Race, n (%) </w:t>
            </w:r>
            <w:r w:rsidRPr="005F69B2">
              <w:rPr>
                <w:b/>
                <w:bCs/>
                <w:vertAlign w:val="superscript"/>
                <w:lang w:val="en-AU"/>
              </w:rPr>
              <w:t>a</w:t>
            </w:r>
          </w:p>
        </w:tc>
        <w:tc>
          <w:tcPr>
            <w:tcW w:w="1852" w:type="dxa"/>
            <w:shd w:val="clear" w:color="auto" w:fill="auto"/>
          </w:tcPr>
          <w:p w14:paraId="349932EA" w14:textId="77777777" w:rsidR="00EB13F0" w:rsidRPr="005F69B2" w:rsidRDefault="00EB13F0" w:rsidP="00EB13F0">
            <w:pPr>
              <w:pStyle w:val="TblTextCenter"/>
              <w:rPr>
                <w:lang w:val="en-AU"/>
              </w:rPr>
            </w:pPr>
          </w:p>
        </w:tc>
      </w:tr>
      <w:tr w:rsidR="005F69B2" w:rsidRPr="005F69B2" w14:paraId="793DDFE4" w14:textId="77777777" w:rsidTr="002F5A02">
        <w:trPr>
          <w:cantSplit/>
          <w:jc w:val="center"/>
        </w:trPr>
        <w:tc>
          <w:tcPr>
            <w:tcW w:w="2361" w:type="dxa"/>
            <w:shd w:val="clear" w:color="auto" w:fill="auto"/>
            <w:vAlign w:val="center"/>
          </w:tcPr>
          <w:p w14:paraId="4C66DBCC" w14:textId="77777777" w:rsidR="00EB13F0" w:rsidRPr="005F69B2" w:rsidRDefault="00EB13F0" w:rsidP="00EB13F0">
            <w:pPr>
              <w:pStyle w:val="TblTextCenter"/>
              <w:rPr>
                <w:lang w:val="en-AU"/>
              </w:rPr>
            </w:pPr>
            <w:r w:rsidRPr="005F69B2">
              <w:rPr>
                <w:lang w:val="en-AU"/>
              </w:rPr>
              <w:lastRenderedPageBreak/>
              <w:t>American Indian or Alaska Native</w:t>
            </w:r>
          </w:p>
        </w:tc>
        <w:tc>
          <w:tcPr>
            <w:tcW w:w="1790" w:type="dxa"/>
            <w:shd w:val="clear" w:color="auto" w:fill="auto"/>
            <w:vAlign w:val="center"/>
          </w:tcPr>
          <w:p w14:paraId="210AFD59" w14:textId="77777777" w:rsidR="00EB13F0" w:rsidRPr="005F69B2" w:rsidRDefault="00EB13F0" w:rsidP="00EB13F0">
            <w:pPr>
              <w:pStyle w:val="TblTextCenter"/>
              <w:rPr>
                <w:lang w:val="en-AU"/>
              </w:rPr>
            </w:pPr>
            <w:r w:rsidRPr="005F69B2">
              <w:rPr>
                <w:lang w:val="en-AU"/>
              </w:rPr>
              <w:t>83 (5.6)</w:t>
            </w:r>
          </w:p>
        </w:tc>
        <w:tc>
          <w:tcPr>
            <w:tcW w:w="1794" w:type="dxa"/>
            <w:shd w:val="clear" w:color="auto" w:fill="auto"/>
            <w:vAlign w:val="center"/>
          </w:tcPr>
          <w:p w14:paraId="3DA609D0" w14:textId="77777777" w:rsidR="00EB13F0" w:rsidRPr="005F69B2" w:rsidRDefault="00EB13F0" w:rsidP="00EB13F0">
            <w:pPr>
              <w:pStyle w:val="TblTextCenter"/>
              <w:rPr>
                <w:lang w:val="en-AU"/>
              </w:rPr>
            </w:pPr>
            <w:r w:rsidRPr="005F69B2">
              <w:rPr>
                <w:lang w:val="en-AU"/>
              </w:rPr>
              <w:t>144 (4.8)</w:t>
            </w:r>
          </w:p>
        </w:tc>
        <w:tc>
          <w:tcPr>
            <w:tcW w:w="1841" w:type="dxa"/>
            <w:shd w:val="clear" w:color="auto" w:fill="auto"/>
            <w:vAlign w:val="center"/>
          </w:tcPr>
          <w:p w14:paraId="25D3392C" w14:textId="77777777" w:rsidR="00EB13F0" w:rsidRPr="005F69B2" w:rsidRDefault="00EB13F0" w:rsidP="00EB13F0">
            <w:pPr>
              <w:pStyle w:val="TblTextCenter"/>
              <w:rPr>
                <w:lang w:val="en-AU"/>
              </w:rPr>
            </w:pPr>
            <w:r w:rsidRPr="005F69B2">
              <w:rPr>
                <w:lang w:val="en-AU"/>
              </w:rPr>
              <w:t>0</w:t>
            </w:r>
          </w:p>
        </w:tc>
        <w:tc>
          <w:tcPr>
            <w:tcW w:w="1852" w:type="dxa"/>
            <w:shd w:val="clear" w:color="auto" w:fill="auto"/>
            <w:vAlign w:val="center"/>
          </w:tcPr>
          <w:p w14:paraId="334500D6" w14:textId="77777777" w:rsidR="00EB13F0" w:rsidRPr="005F69B2" w:rsidRDefault="00EB13F0" w:rsidP="00EB13F0">
            <w:pPr>
              <w:pStyle w:val="TblTextCenter"/>
              <w:rPr>
                <w:lang w:val="en-AU"/>
              </w:rPr>
            </w:pPr>
            <w:r w:rsidRPr="005F69B2">
              <w:rPr>
                <w:lang w:val="en-AU"/>
              </w:rPr>
              <w:t>1 (0.1)</w:t>
            </w:r>
          </w:p>
        </w:tc>
      </w:tr>
      <w:tr w:rsidR="005F69B2" w:rsidRPr="005F69B2" w14:paraId="7F4DB06F" w14:textId="77777777" w:rsidTr="002F5A02">
        <w:trPr>
          <w:cantSplit/>
          <w:jc w:val="center"/>
        </w:trPr>
        <w:tc>
          <w:tcPr>
            <w:tcW w:w="2361" w:type="dxa"/>
            <w:shd w:val="clear" w:color="auto" w:fill="auto"/>
            <w:vAlign w:val="center"/>
          </w:tcPr>
          <w:p w14:paraId="55C318F9" w14:textId="77777777" w:rsidR="00EB13F0" w:rsidRPr="005F69B2" w:rsidRDefault="00EB13F0" w:rsidP="00EB13F0">
            <w:pPr>
              <w:pStyle w:val="TblTextCenter"/>
              <w:rPr>
                <w:lang w:val="en-AU"/>
              </w:rPr>
            </w:pPr>
            <w:r w:rsidRPr="005F69B2">
              <w:rPr>
                <w:lang w:val="en-AU"/>
              </w:rPr>
              <w:t>Asian</w:t>
            </w:r>
          </w:p>
        </w:tc>
        <w:tc>
          <w:tcPr>
            <w:tcW w:w="1790" w:type="dxa"/>
            <w:shd w:val="clear" w:color="auto" w:fill="auto"/>
            <w:vAlign w:val="center"/>
          </w:tcPr>
          <w:p w14:paraId="38A1FF12" w14:textId="77777777" w:rsidR="00EB13F0" w:rsidRPr="005F69B2" w:rsidRDefault="00EB13F0" w:rsidP="00EB13F0">
            <w:pPr>
              <w:pStyle w:val="TblTextCenter"/>
              <w:rPr>
                <w:lang w:val="en-AU"/>
              </w:rPr>
            </w:pPr>
            <w:r w:rsidRPr="005F69B2">
              <w:rPr>
                <w:lang w:val="en-AU"/>
              </w:rPr>
              <w:t>54 (3.6)</w:t>
            </w:r>
          </w:p>
        </w:tc>
        <w:tc>
          <w:tcPr>
            <w:tcW w:w="1794" w:type="dxa"/>
            <w:shd w:val="clear" w:color="auto" w:fill="auto"/>
          </w:tcPr>
          <w:p w14:paraId="39C31D9F" w14:textId="77777777" w:rsidR="00EB13F0" w:rsidRPr="005F69B2" w:rsidRDefault="00EB13F0" w:rsidP="00EB13F0">
            <w:pPr>
              <w:pStyle w:val="TblTextCenter"/>
              <w:rPr>
                <w:lang w:val="en-AU"/>
              </w:rPr>
            </w:pPr>
            <w:r w:rsidRPr="005F69B2">
              <w:rPr>
                <w:lang w:val="en-AU"/>
              </w:rPr>
              <w:t>159 (5.3)</w:t>
            </w:r>
          </w:p>
        </w:tc>
        <w:tc>
          <w:tcPr>
            <w:tcW w:w="1841" w:type="dxa"/>
            <w:shd w:val="clear" w:color="auto" w:fill="auto"/>
            <w:vAlign w:val="center"/>
          </w:tcPr>
          <w:p w14:paraId="0D542C90" w14:textId="77777777" w:rsidR="00EB13F0" w:rsidRPr="005F69B2" w:rsidRDefault="00EB13F0" w:rsidP="00EB13F0">
            <w:pPr>
              <w:pStyle w:val="TblTextCenter"/>
              <w:rPr>
                <w:lang w:val="en-AU"/>
              </w:rPr>
            </w:pPr>
            <w:r w:rsidRPr="005F69B2">
              <w:rPr>
                <w:lang w:val="en-AU"/>
              </w:rPr>
              <w:t>9 (1.0)</w:t>
            </w:r>
          </w:p>
        </w:tc>
        <w:tc>
          <w:tcPr>
            <w:tcW w:w="1852" w:type="dxa"/>
            <w:shd w:val="clear" w:color="auto" w:fill="auto"/>
            <w:vAlign w:val="center"/>
          </w:tcPr>
          <w:p w14:paraId="713E54F2" w14:textId="77777777" w:rsidR="00EB13F0" w:rsidRPr="005F69B2" w:rsidRDefault="00EB13F0" w:rsidP="00EB13F0">
            <w:pPr>
              <w:pStyle w:val="TblTextCenter"/>
              <w:rPr>
                <w:lang w:val="en-AU"/>
              </w:rPr>
            </w:pPr>
            <w:r w:rsidRPr="005F69B2">
              <w:rPr>
                <w:lang w:val="en-AU"/>
              </w:rPr>
              <w:t>15 (1.0)</w:t>
            </w:r>
          </w:p>
        </w:tc>
      </w:tr>
      <w:tr w:rsidR="005F69B2" w:rsidRPr="005F69B2" w14:paraId="6A90B06C" w14:textId="77777777" w:rsidTr="002F5A02">
        <w:trPr>
          <w:cantSplit/>
          <w:jc w:val="center"/>
        </w:trPr>
        <w:tc>
          <w:tcPr>
            <w:tcW w:w="2361" w:type="dxa"/>
            <w:shd w:val="clear" w:color="auto" w:fill="auto"/>
            <w:vAlign w:val="center"/>
          </w:tcPr>
          <w:p w14:paraId="6276A183" w14:textId="77777777" w:rsidR="00EB13F0" w:rsidRPr="005F69B2" w:rsidRDefault="00EB13F0" w:rsidP="00EB13F0">
            <w:pPr>
              <w:pStyle w:val="TblTextCenter"/>
              <w:rPr>
                <w:lang w:val="en-AU"/>
              </w:rPr>
            </w:pPr>
            <w:r w:rsidRPr="005F69B2">
              <w:rPr>
                <w:lang w:val="en-AU"/>
              </w:rPr>
              <w:t>Black or African American</w:t>
            </w:r>
          </w:p>
        </w:tc>
        <w:tc>
          <w:tcPr>
            <w:tcW w:w="1790" w:type="dxa"/>
            <w:shd w:val="clear" w:color="auto" w:fill="auto"/>
            <w:vAlign w:val="center"/>
          </w:tcPr>
          <w:p w14:paraId="7C1EFCEC" w14:textId="77777777" w:rsidR="00EB13F0" w:rsidRPr="005F69B2" w:rsidRDefault="00EB13F0" w:rsidP="00EB13F0">
            <w:pPr>
              <w:pStyle w:val="TblTextCenter"/>
              <w:rPr>
                <w:lang w:val="en-AU"/>
              </w:rPr>
            </w:pPr>
            <w:r w:rsidRPr="005F69B2">
              <w:rPr>
                <w:lang w:val="en-AU"/>
              </w:rPr>
              <w:t>422 (28.4)</w:t>
            </w:r>
          </w:p>
        </w:tc>
        <w:tc>
          <w:tcPr>
            <w:tcW w:w="1794" w:type="dxa"/>
            <w:shd w:val="clear" w:color="auto" w:fill="auto"/>
            <w:vAlign w:val="center"/>
          </w:tcPr>
          <w:p w14:paraId="4BD9DDDF" w14:textId="77777777" w:rsidR="00EB13F0" w:rsidRPr="005F69B2" w:rsidRDefault="00EB13F0" w:rsidP="00EB13F0">
            <w:pPr>
              <w:pStyle w:val="TblTextCenter"/>
              <w:rPr>
                <w:lang w:val="en-AU"/>
              </w:rPr>
            </w:pPr>
            <w:r w:rsidRPr="005F69B2">
              <w:rPr>
                <w:lang w:val="en-AU"/>
              </w:rPr>
              <w:t>437 (14.5)</w:t>
            </w:r>
          </w:p>
        </w:tc>
        <w:tc>
          <w:tcPr>
            <w:tcW w:w="1841" w:type="dxa"/>
            <w:shd w:val="clear" w:color="auto" w:fill="auto"/>
            <w:vAlign w:val="center"/>
          </w:tcPr>
          <w:p w14:paraId="0021A2D6" w14:textId="77777777" w:rsidR="00EB13F0" w:rsidRPr="005F69B2" w:rsidRDefault="00EB13F0" w:rsidP="00EB13F0">
            <w:pPr>
              <w:pStyle w:val="TblTextCenter"/>
              <w:rPr>
                <w:lang w:val="en-AU"/>
              </w:rPr>
            </w:pPr>
            <w:r w:rsidRPr="005F69B2">
              <w:rPr>
                <w:lang w:val="en-AU"/>
              </w:rPr>
              <w:t>160 (18.6)</w:t>
            </w:r>
          </w:p>
        </w:tc>
        <w:tc>
          <w:tcPr>
            <w:tcW w:w="1852" w:type="dxa"/>
            <w:shd w:val="clear" w:color="auto" w:fill="auto"/>
            <w:vAlign w:val="center"/>
          </w:tcPr>
          <w:p w14:paraId="257091A8" w14:textId="77777777" w:rsidR="00EB13F0" w:rsidRPr="005F69B2" w:rsidRDefault="00EB13F0" w:rsidP="00EB13F0">
            <w:pPr>
              <w:pStyle w:val="TblTextCenter"/>
              <w:rPr>
                <w:lang w:val="en-AU"/>
              </w:rPr>
            </w:pPr>
            <w:r w:rsidRPr="005F69B2">
              <w:rPr>
                <w:lang w:val="en-AU"/>
              </w:rPr>
              <w:t>256 (17.6)</w:t>
            </w:r>
          </w:p>
        </w:tc>
      </w:tr>
      <w:tr w:rsidR="005F69B2" w:rsidRPr="005F69B2" w14:paraId="7BEC6FF3" w14:textId="77777777" w:rsidTr="002F5A02">
        <w:trPr>
          <w:cantSplit/>
          <w:jc w:val="center"/>
        </w:trPr>
        <w:tc>
          <w:tcPr>
            <w:tcW w:w="2361" w:type="dxa"/>
            <w:shd w:val="clear" w:color="auto" w:fill="auto"/>
            <w:vAlign w:val="center"/>
          </w:tcPr>
          <w:p w14:paraId="4BCD1805" w14:textId="77777777" w:rsidR="00EB13F0" w:rsidRPr="005F69B2" w:rsidRDefault="00EB13F0" w:rsidP="00EB13F0">
            <w:pPr>
              <w:pStyle w:val="TblTextCenter"/>
              <w:rPr>
                <w:lang w:val="en-AU"/>
              </w:rPr>
            </w:pPr>
            <w:r w:rsidRPr="005F69B2">
              <w:rPr>
                <w:lang w:val="en-AU"/>
              </w:rPr>
              <w:t>Native Hawaiian or other Pacific Islander</w:t>
            </w:r>
          </w:p>
        </w:tc>
        <w:tc>
          <w:tcPr>
            <w:tcW w:w="1790" w:type="dxa"/>
            <w:shd w:val="clear" w:color="auto" w:fill="auto"/>
            <w:vAlign w:val="center"/>
          </w:tcPr>
          <w:p w14:paraId="161F4A2A" w14:textId="77777777" w:rsidR="00EB13F0" w:rsidRPr="005F69B2" w:rsidRDefault="00EB13F0" w:rsidP="00EB13F0">
            <w:pPr>
              <w:pStyle w:val="TblTextCenter"/>
              <w:rPr>
                <w:lang w:val="en-AU"/>
              </w:rPr>
            </w:pPr>
            <w:r w:rsidRPr="005F69B2">
              <w:rPr>
                <w:lang w:val="en-AU"/>
              </w:rPr>
              <w:t>11 (0.7)</w:t>
            </w:r>
          </w:p>
        </w:tc>
        <w:tc>
          <w:tcPr>
            <w:tcW w:w="1794" w:type="dxa"/>
            <w:shd w:val="clear" w:color="auto" w:fill="auto"/>
            <w:vAlign w:val="center"/>
          </w:tcPr>
          <w:p w14:paraId="496CF8A3" w14:textId="77777777" w:rsidR="00EB13F0" w:rsidRPr="005F69B2" w:rsidRDefault="00EB13F0" w:rsidP="00EB13F0">
            <w:pPr>
              <w:pStyle w:val="TblTextCenter"/>
              <w:rPr>
                <w:lang w:val="en-AU"/>
              </w:rPr>
            </w:pPr>
            <w:r w:rsidRPr="005F69B2">
              <w:rPr>
                <w:lang w:val="en-AU"/>
              </w:rPr>
              <w:t>23 (0.8)</w:t>
            </w:r>
          </w:p>
        </w:tc>
        <w:tc>
          <w:tcPr>
            <w:tcW w:w="1841" w:type="dxa"/>
            <w:shd w:val="clear" w:color="auto" w:fill="auto"/>
            <w:vAlign w:val="center"/>
          </w:tcPr>
          <w:p w14:paraId="748B54B6" w14:textId="77777777" w:rsidR="00EB13F0" w:rsidRPr="005F69B2" w:rsidRDefault="00EB13F0" w:rsidP="00EB13F0">
            <w:pPr>
              <w:pStyle w:val="TblTextCenter"/>
              <w:rPr>
                <w:lang w:val="en-AU"/>
              </w:rPr>
            </w:pPr>
            <w:r w:rsidRPr="005F69B2">
              <w:rPr>
                <w:lang w:val="en-AU"/>
              </w:rPr>
              <w:t>9 (1.0)</w:t>
            </w:r>
          </w:p>
        </w:tc>
        <w:tc>
          <w:tcPr>
            <w:tcW w:w="1852" w:type="dxa"/>
            <w:shd w:val="clear" w:color="auto" w:fill="auto"/>
            <w:vAlign w:val="center"/>
          </w:tcPr>
          <w:p w14:paraId="203DBF9B" w14:textId="77777777" w:rsidR="00EB13F0" w:rsidRPr="005F69B2" w:rsidRDefault="00EB13F0" w:rsidP="00EB13F0">
            <w:pPr>
              <w:pStyle w:val="TblTextCenter"/>
              <w:rPr>
                <w:lang w:val="en-AU"/>
              </w:rPr>
            </w:pPr>
            <w:r w:rsidRPr="005F69B2">
              <w:rPr>
                <w:lang w:val="en-AU"/>
              </w:rPr>
              <w:t>11 (0.8)</w:t>
            </w:r>
          </w:p>
        </w:tc>
      </w:tr>
      <w:tr w:rsidR="005F69B2" w:rsidRPr="005F69B2" w14:paraId="577DFEA6" w14:textId="77777777" w:rsidTr="002F5A02">
        <w:trPr>
          <w:cantSplit/>
          <w:jc w:val="center"/>
        </w:trPr>
        <w:tc>
          <w:tcPr>
            <w:tcW w:w="2361" w:type="dxa"/>
            <w:shd w:val="clear" w:color="auto" w:fill="auto"/>
            <w:vAlign w:val="center"/>
          </w:tcPr>
          <w:p w14:paraId="388FCAE5" w14:textId="77777777" w:rsidR="00EB13F0" w:rsidRPr="005F69B2" w:rsidRDefault="00EB13F0" w:rsidP="00EB13F0">
            <w:pPr>
              <w:pStyle w:val="TblTextCenter"/>
              <w:rPr>
                <w:lang w:val="en-AU"/>
              </w:rPr>
            </w:pPr>
            <w:r w:rsidRPr="005F69B2">
              <w:rPr>
                <w:lang w:val="en-AU"/>
              </w:rPr>
              <w:t>White</w:t>
            </w:r>
          </w:p>
        </w:tc>
        <w:tc>
          <w:tcPr>
            <w:tcW w:w="1790" w:type="dxa"/>
            <w:shd w:val="clear" w:color="auto" w:fill="auto"/>
            <w:vAlign w:val="center"/>
          </w:tcPr>
          <w:p w14:paraId="7F67725A" w14:textId="77777777" w:rsidR="00EB13F0" w:rsidRPr="005F69B2" w:rsidRDefault="00EB13F0" w:rsidP="00EB13F0">
            <w:pPr>
              <w:pStyle w:val="TblTextCenter"/>
              <w:rPr>
                <w:lang w:val="en-AU"/>
              </w:rPr>
            </w:pPr>
            <w:r w:rsidRPr="005F69B2">
              <w:rPr>
                <w:lang w:val="en-AU"/>
              </w:rPr>
              <w:t>796 (53.5)</w:t>
            </w:r>
          </w:p>
        </w:tc>
        <w:tc>
          <w:tcPr>
            <w:tcW w:w="1794" w:type="dxa"/>
            <w:shd w:val="clear" w:color="auto" w:fill="auto"/>
            <w:vAlign w:val="center"/>
          </w:tcPr>
          <w:p w14:paraId="3E9AEB9E" w14:textId="77777777" w:rsidR="00EB13F0" w:rsidRPr="005F69B2" w:rsidRDefault="00EB13F0" w:rsidP="00EB13F0">
            <w:pPr>
              <w:pStyle w:val="TblTextCenter"/>
              <w:rPr>
                <w:lang w:val="en-AU"/>
              </w:rPr>
            </w:pPr>
            <w:r w:rsidRPr="005F69B2">
              <w:rPr>
                <w:lang w:val="en-AU"/>
              </w:rPr>
              <w:t>1593 (52.9)</w:t>
            </w:r>
          </w:p>
        </w:tc>
        <w:tc>
          <w:tcPr>
            <w:tcW w:w="1841" w:type="dxa"/>
            <w:shd w:val="clear" w:color="auto" w:fill="auto"/>
            <w:vAlign w:val="center"/>
          </w:tcPr>
          <w:p w14:paraId="584DEF3A" w14:textId="77777777" w:rsidR="00EB13F0" w:rsidRPr="005F69B2" w:rsidRDefault="00EB13F0" w:rsidP="00EB13F0">
            <w:pPr>
              <w:pStyle w:val="TblTextCenter"/>
              <w:rPr>
                <w:lang w:val="en-AU"/>
              </w:rPr>
            </w:pPr>
            <w:r w:rsidRPr="005F69B2">
              <w:rPr>
                <w:lang w:val="en-AU"/>
              </w:rPr>
              <w:t>601 (70.0)</w:t>
            </w:r>
          </w:p>
        </w:tc>
        <w:tc>
          <w:tcPr>
            <w:tcW w:w="1852" w:type="dxa"/>
            <w:shd w:val="clear" w:color="auto" w:fill="auto"/>
            <w:vAlign w:val="center"/>
          </w:tcPr>
          <w:p w14:paraId="40DF7450" w14:textId="77777777" w:rsidR="00EB13F0" w:rsidRPr="005F69B2" w:rsidRDefault="00EB13F0" w:rsidP="00EB13F0">
            <w:pPr>
              <w:pStyle w:val="TblTextCenter"/>
              <w:rPr>
                <w:lang w:val="en-AU"/>
              </w:rPr>
            </w:pPr>
            <w:r w:rsidRPr="005F69B2">
              <w:rPr>
                <w:lang w:val="en-AU"/>
              </w:rPr>
              <w:t>1048 (72.2)</w:t>
            </w:r>
          </w:p>
        </w:tc>
      </w:tr>
      <w:tr w:rsidR="005F69B2" w:rsidRPr="005F69B2" w14:paraId="3CF44440" w14:textId="77777777" w:rsidTr="002F5A02">
        <w:trPr>
          <w:cantSplit/>
          <w:jc w:val="center"/>
        </w:trPr>
        <w:tc>
          <w:tcPr>
            <w:tcW w:w="7786" w:type="dxa"/>
            <w:gridSpan w:val="4"/>
            <w:shd w:val="clear" w:color="auto" w:fill="auto"/>
            <w:vAlign w:val="center"/>
          </w:tcPr>
          <w:p w14:paraId="179EFB20" w14:textId="77777777" w:rsidR="00EB13F0" w:rsidRPr="005F69B2" w:rsidRDefault="00EB13F0" w:rsidP="00EB13F0">
            <w:pPr>
              <w:pStyle w:val="TblTextCenter"/>
              <w:jc w:val="left"/>
              <w:rPr>
                <w:b/>
                <w:bCs/>
                <w:lang w:val="en-AU"/>
              </w:rPr>
            </w:pPr>
            <w:r w:rsidRPr="005F69B2">
              <w:rPr>
                <w:b/>
                <w:bCs/>
                <w:lang w:val="en-AU"/>
              </w:rPr>
              <w:t>Weight group on Day 1, n (%)</w:t>
            </w:r>
          </w:p>
        </w:tc>
        <w:tc>
          <w:tcPr>
            <w:tcW w:w="1852" w:type="dxa"/>
            <w:shd w:val="clear" w:color="auto" w:fill="auto"/>
          </w:tcPr>
          <w:p w14:paraId="4914C5C7" w14:textId="77777777" w:rsidR="00EB13F0" w:rsidRPr="005F69B2" w:rsidRDefault="00EB13F0" w:rsidP="00EB13F0">
            <w:pPr>
              <w:pStyle w:val="TblTextCenter"/>
              <w:rPr>
                <w:lang w:val="en-AU"/>
              </w:rPr>
            </w:pPr>
          </w:p>
        </w:tc>
      </w:tr>
      <w:tr w:rsidR="005F69B2" w:rsidRPr="005F69B2" w14:paraId="5726EBAD" w14:textId="77777777" w:rsidTr="002F5A02">
        <w:trPr>
          <w:cantSplit/>
          <w:jc w:val="center"/>
        </w:trPr>
        <w:tc>
          <w:tcPr>
            <w:tcW w:w="2361" w:type="dxa"/>
            <w:shd w:val="clear" w:color="auto" w:fill="auto"/>
            <w:vAlign w:val="center"/>
          </w:tcPr>
          <w:p w14:paraId="01EB26BE" w14:textId="77777777" w:rsidR="00EB13F0" w:rsidRPr="005F69B2" w:rsidRDefault="00EB13F0" w:rsidP="00EB13F0">
            <w:pPr>
              <w:pStyle w:val="TblTextCenter"/>
              <w:rPr>
                <w:lang w:val="en-AU"/>
              </w:rPr>
            </w:pPr>
            <w:r w:rsidRPr="005F69B2">
              <w:rPr>
                <w:lang w:val="en-AU"/>
              </w:rPr>
              <w:tab/>
              <w:t>&lt;2.5 kg</w:t>
            </w:r>
          </w:p>
        </w:tc>
        <w:tc>
          <w:tcPr>
            <w:tcW w:w="1790" w:type="dxa"/>
            <w:shd w:val="clear" w:color="auto" w:fill="auto"/>
          </w:tcPr>
          <w:p w14:paraId="3539F22F" w14:textId="77777777" w:rsidR="00EB13F0" w:rsidRPr="005F69B2" w:rsidRDefault="00EB13F0" w:rsidP="00EB13F0">
            <w:pPr>
              <w:pStyle w:val="TblTextCenter"/>
              <w:rPr>
                <w:lang w:val="en-AU"/>
              </w:rPr>
            </w:pPr>
            <w:r w:rsidRPr="005F69B2">
              <w:rPr>
                <w:lang w:val="en-AU"/>
              </w:rPr>
              <w:t>37 (2.5)</w:t>
            </w:r>
          </w:p>
        </w:tc>
        <w:tc>
          <w:tcPr>
            <w:tcW w:w="1794" w:type="dxa"/>
            <w:shd w:val="clear" w:color="auto" w:fill="auto"/>
          </w:tcPr>
          <w:p w14:paraId="0B0CC088" w14:textId="77777777" w:rsidR="00EB13F0" w:rsidRPr="005F69B2" w:rsidRDefault="00EB13F0" w:rsidP="00EB13F0">
            <w:pPr>
              <w:pStyle w:val="TblTextCenter"/>
              <w:rPr>
                <w:lang w:val="en-AU"/>
              </w:rPr>
            </w:pPr>
            <w:r w:rsidRPr="005F69B2">
              <w:rPr>
                <w:lang w:val="en-AU"/>
              </w:rPr>
              <w:t>73 (2.4)</w:t>
            </w:r>
          </w:p>
        </w:tc>
        <w:tc>
          <w:tcPr>
            <w:tcW w:w="1841" w:type="dxa"/>
            <w:shd w:val="clear" w:color="auto" w:fill="auto"/>
          </w:tcPr>
          <w:p w14:paraId="0342E884" w14:textId="77777777" w:rsidR="00EB13F0" w:rsidRPr="005F69B2" w:rsidRDefault="00EB13F0" w:rsidP="00EB13F0">
            <w:pPr>
              <w:pStyle w:val="TblTextCenter"/>
              <w:rPr>
                <w:lang w:val="en-AU"/>
              </w:rPr>
            </w:pPr>
            <w:r w:rsidRPr="005F69B2">
              <w:rPr>
                <w:lang w:val="en-AU"/>
              </w:rPr>
              <w:t>246 (28.6)</w:t>
            </w:r>
          </w:p>
        </w:tc>
        <w:tc>
          <w:tcPr>
            <w:tcW w:w="1852" w:type="dxa"/>
            <w:shd w:val="clear" w:color="auto" w:fill="auto"/>
          </w:tcPr>
          <w:p w14:paraId="38DED1E4" w14:textId="77777777" w:rsidR="00EB13F0" w:rsidRPr="005F69B2" w:rsidRDefault="00EB13F0" w:rsidP="00EB13F0">
            <w:pPr>
              <w:pStyle w:val="TblTextCenter"/>
              <w:rPr>
                <w:lang w:val="en-AU"/>
              </w:rPr>
            </w:pPr>
            <w:r w:rsidRPr="005F69B2">
              <w:rPr>
                <w:lang w:val="en-AU"/>
              </w:rPr>
              <w:t>246 (17.0)</w:t>
            </w:r>
          </w:p>
        </w:tc>
      </w:tr>
      <w:tr w:rsidR="005F69B2" w:rsidRPr="005F69B2" w14:paraId="00F8C1DF" w14:textId="77777777" w:rsidTr="002F5A02">
        <w:trPr>
          <w:cantSplit/>
          <w:jc w:val="center"/>
        </w:trPr>
        <w:tc>
          <w:tcPr>
            <w:tcW w:w="2361" w:type="dxa"/>
            <w:shd w:val="clear" w:color="auto" w:fill="auto"/>
            <w:vAlign w:val="center"/>
          </w:tcPr>
          <w:p w14:paraId="0B2C2025" w14:textId="77777777" w:rsidR="00EB13F0" w:rsidRPr="005F69B2" w:rsidRDefault="00EB13F0" w:rsidP="00EB13F0">
            <w:pPr>
              <w:pStyle w:val="TblTextCenter"/>
              <w:rPr>
                <w:lang w:val="en-AU"/>
              </w:rPr>
            </w:pPr>
            <w:r w:rsidRPr="005F69B2">
              <w:rPr>
                <w:lang w:val="en-AU"/>
              </w:rPr>
              <w:tab/>
              <w:t>&lt;5 kg</w:t>
            </w:r>
          </w:p>
        </w:tc>
        <w:tc>
          <w:tcPr>
            <w:tcW w:w="1790" w:type="dxa"/>
            <w:shd w:val="clear" w:color="auto" w:fill="auto"/>
            <w:vAlign w:val="center"/>
          </w:tcPr>
          <w:p w14:paraId="36D9EC2E" w14:textId="77777777" w:rsidR="00EB13F0" w:rsidRPr="005F69B2" w:rsidRDefault="00EB13F0" w:rsidP="00EB13F0">
            <w:pPr>
              <w:pStyle w:val="TblTextCenter"/>
              <w:rPr>
                <w:lang w:val="en-AU"/>
              </w:rPr>
            </w:pPr>
            <w:r w:rsidRPr="005F69B2">
              <w:rPr>
                <w:lang w:val="en-AU"/>
              </w:rPr>
              <w:t>595 (40.0)</w:t>
            </w:r>
          </w:p>
        </w:tc>
        <w:tc>
          <w:tcPr>
            <w:tcW w:w="1794" w:type="dxa"/>
            <w:shd w:val="clear" w:color="auto" w:fill="auto"/>
            <w:vAlign w:val="center"/>
          </w:tcPr>
          <w:p w14:paraId="61467827" w14:textId="77777777" w:rsidR="00EB13F0" w:rsidRPr="005F69B2" w:rsidRDefault="00EB13F0" w:rsidP="00EB13F0">
            <w:pPr>
              <w:pStyle w:val="TblTextCenter"/>
              <w:rPr>
                <w:lang w:val="en-AU"/>
              </w:rPr>
            </w:pPr>
            <w:r w:rsidRPr="005F69B2">
              <w:rPr>
                <w:lang w:val="en-AU"/>
              </w:rPr>
              <w:t>1192 (39.6)</w:t>
            </w:r>
          </w:p>
        </w:tc>
        <w:tc>
          <w:tcPr>
            <w:tcW w:w="1841" w:type="dxa"/>
            <w:shd w:val="clear" w:color="auto" w:fill="auto"/>
            <w:vAlign w:val="center"/>
          </w:tcPr>
          <w:p w14:paraId="677C4908" w14:textId="77777777" w:rsidR="00EB13F0" w:rsidRPr="005F69B2" w:rsidRDefault="00EB13F0" w:rsidP="00EB13F0">
            <w:pPr>
              <w:pStyle w:val="TblTextCenter"/>
              <w:rPr>
                <w:lang w:val="en-AU"/>
              </w:rPr>
            </w:pPr>
            <w:r w:rsidRPr="005F69B2">
              <w:rPr>
                <w:lang w:val="en-AU"/>
              </w:rPr>
              <w:t>860 (100.0)</w:t>
            </w:r>
          </w:p>
        </w:tc>
        <w:tc>
          <w:tcPr>
            <w:tcW w:w="1852" w:type="dxa"/>
            <w:shd w:val="clear" w:color="auto" w:fill="auto"/>
            <w:vAlign w:val="center"/>
          </w:tcPr>
          <w:p w14:paraId="260AA215" w14:textId="77777777" w:rsidR="00EB13F0" w:rsidRPr="005F69B2" w:rsidRDefault="00EB13F0" w:rsidP="00EB13F0">
            <w:pPr>
              <w:pStyle w:val="TblTextCenter"/>
              <w:rPr>
                <w:lang w:val="en-AU"/>
              </w:rPr>
            </w:pPr>
            <w:r w:rsidRPr="005F69B2">
              <w:rPr>
                <w:lang w:val="en-AU"/>
              </w:rPr>
              <w:t>860 (59.5)</w:t>
            </w:r>
          </w:p>
        </w:tc>
      </w:tr>
      <w:tr w:rsidR="005F69B2" w:rsidRPr="005F69B2" w14:paraId="163D4356" w14:textId="77777777" w:rsidTr="002F5A02">
        <w:trPr>
          <w:cantSplit/>
          <w:jc w:val="center"/>
        </w:trPr>
        <w:tc>
          <w:tcPr>
            <w:tcW w:w="2361" w:type="dxa"/>
            <w:shd w:val="clear" w:color="auto" w:fill="auto"/>
            <w:vAlign w:val="center"/>
          </w:tcPr>
          <w:p w14:paraId="62322B00" w14:textId="77777777" w:rsidR="00EB13F0" w:rsidRPr="005F69B2" w:rsidRDefault="00EB13F0" w:rsidP="00EB13F0">
            <w:pPr>
              <w:pStyle w:val="TblTextCenter"/>
              <w:rPr>
                <w:lang w:val="en-AU"/>
              </w:rPr>
            </w:pPr>
            <w:r w:rsidRPr="005F69B2">
              <w:rPr>
                <w:lang w:val="en-AU"/>
              </w:rPr>
              <w:t>≥5 kg</w:t>
            </w:r>
          </w:p>
        </w:tc>
        <w:tc>
          <w:tcPr>
            <w:tcW w:w="1790" w:type="dxa"/>
            <w:shd w:val="clear" w:color="auto" w:fill="auto"/>
            <w:vAlign w:val="center"/>
          </w:tcPr>
          <w:p w14:paraId="39A89889" w14:textId="77777777" w:rsidR="00EB13F0" w:rsidRPr="005F69B2" w:rsidRDefault="00EB13F0" w:rsidP="00EB13F0">
            <w:pPr>
              <w:pStyle w:val="TblTextCenter"/>
              <w:rPr>
                <w:lang w:val="en-AU"/>
              </w:rPr>
            </w:pPr>
            <w:r w:rsidRPr="005F69B2">
              <w:rPr>
                <w:lang w:val="en-AU"/>
              </w:rPr>
              <w:t>893 (60.0)</w:t>
            </w:r>
          </w:p>
        </w:tc>
        <w:tc>
          <w:tcPr>
            <w:tcW w:w="1794" w:type="dxa"/>
            <w:shd w:val="clear" w:color="auto" w:fill="auto"/>
            <w:vAlign w:val="center"/>
          </w:tcPr>
          <w:p w14:paraId="13F0968A" w14:textId="77777777" w:rsidR="00EB13F0" w:rsidRPr="005F69B2" w:rsidRDefault="00EB13F0" w:rsidP="00EB13F0">
            <w:pPr>
              <w:pStyle w:val="TblTextCenter"/>
              <w:rPr>
                <w:lang w:val="en-AU"/>
              </w:rPr>
            </w:pPr>
            <w:r w:rsidRPr="005F69B2">
              <w:rPr>
                <w:lang w:val="en-AU"/>
              </w:rPr>
              <w:t>1817 (60.4)</w:t>
            </w:r>
          </w:p>
        </w:tc>
        <w:tc>
          <w:tcPr>
            <w:tcW w:w="1841" w:type="dxa"/>
            <w:shd w:val="clear" w:color="auto" w:fill="auto"/>
            <w:vAlign w:val="center"/>
          </w:tcPr>
          <w:p w14:paraId="0FCBECA6" w14:textId="77777777" w:rsidR="00EB13F0" w:rsidRPr="005F69B2" w:rsidRDefault="00EB13F0" w:rsidP="00EB13F0">
            <w:pPr>
              <w:pStyle w:val="TblTextCenter"/>
              <w:rPr>
                <w:lang w:val="en-AU"/>
              </w:rPr>
            </w:pPr>
            <w:r w:rsidRPr="005F69B2">
              <w:rPr>
                <w:lang w:val="en-AU"/>
              </w:rPr>
              <w:t>0</w:t>
            </w:r>
          </w:p>
        </w:tc>
        <w:tc>
          <w:tcPr>
            <w:tcW w:w="1852" w:type="dxa"/>
            <w:shd w:val="clear" w:color="auto" w:fill="auto"/>
            <w:vAlign w:val="center"/>
          </w:tcPr>
          <w:p w14:paraId="1D425ED8" w14:textId="77777777" w:rsidR="00EB13F0" w:rsidRPr="005F69B2" w:rsidRDefault="00EB13F0" w:rsidP="00EB13F0">
            <w:pPr>
              <w:pStyle w:val="TblTextCenter"/>
              <w:rPr>
                <w:lang w:val="en-AU"/>
              </w:rPr>
            </w:pPr>
            <w:r w:rsidRPr="005F69B2">
              <w:rPr>
                <w:lang w:val="en-AU"/>
              </w:rPr>
              <w:t>585 (40.9)</w:t>
            </w:r>
          </w:p>
        </w:tc>
      </w:tr>
      <w:tr w:rsidR="005F69B2" w:rsidRPr="005F69B2" w14:paraId="02DA0227" w14:textId="77777777" w:rsidTr="002F5A02">
        <w:trPr>
          <w:cantSplit/>
          <w:jc w:val="center"/>
        </w:trPr>
        <w:tc>
          <w:tcPr>
            <w:tcW w:w="7786" w:type="dxa"/>
            <w:gridSpan w:val="4"/>
            <w:shd w:val="clear" w:color="auto" w:fill="auto"/>
            <w:vAlign w:val="center"/>
          </w:tcPr>
          <w:p w14:paraId="474CFCEE" w14:textId="77777777" w:rsidR="00EB13F0" w:rsidRPr="005F69B2" w:rsidRDefault="00EB13F0" w:rsidP="00EB13F0">
            <w:pPr>
              <w:pStyle w:val="TblTextCenter"/>
              <w:jc w:val="left"/>
              <w:rPr>
                <w:b/>
                <w:bCs/>
                <w:lang w:val="en-AU"/>
              </w:rPr>
            </w:pPr>
            <w:r w:rsidRPr="005F69B2">
              <w:rPr>
                <w:b/>
                <w:bCs/>
                <w:lang w:val="en-AU"/>
              </w:rPr>
              <w:t>Gestational age group, n (%)</w:t>
            </w:r>
          </w:p>
        </w:tc>
        <w:tc>
          <w:tcPr>
            <w:tcW w:w="1852" w:type="dxa"/>
            <w:shd w:val="clear" w:color="auto" w:fill="auto"/>
          </w:tcPr>
          <w:p w14:paraId="6F900343" w14:textId="77777777" w:rsidR="00EB13F0" w:rsidRPr="005F69B2" w:rsidRDefault="00EB13F0" w:rsidP="00EB13F0">
            <w:pPr>
              <w:pStyle w:val="TblTextCenter"/>
              <w:rPr>
                <w:lang w:val="en-AU"/>
              </w:rPr>
            </w:pPr>
          </w:p>
        </w:tc>
      </w:tr>
      <w:tr w:rsidR="005F69B2" w:rsidRPr="005F69B2" w14:paraId="7C2EAA36" w14:textId="77777777" w:rsidTr="002F5A02">
        <w:trPr>
          <w:cantSplit/>
          <w:jc w:val="center"/>
        </w:trPr>
        <w:tc>
          <w:tcPr>
            <w:tcW w:w="2361" w:type="dxa"/>
            <w:shd w:val="clear" w:color="auto" w:fill="auto"/>
            <w:vAlign w:val="center"/>
          </w:tcPr>
          <w:p w14:paraId="0091395C" w14:textId="77777777" w:rsidR="00EB13F0" w:rsidRPr="005F69B2" w:rsidRDefault="00EB13F0" w:rsidP="00EB13F0">
            <w:pPr>
              <w:pStyle w:val="TblTextCenter"/>
              <w:rPr>
                <w:lang w:val="en-AU"/>
              </w:rPr>
            </w:pPr>
            <w:r w:rsidRPr="005F69B2">
              <w:rPr>
                <w:lang w:val="en-AU"/>
              </w:rPr>
              <w:t>&lt;29 weeks</w:t>
            </w:r>
          </w:p>
        </w:tc>
        <w:tc>
          <w:tcPr>
            <w:tcW w:w="1790" w:type="dxa"/>
            <w:shd w:val="clear" w:color="auto" w:fill="auto"/>
            <w:vAlign w:val="center"/>
          </w:tcPr>
          <w:p w14:paraId="5E5231D3" w14:textId="77777777" w:rsidR="00EB13F0" w:rsidRPr="005F69B2" w:rsidRDefault="00EB13F0" w:rsidP="00EB13F0">
            <w:pPr>
              <w:pStyle w:val="TblTextCenter"/>
              <w:rPr>
                <w:lang w:val="en-AU"/>
              </w:rPr>
            </w:pPr>
            <w:r w:rsidRPr="005F69B2">
              <w:rPr>
                <w:lang w:val="en-AU"/>
              </w:rPr>
              <w:t>NA</w:t>
            </w:r>
          </w:p>
        </w:tc>
        <w:tc>
          <w:tcPr>
            <w:tcW w:w="1794" w:type="dxa"/>
            <w:shd w:val="clear" w:color="auto" w:fill="auto"/>
            <w:vAlign w:val="center"/>
          </w:tcPr>
          <w:p w14:paraId="124E4D5B" w14:textId="77777777" w:rsidR="00EB13F0" w:rsidRPr="005F69B2" w:rsidRDefault="00EB13F0" w:rsidP="00EB13F0">
            <w:pPr>
              <w:pStyle w:val="TblTextCenter"/>
              <w:rPr>
                <w:lang w:val="en-AU"/>
              </w:rPr>
            </w:pPr>
            <w:r w:rsidRPr="005F69B2">
              <w:rPr>
                <w:lang w:val="en-AU"/>
              </w:rPr>
              <w:t>NA</w:t>
            </w:r>
          </w:p>
        </w:tc>
        <w:tc>
          <w:tcPr>
            <w:tcW w:w="1841" w:type="dxa"/>
            <w:shd w:val="clear" w:color="auto" w:fill="auto"/>
            <w:vAlign w:val="center"/>
          </w:tcPr>
          <w:p w14:paraId="60FA5D65" w14:textId="77777777" w:rsidR="00EB13F0" w:rsidRPr="005F69B2" w:rsidRDefault="00EB13F0" w:rsidP="00EB13F0">
            <w:pPr>
              <w:pStyle w:val="TblTextCenter"/>
              <w:rPr>
                <w:lang w:val="en-AU"/>
              </w:rPr>
            </w:pPr>
            <w:r w:rsidRPr="005F69B2">
              <w:rPr>
                <w:lang w:val="en-AU"/>
              </w:rPr>
              <w:t>NA</w:t>
            </w:r>
          </w:p>
        </w:tc>
        <w:tc>
          <w:tcPr>
            <w:tcW w:w="1852" w:type="dxa"/>
            <w:shd w:val="clear" w:color="auto" w:fill="auto"/>
            <w:vAlign w:val="center"/>
          </w:tcPr>
          <w:p w14:paraId="7FDDD483" w14:textId="77777777" w:rsidR="00EB13F0" w:rsidRPr="005F69B2" w:rsidRDefault="00EB13F0" w:rsidP="00EB13F0">
            <w:pPr>
              <w:pStyle w:val="TblTextCenter"/>
              <w:rPr>
                <w:lang w:val="en-AU"/>
              </w:rPr>
            </w:pPr>
            <w:r w:rsidRPr="005F69B2">
              <w:rPr>
                <w:lang w:val="en-AU"/>
              </w:rPr>
              <w:t>NA</w:t>
            </w:r>
          </w:p>
        </w:tc>
      </w:tr>
      <w:tr w:rsidR="005F69B2" w:rsidRPr="005F69B2" w14:paraId="0EC5AF3D" w14:textId="77777777" w:rsidTr="002F5A02">
        <w:trPr>
          <w:cantSplit/>
          <w:jc w:val="center"/>
        </w:trPr>
        <w:tc>
          <w:tcPr>
            <w:tcW w:w="2361" w:type="dxa"/>
            <w:shd w:val="clear" w:color="auto" w:fill="auto"/>
            <w:vAlign w:val="center"/>
          </w:tcPr>
          <w:p w14:paraId="2544C6F1" w14:textId="77777777" w:rsidR="00EB13F0" w:rsidRPr="005F69B2" w:rsidRDefault="00EB13F0" w:rsidP="00EB13F0">
            <w:pPr>
              <w:pStyle w:val="TblTextCenter"/>
              <w:rPr>
                <w:lang w:val="en-AU"/>
              </w:rPr>
            </w:pPr>
            <w:r w:rsidRPr="005F69B2">
              <w:rPr>
                <w:lang w:val="en-AU"/>
              </w:rPr>
              <w:t>≥29 to &lt;32 weeks</w:t>
            </w:r>
          </w:p>
        </w:tc>
        <w:tc>
          <w:tcPr>
            <w:tcW w:w="1790" w:type="dxa"/>
            <w:shd w:val="clear" w:color="auto" w:fill="auto"/>
            <w:vAlign w:val="center"/>
          </w:tcPr>
          <w:p w14:paraId="5A90BFA0" w14:textId="77777777" w:rsidR="00EB13F0" w:rsidRPr="005F69B2" w:rsidRDefault="00EB13F0" w:rsidP="00EB13F0">
            <w:pPr>
              <w:pStyle w:val="TblTextCenter"/>
              <w:rPr>
                <w:lang w:val="en-AU"/>
              </w:rPr>
            </w:pPr>
            <w:r w:rsidRPr="005F69B2">
              <w:rPr>
                <w:lang w:val="en-AU"/>
              </w:rPr>
              <w:t>NA</w:t>
            </w:r>
          </w:p>
        </w:tc>
        <w:tc>
          <w:tcPr>
            <w:tcW w:w="1794" w:type="dxa"/>
            <w:shd w:val="clear" w:color="auto" w:fill="auto"/>
            <w:vAlign w:val="center"/>
          </w:tcPr>
          <w:p w14:paraId="7E14402D" w14:textId="77777777" w:rsidR="00EB13F0" w:rsidRPr="005F69B2" w:rsidRDefault="00EB13F0" w:rsidP="00EB13F0">
            <w:pPr>
              <w:pStyle w:val="TblTextCenter"/>
              <w:rPr>
                <w:lang w:val="en-AU"/>
              </w:rPr>
            </w:pPr>
            <w:r w:rsidRPr="005F69B2">
              <w:rPr>
                <w:lang w:val="en-AU"/>
              </w:rPr>
              <w:t>NA</w:t>
            </w:r>
          </w:p>
        </w:tc>
        <w:tc>
          <w:tcPr>
            <w:tcW w:w="1841" w:type="dxa"/>
            <w:shd w:val="clear" w:color="auto" w:fill="auto"/>
            <w:vAlign w:val="center"/>
          </w:tcPr>
          <w:p w14:paraId="69EF037E" w14:textId="77777777" w:rsidR="00EB13F0" w:rsidRPr="005F69B2" w:rsidRDefault="00EB13F0" w:rsidP="00EB13F0">
            <w:pPr>
              <w:pStyle w:val="TblTextCenter"/>
              <w:rPr>
                <w:lang w:val="en-AU"/>
              </w:rPr>
            </w:pPr>
            <w:r w:rsidRPr="005F69B2">
              <w:rPr>
                <w:lang w:val="en-AU"/>
              </w:rPr>
              <w:t>189 (22.2)</w:t>
            </w:r>
          </w:p>
        </w:tc>
        <w:tc>
          <w:tcPr>
            <w:tcW w:w="1852" w:type="dxa"/>
            <w:shd w:val="clear" w:color="auto" w:fill="auto"/>
            <w:vAlign w:val="center"/>
          </w:tcPr>
          <w:p w14:paraId="1165F070" w14:textId="77777777" w:rsidR="00EB13F0" w:rsidRPr="005F69B2" w:rsidRDefault="00EB13F0" w:rsidP="00EB13F0">
            <w:pPr>
              <w:pStyle w:val="TblTextCenter"/>
              <w:rPr>
                <w:lang w:val="en-AU"/>
              </w:rPr>
            </w:pPr>
            <w:r w:rsidRPr="005F69B2">
              <w:rPr>
                <w:lang w:val="en-AU"/>
              </w:rPr>
              <w:t>294 (20.3)</w:t>
            </w:r>
          </w:p>
        </w:tc>
      </w:tr>
      <w:tr w:rsidR="005F69B2" w:rsidRPr="005F69B2" w14:paraId="5927BEAE" w14:textId="77777777" w:rsidTr="002F5A02">
        <w:trPr>
          <w:cantSplit/>
          <w:jc w:val="center"/>
        </w:trPr>
        <w:tc>
          <w:tcPr>
            <w:tcW w:w="2361" w:type="dxa"/>
            <w:shd w:val="clear" w:color="auto" w:fill="auto"/>
            <w:vAlign w:val="center"/>
          </w:tcPr>
          <w:p w14:paraId="50E073A0" w14:textId="77777777" w:rsidR="00EB13F0" w:rsidRPr="005F69B2" w:rsidRDefault="00EB13F0" w:rsidP="00EB13F0">
            <w:pPr>
              <w:pStyle w:val="TblTextCenter"/>
              <w:rPr>
                <w:lang w:val="en-AU"/>
              </w:rPr>
            </w:pPr>
            <w:r w:rsidRPr="005F69B2">
              <w:rPr>
                <w:lang w:val="en-AU"/>
              </w:rPr>
              <w:t>≥32 to &lt;35 weeks</w:t>
            </w:r>
          </w:p>
        </w:tc>
        <w:tc>
          <w:tcPr>
            <w:tcW w:w="1790" w:type="dxa"/>
            <w:shd w:val="clear" w:color="auto" w:fill="auto"/>
            <w:vAlign w:val="center"/>
          </w:tcPr>
          <w:p w14:paraId="4DC0B15E" w14:textId="77777777" w:rsidR="00EB13F0" w:rsidRPr="005F69B2" w:rsidRDefault="00EB13F0" w:rsidP="00EB13F0">
            <w:pPr>
              <w:pStyle w:val="TblTextCenter"/>
              <w:rPr>
                <w:lang w:val="en-AU"/>
              </w:rPr>
            </w:pPr>
            <w:r w:rsidRPr="005F69B2">
              <w:rPr>
                <w:lang w:val="en-AU"/>
              </w:rPr>
              <w:t>NA</w:t>
            </w:r>
          </w:p>
        </w:tc>
        <w:tc>
          <w:tcPr>
            <w:tcW w:w="1794" w:type="dxa"/>
            <w:shd w:val="clear" w:color="auto" w:fill="auto"/>
            <w:vAlign w:val="center"/>
          </w:tcPr>
          <w:p w14:paraId="746140BB" w14:textId="77777777" w:rsidR="00EB13F0" w:rsidRPr="005F69B2" w:rsidRDefault="00EB13F0" w:rsidP="00EB13F0">
            <w:pPr>
              <w:pStyle w:val="TblTextCenter"/>
              <w:rPr>
                <w:lang w:val="en-AU"/>
              </w:rPr>
            </w:pPr>
            <w:r w:rsidRPr="005F69B2">
              <w:rPr>
                <w:lang w:val="en-AU"/>
              </w:rPr>
              <w:t>NA</w:t>
            </w:r>
          </w:p>
        </w:tc>
        <w:tc>
          <w:tcPr>
            <w:tcW w:w="1841" w:type="dxa"/>
            <w:shd w:val="clear" w:color="auto" w:fill="auto"/>
            <w:vAlign w:val="center"/>
          </w:tcPr>
          <w:p w14:paraId="51FD411D" w14:textId="77777777" w:rsidR="00EB13F0" w:rsidRPr="005F69B2" w:rsidRDefault="00EB13F0" w:rsidP="00EB13F0">
            <w:pPr>
              <w:pStyle w:val="TblTextCenter"/>
              <w:rPr>
                <w:lang w:val="en-AU"/>
              </w:rPr>
            </w:pPr>
            <w:r w:rsidRPr="005F69B2">
              <w:rPr>
                <w:lang w:val="en-AU"/>
              </w:rPr>
              <w:t>664 (77.8)</w:t>
            </w:r>
          </w:p>
        </w:tc>
        <w:tc>
          <w:tcPr>
            <w:tcW w:w="1852" w:type="dxa"/>
            <w:shd w:val="clear" w:color="auto" w:fill="auto"/>
            <w:vAlign w:val="center"/>
          </w:tcPr>
          <w:p w14:paraId="7BB7E70C" w14:textId="77777777" w:rsidR="00EB13F0" w:rsidRPr="005F69B2" w:rsidRDefault="00EB13F0" w:rsidP="00EB13F0">
            <w:pPr>
              <w:pStyle w:val="TblTextCenter"/>
              <w:rPr>
                <w:lang w:val="en-AU"/>
              </w:rPr>
            </w:pPr>
            <w:r w:rsidRPr="005F69B2">
              <w:rPr>
                <w:lang w:val="en-AU"/>
              </w:rPr>
              <w:t>1152 (79.7)</w:t>
            </w:r>
          </w:p>
        </w:tc>
      </w:tr>
      <w:tr w:rsidR="005F69B2" w:rsidRPr="005F69B2" w14:paraId="0128C9CC" w14:textId="77777777" w:rsidTr="002F5A02">
        <w:trPr>
          <w:cantSplit/>
          <w:jc w:val="center"/>
        </w:trPr>
        <w:tc>
          <w:tcPr>
            <w:tcW w:w="2361" w:type="dxa"/>
            <w:shd w:val="clear" w:color="auto" w:fill="auto"/>
            <w:vAlign w:val="center"/>
          </w:tcPr>
          <w:p w14:paraId="64CAF4D9" w14:textId="77777777" w:rsidR="00EB13F0" w:rsidRPr="005F69B2" w:rsidRDefault="00EB13F0" w:rsidP="00EB13F0">
            <w:pPr>
              <w:pStyle w:val="TblTextCenter"/>
              <w:rPr>
                <w:lang w:val="en-AU"/>
              </w:rPr>
            </w:pPr>
            <w:r w:rsidRPr="005F69B2">
              <w:rPr>
                <w:lang w:val="en-AU"/>
              </w:rPr>
              <w:t>≥35 weeks to &lt;37 weeks</w:t>
            </w:r>
          </w:p>
        </w:tc>
        <w:tc>
          <w:tcPr>
            <w:tcW w:w="1790" w:type="dxa"/>
            <w:shd w:val="clear" w:color="auto" w:fill="auto"/>
            <w:vAlign w:val="center"/>
          </w:tcPr>
          <w:p w14:paraId="5920084A" w14:textId="77777777" w:rsidR="00EB13F0" w:rsidRPr="005F69B2" w:rsidRDefault="00EB13F0" w:rsidP="00EB13F0">
            <w:pPr>
              <w:pStyle w:val="TblTextCenter"/>
              <w:rPr>
                <w:lang w:val="en-AU"/>
              </w:rPr>
            </w:pPr>
            <w:r w:rsidRPr="005F69B2">
              <w:rPr>
                <w:lang w:val="en-AU"/>
              </w:rPr>
              <w:t>208 (14.0)</w:t>
            </w:r>
          </w:p>
        </w:tc>
        <w:tc>
          <w:tcPr>
            <w:tcW w:w="1794" w:type="dxa"/>
            <w:shd w:val="clear" w:color="auto" w:fill="auto"/>
            <w:vAlign w:val="center"/>
          </w:tcPr>
          <w:p w14:paraId="3CEAE875" w14:textId="77777777" w:rsidR="00EB13F0" w:rsidRPr="005F69B2" w:rsidRDefault="00EB13F0" w:rsidP="00EB13F0">
            <w:pPr>
              <w:pStyle w:val="TblTextCenter"/>
              <w:rPr>
                <w:lang w:val="en-AU"/>
              </w:rPr>
            </w:pPr>
            <w:r w:rsidRPr="005F69B2">
              <w:rPr>
                <w:lang w:val="en-AU"/>
              </w:rPr>
              <w:t>361 (12.0)</w:t>
            </w:r>
          </w:p>
        </w:tc>
        <w:tc>
          <w:tcPr>
            <w:tcW w:w="1841" w:type="dxa"/>
            <w:shd w:val="clear" w:color="auto" w:fill="auto"/>
            <w:vAlign w:val="center"/>
          </w:tcPr>
          <w:p w14:paraId="1AE4A7B9" w14:textId="77777777" w:rsidR="00EB13F0" w:rsidRPr="005F69B2" w:rsidRDefault="00EB13F0" w:rsidP="00EB13F0">
            <w:pPr>
              <w:pStyle w:val="TblTextCenter"/>
              <w:rPr>
                <w:lang w:val="en-AU"/>
              </w:rPr>
            </w:pPr>
            <w:r w:rsidRPr="005F69B2">
              <w:rPr>
                <w:lang w:val="en-AU"/>
              </w:rPr>
              <w:t>NA</w:t>
            </w:r>
          </w:p>
        </w:tc>
        <w:tc>
          <w:tcPr>
            <w:tcW w:w="1852" w:type="dxa"/>
            <w:shd w:val="clear" w:color="auto" w:fill="auto"/>
            <w:vAlign w:val="center"/>
          </w:tcPr>
          <w:p w14:paraId="5103282B" w14:textId="77777777" w:rsidR="00EB13F0" w:rsidRPr="005F69B2" w:rsidRDefault="00EB13F0" w:rsidP="00EB13F0">
            <w:pPr>
              <w:pStyle w:val="TblTextCenter"/>
              <w:rPr>
                <w:lang w:val="en-AU"/>
              </w:rPr>
            </w:pPr>
            <w:r w:rsidRPr="005F69B2">
              <w:rPr>
                <w:lang w:val="en-AU"/>
              </w:rPr>
              <w:t>NA</w:t>
            </w:r>
          </w:p>
        </w:tc>
      </w:tr>
      <w:tr w:rsidR="005F69B2" w:rsidRPr="005F69B2" w14:paraId="44DE06EA" w14:textId="77777777" w:rsidTr="002F5A02">
        <w:trPr>
          <w:cantSplit/>
          <w:jc w:val="center"/>
        </w:trPr>
        <w:tc>
          <w:tcPr>
            <w:tcW w:w="2361" w:type="dxa"/>
            <w:tcBorders>
              <w:bottom w:val="single" w:sz="12" w:space="0" w:color="auto"/>
            </w:tcBorders>
            <w:shd w:val="clear" w:color="auto" w:fill="auto"/>
            <w:vAlign w:val="center"/>
          </w:tcPr>
          <w:p w14:paraId="14D2583A" w14:textId="77777777" w:rsidR="00EB13F0" w:rsidRPr="005F69B2" w:rsidRDefault="00EB13F0" w:rsidP="00EB13F0">
            <w:pPr>
              <w:pStyle w:val="TblTextCenter"/>
              <w:rPr>
                <w:lang w:val="en-AU"/>
              </w:rPr>
            </w:pPr>
            <w:r w:rsidRPr="005F69B2">
              <w:rPr>
                <w:lang w:val="en-AU"/>
              </w:rPr>
              <w:t>≥37 weeks</w:t>
            </w:r>
          </w:p>
        </w:tc>
        <w:tc>
          <w:tcPr>
            <w:tcW w:w="1790" w:type="dxa"/>
            <w:tcBorders>
              <w:bottom w:val="single" w:sz="12" w:space="0" w:color="auto"/>
            </w:tcBorders>
            <w:shd w:val="clear" w:color="auto" w:fill="auto"/>
            <w:vAlign w:val="center"/>
          </w:tcPr>
          <w:p w14:paraId="648F56A0" w14:textId="77777777" w:rsidR="00EB13F0" w:rsidRPr="005F69B2" w:rsidRDefault="00EB13F0" w:rsidP="00EB13F0">
            <w:pPr>
              <w:pStyle w:val="TblTextCenter"/>
              <w:rPr>
                <w:lang w:val="en-AU"/>
              </w:rPr>
            </w:pPr>
            <w:r w:rsidRPr="005F69B2">
              <w:rPr>
                <w:lang w:val="en-AU"/>
              </w:rPr>
              <w:t>1280 (86.0)</w:t>
            </w:r>
          </w:p>
        </w:tc>
        <w:tc>
          <w:tcPr>
            <w:tcW w:w="1794" w:type="dxa"/>
            <w:tcBorders>
              <w:bottom w:val="single" w:sz="12" w:space="0" w:color="auto"/>
            </w:tcBorders>
            <w:shd w:val="clear" w:color="auto" w:fill="auto"/>
            <w:vAlign w:val="center"/>
          </w:tcPr>
          <w:p w14:paraId="69FB2E3F" w14:textId="77777777" w:rsidR="00EB13F0" w:rsidRPr="005F69B2" w:rsidRDefault="00EB13F0" w:rsidP="00EB13F0">
            <w:pPr>
              <w:pStyle w:val="TblTextCenter"/>
              <w:rPr>
                <w:lang w:val="en-AU"/>
              </w:rPr>
            </w:pPr>
            <w:r w:rsidRPr="005F69B2">
              <w:rPr>
                <w:lang w:val="en-AU"/>
              </w:rPr>
              <w:t>2649 (88.0)</w:t>
            </w:r>
          </w:p>
        </w:tc>
        <w:tc>
          <w:tcPr>
            <w:tcW w:w="1841" w:type="dxa"/>
            <w:tcBorders>
              <w:bottom w:val="single" w:sz="12" w:space="0" w:color="auto"/>
            </w:tcBorders>
            <w:shd w:val="clear" w:color="auto" w:fill="auto"/>
            <w:vAlign w:val="center"/>
          </w:tcPr>
          <w:p w14:paraId="642A219E" w14:textId="77777777" w:rsidR="00EB13F0" w:rsidRPr="005F69B2" w:rsidRDefault="00EB13F0" w:rsidP="00EB13F0">
            <w:pPr>
              <w:pStyle w:val="TblTextCenter"/>
              <w:rPr>
                <w:lang w:val="en-AU"/>
              </w:rPr>
            </w:pPr>
            <w:r w:rsidRPr="005F69B2">
              <w:rPr>
                <w:lang w:val="en-AU"/>
              </w:rPr>
              <w:t>NA</w:t>
            </w:r>
          </w:p>
        </w:tc>
        <w:tc>
          <w:tcPr>
            <w:tcW w:w="1852" w:type="dxa"/>
            <w:tcBorders>
              <w:bottom w:val="single" w:sz="12" w:space="0" w:color="auto"/>
            </w:tcBorders>
            <w:shd w:val="clear" w:color="auto" w:fill="auto"/>
            <w:vAlign w:val="center"/>
          </w:tcPr>
          <w:p w14:paraId="3F589878" w14:textId="77777777" w:rsidR="00EB13F0" w:rsidRPr="005F69B2" w:rsidRDefault="00EB13F0" w:rsidP="00EB13F0">
            <w:pPr>
              <w:pStyle w:val="TblTextCenter"/>
              <w:rPr>
                <w:lang w:val="en-AU"/>
              </w:rPr>
            </w:pPr>
            <w:r w:rsidRPr="005F69B2">
              <w:rPr>
                <w:lang w:val="en-AU"/>
              </w:rPr>
              <w:t>NA</w:t>
            </w:r>
          </w:p>
        </w:tc>
      </w:tr>
      <w:tr w:rsidR="005F69B2" w:rsidRPr="005F69B2" w14:paraId="2A305628" w14:textId="77777777" w:rsidTr="00EB13F0">
        <w:trPr>
          <w:cantSplit/>
          <w:jc w:val="center"/>
        </w:trPr>
        <w:tc>
          <w:tcPr>
            <w:tcW w:w="0" w:type="auto"/>
            <w:gridSpan w:val="5"/>
            <w:tcBorders>
              <w:top w:val="single" w:sz="12" w:space="0" w:color="auto"/>
            </w:tcBorders>
            <w:shd w:val="clear" w:color="auto" w:fill="auto"/>
            <w:vAlign w:val="center"/>
          </w:tcPr>
          <w:p w14:paraId="237B00E5" w14:textId="77777777" w:rsidR="00EB13F0" w:rsidRPr="005F69B2" w:rsidRDefault="00EB13F0" w:rsidP="00EB13F0">
            <w:pPr>
              <w:pStyle w:val="TblFigFootnote"/>
              <w:rPr>
                <w:lang w:val="en-AU"/>
              </w:rPr>
            </w:pPr>
            <w:r w:rsidRPr="005F69B2">
              <w:rPr>
                <w:lang w:val="en-AU"/>
              </w:rPr>
              <w:t>a   Each race category counts subjects who selected only that category.</w:t>
            </w:r>
          </w:p>
          <w:p w14:paraId="40DE0B30" w14:textId="58772446" w:rsidR="00EB13F0" w:rsidRPr="005F69B2" w:rsidRDefault="00EB13F0" w:rsidP="00EB13F0">
            <w:pPr>
              <w:pStyle w:val="TblFigFootnote"/>
              <w:rPr>
                <w:lang w:val="en-AU"/>
              </w:rPr>
            </w:pPr>
            <w:r w:rsidRPr="005F69B2">
              <w:rPr>
                <w:lang w:val="en-AU"/>
              </w:rPr>
              <w:t>b   MELODY (Primary Cohort): All randomized subjects through 510 days post dose (DCO 09 August 2021)</w:t>
            </w:r>
          </w:p>
          <w:p w14:paraId="5ACDF4AC" w14:textId="405893F3" w:rsidR="00EB13F0" w:rsidRPr="005F69B2" w:rsidRDefault="00EB13F0" w:rsidP="00EB13F0">
            <w:pPr>
              <w:pStyle w:val="TblFigFootnote"/>
              <w:rPr>
                <w:lang w:val="en-AU"/>
              </w:rPr>
            </w:pPr>
            <w:r w:rsidRPr="005F69B2">
              <w:rPr>
                <w:lang w:val="en-AU"/>
              </w:rPr>
              <w:t xml:space="preserve">c   </w:t>
            </w:r>
            <w:r w:rsidR="002F5A02" w:rsidRPr="005F69B2">
              <w:rPr>
                <w:lang w:val="en-AU"/>
              </w:rPr>
              <w:t>D5290C00003</w:t>
            </w:r>
            <w:r w:rsidRPr="005F69B2">
              <w:rPr>
                <w:lang w:val="en-AU"/>
              </w:rPr>
              <w:t xml:space="preserve"> (Recommended Dose): All randomized subjects who received the recommended dose of nirsevimab (i.e., excluding subjects weighting ≥5 kg at the time of dosing)</w:t>
            </w:r>
          </w:p>
        </w:tc>
      </w:tr>
    </w:tbl>
    <w:p w14:paraId="081B45F3" w14:textId="10C9CD28" w:rsidR="001D2FE7" w:rsidRPr="005F69B2" w:rsidRDefault="005F0E69" w:rsidP="005F0E69">
      <w:pPr>
        <w:pStyle w:val="Caption"/>
        <w:rPr>
          <w:lang w:val="en-AU"/>
        </w:rPr>
      </w:pPr>
      <w:r w:rsidRPr="005F69B2">
        <w:rPr>
          <w:lang w:val="en-AU"/>
        </w:rPr>
        <w:t xml:space="preserve"> </w:t>
      </w:r>
      <w:bookmarkStart w:id="24" w:name="_Ref145515053"/>
      <w:r w:rsidRPr="005F69B2">
        <w:rPr>
          <w:lang w:val="en-AU"/>
        </w:rPr>
        <w:t>Table </w:t>
      </w:r>
      <w:r w:rsidRPr="005F69B2">
        <w:rPr>
          <w:lang w:val="en-AU"/>
        </w:rPr>
        <w:fldChar w:fldCharType="begin"/>
      </w:r>
      <w:r w:rsidRPr="005F69B2">
        <w:rPr>
          <w:lang w:val="en-AU"/>
        </w:rPr>
        <w:instrText xml:space="preserve"> SEQ Table \* ARABIC </w:instrText>
      </w:r>
      <w:r w:rsidRPr="005F69B2">
        <w:rPr>
          <w:lang w:val="en-AU"/>
        </w:rPr>
        <w:fldChar w:fldCharType="separate"/>
      </w:r>
      <w:r w:rsidR="006040F3">
        <w:rPr>
          <w:noProof/>
          <w:lang w:val="en-AU"/>
        </w:rPr>
        <w:t>5</w:t>
      </w:r>
      <w:r w:rsidRPr="005F69B2">
        <w:rPr>
          <w:lang w:val="en-AU"/>
        </w:rPr>
        <w:fldChar w:fldCharType="end"/>
      </w:r>
      <w:bookmarkEnd w:id="24"/>
      <w:r w:rsidRPr="005F69B2">
        <w:rPr>
          <w:lang w:val="en-AU"/>
        </w:rPr>
        <w:t xml:space="preserve"> ­ Select Demographic and Baseline Characteristics – MEDLEY (RSV Season 1) and MEDLEY (RSV Season 2)</w:t>
      </w:r>
    </w:p>
    <w:tbl>
      <w:tblPr>
        <w:tblW w:w="0" w:type="auto"/>
        <w:jc w:val="center"/>
        <w:tblBorders>
          <w:top w:val="single" w:sz="2" w:space="0" w:color="000000"/>
        </w:tblBorders>
        <w:tblLook w:val="0000" w:firstRow="0" w:lastRow="0" w:firstColumn="0" w:lastColumn="0" w:noHBand="0" w:noVBand="0"/>
      </w:tblPr>
      <w:tblGrid>
        <w:gridCol w:w="3170"/>
        <w:gridCol w:w="2352"/>
        <w:gridCol w:w="3377"/>
      </w:tblGrid>
      <w:tr w:rsidR="005F69B2" w:rsidRPr="005F69B2" w14:paraId="0ABC2465" w14:textId="77777777" w:rsidTr="00EB13F0">
        <w:trPr>
          <w:cantSplit/>
          <w:tblHeader/>
          <w:jc w:val="center"/>
        </w:trPr>
        <w:tc>
          <w:tcPr>
            <w:tcW w:w="0" w:type="auto"/>
            <w:tcBorders>
              <w:top w:val="single" w:sz="4" w:space="0" w:color="000000"/>
              <w:bottom w:val="single" w:sz="4" w:space="0" w:color="000000"/>
            </w:tcBorders>
            <w:shd w:val="clear" w:color="auto" w:fill="auto"/>
            <w:vAlign w:val="center"/>
          </w:tcPr>
          <w:p w14:paraId="1A44B072" w14:textId="77777777" w:rsidR="00EB13F0" w:rsidRPr="005F69B2" w:rsidRDefault="00EB13F0" w:rsidP="00EB13F0">
            <w:pPr>
              <w:pStyle w:val="TblHeadingCenter"/>
              <w:rPr>
                <w:lang w:val="en-AU"/>
              </w:rPr>
            </w:pPr>
          </w:p>
        </w:tc>
        <w:tc>
          <w:tcPr>
            <w:tcW w:w="0" w:type="auto"/>
            <w:gridSpan w:val="2"/>
            <w:tcBorders>
              <w:top w:val="single" w:sz="4" w:space="0" w:color="000000"/>
              <w:bottom w:val="single" w:sz="4" w:space="0" w:color="000000"/>
            </w:tcBorders>
            <w:shd w:val="clear" w:color="auto" w:fill="auto"/>
            <w:vAlign w:val="center"/>
          </w:tcPr>
          <w:p w14:paraId="5831D4C3" w14:textId="77777777" w:rsidR="00EB13F0" w:rsidRPr="005F69B2" w:rsidRDefault="00EB13F0" w:rsidP="00EB13F0">
            <w:pPr>
              <w:pStyle w:val="TblHeadingCenter"/>
              <w:rPr>
                <w:lang w:val="en-AU"/>
              </w:rPr>
            </w:pPr>
            <w:r w:rsidRPr="005F69B2">
              <w:rPr>
                <w:lang w:val="en-AU"/>
              </w:rPr>
              <w:t xml:space="preserve">Infants and Children at higher risk for severe RSV disease </w:t>
            </w:r>
          </w:p>
        </w:tc>
      </w:tr>
      <w:tr w:rsidR="005F69B2" w:rsidRPr="005F69B2" w14:paraId="4ABCC947" w14:textId="77777777" w:rsidTr="00EB13F0">
        <w:trPr>
          <w:cantSplit/>
          <w:tblHeader/>
          <w:jc w:val="center"/>
        </w:trPr>
        <w:tc>
          <w:tcPr>
            <w:tcW w:w="0" w:type="auto"/>
            <w:vMerge w:val="restart"/>
            <w:tcBorders>
              <w:top w:val="single" w:sz="4" w:space="0" w:color="000000"/>
            </w:tcBorders>
            <w:shd w:val="clear" w:color="auto" w:fill="auto"/>
            <w:vAlign w:val="center"/>
          </w:tcPr>
          <w:p w14:paraId="6ECCEB37" w14:textId="77777777" w:rsidR="00EB13F0" w:rsidRPr="005F69B2" w:rsidRDefault="00EB13F0" w:rsidP="00EB13F0">
            <w:pPr>
              <w:pStyle w:val="TblTextCenter"/>
              <w:jc w:val="left"/>
              <w:rPr>
                <w:b/>
                <w:bCs/>
                <w:lang w:val="en-AU"/>
              </w:rPr>
            </w:pPr>
            <w:r w:rsidRPr="005F69B2">
              <w:rPr>
                <w:b/>
                <w:bCs/>
                <w:lang w:val="en-AU"/>
              </w:rPr>
              <w:t>Statistic</w:t>
            </w:r>
          </w:p>
        </w:tc>
        <w:tc>
          <w:tcPr>
            <w:tcW w:w="0" w:type="auto"/>
            <w:tcBorders>
              <w:top w:val="single" w:sz="4" w:space="0" w:color="000000"/>
            </w:tcBorders>
            <w:shd w:val="clear" w:color="auto" w:fill="auto"/>
            <w:vAlign w:val="center"/>
          </w:tcPr>
          <w:p w14:paraId="4668837B" w14:textId="77777777" w:rsidR="00EB13F0" w:rsidRPr="005F69B2" w:rsidRDefault="00EB13F0" w:rsidP="00EB13F0">
            <w:pPr>
              <w:pStyle w:val="TblTextCenter"/>
              <w:rPr>
                <w:b/>
                <w:bCs/>
                <w:lang w:val="en-AU"/>
              </w:rPr>
            </w:pPr>
            <w:r w:rsidRPr="005F69B2">
              <w:rPr>
                <w:b/>
                <w:bCs/>
                <w:lang w:val="en-AU"/>
              </w:rPr>
              <w:t xml:space="preserve">MEDLEY RSV Season 1 </w:t>
            </w:r>
          </w:p>
        </w:tc>
        <w:tc>
          <w:tcPr>
            <w:tcW w:w="0" w:type="auto"/>
            <w:tcBorders>
              <w:top w:val="single" w:sz="4" w:space="0" w:color="000000"/>
            </w:tcBorders>
            <w:shd w:val="clear" w:color="auto" w:fill="auto"/>
          </w:tcPr>
          <w:p w14:paraId="3288F21B" w14:textId="77777777" w:rsidR="00EB13F0" w:rsidRPr="005F69B2" w:rsidRDefault="00EB13F0" w:rsidP="00EB13F0">
            <w:pPr>
              <w:pStyle w:val="TblTextCenter"/>
              <w:rPr>
                <w:b/>
                <w:bCs/>
                <w:lang w:val="en-AU"/>
              </w:rPr>
            </w:pPr>
            <w:r w:rsidRPr="005F69B2">
              <w:rPr>
                <w:b/>
                <w:bCs/>
                <w:lang w:val="en-AU"/>
              </w:rPr>
              <w:t>MEDLEY RSV Season 2 (CHD/CLD)</w:t>
            </w:r>
          </w:p>
        </w:tc>
      </w:tr>
      <w:tr w:rsidR="005F69B2" w:rsidRPr="005F69B2" w14:paraId="405E1CEF" w14:textId="77777777" w:rsidTr="00EB13F0">
        <w:trPr>
          <w:cantSplit/>
          <w:tblHeader/>
          <w:jc w:val="center"/>
        </w:trPr>
        <w:tc>
          <w:tcPr>
            <w:tcW w:w="0" w:type="auto"/>
            <w:vMerge/>
            <w:shd w:val="clear" w:color="auto" w:fill="auto"/>
            <w:vAlign w:val="center"/>
          </w:tcPr>
          <w:p w14:paraId="47828FF8" w14:textId="77777777" w:rsidR="00EB13F0" w:rsidRPr="005F69B2" w:rsidRDefault="00EB13F0" w:rsidP="00EB13F0">
            <w:pPr>
              <w:pStyle w:val="TableHead"/>
              <w:keepNext/>
              <w:jc w:val="left"/>
              <w:rPr>
                <w:rFonts w:ascii="Arial" w:hAnsi="Arial" w:cs="Arial"/>
                <w:bCs/>
                <w:sz w:val="22"/>
                <w:szCs w:val="22"/>
                <w:lang w:val="en-AU"/>
              </w:rPr>
            </w:pPr>
          </w:p>
        </w:tc>
        <w:tc>
          <w:tcPr>
            <w:tcW w:w="0" w:type="auto"/>
            <w:shd w:val="clear" w:color="auto" w:fill="auto"/>
            <w:vAlign w:val="center"/>
          </w:tcPr>
          <w:p w14:paraId="76D9FB80" w14:textId="77777777" w:rsidR="00EB13F0" w:rsidRPr="005F69B2" w:rsidRDefault="00EB13F0" w:rsidP="00EB13F0">
            <w:pPr>
              <w:pStyle w:val="TblTextCenter"/>
              <w:rPr>
                <w:b/>
                <w:bCs/>
                <w:lang w:val="en-AU"/>
              </w:rPr>
            </w:pPr>
            <w:r w:rsidRPr="005F69B2">
              <w:rPr>
                <w:b/>
                <w:bCs/>
                <w:lang w:val="en-AU"/>
              </w:rPr>
              <w:t>Total</w:t>
            </w:r>
            <w:r w:rsidRPr="005F69B2">
              <w:rPr>
                <w:b/>
                <w:bCs/>
                <w:lang w:val="en-AU"/>
              </w:rPr>
              <w:br/>
              <w:t>(N = 925)</w:t>
            </w:r>
          </w:p>
        </w:tc>
        <w:tc>
          <w:tcPr>
            <w:tcW w:w="0" w:type="auto"/>
            <w:shd w:val="clear" w:color="auto" w:fill="auto"/>
            <w:vAlign w:val="center"/>
          </w:tcPr>
          <w:p w14:paraId="2392589C" w14:textId="77777777" w:rsidR="00EB13F0" w:rsidRPr="005F69B2" w:rsidRDefault="00EB13F0" w:rsidP="00EB13F0">
            <w:pPr>
              <w:pStyle w:val="TblTextCenter"/>
              <w:rPr>
                <w:b/>
                <w:bCs/>
                <w:lang w:val="en-AU"/>
              </w:rPr>
            </w:pPr>
            <w:r w:rsidRPr="005F69B2">
              <w:rPr>
                <w:b/>
                <w:bCs/>
                <w:lang w:val="en-AU"/>
              </w:rPr>
              <w:t>Total</w:t>
            </w:r>
            <w:r w:rsidRPr="005F69B2">
              <w:rPr>
                <w:b/>
                <w:bCs/>
                <w:lang w:val="en-AU"/>
              </w:rPr>
              <w:br/>
              <w:t>(N = 262)</w:t>
            </w:r>
          </w:p>
        </w:tc>
      </w:tr>
      <w:tr w:rsidR="005F69B2" w:rsidRPr="005F69B2" w14:paraId="787ED63E" w14:textId="77777777" w:rsidTr="00EB13F0">
        <w:trPr>
          <w:cantSplit/>
          <w:jc w:val="center"/>
        </w:trPr>
        <w:tc>
          <w:tcPr>
            <w:tcW w:w="0" w:type="auto"/>
            <w:shd w:val="clear" w:color="auto" w:fill="auto"/>
            <w:vAlign w:val="center"/>
          </w:tcPr>
          <w:p w14:paraId="7588C281" w14:textId="77777777" w:rsidR="00EB13F0" w:rsidRPr="005F69B2" w:rsidRDefault="00EB13F0" w:rsidP="00EB13F0">
            <w:pPr>
              <w:pStyle w:val="TblTextCenter"/>
              <w:jc w:val="left"/>
              <w:rPr>
                <w:b/>
                <w:bCs/>
                <w:lang w:val="en-AU"/>
              </w:rPr>
            </w:pPr>
            <w:r w:rsidRPr="005F69B2">
              <w:rPr>
                <w:b/>
                <w:bCs/>
                <w:lang w:val="en-AU"/>
              </w:rPr>
              <w:t xml:space="preserve">Race, n (%) </w:t>
            </w:r>
            <w:r w:rsidRPr="005F69B2">
              <w:rPr>
                <w:b/>
                <w:bCs/>
                <w:vertAlign w:val="superscript"/>
                <w:lang w:val="en-AU"/>
              </w:rPr>
              <w:t>a</w:t>
            </w:r>
          </w:p>
        </w:tc>
        <w:tc>
          <w:tcPr>
            <w:tcW w:w="0" w:type="auto"/>
            <w:shd w:val="clear" w:color="auto" w:fill="auto"/>
            <w:vAlign w:val="center"/>
          </w:tcPr>
          <w:p w14:paraId="1A9ACC39" w14:textId="77777777" w:rsidR="00EB13F0" w:rsidRPr="005F69B2" w:rsidRDefault="00EB13F0" w:rsidP="00EB13F0">
            <w:pPr>
              <w:pStyle w:val="TblTextCenter"/>
              <w:rPr>
                <w:lang w:val="en-AU"/>
              </w:rPr>
            </w:pPr>
          </w:p>
        </w:tc>
        <w:tc>
          <w:tcPr>
            <w:tcW w:w="0" w:type="auto"/>
            <w:shd w:val="clear" w:color="auto" w:fill="auto"/>
            <w:vAlign w:val="center"/>
          </w:tcPr>
          <w:p w14:paraId="3F9955D6" w14:textId="77777777" w:rsidR="00EB13F0" w:rsidRPr="005F69B2" w:rsidRDefault="00EB13F0" w:rsidP="00EB13F0">
            <w:pPr>
              <w:pStyle w:val="TblTextCenter"/>
              <w:rPr>
                <w:lang w:val="en-AU"/>
              </w:rPr>
            </w:pPr>
          </w:p>
        </w:tc>
      </w:tr>
      <w:tr w:rsidR="005F69B2" w:rsidRPr="005F69B2" w14:paraId="1E9C37D6" w14:textId="77777777" w:rsidTr="00EB13F0">
        <w:trPr>
          <w:cantSplit/>
          <w:jc w:val="center"/>
        </w:trPr>
        <w:tc>
          <w:tcPr>
            <w:tcW w:w="0" w:type="auto"/>
            <w:shd w:val="clear" w:color="auto" w:fill="auto"/>
            <w:vAlign w:val="center"/>
          </w:tcPr>
          <w:p w14:paraId="34EE111E" w14:textId="77777777" w:rsidR="00EB13F0" w:rsidRPr="005F69B2" w:rsidRDefault="00EB13F0" w:rsidP="00EB13F0">
            <w:pPr>
              <w:pStyle w:val="TblTextCenter"/>
              <w:jc w:val="left"/>
              <w:rPr>
                <w:lang w:val="en-AU"/>
              </w:rPr>
            </w:pPr>
            <w:r w:rsidRPr="005F69B2">
              <w:rPr>
                <w:lang w:val="en-AU"/>
              </w:rPr>
              <w:t>American Indian or Alaska Native</w:t>
            </w:r>
          </w:p>
        </w:tc>
        <w:tc>
          <w:tcPr>
            <w:tcW w:w="0" w:type="auto"/>
            <w:shd w:val="clear" w:color="auto" w:fill="auto"/>
            <w:vAlign w:val="center"/>
          </w:tcPr>
          <w:p w14:paraId="2C138AD6" w14:textId="77777777" w:rsidR="00EB13F0" w:rsidRPr="005F69B2" w:rsidRDefault="00EB13F0" w:rsidP="00EB13F0">
            <w:pPr>
              <w:pStyle w:val="TblTextCenter"/>
              <w:rPr>
                <w:lang w:val="en-AU"/>
              </w:rPr>
            </w:pPr>
            <w:r w:rsidRPr="005F69B2">
              <w:rPr>
                <w:lang w:val="en-AU"/>
              </w:rPr>
              <w:t>16 (1.7)</w:t>
            </w:r>
          </w:p>
        </w:tc>
        <w:tc>
          <w:tcPr>
            <w:tcW w:w="0" w:type="auto"/>
            <w:shd w:val="clear" w:color="auto" w:fill="auto"/>
            <w:vAlign w:val="center"/>
          </w:tcPr>
          <w:p w14:paraId="04C1EC8B" w14:textId="77777777" w:rsidR="00EB13F0" w:rsidRPr="005F69B2" w:rsidRDefault="00EB13F0" w:rsidP="00EB13F0">
            <w:pPr>
              <w:pStyle w:val="TblTextCenter"/>
              <w:rPr>
                <w:lang w:val="en-AU"/>
              </w:rPr>
            </w:pPr>
            <w:r w:rsidRPr="005F69B2">
              <w:rPr>
                <w:lang w:val="en-AU"/>
              </w:rPr>
              <w:t>0 (0.0)</w:t>
            </w:r>
          </w:p>
        </w:tc>
      </w:tr>
      <w:tr w:rsidR="005F69B2" w:rsidRPr="005F69B2" w14:paraId="1F18B235" w14:textId="77777777" w:rsidTr="00EB13F0">
        <w:trPr>
          <w:cantSplit/>
          <w:jc w:val="center"/>
        </w:trPr>
        <w:tc>
          <w:tcPr>
            <w:tcW w:w="0" w:type="auto"/>
            <w:shd w:val="clear" w:color="auto" w:fill="auto"/>
            <w:vAlign w:val="center"/>
          </w:tcPr>
          <w:p w14:paraId="6A16CE14" w14:textId="77777777" w:rsidR="00EB13F0" w:rsidRPr="005F69B2" w:rsidRDefault="00EB13F0" w:rsidP="00EB13F0">
            <w:pPr>
              <w:pStyle w:val="TblTextCenter"/>
              <w:jc w:val="left"/>
              <w:rPr>
                <w:lang w:val="en-AU"/>
              </w:rPr>
            </w:pPr>
            <w:r w:rsidRPr="005F69B2">
              <w:rPr>
                <w:lang w:val="en-AU"/>
              </w:rPr>
              <w:t>Asian</w:t>
            </w:r>
          </w:p>
        </w:tc>
        <w:tc>
          <w:tcPr>
            <w:tcW w:w="0" w:type="auto"/>
            <w:shd w:val="clear" w:color="auto" w:fill="auto"/>
            <w:vAlign w:val="center"/>
          </w:tcPr>
          <w:p w14:paraId="07ECBE18" w14:textId="77777777" w:rsidR="00EB13F0" w:rsidRPr="005F69B2" w:rsidRDefault="00EB13F0" w:rsidP="00EB13F0">
            <w:pPr>
              <w:pStyle w:val="TblTextCenter"/>
              <w:rPr>
                <w:lang w:val="en-AU"/>
              </w:rPr>
            </w:pPr>
            <w:r w:rsidRPr="005F69B2">
              <w:rPr>
                <w:lang w:val="en-AU"/>
              </w:rPr>
              <w:t>50 (5.4)</w:t>
            </w:r>
          </w:p>
        </w:tc>
        <w:tc>
          <w:tcPr>
            <w:tcW w:w="0" w:type="auto"/>
            <w:shd w:val="clear" w:color="auto" w:fill="auto"/>
            <w:vAlign w:val="center"/>
          </w:tcPr>
          <w:p w14:paraId="2045569E" w14:textId="77777777" w:rsidR="00EB13F0" w:rsidRPr="005F69B2" w:rsidRDefault="00EB13F0" w:rsidP="00EB13F0">
            <w:pPr>
              <w:pStyle w:val="TblTextCenter"/>
              <w:rPr>
                <w:lang w:val="en-AU"/>
              </w:rPr>
            </w:pPr>
            <w:r w:rsidRPr="005F69B2">
              <w:rPr>
                <w:lang w:val="en-AU"/>
              </w:rPr>
              <w:t>15 (5.7)</w:t>
            </w:r>
          </w:p>
        </w:tc>
      </w:tr>
      <w:tr w:rsidR="005F69B2" w:rsidRPr="005F69B2" w14:paraId="657330EC" w14:textId="77777777" w:rsidTr="00EB13F0">
        <w:trPr>
          <w:cantSplit/>
          <w:jc w:val="center"/>
        </w:trPr>
        <w:tc>
          <w:tcPr>
            <w:tcW w:w="0" w:type="auto"/>
            <w:shd w:val="clear" w:color="auto" w:fill="auto"/>
            <w:vAlign w:val="center"/>
          </w:tcPr>
          <w:p w14:paraId="117967AF" w14:textId="77777777" w:rsidR="00EB13F0" w:rsidRPr="005F69B2" w:rsidRDefault="00EB13F0" w:rsidP="00EB13F0">
            <w:pPr>
              <w:pStyle w:val="TblTextCenter"/>
              <w:jc w:val="left"/>
              <w:rPr>
                <w:lang w:val="en-AU"/>
              </w:rPr>
            </w:pPr>
            <w:r w:rsidRPr="005F69B2">
              <w:rPr>
                <w:lang w:val="en-AU"/>
              </w:rPr>
              <w:t>Black or African American</w:t>
            </w:r>
          </w:p>
        </w:tc>
        <w:tc>
          <w:tcPr>
            <w:tcW w:w="0" w:type="auto"/>
            <w:shd w:val="clear" w:color="auto" w:fill="auto"/>
            <w:vAlign w:val="center"/>
          </w:tcPr>
          <w:p w14:paraId="798B6289" w14:textId="77777777" w:rsidR="00EB13F0" w:rsidRPr="005F69B2" w:rsidRDefault="00EB13F0" w:rsidP="00EB13F0">
            <w:pPr>
              <w:pStyle w:val="TblTextCenter"/>
              <w:rPr>
                <w:lang w:val="en-AU"/>
              </w:rPr>
            </w:pPr>
            <w:r w:rsidRPr="005F69B2">
              <w:rPr>
                <w:lang w:val="en-AU"/>
              </w:rPr>
              <w:t>88 (9.5)</w:t>
            </w:r>
          </w:p>
        </w:tc>
        <w:tc>
          <w:tcPr>
            <w:tcW w:w="0" w:type="auto"/>
            <w:shd w:val="clear" w:color="auto" w:fill="auto"/>
            <w:vAlign w:val="center"/>
          </w:tcPr>
          <w:p w14:paraId="73502A49" w14:textId="77777777" w:rsidR="00EB13F0" w:rsidRPr="005F69B2" w:rsidRDefault="00EB13F0" w:rsidP="00EB13F0">
            <w:pPr>
              <w:pStyle w:val="TblTextCenter"/>
              <w:rPr>
                <w:lang w:val="en-AU"/>
              </w:rPr>
            </w:pPr>
            <w:r w:rsidRPr="005F69B2">
              <w:rPr>
                <w:lang w:val="en-AU"/>
              </w:rPr>
              <w:t>12 (4.6)</w:t>
            </w:r>
          </w:p>
        </w:tc>
      </w:tr>
      <w:tr w:rsidR="005F69B2" w:rsidRPr="005F69B2" w14:paraId="3CA14615" w14:textId="77777777" w:rsidTr="00EB13F0">
        <w:trPr>
          <w:cantSplit/>
          <w:jc w:val="center"/>
        </w:trPr>
        <w:tc>
          <w:tcPr>
            <w:tcW w:w="0" w:type="auto"/>
            <w:shd w:val="clear" w:color="auto" w:fill="auto"/>
            <w:vAlign w:val="center"/>
          </w:tcPr>
          <w:p w14:paraId="0F28B810" w14:textId="77777777" w:rsidR="00EB13F0" w:rsidRPr="005F69B2" w:rsidRDefault="00EB13F0" w:rsidP="00EB13F0">
            <w:pPr>
              <w:pStyle w:val="TblTextCenter"/>
              <w:jc w:val="left"/>
              <w:rPr>
                <w:lang w:val="en-AU"/>
              </w:rPr>
            </w:pPr>
            <w:r w:rsidRPr="005F69B2">
              <w:rPr>
                <w:lang w:val="en-AU"/>
              </w:rPr>
              <w:t>Native Hawaiian or other Pacific Islander</w:t>
            </w:r>
          </w:p>
        </w:tc>
        <w:tc>
          <w:tcPr>
            <w:tcW w:w="0" w:type="auto"/>
            <w:shd w:val="clear" w:color="auto" w:fill="auto"/>
            <w:vAlign w:val="center"/>
          </w:tcPr>
          <w:p w14:paraId="2829E7A0" w14:textId="77777777" w:rsidR="00EB13F0" w:rsidRPr="005F69B2" w:rsidRDefault="00EB13F0" w:rsidP="00EB13F0">
            <w:pPr>
              <w:pStyle w:val="TblTextCenter"/>
              <w:rPr>
                <w:lang w:val="en-AU"/>
              </w:rPr>
            </w:pPr>
            <w:r w:rsidRPr="005F69B2">
              <w:rPr>
                <w:lang w:val="en-AU"/>
              </w:rPr>
              <w:t>5 (0.5)</w:t>
            </w:r>
          </w:p>
        </w:tc>
        <w:tc>
          <w:tcPr>
            <w:tcW w:w="0" w:type="auto"/>
            <w:shd w:val="clear" w:color="auto" w:fill="auto"/>
            <w:vAlign w:val="center"/>
          </w:tcPr>
          <w:p w14:paraId="6AA7A63C" w14:textId="77777777" w:rsidR="00EB13F0" w:rsidRPr="005F69B2" w:rsidRDefault="00EB13F0" w:rsidP="00EB13F0">
            <w:pPr>
              <w:pStyle w:val="TblTextCenter"/>
              <w:rPr>
                <w:lang w:val="en-AU"/>
              </w:rPr>
            </w:pPr>
            <w:r w:rsidRPr="005F69B2">
              <w:rPr>
                <w:lang w:val="en-AU"/>
              </w:rPr>
              <w:t>1 (0.4)</w:t>
            </w:r>
          </w:p>
        </w:tc>
      </w:tr>
      <w:tr w:rsidR="005F69B2" w:rsidRPr="005F69B2" w14:paraId="79F4E48B" w14:textId="77777777" w:rsidTr="00EB13F0">
        <w:trPr>
          <w:cantSplit/>
          <w:jc w:val="center"/>
        </w:trPr>
        <w:tc>
          <w:tcPr>
            <w:tcW w:w="0" w:type="auto"/>
            <w:shd w:val="clear" w:color="auto" w:fill="auto"/>
            <w:vAlign w:val="center"/>
          </w:tcPr>
          <w:p w14:paraId="120A57E4" w14:textId="77777777" w:rsidR="00EB13F0" w:rsidRPr="005F69B2" w:rsidRDefault="00EB13F0" w:rsidP="00EB13F0">
            <w:pPr>
              <w:pStyle w:val="TblTextCenter"/>
              <w:jc w:val="left"/>
              <w:rPr>
                <w:lang w:val="en-AU"/>
              </w:rPr>
            </w:pPr>
            <w:r w:rsidRPr="005F69B2">
              <w:rPr>
                <w:lang w:val="en-AU"/>
              </w:rPr>
              <w:t>White</w:t>
            </w:r>
          </w:p>
        </w:tc>
        <w:tc>
          <w:tcPr>
            <w:tcW w:w="0" w:type="auto"/>
            <w:shd w:val="clear" w:color="auto" w:fill="auto"/>
            <w:vAlign w:val="center"/>
          </w:tcPr>
          <w:p w14:paraId="31DA8B83" w14:textId="77777777" w:rsidR="00EB13F0" w:rsidRPr="005F69B2" w:rsidRDefault="00EB13F0" w:rsidP="00EB13F0">
            <w:pPr>
              <w:pStyle w:val="TblTextCenter"/>
              <w:rPr>
                <w:lang w:val="en-AU"/>
              </w:rPr>
            </w:pPr>
            <w:r w:rsidRPr="005F69B2">
              <w:rPr>
                <w:lang w:val="en-AU"/>
              </w:rPr>
              <w:t>732 (79.2)</w:t>
            </w:r>
          </w:p>
        </w:tc>
        <w:tc>
          <w:tcPr>
            <w:tcW w:w="0" w:type="auto"/>
            <w:shd w:val="clear" w:color="auto" w:fill="auto"/>
            <w:vAlign w:val="center"/>
          </w:tcPr>
          <w:p w14:paraId="2826F795" w14:textId="77777777" w:rsidR="00EB13F0" w:rsidRPr="005F69B2" w:rsidRDefault="00EB13F0" w:rsidP="00EB13F0">
            <w:pPr>
              <w:pStyle w:val="TblTextCenter"/>
              <w:rPr>
                <w:lang w:val="en-AU"/>
              </w:rPr>
            </w:pPr>
            <w:r w:rsidRPr="005F69B2">
              <w:rPr>
                <w:lang w:val="en-AU"/>
              </w:rPr>
              <w:t>225 (85.9)</w:t>
            </w:r>
          </w:p>
        </w:tc>
      </w:tr>
      <w:tr w:rsidR="005F69B2" w:rsidRPr="005F69B2" w14:paraId="7D371048" w14:textId="77777777" w:rsidTr="00EB13F0">
        <w:trPr>
          <w:cantSplit/>
          <w:jc w:val="center"/>
        </w:trPr>
        <w:tc>
          <w:tcPr>
            <w:tcW w:w="0" w:type="auto"/>
            <w:shd w:val="clear" w:color="auto" w:fill="auto"/>
            <w:vAlign w:val="center"/>
          </w:tcPr>
          <w:p w14:paraId="42F0AB65" w14:textId="77777777" w:rsidR="00EB13F0" w:rsidRPr="005F69B2" w:rsidRDefault="00EB13F0" w:rsidP="00EB13F0">
            <w:pPr>
              <w:pStyle w:val="TblTextCenter"/>
              <w:jc w:val="left"/>
              <w:rPr>
                <w:b/>
                <w:bCs/>
                <w:lang w:val="en-AU"/>
              </w:rPr>
            </w:pPr>
            <w:r w:rsidRPr="005F69B2">
              <w:rPr>
                <w:b/>
                <w:bCs/>
                <w:lang w:val="en-AU"/>
              </w:rPr>
              <w:t>Weight group on Day 1, n (%)</w:t>
            </w:r>
          </w:p>
        </w:tc>
        <w:tc>
          <w:tcPr>
            <w:tcW w:w="0" w:type="auto"/>
            <w:shd w:val="clear" w:color="auto" w:fill="auto"/>
            <w:vAlign w:val="center"/>
          </w:tcPr>
          <w:p w14:paraId="25EC281F" w14:textId="77777777" w:rsidR="00EB13F0" w:rsidRPr="005F69B2" w:rsidRDefault="00EB13F0" w:rsidP="00EB13F0">
            <w:pPr>
              <w:pStyle w:val="TblTextCenter"/>
              <w:rPr>
                <w:lang w:val="en-AU"/>
              </w:rPr>
            </w:pPr>
          </w:p>
        </w:tc>
        <w:tc>
          <w:tcPr>
            <w:tcW w:w="0" w:type="auto"/>
            <w:shd w:val="clear" w:color="auto" w:fill="auto"/>
          </w:tcPr>
          <w:p w14:paraId="6FCBEC59" w14:textId="77777777" w:rsidR="00EB13F0" w:rsidRPr="005F69B2" w:rsidRDefault="00EB13F0" w:rsidP="00EB13F0">
            <w:pPr>
              <w:pStyle w:val="TblTextCenter"/>
              <w:rPr>
                <w:lang w:val="en-AU"/>
              </w:rPr>
            </w:pPr>
          </w:p>
        </w:tc>
      </w:tr>
      <w:tr w:rsidR="005F69B2" w:rsidRPr="005F69B2" w14:paraId="1B190C92" w14:textId="77777777" w:rsidTr="00EB13F0">
        <w:trPr>
          <w:cantSplit/>
          <w:jc w:val="center"/>
        </w:trPr>
        <w:tc>
          <w:tcPr>
            <w:tcW w:w="0" w:type="auto"/>
            <w:shd w:val="clear" w:color="auto" w:fill="auto"/>
            <w:vAlign w:val="center"/>
          </w:tcPr>
          <w:p w14:paraId="4478A765" w14:textId="77777777" w:rsidR="00EB13F0" w:rsidRPr="005F69B2" w:rsidRDefault="00EB13F0" w:rsidP="00EB13F0">
            <w:pPr>
              <w:pStyle w:val="TblTextCenter"/>
              <w:jc w:val="left"/>
              <w:rPr>
                <w:lang w:val="en-AU"/>
              </w:rPr>
            </w:pPr>
            <w:r w:rsidRPr="005F69B2">
              <w:rPr>
                <w:lang w:val="en-AU"/>
              </w:rPr>
              <w:lastRenderedPageBreak/>
              <w:t>&lt;5 kg</w:t>
            </w:r>
          </w:p>
        </w:tc>
        <w:tc>
          <w:tcPr>
            <w:tcW w:w="0" w:type="auto"/>
            <w:shd w:val="clear" w:color="auto" w:fill="auto"/>
            <w:vAlign w:val="center"/>
          </w:tcPr>
          <w:p w14:paraId="63BAB6AA" w14:textId="77777777" w:rsidR="00EB13F0" w:rsidRPr="005F69B2" w:rsidRDefault="00EB13F0" w:rsidP="00EB13F0">
            <w:pPr>
              <w:pStyle w:val="TblTextCenter"/>
              <w:rPr>
                <w:lang w:val="en-AU"/>
              </w:rPr>
            </w:pPr>
            <w:r w:rsidRPr="005F69B2">
              <w:rPr>
                <w:lang w:val="en-AU"/>
              </w:rPr>
              <w:t>518 (56.5)</w:t>
            </w:r>
          </w:p>
        </w:tc>
        <w:tc>
          <w:tcPr>
            <w:tcW w:w="0" w:type="auto"/>
            <w:shd w:val="clear" w:color="auto" w:fill="auto"/>
            <w:vAlign w:val="center"/>
          </w:tcPr>
          <w:p w14:paraId="0CFE83F5" w14:textId="77777777" w:rsidR="00EB13F0" w:rsidRPr="005F69B2" w:rsidRDefault="00EB13F0" w:rsidP="00EB13F0">
            <w:pPr>
              <w:pStyle w:val="TblTextCenter"/>
              <w:rPr>
                <w:lang w:val="en-AU"/>
              </w:rPr>
            </w:pPr>
            <w:r w:rsidRPr="005F69B2">
              <w:rPr>
                <w:lang w:val="en-AU"/>
              </w:rPr>
              <w:t>NE</w:t>
            </w:r>
          </w:p>
        </w:tc>
      </w:tr>
      <w:tr w:rsidR="005F69B2" w:rsidRPr="005F69B2" w14:paraId="193383BB" w14:textId="77777777" w:rsidTr="00EB13F0">
        <w:trPr>
          <w:cantSplit/>
          <w:jc w:val="center"/>
        </w:trPr>
        <w:tc>
          <w:tcPr>
            <w:tcW w:w="0" w:type="auto"/>
            <w:shd w:val="clear" w:color="auto" w:fill="auto"/>
            <w:vAlign w:val="center"/>
          </w:tcPr>
          <w:p w14:paraId="2B040A38" w14:textId="77777777" w:rsidR="00EB13F0" w:rsidRPr="005F69B2" w:rsidRDefault="00EB13F0" w:rsidP="00EB13F0">
            <w:pPr>
              <w:pStyle w:val="TblTextCenter"/>
              <w:jc w:val="left"/>
              <w:rPr>
                <w:lang w:val="en-AU"/>
              </w:rPr>
            </w:pPr>
            <w:r w:rsidRPr="005F69B2">
              <w:rPr>
                <w:lang w:val="en-AU"/>
              </w:rPr>
              <w:t>≥5 kg</w:t>
            </w:r>
          </w:p>
        </w:tc>
        <w:tc>
          <w:tcPr>
            <w:tcW w:w="0" w:type="auto"/>
            <w:shd w:val="clear" w:color="auto" w:fill="auto"/>
            <w:vAlign w:val="center"/>
          </w:tcPr>
          <w:p w14:paraId="5508BD44" w14:textId="77777777" w:rsidR="00EB13F0" w:rsidRPr="005F69B2" w:rsidRDefault="00EB13F0" w:rsidP="00EB13F0">
            <w:pPr>
              <w:pStyle w:val="TblTextCenter"/>
              <w:rPr>
                <w:lang w:val="en-AU"/>
              </w:rPr>
            </w:pPr>
            <w:r w:rsidRPr="005F69B2">
              <w:rPr>
                <w:lang w:val="en-AU"/>
              </w:rPr>
              <w:t>399 (43.5)</w:t>
            </w:r>
          </w:p>
        </w:tc>
        <w:tc>
          <w:tcPr>
            <w:tcW w:w="0" w:type="auto"/>
            <w:shd w:val="clear" w:color="auto" w:fill="auto"/>
            <w:vAlign w:val="center"/>
          </w:tcPr>
          <w:p w14:paraId="4B51B903" w14:textId="77777777" w:rsidR="00EB13F0" w:rsidRPr="005F69B2" w:rsidRDefault="00EB13F0" w:rsidP="00EB13F0">
            <w:pPr>
              <w:pStyle w:val="TblTextCenter"/>
              <w:rPr>
                <w:lang w:val="en-AU"/>
              </w:rPr>
            </w:pPr>
            <w:r w:rsidRPr="005F69B2">
              <w:rPr>
                <w:lang w:val="en-AU"/>
              </w:rPr>
              <w:t>NE</w:t>
            </w:r>
          </w:p>
        </w:tc>
      </w:tr>
      <w:tr w:rsidR="005F69B2" w:rsidRPr="005F69B2" w14:paraId="107C54DD" w14:textId="77777777" w:rsidTr="00EB13F0">
        <w:trPr>
          <w:cantSplit/>
          <w:jc w:val="center"/>
        </w:trPr>
        <w:tc>
          <w:tcPr>
            <w:tcW w:w="0" w:type="auto"/>
            <w:shd w:val="clear" w:color="auto" w:fill="auto"/>
            <w:vAlign w:val="center"/>
          </w:tcPr>
          <w:p w14:paraId="68515607" w14:textId="77777777" w:rsidR="00EB13F0" w:rsidRPr="005F69B2" w:rsidRDefault="00EB13F0" w:rsidP="00EB13F0">
            <w:pPr>
              <w:pStyle w:val="TblTextCenter"/>
              <w:jc w:val="left"/>
              <w:rPr>
                <w:lang w:val="en-AU"/>
              </w:rPr>
            </w:pPr>
            <w:r w:rsidRPr="005F69B2">
              <w:rPr>
                <w:lang w:val="en-AU"/>
              </w:rPr>
              <w:t>&lt;7 kg</w:t>
            </w:r>
          </w:p>
        </w:tc>
        <w:tc>
          <w:tcPr>
            <w:tcW w:w="0" w:type="auto"/>
            <w:shd w:val="clear" w:color="auto" w:fill="auto"/>
            <w:vAlign w:val="center"/>
          </w:tcPr>
          <w:p w14:paraId="135E341F" w14:textId="77777777" w:rsidR="00EB13F0" w:rsidRPr="005F69B2" w:rsidRDefault="00EB13F0" w:rsidP="00EB13F0">
            <w:pPr>
              <w:pStyle w:val="TblTextCenter"/>
              <w:rPr>
                <w:lang w:val="en-AU"/>
              </w:rPr>
            </w:pPr>
            <w:r w:rsidRPr="005F69B2">
              <w:rPr>
                <w:lang w:val="en-AU"/>
              </w:rPr>
              <w:t>NE</w:t>
            </w:r>
          </w:p>
        </w:tc>
        <w:tc>
          <w:tcPr>
            <w:tcW w:w="0" w:type="auto"/>
            <w:shd w:val="clear" w:color="auto" w:fill="auto"/>
          </w:tcPr>
          <w:p w14:paraId="20023A1E" w14:textId="77777777" w:rsidR="00EB13F0" w:rsidRPr="005F69B2" w:rsidRDefault="00EB13F0" w:rsidP="00EB13F0">
            <w:pPr>
              <w:pStyle w:val="TblTextCenter"/>
              <w:rPr>
                <w:lang w:val="en-AU"/>
              </w:rPr>
            </w:pPr>
            <w:r w:rsidRPr="005F69B2">
              <w:rPr>
                <w:lang w:val="en-AU"/>
              </w:rPr>
              <w:t>6 (2.3)</w:t>
            </w:r>
          </w:p>
        </w:tc>
      </w:tr>
      <w:tr w:rsidR="005F69B2" w:rsidRPr="005F69B2" w14:paraId="0383D642" w14:textId="77777777" w:rsidTr="00EB13F0">
        <w:trPr>
          <w:cantSplit/>
          <w:jc w:val="center"/>
        </w:trPr>
        <w:tc>
          <w:tcPr>
            <w:tcW w:w="0" w:type="auto"/>
            <w:shd w:val="clear" w:color="auto" w:fill="auto"/>
            <w:vAlign w:val="center"/>
          </w:tcPr>
          <w:p w14:paraId="0CD04C19" w14:textId="77777777" w:rsidR="00EB13F0" w:rsidRPr="005F69B2" w:rsidRDefault="00EB13F0" w:rsidP="00EB13F0">
            <w:pPr>
              <w:pStyle w:val="TblTextCenter"/>
              <w:jc w:val="left"/>
              <w:rPr>
                <w:lang w:val="en-AU"/>
              </w:rPr>
            </w:pPr>
            <w:r w:rsidRPr="005F69B2">
              <w:rPr>
                <w:lang w:val="en-AU"/>
              </w:rPr>
              <w:t>&lt;10 kg</w:t>
            </w:r>
          </w:p>
        </w:tc>
        <w:tc>
          <w:tcPr>
            <w:tcW w:w="0" w:type="auto"/>
            <w:shd w:val="clear" w:color="auto" w:fill="auto"/>
            <w:vAlign w:val="center"/>
          </w:tcPr>
          <w:p w14:paraId="2E041C32" w14:textId="77777777" w:rsidR="00EB13F0" w:rsidRPr="005F69B2" w:rsidRDefault="00EB13F0" w:rsidP="00EB13F0">
            <w:pPr>
              <w:pStyle w:val="TblTextCenter"/>
              <w:rPr>
                <w:lang w:val="en-AU"/>
              </w:rPr>
            </w:pPr>
            <w:r w:rsidRPr="005F69B2">
              <w:rPr>
                <w:lang w:val="en-AU"/>
              </w:rPr>
              <w:t>NE</w:t>
            </w:r>
          </w:p>
        </w:tc>
        <w:tc>
          <w:tcPr>
            <w:tcW w:w="0" w:type="auto"/>
            <w:shd w:val="clear" w:color="auto" w:fill="auto"/>
          </w:tcPr>
          <w:p w14:paraId="6EBA7E15" w14:textId="77777777" w:rsidR="00EB13F0" w:rsidRPr="005F69B2" w:rsidRDefault="00EB13F0" w:rsidP="00EB13F0">
            <w:pPr>
              <w:pStyle w:val="TblTextCenter"/>
              <w:rPr>
                <w:lang w:val="en-AU"/>
              </w:rPr>
            </w:pPr>
            <w:r w:rsidRPr="005F69B2">
              <w:rPr>
                <w:lang w:val="en-AU"/>
              </w:rPr>
              <w:t>147 (56.1)</w:t>
            </w:r>
          </w:p>
        </w:tc>
      </w:tr>
      <w:tr w:rsidR="005F69B2" w:rsidRPr="005F69B2" w14:paraId="7E6A5043" w14:textId="77777777" w:rsidTr="00EB13F0">
        <w:trPr>
          <w:cantSplit/>
          <w:jc w:val="center"/>
        </w:trPr>
        <w:tc>
          <w:tcPr>
            <w:tcW w:w="0" w:type="auto"/>
            <w:shd w:val="clear" w:color="auto" w:fill="auto"/>
            <w:vAlign w:val="center"/>
          </w:tcPr>
          <w:p w14:paraId="73BF415E" w14:textId="77777777" w:rsidR="00EB13F0" w:rsidRPr="005F69B2" w:rsidRDefault="00EB13F0" w:rsidP="00EB13F0">
            <w:pPr>
              <w:pStyle w:val="TblTextCenter"/>
              <w:jc w:val="left"/>
              <w:rPr>
                <w:b/>
                <w:bCs/>
                <w:lang w:val="en-AU"/>
              </w:rPr>
            </w:pPr>
            <w:r w:rsidRPr="005F69B2">
              <w:rPr>
                <w:b/>
                <w:bCs/>
                <w:lang w:val="en-AU"/>
              </w:rPr>
              <w:t>Gestational age group, n (%)</w:t>
            </w:r>
          </w:p>
        </w:tc>
        <w:tc>
          <w:tcPr>
            <w:tcW w:w="0" w:type="auto"/>
            <w:shd w:val="clear" w:color="auto" w:fill="auto"/>
            <w:vAlign w:val="center"/>
          </w:tcPr>
          <w:p w14:paraId="0B3BB77A" w14:textId="77777777" w:rsidR="00EB13F0" w:rsidRPr="005F69B2" w:rsidRDefault="00EB13F0" w:rsidP="00EB13F0">
            <w:pPr>
              <w:pStyle w:val="TblTextCenter"/>
              <w:rPr>
                <w:lang w:val="en-AU"/>
              </w:rPr>
            </w:pPr>
          </w:p>
        </w:tc>
        <w:tc>
          <w:tcPr>
            <w:tcW w:w="0" w:type="auto"/>
            <w:shd w:val="clear" w:color="auto" w:fill="auto"/>
          </w:tcPr>
          <w:p w14:paraId="0CFA6E68" w14:textId="77777777" w:rsidR="00EB13F0" w:rsidRPr="005F69B2" w:rsidRDefault="00EB13F0" w:rsidP="00EB13F0">
            <w:pPr>
              <w:pStyle w:val="TblTextCenter"/>
              <w:rPr>
                <w:lang w:val="en-AU"/>
              </w:rPr>
            </w:pPr>
          </w:p>
        </w:tc>
      </w:tr>
      <w:tr w:rsidR="005F69B2" w:rsidRPr="005F69B2" w14:paraId="1CAAE43C" w14:textId="77777777" w:rsidTr="00EB13F0">
        <w:trPr>
          <w:cantSplit/>
          <w:jc w:val="center"/>
        </w:trPr>
        <w:tc>
          <w:tcPr>
            <w:tcW w:w="0" w:type="auto"/>
            <w:shd w:val="clear" w:color="auto" w:fill="auto"/>
            <w:vAlign w:val="center"/>
          </w:tcPr>
          <w:p w14:paraId="4F961B4A" w14:textId="77777777" w:rsidR="00EB13F0" w:rsidRPr="005F69B2" w:rsidRDefault="00EB13F0" w:rsidP="00EB13F0">
            <w:pPr>
              <w:pStyle w:val="TblTextCenter"/>
              <w:jc w:val="left"/>
              <w:rPr>
                <w:lang w:val="en-AU"/>
              </w:rPr>
            </w:pPr>
            <w:r w:rsidRPr="005F69B2">
              <w:rPr>
                <w:lang w:val="en-AU"/>
              </w:rPr>
              <w:t>&lt;29 weeks</w:t>
            </w:r>
          </w:p>
        </w:tc>
        <w:tc>
          <w:tcPr>
            <w:tcW w:w="0" w:type="auto"/>
            <w:shd w:val="clear" w:color="auto" w:fill="auto"/>
            <w:vAlign w:val="center"/>
          </w:tcPr>
          <w:p w14:paraId="4CA1D6F3" w14:textId="77777777" w:rsidR="00EB13F0" w:rsidRPr="005F69B2" w:rsidRDefault="00EB13F0" w:rsidP="00EB13F0">
            <w:pPr>
              <w:pStyle w:val="TblTextCenter"/>
              <w:rPr>
                <w:lang w:val="en-AU"/>
              </w:rPr>
            </w:pPr>
            <w:r w:rsidRPr="005F69B2">
              <w:rPr>
                <w:lang w:val="en-AU"/>
              </w:rPr>
              <w:t>200 (21.6)</w:t>
            </w:r>
          </w:p>
        </w:tc>
        <w:tc>
          <w:tcPr>
            <w:tcW w:w="0" w:type="auto"/>
            <w:shd w:val="clear" w:color="auto" w:fill="auto"/>
          </w:tcPr>
          <w:p w14:paraId="77C005C9" w14:textId="77777777" w:rsidR="00EB13F0" w:rsidRPr="005F69B2" w:rsidRDefault="00EB13F0" w:rsidP="00EB13F0">
            <w:pPr>
              <w:pStyle w:val="TblTextCenter"/>
              <w:rPr>
                <w:lang w:val="en-AU"/>
              </w:rPr>
            </w:pPr>
            <w:r w:rsidRPr="005F69B2">
              <w:rPr>
                <w:lang w:val="en-AU"/>
              </w:rPr>
              <w:t>103 (39.3)</w:t>
            </w:r>
          </w:p>
        </w:tc>
      </w:tr>
      <w:tr w:rsidR="005F69B2" w:rsidRPr="005F69B2" w14:paraId="28EF1179" w14:textId="77777777" w:rsidTr="00EB13F0">
        <w:trPr>
          <w:cantSplit/>
          <w:jc w:val="center"/>
        </w:trPr>
        <w:tc>
          <w:tcPr>
            <w:tcW w:w="0" w:type="auto"/>
            <w:shd w:val="clear" w:color="auto" w:fill="auto"/>
            <w:vAlign w:val="center"/>
          </w:tcPr>
          <w:p w14:paraId="6302A125" w14:textId="77777777" w:rsidR="00EB13F0" w:rsidRPr="005F69B2" w:rsidRDefault="00EB13F0" w:rsidP="00EB13F0">
            <w:pPr>
              <w:pStyle w:val="TblTextCenter"/>
              <w:jc w:val="left"/>
              <w:rPr>
                <w:lang w:val="en-AU"/>
              </w:rPr>
            </w:pPr>
            <w:r w:rsidRPr="005F69B2">
              <w:rPr>
                <w:lang w:val="en-AU"/>
              </w:rPr>
              <w:t>≥29 to &lt;32 weeks</w:t>
            </w:r>
          </w:p>
        </w:tc>
        <w:tc>
          <w:tcPr>
            <w:tcW w:w="0" w:type="auto"/>
            <w:shd w:val="clear" w:color="auto" w:fill="auto"/>
            <w:vAlign w:val="center"/>
          </w:tcPr>
          <w:p w14:paraId="76ECEFFD" w14:textId="77777777" w:rsidR="00EB13F0" w:rsidRPr="005F69B2" w:rsidRDefault="00EB13F0" w:rsidP="00EB13F0">
            <w:pPr>
              <w:pStyle w:val="TblTextCenter"/>
              <w:rPr>
                <w:lang w:val="en-AU"/>
              </w:rPr>
            </w:pPr>
            <w:r w:rsidRPr="005F69B2">
              <w:rPr>
                <w:lang w:val="en-AU"/>
              </w:rPr>
              <w:t>199 (21.5)</w:t>
            </w:r>
          </w:p>
        </w:tc>
        <w:tc>
          <w:tcPr>
            <w:tcW w:w="0" w:type="auto"/>
            <w:shd w:val="clear" w:color="auto" w:fill="auto"/>
            <w:vAlign w:val="center"/>
          </w:tcPr>
          <w:p w14:paraId="7ABFBE29" w14:textId="77777777" w:rsidR="00EB13F0" w:rsidRPr="005F69B2" w:rsidRDefault="00EB13F0" w:rsidP="00EB13F0">
            <w:pPr>
              <w:pStyle w:val="TblTextCenter"/>
              <w:rPr>
                <w:lang w:val="en-AU"/>
              </w:rPr>
            </w:pPr>
            <w:r w:rsidRPr="005F69B2">
              <w:rPr>
                <w:lang w:val="en-AU"/>
              </w:rPr>
              <w:t>43 (16.4)</w:t>
            </w:r>
          </w:p>
        </w:tc>
      </w:tr>
      <w:tr w:rsidR="005F69B2" w:rsidRPr="005F69B2" w14:paraId="35FA251D" w14:textId="77777777" w:rsidTr="00EB13F0">
        <w:trPr>
          <w:cantSplit/>
          <w:jc w:val="center"/>
        </w:trPr>
        <w:tc>
          <w:tcPr>
            <w:tcW w:w="0" w:type="auto"/>
            <w:shd w:val="clear" w:color="auto" w:fill="auto"/>
            <w:vAlign w:val="center"/>
          </w:tcPr>
          <w:p w14:paraId="767E1C0E" w14:textId="77777777" w:rsidR="00EB13F0" w:rsidRPr="005F69B2" w:rsidRDefault="00EB13F0" w:rsidP="00EB13F0">
            <w:pPr>
              <w:pStyle w:val="TblTextCenter"/>
              <w:jc w:val="left"/>
              <w:rPr>
                <w:lang w:val="en-AU"/>
              </w:rPr>
            </w:pPr>
            <w:r w:rsidRPr="005F69B2">
              <w:rPr>
                <w:lang w:val="en-AU"/>
              </w:rPr>
              <w:t>≥32 to &lt;35 weeks</w:t>
            </w:r>
          </w:p>
        </w:tc>
        <w:tc>
          <w:tcPr>
            <w:tcW w:w="0" w:type="auto"/>
            <w:shd w:val="clear" w:color="auto" w:fill="auto"/>
            <w:vAlign w:val="center"/>
          </w:tcPr>
          <w:p w14:paraId="5F0741C4" w14:textId="77777777" w:rsidR="00EB13F0" w:rsidRPr="005F69B2" w:rsidRDefault="00EB13F0" w:rsidP="00EB13F0">
            <w:pPr>
              <w:pStyle w:val="TblTextCenter"/>
              <w:rPr>
                <w:lang w:val="en-AU"/>
              </w:rPr>
            </w:pPr>
            <w:r w:rsidRPr="005F69B2">
              <w:rPr>
                <w:lang w:val="en-AU"/>
              </w:rPr>
              <w:t>388 (41.9)</w:t>
            </w:r>
          </w:p>
        </w:tc>
        <w:tc>
          <w:tcPr>
            <w:tcW w:w="0" w:type="auto"/>
            <w:shd w:val="clear" w:color="auto" w:fill="auto"/>
            <w:vAlign w:val="center"/>
          </w:tcPr>
          <w:p w14:paraId="3472DFA2" w14:textId="77777777" w:rsidR="00EB13F0" w:rsidRPr="005F69B2" w:rsidRDefault="00EB13F0" w:rsidP="00EB13F0">
            <w:pPr>
              <w:pStyle w:val="TblTextCenter"/>
              <w:rPr>
                <w:lang w:val="en-AU"/>
              </w:rPr>
            </w:pPr>
            <w:r w:rsidRPr="005F69B2">
              <w:rPr>
                <w:lang w:val="en-AU"/>
              </w:rPr>
              <w:t>36 (13.7)</w:t>
            </w:r>
          </w:p>
        </w:tc>
      </w:tr>
      <w:tr w:rsidR="005F69B2" w:rsidRPr="005F69B2" w14:paraId="3A77A537" w14:textId="77777777" w:rsidTr="00EB13F0">
        <w:trPr>
          <w:cantSplit/>
          <w:jc w:val="center"/>
        </w:trPr>
        <w:tc>
          <w:tcPr>
            <w:tcW w:w="0" w:type="auto"/>
            <w:shd w:val="clear" w:color="auto" w:fill="auto"/>
            <w:vAlign w:val="center"/>
          </w:tcPr>
          <w:p w14:paraId="586EAC84" w14:textId="77777777" w:rsidR="00EB13F0" w:rsidRPr="005F69B2" w:rsidRDefault="00EB13F0" w:rsidP="00EB13F0">
            <w:pPr>
              <w:pStyle w:val="TblTextCenter"/>
              <w:jc w:val="left"/>
              <w:rPr>
                <w:lang w:val="en-AU"/>
              </w:rPr>
            </w:pPr>
            <w:r w:rsidRPr="005F69B2">
              <w:rPr>
                <w:lang w:val="en-AU"/>
              </w:rPr>
              <w:t>≥35 weeks</w:t>
            </w:r>
          </w:p>
        </w:tc>
        <w:tc>
          <w:tcPr>
            <w:tcW w:w="0" w:type="auto"/>
            <w:shd w:val="clear" w:color="auto" w:fill="auto"/>
            <w:vAlign w:val="center"/>
          </w:tcPr>
          <w:p w14:paraId="28DD1BC5" w14:textId="77777777" w:rsidR="00EB13F0" w:rsidRPr="005F69B2" w:rsidRDefault="00EB13F0" w:rsidP="00EB13F0">
            <w:pPr>
              <w:pStyle w:val="TblTextCenter"/>
              <w:rPr>
                <w:lang w:val="en-AU"/>
              </w:rPr>
            </w:pPr>
            <w:r w:rsidRPr="005F69B2">
              <w:rPr>
                <w:lang w:val="en-AU"/>
              </w:rPr>
              <w:t>138 (14.9)</w:t>
            </w:r>
          </w:p>
        </w:tc>
        <w:tc>
          <w:tcPr>
            <w:tcW w:w="0" w:type="auto"/>
            <w:shd w:val="clear" w:color="auto" w:fill="auto"/>
          </w:tcPr>
          <w:p w14:paraId="457F29E9" w14:textId="77777777" w:rsidR="00EB13F0" w:rsidRPr="005F69B2" w:rsidRDefault="00EB13F0" w:rsidP="00EB13F0">
            <w:pPr>
              <w:pStyle w:val="TblTextCenter"/>
              <w:rPr>
                <w:lang w:val="en-AU"/>
              </w:rPr>
            </w:pPr>
            <w:r w:rsidRPr="005F69B2">
              <w:rPr>
                <w:lang w:val="en-AU"/>
              </w:rPr>
              <w:t>80 (30.5)</w:t>
            </w:r>
          </w:p>
        </w:tc>
      </w:tr>
      <w:tr w:rsidR="005F69B2" w:rsidRPr="005F69B2" w14:paraId="14E69CE7" w14:textId="77777777" w:rsidTr="00EB13F0">
        <w:trPr>
          <w:cantSplit/>
          <w:jc w:val="center"/>
        </w:trPr>
        <w:tc>
          <w:tcPr>
            <w:tcW w:w="0" w:type="auto"/>
            <w:shd w:val="clear" w:color="auto" w:fill="auto"/>
            <w:vAlign w:val="center"/>
          </w:tcPr>
          <w:p w14:paraId="1B09F318" w14:textId="77777777" w:rsidR="00EB13F0" w:rsidRPr="005F69B2" w:rsidRDefault="00EB13F0" w:rsidP="00EB13F0">
            <w:pPr>
              <w:pStyle w:val="TblTextCenter"/>
              <w:jc w:val="left"/>
              <w:rPr>
                <w:b/>
                <w:bCs/>
                <w:lang w:val="en-AU"/>
              </w:rPr>
            </w:pPr>
            <w:r w:rsidRPr="005F69B2">
              <w:rPr>
                <w:b/>
                <w:bCs/>
                <w:lang w:val="en-AU"/>
              </w:rPr>
              <w:t>CLD/CHD Status, n (%)</w:t>
            </w:r>
          </w:p>
        </w:tc>
        <w:tc>
          <w:tcPr>
            <w:tcW w:w="0" w:type="auto"/>
            <w:shd w:val="clear" w:color="auto" w:fill="auto"/>
            <w:vAlign w:val="center"/>
          </w:tcPr>
          <w:p w14:paraId="67BF9777" w14:textId="77777777" w:rsidR="00EB13F0" w:rsidRPr="005F69B2" w:rsidRDefault="00EB13F0" w:rsidP="00EB13F0">
            <w:pPr>
              <w:pStyle w:val="TblTextCenter"/>
              <w:rPr>
                <w:lang w:val="en-AU"/>
              </w:rPr>
            </w:pPr>
          </w:p>
        </w:tc>
        <w:tc>
          <w:tcPr>
            <w:tcW w:w="0" w:type="auto"/>
            <w:shd w:val="clear" w:color="auto" w:fill="auto"/>
          </w:tcPr>
          <w:p w14:paraId="3C228F77" w14:textId="77777777" w:rsidR="00EB13F0" w:rsidRPr="005F69B2" w:rsidRDefault="00EB13F0" w:rsidP="00EB13F0">
            <w:pPr>
              <w:pStyle w:val="TblTextCenter"/>
              <w:rPr>
                <w:lang w:val="en-AU"/>
              </w:rPr>
            </w:pPr>
          </w:p>
        </w:tc>
      </w:tr>
      <w:tr w:rsidR="005F69B2" w:rsidRPr="005F69B2" w14:paraId="2DB9D0EF" w14:textId="77777777" w:rsidTr="00EB13F0">
        <w:trPr>
          <w:cantSplit/>
          <w:jc w:val="center"/>
        </w:trPr>
        <w:tc>
          <w:tcPr>
            <w:tcW w:w="0" w:type="auto"/>
            <w:shd w:val="clear" w:color="auto" w:fill="auto"/>
            <w:vAlign w:val="center"/>
          </w:tcPr>
          <w:p w14:paraId="6E1E0722" w14:textId="77777777" w:rsidR="00EB13F0" w:rsidRPr="005F69B2" w:rsidRDefault="00EB13F0" w:rsidP="00EB13F0">
            <w:pPr>
              <w:pStyle w:val="TblTextCenter"/>
              <w:jc w:val="left"/>
              <w:rPr>
                <w:lang w:val="en-AU"/>
              </w:rPr>
            </w:pPr>
            <w:r w:rsidRPr="005F69B2">
              <w:rPr>
                <w:lang w:val="en-AU"/>
              </w:rPr>
              <w:t>CLD</w:t>
            </w:r>
          </w:p>
        </w:tc>
        <w:tc>
          <w:tcPr>
            <w:tcW w:w="0" w:type="auto"/>
            <w:shd w:val="clear" w:color="auto" w:fill="auto"/>
            <w:vAlign w:val="center"/>
          </w:tcPr>
          <w:p w14:paraId="11048C8E" w14:textId="77777777" w:rsidR="00EB13F0" w:rsidRPr="005F69B2" w:rsidRDefault="00EB13F0" w:rsidP="00EB13F0">
            <w:pPr>
              <w:pStyle w:val="TblTextCenter"/>
              <w:rPr>
                <w:lang w:val="en-AU"/>
              </w:rPr>
            </w:pPr>
            <w:r w:rsidRPr="005F69B2">
              <w:rPr>
                <w:lang w:val="en-AU"/>
              </w:rPr>
              <w:t>217 (23.5)</w:t>
            </w:r>
          </w:p>
        </w:tc>
        <w:tc>
          <w:tcPr>
            <w:tcW w:w="0" w:type="auto"/>
            <w:shd w:val="clear" w:color="auto" w:fill="auto"/>
          </w:tcPr>
          <w:p w14:paraId="7690D7F5" w14:textId="77777777" w:rsidR="00EB13F0" w:rsidRPr="005F69B2" w:rsidRDefault="00EB13F0" w:rsidP="00EB13F0">
            <w:pPr>
              <w:pStyle w:val="TblTextCenter"/>
              <w:rPr>
                <w:lang w:val="en-AU"/>
              </w:rPr>
            </w:pPr>
            <w:r w:rsidRPr="005F69B2">
              <w:rPr>
                <w:lang w:val="en-AU"/>
              </w:rPr>
              <w:t>189 (72.1)</w:t>
            </w:r>
          </w:p>
        </w:tc>
      </w:tr>
      <w:tr w:rsidR="005F69B2" w:rsidRPr="005F69B2" w14:paraId="27A6922D" w14:textId="77777777" w:rsidTr="00EB13F0">
        <w:trPr>
          <w:cantSplit/>
          <w:jc w:val="center"/>
        </w:trPr>
        <w:tc>
          <w:tcPr>
            <w:tcW w:w="0" w:type="auto"/>
            <w:tcBorders>
              <w:bottom w:val="single" w:sz="12" w:space="0" w:color="auto"/>
            </w:tcBorders>
            <w:shd w:val="clear" w:color="auto" w:fill="auto"/>
            <w:vAlign w:val="center"/>
          </w:tcPr>
          <w:p w14:paraId="4C912F46" w14:textId="77777777" w:rsidR="00EB13F0" w:rsidRPr="005F69B2" w:rsidRDefault="00EB13F0" w:rsidP="00EB13F0">
            <w:pPr>
              <w:pStyle w:val="TblTextCenter"/>
              <w:jc w:val="left"/>
              <w:rPr>
                <w:lang w:val="en-AU"/>
              </w:rPr>
            </w:pPr>
            <w:r w:rsidRPr="005F69B2">
              <w:rPr>
                <w:lang w:val="en-AU"/>
              </w:rPr>
              <w:t>CHD</w:t>
            </w:r>
          </w:p>
        </w:tc>
        <w:tc>
          <w:tcPr>
            <w:tcW w:w="0" w:type="auto"/>
            <w:tcBorders>
              <w:bottom w:val="single" w:sz="12" w:space="0" w:color="auto"/>
            </w:tcBorders>
            <w:shd w:val="clear" w:color="auto" w:fill="auto"/>
            <w:vAlign w:val="center"/>
          </w:tcPr>
          <w:p w14:paraId="78CF7116" w14:textId="77777777" w:rsidR="00EB13F0" w:rsidRPr="005F69B2" w:rsidRDefault="00EB13F0" w:rsidP="00EB13F0">
            <w:pPr>
              <w:pStyle w:val="TblTextCenter"/>
              <w:rPr>
                <w:lang w:val="en-AU"/>
              </w:rPr>
            </w:pPr>
            <w:r w:rsidRPr="005F69B2">
              <w:rPr>
                <w:lang w:val="en-AU"/>
              </w:rPr>
              <w:t>104 (11.2)</w:t>
            </w:r>
          </w:p>
        </w:tc>
        <w:tc>
          <w:tcPr>
            <w:tcW w:w="0" w:type="auto"/>
            <w:tcBorders>
              <w:bottom w:val="single" w:sz="12" w:space="0" w:color="auto"/>
            </w:tcBorders>
            <w:shd w:val="clear" w:color="auto" w:fill="auto"/>
          </w:tcPr>
          <w:p w14:paraId="49323EF8" w14:textId="77777777" w:rsidR="00EB13F0" w:rsidRPr="005F69B2" w:rsidRDefault="00EB13F0" w:rsidP="00EB13F0">
            <w:pPr>
              <w:pStyle w:val="TblTextCenter"/>
              <w:rPr>
                <w:lang w:val="en-AU"/>
              </w:rPr>
            </w:pPr>
            <w:r w:rsidRPr="005F69B2">
              <w:rPr>
                <w:lang w:val="en-AU"/>
              </w:rPr>
              <w:t>81 (30.9)</w:t>
            </w:r>
          </w:p>
        </w:tc>
      </w:tr>
      <w:tr w:rsidR="005F69B2" w:rsidRPr="005F69B2" w14:paraId="40F7277D" w14:textId="77777777" w:rsidTr="00EB13F0">
        <w:trPr>
          <w:cantSplit/>
          <w:jc w:val="center"/>
        </w:trPr>
        <w:tc>
          <w:tcPr>
            <w:tcW w:w="0" w:type="auto"/>
            <w:gridSpan w:val="3"/>
            <w:tcBorders>
              <w:top w:val="single" w:sz="12" w:space="0" w:color="auto"/>
            </w:tcBorders>
            <w:shd w:val="clear" w:color="auto" w:fill="auto"/>
            <w:vAlign w:val="center"/>
          </w:tcPr>
          <w:p w14:paraId="60CB635B" w14:textId="77777777" w:rsidR="00EB13F0" w:rsidRPr="005F69B2" w:rsidRDefault="00EB13F0" w:rsidP="00EB13F0">
            <w:pPr>
              <w:pStyle w:val="TblFigFootnote"/>
              <w:rPr>
                <w:lang w:val="en-AU"/>
              </w:rPr>
            </w:pPr>
            <w:r w:rsidRPr="005F69B2">
              <w:rPr>
                <w:lang w:val="en-AU"/>
              </w:rPr>
              <w:t>a   Each race category counts subjects who selected only that category.</w:t>
            </w:r>
          </w:p>
          <w:p w14:paraId="53536283" w14:textId="75AF79BD" w:rsidR="00EB13F0" w:rsidRPr="005F69B2" w:rsidRDefault="00EB13F0" w:rsidP="00EB13F0">
            <w:pPr>
              <w:pStyle w:val="TblFigFootnote"/>
              <w:rPr>
                <w:lang w:val="en-AU"/>
              </w:rPr>
            </w:pPr>
            <w:r w:rsidRPr="005F69B2">
              <w:rPr>
                <w:lang w:val="en-AU"/>
              </w:rPr>
              <w:t xml:space="preserve">    NE = not evaluated; RSV = respiratory syncytial virus</w:t>
            </w:r>
          </w:p>
        </w:tc>
      </w:tr>
    </w:tbl>
    <w:p w14:paraId="4AA1F851" w14:textId="435B3061" w:rsidR="00BE2763" w:rsidRPr="00E52B5F" w:rsidRDefault="00BE2763" w:rsidP="00FC5018">
      <w:pPr>
        <w:pStyle w:val="Heading4"/>
        <w:numPr>
          <w:ilvl w:val="0"/>
          <w:numId w:val="0"/>
        </w:numPr>
        <w:rPr>
          <w:lang w:val="en-AU"/>
        </w:rPr>
      </w:pPr>
      <w:bookmarkStart w:id="25" w:name="_Hlk116543593"/>
      <w:r w:rsidRPr="00E52B5F">
        <w:rPr>
          <w:lang w:val="en-AU"/>
        </w:rPr>
        <w:t>Efficacy against MA RSV LRTI, MA RSV LRTI hospitalisation, and very severe MA RSV LRTI in term and preterm infants (D5290C00003 and MELODY)</w:t>
      </w:r>
    </w:p>
    <w:p w14:paraId="42C01EC8" w14:textId="38C93EC4" w:rsidR="00BE2763" w:rsidRPr="00E52B5F" w:rsidRDefault="00BE2763" w:rsidP="00C52362">
      <w:pPr>
        <w:rPr>
          <w:lang w:val="en-AU"/>
        </w:rPr>
      </w:pPr>
      <w:r w:rsidRPr="00E52B5F">
        <w:rPr>
          <w:lang w:val="en-AU"/>
        </w:rPr>
        <w:t xml:space="preserve">D5290C00003 randomised a total of 1453 very and moderately preterm infants (GA ≥29 to &lt;35 weeks) entering their first RSV season (2:1) to receive a single IM dose of 50 mg BEYFORTUS or placebo. At randomisation, </w:t>
      </w:r>
      <w:bookmarkStart w:id="26" w:name="_Hlk86662143"/>
      <w:r w:rsidRPr="00E52B5F">
        <w:rPr>
          <w:lang w:val="en-AU"/>
        </w:rPr>
        <w:t xml:space="preserve">20.3% were GA </w:t>
      </w:r>
      <w:bookmarkStart w:id="27" w:name="_Hlk85636668"/>
      <w:r w:rsidRPr="00E52B5F">
        <w:rPr>
          <w:lang w:val="en-AU"/>
        </w:rPr>
        <w:t>≥</w:t>
      </w:r>
      <w:bookmarkEnd w:id="27"/>
      <w:r w:rsidRPr="00E52B5F">
        <w:rPr>
          <w:lang w:val="en-AU"/>
        </w:rPr>
        <w:t xml:space="preserve">29 to &lt;32 weeks; </w:t>
      </w:r>
      <w:bookmarkEnd w:id="26"/>
      <w:r w:rsidRPr="00E52B5F">
        <w:rPr>
          <w:lang w:val="en-AU"/>
        </w:rPr>
        <w:t xml:space="preserve">79.7% were </w:t>
      </w:r>
      <w:bookmarkStart w:id="28" w:name="_Hlk86662200"/>
      <w:r w:rsidRPr="00E52B5F">
        <w:rPr>
          <w:lang w:val="en-AU"/>
        </w:rPr>
        <w:t xml:space="preserve">GA ≥32 to &lt;35 weeks; </w:t>
      </w:r>
      <w:bookmarkEnd w:id="28"/>
      <w:r w:rsidRPr="00E52B5F">
        <w:rPr>
          <w:lang w:val="en-AU"/>
        </w:rPr>
        <w:t>52.4% were male; 72.2% were White; 17.6% were of African origin; 1.0% were Asian; and 59.5% weighed &lt;5 </w:t>
      </w:r>
      <w:r w:rsidR="00B570F3" w:rsidRPr="00E52B5F">
        <w:rPr>
          <w:lang w:val="en-AU"/>
        </w:rPr>
        <w:t>Kg</w:t>
      </w:r>
      <w:r w:rsidRPr="00E52B5F">
        <w:rPr>
          <w:lang w:val="en-AU"/>
        </w:rPr>
        <w:t xml:space="preserve">. The median age was 2.80 months (range: 0.1 to 11.9 months); 53.2% were </w:t>
      </w:r>
      <w:bookmarkStart w:id="29" w:name="_Hlk90466180"/>
      <w:r w:rsidRPr="00E52B5F">
        <w:rPr>
          <w:lang w:val="en-AU"/>
        </w:rPr>
        <w:t>≤</w:t>
      </w:r>
      <w:bookmarkEnd w:id="29"/>
      <w:r w:rsidRPr="00E52B5F">
        <w:rPr>
          <w:lang w:val="en-AU"/>
        </w:rPr>
        <w:t>3.0 months; 32.6% were &gt;3.0 to ≤6.0 months, and 14.2% were &gt;6.0 months of age</w:t>
      </w:r>
      <w:r w:rsidR="000E2015" w:rsidRPr="00E52B5F">
        <w:rPr>
          <w:lang w:val="en-AU"/>
        </w:rPr>
        <w:t>.</w:t>
      </w:r>
    </w:p>
    <w:p w14:paraId="5F69B2F3" w14:textId="20376559" w:rsidR="00BE2763" w:rsidRPr="00E52B5F" w:rsidRDefault="00BE2763" w:rsidP="00C52362">
      <w:pPr>
        <w:rPr>
          <w:lang w:val="en-AU"/>
        </w:rPr>
      </w:pPr>
      <w:r w:rsidRPr="00E52B5F">
        <w:rPr>
          <w:lang w:val="en-AU"/>
        </w:rPr>
        <w:t>MELODY (Primary cohort) randomised a total of 1490 term and late preterm infants (GA ≥35 weeks) entering their first RSV season (2:1) to receive a single IM dose of BEYFORTUS (50 mg BEYFORTUS if &lt;5 </w:t>
      </w:r>
      <w:r w:rsidR="00B570F3" w:rsidRPr="00E52B5F">
        <w:rPr>
          <w:lang w:val="en-AU"/>
        </w:rPr>
        <w:t>Kg</w:t>
      </w:r>
      <w:r w:rsidRPr="00E52B5F">
        <w:rPr>
          <w:lang w:val="en-AU"/>
        </w:rPr>
        <w:t xml:space="preserve"> weight or 100 mg BEYFORTUS if ≥5 </w:t>
      </w:r>
      <w:r w:rsidR="00B570F3" w:rsidRPr="00E52B5F">
        <w:rPr>
          <w:lang w:val="en-AU"/>
        </w:rPr>
        <w:t>Kg</w:t>
      </w:r>
      <w:r w:rsidRPr="00E52B5F">
        <w:rPr>
          <w:lang w:val="en-AU"/>
        </w:rPr>
        <w:t xml:space="preserve"> weight at the time of dosing) or placebo. At randomisation, 14.0% were GA ≥35 to &lt;37 weeks; 86.0% were GA ≥37 weeks; 51.6% were male; 53.5% were White; 28.4% were of African origin; 3.6% were Asian; and 40.0% weighed &lt;5 </w:t>
      </w:r>
      <w:r w:rsidR="00B570F3" w:rsidRPr="00E52B5F">
        <w:rPr>
          <w:lang w:val="en-AU"/>
        </w:rPr>
        <w:t>Kg</w:t>
      </w:r>
      <w:r w:rsidRPr="00E52B5F">
        <w:rPr>
          <w:lang w:val="en-AU"/>
        </w:rPr>
        <w:t>. The median age was 2.60 months (range: 0.03 to 11.10 months); 57.9% were ≤3.0 months; 32.1% were &gt;3.0 to ≤6.0 months and 10.0% were &gt;6.0 months of age.</w:t>
      </w:r>
      <w:r w:rsidR="00062E05" w:rsidRPr="00E52B5F">
        <w:rPr>
          <w:lang w:val="en-AU"/>
        </w:rPr>
        <w:t xml:space="preserve">  MELODY continued to enrol infants following the primary analysis, and </w:t>
      </w:r>
      <w:r w:rsidR="005F69B2" w:rsidRPr="00E52B5F">
        <w:rPr>
          <w:lang w:val="en-AU"/>
        </w:rPr>
        <w:t>overall,</w:t>
      </w:r>
      <w:r w:rsidR="00062E05" w:rsidRPr="00E52B5F">
        <w:rPr>
          <w:lang w:val="en-AU"/>
        </w:rPr>
        <w:t xml:space="preserve"> 3012 infants (All subjects) were randomised to receive BEYFORTUS (2009) or placebo (1003). At randomisation, 12.0% were GA ≥35 to &lt;37 weeks; 88.0% were GA ≥37 weeks; 52.3% were male; 52.9% were White; 14.5% were of African origin; 5.3% were Asian; and 39.6% weighed &lt;5 </w:t>
      </w:r>
      <w:r w:rsidR="00B570F3" w:rsidRPr="00E52B5F">
        <w:rPr>
          <w:lang w:val="en-AU"/>
        </w:rPr>
        <w:t>Kg</w:t>
      </w:r>
      <w:r w:rsidR="00062E05" w:rsidRPr="00E52B5F">
        <w:rPr>
          <w:lang w:val="en-AU"/>
        </w:rPr>
        <w:t>. The median age was 2.53 months (range: 0.00 to 14.00 months); 59.0% were ≤3.0 months; 31.8% were &gt;3.0 to ≤6.0 months, and 9.1% were &gt;6.0 months of age.</w:t>
      </w:r>
    </w:p>
    <w:p w14:paraId="7502FB60" w14:textId="44CD76B6" w:rsidR="00BE2763" w:rsidRPr="00E52B5F" w:rsidRDefault="00BE2763" w:rsidP="00C52362">
      <w:pPr>
        <w:rPr>
          <w:lang w:val="en-AU"/>
        </w:rPr>
      </w:pPr>
      <w:r w:rsidRPr="00E52B5F">
        <w:rPr>
          <w:lang w:val="en-AU"/>
        </w:rPr>
        <w:t>Demographic and baseline characteristics were comparable between the BEYFORTUS and placebo group in both trials.</w:t>
      </w:r>
    </w:p>
    <w:p w14:paraId="2B758132" w14:textId="37774447" w:rsidR="00C52362" w:rsidRPr="00E52B5F" w:rsidRDefault="00BE2763" w:rsidP="00C52362">
      <w:pPr>
        <w:rPr>
          <w:lang w:val="en-AU"/>
        </w:rPr>
      </w:pPr>
      <w:r w:rsidRPr="00E52B5F">
        <w:rPr>
          <w:lang w:val="en-AU"/>
        </w:rPr>
        <w:lastRenderedPageBreak/>
        <w:t>The primary endpoint for D5290C00003 and MELODY (Primary cohort) was the incidence of medically attended lower respiratory tract infection (inclusive of hospitalisation) caused by RT</w:t>
      </w:r>
      <w:r w:rsidRPr="00E52B5F">
        <w:rPr>
          <w:lang w:val="en-AU"/>
        </w:rPr>
        <w:noBreakHyphen/>
        <w:t>PCR</w:t>
      </w:r>
      <w:r w:rsidRPr="00E52B5F">
        <w:rPr>
          <w:lang w:val="en-AU"/>
        </w:rPr>
        <w:noBreakHyphen/>
        <w:t>confirmed RSV (MA RSV LRTI), characterised predominantly as bronchiolitis or pneumonia, through 150 days after dosing. Signs of LRTI were defined by having one of the following findings at physical examination indicating lower respiratory tract involvement (</w:t>
      </w:r>
      <w:r w:rsidR="000E2015" w:rsidRPr="00E52B5F">
        <w:rPr>
          <w:lang w:val="en-AU"/>
        </w:rPr>
        <w:t>e.g.</w:t>
      </w:r>
      <w:r w:rsidRPr="00E52B5F">
        <w:rPr>
          <w:lang w:val="en-AU"/>
        </w:rPr>
        <w:t xml:space="preserve"> rhonchi, rales, crackles or wheeze); and at least one sign of clinical severity (increased respiratory rate, hypoxemia, acute hypoxic or ventilatory failure, new onset apnoea, nasal flaring, retractions, grunting, or dehydration due to respiratory distress).</w:t>
      </w:r>
      <w:r w:rsidR="00502847" w:rsidRPr="00E52B5F">
        <w:rPr>
          <w:lang w:val="en-AU"/>
        </w:rPr>
        <w:t xml:space="preserve"> BEYFORTUS demonstrated efficacy in both individual trials in term and preterm infants (GA ≥29 weeks) entering their first RSV season (</w:t>
      </w:r>
      <w:r w:rsidR="0083697E" w:rsidRPr="00E52B5F">
        <w:rPr>
          <w:color w:val="0000FF"/>
          <w:lang w:val="en-AU"/>
        </w:rPr>
        <w:fldChar w:fldCharType="begin"/>
      </w:r>
      <w:r w:rsidR="0083697E" w:rsidRPr="00E52B5F">
        <w:rPr>
          <w:color w:val="0000FF"/>
          <w:lang w:val="en-AU"/>
        </w:rPr>
        <w:instrText xml:space="preserve"> REF _Ref139285407 \h  \* MERGEFORMAT </w:instrText>
      </w:r>
      <w:r w:rsidR="0083697E" w:rsidRPr="00E52B5F">
        <w:rPr>
          <w:color w:val="0000FF"/>
          <w:lang w:val="en-AU"/>
        </w:rPr>
      </w:r>
      <w:r w:rsidR="0083697E" w:rsidRPr="00E52B5F">
        <w:rPr>
          <w:color w:val="0000FF"/>
          <w:lang w:val="en-AU"/>
        </w:rPr>
        <w:fldChar w:fldCharType="separate"/>
      </w:r>
      <w:r w:rsidR="006040F3" w:rsidRPr="006040F3">
        <w:rPr>
          <w:color w:val="0000FF"/>
          <w:lang w:val="en-AU"/>
        </w:rPr>
        <w:t>Table 6</w:t>
      </w:r>
      <w:r w:rsidR="0083697E" w:rsidRPr="00E52B5F">
        <w:rPr>
          <w:color w:val="0000FF"/>
          <w:lang w:val="en-AU"/>
        </w:rPr>
        <w:fldChar w:fldCharType="end"/>
      </w:r>
      <w:r w:rsidR="00502847" w:rsidRPr="00E52B5F">
        <w:rPr>
          <w:lang w:val="en-AU"/>
        </w:rPr>
        <w:t>).</w:t>
      </w:r>
      <w:r w:rsidRPr="00E52B5F">
        <w:rPr>
          <w:lang w:val="en-AU"/>
        </w:rPr>
        <w:t xml:space="preserve"> </w:t>
      </w:r>
    </w:p>
    <w:p w14:paraId="0C7F6ACD" w14:textId="72964DAF" w:rsidR="0083697E" w:rsidRPr="00E52B5F" w:rsidRDefault="0083697E" w:rsidP="0083697E">
      <w:pPr>
        <w:pStyle w:val="Caption"/>
        <w:rPr>
          <w:lang w:val="en-AU"/>
        </w:rPr>
      </w:pPr>
      <w:r w:rsidRPr="00E52B5F">
        <w:rPr>
          <w:b w:val="0"/>
          <w:color w:val="000000"/>
          <w:lang w:val="en-AU"/>
        </w:rPr>
        <w:t xml:space="preserve"> </w:t>
      </w:r>
      <w:bookmarkStart w:id="30" w:name="_Ref139285407"/>
      <w:r w:rsidRPr="00E52B5F">
        <w:rPr>
          <w:lang w:val="en-AU"/>
        </w:rPr>
        <w:t>Table </w:t>
      </w:r>
      <w:r w:rsidRPr="00E52B5F">
        <w:rPr>
          <w:lang w:val="en-AU"/>
        </w:rPr>
        <w:fldChar w:fldCharType="begin"/>
      </w:r>
      <w:r w:rsidRPr="00E52B5F">
        <w:rPr>
          <w:lang w:val="en-AU"/>
        </w:rPr>
        <w:instrText xml:space="preserve"> SEQ Table \* ARABIC </w:instrText>
      </w:r>
      <w:r w:rsidRPr="00E52B5F">
        <w:rPr>
          <w:lang w:val="en-AU"/>
        </w:rPr>
        <w:fldChar w:fldCharType="separate"/>
      </w:r>
      <w:r w:rsidR="006040F3">
        <w:rPr>
          <w:noProof/>
          <w:lang w:val="en-AU"/>
        </w:rPr>
        <w:t>6</w:t>
      </w:r>
      <w:r w:rsidRPr="00E52B5F">
        <w:rPr>
          <w:lang w:val="en-AU"/>
        </w:rPr>
        <w:fldChar w:fldCharType="end"/>
      </w:r>
      <w:bookmarkEnd w:id="30"/>
      <w:r w:rsidRPr="00E52B5F">
        <w:rPr>
          <w:lang w:val="en-AU"/>
        </w:rPr>
        <w:t xml:space="preserve"> ­ Efficacy in term and preterm infants against MA RSV LRTI through 150 days post dose - D5290C00003 and MELODY (Primary cohort)</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620"/>
        <w:gridCol w:w="990"/>
        <w:gridCol w:w="1210"/>
        <w:gridCol w:w="2128"/>
      </w:tblGrid>
      <w:tr w:rsidR="007E5536" w:rsidRPr="00E52B5F" w14:paraId="298ADF07" w14:textId="77777777" w:rsidTr="007E5536">
        <w:trPr>
          <w:cantSplit/>
          <w:trHeight w:val="440"/>
          <w:tblHeader/>
          <w:jc w:val="center"/>
        </w:trPr>
        <w:tc>
          <w:tcPr>
            <w:tcW w:w="3690" w:type="dxa"/>
            <w:tcBorders>
              <w:top w:val="single" w:sz="4" w:space="0" w:color="000000"/>
              <w:bottom w:val="single" w:sz="4" w:space="0" w:color="000000"/>
            </w:tcBorders>
            <w:shd w:val="clear" w:color="auto" w:fill="auto"/>
            <w:vAlign w:val="center"/>
          </w:tcPr>
          <w:p w14:paraId="6055016B" w14:textId="77777777" w:rsidR="00BE2763" w:rsidRPr="00E52B5F" w:rsidRDefault="00BE2763" w:rsidP="007E5536">
            <w:pPr>
              <w:pStyle w:val="TblHeadingCenter"/>
              <w:rPr>
                <w:lang w:val="en-AU"/>
              </w:rPr>
            </w:pPr>
            <w:r w:rsidRPr="00E52B5F">
              <w:rPr>
                <w:lang w:val="en-AU"/>
              </w:rPr>
              <w:t>Group</w:t>
            </w:r>
          </w:p>
        </w:tc>
        <w:tc>
          <w:tcPr>
            <w:tcW w:w="1620" w:type="dxa"/>
            <w:tcBorders>
              <w:top w:val="single" w:sz="4" w:space="0" w:color="000000"/>
              <w:bottom w:val="single" w:sz="4" w:space="0" w:color="000000"/>
            </w:tcBorders>
            <w:shd w:val="clear" w:color="auto" w:fill="auto"/>
            <w:vAlign w:val="center"/>
          </w:tcPr>
          <w:p w14:paraId="38245BE2" w14:textId="77777777" w:rsidR="00BE2763" w:rsidRPr="00E52B5F" w:rsidRDefault="00BE2763" w:rsidP="007E5536">
            <w:pPr>
              <w:pStyle w:val="TblHeadingCenter"/>
              <w:rPr>
                <w:lang w:val="en-AU"/>
              </w:rPr>
            </w:pPr>
            <w:r w:rsidRPr="00E52B5F">
              <w:rPr>
                <w:lang w:val="en-AU"/>
              </w:rPr>
              <w:t>Treatment</w:t>
            </w:r>
          </w:p>
        </w:tc>
        <w:tc>
          <w:tcPr>
            <w:tcW w:w="990" w:type="dxa"/>
            <w:tcBorders>
              <w:top w:val="single" w:sz="4" w:space="0" w:color="000000"/>
              <w:bottom w:val="single" w:sz="4" w:space="0" w:color="000000"/>
            </w:tcBorders>
            <w:shd w:val="clear" w:color="auto" w:fill="auto"/>
            <w:vAlign w:val="center"/>
          </w:tcPr>
          <w:p w14:paraId="65E5CA29" w14:textId="77777777" w:rsidR="00BE2763" w:rsidRPr="00E52B5F" w:rsidRDefault="00BE2763" w:rsidP="007E5536">
            <w:pPr>
              <w:pStyle w:val="TblHeadingCenter"/>
              <w:rPr>
                <w:lang w:val="en-AU"/>
              </w:rPr>
            </w:pPr>
            <w:r w:rsidRPr="00E52B5F">
              <w:rPr>
                <w:lang w:val="en-AU"/>
              </w:rPr>
              <w:t>N</w:t>
            </w:r>
          </w:p>
        </w:tc>
        <w:tc>
          <w:tcPr>
            <w:tcW w:w="1210" w:type="dxa"/>
            <w:tcBorders>
              <w:top w:val="single" w:sz="4" w:space="0" w:color="000000"/>
              <w:bottom w:val="single" w:sz="4" w:space="0" w:color="000000"/>
            </w:tcBorders>
            <w:shd w:val="clear" w:color="auto" w:fill="auto"/>
            <w:vAlign w:val="center"/>
          </w:tcPr>
          <w:p w14:paraId="3B8977AA" w14:textId="77777777" w:rsidR="00BE2763" w:rsidRPr="00E52B5F" w:rsidRDefault="00BE2763" w:rsidP="007E5536">
            <w:pPr>
              <w:pStyle w:val="TblHeadingCenter"/>
              <w:rPr>
                <w:lang w:val="en-AU"/>
              </w:rPr>
            </w:pPr>
            <w:r w:rsidRPr="00E52B5F">
              <w:rPr>
                <w:lang w:val="en-AU"/>
              </w:rPr>
              <w:t>Incidence</w:t>
            </w:r>
            <w:r w:rsidRPr="00E52B5F">
              <w:rPr>
                <w:lang w:val="en-AU"/>
              </w:rPr>
              <w:br/>
              <w:t>% (n)</w:t>
            </w:r>
          </w:p>
        </w:tc>
        <w:tc>
          <w:tcPr>
            <w:tcW w:w="0" w:type="auto"/>
            <w:tcBorders>
              <w:top w:val="single" w:sz="4" w:space="0" w:color="000000"/>
              <w:bottom w:val="single" w:sz="4" w:space="0" w:color="000000"/>
            </w:tcBorders>
            <w:shd w:val="clear" w:color="auto" w:fill="auto"/>
            <w:vAlign w:val="center"/>
          </w:tcPr>
          <w:p w14:paraId="23C07666" w14:textId="77777777" w:rsidR="00BE2763" w:rsidRPr="00E52B5F" w:rsidRDefault="00BE2763" w:rsidP="007E5536">
            <w:pPr>
              <w:pStyle w:val="TblHeadingCenter"/>
              <w:rPr>
                <w:lang w:val="en-AU"/>
              </w:rPr>
            </w:pPr>
            <w:r w:rsidRPr="00E52B5F">
              <w:rPr>
                <w:lang w:val="en-AU"/>
              </w:rPr>
              <w:t>Efficacy</w:t>
            </w:r>
            <w:r w:rsidRPr="00E52B5F">
              <w:rPr>
                <w:vertAlign w:val="superscript"/>
                <w:lang w:val="en-AU"/>
              </w:rPr>
              <w:t>a</w:t>
            </w:r>
            <w:r w:rsidRPr="00E52B5F">
              <w:rPr>
                <w:lang w:val="en-AU"/>
              </w:rPr>
              <w:t xml:space="preserve"> (95% CI)</w:t>
            </w:r>
          </w:p>
        </w:tc>
      </w:tr>
      <w:tr w:rsidR="007E5536" w:rsidRPr="00E52B5F" w14:paraId="5934D5AE" w14:textId="77777777" w:rsidTr="007E5536">
        <w:trPr>
          <w:cantSplit/>
          <w:tblHeader/>
          <w:jc w:val="center"/>
        </w:trPr>
        <w:tc>
          <w:tcPr>
            <w:tcW w:w="3690" w:type="dxa"/>
            <w:vMerge w:val="restart"/>
            <w:tcBorders>
              <w:top w:val="single" w:sz="4" w:space="0" w:color="000000"/>
            </w:tcBorders>
            <w:shd w:val="clear" w:color="auto" w:fill="auto"/>
            <w:vAlign w:val="center"/>
          </w:tcPr>
          <w:p w14:paraId="5B0DB999" w14:textId="77777777" w:rsidR="00BE2763" w:rsidRPr="00E52B5F" w:rsidRDefault="00BE2763" w:rsidP="007E5536">
            <w:pPr>
              <w:pStyle w:val="TblTextCenter"/>
              <w:rPr>
                <w:lang w:val="en-AU"/>
              </w:rPr>
            </w:pPr>
            <w:r w:rsidRPr="00E52B5F">
              <w:rPr>
                <w:lang w:val="en-AU"/>
              </w:rPr>
              <w:t>Very and moderately preterm GA ≥29 to &lt;35 weeks (D5290C00003)</w:t>
            </w:r>
          </w:p>
        </w:tc>
        <w:tc>
          <w:tcPr>
            <w:tcW w:w="1620" w:type="dxa"/>
            <w:tcBorders>
              <w:top w:val="single" w:sz="4" w:space="0" w:color="000000"/>
            </w:tcBorders>
            <w:shd w:val="clear" w:color="auto" w:fill="auto"/>
          </w:tcPr>
          <w:p w14:paraId="3895FB1C" w14:textId="77777777" w:rsidR="00BE2763" w:rsidRPr="00E52B5F" w:rsidRDefault="00BE2763" w:rsidP="007E5536">
            <w:pPr>
              <w:pStyle w:val="TblTextCenter"/>
              <w:rPr>
                <w:lang w:val="en-AU"/>
              </w:rPr>
            </w:pPr>
            <w:r w:rsidRPr="00E52B5F">
              <w:rPr>
                <w:lang w:val="en-AU"/>
              </w:rPr>
              <w:t>BEYFORTUS</w:t>
            </w:r>
          </w:p>
        </w:tc>
        <w:tc>
          <w:tcPr>
            <w:tcW w:w="990" w:type="dxa"/>
            <w:tcBorders>
              <w:top w:val="single" w:sz="4" w:space="0" w:color="000000"/>
            </w:tcBorders>
            <w:shd w:val="clear" w:color="auto" w:fill="auto"/>
          </w:tcPr>
          <w:p w14:paraId="6CCF3F21" w14:textId="18063E9E" w:rsidR="00BE2763" w:rsidRPr="00E52B5F" w:rsidRDefault="0058396B" w:rsidP="007E5536">
            <w:pPr>
              <w:pStyle w:val="TblTextCenter"/>
              <w:rPr>
                <w:lang w:val="en-AU"/>
              </w:rPr>
            </w:pPr>
            <w:r w:rsidRPr="00E52B5F">
              <w:rPr>
                <w:lang w:val="en-AU"/>
              </w:rPr>
              <w:t>969</w:t>
            </w:r>
          </w:p>
        </w:tc>
        <w:tc>
          <w:tcPr>
            <w:tcW w:w="1210" w:type="dxa"/>
            <w:tcBorders>
              <w:top w:val="single" w:sz="4" w:space="0" w:color="000000"/>
            </w:tcBorders>
            <w:shd w:val="clear" w:color="auto" w:fill="auto"/>
          </w:tcPr>
          <w:p w14:paraId="65B5CCA6" w14:textId="5CD644EE" w:rsidR="00BE2763" w:rsidRPr="00E52B5F" w:rsidRDefault="0058396B" w:rsidP="007E5536">
            <w:pPr>
              <w:pStyle w:val="TblTextCenter"/>
              <w:rPr>
                <w:lang w:val="en-AU"/>
              </w:rPr>
            </w:pPr>
            <w:r w:rsidRPr="00E52B5F">
              <w:rPr>
                <w:lang w:val="en-AU"/>
              </w:rPr>
              <w:t>2.6 (25</w:t>
            </w:r>
            <w:r w:rsidR="007E5536" w:rsidRPr="00E52B5F">
              <w:rPr>
                <w:lang w:val="en-AU"/>
              </w:rPr>
              <w:t>)</w:t>
            </w:r>
          </w:p>
        </w:tc>
        <w:tc>
          <w:tcPr>
            <w:tcW w:w="0" w:type="auto"/>
            <w:vMerge w:val="restart"/>
            <w:tcBorders>
              <w:top w:val="single" w:sz="4" w:space="0" w:color="000000"/>
            </w:tcBorders>
            <w:shd w:val="clear" w:color="auto" w:fill="auto"/>
            <w:vAlign w:val="center"/>
          </w:tcPr>
          <w:p w14:paraId="0A78D94B" w14:textId="1BE9C7AA" w:rsidR="00BE2763" w:rsidRPr="00E52B5F" w:rsidRDefault="0058396B" w:rsidP="007E5536">
            <w:pPr>
              <w:pStyle w:val="TblTextCenter"/>
              <w:rPr>
                <w:lang w:val="en-AU"/>
              </w:rPr>
            </w:pPr>
            <w:r w:rsidRPr="00E52B5F">
              <w:rPr>
                <w:lang w:val="en-AU"/>
              </w:rPr>
              <w:t>70.1% (52.3, 81.2) p&lt;0.0001</w:t>
            </w:r>
          </w:p>
        </w:tc>
      </w:tr>
      <w:tr w:rsidR="00BE2763" w:rsidRPr="00E52B5F" w14:paraId="50018836" w14:textId="77777777" w:rsidTr="007E5536">
        <w:trPr>
          <w:cantSplit/>
          <w:tblHeader/>
          <w:jc w:val="center"/>
        </w:trPr>
        <w:tc>
          <w:tcPr>
            <w:tcW w:w="3690" w:type="dxa"/>
            <w:vMerge/>
            <w:shd w:val="clear" w:color="auto" w:fill="auto"/>
            <w:vAlign w:val="center"/>
          </w:tcPr>
          <w:p w14:paraId="5AF66055" w14:textId="77777777" w:rsidR="00BE2763" w:rsidRPr="00E52B5F" w:rsidRDefault="00BE2763" w:rsidP="005B1B6F">
            <w:pPr>
              <w:pStyle w:val="TableLeft"/>
              <w:shd w:val="clear" w:color="auto" w:fill="D9D9D9" w:themeFill="background1" w:themeFillShade="D9"/>
              <w:rPr>
                <w:lang w:val="en-AU"/>
              </w:rPr>
            </w:pPr>
          </w:p>
        </w:tc>
        <w:tc>
          <w:tcPr>
            <w:tcW w:w="1620" w:type="dxa"/>
            <w:shd w:val="clear" w:color="auto" w:fill="auto"/>
          </w:tcPr>
          <w:p w14:paraId="38DA7AD7" w14:textId="77777777" w:rsidR="00BE2763" w:rsidRPr="00E52B5F" w:rsidRDefault="00BE2763" w:rsidP="007E5536">
            <w:pPr>
              <w:pStyle w:val="TblTextCenter"/>
              <w:rPr>
                <w:lang w:val="en-AU"/>
              </w:rPr>
            </w:pPr>
            <w:r w:rsidRPr="00E52B5F">
              <w:rPr>
                <w:lang w:val="en-AU"/>
              </w:rPr>
              <w:t>Placebo</w:t>
            </w:r>
          </w:p>
        </w:tc>
        <w:tc>
          <w:tcPr>
            <w:tcW w:w="990" w:type="dxa"/>
            <w:shd w:val="clear" w:color="auto" w:fill="auto"/>
          </w:tcPr>
          <w:p w14:paraId="30A75B67" w14:textId="729D8FC2" w:rsidR="00BE2763" w:rsidRPr="00E52B5F" w:rsidRDefault="0058396B" w:rsidP="007E5536">
            <w:pPr>
              <w:pStyle w:val="TblTextCenter"/>
              <w:rPr>
                <w:lang w:val="en-AU"/>
              </w:rPr>
            </w:pPr>
            <w:r w:rsidRPr="00E52B5F">
              <w:rPr>
                <w:lang w:val="en-AU"/>
              </w:rPr>
              <w:t>484</w:t>
            </w:r>
          </w:p>
        </w:tc>
        <w:tc>
          <w:tcPr>
            <w:tcW w:w="1210" w:type="dxa"/>
            <w:shd w:val="clear" w:color="auto" w:fill="auto"/>
          </w:tcPr>
          <w:p w14:paraId="1F6A5B55" w14:textId="21A0FEDD" w:rsidR="00BE2763" w:rsidRPr="00E52B5F" w:rsidRDefault="0058396B" w:rsidP="007E5536">
            <w:pPr>
              <w:pStyle w:val="TblTextCenter"/>
              <w:rPr>
                <w:lang w:val="en-AU"/>
              </w:rPr>
            </w:pPr>
            <w:r w:rsidRPr="00E52B5F">
              <w:rPr>
                <w:lang w:val="en-AU"/>
              </w:rPr>
              <w:t>9.5 (46)</w:t>
            </w:r>
          </w:p>
        </w:tc>
        <w:tc>
          <w:tcPr>
            <w:tcW w:w="0" w:type="auto"/>
            <w:vMerge/>
            <w:shd w:val="clear" w:color="auto" w:fill="auto"/>
            <w:vAlign w:val="center"/>
          </w:tcPr>
          <w:p w14:paraId="4E3E8858" w14:textId="77777777" w:rsidR="00BE2763" w:rsidRPr="00E52B5F" w:rsidRDefault="00BE2763" w:rsidP="005B1B6F">
            <w:pPr>
              <w:pStyle w:val="TableCenter"/>
              <w:shd w:val="clear" w:color="auto" w:fill="D9D9D9" w:themeFill="background1" w:themeFillShade="D9"/>
              <w:rPr>
                <w:lang w:val="en-AU"/>
              </w:rPr>
            </w:pPr>
          </w:p>
        </w:tc>
      </w:tr>
      <w:tr w:rsidR="00BE2763" w:rsidRPr="00E52B5F" w14:paraId="6C7D2D88" w14:textId="77777777" w:rsidTr="007E5536">
        <w:trPr>
          <w:cantSplit/>
          <w:tblHeader/>
          <w:jc w:val="center"/>
        </w:trPr>
        <w:tc>
          <w:tcPr>
            <w:tcW w:w="3690" w:type="dxa"/>
            <w:vMerge w:val="restart"/>
            <w:shd w:val="clear" w:color="auto" w:fill="auto"/>
            <w:vAlign w:val="center"/>
          </w:tcPr>
          <w:p w14:paraId="65D35D33" w14:textId="77777777" w:rsidR="00BE2763" w:rsidRPr="00E52B5F" w:rsidRDefault="00BE2763" w:rsidP="007E5536">
            <w:pPr>
              <w:pStyle w:val="TblTextCenter"/>
              <w:rPr>
                <w:lang w:val="en-AU"/>
              </w:rPr>
            </w:pPr>
            <w:r w:rsidRPr="00E52B5F">
              <w:rPr>
                <w:lang w:val="en-AU"/>
              </w:rPr>
              <w:t>Term and late preterm GA ≥35 weeks (MELODY)</w:t>
            </w:r>
          </w:p>
        </w:tc>
        <w:tc>
          <w:tcPr>
            <w:tcW w:w="1620" w:type="dxa"/>
            <w:shd w:val="clear" w:color="auto" w:fill="auto"/>
          </w:tcPr>
          <w:p w14:paraId="78AB68B5" w14:textId="77777777" w:rsidR="00BE2763" w:rsidRPr="00E52B5F" w:rsidRDefault="00BE2763" w:rsidP="007E5536">
            <w:pPr>
              <w:pStyle w:val="TblTextCenter"/>
              <w:rPr>
                <w:lang w:val="en-AU"/>
              </w:rPr>
            </w:pPr>
            <w:r w:rsidRPr="00E52B5F">
              <w:rPr>
                <w:lang w:val="en-AU"/>
              </w:rPr>
              <w:t>BEYFORTUS</w:t>
            </w:r>
          </w:p>
        </w:tc>
        <w:tc>
          <w:tcPr>
            <w:tcW w:w="990" w:type="dxa"/>
            <w:shd w:val="clear" w:color="auto" w:fill="auto"/>
          </w:tcPr>
          <w:p w14:paraId="62DCD945" w14:textId="77777777" w:rsidR="00BE2763" w:rsidRPr="00E52B5F" w:rsidRDefault="00BE2763" w:rsidP="007E5536">
            <w:pPr>
              <w:pStyle w:val="TblTextCenter"/>
              <w:rPr>
                <w:lang w:val="en-AU"/>
              </w:rPr>
            </w:pPr>
            <w:r w:rsidRPr="00E52B5F">
              <w:rPr>
                <w:lang w:val="en-AU"/>
              </w:rPr>
              <w:t>994</w:t>
            </w:r>
          </w:p>
        </w:tc>
        <w:tc>
          <w:tcPr>
            <w:tcW w:w="1210" w:type="dxa"/>
            <w:shd w:val="clear" w:color="auto" w:fill="auto"/>
          </w:tcPr>
          <w:p w14:paraId="4D880D19" w14:textId="77777777" w:rsidR="00BE2763" w:rsidRPr="00E52B5F" w:rsidRDefault="00BE2763" w:rsidP="007E5536">
            <w:pPr>
              <w:pStyle w:val="TblTextCenter"/>
              <w:rPr>
                <w:lang w:val="en-AU"/>
              </w:rPr>
            </w:pPr>
            <w:r w:rsidRPr="00E52B5F">
              <w:rPr>
                <w:lang w:val="en-AU"/>
              </w:rPr>
              <w:t>1.2 (12)</w:t>
            </w:r>
          </w:p>
        </w:tc>
        <w:tc>
          <w:tcPr>
            <w:tcW w:w="0" w:type="auto"/>
            <w:vMerge w:val="restart"/>
            <w:shd w:val="clear" w:color="auto" w:fill="auto"/>
            <w:vAlign w:val="center"/>
          </w:tcPr>
          <w:p w14:paraId="1BFBC93A" w14:textId="385E21A7" w:rsidR="00BE2763" w:rsidRPr="00E52B5F" w:rsidRDefault="00BE2763" w:rsidP="007E5536">
            <w:pPr>
              <w:pStyle w:val="TblTextCenter"/>
              <w:rPr>
                <w:lang w:val="en-AU"/>
              </w:rPr>
            </w:pPr>
            <w:r w:rsidRPr="00E52B5F">
              <w:rPr>
                <w:lang w:val="en-AU"/>
              </w:rPr>
              <w:t>74.5% (49.6, 87.1)</w:t>
            </w:r>
          </w:p>
          <w:p w14:paraId="776B5A89" w14:textId="2563716A" w:rsidR="0058396B" w:rsidRPr="00E52B5F" w:rsidRDefault="0058396B" w:rsidP="007E5536">
            <w:pPr>
              <w:pStyle w:val="TblTextCenter"/>
              <w:rPr>
                <w:lang w:val="en-AU"/>
              </w:rPr>
            </w:pPr>
            <w:r w:rsidRPr="00E52B5F">
              <w:rPr>
                <w:lang w:val="en-AU"/>
              </w:rPr>
              <w:t>p&lt;0.0001</w:t>
            </w:r>
          </w:p>
        </w:tc>
      </w:tr>
      <w:tr w:rsidR="007E5536" w:rsidRPr="00E52B5F" w14:paraId="0D178233" w14:textId="77777777" w:rsidTr="007E5536">
        <w:trPr>
          <w:cantSplit/>
          <w:tblHeader/>
          <w:jc w:val="center"/>
        </w:trPr>
        <w:tc>
          <w:tcPr>
            <w:tcW w:w="3690" w:type="dxa"/>
            <w:vMerge/>
            <w:tcBorders>
              <w:bottom w:val="single" w:sz="12" w:space="0" w:color="auto"/>
            </w:tcBorders>
            <w:shd w:val="clear" w:color="auto" w:fill="auto"/>
          </w:tcPr>
          <w:p w14:paraId="1948ACAD" w14:textId="77777777" w:rsidR="00BE2763" w:rsidRPr="00E52B5F" w:rsidRDefault="00BE2763" w:rsidP="005B1B6F">
            <w:pPr>
              <w:pStyle w:val="TableLeft"/>
              <w:shd w:val="clear" w:color="auto" w:fill="D9D9D9" w:themeFill="background1" w:themeFillShade="D9"/>
              <w:rPr>
                <w:lang w:val="en-AU"/>
              </w:rPr>
            </w:pPr>
          </w:p>
        </w:tc>
        <w:tc>
          <w:tcPr>
            <w:tcW w:w="1620" w:type="dxa"/>
            <w:tcBorders>
              <w:bottom w:val="single" w:sz="12" w:space="0" w:color="auto"/>
            </w:tcBorders>
            <w:shd w:val="clear" w:color="auto" w:fill="auto"/>
          </w:tcPr>
          <w:p w14:paraId="14151C7A" w14:textId="77777777" w:rsidR="00BE2763" w:rsidRPr="00E52B5F" w:rsidRDefault="00BE2763" w:rsidP="007E5536">
            <w:pPr>
              <w:pStyle w:val="TblTextCenter"/>
              <w:rPr>
                <w:lang w:val="en-AU"/>
              </w:rPr>
            </w:pPr>
            <w:r w:rsidRPr="00E52B5F">
              <w:rPr>
                <w:lang w:val="en-AU"/>
              </w:rPr>
              <w:t>Placebo</w:t>
            </w:r>
          </w:p>
        </w:tc>
        <w:tc>
          <w:tcPr>
            <w:tcW w:w="990" w:type="dxa"/>
            <w:tcBorders>
              <w:bottom w:val="single" w:sz="12" w:space="0" w:color="auto"/>
            </w:tcBorders>
            <w:shd w:val="clear" w:color="auto" w:fill="auto"/>
          </w:tcPr>
          <w:p w14:paraId="08F22D92" w14:textId="77777777" w:rsidR="00BE2763" w:rsidRPr="00E52B5F" w:rsidRDefault="00BE2763" w:rsidP="007E5536">
            <w:pPr>
              <w:pStyle w:val="TblTextCenter"/>
              <w:rPr>
                <w:lang w:val="en-AU"/>
              </w:rPr>
            </w:pPr>
            <w:r w:rsidRPr="00E52B5F">
              <w:rPr>
                <w:lang w:val="en-AU"/>
              </w:rPr>
              <w:t>496</w:t>
            </w:r>
          </w:p>
        </w:tc>
        <w:tc>
          <w:tcPr>
            <w:tcW w:w="1210" w:type="dxa"/>
            <w:tcBorders>
              <w:bottom w:val="single" w:sz="12" w:space="0" w:color="auto"/>
            </w:tcBorders>
            <w:shd w:val="clear" w:color="auto" w:fill="auto"/>
          </w:tcPr>
          <w:p w14:paraId="4DCAE4D3" w14:textId="77777777" w:rsidR="00BE2763" w:rsidRPr="00E52B5F" w:rsidRDefault="00BE2763" w:rsidP="007E5536">
            <w:pPr>
              <w:pStyle w:val="TblTextCenter"/>
              <w:rPr>
                <w:lang w:val="en-AU"/>
              </w:rPr>
            </w:pPr>
            <w:r w:rsidRPr="00E52B5F">
              <w:rPr>
                <w:lang w:val="en-AU"/>
              </w:rPr>
              <w:t>5.0 (25)</w:t>
            </w:r>
          </w:p>
        </w:tc>
        <w:tc>
          <w:tcPr>
            <w:tcW w:w="0" w:type="auto"/>
            <w:vMerge/>
            <w:tcBorders>
              <w:bottom w:val="single" w:sz="12" w:space="0" w:color="auto"/>
            </w:tcBorders>
            <w:shd w:val="clear" w:color="auto" w:fill="auto"/>
            <w:vAlign w:val="center"/>
          </w:tcPr>
          <w:p w14:paraId="7BB941A0" w14:textId="77777777" w:rsidR="00BE2763" w:rsidRPr="00E52B5F" w:rsidRDefault="00BE2763" w:rsidP="005B1B6F">
            <w:pPr>
              <w:pStyle w:val="TableCenter"/>
              <w:shd w:val="clear" w:color="auto" w:fill="D9D9D9" w:themeFill="background1" w:themeFillShade="D9"/>
              <w:rPr>
                <w:lang w:val="en-AU"/>
              </w:rPr>
            </w:pPr>
          </w:p>
        </w:tc>
      </w:tr>
      <w:tr w:rsidR="007E5536" w:rsidRPr="00E52B5F" w14:paraId="1DB25DED" w14:textId="77777777" w:rsidTr="007E5536">
        <w:trPr>
          <w:cantSplit/>
          <w:tblHeader/>
          <w:jc w:val="center"/>
        </w:trPr>
        <w:tc>
          <w:tcPr>
            <w:tcW w:w="0" w:type="auto"/>
            <w:gridSpan w:val="5"/>
            <w:tcBorders>
              <w:top w:val="single" w:sz="12" w:space="0" w:color="auto"/>
            </w:tcBorders>
            <w:shd w:val="clear" w:color="auto" w:fill="auto"/>
          </w:tcPr>
          <w:p w14:paraId="671EA525" w14:textId="6AB5BB89" w:rsidR="007E5536" w:rsidRPr="00E52B5F" w:rsidRDefault="007E5536" w:rsidP="007E5536">
            <w:pPr>
              <w:pStyle w:val="TblFigFootnote"/>
              <w:numPr>
                <w:ilvl w:val="1"/>
                <w:numId w:val="40"/>
              </w:numPr>
              <w:ind w:left="255" w:hanging="15"/>
              <w:rPr>
                <w:lang w:val="en-AU"/>
              </w:rPr>
            </w:pPr>
            <w:r w:rsidRPr="00E52B5F">
              <w:rPr>
                <w:lang w:val="en-AU"/>
              </w:rPr>
              <w:t>Based on relative risk reduction versus placebo. Prespecified multiplicity controlled</w:t>
            </w:r>
          </w:p>
        </w:tc>
      </w:tr>
    </w:tbl>
    <w:p w14:paraId="6A135B85" w14:textId="0AEB6A5D" w:rsidR="00BE2763" w:rsidRPr="00E52B5F" w:rsidRDefault="00BE2763" w:rsidP="00C52362">
      <w:pPr>
        <w:rPr>
          <w:lang w:val="en-AU"/>
        </w:rPr>
      </w:pPr>
      <w:r w:rsidRPr="00E52B5F">
        <w:rPr>
          <w:lang w:val="en-AU"/>
        </w:rPr>
        <w:t>Subgroup analyses of the primary efficacy endpoint by gestational age, gender, race and region showed results were consistent with the overall population.</w:t>
      </w:r>
    </w:p>
    <w:p w14:paraId="736B7B35" w14:textId="5D8A0E8B" w:rsidR="0058396B" w:rsidRPr="00E52B5F" w:rsidRDefault="0058396B" w:rsidP="00C52362">
      <w:pPr>
        <w:rPr>
          <w:lang w:val="en-AU"/>
        </w:rPr>
      </w:pPr>
      <w:r w:rsidRPr="00E52B5F">
        <w:rPr>
          <w:lang w:val="en-AU"/>
        </w:rPr>
        <w:t>The incidence of hospitalisation in infants with MA RSV LRTI and very severe MA RSV LRTI were evaluated. RSV hospitalisation was defined as hospitalisation for LRTI with a positive RSV test, or worsening of respiratory status and positive RSV test in an already hospitalised patient. Very severe MA RSV LRTI was defined as MA RSV LRTI with hospitalisation and requirement for supplemental oxygen or intravenous (IV) fluids.</w:t>
      </w:r>
      <w:r w:rsidR="003C71A6" w:rsidRPr="00E52B5F">
        <w:rPr>
          <w:lang w:val="en-AU"/>
        </w:rPr>
        <w:t xml:space="preserve"> </w:t>
      </w:r>
      <w:r w:rsidRPr="00E52B5F">
        <w:rPr>
          <w:lang w:val="en-AU"/>
        </w:rPr>
        <w:t xml:space="preserve">The efficacy of </w:t>
      </w:r>
      <w:r w:rsidR="00F41C19" w:rsidRPr="00E52B5F">
        <w:rPr>
          <w:lang w:val="en-AU"/>
        </w:rPr>
        <w:t xml:space="preserve">BEYFORTUS </w:t>
      </w:r>
      <w:r w:rsidRPr="00E52B5F">
        <w:rPr>
          <w:lang w:val="en-AU"/>
        </w:rPr>
        <w:t>in D5290C00003 and MELODY (All subjects) in term and preterm infants (GA ≥29 weeks) entering their first RSV season against MA RSV LRTI with hospitalisation and very severe MA RSV LRTI are shown in</w:t>
      </w:r>
      <w:r w:rsidR="0083697E" w:rsidRPr="00E52B5F">
        <w:rPr>
          <w:lang w:val="en-AU"/>
        </w:rPr>
        <w:t xml:space="preserve"> </w:t>
      </w:r>
      <w:r w:rsidR="0083697E" w:rsidRPr="00E52B5F">
        <w:rPr>
          <w:color w:val="0000FF"/>
          <w:lang w:val="en-AU"/>
        </w:rPr>
        <w:fldChar w:fldCharType="begin"/>
      </w:r>
      <w:r w:rsidR="0083697E" w:rsidRPr="00E52B5F">
        <w:rPr>
          <w:color w:val="0000FF"/>
          <w:lang w:val="en-AU"/>
        </w:rPr>
        <w:instrText xml:space="preserve"> REF _Ref139285451 \h  \* MERGEFORMAT </w:instrText>
      </w:r>
      <w:r w:rsidR="0083697E" w:rsidRPr="00E52B5F">
        <w:rPr>
          <w:color w:val="0000FF"/>
          <w:lang w:val="en-AU"/>
        </w:rPr>
      </w:r>
      <w:r w:rsidR="0083697E" w:rsidRPr="00E52B5F">
        <w:rPr>
          <w:color w:val="0000FF"/>
          <w:lang w:val="en-AU"/>
        </w:rPr>
        <w:fldChar w:fldCharType="separate"/>
      </w:r>
      <w:r w:rsidR="006040F3" w:rsidRPr="006040F3">
        <w:rPr>
          <w:color w:val="0000FF"/>
          <w:lang w:val="en-AU"/>
        </w:rPr>
        <w:t>Table 7</w:t>
      </w:r>
      <w:r w:rsidR="0083697E" w:rsidRPr="00E52B5F">
        <w:rPr>
          <w:color w:val="0000FF"/>
          <w:lang w:val="en-AU"/>
        </w:rPr>
        <w:fldChar w:fldCharType="end"/>
      </w:r>
      <w:r w:rsidRPr="00E52B5F">
        <w:rPr>
          <w:lang w:val="en-AU"/>
        </w:rPr>
        <w:t>.</w:t>
      </w:r>
    </w:p>
    <w:p w14:paraId="417EC780" w14:textId="5DAD96F8" w:rsidR="0083697E" w:rsidRPr="00E52B5F" w:rsidRDefault="0083697E" w:rsidP="0083697E">
      <w:pPr>
        <w:pStyle w:val="Caption"/>
        <w:rPr>
          <w:lang w:val="en-AU"/>
        </w:rPr>
      </w:pPr>
      <w:bookmarkStart w:id="31" w:name="_Ref139285451"/>
      <w:r w:rsidRPr="00E52B5F">
        <w:rPr>
          <w:lang w:val="en-AU"/>
        </w:rPr>
        <w:t>Table </w:t>
      </w:r>
      <w:r w:rsidRPr="00E52B5F">
        <w:rPr>
          <w:lang w:val="en-AU"/>
        </w:rPr>
        <w:fldChar w:fldCharType="begin"/>
      </w:r>
      <w:r w:rsidRPr="00E52B5F">
        <w:rPr>
          <w:lang w:val="en-AU"/>
        </w:rPr>
        <w:instrText xml:space="preserve"> SEQ Table \* ARABIC </w:instrText>
      </w:r>
      <w:r w:rsidRPr="00E52B5F">
        <w:rPr>
          <w:lang w:val="en-AU"/>
        </w:rPr>
        <w:fldChar w:fldCharType="separate"/>
      </w:r>
      <w:r w:rsidR="006040F3">
        <w:rPr>
          <w:noProof/>
          <w:lang w:val="en-AU"/>
        </w:rPr>
        <w:t>7</w:t>
      </w:r>
      <w:r w:rsidRPr="00E52B5F">
        <w:rPr>
          <w:lang w:val="en-AU"/>
        </w:rPr>
        <w:fldChar w:fldCharType="end"/>
      </w:r>
      <w:bookmarkEnd w:id="31"/>
      <w:r w:rsidRPr="00E52B5F">
        <w:rPr>
          <w:lang w:val="en-AU"/>
        </w:rPr>
        <w:t xml:space="preserve"> ­ Efficacy in term and preterm infants against MA RSV LRTI with hospitalisation and very severe MA RSV LRTI through 150 days post dose, D5290C00003 and MELODY (All subjects).</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620"/>
        <w:gridCol w:w="990"/>
        <w:gridCol w:w="1316"/>
        <w:gridCol w:w="2022"/>
      </w:tblGrid>
      <w:tr w:rsidR="007E5536" w:rsidRPr="00E52B5F" w14:paraId="6C524ABA" w14:textId="77777777" w:rsidTr="007E5536">
        <w:trPr>
          <w:cantSplit/>
          <w:trHeight w:val="440"/>
          <w:tblHeader/>
          <w:jc w:val="center"/>
        </w:trPr>
        <w:tc>
          <w:tcPr>
            <w:tcW w:w="3690" w:type="dxa"/>
            <w:tcBorders>
              <w:top w:val="single" w:sz="4" w:space="0" w:color="000000"/>
              <w:bottom w:val="single" w:sz="4" w:space="0" w:color="000000"/>
            </w:tcBorders>
            <w:shd w:val="clear" w:color="auto" w:fill="auto"/>
            <w:vAlign w:val="center"/>
          </w:tcPr>
          <w:p w14:paraId="5AB78201" w14:textId="77777777" w:rsidR="00F41C19" w:rsidRPr="00E52B5F" w:rsidRDefault="00F41C19" w:rsidP="007E5536">
            <w:pPr>
              <w:pStyle w:val="TblHeadingCenter"/>
              <w:rPr>
                <w:lang w:val="en-AU"/>
              </w:rPr>
            </w:pPr>
            <w:r w:rsidRPr="00E52B5F">
              <w:rPr>
                <w:lang w:val="en-AU"/>
              </w:rPr>
              <w:t>Group</w:t>
            </w:r>
          </w:p>
        </w:tc>
        <w:tc>
          <w:tcPr>
            <w:tcW w:w="1620" w:type="dxa"/>
            <w:tcBorders>
              <w:top w:val="single" w:sz="4" w:space="0" w:color="000000"/>
              <w:bottom w:val="single" w:sz="4" w:space="0" w:color="000000"/>
            </w:tcBorders>
            <w:shd w:val="clear" w:color="auto" w:fill="auto"/>
            <w:vAlign w:val="center"/>
          </w:tcPr>
          <w:p w14:paraId="4D035553" w14:textId="77777777" w:rsidR="00F41C19" w:rsidRPr="00E52B5F" w:rsidRDefault="00F41C19" w:rsidP="007E5536">
            <w:pPr>
              <w:pStyle w:val="TblHeadingCenter"/>
              <w:rPr>
                <w:lang w:val="en-AU"/>
              </w:rPr>
            </w:pPr>
            <w:r w:rsidRPr="00E52B5F">
              <w:rPr>
                <w:lang w:val="en-AU"/>
              </w:rPr>
              <w:t>Treatment</w:t>
            </w:r>
          </w:p>
        </w:tc>
        <w:tc>
          <w:tcPr>
            <w:tcW w:w="990" w:type="dxa"/>
            <w:tcBorders>
              <w:top w:val="single" w:sz="4" w:space="0" w:color="000000"/>
              <w:bottom w:val="single" w:sz="4" w:space="0" w:color="000000"/>
            </w:tcBorders>
            <w:shd w:val="clear" w:color="auto" w:fill="auto"/>
            <w:vAlign w:val="center"/>
          </w:tcPr>
          <w:p w14:paraId="13ED3FC0" w14:textId="77777777" w:rsidR="00F41C19" w:rsidRPr="00E52B5F" w:rsidRDefault="00F41C19" w:rsidP="007E5536">
            <w:pPr>
              <w:pStyle w:val="TblHeadingCenter"/>
              <w:rPr>
                <w:lang w:val="en-AU"/>
              </w:rPr>
            </w:pPr>
            <w:r w:rsidRPr="00E52B5F">
              <w:rPr>
                <w:lang w:val="en-AU"/>
              </w:rPr>
              <w:t>N</w:t>
            </w:r>
          </w:p>
        </w:tc>
        <w:tc>
          <w:tcPr>
            <w:tcW w:w="1316" w:type="dxa"/>
            <w:tcBorders>
              <w:top w:val="single" w:sz="4" w:space="0" w:color="000000"/>
              <w:bottom w:val="single" w:sz="4" w:space="0" w:color="000000"/>
            </w:tcBorders>
            <w:shd w:val="clear" w:color="auto" w:fill="auto"/>
            <w:vAlign w:val="center"/>
          </w:tcPr>
          <w:p w14:paraId="0FB36020" w14:textId="77777777" w:rsidR="00F41C19" w:rsidRPr="00E52B5F" w:rsidRDefault="00F41C19" w:rsidP="007E5536">
            <w:pPr>
              <w:pStyle w:val="TblHeadingCenter"/>
              <w:rPr>
                <w:lang w:val="en-AU"/>
              </w:rPr>
            </w:pPr>
            <w:r w:rsidRPr="00E52B5F">
              <w:rPr>
                <w:lang w:val="en-AU"/>
              </w:rPr>
              <w:t>Incidence</w:t>
            </w:r>
            <w:r w:rsidRPr="00E52B5F">
              <w:rPr>
                <w:lang w:val="en-AU"/>
              </w:rPr>
              <w:br/>
              <w:t>% (n)</w:t>
            </w:r>
          </w:p>
        </w:tc>
        <w:tc>
          <w:tcPr>
            <w:tcW w:w="2022" w:type="dxa"/>
            <w:tcBorders>
              <w:top w:val="single" w:sz="4" w:space="0" w:color="000000"/>
              <w:bottom w:val="single" w:sz="4" w:space="0" w:color="000000"/>
            </w:tcBorders>
            <w:shd w:val="clear" w:color="auto" w:fill="auto"/>
            <w:vAlign w:val="center"/>
          </w:tcPr>
          <w:p w14:paraId="6F7B6804" w14:textId="77777777" w:rsidR="00F41C19" w:rsidRPr="00E52B5F" w:rsidRDefault="00F41C19" w:rsidP="007E5536">
            <w:pPr>
              <w:pStyle w:val="TblHeadingCenter"/>
              <w:rPr>
                <w:lang w:val="en-AU"/>
              </w:rPr>
            </w:pPr>
            <w:r w:rsidRPr="00E52B5F">
              <w:rPr>
                <w:lang w:val="en-AU"/>
              </w:rPr>
              <w:t>Efficacy</w:t>
            </w:r>
            <w:r w:rsidRPr="00E52B5F">
              <w:rPr>
                <w:vertAlign w:val="superscript"/>
                <w:lang w:val="en-AU"/>
              </w:rPr>
              <w:t>a</w:t>
            </w:r>
            <w:r w:rsidRPr="00E52B5F">
              <w:rPr>
                <w:lang w:val="en-AU"/>
              </w:rPr>
              <w:t xml:space="preserve"> (95% CI)</w:t>
            </w:r>
          </w:p>
        </w:tc>
      </w:tr>
      <w:tr w:rsidR="00F41C19" w:rsidRPr="00E52B5F" w14:paraId="6C745256" w14:textId="77777777" w:rsidTr="007E5536">
        <w:trPr>
          <w:cantSplit/>
          <w:jc w:val="center"/>
        </w:trPr>
        <w:tc>
          <w:tcPr>
            <w:tcW w:w="9638" w:type="dxa"/>
            <w:gridSpan w:val="5"/>
            <w:shd w:val="clear" w:color="auto" w:fill="auto"/>
            <w:vAlign w:val="center"/>
          </w:tcPr>
          <w:p w14:paraId="2F084CBA" w14:textId="6EB6528F" w:rsidR="00F41C19" w:rsidRPr="00E52B5F" w:rsidRDefault="00F41C19" w:rsidP="007E5536">
            <w:pPr>
              <w:pStyle w:val="TblTextCenter"/>
              <w:jc w:val="left"/>
              <w:rPr>
                <w:b/>
                <w:bCs/>
                <w:lang w:val="en-AU"/>
              </w:rPr>
            </w:pPr>
            <w:r w:rsidRPr="00E52B5F">
              <w:rPr>
                <w:b/>
                <w:bCs/>
                <w:lang w:val="en-AU"/>
              </w:rPr>
              <w:t>Efficacy in infants against MA RSV LRTI with hospitalisation through 150 days post dose</w:t>
            </w:r>
          </w:p>
        </w:tc>
      </w:tr>
      <w:tr w:rsidR="006464D1" w:rsidRPr="00E52B5F" w14:paraId="53FE0F75" w14:textId="77777777" w:rsidTr="007E5536">
        <w:trPr>
          <w:cantSplit/>
          <w:jc w:val="center"/>
        </w:trPr>
        <w:tc>
          <w:tcPr>
            <w:tcW w:w="3690" w:type="dxa"/>
            <w:vMerge w:val="restart"/>
            <w:shd w:val="clear" w:color="auto" w:fill="auto"/>
          </w:tcPr>
          <w:p w14:paraId="7D96380C" w14:textId="77777777" w:rsidR="006464D1" w:rsidRPr="00E52B5F" w:rsidRDefault="006464D1" w:rsidP="007E5536">
            <w:pPr>
              <w:pStyle w:val="TblTextCenter"/>
              <w:rPr>
                <w:lang w:val="en-AU"/>
              </w:rPr>
            </w:pPr>
            <w:r w:rsidRPr="00E52B5F">
              <w:rPr>
                <w:lang w:val="en-AU"/>
              </w:rPr>
              <w:t xml:space="preserve">Very and moderately preterm GA ≥29 to &lt;35 weeks (D5290C00003) </w:t>
            </w:r>
          </w:p>
        </w:tc>
        <w:tc>
          <w:tcPr>
            <w:tcW w:w="1620" w:type="dxa"/>
            <w:shd w:val="clear" w:color="auto" w:fill="auto"/>
          </w:tcPr>
          <w:p w14:paraId="06F131FA" w14:textId="77777777" w:rsidR="006464D1" w:rsidRPr="00E52B5F" w:rsidRDefault="006464D1" w:rsidP="007E5536">
            <w:pPr>
              <w:pStyle w:val="TblTextCenter"/>
              <w:rPr>
                <w:lang w:val="en-AU"/>
              </w:rPr>
            </w:pPr>
            <w:r w:rsidRPr="00E52B5F">
              <w:rPr>
                <w:lang w:val="en-AU"/>
              </w:rPr>
              <w:t>BEYFORTUS</w:t>
            </w:r>
          </w:p>
        </w:tc>
        <w:tc>
          <w:tcPr>
            <w:tcW w:w="990" w:type="dxa"/>
            <w:shd w:val="clear" w:color="auto" w:fill="auto"/>
          </w:tcPr>
          <w:p w14:paraId="6E1702FB" w14:textId="6727BEC3" w:rsidR="006464D1" w:rsidRPr="00E52B5F" w:rsidRDefault="006464D1" w:rsidP="007E5536">
            <w:pPr>
              <w:pStyle w:val="TblTextCenter"/>
              <w:rPr>
                <w:lang w:val="en-AU"/>
              </w:rPr>
            </w:pPr>
            <w:r w:rsidRPr="00E52B5F">
              <w:rPr>
                <w:lang w:val="en-AU"/>
              </w:rPr>
              <w:t>969</w:t>
            </w:r>
          </w:p>
        </w:tc>
        <w:tc>
          <w:tcPr>
            <w:tcW w:w="1316" w:type="dxa"/>
            <w:shd w:val="clear" w:color="auto" w:fill="auto"/>
          </w:tcPr>
          <w:p w14:paraId="03DA5C1C" w14:textId="51C90389" w:rsidR="006464D1" w:rsidRPr="00E52B5F" w:rsidRDefault="006464D1" w:rsidP="007E5536">
            <w:pPr>
              <w:pStyle w:val="TblTextCenter"/>
              <w:rPr>
                <w:lang w:val="en-AU"/>
              </w:rPr>
            </w:pPr>
            <w:r w:rsidRPr="00E52B5F">
              <w:rPr>
                <w:lang w:val="en-AU"/>
              </w:rPr>
              <w:t>0.8 (8)</w:t>
            </w:r>
          </w:p>
        </w:tc>
        <w:tc>
          <w:tcPr>
            <w:tcW w:w="2022" w:type="dxa"/>
            <w:vMerge w:val="restart"/>
            <w:shd w:val="clear" w:color="auto" w:fill="auto"/>
            <w:vAlign w:val="center"/>
          </w:tcPr>
          <w:p w14:paraId="6B0C5AA3" w14:textId="3689F4D3" w:rsidR="006464D1" w:rsidRPr="00E52B5F" w:rsidRDefault="006464D1" w:rsidP="007E5536">
            <w:pPr>
              <w:pStyle w:val="TblTextCenter"/>
              <w:rPr>
                <w:lang w:val="en-AU"/>
              </w:rPr>
            </w:pPr>
            <w:r w:rsidRPr="00E52B5F">
              <w:rPr>
                <w:lang w:val="en-AU"/>
              </w:rPr>
              <w:t>78.4% (51.9, 90.3)b</w:t>
            </w:r>
          </w:p>
        </w:tc>
      </w:tr>
      <w:tr w:rsidR="006464D1" w:rsidRPr="00E52B5F" w14:paraId="184AAE9C" w14:textId="77777777" w:rsidTr="007E5536">
        <w:trPr>
          <w:cantSplit/>
          <w:jc w:val="center"/>
        </w:trPr>
        <w:tc>
          <w:tcPr>
            <w:tcW w:w="3690" w:type="dxa"/>
            <w:vMerge/>
            <w:shd w:val="clear" w:color="auto" w:fill="auto"/>
          </w:tcPr>
          <w:p w14:paraId="54A3D93D" w14:textId="77777777" w:rsidR="006464D1" w:rsidRPr="00E52B5F" w:rsidRDefault="006464D1" w:rsidP="005B1B6F">
            <w:pPr>
              <w:pStyle w:val="TableLeft"/>
              <w:shd w:val="clear" w:color="auto" w:fill="D9D9D9" w:themeFill="background1" w:themeFillShade="D9"/>
              <w:rPr>
                <w:lang w:val="en-AU"/>
              </w:rPr>
            </w:pPr>
          </w:p>
        </w:tc>
        <w:tc>
          <w:tcPr>
            <w:tcW w:w="1620" w:type="dxa"/>
            <w:shd w:val="clear" w:color="auto" w:fill="auto"/>
          </w:tcPr>
          <w:p w14:paraId="2CD1DBEB" w14:textId="77777777" w:rsidR="006464D1" w:rsidRPr="00E52B5F" w:rsidRDefault="006464D1" w:rsidP="007E5536">
            <w:pPr>
              <w:pStyle w:val="TblTextCenter"/>
              <w:rPr>
                <w:lang w:val="en-AU"/>
              </w:rPr>
            </w:pPr>
            <w:r w:rsidRPr="00E52B5F">
              <w:rPr>
                <w:lang w:val="en-AU"/>
              </w:rPr>
              <w:t>Placebo</w:t>
            </w:r>
          </w:p>
        </w:tc>
        <w:tc>
          <w:tcPr>
            <w:tcW w:w="990" w:type="dxa"/>
            <w:shd w:val="clear" w:color="auto" w:fill="auto"/>
          </w:tcPr>
          <w:p w14:paraId="09EE8949" w14:textId="4558CE7B" w:rsidR="006464D1" w:rsidRPr="00E52B5F" w:rsidRDefault="006464D1" w:rsidP="007E5536">
            <w:pPr>
              <w:pStyle w:val="TblTextCenter"/>
              <w:rPr>
                <w:lang w:val="en-AU"/>
              </w:rPr>
            </w:pPr>
            <w:r w:rsidRPr="00E52B5F">
              <w:rPr>
                <w:lang w:val="en-AU"/>
              </w:rPr>
              <w:t>484</w:t>
            </w:r>
          </w:p>
        </w:tc>
        <w:tc>
          <w:tcPr>
            <w:tcW w:w="1316" w:type="dxa"/>
            <w:shd w:val="clear" w:color="auto" w:fill="auto"/>
          </w:tcPr>
          <w:p w14:paraId="1F1570DD" w14:textId="51707028" w:rsidR="006464D1" w:rsidRPr="00E52B5F" w:rsidRDefault="006464D1" w:rsidP="007E5536">
            <w:pPr>
              <w:pStyle w:val="TblTextCenter"/>
              <w:rPr>
                <w:lang w:val="en-AU"/>
              </w:rPr>
            </w:pPr>
            <w:r w:rsidRPr="00E52B5F">
              <w:rPr>
                <w:lang w:val="en-AU"/>
              </w:rPr>
              <w:t>4.1 (20)</w:t>
            </w:r>
          </w:p>
        </w:tc>
        <w:tc>
          <w:tcPr>
            <w:tcW w:w="2022" w:type="dxa"/>
            <w:vMerge/>
            <w:shd w:val="clear" w:color="auto" w:fill="auto"/>
            <w:vAlign w:val="center"/>
          </w:tcPr>
          <w:p w14:paraId="1497A2BB" w14:textId="77777777" w:rsidR="006464D1" w:rsidRPr="00E52B5F" w:rsidRDefault="006464D1" w:rsidP="005B1B6F">
            <w:pPr>
              <w:pStyle w:val="TableCenter"/>
              <w:shd w:val="clear" w:color="auto" w:fill="D9D9D9" w:themeFill="background1" w:themeFillShade="D9"/>
              <w:rPr>
                <w:lang w:val="en-AU"/>
              </w:rPr>
            </w:pPr>
          </w:p>
        </w:tc>
      </w:tr>
      <w:tr w:rsidR="006464D1" w:rsidRPr="00E52B5F" w14:paraId="6ADA3591" w14:textId="77777777" w:rsidTr="007E5536">
        <w:trPr>
          <w:cantSplit/>
          <w:jc w:val="center"/>
        </w:trPr>
        <w:tc>
          <w:tcPr>
            <w:tcW w:w="3690" w:type="dxa"/>
            <w:vMerge w:val="restart"/>
            <w:shd w:val="clear" w:color="auto" w:fill="auto"/>
          </w:tcPr>
          <w:p w14:paraId="041965E0" w14:textId="3FEC9BC8" w:rsidR="006464D1" w:rsidRPr="00E52B5F" w:rsidRDefault="006464D1" w:rsidP="007E5536">
            <w:pPr>
              <w:pStyle w:val="TblTextCenter"/>
              <w:rPr>
                <w:lang w:val="en-AU"/>
              </w:rPr>
            </w:pPr>
            <w:r w:rsidRPr="00E52B5F">
              <w:rPr>
                <w:lang w:val="en-AU"/>
              </w:rPr>
              <w:t>Term and late preterm GA ≥35 weeks, MELODY (all subjects)</w:t>
            </w:r>
          </w:p>
        </w:tc>
        <w:tc>
          <w:tcPr>
            <w:tcW w:w="1620" w:type="dxa"/>
            <w:shd w:val="clear" w:color="auto" w:fill="auto"/>
          </w:tcPr>
          <w:p w14:paraId="5D65F5A0" w14:textId="77777777" w:rsidR="006464D1" w:rsidRPr="00E52B5F" w:rsidRDefault="006464D1" w:rsidP="007E5536">
            <w:pPr>
              <w:pStyle w:val="TblTextCenter"/>
              <w:rPr>
                <w:lang w:val="en-AU"/>
              </w:rPr>
            </w:pPr>
            <w:r w:rsidRPr="00E52B5F">
              <w:rPr>
                <w:lang w:val="en-AU"/>
              </w:rPr>
              <w:t>BEYFORTUS</w:t>
            </w:r>
          </w:p>
        </w:tc>
        <w:tc>
          <w:tcPr>
            <w:tcW w:w="990" w:type="dxa"/>
            <w:shd w:val="clear" w:color="auto" w:fill="auto"/>
          </w:tcPr>
          <w:p w14:paraId="2B8CDE42" w14:textId="4442D06C" w:rsidR="006464D1" w:rsidRPr="00E52B5F" w:rsidRDefault="006464D1" w:rsidP="007E5536">
            <w:pPr>
              <w:pStyle w:val="TblTextCenter"/>
              <w:rPr>
                <w:lang w:val="en-AU"/>
              </w:rPr>
            </w:pPr>
            <w:r w:rsidRPr="00E52B5F">
              <w:rPr>
                <w:lang w:val="en-AU"/>
              </w:rPr>
              <w:t>2009</w:t>
            </w:r>
          </w:p>
        </w:tc>
        <w:tc>
          <w:tcPr>
            <w:tcW w:w="1316" w:type="dxa"/>
            <w:shd w:val="clear" w:color="auto" w:fill="auto"/>
          </w:tcPr>
          <w:p w14:paraId="5637495D" w14:textId="5DC998A9" w:rsidR="006464D1" w:rsidRPr="00E52B5F" w:rsidRDefault="006464D1" w:rsidP="007E5536">
            <w:pPr>
              <w:pStyle w:val="TblTextCenter"/>
              <w:rPr>
                <w:lang w:val="en-AU"/>
              </w:rPr>
            </w:pPr>
            <w:r w:rsidRPr="00E52B5F">
              <w:rPr>
                <w:lang w:val="en-AU"/>
              </w:rPr>
              <w:t>0.4 (9)</w:t>
            </w:r>
          </w:p>
        </w:tc>
        <w:tc>
          <w:tcPr>
            <w:tcW w:w="2022" w:type="dxa"/>
            <w:vMerge w:val="restart"/>
            <w:shd w:val="clear" w:color="auto" w:fill="auto"/>
            <w:vAlign w:val="center"/>
          </w:tcPr>
          <w:p w14:paraId="22066840" w14:textId="61A26ACE" w:rsidR="006464D1" w:rsidRPr="00E52B5F" w:rsidRDefault="006464D1" w:rsidP="007E5536">
            <w:pPr>
              <w:pStyle w:val="TblTextCenter"/>
              <w:rPr>
                <w:lang w:val="en-AU"/>
              </w:rPr>
            </w:pPr>
            <w:r w:rsidRPr="00E52B5F">
              <w:rPr>
                <w:lang w:val="en-AU"/>
              </w:rPr>
              <w:t>76.8% (49.4, 89.4)c</w:t>
            </w:r>
          </w:p>
        </w:tc>
      </w:tr>
      <w:tr w:rsidR="006464D1" w:rsidRPr="00E52B5F" w14:paraId="544CBB79" w14:textId="77777777" w:rsidTr="007E5536">
        <w:trPr>
          <w:cantSplit/>
          <w:jc w:val="center"/>
        </w:trPr>
        <w:tc>
          <w:tcPr>
            <w:tcW w:w="3690" w:type="dxa"/>
            <w:vMerge/>
            <w:shd w:val="clear" w:color="auto" w:fill="auto"/>
          </w:tcPr>
          <w:p w14:paraId="5045DF1B" w14:textId="77777777" w:rsidR="006464D1" w:rsidRPr="00E52B5F" w:rsidRDefault="006464D1" w:rsidP="005B1B6F">
            <w:pPr>
              <w:pStyle w:val="TableLeft"/>
              <w:shd w:val="clear" w:color="auto" w:fill="D9D9D9" w:themeFill="background1" w:themeFillShade="D9"/>
              <w:rPr>
                <w:lang w:val="en-AU"/>
              </w:rPr>
            </w:pPr>
          </w:p>
        </w:tc>
        <w:tc>
          <w:tcPr>
            <w:tcW w:w="1620" w:type="dxa"/>
            <w:shd w:val="clear" w:color="auto" w:fill="auto"/>
          </w:tcPr>
          <w:p w14:paraId="238CEA26" w14:textId="77777777" w:rsidR="006464D1" w:rsidRPr="00E52B5F" w:rsidRDefault="006464D1" w:rsidP="007E5536">
            <w:pPr>
              <w:pStyle w:val="TblTextCenter"/>
              <w:rPr>
                <w:lang w:val="en-AU"/>
              </w:rPr>
            </w:pPr>
            <w:r w:rsidRPr="00E52B5F">
              <w:rPr>
                <w:lang w:val="en-AU"/>
              </w:rPr>
              <w:t>Placebo</w:t>
            </w:r>
          </w:p>
        </w:tc>
        <w:tc>
          <w:tcPr>
            <w:tcW w:w="990" w:type="dxa"/>
            <w:shd w:val="clear" w:color="auto" w:fill="auto"/>
          </w:tcPr>
          <w:p w14:paraId="6FFF7763" w14:textId="07E549A3" w:rsidR="006464D1" w:rsidRPr="00E52B5F" w:rsidRDefault="006464D1" w:rsidP="007E5536">
            <w:pPr>
              <w:pStyle w:val="TblTextCenter"/>
              <w:rPr>
                <w:lang w:val="en-AU"/>
              </w:rPr>
            </w:pPr>
            <w:r w:rsidRPr="00E52B5F">
              <w:rPr>
                <w:lang w:val="en-AU"/>
              </w:rPr>
              <w:t>1003</w:t>
            </w:r>
          </w:p>
        </w:tc>
        <w:tc>
          <w:tcPr>
            <w:tcW w:w="1316" w:type="dxa"/>
            <w:shd w:val="clear" w:color="auto" w:fill="auto"/>
          </w:tcPr>
          <w:p w14:paraId="36940B06" w14:textId="6DD8EBBE" w:rsidR="006464D1" w:rsidRPr="00E52B5F" w:rsidRDefault="006464D1" w:rsidP="007E5536">
            <w:pPr>
              <w:pStyle w:val="TblTextCenter"/>
              <w:rPr>
                <w:lang w:val="en-AU"/>
              </w:rPr>
            </w:pPr>
            <w:r w:rsidRPr="00E52B5F">
              <w:rPr>
                <w:lang w:val="en-AU"/>
              </w:rPr>
              <w:t>2.0 (20)</w:t>
            </w:r>
          </w:p>
        </w:tc>
        <w:tc>
          <w:tcPr>
            <w:tcW w:w="2022" w:type="dxa"/>
            <w:vMerge/>
            <w:shd w:val="clear" w:color="auto" w:fill="auto"/>
          </w:tcPr>
          <w:p w14:paraId="6877BAF8" w14:textId="77777777" w:rsidR="006464D1" w:rsidRPr="00E52B5F" w:rsidRDefault="006464D1" w:rsidP="005B1B6F">
            <w:pPr>
              <w:pStyle w:val="TableCenter"/>
              <w:shd w:val="clear" w:color="auto" w:fill="D9D9D9" w:themeFill="background1" w:themeFillShade="D9"/>
              <w:rPr>
                <w:lang w:val="en-AU"/>
              </w:rPr>
            </w:pPr>
          </w:p>
        </w:tc>
      </w:tr>
      <w:tr w:rsidR="00F41C19" w:rsidRPr="00E52B5F" w14:paraId="4DC3CEEE" w14:textId="77777777" w:rsidTr="007E5536">
        <w:trPr>
          <w:cantSplit/>
          <w:jc w:val="center"/>
        </w:trPr>
        <w:tc>
          <w:tcPr>
            <w:tcW w:w="9638" w:type="dxa"/>
            <w:gridSpan w:val="5"/>
            <w:shd w:val="clear" w:color="auto" w:fill="auto"/>
          </w:tcPr>
          <w:p w14:paraId="4EF2A57F" w14:textId="0552A0D3" w:rsidR="00F41C19" w:rsidRPr="00E52B5F" w:rsidRDefault="00D85CA0" w:rsidP="007E5536">
            <w:pPr>
              <w:pStyle w:val="TblTextCenter"/>
              <w:jc w:val="left"/>
              <w:rPr>
                <w:b/>
                <w:bCs/>
                <w:lang w:val="en-AU"/>
              </w:rPr>
            </w:pPr>
            <w:r w:rsidRPr="00E52B5F">
              <w:rPr>
                <w:b/>
                <w:bCs/>
                <w:lang w:val="en-AU"/>
              </w:rPr>
              <w:t>Efficacy in infants against very severe MA RSV LRTI through 150 days post dose</w:t>
            </w:r>
          </w:p>
        </w:tc>
      </w:tr>
      <w:tr w:rsidR="006464D1" w:rsidRPr="00E52B5F" w14:paraId="08033AE0" w14:textId="77777777" w:rsidTr="007E5536">
        <w:trPr>
          <w:cantSplit/>
          <w:jc w:val="center"/>
        </w:trPr>
        <w:tc>
          <w:tcPr>
            <w:tcW w:w="3690" w:type="dxa"/>
            <w:vMerge w:val="restart"/>
            <w:shd w:val="clear" w:color="auto" w:fill="auto"/>
          </w:tcPr>
          <w:p w14:paraId="68B90014" w14:textId="77777777" w:rsidR="006464D1" w:rsidRPr="00E52B5F" w:rsidRDefault="006464D1" w:rsidP="007E5536">
            <w:pPr>
              <w:pStyle w:val="TblTextCenter"/>
              <w:rPr>
                <w:lang w:val="en-AU"/>
              </w:rPr>
            </w:pPr>
            <w:r w:rsidRPr="00E52B5F">
              <w:rPr>
                <w:lang w:val="en-AU"/>
              </w:rPr>
              <w:t xml:space="preserve">Very and moderately preterm GA ≥29 to &lt;35 weeks (D5290C00003) </w:t>
            </w:r>
          </w:p>
        </w:tc>
        <w:tc>
          <w:tcPr>
            <w:tcW w:w="1620" w:type="dxa"/>
            <w:shd w:val="clear" w:color="auto" w:fill="auto"/>
          </w:tcPr>
          <w:p w14:paraId="1C44EA31" w14:textId="77777777" w:rsidR="006464D1" w:rsidRPr="00E52B5F" w:rsidRDefault="006464D1" w:rsidP="007E5536">
            <w:pPr>
              <w:pStyle w:val="TblTextCenter"/>
              <w:rPr>
                <w:lang w:val="en-AU"/>
              </w:rPr>
            </w:pPr>
            <w:r w:rsidRPr="00E52B5F">
              <w:rPr>
                <w:lang w:val="en-AU"/>
              </w:rPr>
              <w:t>BEYFORTUS</w:t>
            </w:r>
          </w:p>
        </w:tc>
        <w:tc>
          <w:tcPr>
            <w:tcW w:w="990" w:type="dxa"/>
            <w:shd w:val="clear" w:color="auto" w:fill="auto"/>
          </w:tcPr>
          <w:p w14:paraId="1AD914FF" w14:textId="7069BF72" w:rsidR="006464D1" w:rsidRPr="00E52B5F" w:rsidRDefault="006464D1" w:rsidP="007E5536">
            <w:pPr>
              <w:pStyle w:val="TblTextCenter"/>
              <w:rPr>
                <w:lang w:val="en-AU"/>
              </w:rPr>
            </w:pPr>
            <w:r w:rsidRPr="00E52B5F">
              <w:rPr>
                <w:lang w:val="en-AU"/>
              </w:rPr>
              <w:t>969</w:t>
            </w:r>
          </w:p>
        </w:tc>
        <w:tc>
          <w:tcPr>
            <w:tcW w:w="1316" w:type="dxa"/>
            <w:shd w:val="clear" w:color="auto" w:fill="auto"/>
          </w:tcPr>
          <w:p w14:paraId="15074126" w14:textId="43148D51" w:rsidR="006464D1" w:rsidRPr="00E52B5F" w:rsidRDefault="006464D1" w:rsidP="007E5536">
            <w:pPr>
              <w:pStyle w:val="TblTextCenter"/>
              <w:rPr>
                <w:lang w:val="en-AU"/>
              </w:rPr>
            </w:pPr>
            <w:r w:rsidRPr="00E52B5F">
              <w:rPr>
                <w:lang w:val="en-AU"/>
              </w:rPr>
              <w:t>0.4 (4)</w:t>
            </w:r>
          </w:p>
        </w:tc>
        <w:tc>
          <w:tcPr>
            <w:tcW w:w="2022" w:type="dxa"/>
            <w:vMerge w:val="restart"/>
            <w:shd w:val="clear" w:color="auto" w:fill="auto"/>
            <w:vAlign w:val="center"/>
          </w:tcPr>
          <w:p w14:paraId="525AFF5C" w14:textId="3D6AE0FC" w:rsidR="006464D1" w:rsidRPr="00E52B5F" w:rsidRDefault="006464D1" w:rsidP="007E5536">
            <w:pPr>
              <w:pStyle w:val="TblTextCenter"/>
              <w:rPr>
                <w:lang w:val="en-AU"/>
              </w:rPr>
            </w:pPr>
            <w:r w:rsidRPr="00E52B5F">
              <w:rPr>
                <w:lang w:val="en-AU"/>
              </w:rPr>
              <w:t>87.5% (62.9, 95.8)d</w:t>
            </w:r>
          </w:p>
        </w:tc>
      </w:tr>
      <w:tr w:rsidR="006464D1" w:rsidRPr="00E52B5F" w14:paraId="71048D83" w14:textId="77777777" w:rsidTr="007E5536">
        <w:trPr>
          <w:cantSplit/>
          <w:jc w:val="center"/>
        </w:trPr>
        <w:tc>
          <w:tcPr>
            <w:tcW w:w="3690" w:type="dxa"/>
            <w:vMerge/>
            <w:shd w:val="clear" w:color="auto" w:fill="auto"/>
          </w:tcPr>
          <w:p w14:paraId="7EF65DAA" w14:textId="77777777" w:rsidR="006464D1" w:rsidRPr="00E52B5F" w:rsidRDefault="006464D1" w:rsidP="005B1B6F">
            <w:pPr>
              <w:pStyle w:val="TableLeft"/>
              <w:shd w:val="clear" w:color="auto" w:fill="D9D9D9" w:themeFill="background1" w:themeFillShade="D9"/>
              <w:rPr>
                <w:lang w:val="en-AU"/>
              </w:rPr>
            </w:pPr>
          </w:p>
        </w:tc>
        <w:tc>
          <w:tcPr>
            <w:tcW w:w="1620" w:type="dxa"/>
            <w:shd w:val="clear" w:color="auto" w:fill="auto"/>
          </w:tcPr>
          <w:p w14:paraId="4C744F19" w14:textId="77777777" w:rsidR="006464D1" w:rsidRPr="00E52B5F" w:rsidRDefault="006464D1" w:rsidP="007E5536">
            <w:pPr>
              <w:pStyle w:val="TblTextCenter"/>
              <w:rPr>
                <w:lang w:val="en-AU"/>
              </w:rPr>
            </w:pPr>
            <w:r w:rsidRPr="00E52B5F">
              <w:rPr>
                <w:lang w:val="en-AU"/>
              </w:rPr>
              <w:t>Placebo</w:t>
            </w:r>
          </w:p>
        </w:tc>
        <w:tc>
          <w:tcPr>
            <w:tcW w:w="990" w:type="dxa"/>
            <w:shd w:val="clear" w:color="auto" w:fill="auto"/>
          </w:tcPr>
          <w:p w14:paraId="250B542A" w14:textId="32FD3FFD" w:rsidR="006464D1" w:rsidRPr="00E52B5F" w:rsidRDefault="006464D1" w:rsidP="007E5536">
            <w:pPr>
              <w:pStyle w:val="TblTextCenter"/>
              <w:rPr>
                <w:lang w:val="en-AU"/>
              </w:rPr>
            </w:pPr>
            <w:r w:rsidRPr="00E52B5F">
              <w:rPr>
                <w:lang w:val="en-AU"/>
              </w:rPr>
              <w:t>484</w:t>
            </w:r>
          </w:p>
        </w:tc>
        <w:tc>
          <w:tcPr>
            <w:tcW w:w="1316" w:type="dxa"/>
            <w:shd w:val="clear" w:color="auto" w:fill="auto"/>
          </w:tcPr>
          <w:p w14:paraId="3EA8A02E" w14:textId="04FA5B8A" w:rsidR="006464D1" w:rsidRPr="00E52B5F" w:rsidRDefault="006464D1" w:rsidP="007E5536">
            <w:pPr>
              <w:pStyle w:val="TblTextCenter"/>
              <w:rPr>
                <w:lang w:val="en-AU"/>
              </w:rPr>
            </w:pPr>
            <w:r w:rsidRPr="00E52B5F">
              <w:rPr>
                <w:lang w:val="en-AU"/>
              </w:rPr>
              <w:t>3.3 (16)</w:t>
            </w:r>
          </w:p>
        </w:tc>
        <w:tc>
          <w:tcPr>
            <w:tcW w:w="2022" w:type="dxa"/>
            <w:vMerge/>
            <w:shd w:val="clear" w:color="auto" w:fill="auto"/>
            <w:vAlign w:val="center"/>
          </w:tcPr>
          <w:p w14:paraId="6615E524" w14:textId="77777777" w:rsidR="006464D1" w:rsidRPr="00E52B5F" w:rsidRDefault="006464D1" w:rsidP="005B1B6F">
            <w:pPr>
              <w:pStyle w:val="TableCenter"/>
              <w:shd w:val="clear" w:color="auto" w:fill="D9D9D9" w:themeFill="background1" w:themeFillShade="D9"/>
              <w:rPr>
                <w:lang w:val="en-AU"/>
              </w:rPr>
            </w:pPr>
          </w:p>
        </w:tc>
      </w:tr>
      <w:tr w:rsidR="006464D1" w:rsidRPr="00E52B5F" w14:paraId="28ED3A93" w14:textId="77777777" w:rsidTr="007E5536">
        <w:trPr>
          <w:cantSplit/>
          <w:jc w:val="center"/>
        </w:trPr>
        <w:tc>
          <w:tcPr>
            <w:tcW w:w="3690" w:type="dxa"/>
            <w:vMerge w:val="restart"/>
            <w:shd w:val="clear" w:color="auto" w:fill="auto"/>
          </w:tcPr>
          <w:p w14:paraId="56B5C8F5" w14:textId="06613EC3" w:rsidR="006464D1" w:rsidRPr="00E52B5F" w:rsidRDefault="006464D1" w:rsidP="007E5536">
            <w:pPr>
              <w:pStyle w:val="TblTextCenter"/>
              <w:rPr>
                <w:lang w:val="en-AU"/>
              </w:rPr>
            </w:pPr>
            <w:r w:rsidRPr="00E52B5F">
              <w:rPr>
                <w:lang w:val="en-AU"/>
              </w:rPr>
              <w:lastRenderedPageBreak/>
              <w:t>Term and late preterm GA ≥35 weeks, MELODY (all subjects)</w:t>
            </w:r>
          </w:p>
        </w:tc>
        <w:tc>
          <w:tcPr>
            <w:tcW w:w="1620" w:type="dxa"/>
            <w:shd w:val="clear" w:color="auto" w:fill="auto"/>
          </w:tcPr>
          <w:p w14:paraId="16EB4E46" w14:textId="77777777" w:rsidR="006464D1" w:rsidRPr="00E52B5F" w:rsidRDefault="006464D1" w:rsidP="007E5536">
            <w:pPr>
              <w:pStyle w:val="TblTextCenter"/>
              <w:rPr>
                <w:lang w:val="en-AU"/>
              </w:rPr>
            </w:pPr>
            <w:r w:rsidRPr="00E52B5F">
              <w:rPr>
                <w:lang w:val="en-AU"/>
              </w:rPr>
              <w:t>BEYFORTUS</w:t>
            </w:r>
          </w:p>
        </w:tc>
        <w:tc>
          <w:tcPr>
            <w:tcW w:w="990" w:type="dxa"/>
            <w:shd w:val="clear" w:color="auto" w:fill="auto"/>
          </w:tcPr>
          <w:p w14:paraId="5C26A327" w14:textId="0F78EAAE" w:rsidR="006464D1" w:rsidRPr="00E52B5F" w:rsidRDefault="006464D1" w:rsidP="007E5536">
            <w:pPr>
              <w:pStyle w:val="TblTextCenter"/>
              <w:rPr>
                <w:lang w:val="en-AU"/>
              </w:rPr>
            </w:pPr>
            <w:r w:rsidRPr="00E52B5F">
              <w:rPr>
                <w:lang w:val="en-AU"/>
              </w:rPr>
              <w:t>2009</w:t>
            </w:r>
          </w:p>
        </w:tc>
        <w:tc>
          <w:tcPr>
            <w:tcW w:w="1316" w:type="dxa"/>
            <w:shd w:val="clear" w:color="auto" w:fill="auto"/>
          </w:tcPr>
          <w:p w14:paraId="514DF332" w14:textId="3C38A3C1" w:rsidR="006464D1" w:rsidRPr="00E52B5F" w:rsidRDefault="006464D1" w:rsidP="007E5536">
            <w:pPr>
              <w:pStyle w:val="TblTextCenter"/>
              <w:rPr>
                <w:lang w:val="en-AU"/>
              </w:rPr>
            </w:pPr>
            <w:r w:rsidRPr="00E52B5F">
              <w:rPr>
                <w:lang w:val="en-AU"/>
              </w:rPr>
              <w:t>0.3 (7)</w:t>
            </w:r>
          </w:p>
        </w:tc>
        <w:tc>
          <w:tcPr>
            <w:tcW w:w="2022" w:type="dxa"/>
            <w:vMerge w:val="restart"/>
            <w:shd w:val="clear" w:color="auto" w:fill="auto"/>
            <w:vAlign w:val="center"/>
          </w:tcPr>
          <w:p w14:paraId="3677B1D0" w14:textId="3EBD97C7" w:rsidR="006464D1" w:rsidRPr="00E52B5F" w:rsidRDefault="006464D1" w:rsidP="007E5536">
            <w:pPr>
              <w:pStyle w:val="TblTextCenter"/>
              <w:rPr>
                <w:lang w:val="en-AU"/>
              </w:rPr>
            </w:pPr>
            <w:r w:rsidRPr="00E52B5F">
              <w:rPr>
                <w:lang w:val="en-AU"/>
              </w:rPr>
              <w:t>78.6% (48.8, 91.0)d</w:t>
            </w:r>
          </w:p>
        </w:tc>
      </w:tr>
      <w:tr w:rsidR="007E5536" w:rsidRPr="00E52B5F" w14:paraId="7DB0132F" w14:textId="77777777" w:rsidTr="007E5536">
        <w:trPr>
          <w:cantSplit/>
          <w:jc w:val="center"/>
        </w:trPr>
        <w:tc>
          <w:tcPr>
            <w:tcW w:w="3690" w:type="dxa"/>
            <w:vMerge/>
            <w:tcBorders>
              <w:bottom w:val="single" w:sz="12" w:space="0" w:color="auto"/>
            </w:tcBorders>
            <w:shd w:val="clear" w:color="auto" w:fill="auto"/>
          </w:tcPr>
          <w:p w14:paraId="2FECF437" w14:textId="77777777" w:rsidR="006464D1" w:rsidRPr="00E52B5F" w:rsidRDefault="006464D1" w:rsidP="005B1B6F">
            <w:pPr>
              <w:keepNext/>
              <w:shd w:val="clear" w:color="auto" w:fill="D9D9D9" w:themeFill="background1" w:themeFillShade="D9"/>
              <w:spacing w:before="40" w:after="40"/>
              <w:rPr>
                <w:lang w:val="en-AU"/>
              </w:rPr>
            </w:pPr>
          </w:p>
        </w:tc>
        <w:tc>
          <w:tcPr>
            <w:tcW w:w="1620" w:type="dxa"/>
            <w:tcBorders>
              <w:bottom w:val="single" w:sz="12" w:space="0" w:color="auto"/>
            </w:tcBorders>
            <w:shd w:val="clear" w:color="auto" w:fill="auto"/>
          </w:tcPr>
          <w:p w14:paraId="3061C184" w14:textId="77777777" w:rsidR="006464D1" w:rsidRPr="00E52B5F" w:rsidRDefault="006464D1" w:rsidP="007E5536">
            <w:pPr>
              <w:pStyle w:val="TblTextCenter"/>
              <w:rPr>
                <w:lang w:val="en-AU"/>
              </w:rPr>
            </w:pPr>
            <w:r w:rsidRPr="00E52B5F">
              <w:rPr>
                <w:lang w:val="en-AU"/>
              </w:rPr>
              <w:t>Placebo</w:t>
            </w:r>
          </w:p>
        </w:tc>
        <w:tc>
          <w:tcPr>
            <w:tcW w:w="990" w:type="dxa"/>
            <w:tcBorders>
              <w:bottom w:val="single" w:sz="12" w:space="0" w:color="auto"/>
            </w:tcBorders>
            <w:shd w:val="clear" w:color="auto" w:fill="auto"/>
          </w:tcPr>
          <w:p w14:paraId="3149AF22" w14:textId="6176994E" w:rsidR="006464D1" w:rsidRPr="00E52B5F" w:rsidRDefault="006464D1" w:rsidP="007E5536">
            <w:pPr>
              <w:pStyle w:val="TblTextCenter"/>
              <w:rPr>
                <w:lang w:val="en-AU"/>
              </w:rPr>
            </w:pPr>
            <w:r w:rsidRPr="00E52B5F">
              <w:rPr>
                <w:lang w:val="en-AU"/>
              </w:rPr>
              <w:t>1003</w:t>
            </w:r>
          </w:p>
        </w:tc>
        <w:tc>
          <w:tcPr>
            <w:tcW w:w="1316" w:type="dxa"/>
            <w:tcBorders>
              <w:bottom w:val="single" w:sz="12" w:space="0" w:color="auto"/>
            </w:tcBorders>
            <w:shd w:val="clear" w:color="auto" w:fill="auto"/>
          </w:tcPr>
          <w:p w14:paraId="72D07E72" w14:textId="543C2B21" w:rsidR="006464D1" w:rsidRPr="00E52B5F" w:rsidRDefault="006464D1" w:rsidP="007E5536">
            <w:pPr>
              <w:pStyle w:val="TblTextCenter"/>
              <w:rPr>
                <w:lang w:val="en-AU"/>
              </w:rPr>
            </w:pPr>
            <w:r w:rsidRPr="00E52B5F">
              <w:rPr>
                <w:lang w:val="en-AU"/>
              </w:rPr>
              <w:t>1.7 (17)</w:t>
            </w:r>
          </w:p>
        </w:tc>
        <w:tc>
          <w:tcPr>
            <w:tcW w:w="2022" w:type="dxa"/>
            <w:vMerge/>
            <w:tcBorders>
              <w:bottom w:val="single" w:sz="12" w:space="0" w:color="auto"/>
            </w:tcBorders>
            <w:shd w:val="clear" w:color="auto" w:fill="auto"/>
          </w:tcPr>
          <w:p w14:paraId="438FC61D" w14:textId="77777777" w:rsidR="006464D1" w:rsidRPr="00E52B5F" w:rsidRDefault="006464D1" w:rsidP="005B1B6F">
            <w:pPr>
              <w:keepNext/>
              <w:shd w:val="clear" w:color="auto" w:fill="D9D9D9" w:themeFill="background1" w:themeFillShade="D9"/>
              <w:spacing w:before="40" w:after="40"/>
              <w:jc w:val="center"/>
              <w:rPr>
                <w:szCs w:val="22"/>
                <w:lang w:val="en-AU"/>
              </w:rPr>
            </w:pPr>
          </w:p>
        </w:tc>
      </w:tr>
      <w:tr w:rsidR="007E5536" w:rsidRPr="00E52B5F" w14:paraId="2343FEBB" w14:textId="77777777" w:rsidTr="007E5536">
        <w:trPr>
          <w:cantSplit/>
          <w:jc w:val="center"/>
        </w:trPr>
        <w:tc>
          <w:tcPr>
            <w:tcW w:w="9638" w:type="dxa"/>
            <w:gridSpan w:val="5"/>
            <w:tcBorders>
              <w:top w:val="single" w:sz="12" w:space="0" w:color="auto"/>
            </w:tcBorders>
            <w:shd w:val="clear" w:color="auto" w:fill="auto"/>
          </w:tcPr>
          <w:p w14:paraId="06C0D973" w14:textId="787AE3DA" w:rsidR="007E5536" w:rsidRPr="00E52B5F" w:rsidRDefault="007E5536" w:rsidP="007E5536">
            <w:pPr>
              <w:pStyle w:val="TblFigFootnote"/>
              <w:numPr>
                <w:ilvl w:val="0"/>
                <w:numId w:val="41"/>
              </w:numPr>
              <w:rPr>
                <w:lang w:val="en-AU"/>
              </w:rPr>
            </w:pPr>
            <w:r w:rsidRPr="00E52B5F">
              <w:rPr>
                <w:lang w:val="en-AU"/>
              </w:rPr>
              <w:t>Based on relative risk reduction versus placebo</w:t>
            </w:r>
          </w:p>
          <w:p w14:paraId="2F62CCB9" w14:textId="6F59A9B2" w:rsidR="007E5536" w:rsidRPr="00E52B5F" w:rsidRDefault="007E5536" w:rsidP="007E5536">
            <w:pPr>
              <w:pStyle w:val="TblFigFootnote"/>
              <w:numPr>
                <w:ilvl w:val="0"/>
                <w:numId w:val="41"/>
              </w:numPr>
              <w:rPr>
                <w:lang w:val="en-AU"/>
              </w:rPr>
            </w:pPr>
            <w:r w:rsidRPr="00E52B5F">
              <w:rPr>
                <w:lang w:val="en-AU"/>
              </w:rPr>
              <w:t>Prespecified multiplicity controlled p-value &lt;0.001.</w:t>
            </w:r>
          </w:p>
          <w:p w14:paraId="7C5494AB" w14:textId="1041FAE2" w:rsidR="007E5536" w:rsidRPr="00E52B5F" w:rsidRDefault="007E5536" w:rsidP="007E5536">
            <w:pPr>
              <w:pStyle w:val="TblFigFootnote"/>
              <w:numPr>
                <w:ilvl w:val="0"/>
                <w:numId w:val="41"/>
              </w:numPr>
              <w:rPr>
                <w:lang w:val="en-AU"/>
              </w:rPr>
            </w:pPr>
            <w:r w:rsidRPr="00E52B5F">
              <w:rPr>
                <w:lang w:val="en-AU"/>
              </w:rPr>
              <w:t>Prespecified after primary cohort results had been revealed, not multiplicity controlled.</w:t>
            </w:r>
          </w:p>
          <w:p w14:paraId="1EEDC8FB" w14:textId="62C52404" w:rsidR="007E5536" w:rsidRPr="00E52B5F" w:rsidRDefault="007E5536" w:rsidP="007E5536">
            <w:pPr>
              <w:pStyle w:val="TblFigFootnote"/>
              <w:numPr>
                <w:ilvl w:val="0"/>
                <w:numId w:val="41"/>
              </w:numPr>
              <w:rPr>
                <w:lang w:val="en-AU"/>
              </w:rPr>
            </w:pPr>
            <w:r w:rsidRPr="00E52B5F">
              <w:rPr>
                <w:lang w:val="en-AU"/>
              </w:rPr>
              <w:t>Not multiplicity controlled.</w:t>
            </w:r>
          </w:p>
        </w:tc>
      </w:tr>
    </w:tbl>
    <w:p w14:paraId="6BF78C5B" w14:textId="64087C35" w:rsidR="00862922" w:rsidRPr="00E52B5F" w:rsidRDefault="00862922" w:rsidP="00C52362">
      <w:pPr>
        <w:rPr>
          <w:lang w:val="en-AU"/>
        </w:rPr>
      </w:pPr>
      <w:r w:rsidRPr="00E52B5F">
        <w:rPr>
          <w:lang w:val="en-AU"/>
        </w:rPr>
        <w:t>In infants in D5290C00003 who received the recommended dose (50 mg if body weight &lt;5 </w:t>
      </w:r>
      <w:r w:rsidR="00B570F3" w:rsidRPr="00E52B5F">
        <w:rPr>
          <w:lang w:val="en-AU"/>
        </w:rPr>
        <w:t>Kg</w:t>
      </w:r>
      <w:r w:rsidRPr="00E52B5F">
        <w:rPr>
          <w:lang w:val="en-AU"/>
        </w:rPr>
        <w:t xml:space="preserve"> at time of dosing), the efficacy of BEYFORTUS against MA RSV LRTI, MA RSV LRTI with hospitalisation, and very severe MA RSV LRTI in very and moderately preterm infants (GA ≥29 to &lt;35 weeks) was 86.2% (95% CI 68.0, 94.0), 86.5% (95% CI 53.5, 96.1) and 100.0% (95% CI 79.7, not evaluated), respectively.</w:t>
      </w:r>
    </w:p>
    <w:p w14:paraId="09ABA044" w14:textId="5E0336B4" w:rsidR="00862922" w:rsidRPr="00E52B5F" w:rsidRDefault="00862922" w:rsidP="00C52362">
      <w:pPr>
        <w:rPr>
          <w:lang w:val="en-AU"/>
        </w:rPr>
      </w:pPr>
      <w:r w:rsidRPr="00E52B5F">
        <w:rPr>
          <w:lang w:val="en-AU"/>
        </w:rPr>
        <w:t>A pooled analysis of D5290C00003 (recommended dose) and MELODY (Primary cohort) was specified after data on D5290C00003 had been revealed. Efficacy of BEYFORTUS against MA RSV LRTI, MA RSV LRTI with hospitalisation, and very severe MA RSV LRTI through 150</w:t>
      </w:r>
      <w:r w:rsidR="00052E15" w:rsidRPr="00E52B5F">
        <w:rPr>
          <w:lang w:val="en-AU"/>
        </w:rPr>
        <w:t> </w:t>
      </w:r>
      <w:r w:rsidRPr="00E52B5F">
        <w:rPr>
          <w:lang w:val="en-AU"/>
        </w:rPr>
        <w:t>days post dose was 79.5% (95% CI 65.9, 87.7), 77.3% (95% CI 50.3, 89.7) and 86.0% (95% CI 62.5, 94.8), respectively.</w:t>
      </w:r>
    </w:p>
    <w:p w14:paraId="03AADBF4" w14:textId="3C56793F" w:rsidR="00BE2763" w:rsidRPr="00E52B5F" w:rsidRDefault="00BE2763" w:rsidP="00C52362">
      <w:pPr>
        <w:rPr>
          <w:lang w:val="en-AU"/>
        </w:rPr>
      </w:pPr>
      <w:bookmarkStart w:id="32" w:name="_Hlk90136535"/>
      <w:r w:rsidRPr="00E52B5F">
        <w:rPr>
          <w:lang w:val="en-AU"/>
        </w:rPr>
        <w:t>The severity of breakthrough cases of subjects hospitalised for MA RSV LRTI was assessed. The percentage of subjects who required supplementary oxygen was 44.4% (4/9) vs. 81.0% (17/21), subjects who required continuous positive airway pressure [CPAP]/high flow nasal cannula [HFNC] was 11.1% (1/9) vs. 23.8% (5/21), and 0% (0/9) vs. 28.6% (6/21) subjects were admitted to intensive care unit, for BEYFORTUS vs placebo.</w:t>
      </w:r>
      <w:bookmarkEnd w:id="32"/>
    </w:p>
    <w:p w14:paraId="38427C49" w14:textId="40BF4580" w:rsidR="00BE2763" w:rsidRPr="00E52B5F" w:rsidRDefault="00BE2763" w:rsidP="00FC5018">
      <w:pPr>
        <w:pStyle w:val="Heading4"/>
        <w:numPr>
          <w:ilvl w:val="0"/>
          <w:numId w:val="0"/>
        </w:numPr>
        <w:rPr>
          <w:lang w:val="en-AU"/>
        </w:rPr>
      </w:pPr>
      <w:r w:rsidRPr="00E52B5F">
        <w:rPr>
          <w:lang w:val="en-AU"/>
        </w:rPr>
        <w:t xml:space="preserve">Efficacy against MA RSV LRTI in </w:t>
      </w:r>
      <w:bookmarkStart w:id="33" w:name="_Hlk74575612"/>
      <w:r w:rsidRPr="00E52B5F">
        <w:rPr>
          <w:lang w:val="en-AU"/>
        </w:rPr>
        <w:t>infants and children vulnerable to severe RSV disease</w:t>
      </w:r>
      <w:bookmarkEnd w:id="33"/>
      <w:r w:rsidRPr="00E52B5F">
        <w:rPr>
          <w:lang w:val="en-AU"/>
        </w:rPr>
        <w:t xml:space="preserve"> (MEDLEY and MUSIC)</w:t>
      </w:r>
    </w:p>
    <w:p w14:paraId="69A6BC5B" w14:textId="04DA0F74" w:rsidR="00BE2763" w:rsidRPr="00E52B5F" w:rsidRDefault="00BE2763" w:rsidP="00C52362">
      <w:pPr>
        <w:rPr>
          <w:lang w:val="en-AU"/>
        </w:rPr>
      </w:pPr>
      <w:r w:rsidRPr="00E52B5F">
        <w:rPr>
          <w:lang w:val="en-AU"/>
        </w:rPr>
        <w:t>MEDLEY randomised a total of 925 infants at higher risk for severe RSV disease including infants with CLD or CHD and preterm infants GA &lt;35 weeks, entering their first RSV season. Infants received a single IM dose (2:1) of BEYFORTUS (50 mg BEYFORTUS if &lt;5 </w:t>
      </w:r>
      <w:r w:rsidR="00B570F3" w:rsidRPr="00E52B5F">
        <w:rPr>
          <w:lang w:val="en-AU"/>
        </w:rPr>
        <w:t>Kg</w:t>
      </w:r>
      <w:r w:rsidRPr="00E52B5F">
        <w:rPr>
          <w:lang w:val="en-AU"/>
        </w:rPr>
        <w:t xml:space="preserve"> weight or 100 mg BEYFORTUS if ≥5 </w:t>
      </w:r>
      <w:r w:rsidR="00B570F3" w:rsidRPr="00E52B5F">
        <w:rPr>
          <w:lang w:val="en-AU"/>
        </w:rPr>
        <w:t>Kg</w:t>
      </w:r>
      <w:r w:rsidRPr="00E52B5F">
        <w:rPr>
          <w:lang w:val="en-AU"/>
        </w:rPr>
        <w:t xml:space="preserve"> weight at the time of dosing), followed by 4 once</w:t>
      </w:r>
      <w:r w:rsidRPr="00E52B5F">
        <w:rPr>
          <w:lang w:val="en-AU"/>
        </w:rPr>
        <w:noBreakHyphen/>
        <w:t>monthly IM doses of placebo, or 5 once</w:t>
      </w:r>
      <w:r w:rsidRPr="00E52B5F">
        <w:rPr>
          <w:lang w:val="en-AU"/>
        </w:rPr>
        <w:noBreakHyphen/>
        <w:t>monthly IM doses of 15 mg/</w:t>
      </w:r>
      <w:r w:rsidR="00B570F3" w:rsidRPr="00E52B5F">
        <w:rPr>
          <w:lang w:val="en-AU"/>
        </w:rPr>
        <w:t>Kg</w:t>
      </w:r>
      <w:r w:rsidRPr="00E52B5F">
        <w:rPr>
          <w:lang w:val="en-AU"/>
        </w:rPr>
        <w:t xml:space="preserve"> palivizumab. </w:t>
      </w:r>
      <w:bookmarkStart w:id="34" w:name="_Hlk86662309"/>
      <w:r w:rsidRPr="00E52B5F">
        <w:rPr>
          <w:lang w:val="en-AU"/>
        </w:rPr>
        <w:t xml:space="preserve">At randomisation, 21.6% were GA &lt;29 weeks; 21.5% were GA ≥29 to &lt;32 weeks; 41.9% were GA ≥32 to &lt;35 weeks; 14.9% were GA ≥35 weeks. </w:t>
      </w:r>
      <w:bookmarkEnd w:id="34"/>
      <w:r w:rsidRPr="00E52B5F">
        <w:rPr>
          <w:lang w:val="en-AU"/>
        </w:rPr>
        <w:t>Of these infants 23.5% had CLD; 11.2% had CHD; 53.5% were male; 79.2% were White; 9.5% were of African origin; 5.4% were Asian; and 56.5% weighed &lt;5 </w:t>
      </w:r>
      <w:r w:rsidR="00B570F3" w:rsidRPr="00E52B5F">
        <w:rPr>
          <w:lang w:val="en-AU"/>
        </w:rPr>
        <w:t>Kg</w:t>
      </w:r>
      <w:r w:rsidRPr="00E52B5F">
        <w:rPr>
          <w:lang w:val="en-AU"/>
        </w:rPr>
        <w:t xml:space="preserve">. The median age was 3.46 months (range: 0.07 to 12.25 months); 45.2% were ≤3.0 months; 33.6% were &gt;3.0 months to ≤6.0 months and 21.2% were &gt;6.0 months of age. </w:t>
      </w:r>
    </w:p>
    <w:p w14:paraId="3C94E5F8" w14:textId="7F45DBE8" w:rsidR="00BE2763" w:rsidRPr="00E52B5F" w:rsidRDefault="00BE2763" w:rsidP="00C52362">
      <w:pPr>
        <w:rPr>
          <w:lang w:val="en-AU"/>
        </w:rPr>
      </w:pPr>
      <w:bookmarkStart w:id="35" w:name="_Hlk86161153"/>
      <w:r w:rsidRPr="00E52B5F">
        <w:rPr>
          <w:lang w:val="en-AU"/>
        </w:rPr>
        <w:t>Children at higher risk with CLD or CHD ≤24 months of age continued in the trial for a second RSV season. Subjects who received BEYFORTUS during their first RSV season received a second single dose of 200 mg BEYFORTUS entering their second RSV season (180) followed by 4 once</w:t>
      </w:r>
      <w:r w:rsidRPr="00E52B5F">
        <w:rPr>
          <w:lang w:val="en-AU"/>
        </w:rPr>
        <w:noBreakHyphen/>
        <w:t>monthly IM doses of placebo. Subjects who received palivizumab during their first RSV season were re-randomised 1:1 to either the BEYFORTUS or the palivizumab group entering their second RSV season. Subjects in the BEYFORTUS group (40) received a single fixed dose of 200 mg followed by 4 once</w:t>
      </w:r>
      <w:r w:rsidRPr="00E52B5F">
        <w:rPr>
          <w:lang w:val="en-AU"/>
        </w:rPr>
        <w:noBreakHyphen/>
        <w:t>monthly IM doses of placebo. Subjects in the palivizumab group (42) received 5 once</w:t>
      </w:r>
      <w:r w:rsidRPr="00E52B5F">
        <w:rPr>
          <w:lang w:val="en-AU"/>
        </w:rPr>
        <w:noBreakHyphen/>
        <w:t>monthly IM doses of 15 mg/</w:t>
      </w:r>
      <w:r w:rsidR="00B570F3" w:rsidRPr="00E52B5F">
        <w:rPr>
          <w:lang w:val="en-AU"/>
        </w:rPr>
        <w:t>Kg</w:t>
      </w:r>
      <w:r w:rsidRPr="00E52B5F">
        <w:rPr>
          <w:lang w:val="en-AU"/>
        </w:rPr>
        <w:t xml:space="preserve"> palivizumab. Of these children 72.1% had CLD, </w:t>
      </w:r>
      <w:r w:rsidRPr="00E52B5F">
        <w:rPr>
          <w:lang w:val="en-AU"/>
        </w:rPr>
        <w:lastRenderedPageBreak/>
        <w:t>30.9% had CHD; 57.6% were male; 85.9% were White; 4.6% were of African origin; 5.7% were Asian; and 2.3% weighed &lt;7 </w:t>
      </w:r>
      <w:r w:rsidR="00B570F3" w:rsidRPr="00E52B5F">
        <w:rPr>
          <w:lang w:val="en-AU"/>
        </w:rPr>
        <w:t>Kg</w:t>
      </w:r>
      <w:r w:rsidRPr="00E52B5F">
        <w:rPr>
          <w:lang w:val="en-AU"/>
        </w:rPr>
        <w:t>. Demographic and baseline characteristics were comparable between the BEYFORTUS/BEYFORTUS, palivizumab/BEYFORTUS and palivizumab/palivizumab groups.</w:t>
      </w:r>
    </w:p>
    <w:p w14:paraId="37473F0D" w14:textId="3988632A" w:rsidR="00BE2763" w:rsidRPr="00E52B5F" w:rsidRDefault="00BE2763" w:rsidP="00C52362">
      <w:pPr>
        <w:rPr>
          <w:lang w:val="en-AU"/>
        </w:rPr>
      </w:pPr>
      <w:r w:rsidRPr="00E52B5F">
        <w:rPr>
          <w:lang w:val="en-AU"/>
        </w:rPr>
        <w:t xml:space="preserve">The efficacy of BEYFORTUS in infants at higher risk for severe RSV disease, including extremely preterm infants </w:t>
      </w:r>
      <w:bookmarkStart w:id="36" w:name="_Hlk89184438"/>
      <w:r w:rsidRPr="00E52B5F">
        <w:rPr>
          <w:lang w:val="en-AU"/>
        </w:rPr>
        <w:t>(GA &lt;29 weeks)</w:t>
      </w:r>
      <w:bookmarkEnd w:id="36"/>
      <w:r w:rsidRPr="00E52B5F">
        <w:rPr>
          <w:lang w:val="en-AU"/>
        </w:rPr>
        <w:t xml:space="preserve"> and infants with CLD or CHD, and in children with CLD or CHD ≤24 months of age entering their second RSV season is established by extrapolation from the efficacy of BEYFORTUS in D5290C00003 and MELODY based on PK exposure. In MEDLEY, the incidence of MA RSV LRTI through 150 days post dose was 0.6% (4/616) in the </w:t>
      </w:r>
      <w:r w:rsidR="00BD1B81" w:rsidRPr="00E52B5F">
        <w:rPr>
          <w:lang w:val="en-AU"/>
        </w:rPr>
        <w:t xml:space="preserve">BEYFORTUS </w:t>
      </w:r>
      <w:r w:rsidRPr="00E52B5F">
        <w:rPr>
          <w:lang w:val="en-AU"/>
        </w:rPr>
        <w:t>group and 1.0% (3/309) in the palivizumab group. There were no cases of MA RSV LRTI through 150 days in the second RSV season.</w:t>
      </w:r>
    </w:p>
    <w:bookmarkEnd w:id="35"/>
    <w:p w14:paraId="64C238F6" w14:textId="0C314666" w:rsidR="00BD1B81" w:rsidRPr="00E52B5F" w:rsidRDefault="00BD1B81" w:rsidP="00C52362">
      <w:pPr>
        <w:rPr>
          <w:lang w:val="en-AU"/>
        </w:rPr>
      </w:pPr>
      <w:r w:rsidRPr="00E52B5F">
        <w:rPr>
          <w:lang w:val="en-AU"/>
        </w:rPr>
        <w:t>In MUSIC, the ef</w:t>
      </w:r>
      <w:r w:rsidRPr="00E52B5F">
        <w:rPr>
          <w:color w:val="auto"/>
          <w:lang w:val="en-AU"/>
        </w:rPr>
        <w:t>ficacy</w:t>
      </w:r>
      <w:r w:rsidR="00505BD4" w:rsidRPr="00E52B5F">
        <w:rPr>
          <w:color w:val="auto"/>
          <w:lang w:val="en-AU"/>
        </w:rPr>
        <w:t xml:space="preserve"> of Beyfortus</w:t>
      </w:r>
      <w:r w:rsidRPr="00E52B5F">
        <w:rPr>
          <w:color w:val="auto"/>
          <w:lang w:val="en-AU"/>
        </w:rPr>
        <w:t xml:space="preserve"> in immunocompromised infants and children ≤24 months </w:t>
      </w:r>
      <w:r w:rsidR="00505BD4" w:rsidRPr="00E52B5F">
        <w:rPr>
          <w:color w:val="auto"/>
          <w:lang w:val="en-AU"/>
        </w:rPr>
        <w:t xml:space="preserve">entering their first or second RSV season, </w:t>
      </w:r>
      <w:r w:rsidRPr="00E52B5F">
        <w:rPr>
          <w:color w:val="auto"/>
          <w:lang w:val="en-AU"/>
        </w:rPr>
        <w:t>who received the recommended dose of BEYFORTUS is established by extrapolation from the efficacy of BEYFORTUS in D5290C</w:t>
      </w:r>
      <w:r w:rsidRPr="00E52B5F">
        <w:rPr>
          <w:lang w:val="en-AU"/>
        </w:rPr>
        <w:t>00003 and MELODY based on PK exposure. There were no cases of MA RSV LRTI through 150 days post dose.</w:t>
      </w:r>
    </w:p>
    <w:p w14:paraId="0A1029F6" w14:textId="77777777" w:rsidR="00BD1B81" w:rsidRPr="00E52B5F" w:rsidRDefault="00BD1B81" w:rsidP="00C52362">
      <w:pPr>
        <w:pStyle w:val="Heading3"/>
        <w:numPr>
          <w:ilvl w:val="0"/>
          <w:numId w:val="0"/>
        </w:numPr>
        <w:ind w:left="680" w:hanging="680"/>
        <w:rPr>
          <w:lang w:val="en-AU"/>
        </w:rPr>
      </w:pPr>
      <w:r w:rsidRPr="00E52B5F">
        <w:rPr>
          <w:lang w:val="en-AU"/>
        </w:rPr>
        <w:t>Duration of protection</w:t>
      </w:r>
    </w:p>
    <w:p w14:paraId="1E2747A5" w14:textId="3C8F8159" w:rsidR="00BE2763" w:rsidRPr="00E52B5F" w:rsidRDefault="00BD1B81" w:rsidP="00C52362">
      <w:pPr>
        <w:rPr>
          <w:lang w:val="en-AU"/>
        </w:rPr>
      </w:pPr>
      <w:r w:rsidRPr="00E52B5F">
        <w:rPr>
          <w:lang w:val="en-AU"/>
        </w:rPr>
        <w:t>The minimum duration of protection offered by a single dose of nirsevimab is at least 5 months based on clinical and PK data.</w:t>
      </w:r>
    </w:p>
    <w:bookmarkEnd w:id="25"/>
    <w:p w14:paraId="5372275D" w14:textId="7A2F8BA7" w:rsidR="001A3992" w:rsidRPr="00E52B5F" w:rsidRDefault="007403BD" w:rsidP="00C52362">
      <w:pPr>
        <w:pStyle w:val="Heading2"/>
        <w:ind w:left="1440" w:hanging="1440"/>
        <w:jc w:val="both"/>
        <w:rPr>
          <w:lang w:val="en-AU"/>
        </w:rPr>
      </w:pPr>
      <w:r w:rsidRPr="00E52B5F">
        <w:rPr>
          <w:lang w:val="en-AU"/>
        </w:rPr>
        <w:t>Pharmacokinetic properties</w:t>
      </w:r>
    </w:p>
    <w:p w14:paraId="5C879A4E" w14:textId="6862139D" w:rsidR="00057D0C" w:rsidRPr="00E52B5F" w:rsidRDefault="00057D0C" w:rsidP="00C52362">
      <w:pPr>
        <w:rPr>
          <w:lang w:val="en-AU"/>
        </w:rPr>
      </w:pPr>
      <w:r w:rsidRPr="00E52B5F">
        <w:rPr>
          <w:lang w:val="en-AU"/>
        </w:rPr>
        <w:t>The PK properties of nirsevimab are based on data from individual studies and population PK analyses. The PK of nirsevimab were dose</w:t>
      </w:r>
      <w:r w:rsidRPr="00E52B5F">
        <w:rPr>
          <w:lang w:val="en-AU"/>
        </w:rPr>
        <w:noBreakHyphen/>
        <w:t>proportional in children and adults following administration of clinically relevant IM doses over a dose range of 25 mg to 300 mg.</w:t>
      </w:r>
    </w:p>
    <w:p w14:paraId="55BC2648" w14:textId="77777777" w:rsidR="001A3992" w:rsidRPr="00E52B5F" w:rsidRDefault="001A3992" w:rsidP="00C52362">
      <w:pPr>
        <w:pStyle w:val="Heading3"/>
        <w:numPr>
          <w:ilvl w:val="0"/>
          <w:numId w:val="0"/>
        </w:numPr>
        <w:ind w:left="680" w:hanging="680"/>
        <w:rPr>
          <w:lang w:val="en-AU"/>
        </w:rPr>
      </w:pPr>
      <w:r w:rsidRPr="00E52B5F">
        <w:rPr>
          <w:lang w:val="en-AU"/>
        </w:rPr>
        <w:t>Absorption</w:t>
      </w:r>
    </w:p>
    <w:p w14:paraId="2FB90AC2" w14:textId="7266CAA6" w:rsidR="00057D0C" w:rsidRPr="00E52B5F" w:rsidRDefault="00057D0C" w:rsidP="00C52362">
      <w:pPr>
        <w:rPr>
          <w:lang w:val="en-AU"/>
        </w:rPr>
      </w:pPr>
      <w:r w:rsidRPr="00E52B5F">
        <w:rPr>
          <w:lang w:val="en-AU"/>
        </w:rPr>
        <w:t>The estimated absorption half-life following IM administration was 1.7 days, and the estimated absolute bioavailability was 84% based on population PK analysis. The median time to maximum concentration was 6 days (range 1 to 28 days).</w:t>
      </w:r>
    </w:p>
    <w:p w14:paraId="0AAB93D1" w14:textId="77777777" w:rsidR="001A3992" w:rsidRPr="00E52B5F" w:rsidRDefault="001A3992" w:rsidP="00C52362">
      <w:pPr>
        <w:pStyle w:val="Heading3"/>
        <w:numPr>
          <w:ilvl w:val="0"/>
          <w:numId w:val="0"/>
        </w:numPr>
        <w:ind w:left="680" w:hanging="680"/>
        <w:rPr>
          <w:lang w:val="en-AU"/>
        </w:rPr>
      </w:pPr>
      <w:r w:rsidRPr="00E52B5F">
        <w:rPr>
          <w:lang w:val="en-AU"/>
        </w:rPr>
        <w:t>Distribution</w:t>
      </w:r>
    </w:p>
    <w:p w14:paraId="08BE93DE" w14:textId="6C79352B" w:rsidR="00057D0C" w:rsidRPr="00E52B5F" w:rsidRDefault="00057D0C" w:rsidP="00C52362">
      <w:pPr>
        <w:rPr>
          <w:lang w:val="en-AU"/>
        </w:rPr>
      </w:pPr>
      <w:bookmarkStart w:id="37" w:name="_Hlk25837453"/>
      <w:r w:rsidRPr="00E52B5F">
        <w:rPr>
          <w:lang w:val="en-AU"/>
        </w:rPr>
        <w:t>Based on population PK analysis, the estimated central and peripheral volume of distribution of nirsevimab were 216 mL and 261 mL, respectively, for an infant weighing 5 </w:t>
      </w:r>
      <w:r w:rsidR="00B570F3" w:rsidRPr="00E52B5F">
        <w:rPr>
          <w:lang w:val="en-AU"/>
        </w:rPr>
        <w:t>Kg</w:t>
      </w:r>
      <w:r w:rsidRPr="00E52B5F">
        <w:rPr>
          <w:lang w:val="en-AU"/>
        </w:rPr>
        <w:t>.</w:t>
      </w:r>
    </w:p>
    <w:bookmarkEnd w:id="37"/>
    <w:p w14:paraId="3D09D219" w14:textId="120091CD" w:rsidR="001A3992" w:rsidRPr="00E52B5F" w:rsidRDefault="00057D0C" w:rsidP="00C52362">
      <w:pPr>
        <w:pStyle w:val="Heading3"/>
        <w:numPr>
          <w:ilvl w:val="0"/>
          <w:numId w:val="0"/>
        </w:numPr>
        <w:ind w:left="680" w:hanging="680"/>
        <w:rPr>
          <w:lang w:val="en-AU"/>
        </w:rPr>
      </w:pPr>
      <w:r w:rsidRPr="00E52B5F">
        <w:rPr>
          <w:lang w:val="en-AU"/>
        </w:rPr>
        <w:t>Biotransformation</w:t>
      </w:r>
    </w:p>
    <w:p w14:paraId="399BC31C" w14:textId="00F99DFF" w:rsidR="00057D0C" w:rsidRPr="00E52B5F" w:rsidRDefault="00057D0C" w:rsidP="00C52362">
      <w:pPr>
        <w:rPr>
          <w:lang w:val="en-AU"/>
        </w:rPr>
      </w:pPr>
      <w:r w:rsidRPr="00E52B5F">
        <w:rPr>
          <w:lang w:val="en-AU"/>
        </w:rPr>
        <w:t>Nirsevimab is a human IgG1κ monoclonal antibody that is degraded by proteolytic enzymes widely distributed in the body and not metabolised by hepatic enzymes.</w:t>
      </w:r>
    </w:p>
    <w:p w14:paraId="40B852B8" w14:textId="3E0DF321" w:rsidR="001A3992" w:rsidRPr="00E52B5F" w:rsidRDefault="00057D0C" w:rsidP="00C52362">
      <w:pPr>
        <w:pStyle w:val="Heading3"/>
        <w:numPr>
          <w:ilvl w:val="0"/>
          <w:numId w:val="0"/>
        </w:numPr>
        <w:ind w:left="680" w:hanging="680"/>
        <w:rPr>
          <w:lang w:val="en-AU"/>
        </w:rPr>
      </w:pPr>
      <w:r w:rsidRPr="00E52B5F">
        <w:rPr>
          <w:lang w:val="en-AU"/>
        </w:rPr>
        <w:lastRenderedPageBreak/>
        <w:t>Elimination</w:t>
      </w:r>
    </w:p>
    <w:p w14:paraId="45ED29FE" w14:textId="77777777" w:rsidR="00057D0C" w:rsidRPr="00E52B5F" w:rsidRDefault="00057D0C" w:rsidP="00C52362">
      <w:pPr>
        <w:rPr>
          <w:lang w:val="en-AU"/>
        </w:rPr>
      </w:pPr>
      <w:r w:rsidRPr="00E52B5F">
        <w:rPr>
          <w:lang w:val="en-AU"/>
        </w:rPr>
        <w:t>As a typical monoclonal antibody, nirsevimab is eliminated by intracellular catabolism and there is no evidence of target</w:t>
      </w:r>
      <w:r w:rsidRPr="00E52B5F">
        <w:rPr>
          <w:lang w:val="en-AU"/>
        </w:rPr>
        <w:noBreakHyphen/>
        <w:t>mediated clearance at the doses tested clinically.</w:t>
      </w:r>
    </w:p>
    <w:p w14:paraId="3670C393" w14:textId="032EFE5B" w:rsidR="00057D0C" w:rsidRPr="00E52B5F" w:rsidRDefault="00057D0C" w:rsidP="00C52362">
      <w:pPr>
        <w:rPr>
          <w:lang w:val="en-AU"/>
        </w:rPr>
      </w:pPr>
      <w:r w:rsidRPr="00E52B5F">
        <w:rPr>
          <w:lang w:val="en-AU"/>
        </w:rPr>
        <w:t>Based on population PK analysis, the estimated clearance of nirsevimab was 3.42 mL/day for an infant weighing 5 </w:t>
      </w:r>
      <w:r w:rsidR="00B570F3" w:rsidRPr="00E52B5F">
        <w:rPr>
          <w:lang w:val="en-AU"/>
        </w:rPr>
        <w:t>Kg</w:t>
      </w:r>
      <w:r w:rsidRPr="00E52B5F">
        <w:rPr>
          <w:lang w:val="en-AU"/>
        </w:rPr>
        <w:t xml:space="preserve"> and the terminal half</w:t>
      </w:r>
      <w:r w:rsidRPr="00E52B5F">
        <w:rPr>
          <w:lang w:val="en-AU"/>
        </w:rPr>
        <w:noBreakHyphen/>
        <w:t>life was approximately 71 days.</w:t>
      </w:r>
    </w:p>
    <w:p w14:paraId="6B492077" w14:textId="77777777" w:rsidR="00057D0C" w:rsidRPr="00E52B5F" w:rsidRDefault="00057D0C" w:rsidP="00C52362">
      <w:pPr>
        <w:pStyle w:val="Heading3"/>
        <w:numPr>
          <w:ilvl w:val="0"/>
          <w:numId w:val="0"/>
        </w:numPr>
        <w:ind w:left="680" w:hanging="680"/>
        <w:rPr>
          <w:lang w:val="en-AU"/>
        </w:rPr>
      </w:pPr>
      <w:r w:rsidRPr="00E52B5F">
        <w:rPr>
          <w:lang w:val="en-AU"/>
        </w:rPr>
        <w:t>Special populations</w:t>
      </w:r>
    </w:p>
    <w:p w14:paraId="6F6F7069" w14:textId="77777777" w:rsidR="00057D0C" w:rsidRPr="00E52B5F" w:rsidRDefault="00057D0C" w:rsidP="00C52362">
      <w:pPr>
        <w:pStyle w:val="Heading4"/>
        <w:numPr>
          <w:ilvl w:val="0"/>
          <w:numId w:val="0"/>
        </w:numPr>
        <w:ind w:left="862" w:hanging="862"/>
        <w:rPr>
          <w:noProof/>
          <w:lang w:val="en-AU"/>
        </w:rPr>
      </w:pPr>
      <w:r w:rsidRPr="00E52B5F">
        <w:rPr>
          <w:noProof/>
          <w:lang w:val="en-AU"/>
        </w:rPr>
        <w:t>Race</w:t>
      </w:r>
    </w:p>
    <w:p w14:paraId="21385DAA" w14:textId="3CE09DCF" w:rsidR="00057D0C" w:rsidRPr="00E52B5F" w:rsidRDefault="00057D0C" w:rsidP="00C52362">
      <w:pPr>
        <w:rPr>
          <w:lang w:val="en-AU"/>
        </w:rPr>
      </w:pPr>
      <w:r w:rsidRPr="00E52B5F">
        <w:rPr>
          <w:lang w:val="en-AU"/>
        </w:rPr>
        <w:t>Based on population PK analysis there was no clinically relevant effect of race on the PK of nirsevimab.</w:t>
      </w:r>
    </w:p>
    <w:p w14:paraId="0A6DFD6E" w14:textId="77777777" w:rsidR="00057D0C" w:rsidRPr="00E52B5F" w:rsidRDefault="00057D0C" w:rsidP="00C52362">
      <w:pPr>
        <w:pStyle w:val="Heading4"/>
        <w:numPr>
          <w:ilvl w:val="0"/>
          <w:numId w:val="0"/>
        </w:numPr>
        <w:ind w:left="862" w:hanging="862"/>
        <w:rPr>
          <w:noProof/>
          <w:lang w:val="en-AU"/>
        </w:rPr>
      </w:pPr>
      <w:r w:rsidRPr="00E52B5F">
        <w:rPr>
          <w:noProof/>
          <w:lang w:val="en-AU"/>
        </w:rPr>
        <w:t>Renal impairment</w:t>
      </w:r>
    </w:p>
    <w:p w14:paraId="38A0210E" w14:textId="1012EEBF" w:rsidR="00057D0C" w:rsidRPr="00E52B5F" w:rsidRDefault="00057D0C" w:rsidP="00C52362">
      <w:pPr>
        <w:rPr>
          <w:lang w:val="en-AU"/>
        </w:rPr>
      </w:pPr>
      <w:r w:rsidRPr="00E52B5F">
        <w:rPr>
          <w:lang w:val="en-AU"/>
        </w:rPr>
        <w:t>No clinical studies have been conducted to investigate the effect of renal impairment on the PK of nirsevimab. As a typical IgG monoclonal antibody, nirsevimab is not cleared renally due to its large molecular weight, change in renal function is not expected to influence nirsevimab clearance.</w:t>
      </w:r>
    </w:p>
    <w:p w14:paraId="7220E37C" w14:textId="77777777" w:rsidR="00057D0C" w:rsidRPr="00E52B5F" w:rsidRDefault="00057D0C" w:rsidP="00C52362">
      <w:pPr>
        <w:pStyle w:val="Heading4"/>
        <w:numPr>
          <w:ilvl w:val="0"/>
          <w:numId w:val="0"/>
        </w:numPr>
        <w:ind w:left="862" w:hanging="862"/>
        <w:rPr>
          <w:noProof/>
          <w:lang w:val="en-AU"/>
        </w:rPr>
      </w:pPr>
      <w:r w:rsidRPr="00E52B5F">
        <w:rPr>
          <w:noProof/>
          <w:lang w:val="en-AU"/>
        </w:rPr>
        <w:t>Hepatic impairment</w:t>
      </w:r>
    </w:p>
    <w:p w14:paraId="72C3FE3C" w14:textId="415DC6C4" w:rsidR="00057D0C" w:rsidRPr="00E52B5F" w:rsidRDefault="00057D0C" w:rsidP="00C52362">
      <w:pPr>
        <w:rPr>
          <w:lang w:val="en-AU"/>
        </w:rPr>
      </w:pPr>
      <w:r w:rsidRPr="00E52B5F">
        <w:rPr>
          <w:lang w:val="en-AU"/>
        </w:rPr>
        <w:t>No clinical studies have been conducted to investigate the effect of hepatic impairment on the PK of nirsevimab. As IgG monoclonal antibodies are not primarily cleared via the hepatic pathway, change in hepatic function is not expected to influence nirsevimab clearance.</w:t>
      </w:r>
    </w:p>
    <w:p w14:paraId="63FD3D1B" w14:textId="459F1B94" w:rsidR="00057D0C" w:rsidRPr="00E52B5F" w:rsidRDefault="00057D0C" w:rsidP="00C52362">
      <w:pPr>
        <w:pStyle w:val="Heading4"/>
        <w:numPr>
          <w:ilvl w:val="0"/>
          <w:numId w:val="0"/>
        </w:numPr>
        <w:ind w:left="862" w:hanging="862"/>
        <w:rPr>
          <w:noProof/>
          <w:lang w:val="en-AU"/>
        </w:rPr>
      </w:pPr>
      <w:r w:rsidRPr="00E52B5F">
        <w:rPr>
          <w:noProof/>
          <w:lang w:val="en-AU"/>
        </w:rPr>
        <w:t>Infants and children vulnerable to severe RSV disease</w:t>
      </w:r>
    </w:p>
    <w:p w14:paraId="051E11A6" w14:textId="77777777" w:rsidR="00057D0C" w:rsidRPr="00E52B5F" w:rsidRDefault="00057D0C" w:rsidP="00C52362">
      <w:pPr>
        <w:rPr>
          <w:lang w:val="en-AU"/>
        </w:rPr>
      </w:pPr>
      <w:r w:rsidRPr="00E52B5F">
        <w:rPr>
          <w:lang w:val="en-AU"/>
        </w:rPr>
        <w:t>There was no significant influence of CLD or CHD on the PK of nirsevimab based on population PK analysis. Serum concentrations at day 151 in MEDLEY were comparable to those in MELODY.</w:t>
      </w:r>
    </w:p>
    <w:p w14:paraId="6D97C2CD" w14:textId="77777777" w:rsidR="00057D0C" w:rsidRPr="00E52B5F" w:rsidRDefault="00057D0C" w:rsidP="00C52362">
      <w:pPr>
        <w:rPr>
          <w:lang w:val="en-AU"/>
        </w:rPr>
      </w:pPr>
      <w:r w:rsidRPr="00E52B5F">
        <w:rPr>
          <w:lang w:val="en-AU"/>
        </w:rPr>
        <w:t>In infants born extremely preterm (GA &lt;29 weeks) entering their first RSV season and children with CLD or CHD entering their first or second RSV season (MEDLEY), the pre-defined acceptance criteria for extrapolation were met; &gt;80% of infants/children achieved nirsevimab exposures associated with RSV protection following a single dose.</w:t>
      </w:r>
    </w:p>
    <w:p w14:paraId="721926D5" w14:textId="596662E3" w:rsidR="00057D0C" w:rsidRPr="00E52B5F" w:rsidRDefault="00057D0C" w:rsidP="00C52362">
      <w:pPr>
        <w:rPr>
          <w:color w:val="auto"/>
          <w:lang w:val="en-AU"/>
        </w:rPr>
      </w:pPr>
      <w:r w:rsidRPr="00E52B5F">
        <w:rPr>
          <w:lang w:val="en-AU"/>
        </w:rPr>
        <w:t>Serum exposures in children with immunocompromised states (MUSI</w:t>
      </w:r>
      <w:r w:rsidRPr="00E52B5F">
        <w:rPr>
          <w:color w:val="auto"/>
          <w:lang w:val="en-AU"/>
        </w:rPr>
        <w:t>C) were</w:t>
      </w:r>
      <w:r w:rsidR="00505BD4" w:rsidRPr="00E52B5F">
        <w:rPr>
          <w:color w:val="auto"/>
          <w:lang w:val="en-AU"/>
        </w:rPr>
        <w:t xml:space="preserve"> overall</w:t>
      </w:r>
      <w:r w:rsidRPr="00E52B5F">
        <w:rPr>
          <w:color w:val="auto"/>
          <w:lang w:val="en-AU"/>
        </w:rPr>
        <w:t xml:space="preserve"> comparable to those in healthy infants in MELODY</w:t>
      </w:r>
      <w:r w:rsidR="00505BD4" w:rsidRPr="00E52B5F">
        <w:rPr>
          <w:color w:val="auto"/>
          <w:lang w:val="en-AU"/>
        </w:rPr>
        <w:t>, however there was large between</w:t>
      </w:r>
      <w:r w:rsidR="00505BD4" w:rsidRPr="00E52B5F">
        <w:rPr>
          <w:color w:val="auto"/>
          <w:lang w:val="en-AU"/>
        </w:rPr>
        <w:noBreakHyphen/>
        <w:t>subject variability with more rapid decline in serum concentrations over time in 14 subjects</w:t>
      </w:r>
      <w:r w:rsidRPr="00E52B5F">
        <w:rPr>
          <w:color w:val="auto"/>
          <w:lang w:val="en-AU"/>
        </w:rPr>
        <w:t xml:space="preserve">. In MUSIC, </w:t>
      </w:r>
      <w:r w:rsidR="00505BD4" w:rsidRPr="00E52B5F">
        <w:rPr>
          <w:color w:val="auto"/>
          <w:lang w:val="en-AU"/>
        </w:rPr>
        <w:t>75</w:t>
      </w:r>
      <w:r w:rsidRPr="00E52B5F">
        <w:rPr>
          <w:color w:val="auto"/>
          <w:lang w:val="en-AU"/>
        </w:rPr>
        <w:t>%</w:t>
      </w:r>
      <w:r w:rsidR="00505BD4" w:rsidRPr="00E52B5F">
        <w:rPr>
          <w:color w:val="auto"/>
          <w:lang w:val="en-AU"/>
        </w:rPr>
        <w:t xml:space="preserve"> (72/96)</w:t>
      </w:r>
      <w:r w:rsidRPr="00E52B5F">
        <w:rPr>
          <w:color w:val="auto"/>
          <w:lang w:val="en-AU"/>
        </w:rPr>
        <w:t xml:space="preserve"> of immunocompromised infants/children entering their first or second RSV season achieved nirsevimab exposures associated with RSV protection.</w:t>
      </w:r>
      <w:r w:rsidRPr="00E52B5F" w:rsidDel="008162F3">
        <w:rPr>
          <w:color w:val="auto"/>
          <w:lang w:val="en-AU"/>
        </w:rPr>
        <w:t xml:space="preserve"> </w:t>
      </w:r>
      <w:r w:rsidR="00505BD4" w:rsidRPr="00E52B5F">
        <w:rPr>
          <w:color w:val="auto"/>
          <w:lang w:val="en-AU"/>
        </w:rPr>
        <w:t>When excluding</w:t>
      </w:r>
      <w:r w:rsidR="002334B3" w:rsidRPr="00E52B5F">
        <w:rPr>
          <w:color w:val="auto"/>
          <w:lang w:val="en-AU"/>
        </w:rPr>
        <w:t xml:space="preserve"> the 14</w:t>
      </w:r>
      <w:r w:rsidR="00505BD4" w:rsidRPr="00E52B5F">
        <w:rPr>
          <w:color w:val="auto"/>
          <w:lang w:val="en-AU"/>
        </w:rPr>
        <w:t xml:space="preserve"> children with more rapid decline in serum concentrations (9 of whom had a clear indication of a protein-losing condition), 87% (71/82) achieved nirsevimab exposures associated with RSV protection.</w:t>
      </w:r>
    </w:p>
    <w:p w14:paraId="0A887B9D" w14:textId="77777777" w:rsidR="001A3992" w:rsidRPr="00E52B5F" w:rsidRDefault="001A3992" w:rsidP="008961DE">
      <w:pPr>
        <w:pStyle w:val="Heading2"/>
        <w:rPr>
          <w:lang w:val="en-AU"/>
        </w:rPr>
      </w:pPr>
      <w:r w:rsidRPr="00E52B5F">
        <w:rPr>
          <w:lang w:val="en-AU"/>
        </w:rPr>
        <w:lastRenderedPageBreak/>
        <w:t>Preclinical safety data</w:t>
      </w:r>
    </w:p>
    <w:p w14:paraId="3B13E62C" w14:textId="77777777" w:rsidR="001A3992" w:rsidRPr="00E52B5F" w:rsidRDefault="001A3992" w:rsidP="00FC5018">
      <w:pPr>
        <w:pStyle w:val="Heading3"/>
        <w:numPr>
          <w:ilvl w:val="0"/>
          <w:numId w:val="0"/>
        </w:numPr>
        <w:rPr>
          <w:lang w:val="en-AU"/>
        </w:rPr>
      </w:pPr>
      <w:r w:rsidRPr="00E52B5F">
        <w:rPr>
          <w:lang w:val="en-AU"/>
        </w:rPr>
        <w:t>Genotoxicity</w:t>
      </w:r>
    </w:p>
    <w:p w14:paraId="00E8F968" w14:textId="6634B92C" w:rsidR="007403BD" w:rsidRPr="00E52B5F" w:rsidRDefault="00F0174C" w:rsidP="00FC5018">
      <w:pPr>
        <w:rPr>
          <w:lang w:val="en-AU"/>
        </w:rPr>
      </w:pPr>
      <w:r w:rsidRPr="00E52B5F">
        <w:rPr>
          <w:lang w:val="en-AU"/>
        </w:rPr>
        <w:t>Nirsevimab is a monoclonal antibody, as such genotoxicity studies have not been conducted. As a large protein molecule, nirsevimab is not expected to interact directly with DNA or other chromosomal material.</w:t>
      </w:r>
    </w:p>
    <w:p w14:paraId="04B4BFAF" w14:textId="77777777" w:rsidR="001A3992" w:rsidRPr="00E52B5F" w:rsidRDefault="001A3992" w:rsidP="00FC5018">
      <w:pPr>
        <w:pStyle w:val="Heading3"/>
        <w:numPr>
          <w:ilvl w:val="0"/>
          <w:numId w:val="0"/>
        </w:numPr>
        <w:ind w:left="680" w:hanging="680"/>
        <w:rPr>
          <w:lang w:val="en-AU"/>
        </w:rPr>
      </w:pPr>
      <w:r w:rsidRPr="00E52B5F">
        <w:rPr>
          <w:lang w:val="en-AU"/>
        </w:rPr>
        <w:t>Carcinogenicity</w:t>
      </w:r>
    </w:p>
    <w:p w14:paraId="64AC901D" w14:textId="06E9BDA7" w:rsidR="007403BD" w:rsidRPr="00E52B5F" w:rsidRDefault="00F0174C" w:rsidP="00FC5018">
      <w:pPr>
        <w:rPr>
          <w:lang w:val="en-AU"/>
        </w:rPr>
      </w:pPr>
      <w:r w:rsidRPr="00E52B5F">
        <w:rPr>
          <w:lang w:val="en-AU"/>
        </w:rPr>
        <w:t>No carcinogenicity studies have been conducted because nirsevimab binds a viral-specific target that is not expressed in nonclinical models or in humans</w:t>
      </w:r>
      <w:r w:rsidR="00BF4625" w:rsidRPr="00E52B5F">
        <w:rPr>
          <w:lang w:val="en-AU"/>
        </w:rPr>
        <w:t>.</w:t>
      </w:r>
    </w:p>
    <w:p w14:paraId="4B2184E2" w14:textId="77777777" w:rsidR="001A3992" w:rsidRPr="00E52B5F" w:rsidRDefault="001A3992" w:rsidP="00FC5018">
      <w:pPr>
        <w:pStyle w:val="Heading1"/>
        <w:pageBreakBefore w:val="0"/>
        <w:rPr>
          <w:lang w:val="en-AU"/>
        </w:rPr>
      </w:pPr>
      <w:r w:rsidRPr="00E52B5F">
        <w:rPr>
          <w:lang w:val="en-AU"/>
        </w:rPr>
        <w:t>Pharmaceutical particulars</w:t>
      </w:r>
    </w:p>
    <w:p w14:paraId="5FF3BA40" w14:textId="03F1D675" w:rsidR="001A3992" w:rsidRPr="00E52B5F" w:rsidRDefault="001A3992" w:rsidP="00FC5018">
      <w:pPr>
        <w:pStyle w:val="Heading2"/>
        <w:rPr>
          <w:lang w:val="en-AU"/>
        </w:rPr>
      </w:pPr>
      <w:bookmarkStart w:id="38" w:name="_Ref505768678"/>
      <w:r w:rsidRPr="00E52B5F">
        <w:rPr>
          <w:lang w:val="en-AU"/>
        </w:rPr>
        <w:t>List of exci</w:t>
      </w:r>
      <w:r w:rsidR="00795D99" w:rsidRPr="00E52B5F">
        <w:rPr>
          <w:lang w:val="en-AU"/>
        </w:rPr>
        <w:t>pients</w:t>
      </w:r>
      <w:bookmarkEnd w:id="38"/>
    </w:p>
    <w:p w14:paraId="45D7B462" w14:textId="278B0500" w:rsidR="00E162AE" w:rsidRPr="00E52B5F" w:rsidRDefault="00E162AE" w:rsidP="00FC5018">
      <w:pPr>
        <w:rPr>
          <w:lang w:val="en-AU"/>
        </w:rPr>
      </w:pPr>
      <w:r w:rsidRPr="00E52B5F">
        <w:rPr>
          <w:lang w:val="en-AU"/>
        </w:rPr>
        <w:t xml:space="preserve">BEYFORTUS </w:t>
      </w:r>
      <w:r w:rsidR="00C1376B" w:rsidRPr="00E52B5F">
        <w:rPr>
          <w:lang w:val="en-AU"/>
        </w:rPr>
        <w:t>solution for injection</w:t>
      </w:r>
      <w:r w:rsidRPr="00E52B5F">
        <w:rPr>
          <w:lang w:val="en-AU"/>
        </w:rPr>
        <w:t xml:space="preserve"> contains the excipients histidine, histidine hydrochloride monohydrate, </w:t>
      </w:r>
      <w:r w:rsidR="00A1655F" w:rsidRPr="00E52B5F">
        <w:rPr>
          <w:lang w:val="en-AU"/>
        </w:rPr>
        <w:t>arginine hydrochloride, sucrose</w:t>
      </w:r>
      <w:r w:rsidRPr="00E52B5F">
        <w:rPr>
          <w:lang w:val="en-AU"/>
        </w:rPr>
        <w:t xml:space="preserve">, polysorbate </w:t>
      </w:r>
      <w:r w:rsidR="00A1655F" w:rsidRPr="00E52B5F">
        <w:rPr>
          <w:lang w:val="en-AU"/>
        </w:rPr>
        <w:t>8</w:t>
      </w:r>
      <w:r w:rsidRPr="00E52B5F">
        <w:rPr>
          <w:lang w:val="en-AU"/>
        </w:rPr>
        <w:t>0 and water for injections.</w:t>
      </w:r>
    </w:p>
    <w:p w14:paraId="011254EF" w14:textId="77777777" w:rsidR="001A3992" w:rsidRPr="00E52B5F" w:rsidRDefault="001A3992" w:rsidP="00FC5018">
      <w:pPr>
        <w:pStyle w:val="Heading2"/>
        <w:rPr>
          <w:lang w:val="en-AU"/>
        </w:rPr>
      </w:pPr>
      <w:bookmarkStart w:id="39" w:name="_Ref114050535"/>
      <w:r w:rsidRPr="00E52B5F">
        <w:rPr>
          <w:lang w:val="en-AU"/>
        </w:rPr>
        <w:t>Incompatib</w:t>
      </w:r>
      <w:r w:rsidR="00795D99" w:rsidRPr="00E52B5F">
        <w:rPr>
          <w:lang w:val="en-AU"/>
        </w:rPr>
        <w:t>ilities</w:t>
      </w:r>
      <w:bookmarkEnd w:id="39"/>
    </w:p>
    <w:p w14:paraId="3568C28C" w14:textId="2C9BDFA4" w:rsidR="00C1376B" w:rsidRPr="00E52B5F" w:rsidRDefault="00C1376B" w:rsidP="00FC5018">
      <w:pPr>
        <w:rPr>
          <w:lang w:val="en-AU"/>
        </w:rPr>
      </w:pPr>
      <w:r w:rsidRPr="00E52B5F">
        <w:rPr>
          <w:lang w:val="en-AU"/>
        </w:rPr>
        <w:t>In the absence of compatibility studies, this medicinal product must not be mixed with other medicines.</w:t>
      </w:r>
    </w:p>
    <w:p w14:paraId="605E3980" w14:textId="77777777" w:rsidR="001A3992" w:rsidRPr="00E52B5F" w:rsidRDefault="001A3992" w:rsidP="00FC5018">
      <w:pPr>
        <w:pStyle w:val="Heading2"/>
        <w:rPr>
          <w:lang w:val="en-AU"/>
        </w:rPr>
      </w:pPr>
      <w:r w:rsidRPr="00E52B5F">
        <w:rPr>
          <w:lang w:val="en-AU"/>
        </w:rPr>
        <w:t>Shelf life</w:t>
      </w:r>
    </w:p>
    <w:p w14:paraId="5C3DFA98" w14:textId="77777777" w:rsidR="007A2548" w:rsidRPr="00E52B5F" w:rsidRDefault="007A2548" w:rsidP="00FC5018">
      <w:pPr>
        <w:rPr>
          <w:lang w:val="en-AU"/>
        </w:rPr>
      </w:pPr>
      <w:r w:rsidRPr="00E52B5F">
        <w:rPr>
          <w:lang w:val="en-AU"/>
        </w:rPr>
        <w:t>In Australia, information on the shelf life can be found on the public summary of the Australian Register of Therapeutic Goods (ARTG). The expiry date can be found on the packaging.</w:t>
      </w:r>
    </w:p>
    <w:p w14:paraId="50C37AC6" w14:textId="77777777" w:rsidR="001A3992" w:rsidRPr="00E52B5F" w:rsidRDefault="00795D99" w:rsidP="00FC5018">
      <w:pPr>
        <w:pStyle w:val="Heading2"/>
        <w:rPr>
          <w:lang w:val="en-AU"/>
        </w:rPr>
      </w:pPr>
      <w:r w:rsidRPr="00E52B5F">
        <w:rPr>
          <w:lang w:val="en-AU"/>
        </w:rPr>
        <w:t>Special precautions for storage</w:t>
      </w:r>
    </w:p>
    <w:p w14:paraId="22DB8777" w14:textId="77777777" w:rsidR="0038623B" w:rsidRPr="00E52B5F" w:rsidRDefault="0038623B" w:rsidP="00FC5018">
      <w:pPr>
        <w:rPr>
          <w:lang w:val="en-AU"/>
        </w:rPr>
      </w:pPr>
      <w:r w:rsidRPr="00E52B5F">
        <w:rPr>
          <w:lang w:val="en-AU"/>
        </w:rPr>
        <w:t>Store at 2°C to 8°C (Refrigerate. Do not freeze).</w:t>
      </w:r>
    </w:p>
    <w:p w14:paraId="5AE8B247" w14:textId="47EC8245" w:rsidR="0038623B" w:rsidRPr="00E52B5F" w:rsidRDefault="0038623B" w:rsidP="00FC5018">
      <w:pPr>
        <w:rPr>
          <w:lang w:val="en-AU"/>
        </w:rPr>
      </w:pPr>
      <w:bookmarkStart w:id="40" w:name="_Hlk531781264"/>
      <w:r w:rsidRPr="00E52B5F">
        <w:rPr>
          <w:lang w:val="en-AU"/>
        </w:rPr>
        <w:t xml:space="preserve">BEYFORTUS may be kept at </w:t>
      </w:r>
      <w:r w:rsidRPr="00E52B5F">
        <w:rPr>
          <w:color w:val="auto"/>
          <w:lang w:val="en-AU"/>
        </w:rPr>
        <w:t>room temperature (</w:t>
      </w:r>
      <w:r w:rsidR="00290F50" w:rsidRPr="00E52B5F">
        <w:rPr>
          <w:color w:val="auto"/>
          <w:lang w:val="en-AU"/>
        </w:rPr>
        <w:t xml:space="preserve">Store below </w:t>
      </w:r>
      <w:r w:rsidRPr="00E52B5F">
        <w:rPr>
          <w:color w:val="auto"/>
          <w:lang w:val="en-AU"/>
        </w:rPr>
        <w:t>25°C</w:t>
      </w:r>
      <w:r w:rsidR="005959ED" w:rsidRPr="00E52B5F">
        <w:rPr>
          <w:color w:val="auto"/>
          <w:lang w:val="en-AU"/>
        </w:rPr>
        <w:t>)</w:t>
      </w:r>
      <w:r w:rsidRPr="00E52B5F">
        <w:rPr>
          <w:color w:val="auto"/>
          <w:lang w:val="en-AU"/>
        </w:rPr>
        <w:t xml:space="preserve"> for a maxi</w:t>
      </w:r>
      <w:r w:rsidRPr="00E52B5F">
        <w:rPr>
          <w:lang w:val="en-AU"/>
        </w:rPr>
        <w:t xml:space="preserve">mum of </w:t>
      </w:r>
      <w:r w:rsidR="005959ED" w:rsidRPr="00E52B5F">
        <w:rPr>
          <w:lang w:val="en-AU"/>
        </w:rPr>
        <w:t>8 hours</w:t>
      </w:r>
      <w:r w:rsidRPr="00E52B5F">
        <w:rPr>
          <w:lang w:val="en-AU"/>
        </w:rPr>
        <w:t xml:space="preserve">. After removal from the refrigerator, </w:t>
      </w:r>
      <w:r w:rsidR="005959ED" w:rsidRPr="00E52B5F">
        <w:rPr>
          <w:lang w:val="en-AU"/>
        </w:rPr>
        <w:t xml:space="preserve">BEYFORTUS </w:t>
      </w:r>
      <w:r w:rsidRPr="00E52B5F">
        <w:rPr>
          <w:lang w:val="en-AU"/>
        </w:rPr>
        <w:t xml:space="preserve">must be used within </w:t>
      </w:r>
      <w:r w:rsidR="005959ED" w:rsidRPr="00E52B5F">
        <w:rPr>
          <w:lang w:val="en-AU"/>
        </w:rPr>
        <w:t>8 hours</w:t>
      </w:r>
      <w:r w:rsidRPr="00E52B5F">
        <w:rPr>
          <w:lang w:val="en-AU"/>
        </w:rPr>
        <w:t xml:space="preserve"> or discarded</w:t>
      </w:r>
      <w:bookmarkEnd w:id="40"/>
      <w:r w:rsidRPr="00E52B5F">
        <w:rPr>
          <w:lang w:val="en-AU"/>
        </w:rPr>
        <w:t>.</w:t>
      </w:r>
    </w:p>
    <w:p w14:paraId="73F41497" w14:textId="6DFEC0DC" w:rsidR="00B22F54" w:rsidRPr="00E52B5F" w:rsidRDefault="00B22F54" w:rsidP="00FC5018">
      <w:pPr>
        <w:rPr>
          <w:lang w:val="en-AU"/>
        </w:rPr>
      </w:pPr>
      <w:bookmarkStart w:id="41" w:name="_Hlk531781358"/>
      <w:r w:rsidRPr="00E52B5F">
        <w:rPr>
          <w:lang w:val="en-AU"/>
        </w:rPr>
        <w:t xml:space="preserve">Keep the </w:t>
      </w:r>
      <w:r w:rsidR="000E295C" w:rsidRPr="00E52B5F">
        <w:rPr>
          <w:lang w:val="en-AU"/>
        </w:rPr>
        <w:t>prefilled</w:t>
      </w:r>
      <w:r w:rsidRPr="00E52B5F">
        <w:rPr>
          <w:lang w:val="en-AU"/>
        </w:rPr>
        <w:t xml:space="preserve"> syringe in the outer carton in order to protect from light.</w:t>
      </w:r>
    </w:p>
    <w:p w14:paraId="2C0C23AA" w14:textId="34FA8D29" w:rsidR="0038623B" w:rsidRPr="00E52B5F" w:rsidRDefault="0038623B" w:rsidP="00FC5018">
      <w:pPr>
        <w:rPr>
          <w:lang w:val="en-AU"/>
        </w:rPr>
      </w:pPr>
      <w:r w:rsidRPr="00E52B5F">
        <w:rPr>
          <w:lang w:val="en-AU"/>
        </w:rPr>
        <w:t xml:space="preserve">Do not </w:t>
      </w:r>
      <w:r w:rsidR="005959ED" w:rsidRPr="00E52B5F">
        <w:rPr>
          <w:lang w:val="en-AU"/>
        </w:rPr>
        <w:t xml:space="preserve">shake or </w:t>
      </w:r>
      <w:r w:rsidRPr="00E52B5F">
        <w:rPr>
          <w:lang w:val="en-AU"/>
        </w:rPr>
        <w:t>expose to heat</w:t>
      </w:r>
      <w:bookmarkEnd w:id="41"/>
      <w:r w:rsidRPr="00E52B5F">
        <w:rPr>
          <w:lang w:val="en-AU"/>
        </w:rPr>
        <w:t>.</w:t>
      </w:r>
    </w:p>
    <w:p w14:paraId="78F377C6" w14:textId="77777777" w:rsidR="001A3992" w:rsidRPr="00E52B5F" w:rsidRDefault="001A3992" w:rsidP="00FC5018">
      <w:pPr>
        <w:pStyle w:val="Heading2"/>
        <w:rPr>
          <w:lang w:val="en-AU"/>
        </w:rPr>
      </w:pPr>
      <w:r w:rsidRPr="00E52B5F">
        <w:rPr>
          <w:lang w:val="en-AU"/>
        </w:rPr>
        <w:t>N</w:t>
      </w:r>
      <w:r w:rsidR="00795D99" w:rsidRPr="00E52B5F">
        <w:rPr>
          <w:lang w:val="en-AU"/>
        </w:rPr>
        <w:t>ature and contents of container</w:t>
      </w:r>
    </w:p>
    <w:p w14:paraId="5A1BE206" w14:textId="423EA7CB" w:rsidR="005959ED" w:rsidRPr="00E52B5F" w:rsidRDefault="0083681F" w:rsidP="00FC5018">
      <w:pPr>
        <w:rPr>
          <w:lang w:val="en-AU"/>
        </w:rPr>
      </w:pPr>
      <w:r w:rsidRPr="00E52B5F">
        <w:rPr>
          <w:lang w:val="en-AU"/>
        </w:rPr>
        <w:t>S</w:t>
      </w:r>
      <w:r w:rsidR="005959ED" w:rsidRPr="00E52B5F">
        <w:rPr>
          <w:lang w:val="en-AU"/>
        </w:rPr>
        <w:t>iliconi</w:t>
      </w:r>
      <w:r w:rsidR="00B22F54" w:rsidRPr="00E52B5F">
        <w:rPr>
          <w:lang w:val="en-AU"/>
        </w:rPr>
        <w:t>s</w:t>
      </w:r>
      <w:r w:rsidR="005959ED" w:rsidRPr="00E52B5F">
        <w:rPr>
          <w:lang w:val="en-AU"/>
        </w:rPr>
        <w:t>ed Luer lock Type I glass prefilled syringe with a FluroTec</w:t>
      </w:r>
      <w:r w:rsidR="005959ED" w:rsidRPr="00E52B5F">
        <w:rPr>
          <w:lang w:val="en-AU"/>
        </w:rPr>
        <w:noBreakHyphen/>
        <w:t>coated plunger stopper.</w:t>
      </w:r>
    </w:p>
    <w:p w14:paraId="33267448" w14:textId="77777777" w:rsidR="0083681F" w:rsidRPr="00E52B5F" w:rsidRDefault="005959ED" w:rsidP="00FC5018">
      <w:pPr>
        <w:rPr>
          <w:lang w:val="en-AU"/>
        </w:rPr>
      </w:pPr>
      <w:r w:rsidRPr="00E52B5F">
        <w:rPr>
          <w:lang w:val="en-AU"/>
        </w:rPr>
        <w:t xml:space="preserve">Each prefilled syringe contains 0.5 mL or 1 mL solution. </w:t>
      </w:r>
    </w:p>
    <w:p w14:paraId="4E8C486D" w14:textId="47508A01" w:rsidR="005959ED" w:rsidRPr="00E52B5F" w:rsidRDefault="0083681F" w:rsidP="00FC5018">
      <w:pPr>
        <w:rPr>
          <w:lang w:val="en-AU"/>
        </w:rPr>
      </w:pPr>
      <w:r w:rsidRPr="00E52B5F">
        <w:rPr>
          <w:lang w:val="en-AU"/>
        </w:rPr>
        <w:lastRenderedPageBreak/>
        <w:t xml:space="preserve">Pack size:  </w:t>
      </w:r>
      <w:r w:rsidR="005959ED" w:rsidRPr="00E52B5F">
        <w:rPr>
          <w:lang w:val="en-AU"/>
        </w:rPr>
        <w:t xml:space="preserve">1 or 5 </w:t>
      </w:r>
      <w:r w:rsidRPr="00E52B5F">
        <w:rPr>
          <w:lang w:val="en-AU"/>
        </w:rPr>
        <w:t xml:space="preserve">single use </w:t>
      </w:r>
      <w:r w:rsidR="005959ED" w:rsidRPr="00E52B5F">
        <w:rPr>
          <w:lang w:val="en-AU"/>
        </w:rPr>
        <w:t>prefilled syringe(s)* without needles.</w:t>
      </w:r>
    </w:p>
    <w:p w14:paraId="473ADE71" w14:textId="2374F7C4" w:rsidR="004C7F1B" w:rsidRPr="00E52B5F" w:rsidRDefault="004C7F1B" w:rsidP="00FC5018">
      <w:pPr>
        <w:rPr>
          <w:sz w:val="20"/>
          <w:szCs w:val="20"/>
          <w:lang w:val="en-AU"/>
        </w:rPr>
      </w:pPr>
      <w:r w:rsidRPr="00E52B5F">
        <w:rPr>
          <w:sz w:val="20"/>
          <w:szCs w:val="20"/>
          <w:lang w:val="en-AU"/>
        </w:rPr>
        <w:t>*not all pack sizes may be available in Australia</w:t>
      </w:r>
      <w:r w:rsidR="005959ED" w:rsidRPr="00E52B5F">
        <w:rPr>
          <w:sz w:val="20"/>
          <w:szCs w:val="20"/>
          <w:lang w:val="en-AU"/>
        </w:rPr>
        <w:t>.</w:t>
      </w:r>
    </w:p>
    <w:p w14:paraId="38745EB5" w14:textId="77777777" w:rsidR="001A3992" w:rsidRPr="00E52B5F" w:rsidRDefault="001A3992" w:rsidP="00157877">
      <w:pPr>
        <w:pStyle w:val="Heading2"/>
        <w:rPr>
          <w:lang w:val="en-AU"/>
        </w:rPr>
      </w:pPr>
      <w:bookmarkStart w:id="42" w:name="_Ref114059183"/>
      <w:r w:rsidRPr="00E52B5F">
        <w:rPr>
          <w:lang w:val="en-AU"/>
        </w:rPr>
        <w:t>S</w:t>
      </w:r>
      <w:r w:rsidR="00795D99" w:rsidRPr="00E52B5F">
        <w:rPr>
          <w:lang w:val="en-AU"/>
        </w:rPr>
        <w:t>pecial precautions for disposal</w:t>
      </w:r>
      <w:bookmarkEnd w:id="42"/>
    </w:p>
    <w:p w14:paraId="2B5E8312" w14:textId="418A0466" w:rsidR="0083681F" w:rsidRPr="00E52B5F" w:rsidRDefault="0083681F" w:rsidP="00FC5018">
      <w:pPr>
        <w:rPr>
          <w:lang w:val="en-AU"/>
        </w:rPr>
      </w:pPr>
      <w:r w:rsidRPr="00E52B5F">
        <w:rPr>
          <w:lang w:val="en-AU"/>
        </w:rPr>
        <w:t xml:space="preserve">Dispose of the used syringe immediately, together with the needle, in a sharps disposal container. </w:t>
      </w:r>
    </w:p>
    <w:p w14:paraId="43D09982" w14:textId="0C30133B" w:rsidR="006A727B" w:rsidRPr="00E52B5F" w:rsidRDefault="007706C9" w:rsidP="00FC5018">
      <w:pPr>
        <w:rPr>
          <w:lang w:val="en-AU"/>
        </w:rPr>
      </w:pPr>
      <w:r w:rsidRPr="00E52B5F">
        <w:rPr>
          <w:lang w:val="en-AU"/>
        </w:rPr>
        <w:t>In Australia, any unused medicine or waste material should be disposed of in accordance with local requirements.</w:t>
      </w:r>
    </w:p>
    <w:p w14:paraId="349DDA42" w14:textId="77777777" w:rsidR="001A3992" w:rsidRPr="00E52B5F" w:rsidRDefault="001A3992" w:rsidP="00157877">
      <w:pPr>
        <w:pStyle w:val="Heading2"/>
        <w:rPr>
          <w:lang w:val="en-AU"/>
        </w:rPr>
      </w:pPr>
      <w:r w:rsidRPr="00E52B5F">
        <w:rPr>
          <w:lang w:val="en-AU"/>
        </w:rPr>
        <w:t>Physicochemical properties</w:t>
      </w:r>
    </w:p>
    <w:p w14:paraId="26CADB23" w14:textId="7589535F" w:rsidR="00062AE5" w:rsidRPr="00E52B5F" w:rsidRDefault="00E162AE" w:rsidP="00FC5018">
      <w:pPr>
        <w:pStyle w:val="Heading3"/>
        <w:numPr>
          <w:ilvl w:val="0"/>
          <w:numId w:val="0"/>
        </w:numPr>
        <w:rPr>
          <w:lang w:val="en-AU"/>
        </w:rPr>
      </w:pPr>
      <w:r w:rsidRPr="00E52B5F">
        <w:rPr>
          <w:lang w:val="en-AU"/>
        </w:rPr>
        <w:t>General</w:t>
      </w:r>
      <w:r w:rsidR="00062AE5" w:rsidRPr="00E52B5F">
        <w:rPr>
          <w:lang w:val="en-AU"/>
        </w:rPr>
        <w:t xml:space="preserve"> structure</w:t>
      </w:r>
    </w:p>
    <w:p w14:paraId="1705958B" w14:textId="78B7E44B" w:rsidR="00D53537" w:rsidRPr="00E52B5F" w:rsidRDefault="00D53537" w:rsidP="00FC5018">
      <w:pPr>
        <w:rPr>
          <w:lang w:val="en-AU"/>
        </w:rPr>
      </w:pPr>
      <w:r w:rsidRPr="00E52B5F">
        <w:rPr>
          <w:lang w:val="en-AU"/>
        </w:rPr>
        <w:t>Nirsevimab is a human immunoglobulin G1 kappa (IgG1κ) monoclonal antibody produced in Chinese hamster ovary (CHO) cells by recombinant DNA technology.</w:t>
      </w:r>
      <w:r w:rsidR="006F5071" w:rsidRPr="00E52B5F">
        <w:rPr>
          <w:lang w:val="en-AU"/>
        </w:rPr>
        <w:t xml:space="preserve">  The Fc region of nirsevimab has been engineered with a triple amino acid substitution (YTE) to extend serum half-life.</w:t>
      </w:r>
    </w:p>
    <w:p w14:paraId="78852EA9" w14:textId="77777777" w:rsidR="00062AE5" w:rsidRPr="00E52B5F" w:rsidRDefault="001A3992" w:rsidP="00FC5018">
      <w:pPr>
        <w:pStyle w:val="Heading3"/>
        <w:numPr>
          <w:ilvl w:val="0"/>
          <w:numId w:val="0"/>
        </w:numPr>
        <w:ind w:left="680" w:hanging="680"/>
        <w:rPr>
          <w:lang w:val="en-AU"/>
        </w:rPr>
      </w:pPr>
      <w:r w:rsidRPr="00E52B5F">
        <w:rPr>
          <w:lang w:val="en-AU"/>
        </w:rPr>
        <w:t>CAS number</w:t>
      </w:r>
    </w:p>
    <w:p w14:paraId="285C1284" w14:textId="75DF9A19" w:rsidR="006A727B" w:rsidRPr="00E52B5F" w:rsidRDefault="00174F35" w:rsidP="00FC5018">
      <w:pPr>
        <w:rPr>
          <w:lang w:val="en-AU"/>
        </w:rPr>
      </w:pPr>
      <w:r w:rsidRPr="00E52B5F">
        <w:rPr>
          <w:lang w:val="en-AU"/>
        </w:rPr>
        <w:t>1989556-22-0</w:t>
      </w:r>
    </w:p>
    <w:p w14:paraId="6F3F1503" w14:textId="77777777" w:rsidR="001A3992" w:rsidRPr="00E52B5F" w:rsidRDefault="001A3992" w:rsidP="00FC5018">
      <w:pPr>
        <w:pStyle w:val="Heading1"/>
        <w:pageBreakBefore w:val="0"/>
        <w:rPr>
          <w:lang w:val="en-AU"/>
        </w:rPr>
      </w:pPr>
      <w:r w:rsidRPr="00E52B5F">
        <w:rPr>
          <w:lang w:val="en-AU"/>
        </w:rPr>
        <w:t>Medicine schedule (Poisons Standard)</w:t>
      </w:r>
    </w:p>
    <w:p w14:paraId="019A0FA7" w14:textId="22DE1469" w:rsidR="0041004D" w:rsidRPr="00E52B5F" w:rsidRDefault="0041004D" w:rsidP="00FC5018">
      <w:pPr>
        <w:rPr>
          <w:lang w:val="en-AU"/>
        </w:rPr>
      </w:pPr>
      <w:r w:rsidRPr="00E52B5F">
        <w:rPr>
          <w:lang w:val="en-AU"/>
        </w:rPr>
        <w:t>Prescription only medicine (Schedule 4)</w:t>
      </w:r>
    </w:p>
    <w:p w14:paraId="0E5730AB" w14:textId="77777777" w:rsidR="00285173" w:rsidRPr="00E52B5F" w:rsidRDefault="001A3992" w:rsidP="00FC5018">
      <w:pPr>
        <w:pStyle w:val="Heading1"/>
        <w:pageBreakBefore w:val="0"/>
        <w:rPr>
          <w:lang w:val="en-AU"/>
        </w:rPr>
      </w:pPr>
      <w:r w:rsidRPr="00E52B5F">
        <w:rPr>
          <w:lang w:val="en-AU"/>
        </w:rPr>
        <w:t>Sponsor</w:t>
      </w:r>
    </w:p>
    <w:p w14:paraId="5BC1D6A4" w14:textId="458D1850" w:rsidR="00450CA2" w:rsidRPr="00E52B5F" w:rsidRDefault="00450CA2" w:rsidP="00FC5018">
      <w:pPr>
        <w:rPr>
          <w:lang w:val="en-AU"/>
        </w:rPr>
      </w:pPr>
      <w:r w:rsidRPr="00E52B5F">
        <w:rPr>
          <w:lang w:val="en-AU"/>
        </w:rPr>
        <w:t>sanofi-aventis australia pty ltd</w:t>
      </w:r>
      <w:r w:rsidRPr="00E52B5F">
        <w:rPr>
          <w:lang w:val="en-AU"/>
        </w:rPr>
        <w:br/>
        <w:t>12-24 Talavera Road</w:t>
      </w:r>
      <w:r w:rsidRPr="00E52B5F">
        <w:rPr>
          <w:lang w:val="en-AU"/>
        </w:rPr>
        <w:br/>
      </w:r>
      <w:r w:rsidR="004856F6" w:rsidRPr="00E52B5F">
        <w:rPr>
          <w:lang w:val="en-AU"/>
        </w:rPr>
        <w:t xml:space="preserve">MACQUARIE PARK </w:t>
      </w:r>
      <w:r w:rsidRPr="00E52B5F">
        <w:rPr>
          <w:lang w:val="en-AU"/>
        </w:rPr>
        <w:t>NSW 2113</w:t>
      </w:r>
    </w:p>
    <w:p w14:paraId="58E6D8F4" w14:textId="71A7E105" w:rsidR="00450CA2" w:rsidRPr="00E52B5F" w:rsidRDefault="007073E1" w:rsidP="00FC5018">
      <w:pPr>
        <w:rPr>
          <w:lang w:val="en-AU"/>
        </w:rPr>
      </w:pPr>
      <w:r w:rsidRPr="00E52B5F">
        <w:rPr>
          <w:lang w:val="en-AU"/>
        </w:rPr>
        <w:t xml:space="preserve">For all enquiries contact </w:t>
      </w:r>
      <w:r w:rsidR="000E295C" w:rsidRPr="00E52B5F">
        <w:rPr>
          <w:lang w:val="en-AU"/>
        </w:rPr>
        <w:t>sanofi-</w:t>
      </w:r>
      <w:r w:rsidRPr="00E52B5F">
        <w:rPr>
          <w:lang w:val="en-AU"/>
        </w:rPr>
        <w:t>aventis on 1800 818 806</w:t>
      </w:r>
    </w:p>
    <w:p w14:paraId="27D7C329" w14:textId="77777777" w:rsidR="00285173" w:rsidRPr="00E52B5F" w:rsidRDefault="00285173" w:rsidP="00FC5018">
      <w:pPr>
        <w:pStyle w:val="Heading1"/>
        <w:pageBreakBefore w:val="0"/>
        <w:rPr>
          <w:lang w:val="en-AU"/>
        </w:rPr>
      </w:pPr>
      <w:r w:rsidRPr="00E52B5F">
        <w:rPr>
          <w:lang w:val="en-AU"/>
        </w:rPr>
        <w:t xml:space="preserve">Date of first </w:t>
      </w:r>
      <w:r w:rsidR="00795D99" w:rsidRPr="00E52B5F">
        <w:rPr>
          <w:lang w:val="en-AU"/>
        </w:rPr>
        <w:t>approval</w:t>
      </w:r>
    </w:p>
    <w:p w14:paraId="4F9EA772" w14:textId="21EF9DDE" w:rsidR="00E00336" w:rsidRPr="003E1BA2" w:rsidRDefault="003E1BA2" w:rsidP="0083697E">
      <w:pPr>
        <w:rPr>
          <w:lang w:val="en-AU"/>
        </w:rPr>
      </w:pPr>
      <w:r w:rsidRPr="003E1BA2">
        <w:rPr>
          <w:lang w:val="en-AU"/>
        </w:rPr>
        <w:t>24 Nov</w:t>
      </w:r>
      <w:r>
        <w:rPr>
          <w:lang w:val="en-AU"/>
        </w:rPr>
        <w:t>ember</w:t>
      </w:r>
      <w:r w:rsidRPr="003E1BA2">
        <w:rPr>
          <w:lang w:val="en-AU"/>
        </w:rPr>
        <w:t xml:space="preserve"> 23</w:t>
      </w:r>
    </w:p>
    <w:p w14:paraId="148AB1B5" w14:textId="77777777" w:rsidR="00285173" w:rsidRPr="00E52B5F" w:rsidRDefault="00285173" w:rsidP="00FC5018">
      <w:pPr>
        <w:pStyle w:val="Heading1"/>
        <w:pageBreakBefore w:val="0"/>
        <w:rPr>
          <w:lang w:val="en-AU"/>
        </w:rPr>
      </w:pPr>
      <w:r w:rsidRPr="00E52B5F">
        <w:rPr>
          <w:lang w:val="en-AU"/>
        </w:rPr>
        <w:t>Date o</w:t>
      </w:r>
      <w:r w:rsidR="00795D99" w:rsidRPr="00E52B5F">
        <w:rPr>
          <w:lang w:val="en-AU"/>
        </w:rPr>
        <w:t>f revision</w:t>
      </w:r>
    </w:p>
    <w:p w14:paraId="7A201EAF" w14:textId="664F23F8" w:rsidR="00513B1A" w:rsidRPr="00E52B5F" w:rsidRDefault="001812B5" w:rsidP="00FC5018">
      <w:pPr>
        <w:rPr>
          <w:lang w:val="en-AU"/>
        </w:rPr>
      </w:pPr>
      <w:r w:rsidRPr="00E52B5F">
        <w:rPr>
          <w:lang w:val="en-AU"/>
        </w:rPr>
        <w:t>Not applicable.</w:t>
      </w:r>
    </w:p>
    <w:p w14:paraId="52EA7DC4" w14:textId="77777777" w:rsidR="00B42562" w:rsidRPr="00E52B5F" w:rsidRDefault="00B42562" w:rsidP="00513B1A">
      <w:pPr>
        <w:pStyle w:val="Paragraph"/>
        <w:rPr>
          <w:lang w:val="en-AU"/>
        </w:rPr>
      </w:pPr>
    </w:p>
    <w:p w14:paraId="3D461656" w14:textId="77777777" w:rsidR="00285173" w:rsidRPr="00E52B5F" w:rsidRDefault="00285173" w:rsidP="00FC5018">
      <w:pPr>
        <w:pStyle w:val="Heading2"/>
        <w:numPr>
          <w:ilvl w:val="0"/>
          <w:numId w:val="0"/>
        </w:numPr>
        <w:ind w:left="680" w:hanging="680"/>
        <w:rPr>
          <w:lang w:val="en-AU"/>
        </w:rPr>
      </w:pPr>
      <w:r w:rsidRPr="00E52B5F">
        <w:rPr>
          <w:lang w:val="en-AU"/>
        </w:rPr>
        <w:lastRenderedPageBreak/>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696"/>
        <w:gridCol w:w="7942"/>
      </w:tblGrid>
      <w:tr w:rsidR="008A35FB" w:rsidRPr="00E52B5F" w14:paraId="251B42D5" w14:textId="77777777" w:rsidTr="00B42562">
        <w:trPr>
          <w:cantSplit/>
          <w:tblHeader/>
        </w:trPr>
        <w:tc>
          <w:tcPr>
            <w:tcW w:w="1696" w:type="dxa"/>
            <w:shd w:val="clear" w:color="auto" w:fill="auto"/>
          </w:tcPr>
          <w:p w14:paraId="44D3B756" w14:textId="77777777" w:rsidR="008A35FB" w:rsidRPr="00E52B5F" w:rsidRDefault="008A35FB" w:rsidP="008A35FB">
            <w:pPr>
              <w:pStyle w:val="TableHead"/>
              <w:jc w:val="left"/>
              <w:rPr>
                <w:lang w:val="en-AU"/>
              </w:rPr>
            </w:pPr>
            <w:r w:rsidRPr="00E52B5F">
              <w:rPr>
                <w:lang w:val="en-AU"/>
              </w:rPr>
              <w:t>Section changed</w:t>
            </w:r>
          </w:p>
        </w:tc>
        <w:tc>
          <w:tcPr>
            <w:tcW w:w="7942" w:type="dxa"/>
            <w:shd w:val="clear" w:color="auto" w:fill="auto"/>
          </w:tcPr>
          <w:p w14:paraId="092D2CC5" w14:textId="77777777" w:rsidR="008A35FB" w:rsidRPr="00E52B5F" w:rsidRDefault="008A35FB" w:rsidP="008A35FB">
            <w:pPr>
              <w:pStyle w:val="TableHead"/>
              <w:jc w:val="left"/>
              <w:rPr>
                <w:lang w:val="en-AU"/>
              </w:rPr>
            </w:pPr>
            <w:r w:rsidRPr="00E52B5F">
              <w:rPr>
                <w:lang w:val="en-AU"/>
              </w:rPr>
              <w:t>Summary of new information</w:t>
            </w:r>
          </w:p>
        </w:tc>
      </w:tr>
      <w:tr w:rsidR="001812B5" w:rsidRPr="00E52B5F" w14:paraId="6C10821F" w14:textId="77777777" w:rsidTr="00B42562">
        <w:trPr>
          <w:cantSplit/>
        </w:trPr>
        <w:tc>
          <w:tcPr>
            <w:tcW w:w="1696" w:type="dxa"/>
            <w:shd w:val="clear" w:color="auto" w:fill="auto"/>
          </w:tcPr>
          <w:p w14:paraId="21DFA0E0" w14:textId="0B11D8AB" w:rsidR="001812B5" w:rsidRPr="00E52B5F" w:rsidRDefault="001812B5" w:rsidP="00257099">
            <w:pPr>
              <w:pStyle w:val="TableLeft"/>
              <w:rPr>
                <w:lang w:val="en-AU"/>
              </w:rPr>
            </w:pPr>
            <w:r w:rsidRPr="00E52B5F">
              <w:rPr>
                <w:lang w:val="en-AU"/>
              </w:rPr>
              <w:t>N/A</w:t>
            </w:r>
          </w:p>
        </w:tc>
        <w:tc>
          <w:tcPr>
            <w:tcW w:w="7942" w:type="dxa"/>
            <w:shd w:val="clear" w:color="auto" w:fill="auto"/>
          </w:tcPr>
          <w:p w14:paraId="1B2B6D65" w14:textId="5FB389C1" w:rsidR="001812B5" w:rsidRPr="00E52B5F" w:rsidRDefault="001812B5" w:rsidP="00257099">
            <w:pPr>
              <w:pStyle w:val="TableLeft"/>
              <w:rPr>
                <w:lang w:val="en-AU"/>
              </w:rPr>
            </w:pPr>
            <w:r w:rsidRPr="00E52B5F">
              <w:rPr>
                <w:lang w:val="en-AU"/>
              </w:rPr>
              <w:t>New product</w:t>
            </w:r>
          </w:p>
        </w:tc>
      </w:tr>
    </w:tbl>
    <w:p w14:paraId="38FBB963" w14:textId="77777777" w:rsidR="00513B1A" w:rsidRPr="00E52B5F" w:rsidRDefault="00513B1A" w:rsidP="00513B1A">
      <w:pPr>
        <w:pStyle w:val="Paragraph"/>
        <w:rPr>
          <w:lang w:val="en-AU"/>
        </w:rPr>
      </w:pPr>
    </w:p>
    <w:sectPr w:rsidR="00513B1A" w:rsidRPr="00E52B5F" w:rsidSect="00E77F94">
      <w:headerReference w:type="default" r:id="rId11"/>
      <w:footerReference w:type="default" r:id="rId12"/>
      <w:pgSz w:w="11906" w:h="16838"/>
      <w:pgMar w:top="1134" w:right="1134" w:bottom="12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7245" w14:textId="77777777" w:rsidR="00DB59B4" w:rsidRDefault="00DB59B4" w:rsidP="001A3992">
      <w:r>
        <w:separator/>
      </w:r>
    </w:p>
  </w:endnote>
  <w:endnote w:type="continuationSeparator" w:id="0">
    <w:p w14:paraId="42E05E83" w14:textId="77777777" w:rsidR="00DB59B4" w:rsidRDefault="00DB59B4"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7030" w14:textId="43A811E7" w:rsidR="00FC5018" w:rsidRDefault="00FC5018" w:rsidP="00FC5018">
    <w:pPr>
      <w:pStyle w:val="Footer"/>
    </w:pPr>
    <w:r>
      <w:t>beyfo-</w:t>
    </w:r>
    <w:r w:rsidR="0083697E">
      <w:t>ccdsv</w:t>
    </w:r>
    <w:r w:rsidR="00C9104B">
      <w:t>4</w:t>
    </w:r>
    <w:r w:rsidR="0083697E">
      <w:t>-</w:t>
    </w:r>
    <w:r>
      <w:t>piv1-</w:t>
    </w:r>
    <w:r w:rsidR="003E1BA2">
      <w:t>24nov23</w:t>
    </w:r>
    <w:r>
      <w:tab/>
    </w:r>
    <w:sdt>
      <w:sdtPr>
        <w:id w:val="852614597"/>
        <w:docPartObj>
          <w:docPartGallery w:val="Page Numbers (Bottom of Page)"/>
          <w:docPartUnique/>
        </w:docPartObj>
      </w:sdtPr>
      <w:sdtEndPr/>
      <w:sdtContent>
        <w:sdt>
          <w:sdtPr>
            <w:id w:val="76642380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43</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ACDC" w14:textId="77777777" w:rsidR="00DB59B4" w:rsidRDefault="00DB59B4" w:rsidP="001A3992">
      <w:r>
        <w:separator/>
      </w:r>
    </w:p>
  </w:footnote>
  <w:footnote w:type="continuationSeparator" w:id="0">
    <w:p w14:paraId="1FC3860B" w14:textId="77777777" w:rsidR="00DB59B4" w:rsidRDefault="00DB59B4"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3E1420" w:rsidRPr="000B2145" w14:paraId="0A65884A" w14:textId="77777777" w:rsidTr="00ED6C2C">
      <w:trPr>
        <w:trHeight w:val="1012"/>
      </w:trPr>
      <w:tc>
        <w:tcPr>
          <w:tcW w:w="9039" w:type="dxa"/>
          <w:shd w:val="clear" w:color="auto" w:fill="E4F2E0"/>
        </w:tcPr>
        <w:p w14:paraId="0F27F16C" w14:textId="328BAA2D" w:rsidR="003E1420" w:rsidRPr="000E4791" w:rsidRDefault="003E1420" w:rsidP="003E1420">
          <w:pPr>
            <w:pStyle w:val="Footer"/>
            <w:rPr>
              <w:b/>
              <w:szCs w:val="18"/>
            </w:rPr>
          </w:pPr>
          <w:r w:rsidRPr="00EE2A41">
            <w:rPr>
              <w:b/>
              <w:szCs w:val="18"/>
            </w:rPr>
            <w:t xml:space="preserve">Attachment </w:t>
          </w:r>
          <w:proofErr w:type="spellStart"/>
          <w:r w:rsidRPr="00482FFF">
            <w:rPr>
              <w:b/>
              <w:szCs w:val="18"/>
            </w:rPr>
            <w:t>AusPAR</w:t>
          </w:r>
          <w:proofErr w:type="spellEnd"/>
          <w:r w:rsidRPr="00482FFF">
            <w:rPr>
              <w:b/>
              <w:szCs w:val="18"/>
            </w:rPr>
            <w:t xml:space="preserve"> </w:t>
          </w:r>
          <w:r>
            <w:rPr>
              <w:b/>
              <w:szCs w:val="18"/>
            </w:rPr>
            <w:t>–</w:t>
          </w:r>
          <w:r w:rsidRPr="00482FFF">
            <w:rPr>
              <w:b/>
              <w:szCs w:val="18"/>
            </w:rPr>
            <w:t xml:space="preserve"> </w:t>
          </w:r>
          <w:proofErr w:type="spellStart"/>
          <w:r w:rsidR="00C33663" w:rsidRPr="00C33663">
            <w:rPr>
              <w:b/>
              <w:szCs w:val="18"/>
            </w:rPr>
            <w:t>Beyfortus</w:t>
          </w:r>
          <w:proofErr w:type="spellEnd"/>
          <w:r w:rsidRPr="00C72F89">
            <w:rPr>
              <w:b/>
              <w:szCs w:val="18"/>
            </w:rPr>
            <w:t xml:space="preserve"> </w:t>
          </w:r>
          <w:r>
            <w:rPr>
              <w:b/>
              <w:szCs w:val="18"/>
            </w:rPr>
            <w:t>–</w:t>
          </w:r>
          <w:r w:rsidRPr="00482FFF">
            <w:rPr>
              <w:b/>
              <w:szCs w:val="18"/>
            </w:rPr>
            <w:t xml:space="preserve"> </w:t>
          </w:r>
          <w:proofErr w:type="spellStart"/>
          <w:r w:rsidRPr="00771250">
            <w:rPr>
              <w:b/>
              <w:szCs w:val="18"/>
            </w:rPr>
            <w:t>Nirsevimab</w:t>
          </w:r>
          <w:proofErr w:type="spellEnd"/>
          <w:r w:rsidRPr="00771250">
            <w:rPr>
              <w:b/>
              <w:szCs w:val="18"/>
            </w:rPr>
            <w:t xml:space="preserve"> </w:t>
          </w:r>
          <w:r>
            <w:rPr>
              <w:b/>
              <w:szCs w:val="18"/>
            </w:rPr>
            <w:t>–</w:t>
          </w:r>
          <w:r w:rsidRPr="00482FFF">
            <w:rPr>
              <w:b/>
              <w:szCs w:val="18"/>
            </w:rPr>
            <w:t xml:space="preserve"> </w:t>
          </w:r>
          <w:r w:rsidRPr="00821ED4">
            <w:rPr>
              <w:b/>
              <w:szCs w:val="18"/>
            </w:rPr>
            <w:t xml:space="preserve">Sanofi-Aventis Australia Pty Ltd </w:t>
          </w:r>
          <w:r w:rsidRPr="00482FFF">
            <w:rPr>
              <w:b/>
              <w:szCs w:val="18"/>
            </w:rPr>
            <w:t xml:space="preserve">- </w:t>
          </w:r>
          <w:r w:rsidRPr="0032493E">
            <w:rPr>
              <w:b/>
              <w:szCs w:val="18"/>
            </w:rPr>
            <w:t>PM-2022-04428-1-2</w:t>
          </w:r>
          <w:r w:rsidRPr="00482FFF">
            <w:rPr>
              <w:b/>
              <w:szCs w:val="18"/>
            </w:rPr>
            <w:t>-</w:t>
          </w:r>
          <w:r>
            <w:rPr>
              <w:b/>
              <w:szCs w:val="18"/>
            </w:rPr>
            <w:t xml:space="preserve"> </w:t>
          </w:r>
          <w:r w:rsidRPr="00482FFF">
            <w:rPr>
              <w:b/>
              <w:szCs w:val="18"/>
            </w:rPr>
            <w:t xml:space="preserve">FINAL </w:t>
          </w:r>
          <w:r w:rsidRPr="00BE3E64">
            <w:rPr>
              <w:b/>
              <w:szCs w:val="18"/>
            </w:rPr>
            <w:t>12 April 2024</w:t>
          </w:r>
          <w:r>
            <w:rPr>
              <w:b/>
              <w:szCs w:val="18"/>
            </w:rPr>
            <w:t>.</w:t>
          </w:r>
          <w:r w:rsidRPr="00EE2A41">
            <w:rPr>
              <w:b/>
              <w:szCs w:val="18"/>
            </w:rPr>
            <w:t xml:space="preserve"> This is the Product Information that was approved with the submission described in this </w:t>
          </w:r>
          <w:proofErr w:type="spellStart"/>
          <w:r w:rsidRPr="00EE2A41">
            <w:rPr>
              <w:b/>
              <w:szCs w:val="18"/>
            </w:rPr>
            <w:t>AusPAR</w:t>
          </w:r>
          <w:proofErr w:type="spellEnd"/>
          <w:r w:rsidRPr="00EE2A41">
            <w:rPr>
              <w:b/>
              <w:szCs w:val="18"/>
            </w:rPr>
            <w:t>. It may have been superseded. For the most recent PI, please refer to the TGA website at</w:t>
          </w:r>
          <w:r w:rsidRPr="000E4791">
            <w:rPr>
              <w:b/>
              <w:szCs w:val="18"/>
            </w:rPr>
            <w:t xml:space="preserve"> &lt;</w:t>
          </w:r>
          <w:hyperlink r:id="rId1" w:history="1">
            <w:r w:rsidRPr="000E4791">
              <w:rPr>
                <w:rStyle w:val="Hyperlink"/>
                <w:szCs w:val="18"/>
              </w:rPr>
              <w:t>https://www.tga.gov.au/product-information-pi</w:t>
            </w:r>
          </w:hyperlink>
          <w:r w:rsidRPr="000E4791">
            <w:rPr>
              <w:b/>
              <w:szCs w:val="18"/>
              <w:u w:val="single"/>
            </w:rPr>
            <w:t>&gt;</w:t>
          </w:r>
        </w:p>
      </w:tc>
    </w:tr>
  </w:tbl>
  <w:p w14:paraId="26F5DACD" w14:textId="77777777" w:rsidR="003E1420" w:rsidRDefault="003E1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572BF7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A3C07A96"/>
    <w:lvl w:ilvl="0">
      <w:start w:val="1"/>
      <w:numFmt w:val="decimal"/>
      <w:lvlText w:val="%1."/>
      <w:lvlJc w:val="left"/>
      <w:pPr>
        <w:tabs>
          <w:tab w:val="num" w:pos="360"/>
        </w:tabs>
        <w:ind w:left="360" w:hanging="360"/>
      </w:pPr>
    </w:lvl>
  </w:abstractNum>
  <w:abstractNum w:abstractNumId="2" w15:restartNumberingAfterBreak="0">
    <w:nsid w:val="01733F3E"/>
    <w:multiLevelType w:val="hybridMultilevel"/>
    <w:tmpl w:val="5AB64ADE"/>
    <w:lvl w:ilvl="0" w:tplc="0C090001">
      <w:start w:val="1"/>
      <w:numFmt w:val="bullet"/>
      <w:pStyle w:val="ListAlphabeticalLeve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F1120"/>
    <w:multiLevelType w:val="hybridMultilevel"/>
    <w:tmpl w:val="7D72FCE6"/>
    <w:name w:val="LT_Heading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0D107B"/>
    <w:multiLevelType w:val="multilevel"/>
    <w:tmpl w:val="241253C8"/>
    <w:name w:val="ListBullet"/>
    <w:lvl w:ilvl="0">
      <w:start w:val="1"/>
      <w:numFmt w:val="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6" w15:restartNumberingAfterBreak="0">
    <w:nsid w:val="088F137B"/>
    <w:multiLevelType w:val="multilevel"/>
    <w:tmpl w:val="0EA4FE10"/>
    <w:lvl w:ilvl="0">
      <w:start w:val="78"/>
      <w:numFmt w:val="bullet"/>
      <w:lvlText w:val="-"/>
      <w:lvlJc w:val="left"/>
      <w:pPr>
        <w:ind w:left="425" w:hanging="425"/>
      </w:pPr>
      <w:rPr>
        <w:rFonts w:ascii="Arial Narrow" w:eastAsia="MS Gothic" w:hAnsi="Arial Narrow" w:cs="Times New Roman" w:hint="default"/>
        <w:b w:val="0"/>
        <w:i w:val="0"/>
        <w:caps w:val="0"/>
        <w:sz w:val="24"/>
        <w:u w:val="none"/>
        <w:vertAlign w:val="baseline"/>
      </w:rPr>
    </w:lvl>
    <w:lvl w:ilvl="1">
      <w:start w:val="1"/>
      <w:numFmt w:val="lowerLetter"/>
      <w:lvlText w:val="(%2)"/>
      <w:lvlJc w:val="left"/>
      <w:pPr>
        <w:ind w:left="850" w:hanging="425"/>
      </w:pPr>
      <w:rPr>
        <w:rFonts w:ascii="Times New Roman" w:hAnsi="Times New Roman" w:hint="default"/>
      </w:rPr>
    </w:lvl>
    <w:lvl w:ilvl="2">
      <w:start w:val="1"/>
      <w:numFmt w:val="lowerRoman"/>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7" w15:restartNumberingAfterBreak="0">
    <w:nsid w:val="0C0268D4"/>
    <w:multiLevelType w:val="multilevel"/>
    <w:tmpl w:val="FED83934"/>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8"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9"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0"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11" w15:restartNumberingAfterBreak="0">
    <w:nsid w:val="1E4A3329"/>
    <w:multiLevelType w:val="multilevel"/>
    <w:tmpl w:val="0EA4FE10"/>
    <w:name w:val="LT_Heading32"/>
    <w:lvl w:ilvl="0">
      <w:start w:val="78"/>
      <w:numFmt w:val="bullet"/>
      <w:lvlText w:val="-"/>
      <w:lvlJc w:val="left"/>
      <w:pPr>
        <w:ind w:left="425" w:hanging="425"/>
      </w:pPr>
      <w:rPr>
        <w:rFonts w:ascii="Arial Narrow" w:eastAsia="MS Gothic" w:hAnsi="Arial Narrow" w:cs="Times New Roman" w:hint="default"/>
        <w:b w:val="0"/>
        <w:i w:val="0"/>
        <w:caps w:val="0"/>
        <w:sz w:val="24"/>
        <w:u w:val="none"/>
        <w:vertAlign w:val="baseline"/>
      </w:rPr>
    </w:lvl>
    <w:lvl w:ilvl="1">
      <w:start w:val="1"/>
      <w:numFmt w:val="lowerLetter"/>
      <w:lvlText w:val="(%2)"/>
      <w:lvlJc w:val="left"/>
      <w:pPr>
        <w:ind w:left="850" w:hanging="425"/>
      </w:pPr>
      <w:rPr>
        <w:rFonts w:ascii="Times New Roman" w:hAnsi="Times New Roman" w:hint="default"/>
      </w:rPr>
    </w:lvl>
    <w:lvl w:ilvl="2">
      <w:start w:val="1"/>
      <w:numFmt w:val="lowerRoman"/>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2" w15:restartNumberingAfterBreak="0">
    <w:nsid w:val="1FA47BD9"/>
    <w:multiLevelType w:val="multilevel"/>
    <w:tmpl w:val="0EA4FE10"/>
    <w:name w:val="LT_Heading3"/>
    <w:lvl w:ilvl="0">
      <w:start w:val="78"/>
      <w:numFmt w:val="bullet"/>
      <w:lvlText w:val="-"/>
      <w:lvlJc w:val="left"/>
      <w:pPr>
        <w:ind w:left="425" w:hanging="425"/>
      </w:pPr>
      <w:rPr>
        <w:rFonts w:ascii="Arial Narrow" w:eastAsia="MS Gothic" w:hAnsi="Arial Narrow" w:cs="Times New Roman" w:hint="default"/>
        <w:b w:val="0"/>
        <w:i w:val="0"/>
        <w:caps w:val="0"/>
        <w:sz w:val="24"/>
        <w:u w:val="none"/>
        <w:vertAlign w:val="baseline"/>
      </w:rPr>
    </w:lvl>
    <w:lvl w:ilvl="1">
      <w:start w:val="1"/>
      <w:numFmt w:val="lowerLetter"/>
      <w:lvlText w:val="(%2)"/>
      <w:lvlJc w:val="left"/>
      <w:pPr>
        <w:ind w:left="850" w:hanging="425"/>
      </w:pPr>
      <w:rPr>
        <w:rFonts w:ascii="Times New Roman" w:hAnsi="Times New Roman" w:hint="default"/>
      </w:rPr>
    </w:lvl>
    <w:lvl w:ilvl="2">
      <w:start w:val="1"/>
      <w:numFmt w:val="lowerRoman"/>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3" w15:restartNumberingAfterBreak="0">
    <w:nsid w:val="24435439"/>
    <w:multiLevelType w:val="hybridMultilevel"/>
    <w:tmpl w:val="D23AB816"/>
    <w:lvl w:ilvl="0" w:tplc="0C090001">
      <w:start w:val="1"/>
      <w:numFmt w:val="bullet"/>
      <w:pStyle w:val="TblText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2913332"/>
    <w:multiLevelType w:val="multilevel"/>
    <w:tmpl w:val="969A274A"/>
    <w:name w:val="HousestyleHeadings"/>
    <w:lvl w:ilvl="0">
      <w:start w:val="1"/>
      <w:numFmt w:val="decimal"/>
      <w:lvlText w:val="%1"/>
      <w:lvlJc w:val="left"/>
      <w:pPr>
        <w:tabs>
          <w:tab w:val="num" w:pos="1134"/>
        </w:tabs>
        <w:ind w:left="1134" w:hanging="1134"/>
      </w:pPr>
      <w:rPr>
        <w:rFonts w:ascii="Times New Roman" w:hAnsi="Times New Roman" w:hint="default"/>
      </w:rPr>
    </w:lvl>
    <w:lvl w:ilvl="1">
      <w:start w:val="1"/>
      <w:numFmt w:val="decimal"/>
      <w:lvlText w:val="%1.%2"/>
      <w:lvlJc w:val="left"/>
      <w:pPr>
        <w:tabs>
          <w:tab w:val="num" w:pos="1418"/>
        </w:tabs>
        <w:ind w:left="1418" w:hanging="1134"/>
      </w:pPr>
      <w:rPr>
        <w:rFonts w:ascii="Times New Roman" w:hAnsi="Times New Roman" w:hint="default"/>
      </w:rPr>
    </w:lvl>
    <w:lvl w:ilvl="2">
      <w:start w:val="1"/>
      <w:numFmt w:val="decimal"/>
      <w:lvlText w:val="%1.%2.%3"/>
      <w:lvlJc w:val="left"/>
      <w:pPr>
        <w:tabs>
          <w:tab w:val="num" w:pos="1134"/>
        </w:tabs>
        <w:ind w:left="1134" w:hanging="1134"/>
      </w:pPr>
      <w:rPr>
        <w:rFonts w:ascii="Times New Roman" w:hAnsi="Times New Roman" w:hint="default"/>
      </w:rPr>
    </w:lvl>
    <w:lvl w:ilvl="3">
      <w:start w:val="1"/>
      <w:numFmt w:val="decimal"/>
      <w:lvlText w:val="%1.%2.%3.%4"/>
      <w:lvlJc w:val="left"/>
      <w:pPr>
        <w:tabs>
          <w:tab w:val="num" w:pos="1134"/>
        </w:tabs>
        <w:ind w:left="1134" w:hanging="1134"/>
      </w:pPr>
      <w:rPr>
        <w:rFonts w:ascii="Times New Roman" w:hAnsi="Times New Roman" w:hint="default"/>
      </w:rPr>
    </w:lvl>
    <w:lvl w:ilvl="4">
      <w:start w:val="1"/>
      <w:numFmt w:val="decimal"/>
      <w:lvlText w:val="%1.%2.%3.%4.%5"/>
      <w:lvlJc w:val="left"/>
      <w:pPr>
        <w:tabs>
          <w:tab w:val="num" w:pos="1134"/>
        </w:tabs>
        <w:ind w:left="1134" w:hanging="1134"/>
      </w:pPr>
      <w:rPr>
        <w:rFonts w:ascii="Times New Roman" w:hAnsi="Times New Roman" w:hint="default"/>
      </w:rPr>
    </w:lvl>
    <w:lvl w:ilvl="5">
      <w:start w:val="1"/>
      <w:numFmt w:val="decimal"/>
      <w:lvlText w:val="%1.%2.%3.%4.%5.%6"/>
      <w:lvlJc w:val="left"/>
      <w:pPr>
        <w:tabs>
          <w:tab w:val="num" w:pos="1134"/>
        </w:tabs>
        <w:ind w:left="1134" w:hanging="1134"/>
      </w:pPr>
      <w:rPr>
        <w:rFonts w:ascii="Times New Roman" w:hAnsi="Times New Roman" w:hint="default"/>
      </w:rPr>
    </w:lvl>
    <w:lvl w:ilvl="6">
      <w:start w:val="1"/>
      <w:numFmt w:val="decimal"/>
      <w:lvlText w:val="%1.%2.%3.%4.%5.%6.%7"/>
      <w:lvlJc w:val="left"/>
      <w:pPr>
        <w:tabs>
          <w:tab w:val="num" w:pos="1134"/>
        </w:tabs>
        <w:ind w:left="1134" w:hanging="1134"/>
      </w:pPr>
      <w:rPr>
        <w:rFonts w:ascii="Times New Roman" w:hAnsi="Times New Roman" w:hint="default"/>
      </w:rPr>
    </w:lvl>
    <w:lvl w:ilvl="7">
      <w:start w:val="1"/>
      <w:numFmt w:val="decimal"/>
      <w:lvlText w:val="%1.%2.%3.%4.%5.%6.%7.%8"/>
      <w:lvlJc w:val="left"/>
      <w:pPr>
        <w:tabs>
          <w:tab w:val="num" w:pos="1134"/>
        </w:tabs>
        <w:ind w:left="1134" w:hanging="1134"/>
      </w:pPr>
      <w:rPr>
        <w:rFonts w:ascii="Times New Roman" w:hAnsi="Times New Roman" w:hint="default"/>
      </w:rPr>
    </w:lvl>
    <w:lvl w:ilvl="8">
      <w:start w:val="1"/>
      <w:numFmt w:val="none"/>
      <w:suff w:val="nothing"/>
      <w:lvlText w:val=""/>
      <w:lvlJc w:val="left"/>
      <w:pPr>
        <w:ind w:left="0" w:firstLine="0"/>
      </w:pPr>
      <w:rPr>
        <w:rFonts w:hint="default"/>
      </w:rPr>
    </w:lvl>
  </w:abstractNum>
  <w:abstractNum w:abstractNumId="16" w15:restartNumberingAfterBreak="0">
    <w:nsid w:val="394F4D35"/>
    <w:multiLevelType w:val="multilevel"/>
    <w:tmpl w:val="B440954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36784A"/>
    <w:multiLevelType w:val="singleLevel"/>
    <w:tmpl w:val="D9588840"/>
    <w:lvl w:ilvl="0">
      <w:start w:val="1"/>
      <w:numFmt w:val="decimal"/>
      <w:pStyle w:val="ListBulletLevel1"/>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8"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9"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0"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51FF4"/>
    <w:multiLevelType w:val="hybridMultilevel"/>
    <w:tmpl w:val="B47CB01C"/>
    <w:name w:val="LT_Heading2"/>
    <w:lvl w:ilvl="0" w:tplc="0C09000F">
      <w:start w:val="1"/>
      <w:numFmt w:val="decimal"/>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7507084"/>
    <w:multiLevelType w:val="hybridMultilevel"/>
    <w:tmpl w:val="B916056E"/>
    <w:lvl w:ilvl="0" w:tplc="0C090001">
      <w:start w:val="1"/>
      <w:numFmt w:val="bullet"/>
      <w:pStyle w:val="List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4" w15:restartNumberingAfterBreak="0">
    <w:nsid w:val="6F2A6EC1"/>
    <w:multiLevelType w:val="multilevel"/>
    <w:tmpl w:val="62F6127C"/>
    <w:lvl w:ilvl="0">
      <w:start w:val="1"/>
      <w:numFmt w:val="bullet"/>
      <w:lvlText w:val=""/>
      <w:lvlJc w:val="left"/>
      <w:pPr>
        <w:ind w:left="425" w:hanging="425"/>
      </w:pPr>
      <w:rPr>
        <w:rFonts w:ascii="Symbol" w:hAnsi="Symbol" w:hint="default"/>
        <w:b w:val="0"/>
        <w:i w:val="0"/>
        <w:caps w:val="0"/>
        <w:sz w:val="24"/>
        <w:u w:val="none"/>
        <w:vertAlign w:val="baseline"/>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5" w15:restartNumberingAfterBreak="0">
    <w:nsid w:val="72613446"/>
    <w:multiLevelType w:val="hybridMultilevel"/>
    <w:tmpl w:val="D384F4F4"/>
    <w:lvl w:ilvl="0" w:tplc="0C090001">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CE230B"/>
    <w:multiLevelType w:val="multilevel"/>
    <w:tmpl w:val="5AAAB7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B401D6"/>
    <w:multiLevelType w:val="hybridMultilevel"/>
    <w:tmpl w:val="270C463E"/>
    <w:lvl w:ilvl="0" w:tplc="0C090001">
      <w:start w:val="1"/>
      <w:numFmt w:val="bullet"/>
      <w:pStyle w:val="ListAlphabeticalLevel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0743161">
    <w:abstractNumId w:val="2"/>
  </w:num>
  <w:num w:numId="2" w16cid:durableId="944389666">
    <w:abstractNumId w:val="22"/>
  </w:num>
  <w:num w:numId="3" w16cid:durableId="302656955">
    <w:abstractNumId w:val="30"/>
  </w:num>
  <w:num w:numId="4" w16cid:durableId="681472273">
    <w:abstractNumId w:val="25"/>
  </w:num>
  <w:num w:numId="5" w16cid:durableId="480661456">
    <w:abstractNumId w:val="26"/>
  </w:num>
  <w:num w:numId="6" w16cid:durableId="342712413">
    <w:abstractNumId w:val="13"/>
  </w:num>
  <w:num w:numId="7" w16cid:durableId="527378423">
    <w:abstractNumId w:val="23"/>
  </w:num>
  <w:num w:numId="8" w16cid:durableId="1277982423">
    <w:abstractNumId w:val="18"/>
  </w:num>
  <w:num w:numId="9" w16cid:durableId="2043743281">
    <w:abstractNumId w:val="9"/>
  </w:num>
  <w:num w:numId="10" w16cid:durableId="1686009446">
    <w:abstractNumId w:val="17"/>
  </w:num>
  <w:num w:numId="11" w16cid:durableId="738132172">
    <w:abstractNumId w:val="19"/>
  </w:num>
  <w:num w:numId="12" w16cid:durableId="1245262378">
    <w:abstractNumId w:val="4"/>
  </w:num>
  <w:num w:numId="13" w16cid:durableId="653029443">
    <w:abstractNumId w:val="10"/>
  </w:num>
  <w:num w:numId="14" w16cid:durableId="1393845425">
    <w:abstractNumId w:val="20"/>
  </w:num>
  <w:num w:numId="15" w16cid:durableId="2020355151">
    <w:abstractNumId w:val="29"/>
  </w:num>
  <w:num w:numId="16" w16cid:durableId="1073039683">
    <w:abstractNumId w:val="14"/>
  </w:num>
  <w:num w:numId="17" w16cid:durableId="1385565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896861">
    <w:abstractNumId w:val="27"/>
  </w:num>
  <w:num w:numId="19" w16cid:durableId="500043874">
    <w:abstractNumId w:val="8"/>
  </w:num>
  <w:num w:numId="20" w16cid:durableId="1525367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6696544">
    <w:abstractNumId w:val="6"/>
  </w:num>
  <w:num w:numId="22" w16cid:durableId="743260087">
    <w:abstractNumId w:val="24"/>
  </w:num>
  <w:num w:numId="23" w16cid:durableId="539513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478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0012591">
    <w:abstractNumId w:val="7"/>
  </w:num>
  <w:num w:numId="26" w16cid:durableId="116603834">
    <w:abstractNumId w:val="7"/>
  </w:num>
  <w:num w:numId="27" w16cid:durableId="478154803">
    <w:abstractNumId w:val="7"/>
  </w:num>
  <w:num w:numId="28" w16cid:durableId="1721897160">
    <w:abstractNumId w:val="7"/>
  </w:num>
  <w:num w:numId="29" w16cid:durableId="102119368">
    <w:abstractNumId w:val="7"/>
  </w:num>
  <w:num w:numId="30" w16cid:durableId="658730140">
    <w:abstractNumId w:val="7"/>
  </w:num>
  <w:num w:numId="31" w16cid:durableId="1537934704">
    <w:abstractNumId w:val="7"/>
  </w:num>
  <w:num w:numId="32" w16cid:durableId="249125084">
    <w:abstractNumId w:val="7"/>
  </w:num>
  <w:num w:numId="33" w16cid:durableId="648093017">
    <w:abstractNumId w:val="7"/>
  </w:num>
  <w:num w:numId="34" w16cid:durableId="824006041">
    <w:abstractNumId w:val="7"/>
  </w:num>
  <w:num w:numId="35" w16cid:durableId="1514607996">
    <w:abstractNumId w:val="7"/>
  </w:num>
  <w:num w:numId="36" w16cid:durableId="377781318">
    <w:abstractNumId w:val="7"/>
  </w:num>
  <w:num w:numId="37" w16cid:durableId="1353339702">
    <w:abstractNumId w:val="7"/>
  </w:num>
  <w:num w:numId="38" w16cid:durableId="2073119454">
    <w:abstractNumId w:val="28"/>
  </w:num>
  <w:num w:numId="39" w16cid:durableId="489297229">
    <w:abstractNumId w:val="16"/>
  </w:num>
  <w:num w:numId="40" w16cid:durableId="1818690411">
    <w:abstractNumId w:val="21"/>
  </w:num>
  <w:num w:numId="41" w16cid:durableId="500434900">
    <w:abstractNumId w:val="3"/>
  </w:num>
  <w:num w:numId="42" w16cid:durableId="1501700639">
    <w:abstractNumId w:val="7"/>
  </w:num>
  <w:num w:numId="43" w16cid:durableId="1526745932">
    <w:abstractNumId w:val="7"/>
  </w:num>
  <w:num w:numId="44" w16cid:durableId="1454178630">
    <w:abstractNumId w:val="0"/>
  </w:num>
  <w:num w:numId="45" w16cid:durableId="1697778209">
    <w:abstractNumId w:val="1"/>
  </w:num>
  <w:num w:numId="46" w16cid:durableId="632909144">
    <w:abstractNumId w:val="12"/>
  </w:num>
  <w:num w:numId="47" w16cid:durableId="2038772105">
    <w:abstractNumId w:val="11"/>
  </w:num>
  <w:num w:numId="48" w16cid:durableId="1337876702">
    <w:abstractNumId w:val="7"/>
  </w:num>
  <w:num w:numId="49" w16cid:durableId="101214533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05"/>
    <w:rsid w:val="0000344C"/>
    <w:rsid w:val="00023FFB"/>
    <w:rsid w:val="0002784E"/>
    <w:rsid w:val="00033004"/>
    <w:rsid w:val="00042302"/>
    <w:rsid w:val="00043005"/>
    <w:rsid w:val="00043104"/>
    <w:rsid w:val="00052E15"/>
    <w:rsid w:val="00057D0C"/>
    <w:rsid w:val="00061EC6"/>
    <w:rsid w:val="00062AE5"/>
    <w:rsid w:val="00062E05"/>
    <w:rsid w:val="00063438"/>
    <w:rsid w:val="00063EE1"/>
    <w:rsid w:val="0009106C"/>
    <w:rsid w:val="00091D44"/>
    <w:rsid w:val="000A0A0A"/>
    <w:rsid w:val="000A49B8"/>
    <w:rsid w:val="000C6FB8"/>
    <w:rsid w:val="000C7EB0"/>
    <w:rsid w:val="000E1CD7"/>
    <w:rsid w:val="000E2015"/>
    <w:rsid w:val="000E295C"/>
    <w:rsid w:val="000F63CB"/>
    <w:rsid w:val="00115D1B"/>
    <w:rsid w:val="0012114B"/>
    <w:rsid w:val="00135207"/>
    <w:rsid w:val="00157877"/>
    <w:rsid w:val="00164896"/>
    <w:rsid w:val="00167EF2"/>
    <w:rsid w:val="00174F35"/>
    <w:rsid w:val="001812B5"/>
    <w:rsid w:val="001870BF"/>
    <w:rsid w:val="001A3992"/>
    <w:rsid w:val="001A6FCA"/>
    <w:rsid w:val="001B114A"/>
    <w:rsid w:val="001B2435"/>
    <w:rsid w:val="001C394C"/>
    <w:rsid w:val="001C3D0B"/>
    <w:rsid w:val="001D2FE7"/>
    <w:rsid w:val="001D3AF3"/>
    <w:rsid w:val="001E3EE8"/>
    <w:rsid w:val="001F65EE"/>
    <w:rsid w:val="00215906"/>
    <w:rsid w:val="00230EF4"/>
    <w:rsid w:val="002334B3"/>
    <w:rsid w:val="002335CD"/>
    <w:rsid w:val="00255B1C"/>
    <w:rsid w:val="00257099"/>
    <w:rsid w:val="0026491B"/>
    <w:rsid w:val="00273341"/>
    <w:rsid w:val="002800E0"/>
    <w:rsid w:val="002803FC"/>
    <w:rsid w:val="00285173"/>
    <w:rsid w:val="00286FD5"/>
    <w:rsid w:val="00290F50"/>
    <w:rsid w:val="002A1BC7"/>
    <w:rsid w:val="002A6016"/>
    <w:rsid w:val="002D1062"/>
    <w:rsid w:val="002D3489"/>
    <w:rsid w:val="002E1182"/>
    <w:rsid w:val="002E277D"/>
    <w:rsid w:val="002E55A4"/>
    <w:rsid w:val="002F5A02"/>
    <w:rsid w:val="0031545C"/>
    <w:rsid w:val="0033627F"/>
    <w:rsid w:val="00337C4E"/>
    <w:rsid w:val="00362F10"/>
    <w:rsid w:val="00375DF3"/>
    <w:rsid w:val="00376D26"/>
    <w:rsid w:val="00377337"/>
    <w:rsid w:val="0038623B"/>
    <w:rsid w:val="003B64B1"/>
    <w:rsid w:val="003B7CFF"/>
    <w:rsid w:val="003C52CF"/>
    <w:rsid w:val="003C71A6"/>
    <w:rsid w:val="003D2041"/>
    <w:rsid w:val="003E1420"/>
    <w:rsid w:val="003E1BA2"/>
    <w:rsid w:val="0041004D"/>
    <w:rsid w:val="00431ACD"/>
    <w:rsid w:val="00446EDD"/>
    <w:rsid w:val="00450182"/>
    <w:rsid w:val="00450CA2"/>
    <w:rsid w:val="00470DC2"/>
    <w:rsid w:val="00476C68"/>
    <w:rsid w:val="00484DCB"/>
    <w:rsid w:val="004856F6"/>
    <w:rsid w:val="004B104B"/>
    <w:rsid w:val="004B21BA"/>
    <w:rsid w:val="004B6B19"/>
    <w:rsid w:val="004B6EEA"/>
    <w:rsid w:val="004C7F1B"/>
    <w:rsid w:val="004D6FC6"/>
    <w:rsid w:val="004E6A41"/>
    <w:rsid w:val="004F5B11"/>
    <w:rsid w:val="004F6D0B"/>
    <w:rsid w:val="00500C97"/>
    <w:rsid w:val="00502847"/>
    <w:rsid w:val="00505BD4"/>
    <w:rsid w:val="00513B1A"/>
    <w:rsid w:val="00514392"/>
    <w:rsid w:val="005162A0"/>
    <w:rsid w:val="00521D79"/>
    <w:rsid w:val="00546A05"/>
    <w:rsid w:val="005514BD"/>
    <w:rsid w:val="00551C6A"/>
    <w:rsid w:val="00552AB9"/>
    <w:rsid w:val="00567153"/>
    <w:rsid w:val="005813F7"/>
    <w:rsid w:val="00581C5F"/>
    <w:rsid w:val="0058396B"/>
    <w:rsid w:val="0059056F"/>
    <w:rsid w:val="005959ED"/>
    <w:rsid w:val="005B1B6F"/>
    <w:rsid w:val="005F0E69"/>
    <w:rsid w:val="005F69B2"/>
    <w:rsid w:val="005F75AE"/>
    <w:rsid w:val="006018AE"/>
    <w:rsid w:val="00603B76"/>
    <w:rsid w:val="006040F3"/>
    <w:rsid w:val="00606C47"/>
    <w:rsid w:val="006374E5"/>
    <w:rsid w:val="00641142"/>
    <w:rsid w:val="00644416"/>
    <w:rsid w:val="006464D1"/>
    <w:rsid w:val="00652A67"/>
    <w:rsid w:val="0065347F"/>
    <w:rsid w:val="006733AD"/>
    <w:rsid w:val="00694929"/>
    <w:rsid w:val="006A08AE"/>
    <w:rsid w:val="006A3509"/>
    <w:rsid w:val="006A727B"/>
    <w:rsid w:val="006B4F91"/>
    <w:rsid w:val="006C1313"/>
    <w:rsid w:val="006D08EB"/>
    <w:rsid w:val="006E4C1E"/>
    <w:rsid w:val="006E79F4"/>
    <w:rsid w:val="006F5071"/>
    <w:rsid w:val="00705CDF"/>
    <w:rsid w:val="007073E1"/>
    <w:rsid w:val="00707F43"/>
    <w:rsid w:val="007228AC"/>
    <w:rsid w:val="00727D63"/>
    <w:rsid w:val="00736E29"/>
    <w:rsid w:val="007403BD"/>
    <w:rsid w:val="0077043A"/>
    <w:rsid w:val="007706C9"/>
    <w:rsid w:val="00773A92"/>
    <w:rsid w:val="00795D99"/>
    <w:rsid w:val="007A2548"/>
    <w:rsid w:val="007B4DF7"/>
    <w:rsid w:val="007C3CD6"/>
    <w:rsid w:val="007C66C8"/>
    <w:rsid w:val="007C6DBC"/>
    <w:rsid w:val="007C7537"/>
    <w:rsid w:val="007D107A"/>
    <w:rsid w:val="007E5536"/>
    <w:rsid w:val="007F4AED"/>
    <w:rsid w:val="007F57E3"/>
    <w:rsid w:val="0080146A"/>
    <w:rsid w:val="0080644B"/>
    <w:rsid w:val="00806C54"/>
    <w:rsid w:val="0081693F"/>
    <w:rsid w:val="00830FCB"/>
    <w:rsid w:val="0083681F"/>
    <w:rsid w:val="0083697E"/>
    <w:rsid w:val="00837D58"/>
    <w:rsid w:val="00862922"/>
    <w:rsid w:val="00866D40"/>
    <w:rsid w:val="00881EA6"/>
    <w:rsid w:val="00885D93"/>
    <w:rsid w:val="008958C0"/>
    <w:rsid w:val="008961DE"/>
    <w:rsid w:val="00896ABA"/>
    <w:rsid w:val="008A35FB"/>
    <w:rsid w:val="008A5472"/>
    <w:rsid w:val="008D52F0"/>
    <w:rsid w:val="008F07D3"/>
    <w:rsid w:val="009041DC"/>
    <w:rsid w:val="00905FE6"/>
    <w:rsid w:val="00906923"/>
    <w:rsid w:val="009137A3"/>
    <w:rsid w:val="009143C1"/>
    <w:rsid w:val="0092320C"/>
    <w:rsid w:val="009249F4"/>
    <w:rsid w:val="00925663"/>
    <w:rsid w:val="00960CD5"/>
    <w:rsid w:val="009642D9"/>
    <w:rsid w:val="009705B0"/>
    <w:rsid w:val="00973972"/>
    <w:rsid w:val="00973ADC"/>
    <w:rsid w:val="0098274C"/>
    <w:rsid w:val="00986EEB"/>
    <w:rsid w:val="009A6C25"/>
    <w:rsid w:val="009E55D7"/>
    <w:rsid w:val="009E6D2B"/>
    <w:rsid w:val="009F2D8A"/>
    <w:rsid w:val="00A13A83"/>
    <w:rsid w:val="00A1655F"/>
    <w:rsid w:val="00A32E10"/>
    <w:rsid w:val="00A54AFD"/>
    <w:rsid w:val="00A64723"/>
    <w:rsid w:val="00A65CEB"/>
    <w:rsid w:val="00A862C9"/>
    <w:rsid w:val="00AA0B20"/>
    <w:rsid w:val="00AB4EF9"/>
    <w:rsid w:val="00AB6B91"/>
    <w:rsid w:val="00AC38C1"/>
    <w:rsid w:val="00B14C54"/>
    <w:rsid w:val="00B15FDD"/>
    <w:rsid w:val="00B21C6A"/>
    <w:rsid w:val="00B22F54"/>
    <w:rsid w:val="00B42562"/>
    <w:rsid w:val="00B44838"/>
    <w:rsid w:val="00B47C8F"/>
    <w:rsid w:val="00B570F3"/>
    <w:rsid w:val="00BA3475"/>
    <w:rsid w:val="00BD1B81"/>
    <w:rsid w:val="00BE2763"/>
    <w:rsid w:val="00BE2A26"/>
    <w:rsid w:val="00BF4625"/>
    <w:rsid w:val="00C1376B"/>
    <w:rsid w:val="00C154C1"/>
    <w:rsid w:val="00C1707F"/>
    <w:rsid w:val="00C176CD"/>
    <w:rsid w:val="00C2168E"/>
    <w:rsid w:val="00C2655B"/>
    <w:rsid w:val="00C33663"/>
    <w:rsid w:val="00C456C0"/>
    <w:rsid w:val="00C52362"/>
    <w:rsid w:val="00C743CF"/>
    <w:rsid w:val="00C77EE8"/>
    <w:rsid w:val="00C8350C"/>
    <w:rsid w:val="00C85696"/>
    <w:rsid w:val="00C85970"/>
    <w:rsid w:val="00C9104B"/>
    <w:rsid w:val="00CA2C06"/>
    <w:rsid w:val="00CA7591"/>
    <w:rsid w:val="00CA76DE"/>
    <w:rsid w:val="00CB26AA"/>
    <w:rsid w:val="00CB5F9A"/>
    <w:rsid w:val="00CC6BAC"/>
    <w:rsid w:val="00CE5115"/>
    <w:rsid w:val="00CF3333"/>
    <w:rsid w:val="00CF40F6"/>
    <w:rsid w:val="00D02597"/>
    <w:rsid w:val="00D1461B"/>
    <w:rsid w:val="00D238C8"/>
    <w:rsid w:val="00D24DB0"/>
    <w:rsid w:val="00D347D7"/>
    <w:rsid w:val="00D53537"/>
    <w:rsid w:val="00D565D3"/>
    <w:rsid w:val="00D85CA0"/>
    <w:rsid w:val="00D87298"/>
    <w:rsid w:val="00D87ED5"/>
    <w:rsid w:val="00D92A5B"/>
    <w:rsid w:val="00D934B3"/>
    <w:rsid w:val="00DA2CDF"/>
    <w:rsid w:val="00DA4F25"/>
    <w:rsid w:val="00DB2890"/>
    <w:rsid w:val="00DB30AC"/>
    <w:rsid w:val="00DB59B4"/>
    <w:rsid w:val="00DD7614"/>
    <w:rsid w:val="00DE2EBA"/>
    <w:rsid w:val="00DF0831"/>
    <w:rsid w:val="00DF1B38"/>
    <w:rsid w:val="00DF3302"/>
    <w:rsid w:val="00E00336"/>
    <w:rsid w:val="00E11216"/>
    <w:rsid w:val="00E13007"/>
    <w:rsid w:val="00E162AE"/>
    <w:rsid w:val="00E2744C"/>
    <w:rsid w:val="00E45826"/>
    <w:rsid w:val="00E52B5F"/>
    <w:rsid w:val="00E5798E"/>
    <w:rsid w:val="00E61F57"/>
    <w:rsid w:val="00E70E7F"/>
    <w:rsid w:val="00E74112"/>
    <w:rsid w:val="00E74A56"/>
    <w:rsid w:val="00E77F94"/>
    <w:rsid w:val="00E96807"/>
    <w:rsid w:val="00EA0420"/>
    <w:rsid w:val="00EB13F0"/>
    <w:rsid w:val="00EB5C7D"/>
    <w:rsid w:val="00EC1D10"/>
    <w:rsid w:val="00EC60F8"/>
    <w:rsid w:val="00ED27EC"/>
    <w:rsid w:val="00EE2266"/>
    <w:rsid w:val="00EE3AC8"/>
    <w:rsid w:val="00EF4A37"/>
    <w:rsid w:val="00F0174C"/>
    <w:rsid w:val="00F02A45"/>
    <w:rsid w:val="00F06F31"/>
    <w:rsid w:val="00F075DF"/>
    <w:rsid w:val="00F10985"/>
    <w:rsid w:val="00F41C19"/>
    <w:rsid w:val="00F80B0F"/>
    <w:rsid w:val="00F80DBD"/>
    <w:rsid w:val="00F913F9"/>
    <w:rsid w:val="00F93DCB"/>
    <w:rsid w:val="00FB3BF4"/>
    <w:rsid w:val="00FC001C"/>
    <w:rsid w:val="00FC3D6B"/>
    <w:rsid w:val="00FC5018"/>
    <w:rsid w:val="00FC61B6"/>
    <w:rsid w:val="00FC6AE3"/>
    <w:rsid w:val="00FE2D31"/>
    <w:rsid w:val="00FE63B8"/>
    <w:rsid w:val="00FF05D5"/>
    <w:rsid w:val="00FF4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B544"/>
  <w15:docId w15:val="{579C5A7C-9577-496F-AAB4-25747C52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qFormat="1"/>
    <w:lsdException w:name="List Number" w:semiHidden="1" w:uiPriority="9"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 w:unhideWhenUsed="1" w:qFormat="1"/>
    <w:lsdException w:name="List Bullet 3" w:semiHidden="1" w:uiPriority="9" w:unhideWhenUsed="1" w:qFormat="1"/>
    <w:lsdException w:name="List Bullet 4" w:semiHidden="1" w:uiPriority="99" w:unhideWhenUsed="1"/>
    <w:lsdException w:name="List Bullet 5" w:semiHidden="1" w:uiPriority="99" w:unhideWhenUsed="1"/>
    <w:lsdException w:name="List Number 2" w:semiHidden="1" w:uiPriority="9" w:unhideWhenUsed="1" w:qFormat="1"/>
    <w:lsdException w:name="List Number 3" w:semiHidden="1" w:uiPriority="9" w:unhideWhenUsed="1" w:qFormat="1"/>
    <w:lsdException w:name="List Number 4" w:semiHidden="1" w:uiPriority="99" w:unhideWhenUsed="1"/>
    <w:lsdException w:name="List Number 5" w:semiHidden="1" w:uiPriority="99" w:unhideWhenUsed="1"/>
    <w:lsdException w:name="Title" w:qFormat="1"/>
    <w:lsdException w:name="Closing" w:semiHidden="1" w:uiPriority="69" w:unhideWhenUsed="1"/>
    <w:lsdException w:name="Signature" w:semiHidden="1" w:uiPriority="49" w:unhideWhenUsed="1"/>
    <w:lsdException w:name="Default Paragraph Font" w:semiHidden="1" w:unhideWhenUsed="1"/>
    <w:lsdException w:name="Body Text" w:semiHidden="1" w:uiPriority="69" w:unhideWhenUsed="1"/>
    <w:lsdException w:name="Body Text Indent" w:semiHidden="1" w:uiPriority="6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iPriority="99"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iPriority="99" w:unhideWhenUsed="1"/>
    <w:lsdException w:name="Hyperlink" w:semiHidden="1" w:uiPriority="99"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6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877"/>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6040F3"/>
    <w:pPr>
      <w:keepNext/>
      <w:pageBreakBefore/>
      <w:numPr>
        <w:numId w:val="25"/>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6040F3"/>
    <w:pPr>
      <w:pageBreakBefore w:val="0"/>
      <w:numPr>
        <w:ilvl w:val="1"/>
      </w:numPr>
      <w:outlineLvl w:val="1"/>
    </w:pPr>
    <w:rPr>
      <w:bCs w:val="0"/>
      <w:iCs/>
      <w:sz w:val="22"/>
      <w:szCs w:val="28"/>
    </w:rPr>
  </w:style>
  <w:style w:type="paragraph" w:styleId="Heading3">
    <w:name w:val="heading 3"/>
    <w:basedOn w:val="Heading1"/>
    <w:next w:val="Normal"/>
    <w:link w:val="Heading3Char"/>
    <w:qFormat/>
    <w:rsid w:val="006040F3"/>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6040F3"/>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6040F3"/>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6040F3"/>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6040F3"/>
    <w:pPr>
      <w:numPr>
        <w:ilvl w:val="6"/>
      </w:numPr>
      <w:outlineLvl w:val="6"/>
    </w:pPr>
  </w:style>
  <w:style w:type="paragraph" w:styleId="Heading8">
    <w:name w:val="heading 8"/>
    <w:basedOn w:val="Heading6"/>
    <w:next w:val="Normal"/>
    <w:link w:val="Heading8Char"/>
    <w:qFormat/>
    <w:rsid w:val="006040F3"/>
    <w:pPr>
      <w:numPr>
        <w:ilvl w:val="7"/>
      </w:numPr>
      <w:outlineLvl w:val="7"/>
    </w:pPr>
    <w:rPr>
      <w:iCs/>
    </w:rPr>
  </w:style>
  <w:style w:type="paragraph" w:styleId="Heading9">
    <w:name w:val="heading 9"/>
    <w:aliases w:val="-References"/>
    <w:basedOn w:val="Heading6"/>
    <w:next w:val="Normal"/>
    <w:link w:val="Heading9Char"/>
    <w:qFormat/>
    <w:rsid w:val="006040F3"/>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FF"/>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705CDF"/>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3B7CFF"/>
    <w:rPr>
      <w:rFonts w:ascii="Arial" w:eastAsia="MS Gothic" w:hAnsi="Arial" w:cs="Arial"/>
      <w:b/>
      <w:kern w:val="32"/>
      <w:szCs w:val="26"/>
      <w:lang w:val="en-US"/>
    </w:rPr>
  </w:style>
  <w:style w:type="character" w:customStyle="1" w:styleId="Heading4Char">
    <w:name w:val="Heading 4 Char"/>
    <w:basedOn w:val="DefaultParagraphFont"/>
    <w:link w:val="Heading4"/>
    <w:rsid w:val="003B7CFF"/>
    <w:rPr>
      <w:rFonts w:ascii="Arial" w:eastAsia="MS Gothic" w:hAnsi="Arial" w:cs="Arial"/>
      <w:b/>
      <w:i/>
      <w:kern w:val="32"/>
      <w:szCs w:val="28"/>
      <w:lang w:val="en-US"/>
    </w:rPr>
  </w:style>
  <w:style w:type="character" w:customStyle="1" w:styleId="Heading5Char">
    <w:name w:val="Heading 5 Char"/>
    <w:basedOn w:val="DefaultParagraphFont"/>
    <w:link w:val="Heading5"/>
    <w:rsid w:val="003B7CFF"/>
    <w:rPr>
      <w:rFonts w:ascii="Arial" w:eastAsia="MS Gothic" w:hAnsi="Arial" w:cs="Arial"/>
      <w:i/>
      <w:iCs/>
      <w:kern w:val="32"/>
      <w:szCs w:val="26"/>
      <w:lang w:val="en-US"/>
    </w:rPr>
  </w:style>
  <w:style w:type="character" w:customStyle="1" w:styleId="Heading6Char">
    <w:name w:val="Heading 6 Char"/>
    <w:basedOn w:val="DefaultParagraphFont"/>
    <w:link w:val="Heading6"/>
    <w:rsid w:val="003B7CFF"/>
    <w:rPr>
      <w:rFonts w:ascii="Arial" w:eastAsia="MS Gothic" w:hAnsi="Arial" w:cs="Arial"/>
      <w:kern w:val="32"/>
      <w:lang w:val="en-US"/>
    </w:rPr>
  </w:style>
  <w:style w:type="character" w:customStyle="1" w:styleId="Heading7Char">
    <w:name w:val="Heading 7 Char"/>
    <w:basedOn w:val="DefaultParagraphFont"/>
    <w:link w:val="Heading7"/>
    <w:rsid w:val="003B7CFF"/>
    <w:rPr>
      <w:rFonts w:ascii="Arial" w:eastAsia="MS Gothic" w:hAnsi="Arial" w:cs="Arial"/>
      <w:kern w:val="32"/>
      <w:lang w:val="en-US"/>
    </w:rPr>
  </w:style>
  <w:style w:type="character" w:customStyle="1" w:styleId="Heading8Char">
    <w:name w:val="Heading 8 Char"/>
    <w:basedOn w:val="DefaultParagraphFont"/>
    <w:link w:val="Heading8"/>
    <w:rsid w:val="003B7CFF"/>
    <w:rPr>
      <w:rFonts w:ascii="Arial" w:eastAsia="MS Gothic" w:hAnsi="Arial" w:cs="Arial"/>
      <w:iCs/>
      <w:kern w:val="32"/>
      <w:lang w:val="en-US"/>
    </w:rPr>
  </w:style>
  <w:style w:type="character" w:customStyle="1" w:styleId="Heading9Char">
    <w:name w:val="Heading 9 Char"/>
    <w:aliases w:val="-References Char"/>
    <w:basedOn w:val="DefaultParagraphFont"/>
    <w:link w:val="Heading9"/>
    <w:rsid w:val="003B7CFF"/>
    <w:rPr>
      <w:rFonts w:ascii="Arial" w:eastAsia="MS Gothic" w:hAnsi="Arial" w:cs="Arial"/>
      <w:kern w:val="32"/>
      <w:lang w:val="en-US"/>
    </w:rPr>
  </w:style>
  <w:style w:type="paragraph" w:styleId="ListParagraph">
    <w:name w:val="List Paragraph"/>
    <w:basedOn w:val="Normal"/>
    <w:uiPriority w:val="34"/>
    <w:rsid w:val="003B7CFF"/>
    <w:pPr>
      <w:contextualSpacing/>
    </w:pPr>
  </w:style>
  <w:style w:type="character" w:styleId="CommentReference">
    <w:name w:val="annotation reference"/>
    <w:aliases w:val="-H18"/>
    <w:uiPriority w:val="99"/>
    <w:qFormat/>
    <w:rsid w:val="003B7CFF"/>
    <w:rPr>
      <w:sz w:val="16"/>
      <w:szCs w:val="16"/>
    </w:rPr>
  </w:style>
  <w:style w:type="paragraph" w:styleId="CommentText">
    <w:name w:val="annotation text"/>
    <w:aliases w:val=" Car17, Car17 Car, Char Char Char, Char Char1,- H19,Annotationtext,Char,Char Char Char,Char Char1,Comment Text Char Char,Comment Text Char Char Char,Comment Text Char Char1,Comment Text Char1,Comment Text Char1 Char,Car17,Car17 Car, Car,Car"/>
    <w:basedOn w:val="Normal"/>
    <w:link w:val="CommentTextChar"/>
    <w:uiPriority w:val="99"/>
    <w:qFormat/>
    <w:rsid w:val="003B7CFF"/>
    <w:rPr>
      <w:sz w:val="20"/>
      <w:szCs w:val="20"/>
    </w:rPr>
  </w:style>
  <w:style w:type="character" w:customStyle="1" w:styleId="CommentTextChar">
    <w:name w:val="Comment Text Char"/>
    <w:aliases w:val=" Car17 Char, Car17 Car Char, Char Char Char Char, Char Char1 Char,- H19 Char,Annotationtext Char,Char Char,Char Char Char Char,Char Char1 Char,Comment Text Char Char Char1,Comment Text Char Char Char Char,Comment Text Char Char1 Char"/>
    <w:basedOn w:val="DefaultParagraphFont"/>
    <w:link w:val="CommentText"/>
    <w:uiPriority w:val="99"/>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rsid w:val="00157877"/>
    <w:pPr>
      <w:spacing w:before="20"/>
      <w:ind w:left="113" w:hanging="113"/>
    </w:pPr>
    <w:rPr>
      <w:sz w:val="22"/>
      <w:szCs w:val="20"/>
    </w:rPr>
  </w:style>
  <w:style w:type="character" w:customStyle="1" w:styleId="FootnoteTextChar">
    <w:name w:val="Footnote Text Char"/>
    <w:basedOn w:val="DefaultParagraphFont"/>
    <w:link w:val="FootnoteText"/>
    <w:rsid w:val="003B7CFF"/>
    <w:rPr>
      <w:rFonts w:ascii="Times New Roman" w:eastAsia="MS Mincho" w:hAnsi="Times New Roman" w:cs="Times New Roman"/>
      <w:color w:val="000000"/>
      <w:szCs w:val="20"/>
      <w:lang w:val="en-US"/>
    </w:rPr>
  </w:style>
  <w:style w:type="character" w:styleId="FootnoteReference">
    <w:name w:val="footnote reference"/>
    <w:rsid w:val="00157877"/>
    <w:rPr>
      <w:rFonts w:ascii="Times New Roman" w:eastAsia="MS Mincho" w:hAnsi="Times New Roman"/>
      <w:color w:val="0000FF"/>
      <w:sz w:val="18"/>
      <w:vertAlign w:val="superscript"/>
    </w:rPr>
  </w:style>
  <w:style w:type="paragraph" w:styleId="ListBullet">
    <w:name w:val="List Bullet"/>
    <w:basedOn w:val="Normal"/>
    <w:rsid w:val="00157877"/>
    <w:pPr>
      <w:numPr>
        <w:numId w:val="4"/>
      </w:numPr>
    </w:pPr>
  </w:style>
  <w:style w:type="character" w:styleId="Hyperlink">
    <w:name w:val="Hyperlink"/>
    <w:uiPriority w:val="99"/>
    <w:rsid w:val="00157877"/>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qFormat/>
    <w:rsid w:val="00157877"/>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3B7CFF"/>
    <w:rPr>
      <w:rFonts w:ascii="Arial" w:eastAsia="MS Gothic" w:hAnsi="Arial" w:cs="Times New Roman"/>
      <w:sz w:val="18"/>
      <w:szCs w:val="20"/>
      <w:lang w:val="en-US"/>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7"/>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8"/>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14"/>
      </w:numPr>
    </w:pPr>
  </w:style>
  <w:style w:type="numbering" w:styleId="1ai">
    <w:name w:val="Outline List 1"/>
    <w:basedOn w:val="NoList"/>
    <w:uiPriority w:val="99"/>
    <w:semiHidden/>
    <w:unhideWhenUsed/>
    <w:rsid w:val="003B7CFF"/>
    <w:pPr>
      <w:numPr>
        <w:numId w:val="15"/>
      </w:numPr>
    </w:pPr>
  </w:style>
  <w:style w:type="numbering" w:styleId="ArticleSection">
    <w:name w:val="Outline List 3"/>
    <w:basedOn w:val="NoList"/>
    <w:uiPriority w:val="99"/>
    <w:semiHidden/>
    <w:unhideWhenUsed/>
    <w:rsid w:val="003B7CFF"/>
    <w:pPr>
      <w:numPr>
        <w:numId w:val="16"/>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157877"/>
    <w:rPr>
      <w:vertAlign w:val="superscript"/>
    </w:rPr>
  </w:style>
  <w:style w:type="paragraph" w:styleId="EndnoteText">
    <w:name w:val="endnote text"/>
    <w:basedOn w:val="Normal"/>
    <w:link w:val="EndnoteTextChar"/>
    <w:uiPriority w:val="69"/>
    <w:semiHidden/>
    <w:rsid w:val="00157877"/>
    <w:rPr>
      <w:sz w:val="22"/>
      <w:szCs w:val="20"/>
    </w:rPr>
  </w:style>
  <w:style w:type="character" w:customStyle="1" w:styleId="EndnoteTextChar">
    <w:name w:val="Endnote Text Char"/>
    <w:basedOn w:val="DefaultParagraphFont"/>
    <w:link w:val="EndnoteText"/>
    <w:uiPriority w:val="69"/>
    <w:semiHidden/>
    <w:rsid w:val="003B7CFF"/>
    <w:rPr>
      <w:rFonts w:ascii="Times New Roman" w:eastAsia="MS Mincho" w:hAnsi="Times New Roman" w:cs="Times New Roman"/>
      <w:color w:val="000000"/>
      <w:szCs w:val="20"/>
      <w:lang w:val="en-US"/>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rsid w:val="00157877"/>
    <w:rPr>
      <w:color w:val="800080"/>
      <w:u w:val="single"/>
    </w:rPr>
  </w:style>
  <w:style w:type="paragraph" w:styleId="Header">
    <w:name w:val="header"/>
    <w:link w:val="HeaderChar"/>
    <w:rsid w:val="00157877"/>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rsid w:val="003B7CFF"/>
    <w:rPr>
      <w:rFonts w:ascii="Arial" w:eastAsia="MS Gothic" w:hAnsi="Arial" w:cs="Times New Roman"/>
      <w:sz w:val="18"/>
      <w:szCs w:val="20"/>
      <w:lang w:val="en-US"/>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link w:val="Heading4UnnumberedChar"/>
    <w:uiPriority w:val="5"/>
    <w:qFormat/>
    <w:rsid w:val="003B7CFF"/>
    <w:pPr>
      <w:numPr>
        <w:ilvl w:val="0"/>
        <w:numId w:val="0"/>
      </w:numPr>
      <w:tabs>
        <w:tab w:val="left" w:pos="1134"/>
      </w:tabs>
      <w:outlineLvl w:val="6"/>
    </w:pPr>
    <w:rPr>
      <w:i w:val="0"/>
    </w:rPr>
  </w:style>
  <w:style w:type="paragraph" w:styleId="Bibliography">
    <w:name w:val="Bibliography"/>
    <w:basedOn w:val="Normal"/>
    <w:next w:val="Normal"/>
    <w:rsid w:val="00157877"/>
    <w:pPr>
      <w:ind w:left="357" w:hanging="357"/>
    </w:pPr>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next w:val="Normal"/>
    <w:qFormat/>
    <w:rsid w:val="00157877"/>
    <w:pPr>
      <w:keepNext/>
      <w:spacing w:before="360" w:after="120" w:line="240" w:lineRule="auto"/>
      <w:jc w:val="center"/>
    </w:pPr>
    <w:rPr>
      <w:rFonts w:ascii="Arial" w:eastAsia="MS Gothic" w:hAnsi="Arial" w:cs="Arial"/>
      <w:b/>
      <w:bCs/>
      <w:sz w:val="20"/>
      <w:szCs w:val="20"/>
      <w:lang w:val="en-US"/>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semiHidden/>
    <w:rsid w:val="00157877"/>
    <w:pPr>
      <w:tabs>
        <w:tab w:val="left" w:pos="1701"/>
        <w:tab w:val="left" w:pos="3402"/>
        <w:tab w:val="left" w:pos="5103"/>
      </w:tabs>
      <w:spacing w:before="0"/>
      <w:ind w:left="1701" w:hanging="1701"/>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12"/>
      </w:numPr>
      <w:spacing w:before="60" w:after="60"/>
    </w:pPr>
  </w:style>
  <w:style w:type="paragraph" w:styleId="ListBullet3">
    <w:name w:val="List Bullet 3"/>
    <w:basedOn w:val="Normal"/>
    <w:uiPriority w:val="9"/>
    <w:qFormat/>
    <w:rsid w:val="003B7CFF"/>
    <w:pPr>
      <w:numPr>
        <w:ilvl w:val="2"/>
        <w:numId w:val="12"/>
      </w:numPr>
      <w:spacing w:before="60" w:after="60"/>
    </w:pPr>
  </w:style>
  <w:style w:type="paragraph" w:styleId="ListBullet4">
    <w:name w:val="List Bullet 4"/>
    <w:basedOn w:val="Normal"/>
    <w:uiPriority w:val="99"/>
    <w:semiHidden/>
    <w:rsid w:val="003B7CFF"/>
    <w:pPr>
      <w:numPr>
        <w:ilvl w:val="3"/>
        <w:numId w:val="12"/>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13"/>
      </w:numPr>
      <w:spacing w:before="40" w:after="40"/>
    </w:pPr>
    <w:rPr>
      <w:sz w:val="20"/>
      <w:szCs w:val="48"/>
    </w:rPr>
  </w:style>
  <w:style w:type="paragraph" w:customStyle="1" w:styleId="ListBulletSmall2">
    <w:name w:val="List Bullet Small 2"/>
    <w:basedOn w:val="ListBullet2"/>
    <w:uiPriority w:val="9"/>
    <w:qFormat/>
    <w:rsid w:val="003B7CFF"/>
    <w:pPr>
      <w:numPr>
        <w:numId w:val="13"/>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9"/>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7"/>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semiHidden/>
    <w:rsid w:val="001578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3B7CFF"/>
    <w:rPr>
      <w:rFonts w:ascii="Courier New" w:eastAsia="Times New Roman" w:hAnsi="Courier New" w:cs="Times New Roman"/>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rsid w:val="00157877"/>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11"/>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semiHidden/>
    <w:rsid w:val="00157877"/>
    <w:pPr>
      <w:spacing w:before="120"/>
    </w:pPr>
    <w:rPr>
      <w:rFonts w:ascii="Arial" w:hAnsi="Arial" w:cs="Arial"/>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link w:val="TableCenterChar"/>
    <w:uiPriority w:val="12"/>
    <w:qFormat/>
    <w:rsid w:val="00C85970"/>
    <w:pPr>
      <w:spacing w:before="40" w:after="40"/>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pPr>
    <w:rPr>
      <w:sz w:val="18"/>
      <w:szCs w:val="48"/>
    </w:rPr>
  </w:style>
  <w:style w:type="paragraph" w:customStyle="1" w:styleId="TableFootnoteLetter">
    <w:name w:val="Table Footnote Letter"/>
    <w:basedOn w:val="Normal"/>
    <w:uiPriority w:val="13"/>
    <w:rsid w:val="00DF3302"/>
    <w:pPr>
      <w:keepLines/>
      <w:numPr>
        <w:numId w:val="19"/>
      </w:numPr>
      <w:spacing w:before="40" w:after="40"/>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qFormat/>
    <w:rsid w:val="003B7CFF"/>
    <w:rPr>
      <w:b/>
      <w:szCs w:val="48"/>
    </w:rPr>
  </w:style>
  <w:style w:type="paragraph" w:customStyle="1" w:styleId="TableLeft">
    <w:name w:val="Table Left"/>
    <w:link w:val="TableLeftChar"/>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next w:val="Normal"/>
    <w:rsid w:val="00157877"/>
    <w:pPr>
      <w:tabs>
        <w:tab w:val="right" w:leader="dot" w:pos="9468"/>
      </w:tabs>
      <w:spacing w:before="120" w:after="0" w:line="240" w:lineRule="auto"/>
    </w:pPr>
    <w:rPr>
      <w:rFonts w:ascii="Arial" w:eastAsia="Times New Roman" w:hAnsi="Arial" w:cs="Times New Roman"/>
      <w:sz w:val="20"/>
      <w:szCs w:val="20"/>
      <w:lang w:val="en-US"/>
    </w:r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next w:val="Normal"/>
    <w:link w:val="TitleChar"/>
    <w:qFormat/>
    <w:rsid w:val="00157877"/>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3B7CFF"/>
    <w:rPr>
      <w:rFonts w:ascii="Arial" w:eastAsia="MS Gothic" w:hAnsi="Arial" w:cs="Arial"/>
      <w:b/>
      <w:bCs/>
      <w:caps/>
      <w:szCs w:val="32"/>
      <w:lang w:val="en-US"/>
    </w:rPr>
  </w:style>
  <w:style w:type="paragraph" w:styleId="TOC1">
    <w:name w:val="toc 1"/>
    <w:next w:val="Normal"/>
    <w:uiPriority w:val="39"/>
    <w:rsid w:val="00157877"/>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styleId="TOC2">
    <w:name w:val="toc 2"/>
    <w:basedOn w:val="TOC1"/>
    <w:next w:val="Normal"/>
    <w:rsid w:val="00157877"/>
    <w:rPr>
      <w:b w:val="0"/>
    </w:rPr>
  </w:style>
  <w:style w:type="paragraph" w:styleId="TOC3">
    <w:name w:val="toc 3"/>
    <w:basedOn w:val="TOC1"/>
    <w:next w:val="Normal"/>
    <w:rsid w:val="00157877"/>
    <w:pPr>
      <w:spacing w:before="120"/>
    </w:pPr>
    <w:rPr>
      <w:b w:val="0"/>
      <w:caps w:val="0"/>
    </w:rPr>
  </w:style>
  <w:style w:type="paragraph" w:styleId="TOC4">
    <w:name w:val="toc 4"/>
    <w:basedOn w:val="TOC1"/>
    <w:next w:val="Normal"/>
    <w:rsid w:val="00157877"/>
    <w:pPr>
      <w:spacing w:before="40"/>
    </w:pPr>
    <w:rPr>
      <w:b w:val="0"/>
      <w:caps w:val="0"/>
      <w:szCs w:val="22"/>
    </w:rPr>
  </w:style>
  <w:style w:type="paragraph" w:styleId="TOC5">
    <w:name w:val="toc 5"/>
    <w:basedOn w:val="TOC1"/>
    <w:next w:val="Normal"/>
    <w:rsid w:val="00157877"/>
    <w:pPr>
      <w:spacing w:before="0"/>
    </w:pPr>
    <w:rPr>
      <w:b w:val="0"/>
      <w:caps w:val="0"/>
    </w:rPr>
  </w:style>
  <w:style w:type="paragraph" w:styleId="TOC6">
    <w:name w:val="toc 6"/>
    <w:basedOn w:val="TOC1"/>
    <w:next w:val="Normal"/>
    <w:rsid w:val="00157877"/>
    <w:pPr>
      <w:spacing w:before="0"/>
    </w:pPr>
    <w:rPr>
      <w:b w:val="0"/>
      <w:caps w:val="0"/>
    </w:rPr>
  </w:style>
  <w:style w:type="paragraph" w:styleId="TOC7">
    <w:name w:val="toc 7"/>
    <w:basedOn w:val="TOC6"/>
    <w:next w:val="Normal"/>
    <w:rsid w:val="00157877"/>
  </w:style>
  <w:style w:type="paragraph" w:styleId="TOC8">
    <w:name w:val="toc 8"/>
    <w:basedOn w:val="TOC6"/>
    <w:next w:val="Normal"/>
    <w:rsid w:val="00157877"/>
  </w:style>
  <w:style w:type="paragraph" w:styleId="TOC9">
    <w:name w:val="toc 9"/>
    <w:basedOn w:val="TOC6"/>
    <w:next w:val="Normal"/>
    <w:rsid w:val="00157877"/>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val="0"/>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8"/>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pPr>
    <w:rPr>
      <w:sz w:val="20"/>
      <w:szCs w:val="20"/>
    </w:rPr>
  </w:style>
  <w:style w:type="paragraph" w:customStyle="1" w:styleId="Z-LineL2">
    <w:name w:val="Z-Line L 2"/>
    <w:basedOn w:val="Normal"/>
    <w:uiPriority w:val="42"/>
    <w:rsid w:val="003B7CFF"/>
    <w:pPr>
      <w:spacing w:before="60"/>
    </w:pPr>
    <w:rPr>
      <w:sz w:val="20"/>
      <w:szCs w:val="20"/>
    </w:rPr>
  </w:style>
  <w:style w:type="paragraph" w:customStyle="1" w:styleId="Z-LineL3">
    <w:name w:val="Z-Line L 3"/>
    <w:basedOn w:val="Normal"/>
    <w:uiPriority w:val="42"/>
    <w:rsid w:val="003B7CFF"/>
    <w:pPr>
      <w:spacing w:before="60"/>
    </w:pPr>
    <w:rPr>
      <w:sz w:val="20"/>
      <w:szCs w:val="20"/>
    </w:rPr>
  </w:style>
  <w:style w:type="paragraph" w:customStyle="1" w:styleId="Z-LineL4">
    <w:name w:val="Z-Line L 4"/>
    <w:basedOn w:val="Normal"/>
    <w:uiPriority w:val="42"/>
    <w:rsid w:val="003B7CFF"/>
    <w:pPr>
      <w:spacing w:before="60"/>
    </w:pPr>
    <w:rPr>
      <w:sz w:val="20"/>
      <w:szCs w:val="20"/>
    </w:rPr>
  </w:style>
  <w:style w:type="paragraph" w:customStyle="1" w:styleId="Z-LineR1">
    <w:name w:val="Z-Line R 1"/>
    <w:basedOn w:val="Normal"/>
    <w:uiPriority w:val="42"/>
    <w:rsid w:val="003B7CFF"/>
    <w:pPr>
      <w:spacing w:before="60"/>
    </w:pPr>
    <w:rPr>
      <w:sz w:val="20"/>
      <w:szCs w:val="20"/>
    </w:rPr>
  </w:style>
  <w:style w:type="paragraph" w:customStyle="1" w:styleId="Z-LineR2">
    <w:name w:val="Z-Line R 2"/>
    <w:basedOn w:val="Normal"/>
    <w:uiPriority w:val="42"/>
    <w:rsid w:val="003B7CFF"/>
    <w:pPr>
      <w:spacing w:before="60"/>
    </w:pPr>
    <w:rPr>
      <w:sz w:val="20"/>
      <w:szCs w:val="20"/>
    </w:rPr>
  </w:style>
  <w:style w:type="paragraph" w:customStyle="1" w:styleId="Z-LineR3">
    <w:name w:val="Z-Line R 3"/>
    <w:basedOn w:val="Normal"/>
    <w:uiPriority w:val="42"/>
    <w:rsid w:val="003B7CFF"/>
    <w:pPr>
      <w:spacing w:before="60"/>
    </w:pPr>
    <w:rPr>
      <w:sz w:val="20"/>
      <w:szCs w:val="20"/>
    </w:rPr>
  </w:style>
  <w:style w:type="paragraph" w:customStyle="1" w:styleId="Z-LineR4">
    <w:name w:val="Z-Line R 4"/>
    <w:basedOn w:val="Normal"/>
    <w:uiPriority w:val="42"/>
    <w:rsid w:val="003B7CFF"/>
    <w:pPr>
      <w:spacing w:after="60"/>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57877"/>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5Unnumbered">
    <w:name w:val="Heading 5 Unnumbered"/>
    <w:basedOn w:val="Heading4Unnumbered"/>
    <w:link w:val="Heading5UnnumberedChar"/>
    <w:uiPriority w:val="99"/>
    <w:qFormat/>
    <w:rsid w:val="000F63CB"/>
    <w:rPr>
      <w:b w:val="0"/>
    </w:rPr>
  </w:style>
  <w:style w:type="character" w:customStyle="1" w:styleId="Heading4UnnumberedChar">
    <w:name w:val="Heading 4 Unnumbered Char"/>
    <w:basedOn w:val="Heading4Char"/>
    <w:link w:val="Heading4Unnumbered"/>
    <w:uiPriority w:val="5"/>
    <w:rsid w:val="000F63CB"/>
    <w:rPr>
      <w:rFonts w:ascii="Times New Roman" w:eastAsia="Times New Roman" w:hAnsi="Times New Roman" w:cs="Times New Roman"/>
      <w:b/>
      <w:bCs w:val="0"/>
      <w:i w:val="0"/>
      <w:kern w:val="32"/>
      <w:sz w:val="24"/>
      <w:szCs w:val="28"/>
      <w:lang w:val="en-GB"/>
    </w:rPr>
  </w:style>
  <w:style w:type="character" w:customStyle="1" w:styleId="Heading5UnnumberedChar">
    <w:name w:val="Heading 5 Unnumbered Char"/>
    <w:basedOn w:val="Heading4UnnumberedChar"/>
    <w:link w:val="Heading5Unnumbered"/>
    <w:uiPriority w:val="99"/>
    <w:rsid w:val="000F63CB"/>
    <w:rPr>
      <w:rFonts w:ascii="Times New Roman" w:eastAsia="Times New Roman" w:hAnsi="Times New Roman" w:cs="Times New Roman"/>
      <w:b w:val="0"/>
      <w:bCs w:val="0"/>
      <w:i w:val="0"/>
      <w:kern w:val="32"/>
      <w:sz w:val="24"/>
      <w:szCs w:val="28"/>
      <w:lang w:val="en-GB"/>
    </w:rPr>
  </w:style>
  <w:style w:type="paragraph" w:styleId="Revision">
    <w:name w:val="Revision"/>
    <w:hidden/>
    <w:uiPriority w:val="99"/>
    <w:semiHidden/>
    <w:rsid w:val="00514392"/>
    <w:pPr>
      <w:spacing w:after="0" w:line="240" w:lineRule="auto"/>
    </w:pPr>
    <w:rPr>
      <w:rFonts w:ascii="Times New Roman" w:eastAsia="Times New Roman" w:hAnsi="Times New Roman" w:cs="Times New Roman"/>
      <w:sz w:val="24"/>
      <w:szCs w:val="24"/>
      <w:lang w:val="en-GB"/>
    </w:rPr>
  </w:style>
  <w:style w:type="paragraph" w:customStyle="1" w:styleId="Heading1NoTOC0">
    <w:name w:val="Heading 1 NoTOC"/>
    <w:basedOn w:val="Heading1"/>
    <w:rsid w:val="00157877"/>
    <w:pPr>
      <w:numPr>
        <w:numId w:val="0"/>
      </w:numPr>
      <w:outlineLvl w:val="9"/>
    </w:pPr>
  </w:style>
  <w:style w:type="paragraph" w:customStyle="1" w:styleId="TitleNoToc">
    <w:name w:val="Title NoToc"/>
    <w:basedOn w:val="Title"/>
    <w:next w:val="Normal"/>
    <w:rsid w:val="00157877"/>
    <w:pPr>
      <w:outlineLvl w:val="9"/>
    </w:pPr>
  </w:style>
  <w:style w:type="character" w:customStyle="1" w:styleId="InstructionsTextChar">
    <w:name w:val="Instructions Text Char"/>
    <w:link w:val="InstructionsText"/>
    <w:rsid w:val="00157877"/>
    <w:rPr>
      <w:rFonts w:eastAsia="MS Mincho"/>
      <w:color w:val="000000"/>
      <w:sz w:val="24"/>
      <w:szCs w:val="24"/>
      <w:shd w:val="clear" w:color="auto" w:fill="FFCC66"/>
    </w:rPr>
  </w:style>
  <w:style w:type="paragraph" w:customStyle="1" w:styleId="ListNumbered">
    <w:name w:val="List Numbered"/>
    <w:basedOn w:val="Normal"/>
    <w:rsid w:val="00157877"/>
    <w:pPr>
      <w:numPr>
        <w:numId w:val="2"/>
      </w:numPr>
      <w:spacing w:before="120"/>
    </w:pPr>
  </w:style>
  <w:style w:type="paragraph" w:customStyle="1" w:styleId="ListBulletLevel1">
    <w:name w:val="List Bullet Level 1"/>
    <w:basedOn w:val="Normal"/>
    <w:rsid w:val="00157877"/>
    <w:pPr>
      <w:numPr>
        <w:numId w:val="10"/>
      </w:numPr>
      <w:spacing w:before="120"/>
    </w:pPr>
  </w:style>
  <w:style w:type="paragraph" w:customStyle="1" w:styleId="ListAlphabeticalLevel1">
    <w:name w:val="List Alphabetical Level 1"/>
    <w:basedOn w:val="Normal"/>
    <w:rsid w:val="00157877"/>
    <w:pPr>
      <w:numPr>
        <w:numId w:val="1"/>
      </w:numPr>
      <w:spacing w:before="120"/>
    </w:pPr>
  </w:style>
  <w:style w:type="paragraph" w:customStyle="1" w:styleId="ListBulletLevel2">
    <w:name w:val="List Bullet Level 2"/>
    <w:basedOn w:val="Normal"/>
    <w:rsid w:val="00157877"/>
    <w:pPr>
      <w:numPr>
        <w:numId w:val="5"/>
      </w:numPr>
      <w:spacing w:before="120"/>
    </w:pPr>
    <w:rPr>
      <w:szCs w:val="20"/>
    </w:rPr>
  </w:style>
  <w:style w:type="paragraph" w:customStyle="1" w:styleId="InstructionsText">
    <w:name w:val="Instructions Text"/>
    <w:basedOn w:val="Normal"/>
    <w:next w:val="Normal"/>
    <w:link w:val="InstructionsTextChar"/>
    <w:rsid w:val="00157877"/>
    <w:pPr>
      <w:shd w:val="clear" w:color="auto" w:fill="FFCC66"/>
      <w:spacing w:before="40" w:after="40"/>
    </w:pPr>
    <w:rPr>
      <w:rFonts w:asciiTheme="minorHAnsi" w:hAnsiTheme="minorHAnsi" w:cstheme="minorBidi"/>
      <w:lang w:val="en-AU"/>
    </w:rPr>
  </w:style>
  <w:style w:type="paragraph" w:customStyle="1" w:styleId="Heading1NoNumbering">
    <w:name w:val="Heading 1 NoNumbering"/>
    <w:basedOn w:val="Heading1"/>
    <w:next w:val="Normal"/>
    <w:rsid w:val="00157877"/>
    <w:pPr>
      <w:numPr>
        <w:numId w:val="0"/>
      </w:numPr>
      <w:tabs>
        <w:tab w:val="num" w:pos="720"/>
      </w:tabs>
      <w:ind w:left="720" w:hanging="360"/>
    </w:pPr>
  </w:style>
  <w:style w:type="paragraph" w:customStyle="1" w:styleId="TblTextCenter">
    <w:name w:val="Tbl Text Center"/>
    <w:basedOn w:val="TblTextLeft"/>
    <w:rsid w:val="00157877"/>
    <w:pPr>
      <w:jc w:val="center"/>
    </w:pPr>
  </w:style>
  <w:style w:type="paragraph" w:customStyle="1" w:styleId="TblTextLeft">
    <w:name w:val="Tbl Text Left"/>
    <w:rsid w:val="00157877"/>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157877"/>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157877"/>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157877"/>
    <w:pPr>
      <w:jc w:val="center"/>
    </w:pPr>
  </w:style>
  <w:style w:type="paragraph" w:customStyle="1" w:styleId="HeaderLandscape">
    <w:name w:val="Header Landscape"/>
    <w:basedOn w:val="Header"/>
    <w:rsid w:val="00157877"/>
    <w:pPr>
      <w:tabs>
        <w:tab w:val="clear" w:pos="4536"/>
        <w:tab w:val="clear" w:pos="9480"/>
        <w:tab w:val="left" w:pos="6804"/>
        <w:tab w:val="right" w:pos="14118"/>
      </w:tabs>
    </w:pPr>
  </w:style>
  <w:style w:type="paragraph" w:customStyle="1" w:styleId="FooterLandscape">
    <w:name w:val="Footer Landscape"/>
    <w:basedOn w:val="Footer"/>
    <w:rsid w:val="00157877"/>
    <w:pPr>
      <w:tabs>
        <w:tab w:val="clear" w:pos="9469"/>
        <w:tab w:val="right" w:pos="14118"/>
      </w:tabs>
    </w:pPr>
  </w:style>
  <w:style w:type="character" w:customStyle="1" w:styleId="TblFigFootnoteReference">
    <w:name w:val="Tbl Fig Footnote Reference"/>
    <w:rsid w:val="00157877"/>
    <w:rPr>
      <w:rFonts w:ascii="Arial Narrow" w:eastAsia="MS Gothic" w:hAnsi="Arial Narrow"/>
      <w:i/>
      <w:dstrike w:val="0"/>
      <w:noProof w:val="0"/>
      <w:position w:val="6"/>
      <w:sz w:val="18"/>
      <w:vertAlign w:val="baseline"/>
      <w:lang w:val="en-US"/>
    </w:rPr>
  </w:style>
  <w:style w:type="paragraph" w:customStyle="1" w:styleId="xCover">
    <w:name w:val="xCover"/>
    <w:rsid w:val="00157877"/>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157877"/>
    <w:pPr>
      <w:spacing w:before="0"/>
    </w:pPr>
  </w:style>
  <w:style w:type="paragraph" w:customStyle="1" w:styleId="xCoverDocType">
    <w:name w:val="xCoverDocType"/>
    <w:basedOn w:val="xCover"/>
    <w:rsid w:val="00157877"/>
    <w:pPr>
      <w:spacing w:before="360"/>
      <w:jc w:val="center"/>
      <w:outlineLvl w:val="0"/>
    </w:pPr>
    <w:rPr>
      <w:b/>
      <w:caps/>
      <w:sz w:val="28"/>
    </w:rPr>
  </w:style>
  <w:style w:type="paragraph" w:customStyle="1" w:styleId="xCoverDocTitle">
    <w:name w:val="xCoverDocTitle"/>
    <w:basedOn w:val="xCover"/>
    <w:rsid w:val="00157877"/>
    <w:pPr>
      <w:spacing w:before="240"/>
      <w:jc w:val="center"/>
    </w:pPr>
    <w:rPr>
      <w:b/>
      <w:sz w:val="24"/>
    </w:rPr>
  </w:style>
  <w:style w:type="character" w:customStyle="1" w:styleId="ReplaceText">
    <w:name w:val="Replace Text"/>
    <w:rsid w:val="00157877"/>
    <w:rPr>
      <w:color w:val="FF00FF"/>
    </w:rPr>
  </w:style>
  <w:style w:type="paragraph" w:customStyle="1" w:styleId="ListAlphabeticalLevel2">
    <w:name w:val="List Alphabetical Level 2"/>
    <w:basedOn w:val="ListNumbered"/>
    <w:rsid w:val="00157877"/>
    <w:pPr>
      <w:numPr>
        <w:numId w:val="3"/>
      </w:numPr>
    </w:pPr>
  </w:style>
  <w:style w:type="character" w:customStyle="1" w:styleId="Reference">
    <w:name w:val="Reference"/>
    <w:rsid w:val="00157877"/>
    <w:rPr>
      <w:color w:val="0000FF"/>
    </w:rPr>
  </w:style>
  <w:style w:type="paragraph" w:customStyle="1" w:styleId="TblTextbulletedlist">
    <w:name w:val="Tbl Text bulleted list"/>
    <w:basedOn w:val="TblTextLeft"/>
    <w:rsid w:val="00157877"/>
    <w:pPr>
      <w:numPr>
        <w:numId w:val="6"/>
      </w:numPr>
      <w:tabs>
        <w:tab w:val="left" w:pos="216"/>
      </w:tabs>
      <w:spacing w:before="0" w:after="0"/>
      <w:ind w:left="216" w:hanging="216"/>
    </w:pPr>
  </w:style>
  <w:style w:type="character" w:customStyle="1" w:styleId="TblFigFootnoteChar">
    <w:name w:val="Tbl Fig Footnote Char"/>
    <w:rsid w:val="00157877"/>
    <w:rPr>
      <w:rFonts w:ascii="Arial Narrow" w:eastAsia="MS Gothic" w:hAnsi="Arial Narrow"/>
      <w:sz w:val="18"/>
      <w:lang w:val="en-US" w:eastAsia="en-US" w:bidi="ar-SA"/>
    </w:rPr>
  </w:style>
  <w:style w:type="character" w:customStyle="1" w:styleId="TableCenterChar">
    <w:name w:val="Table Center Char"/>
    <w:link w:val="TableCenter"/>
    <w:uiPriority w:val="12"/>
    <w:qFormat/>
    <w:locked/>
    <w:rsid w:val="00EB13F0"/>
    <w:rPr>
      <w:rFonts w:ascii="Times New Roman" w:eastAsia="MS Mincho" w:hAnsi="Times New Roman" w:cs="Times New Roman"/>
      <w:color w:val="000000"/>
      <w:sz w:val="20"/>
      <w:szCs w:val="24"/>
      <w:lang w:val="en-US"/>
    </w:rPr>
  </w:style>
  <w:style w:type="character" w:customStyle="1" w:styleId="TableLeftChar">
    <w:name w:val="Table Left Char"/>
    <w:link w:val="TableLeft"/>
    <w:uiPriority w:val="12"/>
    <w:locked/>
    <w:rsid w:val="00EB13F0"/>
    <w:rPr>
      <w:rFonts w:ascii="Times New Roman" w:eastAsia="Times New Roman" w:hAnsi="Times New Roman" w:cs="Arial"/>
      <w:bCs/>
      <w:kern w:val="32"/>
      <w:sz w:val="20"/>
      <w:szCs w:val="24"/>
      <w:lang w:val="en-GB"/>
    </w:rPr>
  </w:style>
  <w:style w:type="paragraph" w:customStyle="1" w:styleId="A-TableTitle">
    <w:name w:val="A-Table Title"/>
    <w:basedOn w:val="Normal"/>
    <w:qFormat/>
    <w:rsid w:val="00EB13F0"/>
    <w:pPr>
      <w:keepNext/>
      <w:keepLines/>
      <w:tabs>
        <w:tab w:val="left" w:pos="1701"/>
      </w:tabs>
      <w:spacing w:before="0"/>
      <w:ind w:left="1699" w:hanging="1699"/>
    </w:pPr>
    <w:rPr>
      <w:rFonts w:ascii="Arial" w:eastAsia="Times New Roman" w:hAnsi="Arial"/>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6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6792</Words>
  <Characters>37019</Characters>
  <Application>Microsoft Office Word</Application>
  <DocSecurity>0</DocSecurity>
  <Lines>902</Lines>
  <Paragraphs>576</Paragraphs>
  <ScaleCrop>false</ScaleCrop>
  <HeadingPairs>
    <vt:vector size="2" baseType="variant">
      <vt:variant>
        <vt:lpstr>Title</vt:lpstr>
      </vt:variant>
      <vt:variant>
        <vt:i4>1</vt:i4>
      </vt:variant>
    </vt:vector>
  </HeadingPairs>
  <TitlesOfParts>
    <vt:vector size="1" baseType="lpstr">
      <vt:lpstr>Attachment Product information for Beyfortus</vt:lpstr>
    </vt:vector>
  </TitlesOfParts>
  <Company>Department of Health and Aged Care</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Beyfortus</dc:title>
  <dc:creator>Therapeutic Goods Administration</dc:creator>
  <cp:lastModifiedBy>MCMAHON, Emily</cp:lastModifiedBy>
  <cp:revision>2</cp:revision>
  <cp:lastPrinted>2017-11-13T05:13:00Z</cp:lastPrinted>
  <dcterms:created xsi:type="dcterms:W3CDTF">2024-04-23T02:52:00Z</dcterms:created>
  <dcterms:modified xsi:type="dcterms:W3CDTF">2024-04-23T02:52:00Z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Document Type">
    <vt:lpwstr>Type of Document</vt:lpwstr>
  </property>
  <property fmtid="{D5CDD505-2E9C-101B-9397-08002B2CF9AE}" pid="13" name="INN">
    <vt:lpwstr>INN</vt:lpwstr>
  </property>
  <property fmtid="{D5CDD505-2E9C-101B-9397-08002B2CF9AE}" pid="14" name="Date">
    <vt:lpwstr>Date</vt:lpwstr>
  </property>
  <property fmtid="{D5CDD505-2E9C-101B-9397-08002B2CF9AE}" pid="15" name="Product Code">
    <vt:lpwstr>Product Code / Study Number</vt:lpwstr>
  </property>
  <property fmtid="{D5CDD505-2E9C-101B-9397-08002B2CF9AE}" pid="16" name="LastRefNum">
    <vt:i4>0</vt:i4>
  </property>
  <property fmtid="{D5CDD505-2E9C-101B-9397-08002B2CF9AE}" pid="17" name="https">
    <vt:lpwstr>1</vt:lpwstr>
  </property>
  <property fmtid="{D5CDD505-2E9C-101B-9397-08002B2CF9AE}" pid="18" name="Custom1">
    <vt:lpwstr/>
  </property>
  <property fmtid="{D5CDD505-2E9C-101B-9397-08002B2CF9AE}" pid="19" name="Custom2">
    <vt:lpwstr/>
  </property>
  <property fmtid="{D5CDD505-2E9C-101B-9397-08002B2CF9AE}" pid="20" name="Custom3">
    <vt:lpwstr/>
  </property>
  <property fmtid="{D5CDD505-2E9C-101B-9397-08002B2CF9AE}" pid="21" name="Custom4">
    <vt:lpwstr/>
  </property>
  <property fmtid="{D5CDD505-2E9C-101B-9397-08002B2CF9AE}" pid="22" name="MSIP_Label_d9088468-0951-4aef-9cc3-0a346e475ddc_Enabled">
    <vt:lpwstr>true</vt:lpwstr>
  </property>
  <property fmtid="{D5CDD505-2E9C-101B-9397-08002B2CF9AE}" pid="23" name="MSIP_Label_d9088468-0951-4aef-9cc3-0a346e475ddc_SetDate">
    <vt:lpwstr>2023-09-06T22:55:22Z</vt:lpwstr>
  </property>
  <property fmtid="{D5CDD505-2E9C-101B-9397-08002B2CF9AE}" pid="24" name="MSIP_Label_d9088468-0951-4aef-9cc3-0a346e475ddc_Method">
    <vt:lpwstr>Privileged</vt:lpwstr>
  </property>
  <property fmtid="{D5CDD505-2E9C-101B-9397-08002B2CF9AE}" pid="25" name="MSIP_Label_d9088468-0951-4aef-9cc3-0a346e475ddc_Name">
    <vt:lpwstr>Public</vt:lpwstr>
  </property>
  <property fmtid="{D5CDD505-2E9C-101B-9397-08002B2CF9AE}" pid="26" name="MSIP_Label_d9088468-0951-4aef-9cc3-0a346e475ddc_SiteId">
    <vt:lpwstr>aca3c8d6-aa71-4e1a-a10e-03572fc58c0b</vt:lpwstr>
  </property>
  <property fmtid="{D5CDD505-2E9C-101B-9397-08002B2CF9AE}" pid="27" name="MSIP_Label_d9088468-0951-4aef-9cc3-0a346e475ddc_ActionId">
    <vt:lpwstr>a5665986-ca0a-4cce-8e11-9bb5c5778e18</vt:lpwstr>
  </property>
  <property fmtid="{D5CDD505-2E9C-101B-9397-08002B2CF9AE}" pid="28" name="MSIP_Label_d9088468-0951-4aef-9cc3-0a346e475ddc_ContentBits">
    <vt:lpwstr>0</vt:lpwstr>
  </property>
</Properties>
</file>