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058"/>
        <w:gridCol w:w="4491"/>
      </w:tblGrid>
      <w:tr w:rsidR="00D3276C" w:rsidRPr="0002029A" w14:paraId="3C9AA600" w14:textId="77777777" w:rsidTr="00D3276C">
        <w:trPr>
          <w:trHeight w:val="1408"/>
        </w:trPr>
        <w:tc>
          <w:tcPr>
            <w:tcW w:w="5058" w:type="dxa"/>
            <w:shd w:val="clear" w:color="auto" w:fill="B8CCEA"/>
          </w:tcPr>
          <w:p w14:paraId="2BA80969" w14:textId="77777777" w:rsidR="00D3276C" w:rsidRPr="0002029A" w:rsidRDefault="00D3276C" w:rsidP="006D7E16">
            <w:pPr>
              <w:pStyle w:val="LegalCopy"/>
              <w:spacing w:before="240"/>
              <w:rPr>
                <w:rFonts w:asciiTheme="majorHAnsi" w:hAnsiTheme="majorHAnsi"/>
                <w:lang w:val="en-AU"/>
              </w:rPr>
            </w:pPr>
            <w:r w:rsidRPr="0002029A">
              <w:rPr>
                <w:rFonts w:asciiTheme="majorHAnsi" w:hAnsiTheme="majorHAnsi"/>
                <w:noProof/>
                <w:lang w:eastAsia="en-AU"/>
              </w:rPr>
              <w:drawing>
                <wp:anchor distT="0" distB="0" distL="114300" distR="114300" simplePos="0" relativeHeight="251658240" behindDoc="0" locked="0" layoutInCell="1" allowOverlap="1" wp14:anchorId="53DE8602" wp14:editId="1AC7E2BB">
                  <wp:simplePos x="0" y="0"/>
                  <wp:positionH relativeFrom="column">
                    <wp:posOffset>79375</wp:posOffset>
                  </wp:positionH>
                  <wp:positionV relativeFrom="paragraph">
                    <wp:posOffset>95885</wp:posOffset>
                  </wp:positionV>
                  <wp:extent cx="2819400" cy="6553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19400" cy="655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91" w:type="dxa"/>
            <w:vAlign w:val="center"/>
          </w:tcPr>
          <w:p w14:paraId="687DC926" w14:textId="2A6359CD" w:rsidR="00D3276C" w:rsidRPr="0002029A" w:rsidRDefault="00D3276C" w:rsidP="00D3276C">
            <w:pPr>
              <w:pStyle w:val="LegalCopy"/>
              <w:spacing w:before="240"/>
              <w:jc w:val="center"/>
              <w:rPr>
                <w:rFonts w:asciiTheme="majorHAnsi" w:hAnsiTheme="majorHAnsi"/>
                <w:b/>
                <w:lang w:val="en-AU"/>
              </w:rPr>
            </w:pPr>
          </w:p>
        </w:tc>
      </w:tr>
    </w:tbl>
    <w:p w14:paraId="7078D243" w14:textId="65B02ED9" w:rsidR="00DC7445" w:rsidRPr="009A2501" w:rsidRDefault="00CC6C84" w:rsidP="00221E5B">
      <w:pPr>
        <w:pStyle w:val="Heading1"/>
      </w:pPr>
      <w:r>
        <w:t>St</w:t>
      </w:r>
      <w:r w:rsidR="00F51A28">
        <w:t xml:space="preserve">andards for </w:t>
      </w:r>
      <w:r w:rsidR="00B062AD">
        <w:t xml:space="preserve">therapeutic </w:t>
      </w:r>
      <w:r w:rsidR="0032479F">
        <w:t>vaping device</w:t>
      </w:r>
      <w:r w:rsidR="00F51A28">
        <w:t>s</w:t>
      </w:r>
    </w:p>
    <w:p w14:paraId="510AC754" w14:textId="196408DC" w:rsidR="00ED479E" w:rsidRPr="00181817" w:rsidDel="008D624F" w:rsidRDefault="3AB98A87" w:rsidP="0286D267">
      <w:pPr>
        <w:pStyle w:val="NormalWeb"/>
        <w:spacing w:before="0" w:beforeAutospacing="0" w:after="0" w:afterAutospacing="0"/>
        <w:rPr>
          <w:rFonts w:asciiTheme="majorHAnsi" w:hAnsiTheme="majorHAnsi" w:cstheme="majorHAnsi"/>
          <w:sz w:val="22"/>
          <w:szCs w:val="22"/>
        </w:rPr>
      </w:pPr>
      <w:r w:rsidRPr="00181817">
        <w:rPr>
          <w:rFonts w:asciiTheme="majorHAnsi" w:eastAsia="Cambria" w:hAnsiTheme="majorHAnsi" w:cstheme="majorHAnsi"/>
          <w:color w:val="333F48"/>
          <w:sz w:val="22"/>
          <w:szCs w:val="22"/>
          <w:lang w:eastAsia="en-US"/>
        </w:rPr>
        <w:t>I</w:t>
      </w:r>
      <w:r w:rsidR="005A2F77" w:rsidRPr="00181817">
        <w:rPr>
          <w:rFonts w:asciiTheme="majorHAnsi" w:eastAsia="Cambria" w:hAnsiTheme="majorHAnsi" w:cstheme="majorHAnsi"/>
          <w:color w:val="333F48"/>
          <w:sz w:val="22"/>
          <w:szCs w:val="22"/>
          <w:lang w:eastAsia="en-US"/>
        </w:rPr>
        <w:t xml:space="preserve">f you are a sponsor intending to </w:t>
      </w:r>
      <w:r w:rsidR="00393A73" w:rsidRPr="00181817">
        <w:rPr>
          <w:rFonts w:asciiTheme="majorHAnsi" w:eastAsia="Cambria" w:hAnsiTheme="majorHAnsi" w:cstheme="majorHAnsi"/>
          <w:color w:val="333F48"/>
          <w:sz w:val="22"/>
          <w:szCs w:val="22"/>
          <w:lang w:eastAsia="en-US"/>
        </w:rPr>
        <w:t xml:space="preserve">supply </w:t>
      </w:r>
      <w:r w:rsidR="00461BC3" w:rsidRPr="00181817">
        <w:rPr>
          <w:rFonts w:asciiTheme="majorHAnsi" w:eastAsia="Cambria" w:hAnsiTheme="majorHAnsi" w:cstheme="majorHAnsi"/>
          <w:color w:val="333F48"/>
          <w:sz w:val="22"/>
          <w:szCs w:val="22"/>
          <w:lang w:eastAsia="en-US"/>
        </w:rPr>
        <w:t>a</w:t>
      </w:r>
      <w:r w:rsidR="000B7269" w:rsidRPr="00181817">
        <w:rPr>
          <w:rFonts w:asciiTheme="majorHAnsi" w:eastAsia="Cambria" w:hAnsiTheme="majorHAnsi" w:cstheme="majorHAnsi"/>
          <w:color w:val="333F48"/>
          <w:sz w:val="22"/>
          <w:szCs w:val="22"/>
          <w:lang w:eastAsia="en-US"/>
        </w:rPr>
        <w:t xml:space="preserve"> </w:t>
      </w:r>
      <w:r w:rsidR="7C3B2DAD" w:rsidRPr="00181817">
        <w:rPr>
          <w:rFonts w:asciiTheme="majorHAnsi" w:eastAsia="Cambria" w:hAnsiTheme="majorHAnsi" w:cstheme="majorHAnsi"/>
          <w:color w:val="333F48"/>
          <w:sz w:val="22"/>
          <w:szCs w:val="22"/>
          <w:lang w:eastAsia="en-US"/>
        </w:rPr>
        <w:t xml:space="preserve">therapeutic </w:t>
      </w:r>
      <w:r w:rsidR="000B7269" w:rsidRPr="00181817">
        <w:rPr>
          <w:rFonts w:asciiTheme="majorHAnsi" w:eastAsia="Cambria" w:hAnsiTheme="majorHAnsi" w:cstheme="majorHAnsi"/>
          <w:color w:val="333F48"/>
          <w:sz w:val="22"/>
          <w:szCs w:val="22"/>
          <w:lang w:eastAsia="en-US"/>
        </w:rPr>
        <w:t>vaping device</w:t>
      </w:r>
      <w:r w:rsidR="000153D9" w:rsidRPr="00181817">
        <w:rPr>
          <w:rFonts w:asciiTheme="majorHAnsi" w:eastAsia="Cambria" w:hAnsiTheme="majorHAnsi" w:cstheme="majorHAnsi"/>
          <w:color w:val="333F48"/>
          <w:sz w:val="22"/>
          <w:szCs w:val="22"/>
          <w:lang w:eastAsia="en-US"/>
        </w:rPr>
        <w:t>,</w:t>
      </w:r>
      <w:r w:rsidR="0B48F61B" w:rsidRPr="00181817">
        <w:rPr>
          <w:rFonts w:asciiTheme="majorHAnsi" w:eastAsia="Cambria" w:hAnsiTheme="majorHAnsi" w:cstheme="majorHAnsi"/>
          <w:color w:val="333F48"/>
          <w:sz w:val="22"/>
          <w:szCs w:val="22"/>
          <w:lang w:eastAsia="en-US"/>
        </w:rPr>
        <w:t xml:space="preserve"> </w:t>
      </w:r>
      <w:r w:rsidR="32CF6980" w:rsidRPr="00181817">
        <w:rPr>
          <w:rFonts w:asciiTheme="majorHAnsi" w:eastAsia="Cambria" w:hAnsiTheme="majorHAnsi" w:cstheme="majorHAnsi"/>
          <w:color w:val="333F48"/>
          <w:sz w:val="22"/>
          <w:szCs w:val="22"/>
          <w:lang w:eastAsia="en-US"/>
        </w:rPr>
        <w:t xml:space="preserve">you can seek TGA approval </w:t>
      </w:r>
      <w:r w:rsidR="1E747C0E" w:rsidRPr="00181817">
        <w:rPr>
          <w:rFonts w:asciiTheme="majorHAnsi" w:eastAsia="Cambria" w:hAnsiTheme="majorHAnsi" w:cstheme="majorHAnsi"/>
          <w:color w:val="333F48"/>
          <w:sz w:val="22"/>
          <w:szCs w:val="22"/>
          <w:lang w:eastAsia="en-US"/>
        </w:rPr>
        <w:t xml:space="preserve">by </w:t>
      </w:r>
      <w:r w:rsidR="32CF6980" w:rsidRPr="00181817">
        <w:rPr>
          <w:rFonts w:asciiTheme="majorHAnsi" w:eastAsia="Cambria" w:hAnsiTheme="majorHAnsi" w:cstheme="majorHAnsi"/>
          <w:color w:val="333F48"/>
          <w:sz w:val="22"/>
          <w:szCs w:val="22"/>
          <w:lang w:eastAsia="en-US"/>
        </w:rPr>
        <w:t xml:space="preserve">including </w:t>
      </w:r>
      <w:r w:rsidR="7232B6C4" w:rsidRPr="00181817">
        <w:rPr>
          <w:rFonts w:asciiTheme="majorHAnsi" w:eastAsia="Cambria" w:hAnsiTheme="majorHAnsi" w:cstheme="majorHAnsi"/>
          <w:color w:val="333F48"/>
          <w:sz w:val="22"/>
          <w:szCs w:val="22"/>
          <w:lang w:eastAsia="en-US"/>
        </w:rPr>
        <w:t>your</w:t>
      </w:r>
      <w:r w:rsidR="32CF6980" w:rsidRPr="00181817">
        <w:rPr>
          <w:rFonts w:asciiTheme="majorHAnsi" w:eastAsia="Cambria" w:hAnsiTheme="majorHAnsi" w:cstheme="majorHAnsi"/>
          <w:color w:val="333F48"/>
          <w:sz w:val="22"/>
          <w:szCs w:val="22"/>
          <w:lang w:eastAsia="en-US"/>
        </w:rPr>
        <w:t xml:space="preserve"> device in the Australian Register of Therapeutic Goods (ARTG)</w:t>
      </w:r>
      <w:r w:rsidR="776B0CFE" w:rsidRPr="00181817">
        <w:rPr>
          <w:rFonts w:asciiTheme="majorHAnsi" w:eastAsia="Cambria" w:hAnsiTheme="majorHAnsi" w:cstheme="majorHAnsi"/>
          <w:color w:val="333F48"/>
          <w:sz w:val="22"/>
          <w:szCs w:val="22"/>
          <w:lang w:eastAsia="en-US"/>
        </w:rPr>
        <w:t xml:space="preserve">, or you can use the </w:t>
      </w:r>
      <w:r w:rsidR="14A10810" w:rsidRPr="00181817">
        <w:rPr>
          <w:rFonts w:asciiTheme="majorHAnsi" w:eastAsia="Cambria" w:hAnsiTheme="majorHAnsi" w:cstheme="majorHAnsi"/>
          <w:color w:val="333F48"/>
          <w:sz w:val="22"/>
          <w:szCs w:val="22"/>
          <w:lang w:eastAsia="en-US"/>
        </w:rPr>
        <w:t xml:space="preserve">unapproved goods pathway, </w:t>
      </w:r>
      <w:r w:rsidR="023A65C6" w:rsidRPr="00181817">
        <w:rPr>
          <w:rFonts w:asciiTheme="majorHAnsi" w:eastAsia="Cambria" w:hAnsiTheme="majorHAnsi" w:cstheme="majorHAnsi"/>
          <w:color w:val="333F48"/>
          <w:sz w:val="22"/>
          <w:szCs w:val="22"/>
          <w:lang w:eastAsia="en-US"/>
        </w:rPr>
        <w:t xml:space="preserve">by </w:t>
      </w:r>
      <w:r w:rsidR="428EBF6F" w:rsidRPr="00181817">
        <w:rPr>
          <w:rFonts w:asciiTheme="majorHAnsi" w:eastAsia="Cambria" w:hAnsiTheme="majorHAnsi" w:cstheme="majorHAnsi"/>
          <w:color w:val="333F48"/>
          <w:sz w:val="22"/>
          <w:szCs w:val="22"/>
          <w:lang w:eastAsia="en-US"/>
        </w:rPr>
        <w:t>submit</w:t>
      </w:r>
      <w:r w:rsidR="77729373" w:rsidRPr="00181817">
        <w:rPr>
          <w:rFonts w:asciiTheme="majorHAnsi" w:eastAsia="Cambria" w:hAnsiTheme="majorHAnsi" w:cstheme="majorHAnsi"/>
          <w:color w:val="333F48"/>
          <w:sz w:val="22"/>
          <w:szCs w:val="22"/>
          <w:lang w:eastAsia="en-US"/>
        </w:rPr>
        <w:t>ting</w:t>
      </w:r>
      <w:r w:rsidR="68B68EA9" w:rsidRPr="00181817">
        <w:rPr>
          <w:rFonts w:asciiTheme="majorHAnsi" w:eastAsia="Cambria" w:hAnsiTheme="majorHAnsi" w:cstheme="majorHAnsi"/>
          <w:color w:val="333F48"/>
          <w:sz w:val="22"/>
          <w:szCs w:val="22"/>
          <w:lang w:eastAsia="en-US"/>
        </w:rPr>
        <w:t xml:space="preserve"> a </w:t>
      </w:r>
      <w:hyperlink r:id="rId12" w:history="1">
        <w:r w:rsidR="68B68EA9" w:rsidRPr="00181817">
          <w:rPr>
            <w:rStyle w:val="Hyperlink"/>
            <w:rFonts w:asciiTheme="majorHAnsi" w:eastAsia="Cambria" w:hAnsiTheme="majorHAnsi" w:cstheme="majorHAnsi"/>
            <w:sz w:val="22"/>
            <w:szCs w:val="22"/>
            <w:lang w:eastAsia="en-US"/>
          </w:rPr>
          <w:t>notification</w:t>
        </w:r>
      </w:hyperlink>
      <w:r w:rsidR="68B68EA9" w:rsidRPr="00181817">
        <w:rPr>
          <w:rFonts w:asciiTheme="majorHAnsi" w:eastAsia="Cambria" w:hAnsiTheme="majorHAnsi" w:cstheme="majorHAnsi"/>
          <w:color w:val="333F48"/>
          <w:sz w:val="22"/>
          <w:szCs w:val="22"/>
          <w:lang w:eastAsia="en-US"/>
        </w:rPr>
        <w:t xml:space="preserve"> to import and </w:t>
      </w:r>
      <w:r w:rsidR="6B940949" w:rsidRPr="00181817">
        <w:rPr>
          <w:rFonts w:asciiTheme="majorHAnsi" w:eastAsia="Cambria" w:hAnsiTheme="majorHAnsi" w:cstheme="majorHAnsi"/>
          <w:color w:val="333F48"/>
          <w:sz w:val="22"/>
          <w:szCs w:val="22"/>
          <w:lang w:eastAsia="en-US"/>
        </w:rPr>
        <w:t>supply your device.</w:t>
      </w:r>
    </w:p>
    <w:p w14:paraId="612F5078" w14:textId="063A4833" w:rsidR="00071D6C" w:rsidRPr="00181817" w:rsidRDefault="00CD6286" w:rsidP="5B0959A5">
      <w:pPr>
        <w:rPr>
          <w:rFonts w:asciiTheme="majorHAnsi" w:hAnsiTheme="majorHAnsi" w:cstheme="majorHAnsi"/>
        </w:rPr>
      </w:pPr>
      <w:r w:rsidRPr="00181817">
        <w:rPr>
          <w:rFonts w:asciiTheme="majorHAnsi" w:hAnsiTheme="majorHAnsi" w:cstheme="majorHAnsi"/>
        </w:rPr>
        <w:t xml:space="preserve">To submit a notification, you must either notify </w:t>
      </w:r>
      <w:hyperlink r:id="rId13" w:history="1">
        <w:r w:rsidRPr="00181817">
          <w:rPr>
            <w:rStyle w:val="Hyperlink"/>
            <w:rFonts w:asciiTheme="majorHAnsi" w:hAnsiTheme="majorHAnsi" w:cstheme="majorHAnsi"/>
          </w:rPr>
          <w:t>compliance with the Essential Principles</w:t>
        </w:r>
      </w:hyperlink>
      <w:r w:rsidRPr="00181817">
        <w:rPr>
          <w:rFonts w:asciiTheme="majorHAnsi" w:hAnsiTheme="majorHAnsi" w:cstheme="majorHAnsi"/>
        </w:rPr>
        <w:t xml:space="preserve"> (EPs) for medical devices, or, if the vaping device was previously excluded from the therapeutic goods framework because it was not intended exclusively to administer a medicine, </w:t>
      </w:r>
      <w:r w:rsidR="00B017CF">
        <w:rPr>
          <w:rFonts w:asciiTheme="majorHAnsi" w:hAnsiTheme="majorHAnsi" w:cstheme="majorHAnsi"/>
        </w:rPr>
        <w:t xml:space="preserve">you can notify compliance with </w:t>
      </w:r>
      <w:r w:rsidRPr="00181817">
        <w:rPr>
          <w:rFonts w:asciiTheme="majorHAnsi" w:hAnsiTheme="majorHAnsi" w:cstheme="majorHAnsi"/>
        </w:rPr>
        <w:t xml:space="preserve">the Therapeutic Goods (Medical Device Standard—Therapeutic Vaping Devices) Order 2023 (the MDSO). </w:t>
      </w:r>
      <w:r w:rsidR="00C51A6C" w:rsidRPr="00181817">
        <w:rPr>
          <w:rFonts w:asciiTheme="majorHAnsi" w:hAnsiTheme="majorHAnsi" w:cstheme="majorHAnsi"/>
        </w:rPr>
        <w:t>Detailed i</w:t>
      </w:r>
      <w:r w:rsidR="30C29C0E" w:rsidRPr="00181817">
        <w:rPr>
          <w:rFonts w:asciiTheme="majorHAnsi" w:hAnsiTheme="majorHAnsi" w:cstheme="majorHAnsi"/>
        </w:rPr>
        <w:t xml:space="preserve">nformation about the </w:t>
      </w:r>
      <w:r w:rsidR="4C03BE3B" w:rsidRPr="00181817">
        <w:rPr>
          <w:rFonts w:asciiTheme="majorHAnsi" w:hAnsiTheme="majorHAnsi" w:cstheme="majorHAnsi"/>
        </w:rPr>
        <w:t xml:space="preserve">regulatory </w:t>
      </w:r>
      <w:r w:rsidR="30C29C0E" w:rsidRPr="00181817">
        <w:rPr>
          <w:rFonts w:asciiTheme="majorHAnsi" w:hAnsiTheme="majorHAnsi" w:cstheme="majorHAnsi"/>
        </w:rPr>
        <w:t>requirements</w:t>
      </w:r>
      <w:r w:rsidR="00FD3FC2" w:rsidRPr="00181817">
        <w:rPr>
          <w:rFonts w:asciiTheme="majorHAnsi" w:hAnsiTheme="majorHAnsi" w:cstheme="majorHAnsi"/>
        </w:rPr>
        <w:t xml:space="preserve"> and pathways for different </w:t>
      </w:r>
      <w:r w:rsidR="37293272" w:rsidRPr="00181817">
        <w:rPr>
          <w:rFonts w:asciiTheme="majorHAnsi" w:hAnsiTheme="majorHAnsi" w:cstheme="majorHAnsi"/>
        </w:rPr>
        <w:t>therapeutic vaping devices</w:t>
      </w:r>
      <w:r w:rsidR="0FE77131" w:rsidRPr="00181817">
        <w:rPr>
          <w:rFonts w:asciiTheme="majorHAnsi" w:hAnsiTheme="majorHAnsi" w:cstheme="majorHAnsi"/>
        </w:rPr>
        <w:t>,</w:t>
      </w:r>
      <w:r w:rsidR="00534005" w:rsidRPr="00181817">
        <w:rPr>
          <w:rFonts w:asciiTheme="majorHAnsi" w:hAnsiTheme="majorHAnsi" w:cstheme="majorHAnsi"/>
        </w:rPr>
        <w:t xml:space="preserve"> </w:t>
      </w:r>
      <w:r w:rsidR="0FE77131" w:rsidRPr="00181817">
        <w:rPr>
          <w:rFonts w:asciiTheme="majorHAnsi" w:hAnsiTheme="majorHAnsi" w:cstheme="majorHAnsi"/>
        </w:rPr>
        <w:t xml:space="preserve">including about the MDSO, </w:t>
      </w:r>
      <w:r w:rsidR="6098F239" w:rsidRPr="00181817">
        <w:rPr>
          <w:rFonts w:asciiTheme="majorHAnsi" w:hAnsiTheme="majorHAnsi" w:cstheme="majorHAnsi"/>
        </w:rPr>
        <w:t xml:space="preserve">can be found in the </w:t>
      </w:r>
      <w:hyperlink r:id="rId14">
        <w:r w:rsidR="6098F239" w:rsidRPr="00181817">
          <w:rPr>
            <w:rStyle w:val="Hyperlink"/>
            <w:rFonts w:asciiTheme="majorHAnsi" w:hAnsiTheme="majorHAnsi" w:cstheme="majorHAnsi"/>
          </w:rPr>
          <w:t xml:space="preserve">guidance for </w:t>
        </w:r>
        <w:r w:rsidR="000061E0" w:rsidRPr="00181817">
          <w:rPr>
            <w:rStyle w:val="Hyperlink"/>
            <w:rFonts w:asciiTheme="majorHAnsi" w:hAnsiTheme="majorHAnsi" w:cstheme="majorHAnsi"/>
          </w:rPr>
          <w:t>t</w:t>
        </w:r>
        <w:r w:rsidR="6098F239" w:rsidRPr="00181817">
          <w:rPr>
            <w:rStyle w:val="Hyperlink"/>
            <w:rFonts w:asciiTheme="majorHAnsi" w:hAnsiTheme="majorHAnsi" w:cstheme="majorHAnsi"/>
          </w:rPr>
          <w:t xml:space="preserve">herapeutic </w:t>
        </w:r>
        <w:r w:rsidR="000061E0" w:rsidRPr="00181817">
          <w:rPr>
            <w:rStyle w:val="Hyperlink"/>
            <w:rFonts w:asciiTheme="majorHAnsi" w:hAnsiTheme="majorHAnsi" w:cstheme="majorHAnsi"/>
          </w:rPr>
          <w:t>v</w:t>
        </w:r>
        <w:r w:rsidR="6098F239" w:rsidRPr="00181817">
          <w:rPr>
            <w:rStyle w:val="Hyperlink"/>
            <w:rFonts w:asciiTheme="majorHAnsi" w:hAnsiTheme="majorHAnsi" w:cstheme="majorHAnsi"/>
          </w:rPr>
          <w:t>apes</w:t>
        </w:r>
      </w:hyperlink>
      <w:r w:rsidR="6098F239" w:rsidRPr="00181817">
        <w:rPr>
          <w:rFonts w:asciiTheme="majorHAnsi" w:hAnsiTheme="majorHAnsi" w:cstheme="majorHAnsi"/>
        </w:rPr>
        <w:t xml:space="preserve">.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E12CC6" w:rsidRPr="00215D48" w14:paraId="3603AA41" w14:textId="77777777" w:rsidTr="009C5B7E">
        <w:tc>
          <w:tcPr>
            <w:tcW w:w="1276" w:type="dxa"/>
            <w:vAlign w:val="center"/>
          </w:tcPr>
          <w:p w14:paraId="1E9A0E01" w14:textId="77777777" w:rsidR="00E12CC6" w:rsidRPr="00215D48" w:rsidRDefault="00E12CC6" w:rsidP="009C5B7E">
            <w:r w:rsidRPr="00215D48">
              <w:rPr>
                <w:noProof/>
              </w:rPr>
              <w:drawing>
                <wp:inline distT="0" distB="0" distL="0" distR="0" wp14:anchorId="45A74A8B" wp14:editId="3DE3828C">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A18B8D5" w14:textId="5F02A200" w:rsidR="00E12CC6" w:rsidRPr="00071D6C" w:rsidRDefault="00E12CC6" w:rsidP="009C5B7E">
            <w:pPr>
              <w:rPr>
                <w:b/>
                <w:bCs/>
              </w:rPr>
            </w:pPr>
            <w:r w:rsidRPr="00071D6C">
              <w:rPr>
                <w:b/>
                <w:bCs/>
              </w:rPr>
              <w:t xml:space="preserve">How </w:t>
            </w:r>
            <w:r w:rsidRPr="00E12CC6">
              <w:rPr>
                <w:b/>
                <w:bCs/>
              </w:rPr>
              <w:t xml:space="preserve">can this </w:t>
            </w:r>
            <w:r w:rsidR="008037B6">
              <w:rPr>
                <w:b/>
                <w:bCs/>
              </w:rPr>
              <w:t xml:space="preserve">document </w:t>
            </w:r>
            <w:r w:rsidRPr="00071D6C">
              <w:rPr>
                <w:b/>
                <w:bCs/>
              </w:rPr>
              <w:t>help you?</w:t>
            </w:r>
          </w:p>
          <w:p w14:paraId="0E8C436F" w14:textId="5B5C5646" w:rsidR="00181817" w:rsidRPr="00071D6C" w:rsidRDefault="00E12CC6" w:rsidP="009C5B7E">
            <w:pPr>
              <w:rPr>
                <w:rFonts w:asciiTheme="majorHAnsi" w:hAnsiTheme="majorHAnsi" w:cstheme="majorBidi"/>
              </w:rPr>
            </w:pPr>
            <w:r>
              <w:t xml:space="preserve">If you </w:t>
            </w:r>
            <w:r>
              <w:rPr>
                <w:rFonts w:asciiTheme="majorHAnsi" w:hAnsiTheme="majorHAnsi" w:cstheme="majorBidi"/>
              </w:rPr>
              <w:t>intend to claim compliance with the EPs</w:t>
            </w:r>
            <w:r w:rsidR="00DE522C">
              <w:rPr>
                <w:rFonts w:asciiTheme="majorHAnsi" w:hAnsiTheme="majorHAnsi" w:cstheme="majorBidi"/>
              </w:rPr>
              <w:t xml:space="preserve"> </w:t>
            </w:r>
            <w:r w:rsidR="002716E3">
              <w:rPr>
                <w:rFonts w:asciiTheme="majorHAnsi" w:hAnsiTheme="majorHAnsi" w:cstheme="majorBidi"/>
              </w:rPr>
              <w:t>t</w:t>
            </w:r>
            <w:r>
              <w:rPr>
                <w:rFonts w:asciiTheme="majorHAnsi" w:hAnsiTheme="majorHAnsi" w:cstheme="majorBidi"/>
              </w:rPr>
              <w:t>he following checklist</w:t>
            </w:r>
            <w:r w:rsidR="00A94B94">
              <w:rPr>
                <w:rFonts w:asciiTheme="majorHAnsi" w:hAnsiTheme="majorHAnsi" w:cstheme="majorBidi"/>
              </w:rPr>
              <w:t xml:space="preserve"> provides</w:t>
            </w:r>
            <w:r>
              <w:rPr>
                <w:rFonts w:asciiTheme="majorHAnsi" w:hAnsiTheme="majorHAnsi" w:cstheme="majorBidi"/>
              </w:rPr>
              <w:t xml:space="preserve"> a range of </w:t>
            </w:r>
            <w:r w:rsidR="00A94B94">
              <w:t xml:space="preserve">industry </w:t>
            </w:r>
            <w:r>
              <w:t xml:space="preserve">standards </w:t>
            </w:r>
            <w:r w:rsidR="00A94B94">
              <w:t xml:space="preserve">and guidance </w:t>
            </w:r>
            <w:r>
              <w:t>that</w:t>
            </w:r>
            <w:r w:rsidR="00071D6C">
              <w:t xml:space="preserve"> can</w:t>
            </w:r>
            <w:r w:rsidR="004400F8">
              <w:t xml:space="preserve"> help you </w:t>
            </w:r>
            <w:r>
              <w:t>to</w:t>
            </w:r>
            <w:r w:rsidR="004400F8">
              <w:t xml:space="preserve"> ensure that your device </w:t>
            </w:r>
            <w:r>
              <w:t>compl</w:t>
            </w:r>
            <w:r w:rsidR="004400F8">
              <w:t>ies</w:t>
            </w:r>
            <w:r>
              <w:t xml:space="preserve"> with the EPs.</w:t>
            </w:r>
            <w:r w:rsidR="00181817">
              <w:t xml:space="preserve"> </w:t>
            </w:r>
            <w:r w:rsidR="00181817">
              <w:rPr>
                <w:rFonts w:eastAsia="Times New Roman"/>
              </w:rPr>
              <w:t xml:space="preserve">No </w:t>
            </w:r>
            <w:r w:rsidR="00B017CF">
              <w:rPr>
                <w:rFonts w:eastAsia="Times New Roman"/>
              </w:rPr>
              <w:t>single</w:t>
            </w:r>
            <w:r w:rsidR="00181817">
              <w:rPr>
                <w:rFonts w:eastAsia="Times New Roman"/>
              </w:rPr>
              <w:t xml:space="preserve"> standard satisfies all EP requirements. </w:t>
            </w:r>
            <w:r w:rsidR="00B017CF">
              <w:rPr>
                <w:rFonts w:eastAsia="Times New Roman"/>
              </w:rPr>
              <w:t>We have developed the checklist t</w:t>
            </w:r>
            <w:r w:rsidR="00181817">
              <w:rPr>
                <w:rFonts w:eastAsia="Times New Roman"/>
              </w:rPr>
              <w:t xml:space="preserve">o help you determine the best way to </w:t>
            </w:r>
            <w:r w:rsidR="00B017CF">
              <w:rPr>
                <w:rFonts w:eastAsia="Times New Roman"/>
              </w:rPr>
              <w:t>demonstrate that</w:t>
            </w:r>
            <w:r w:rsidR="00181817">
              <w:rPr>
                <w:rFonts w:eastAsia="Times New Roman"/>
              </w:rPr>
              <w:t xml:space="preserve"> your product</w:t>
            </w:r>
            <w:r w:rsidR="00B017CF">
              <w:rPr>
                <w:rFonts w:eastAsia="Times New Roman"/>
              </w:rPr>
              <w:t xml:space="preserve"> meets the EPs</w:t>
            </w:r>
            <w:r w:rsidR="00181817">
              <w:rPr>
                <w:rFonts w:eastAsia="Times New Roman"/>
              </w:rPr>
              <w:t>.</w:t>
            </w:r>
            <w:r w:rsidR="004400F8">
              <w:t xml:space="preserve"> </w:t>
            </w:r>
            <w:r w:rsidR="004400F8" w:rsidRPr="228AB000">
              <w:rPr>
                <w:rFonts w:asciiTheme="majorHAnsi" w:hAnsiTheme="majorHAnsi" w:cstheme="majorBidi"/>
              </w:rPr>
              <w:t>This</w:t>
            </w:r>
            <w:r w:rsidR="004400F8">
              <w:rPr>
                <w:rFonts w:asciiTheme="majorHAnsi" w:hAnsiTheme="majorHAnsi" w:cstheme="majorBidi"/>
              </w:rPr>
              <w:t xml:space="preserve"> information</w:t>
            </w:r>
            <w:r w:rsidR="004400F8" w:rsidRPr="228AB000">
              <w:rPr>
                <w:rFonts w:asciiTheme="majorHAnsi" w:hAnsiTheme="majorHAnsi" w:cstheme="majorBidi"/>
              </w:rPr>
              <w:t xml:space="preserve"> may also </w:t>
            </w:r>
            <w:r w:rsidR="004400F8">
              <w:rPr>
                <w:rFonts w:asciiTheme="majorHAnsi" w:hAnsiTheme="majorHAnsi" w:cstheme="majorBidi"/>
              </w:rPr>
              <w:t>help you if</w:t>
            </w:r>
            <w:r w:rsidR="004400F8" w:rsidRPr="228AB000">
              <w:rPr>
                <w:rFonts w:asciiTheme="majorHAnsi" w:hAnsiTheme="majorHAnsi" w:cstheme="majorBidi"/>
              </w:rPr>
              <w:t xml:space="preserve"> you are </w:t>
            </w:r>
            <w:r w:rsidR="004400F8" w:rsidRPr="5057B71E">
              <w:rPr>
                <w:rFonts w:asciiTheme="majorHAnsi" w:hAnsiTheme="majorHAnsi" w:cstheme="majorBidi"/>
              </w:rPr>
              <w:t>considering</w:t>
            </w:r>
            <w:r w:rsidR="004400F8" w:rsidRPr="7D5179B4">
              <w:rPr>
                <w:rFonts w:asciiTheme="majorHAnsi" w:hAnsiTheme="majorHAnsi" w:cstheme="majorBidi"/>
              </w:rPr>
              <w:t xml:space="preserve"> </w:t>
            </w:r>
            <w:r w:rsidR="004400F8" w:rsidRPr="436C1C8C">
              <w:rPr>
                <w:rFonts w:asciiTheme="majorHAnsi" w:hAnsiTheme="majorHAnsi" w:cstheme="majorBidi"/>
              </w:rPr>
              <w:t>including your device on the ARTG.</w:t>
            </w:r>
            <w:r w:rsidR="004400F8">
              <w:rPr>
                <w:rFonts w:asciiTheme="majorHAnsi" w:hAnsiTheme="majorHAnsi" w:cstheme="majorBidi"/>
              </w:rPr>
              <w:t xml:space="preserve"> </w:t>
            </w:r>
          </w:p>
        </w:tc>
      </w:tr>
    </w:tbl>
    <w:p w14:paraId="5FAB25DB" w14:textId="1ADDE15F" w:rsidR="005A2F77" w:rsidRDefault="008C3AB3" w:rsidP="005A2F77">
      <w:pPr>
        <w:pStyle w:val="Heading2"/>
      </w:pPr>
      <w:bookmarkStart w:id="0" w:name="_Hlk159424558"/>
      <w:r>
        <w:t>Vaping device</w:t>
      </w:r>
      <w:r w:rsidR="69851CFD">
        <w:t>s and the Essential Principles</w:t>
      </w:r>
    </w:p>
    <w:bookmarkEnd w:id="0"/>
    <w:p w14:paraId="4FAD883E" w14:textId="0F95A4B8" w:rsidR="00153C1E" w:rsidRDefault="00F71F8D" w:rsidP="00BD7FCE">
      <w:pPr>
        <w:pStyle w:val="NormalWeb"/>
        <w:shd w:val="clear" w:color="auto" w:fill="FFFFFF" w:themeFill="background1"/>
        <w:rPr>
          <w:rFonts w:asciiTheme="majorHAnsi" w:eastAsia="Cambria" w:hAnsiTheme="majorHAnsi" w:cstheme="majorBidi"/>
          <w:color w:val="333F48"/>
          <w:sz w:val="22"/>
          <w:szCs w:val="22"/>
          <w:lang w:eastAsia="en-US"/>
        </w:rPr>
      </w:pPr>
      <w:r>
        <w:rPr>
          <w:rFonts w:asciiTheme="majorHAnsi" w:eastAsia="Cambria" w:hAnsiTheme="majorHAnsi" w:cstheme="majorBidi"/>
          <w:color w:val="333F48"/>
          <w:sz w:val="22"/>
          <w:szCs w:val="22"/>
          <w:lang w:eastAsia="en-US"/>
        </w:rPr>
        <w:t xml:space="preserve">Generally, </w:t>
      </w:r>
      <w:r w:rsidR="14938A48" w:rsidRPr="7217183F">
        <w:rPr>
          <w:rFonts w:asciiTheme="majorHAnsi" w:eastAsia="Cambria" w:hAnsiTheme="majorHAnsi" w:cstheme="majorBidi"/>
          <w:color w:val="333F48"/>
          <w:sz w:val="22"/>
          <w:szCs w:val="22"/>
          <w:lang w:eastAsia="en-US"/>
        </w:rPr>
        <w:t>m</w:t>
      </w:r>
      <w:r w:rsidR="00856106" w:rsidRPr="7217183F">
        <w:rPr>
          <w:rFonts w:asciiTheme="majorHAnsi" w:eastAsia="Cambria" w:hAnsiTheme="majorHAnsi" w:cstheme="majorBidi"/>
          <w:color w:val="333F48"/>
          <w:sz w:val="22"/>
          <w:szCs w:val="22"/>
          <w:lang w:eastAsia="en-US"/>
        </w:rPr>
        <w:t>anufacturers</w:t>
      </w:r>
      <w:r w:rsidR="00856106" w:rsidRPr="4A720708">
        <w:rPr>
          <w:rFonts w:asciiTheme="majorHAnsi" w:eastAsia="Cambria" w:hAnsiTheme="majorHAnsi" w:cstheme="majorBidi"/>
          <w:color w:val="333F48"/>
          <w:sz w:val="22"/>
          <w:szCs w:val="22"/>
          <w:lang w:eastAsia="en-US"/>
        </w:rPr>
        <w:t xml:space="preserve"> </w:t>
      </w:r>
      <w:r w:rsidR="2E0C6671" w:rsidRPr="4A720708">
        <w:rPr>
          <w:rFonts w:asciiTheme="majorHAnsi" w:eastAsia="Cambria" w:hAnsiTheme="majorHAnsi" w:cstheme="majorBidi"/>
          <w:color w:val="333F48"/>
          <w:sz w:val="22"/>
          <w:szCs w:val="22"/>
          <w:lang w:eastAsia="en-US"/>
        </w:rPr>
        <w:t xml:space="preserve">of medical devices </w:t>
      </w:r>
      <w:r w:rsidR="58433401" w:rsidRPr="281109E2">
        <w:rPr>
          <w:rFonts w:asciiTheme="majorHAnsi" w:eastAsia="Cambria" w:hAnsiTheme="majorHAnsi" w:cstheme="majorBidi"/>
          <w:color w:val="333F48"/>
          <w:sz w:val="22"/>
          <w:szCs w:val="22"/>
          <w:lang w:eastAsia="en-US"/>
        </w:rPr>
        <w:t>must</w:t>
      </w:r>
      <w:r w:rsidR="00856106" w:rsidRPr="281109E2">
        <w:rPr>
          <w:rFonts w:asciiTheme="majorHAnsi" w:eastAsia="Cambria" w:hAnsiTheme="majorHAnsi" w:cstheme="majorBidi"/>
          <w:color w:val="333F48"/>
          <w:sz w:val="22"/>
          <w:szCs w:val="22"/>
          <w:lang w:eastAsia="en-US"/>
        </w:rPr>
        <w:t xml:space="preserve"> generat</w:t>
      </w:r>
      <w:r w:rsidR="42CFAE85" w:rsidRPr="281109E2">
        <w:rPr>
          <w:rFonts w:asciiTheme="majorHAnsi" w:eastAsia="Cambria" w:hAnsiTheme="majorHAnsi" w:cstheme="majorBidi"/>
          <w:color w:val="333F48"/>
          <w:sz w:val="22"/>
          <w:szCs w:val="22"/>
          <w:lang w:eastAsia="en-US"/>
        </w:rPr>
        <w:t>e</w:t>
      </w:r>
      <w:r w:rsidR="00856106" w:rsidRPr="281109E2">
        <w:rPr>
          <w:rFonts w:asciiTheme="majorHAnsi" w:eastAsia="Cambria" w:hAnsiTheme="majorHAnsi" w:cstheme="majorBidi"/>
          <w:color w:val="333F48"/>
          <w:sz w:val="22"/>
          <w:szCs w:val="22"/>
          <w:lang w:eastAsia="en-US"/>
        </w:rPr>
        <w:t>, collat</w:t>
      </w:r>
      <w:r w:rsidR="4506E4A3" w:rsidRPr="281109E2">
        <w:rPr>
          <w:rFonts w:asciiTheme="majorHAnsi" w:eastAsia="Cambria" w:hAnsiTheme="majorHAnsi" w:cstheme="majorBidi"/>
          <w:color w:val="333F48"/>
          <w:sz w:val="22"/>
          <w:szCs w:val="22"/>
          <w:lang w:eastAsia="en-US"/>
        </w:rPr>
        <w:t>e</w:t>
      </w:r>
      <w:r w:rsidR="00856106" w:rsidRPr="4A720708">
        <w:rPr>
          <w:rFonts w:asciiTheme="majorHAnsi" w:eastAsia="Cambria" w:hAnsiTheme="majorHAnsi" w:cstheme="majorBidi"/>
          <w:color w:val="333F48"/>
          <w:sz w:val="22"/>
          <w:szCs w:val="22"/>
          <w:lang w:eastAsia="en-US"/>
        </w:rPr>
        <w:t>, assess, and maintain scientific and engineering evidence that shows that their devices comply with the E</w:t>
      </w:r>
      <w:r w:rsidR="6E147256" w:rsidRPr="4A720708">
        <w:rPr>
          <w:rFonts w:asciiTheme="majorHAnsi" w:eastAsia="Cambria" w:hAnsiTheme="majorHAnsi" w:cstheme="majorBidi"/>
          <w:color w:val="333F48"/>
          <w:sz w:val="22"/>
          <w:szCs w:val="22"/>
          <w:lang w:eastAsia="en-US"/>
        </w:rPr>
        <w:t>Ps</w:t>
      </w:r>
      <w:r w:rsidR="00856106" w:rsidRPr="4A720708">
        <w:rPr>
          <w:rFonts w:asciiTheme="majorHAnsi" w:eastAsia="Cambria" w:hAnsiTheme="majorHAnsi" w:cstheme="majorBidi"/>
          <w:color w:val="333F48"/>
          <w:sz w:val="22"/>
          <w:szCs w:val="22"/>
          <w:lang w:eastAsia="en-US"/>
        </w:rPr>
        <w:t xml:space="preserve">. The evidence must </w:t>
      </w:r>
      <w:r w:rsidR="00856106" w:rsidRPr="281109E2">
        <w:rPr>
          <w:rFonts w:asciiTheme="majorHAnsi" w:eastAsia="Cambria" w:hAnsiTheme="majorHAnsi" w:cstheme="majorBidi"/>
          <w:color w:val="333F48"/>
          <w:sz w:val="22"/>
          <w:szCs w:val="22"/>
          <w:lang w:eastAsia="en-US"/>
        </w:rPr>
        <w:t>relat</w:t>
      </w:r>
      <w:r w:rsidR="435A6F1E" w:rsidRPr="281109E2">
        <w:rPr>
          <w:rFonts w:asciiTheme="majorHAnsi" w:eastAsia="Cambria" w:hAnsiTheme="majorHAnsi" w:cstheme="majorBidi"/>
          <w:color w:val="333F48"/>
          <w:sz w:val="22"/>
          <w:szCs w:val="22"/>
          <w:lang w:eastAsia="en-US"/>
        </w:rPr>
        <w:t>e</w:t>
      </w:r>
      <w:r w:rsidR="00856106" w:rsidRPr="4A720708">
        <w:rPr>
          <w:rFonts w:asciiTheme="majorHAnsi" w:eastAsia="Cambria" w:hAnsiTheme="majorHAnsi" w:cstheme="majorBidi"/>
          <w:color w:val="333F48"/>
          <w:sz w:val="22"/>
          <w:szCs w:val="22"/>
          <w:lang w:eastAsia="en-US"/>
        </w:rPr>
        <w:t xml:space="preserve"> to the device's intended purpose and must be objective</w:t>
      </w:r>
      <w:r w:rsidR="00973604">
        <w:rPr>
          <w:rFonts w:asciiTheme="majorHAnsi" w:eastAsia="Cambria" w:hAnsiTheme="majorHAnsi" w:cstheme="majorBidi"/>
          <w:color w:val="333F48"/>
          <w:sz w:val="22"/>
          <w:szCs w:val="22"/>
          <w:lang w:eastAsia="en-US"/>
        </w:rPr>
        <w:t xml:space="preserve"> and comprehensive. </w:t>
      </w:r>
      <w:r w:rsidR="00CC3ECB">
        <w:rPr>
          <w:rFonts w:asciiTheme="majorHAnsi" w:eastAsia="Cambria" w:hAnsiTheme="majorHAnsi" w:cstheme="majorBidi"/>
          <w:color w:val="333F48"/>
          <w:sz w:val="22"/>
          <w:szCs w:val="22"/>
          <w:lang w:eastAsia="en-US"/>
        </w:rPr>
        <w:t xml:space="preserve">Compliance with </w:t>
      </w:r>
      <w:r w:rsidR="009A1DC8">
        <w:rPr>
          <w:rFonts w:asciiTheme="majorHAnsi" w:eastAsia="Cambria" w:hAnsiTheme="majorHAnsi" w:cstheme="majorBidi"/>
          <w:color w:val="333F48"/>
          <w:sz w:val="22"/>
          <w:szCs w:val="22"/>
          <w:lang w:eastAsia="en-US"/>
        </w:rPr>
        <w:t>i</w:t>
      </w:r>
      <w:r w:rsidR="00153566">
        <w:rPr>
          <w:rFonts w:asciiTheme="majorHAnsi" w:eastAsia="Cambria" w:hAnsiTheme="majorHAnsi" w:cstheme="majorBidi"/>
          <w:color w:val="333F48"/>
          <w:sz w:val="22"/>
          <w:szCs w:val="22"/>
          <w:lang w:eastAsia="en-US"/>
        </w:rPr>
        <w:t>ndustry standards</w:t>
      </w:r>
      <w:r w:rsidR="00F620D1">
        <w:rPr>
          <w:rFonts w:asciiTheme="majorHAnsi" w:eastAsia="Cambria" w:hAnsiTheme="majorHAnsi" w:cstheme="majorBidi"/>
          <w:color w:val="333F48"/>
          <w:sz w:val="22"/>
          <w:szCs w:val="22"/>
          <w:lang w:eastAsia="en-US"/>
        </w:rPr>
        <w:t xml:space="preserve"> </w:t>
      </w:r>
      <w:r w:rsidR="00C63BC7">
        <w:rPr>
          <w:rFonts w:asciiTheme="majorHAnsi" w:eastAsia="Cambria" w:hAnsiTheme="majorHAnsi" w:cstheme="majorBidi"/>
          <w:color w:val="333F48"/>
          <w:sz w:val="22"/>
          <w:szCs w:val="22"/>
          <w:lang w:eastAsia="en-US"/>
        </w:rPr>
        <w:t xml:space="preserve">is </w:t>
      </w:r>
      <w:r w:rsidR="2BC9ADB8" w:rsidRPr="281109E2">
        <w:rPr>
          <w:rFonts w:asciiTheme="majorHAnsi" w:eastAsia="Cambria" w:hAnsiTheme="majorHAnsi" w:cstheme="majorBidi"/>
          <w:color w:val="333F48"/>
          <w:sz w:val="22"/>
          <w:szCs w:val="22"/>
          <w:lang w:eastAsia="en-US"/>
        </w:rPr>
        <w:t>the</w:t>
      </w:r>
      <w:r w:rsidR="00C63BC7">
        <w:rPr>
          <w:rFonts w:asciiTheme="majorHAnsi" w:eastAsia="Cambria" w:hAnsiTheme="majorHAnsi" w:cstheme="majorBidi"/>
          <w:color w:val="333F48"/>
          <w:sz w:val="22"/>
          <w:szCs w:val="22"/>
          <w:lang w:eastAsia="en-US"/>
        </w:rPr>
        <w:t xml:space="preserve"> normal way to</w:t>
      </w:r>
      <w:r w:rsidR="00CC3ECB">
        <w:rPr>
          <w:rFonts w:asciiTheme="majorHAnsi" w:eastAsia="Cambria" w:hAnsiTheme="majorHAnsi" w:cstheme="majorBidi"/>
          <w:color w:val="333F48"/>
          <w:sz w:val="22"/>
          <w:szCs w:val="22"/>
          <w:lang w:eastAsia="en-US"/>
        </w:rPr>
        <w:t xml:space="preserve"> demonstrate</w:t>
      </w:r>
      <w:r w:rsidR="00577EEF">
        <w:rPr>
          <w:rFonts w:asciiTheme="majorHAnsi" w:eastAsia="Cambria" w:hAnsiTheme="majorHAnsi" w:cstheme="majorBidi"/>
          <w:color w:val="333F48"/>
          <w:sz w:val="22"/>
          <w:szCs w:val="22"/>
          <w:lang w:eastAsia="en-US"/>
        </w:rPr>
        <w:t xml:space="preserve"> that a </w:t>
      </w:r>
      <w:r w:rsidR="00E7009E">
        <w:rPr>
          <w:rFonts w:asciiTheme="majorHAnsi" w:eastAsia="Cambria" w:hAnsiTheme="majorHAnsi" w:cstheme="majorBidi"/>
          <w:color w:val="333F48"/>
          <w:sz w:val="22"/>
          <w:szCs w:val="22"/>
          <w:lang w:eastAsia="en-US"/>
        </w:rPr>
        <w:t xml:space="preserve">medical </w:t>
      </w:r>
      <w:r w:rsidR="00577EEF">
        <w:rPr>
          <w:rFonts w:asciiTheme="majorHAnsi" w:eastAsia="Cambria" w:hAnsiTheme="majorHAnsi" w:cstheme="majorBidi"/>
          <w:color w:val="333F48"/>
          <w:sz w:val="22"/>
          <w:szCs w:val="22"/>
          <w:lang w:eastAsia="en-US"/>
        </w:rPr>
        <w:t>device meets the</w:t>
      </w:r>
      <w:r w:rsidR="00CC3ECB">
        <w:rPr>
          <w:rFonts w:asciiTheme="majorHAnsi" w:eastAsia="Cambria" w:hAnsiTheme="majorHAnsi" w:cstheme="majorBidi"/>
          <w:color w:val="333F48"/>
          <w:sz w:val="22"/>
          <w:szCs w:val="22"/>
          <w:lang w:eastAsia="en-US"/>
        </w:rPr>
        <w:t xml:space="preserve"> EPs</w:t>
      </w:r>
      <w:r w:rsidR="000749AD">
        <w:rPr>
          <w:rFonts w:asciiTheme="majorHAnsi" w:eastAsia="Cambria" w:hAnsiTheme="majorHAnsi" w:cstheme="majorBidi"/>
          <w:color w:val="333F48"/>
          <w:sz w:val="22"/>
          <w:szCs w:val="22"/>
          <w:lang w:eastAsia="en-US"/>
        </w:rPr>
        <w:t xml:space="preserve">. </w:t>
      </w:r>
    </w:p>
    <w:p w14:paraId="7D5D67FF" w14:textId="2D49C4DE" w:rsidR="004400F8" w:rsidRDefault="00071D6C">
      <w:pPr>
        <w:rPr>
          <w:rFonts w:asciiTheme="majorHAnsi" w:hAnsiTheme="majorHAnsi" w:cstheme="majorBidi"/>
        </w:rPr>
      </w:pPr>
      <w:r>
        <w:rPr>
          <w:rFonts w:asciiTheme="majorHAnsi" w:hAnsiTheme="majorHAnsi" w:cstheme="majorBidi"/>
        </w:rPr>
        <w:t>Once</w:t>
      </w:r>
      <w:r w:rsidR="009C0D7A" w:rsidRPr="4E537DEA">
        <w:rPr>
          <w:rFonts w:asciiTheme="majorHAnsi" w:hAnsiTheme="majorHAnsi" w:cstheme="majorBidi"/>
        </w:rPr>
        <w:t xml:space="preserve"> you</w:t>
      </w:r>
      <w:r>
        <w:rPr>
          <w:rFonts w:asciiTheme="majorHAnsi" w:hAnsiTheme="majorHAnsi" w:cstheme="majorBidi"/>
        </w:rPr>
        <w:t xml:space="preserve"> </w:t>
      </w:r>
      <w:r w:rsidR="009C0D7A" w:rsidRPr="4E537DEA">
        <w:rPr>
          <w:rFonts w:asciiTheme="majorHAnsi" w:hAnsiTheme="majorHAnsi" w:cstheme="majorBidi"/>
        </w:rPr>
        <w:t xml:space="preserve">have established evidence </w:t>
      </w:r>
      <w:r>
        <w:rPr>
          <w:rFonts w:asciiTheme="majorHAnsi" w:hAnsiTheme="majorHAnsi" w:cstheme="majorBidi"/>
        </w:rPr>
        <w:t>that your vaping device complies with the EPs</w:t>
      </w:r>
      <w:r w:rsidR="009C0D7A" w:rsidRPr="4E537DEA">
        <w:rPr>
          <w:rFonts w:asciiTheme="majorHAnsi" w:hAnsiTheme="majorHAnsi" w:cstheme="majorBidi"/>
        </w:rPr>
        <w:t xml:space="preserve">, </w:t>
      </w:r>
      <w:r w:rsidR="00153C1E" w:rsidRPr="4E537DEA">
        <w:rPr>
          <w:rFonts w:asciiTheme="majorHAnsi" w:hAnsiTheme="majorHAnsi" w:cstheme="majorBidi"/>
        </w:rPr>
        <w:t xml:space="preserve">you </w:t>
      </w:r>
      <w:r w:rsidR="5492D33A" w:rsidRPr="4E537DEA">
        <w:rPr>
          <w:rFonts w:asciiTheme="majorHAnsi" w:hAnsiTheme="majorHAnsi" w:cstheme="majorBidi"/>
        </w:rPr>
        <w:t xml:space="preserve">should </w:t>
      </w:r>
      <w:r w:rsidR="00153C1E" w:rsidRPr="4E537DEA">
        <w:rPr>
          <w:rFonts w:asciiTheme="majorHAnsi" w:hAnsiTheme="majorHAnsi" w:cstheme="majorBidi"/>
        </w:rPr>
        <w:t xml:space="preserve">complete </w:t>
      </w:r>
      <w:r w:rsidR="00F1655C" w:rsidRPr="4E537DEA">
        <w:rPr>
          <w:rFonts w:asciiTheme="majorHAnsi" w:hAnsiTheme="majorHAnsi" w:cstheme="majorBidi"/>
        </w:rPr>
        <w:t>the</w:t>
      </w:r>
      <w:r w:rsidR="001C4B92">
        <w:rPr>
          <w:rFonts w:asciiTheme="majorHAnsi" w:hAnsiTheme="majorHAnsi" w:cstheme="majorBidi"/>
        </w:rPr>
        <w:t xml:space="preserve"> </w:t>
      </w:r>
      <w:hyperlink r:id="rId16" w:history="1">
        <w:r w:rsidR="001C4B92" w:rsidRPr="008117D6">
          <w:rPr>
            <w:rStyle w:val="Hyperlink"/>
            <w:rFonts w:asciiTheme="majorHAnsi" w:hAnsiTheme="majorHAnsi" w:cstheme="majorBidi"/>
          </w:rPr>
          <w:t>Essential Principles checklist</w:t>
        </w:r>
      </w:hyperlink>
      <w:r w:rsidR="001C4B92">
        <w:rPr>
          <w:rFonts w:asciiTheme="majorHAnsi" w:hAnsiTheme="majorHAnsi" w:cstheme="majorBidi"/>
        </w:rPr>
        <w:t xml:space="preserve"> </w:t>
      </w:r>
      <w:r w:rsidR="0DC84DAB" w:rsidRPr="1A43FFF9">
        <w:rPr>
          <w:rFonts w:asciiTheme="majorHAnsi" w:hAnsiTheme="majorHAnsi" w:cstheme="majorBidi"/>
        </w:rPr>
        <w:t>before</w:t>
      </w:r>
      <w:r w:rsidR="0DC84DAB" w:rsidRPr="281109E2">
        <w:rPr>
          <w:rFonts w:asciiTheme="majorHAnsi" w:hAnsiTheme="majorHAnsi" w:cstheme="majorBidi"/>
        </w:rPr>
        <w:t xml:space="preserve"> you</w:t>
      </w:r>
      <w:r w:rsidR="00F1655C">
        <w:rPr>
          <w:rFonts w:asciiTheme="majorHAnsi" w:hAnsiTheme="majorHAnsi" w:cstheme="majorBidi"/>
        </w:rPr>
        <w:t xml:space="preserve"> submit </w:t>
      </w:r>
      <w:r w:rsidR="2F229356" w:rsidRPr="281109E2">
        <w:rPr>
          <w:rFonts w:asciiTheme="majorHAnsi" w:hAnsiTheme="majorHAnsi" w:cstheme="majorBidi"/>
        </w:rPr>
        <w:t>your</w:t>
      </w:r>
      <w:r w:rsidR="00F1655C">
        <w:rPr>
          <w:rFonts w:asciiTheme="majorHAnsi" w:hAnsiTheme="majorHAnsi" w:cstheme="majorBidi"/>
        </w:rPr>
        <w:t xml:space="preserve"> </w:t>
      </w:r>
      <w:r w:rsidR="001E3EA0">
        <w:rPr>
          <w:rFonts w:asciiTheme="majorHAnsi" w:hAnsiTheme="majorHAnsi" w:cstheme="majorBidi"/>
        </w:rPr>
        <w:t xml:space="preserve">notification </w:t>
      </w:r>
      <w:r w:rsidR="00132E55">
        <w:rPr>
          <w:rFonts w:asciiTheme="majorHAnsi" w:hAnsiTheme="majorHAnsi" w:cstheme="majorBidi"/>
        </w:rPr>
        <w:t>to the TGA</w:t>
      </w:r>
      <w:r w:rsidR="00F1655C">
        <w:rPr>
          <w:rFonts w:asciiTheme="majorHAnsi" w:hAnsiTheme="majorHAnsi" w:cstheme="majorBidi"/>
        </w:rPr>
        <w:t>.</w:t>
      </w:r>
      <w:r w:rsidR="00F71A3A">
        <w:rPr>
          <w:rFonts w:asciiTheme="majorHAnsi" w:hAnsiTheme="majorHAnsi" w:cstheme="majorBidi"/>
        </w:rPr>
        <w:t xml:space="preserve"> </w:t>
      </w:r>
      <w:r w:rsidR="6FE15AB5" w:rsidRPr="281109E2">
        <w:rPr>
          <w:rFonts w:asciiTheme="majorHAnsi" w:hAnsiTheme="majorHAnsi" w:cstheme="majorBidi"/>
        </w:rPr>
        <w:t xml:space="preserve">We </w:t>
      </w:r>
      <w:r w:rsidR="00F71A3A">
        <w:rPr>
          <w:rFonts w:asciiTheme="majorHAnsi" w:hAnsiTheme="majorHAnsi" w:cstheme="majorBidi"/>
        </w:rPr>
        <w:t xml:space="preserve">may request </w:t>
      </w:r>
      <w:r w:rsidR="73072CC8" w:rsidRPr="281109E2">
        <w:rPr>
          <w:rFonts w:asciiTheme="majorHAnsi" w:hAnsiTheme="majorHAnsi" w:cstheme="majorBidi"/>
        </w:rPr>
        <w:t xml:space="preserve">this </w:t>
      </w:r>
      <w:r w:rsidR="004A771C" w:rsidRPr="004A771C">
        <w:rPr>
          <w:rFonts w:asciiTheme="majorHAnsi" w:hAnsiTheme="majorHAnsi" w:cstheme="majorBidi"/>
        </w:rPr>
        <w:t xml:space="preserve">information or </w:t>
      </w:r>
      <w:r w:rsidR="638D37D2" w:rsidRPr="281109E2">
        <w:rPr>
          <w:rFonts w:asciiTheme="majorHAnsi" w:hAnsiTheme="majorHAnsi" w:cstheme="majorBidi"/>
        </w:rPr>
        <w:t xml:space="preserve">any </w:t>
      </w:r>
      <w:r w:rsidR="004A771C" w:rsidRPr="004A771C">
        <w:rPr>
          <w:rFonts w:asciiTheme="majorHAnsi" w:hAnsiTheme="majorHAnsi" w:cstheme="majorBidi"/>
        </w:rPr>
        <w:t>evidence</w:t>
      </w:r>
      <w:r w:rsidR="004A771C">
        <w:rPr>
          <w:rFonts w:asciiTheme="majorHAnsi" w:hAnsiTheme="majorHAnsi" w:cstheme="majorBidi"/>
        </w:rPr>
        <w:t xml:space="preserve"> </w:t>
      </w:r>
      <w:r w:rsidR="00B3319B">
        <w:rPr>
          <w:rFonts w:asciiTheme="majorHAnsi" w:hAnsiTheme="majorHAnsi" w:cstheme="majorBidi"/>
        </w:rPr>
        <w:t xml:space="preserve">relating to statements </w:t>
      </w:r>
      <w:r w:rsidR="009C1558">
        <w:rPr>
          <w:rFonts w:asciiTheme="majorHAnsi" w:hAnsiTheme="majorHAnsi" w:cstheme="majorBidi"/>
        </w:rPr>
        <w:t>in</w:t>
      </w:r>
      <w:r w:rsidR="00B3319B">
        <w:rPr>
          <w:rFonts w:asciiTheme="majorHAnsi" w:hAnsiTheme="majorHAnsi" w:cstheme="majorBidi"/>
        </w:rPr>
        <w:t xml:space="preserve"> </w:t>
      </w:r>
      <w:r w:rsidR="7549466A" w:rsidRPr="281109E2">
        <w:rPr>
          <w:rFonts w:asciiTheme="majorHAnsi" w:hAnsiTheme="majorHAnsi" w:cstheme="majorBidi"/>
        </w:rPr>
        <w:t>your</w:t>
      </w:r>
      <w:r w:rsidR="00B3319B" w:rsidRPr="281109E2">
        <w:rPr>
          <w:rFonts w:asciiTheme="majorHAnsi" w:hAnsiTheme="majorHAnsi" w:cstheme="majorBidi"/>
        </w:rPr>
        <w:t xml:space="preserve"> noti</w:t>
      </w:r>
      <w:r w:rsidR="290D31FE" w:rsidRPr="281109E2">
        <w:rPr>
          <w:rFonts w:asciiTheme="majorHAnsi" w:hAnsiTheme="majorHAnsi" w:cstheme="majorBidi"/>
        </w:rPr>
        <w:t>fication</w:t>
      </w:r>
      <w:r w:rsidR="00B3319B">
        <w:rPr>
          <w:rFonts w:asciiTheme="majorHAnsi" w:hAnsiTheme="majorHAnsi" w:cstheme="majorBidi"/>
        </w:rPr>
        <w:t xml:space="preserve">, including </w:t>
      </w:r>
      <w:r w:rsidR="007D4B14">
        <w:rPr>
          <w:rFonts w:asciiTheme="majorHAnsi" w:hAnsiTheme="majorHAnsi" w:cstheme="majorBidi"/>
        </w:rPr>
        <w:t xml:space="preserve">about </w:t>
      </w:r>
      <w:r w:rsidR="00B3319B">
        <w:rPr>
          <w:rFonts w:asciiTheme="majorHAnsi" w:hAnsiTheme="majorHAnsi" w:cstheme="majorBidi"/>
        </w:rPr>
        <w:t xml:space="preserve">compliance with the EPs. </w:t>
      </w:r>
    </w:p>
    <w:p w14:paraId="33A38426" w14:textId="0212375E" w:rsidR="004400F8" w:rsidRDefault="2FB557B5" w:rsidP="004400F8">
      <w:r>
        <w:t>If you need expert help</w:t>
      </w:r>
      <w:r w:rsidR="00DE522C">
        <w:t xml:space="preserve"> to ensure your device complies with the EPs, </w:t>
      </w:r>
      <w:r>
        <w:t>s</w:t>
      </w:r>
      <w:r w:rsidR="7FC1FADF">
        <w:t>ome</w:t>
      </w:r>
      <w:r w:rsidR="00695C2B" w:rsidRPr="00CF161D">
        <w:t xml:space="preserve"> </w:t>
      </w:r>
      <w:hyperlink r:id="rId17" w:history="1">
        <w:r w:rsidR="00475C1D" w:rsidRPr="318F45E2">
          <w:rPr>
            <w:rStyle w:val="Hyperlink"/>
            <w:rFonts w:cstheme="majorBidi"/>
          </w:rPr>
          <w:t>industry organisations</w:t>
        </w:r>
      </w:hyperlink>
      <w:r w:rsidR="00475C1D" w:rsidRPr="00D422DC">
        <w:t xml:space="preserve"> </w:t>
      </w:r>
      <w:r w:rsidR="75128462">
        <w:t xml:space="preserve">may </w:t>
      </w:r>
      <w:r w:rsidR="19467751">
        <w:t xml:space="preserve">be able to </w:t>
      </w:r>
      <w:r w:rsidR="75128462">
        <w:t>help</w:t>
      </w:r>
      <w:r w:rsidR="00475C1D" w:rsidRPr="00D422DC">
        <w:t xml:space="preserve"> you </w:t>
      </w:r>
      <w:r w:rsidR="4FF70900">
        <w:t>find</w:t>
      </w:r>
      <w:r w:rsidR="00475C1D" w:rsidRPr="00D422DC">
        <w:t xml:space="preserve"> a </w:t>
      </w:r>
      <w:r w:rsidR="43D75DE3">
        <w:t>medical device</w:t>
      </w:r>
      <w:r w:rsidR="00475C1D" w:rsidRPr="00D422DC">
        <w:t xml:space="preserve"> regulatory affairs consultant</w:t>
      </w:r>
      <w:r w:rsidR="00AB24CE" w:rsidRPr="00CF161D">
        <w:t xml:space="preserve">. </w:t>
      </w:r>
    </w:p>
    <w:p w14:paraId="66F05D56" w14:textId="58FE6CDF" w:rsidR="00C472B1" w:rsidRPr="00974284" w:rsidRDefault="00FD0D83" w:rsidP="004400F8">
      <w:pPr>
        <w:pStyle w:val="Heading2"/>
      </w:pPr>
      <w:r w:rsidRPr="00974284">
        <w:lastRenderedPageBreak/>
        <w:t xml:space="preserve">Including a </w:t>
      </w:r>
      <w:r w:rsidR="00A7731D" w:rsidRPr="00974284">
        <w:t>therapeutic vaping device on the ARTG</w:t>
      </w:r>
    </w:p>
    <w:p w14:paraId="0585302E" w14:textId="09CEDD9B" w:rsidR="00CB0EE8" w:rsidRDefault="1D22BFE4" w:rsidP="002E165B">
      <w:pPr>
        <w:pStyle w:val="NormalWeb"/>
        <w:spacing w:before="0" w:beforeAutospacing="0" w:after="0" w:afterAutospacing="0"/>
        <w:rPr>
          <w:rFonts w:asciiTheme="majorHAnsi" w:eastAsia="Cambria" w:hAnsiTheme="majorHAnsi" w:cstheme="majorHAnsi"/>
          <w:color w:val="333F48"/>
          <w:sz w:val="22"/>
          <w:szCs w:val="22"/>
          <w:lang w:eastAsia="en-US"/>
        </w:rPr>
      </w:pPr>
      <w:r w:rsidRPr="00181817">
        <w:rPr>
          <w:rFonts w:asciiTheme="majorHAnsi" w:eastAsia="Cambria" w:hAnsiTheme="majorHAnsi" w:cstheme="majorHAnsi"/>
          <w:color w:val="333F48"/>
          <w:sz w:val="22"/>
          <w:szCs w:val="22"/>
          <w:lang w:eastAsia="en-US"/>
        </w:rPr>
        <w:t xml:space="preserve">You </w:t>
      </w:r>
      <w:r w:rsidR="004957F3" w:rsidRPr="00181817">
        <w:rPr>
          <w:rFonts w:asciiTheme="majorHAnsi" w:eastAsia="Cambria" w:hAnsiTheme="majorHAnsi" w:cstheme="majorHAnsi"/>
          <w:color w:val="333F48"/>
          <w:sz w:val="22"/>
          <w:szCs w:val="22"/>
          <w:lang w:eastAsia="en-US"/>
        </w:rPr>
        <w:t xml:space="preserve">are encouraged to </w:t>
      </w:r>
      <w:r w:rsidRPr="00181817">
        <w:rPr>
          <w:rFonts w:asciiTheme="majorHAnsi" w:eastAsia="Cambria" w:hAnsiTheme="majorHAnsi" w:cstheme="majorHAnsi"/>
          <w:color w:val="333F48"/>
          <w:sz w:val="22"/>
          <w:szCs w:val="22"/>
          <w:lang w:eastAsia="en-US"/>
        </w:rPr>
        <w:t>seek a</w:t>
      </w:r>
      <w:r w:rsidR="00636859" w:rsidRPr="00181817">
        <w:rPr>
          <w:rFonts w:asciiTheme="majorHAnsi" w:eastAsia="Cambria" w:hAnsiTheme="majorHAnsi" w:cstheme="majorHAnsi"/>
          <w:color w:val="333F48"/>
          <w:sz w:val="22"/>
          <w:szCs w:val="22"/>
          <w:lang w:eastAsia="en-US"/>
        </w:rPr>
        <w:t xml:space="preserve"> </w:t>
      </w:r>
      <w:hyperlink r:id="rId18" w:history="1">
        <w:r w:rsidR="00636859" w:rsidRPr="00181817">
          <w:rPr>
            <w:rStyle w:val="Hyperlink"/>
            <w:rFonts w:asciiTheme="majorHAnsi" w:eastAsia="Cambria" w:hAnsiTheme="majorHAnsi" w:cstheme="majorHAnsi"/>
            <w:sz w:val="22"/>
            <w:szCs w:val="22"/>
            <w:lang w:eastAsia="en-US"/>
          </w:rPr>
          <w:t>p</w:t>
        </w:r>
        <w:r w:rsidR="00324E54" w:rsidRPr="00181817">
          <w:rPr>
            <w:rStyle w:val="Hyperlink"/>
            <w:rFonts w:asciiTheme="majorHAnsi" w:eastAsia="Cambria" w:hAnsiTheme="majorHAnsi" w:cstheme="majorHAnsi"/>
            <w:sz w:val="22"/>
            <w:szCs w:val="22"/>
            <w:lang w:eastAsia="en-US"/>
          </w:rPr>
          <w:t>re-submission meeting with TGA</w:t>
        </w:r>
      </w:hyperlink>
      <w:r w:rsidR="00916AC3" w:rsidRPr="00181817">
        <w:rPr>
          <w:rFonts w:asciiTheme="majorHAnsi" w:eastAsia="Cambria" w:hAnsiTheme="majorHAnsi" w:cstheme="majorHAnsi"/>
          <w:color w:val="333F48"/>
          <w:sz w:val="22"/>
          <w:szCs w:val="22"/>
          <w:lang w:eastAsia="en-US"/>
        </w:rPr>
        <w:t xml:space="preserve"> </w:t>
      </w:r>
      <w:r w:rsidR="004C7361" w:rsidRPr="00181817">
        <w:rPr>
          <w:rFonts w:asciiTheme="majorHAnsi" w:eastAsia="Cambria" w:hAnsiTheme="majorHAnsi" w:cstheme="majorHAnsi"/>
          <w:color w:val="333F48"/>
          <w:sz w:val="22"/>
          <w:szCs w:val="22"/>
          <w:lang w:eastAsia="en-US"/>
        </w:rPr>
        <w:t>if you intend to</w:t>
      </w:r>
      <w:r w:rsidR="0092500A" w:rsidRPr="00181817">
        <w:rPr>
          <w:rFonts w:asciiTheme="majorHAnsi" w:eastAsia="Cambria" w:hAnsiTheme="majorHAnsi" w:cstheme="majorHAnsi"/>
          <w:color w:val="333F48"/>
          <w:sz w:val="22"/>
          <w:szCs w:val="22"/>
          <w:lang w:eastAsia="en-US"/>
        </w:rPr>
        <w:t xml:space="preserve"> </w:t>
      </w:r>
      <w:r w:rsidR="2ED6A5F4" w:rsidRPr="00181817">
        <w:rPr>
          <w:rFonts w:asciiTheme="majorHAnsi" w:eastAsia="Cambria" w:hAnsiTheme="majorHAnsi" w:cstheme="majorHAnsi"/>
          <w:color w:val="333F48"/>
          <w:sz w:val="22"/>
          <w:szCs w:val="22"/>
          <w:lang w:eastAsia="en-US"/>
        </w:rPr>
        <w:t>seek TGA approval for your therapeutic vaping device</w:t>
      </w:r>
      <w:r w:rsidR="0CC86484" w:rsidRPr="00181817">
        <w:rPr>
          <w:rFonts w:asciiTheme="majorHAnsi" w:eastAsia="Cambria" w:hAnsiTheme="majorHAnsi" w:cstheme="majorHAnsi"/>
          <w:color w:val="333F48"/>
          <w:sz w:val="22"/>
          <w:szCs w:val="22"/>
          <w:lang w:eastAsia="en-US"/>
        </w:rPr>
        <w:t xml:space="preserve">. Please do this early in your planning to </w:t>
      </w:r>
      <w:r w:rsidR="56C3498F" w:rsidRPr="00181817">
        <w:rPr>
          <w:rFonts w:asciiTheme="majorHAnsi" w:eastAsia="Cambria" w:hAnsiTheme="majorHAnsi" w:cstheme="majorHAnsi"/>
          <w:color w:val="333F48"/>
          <w:sz w:val="22"/>
          <w:szCs w:val="22"/>
          <w:lang w:eastAsia="en-US"/>
        </w:rPr>
        <w:t>ensure you understand the regulatory requirements for including a therapeutic device in the ARTG.</w:t>
      </w:r>
    </w:p>
    <w:p w14:paraId="2CA87F69" w14:textId="7AB3D446" w:rsidR="00D9296A" w:rsidRPr="00D9296A" w:rsidRDefault="008522E7" w:rsidP="00D9296A">
      <w:pPr>
        <w:pStyle w:val="Heading2"/>
      </w:pPr>
      <w:r>
        <w:t>S</w:t>
      </w:r>
      <w:r w:rsidRPr="00D9296A">
        <w:t xml:space="preserve">tandards </w:t>
      </w:r>
      <w:r>
        <w:t>to</w:t>
      </w:r>
      <w:r w:rsidRPr="00D9296A">
        <w:t xml:space="preserve"> help demonstrate </w:t>
      </w:r>
      <w:r w:rsidR="002D2205">
        <w:t>a</w:t>
      </w:r>
      <w:r>
        <w:t xml:space="preserve"> </w:t>
      </w:r>
      <w:r w:rsidRPr="00D9296A">
        <w:t>therapeutic vaping device complie</w:t>
      </w:r>
      <w:r>
        <w:t>s with t</w:t>
      </w:r>
      <w:r w:rsidR="00D9296A" w:rsidRPr="00D9296A">
        <w:t>he Essential Principles</w:t>
      </w:r>
    </w:p>
    <w:p w14:paraId="572CBC48" w14:textId="348AD6E4" w:rsidR="00D9296A" w:rsidRPr="00D9296A" w:rsidRDefault="00D9296A" w:rsidP="00D9296A">
      <w:pPr>
        <w:pStyle w:val="NormalWeb"/>
        <w:shd w:val="clear" w:color="auto" w:fill="FFFFFF" w:themeFill="background1"/>
        <w:rPr>
          <w:rFonts w:asciiTheme="majorHAnsi" w:eastAsia="Cambria" w:hAnsiTheme="majorHAnsi" w:cstheme="majorBidi"/>
          <w:color w:val="333F48"/>
          <w:sz w:val="22"/>
          <w:szCs w:val="22"/>
          <w:lang w:eastAsia="en-US"/>
        </w:rPr>
      </w:pPr>
      <w:r w:rsidRPr="00D9296A">
        <w:rPr>
          <w:rFonts w:asciiTheme="majorHAnsi" w:eastAsia="Cambria" w:hAnsiTheme="majorHAnsi" w:cstheme="majorBidi"/>
          <w:color w:val="333F48"/>
          <w:sz w:val="22"/>
          <w:szCs w:val="22"/>
          <w:lang w:eastAsia="en-US"/>
        </w:rPr>
        <w:t xml:space="preserve">The following checklist is </w:t>
      </w:r>
      <w:r w:rsidR="008522E7">
        <w:rPr>
          <w:rFonts w:asciiTheme="majorHAnsi" w:eastAsia="Cambria" w:hAnsiTheme="majorHAnsi" w:cstheme="majorBidi"/>
          <w:color w:val="333F48"/>
          <w:sz w:val="22"/>
          <w:szCs w:val="22"/>
          <w:lang w:eastAsia="en-US"/>
        </w:rPr>
        <w:t xml:space="preserve">designed </w:t>
      </w:r>
      <w:r w:rsidRPr="00D9296A">
        <w:rPr>
          <w:rFonts w:asciiTheme="majorHAnsi" w:eastAsia="Cambria" w:hAnsiTheme="majorHAnsi" w:cstheme="majorBidi"/>
          <w:color w:val="333F48"/>
          <w:sz w:val="22"/>
          <w:szCs w:val="22"/>
          <w:lang w:eastAsia="en-US"/>
        </w:rPr>
        <w:t>to help you if you intend to claim compliance with the EPs, however it is not exhaustive as there are many other standards or sources of information you could use. Compliance with one or more of the standards listed does not mean you meet all the regulatory requirements.</w:t>
      </w:r>
    </w:p>
    <w:p w14:paraId="6A3FE787" w14:textId="6B1C149A" w:rsidR="00D9296A" w:rsidRPr="008522E7" w:rsidDel="00DE166D" w:rsidRDefault="00D9296A" w:rsidP="008522E7">
      <w:pPr>
        <w:pStyle w:val="NormalWeb"/>
        <w:shd w:val="clear" w:color="auto" w:fill="FFFFFF" w:themeFill="background1"/>
        <w:rPr>
          <w:rFonts w:asciiTheme="majorHAnsi" w:eastAsia="Cambria" w:hAnsiTheme="majorHAnsi" w:cstheme="majorBidi"/>
          <w:color w:val="333F48"/>
          <w:sz w:val="22"/>
          <w:szCs w:val="22"/>
          <w:lang w:eastAsia="en-US"/>
        </w:rPr>
      </w:pPr>
      <w:r w:rsidRPr="008522E7" w:rsidDel="00DE166D">
        <w:rPr>
          <w:rFonts w:asciiTheme="majorHAnsi" w:eastAsia="Cambria" w:hAnsiTheme="majorHAnsi" w:cstheme="majorBidi"/>
          <w:color w:val="333F48"/>
          <w:sz w:val="22"/>
          <w:szCs w:val="22"/>
          <w:lang w:eastAsia="en-US"/>
        </w:rPr>
        <w:t>Note</w:t>
      </w:r>
      <w:r w:rsidRPr="008522E7">
        <w:rPr>
          <w:rFonts w:asciiTheme="majorHAnsi" w:eastAsia="Cambria" w:hAnsiTheme="majorHAnsi" w:cstheme="majorBidi"/>
          <w:color w:val="333F48"/>
          <w:sz w:val="22"/>
          <w:szCs w:val="22"/>
          <w:lang w:eastAsia="en-US"/>
        </w:rPr>
        <w:t>s</w:t>
      </w:r>
      <w:r w:rsidR="008522E7">
        <w:rPr>
          <w:rFonts w:asciiTheme="majorHAnsi" w:eastAsia="Cambria" w:hAnsiTheme="majorHAnsi" w:cstheme="majorBidi"/>
          <w:color w:val="333F48"/>
          <w:sz w:val="22"/>
          <w:szCs w:val="22"/>
          <w:lang w:eastAsia="en-US"/>
        </w:rPr>
        <w:t xml:space="preserve"> for the checklist</w:t>
      </w:r>
      <w:r w:rsidRPr="008522E7" w:rsidDel="00DE166D">
        <w:rPr>
          <w:rFonts w:asciiTheme="majorHAnsi" w:eastAsia="Cambria" w:hAnsiTheme="majorHAnsi" w:cstheme="majorBidi"/>
          <w:color w:val="333F48"/>
          <w:sz w:val="22"/>
          <w:szCs w:val="22"/>
          <w:lang w:eastAsia="en-US"/>
        </w:rPr>
        <w:t xml:space="preserve">:  </w:t>
      </w:r>
    </w:p>
    <w:p w14:paraId="30A209EC" w14:textId="408E563F" w:rsidR="00D9296A" w:rsidDel="00DE166D" w:rsidRDefault="008522E7" w:rsidP="00D9296A">
      <w:pPr>
        <w:pStyle w:val="ListParagraph"/>
        <w:numPr>
          <w:ilvl w:val="0"/>
          <w:numId w:val="41"/>
        </w:numPr>
        <w:rPr>
          <w:rFonts w:asciiTheme="majorHAnsi" w:hAnsiTheme="majorHAnsi" w:cstheme="majorBidi"/>
        </w:rPr>
      </w:pPr>
      <w:r>
        <w:rPr>
          <w:rFonts w:asciiTheme="majorHAnsi" w:hAnsiTheme="majorHAnsi" w:cstheme="majorBidi"/>
        </w:rPr>
        <w:t xml:space="preserve">If a </w:t>
      </w:r>
      <w:r w:rsidDel="00DE166D">
        <w:rPr>
          <w:rFonts w:asciiTheme="majorHAnsi" w:hAnsiTheme="majorHAnsi" w:cstheme="majorBidi"/>
        </w:rPr>
        <w:t xml:space="preserve">standard </w:t>
      </w:r>
      <w:r>
        <w:rPr>
          <w:rFonts w:asciiTheme="majorHAnsi" w:hAnsiTheme="majorHAnsi" w:cstheme="majorBidi"/>
        </w:rPr>
        <w:t xml:space="preserve">listed in </w:t>
      </w:r>
      <w:r w:rsidR="00D9296A">
        <w:rPr>
          <w:rFonts w:asciiTheme="majorHAnsi" w:hAnsiTheme="majorHAnsi" w:cstheme="majorBidi"/>
        </w:rPr>
        <w:t xml:space="preserve">the </w:t>
      </w:r>
      <w:r>
        <w:rPr>
          <w:rFonts w:asciiTheme="majorHAnsi" w:hAnsiTheme="majorHAnsi" w:cstheme="majorBidi"/>
        </w:rPr>
        <w:t xml:space="preserve">checklist </w:t>
      </w:r>
      <w:r w:rsidR="00D9296A">
        <w:rPr>
          <w:rFonts w:asciiTheme="majorHAnsi" w:hAnsiTheme="majorHAnsi" w:cstheme="majorBidi"/>
        </w:rPr>
        <w:t xml:space="preserve">table </w:t>
      </w:r>
      <w:r>
        <w:rPr>
          <w:rFonts w:asciiTheme="majorHAnsi" w:hAnsiTheme="majorHAnsi" w:cstheme="majorBidi"/>
        </w:rPr>
        <w:t>has a tick, that standard</w:t>
      </w:r>
      <w:r w:rsidR="00D9296A" w:rsidDel="00DE166D">
        <w:rPr>
          <w:rFonts w:asciiTheme="majorHAnsi" w:hAnsiTheme="majorHAnsi" w:cstheme="majorBidi"/>
        </w:rPr>
        <w:t xml:space="preserve"> may </w:t>
      </w:r>
      <w:r w:rsidR="00D9296A">
        <w:rPr>
          <w:rFonts w:asciiTheme="majorHAnsi" w:hAnsiTheme="majorHAnsi" w:cstheme="majorBidi"/>
        </w:rPr>
        <w:t>help you</w:t>
      </w:r>
      <w:r w:rsidR="00D9296A" w:rsidDel="00DE166D">
        <w:rPr>
          <w:rFonts w:asciiTheme="majorHAnsi" w:hAnsiTheme="majorHAnsi" w:cstheme="majorBidi"/>
        </w:rPr>
        <w:t xml:space="preserve"> demonstrat</w:t>
      </w:r>
      <w:r w:rsidR="00D9296A">
        <w:rPr>
          <w:rFonts w:asciiTheme="majorHAnsi" w:hAnsiTheme="majorHAnsi" w:cstheme="majorBidi"/>
        </w:rPr>
        <w:t>e</w:t>
      </w:r>
      <w:r w:rsidR="00D9296A" w:rsidDel="00DE166D">
        <w:rPr>
          <w:rFonts w:asciiTheme="majorHAnsi" w:hAnsiTheme="majorHAnsi" w:cstheme="majorBidi"/>
        </w:rPr>
        <w:t xml:space="preserve"> compliance with the corresponding EP, or part of that EP. </w:t>
      </w:r>
    </w:p>
    <w:p w14:paraId="53638171" w14:textId="77777777" w:rsidR="00D9296A" w:rsidRPr="007C6BE9" w:rsidDel="00DE166D" w:rsidRDefault="00D9296A" w:rsidP="00D9296A">
      <w:pPr>
        <w:pStyle w:val="ListParagraph"/>
        <w:numPr>
          <w:ilvl w:val="0"/>
          <w:numId w:val="41"/>
        </w:numPr>
        <w:rPr>
          <w:rFonts w:asciiTheme="majorHAnsi" w:hAnsiTheme="majorHAnsi" w:cstheme="majorBidi"/>
        </w:rPr>
      </w:pPr>
      <w:r w:rsidDel="00DE166D">
        <w:rPr>
          <w:rFonts w:asciiTheme="majorHAnsi" w:hAnsiTheme="majorHAnsi" w:cstheme="majorBidi"/>
        </w:rPr>
        <w:t>To ensure full compliance, t</w:t>
      </w:r>
      <w:r w:rsidRPr="00F17BD1" w:rsidDel="00DE166D">
        <w:rPr>
          <w:rFonts w:asciiTheme="majorHAnsi" w:hAnsiTheme="majorHAnsi" w:cstheme="majorBidi"/>
        </w:rPr>
        <w:t>he manufacturer</w:t>
      </w:r>
      <w:r w:rsidDel="00DE166D">
        <w:rPr>
          <w:rFonts w:asciiTheme="majorHAnsi" w:hAnsiTheme="majorHAnsi" w:cstheme="majorBidi"/>
        </w:rPr>
        <w:t xml:space="preserve"> or sponsor of the device</w:t>
      </w:r>
      <w:r w:rsidRPr="00F17BD1" w:rsidDel="00DE166D">
        <w:rPr>
          <w:rFonts w:asciiTheme="majorHAnsi" w:hAnsiTheme="majorHAnsi" w:cstheme="majorBidi"/>
        </w:rPr>
        <w:t xml:space="preserve"> </w:t>
      </w:r>
      <w:r w:rsidDel="00DE166D">
        <w:rPr>
          <w:rFonts w:asciiTheme="majorHAnsi" w:hAnsiTheme="majorHAnsi" w:cstheme="majorBidi"/>
        </w:rPr>
        <w:t>should</w:t>
      </w:r>
      <w:r w:rsidRPr="00F17BD1" w:rsidDel="00DE166D">
        <w:rPr>
          <w:rFonts w:asciiTheme="majorHAnsi" w:hAnsiTheme="majorHAnsi" w:cstheme="majorBidi"/>
        </w:rPr>
        <w:t xml:space="preserve"> undertake a gap analysis to assess if EP requirements are met by the nominated standard</w:t>
      </w:r>
      <w:r>
        <w:rPr>
          <w:rFonts w:asciiTheme="majorHAnsi" w:hAnsiTheme="majorHAnsi" w:cstheme="majorBidi"/>
        </w:rPr>
        <w:t xml:space="preserve">, and to ensure all applicable EPs have been met. </w:t>
      </w:r>
    </w:p>
    <w:p w14:paraId="2B69BCAB" w14:textId="77777777" w:rsidR="00D9296A" w:rsidDel="00DE166D" w:rsidRDefault="00D9296A" w:rsidP="00D9296A">
      <w:pPr>
        <w:pStyle w:val="ListParagraph"/>
        <w:numPr>
          <w:ilvl w:val="0"/>
          <w:numId w:val="41"/>
        </w:numPr>
        <w:rPr>
          <w:rFonts w:asciiTheme="majorHAnsi" w:hAnsiTheme="majorHAnsi" w:cstheme="majorBidi"/>
        </w:rPr>
      </w:pPr>
      <w:r w:rsidDel="00DE166D">
        <w:rPr>
          <w:rFonts w:asciiTheme="majorHAnsi" w:hAnsiTheme="majorHAnsi" w:cstheme="majorBidi"/>
        </w:rPr>
        <w:t xml:space="preserve">You could use </w:t>
      </w:r>
      <w:r>
        <w:rPr>
          <w:rFonts w:asciiTheme="majorHAnsi" w:hAnsiTheme="majorHAnsi" w:cstheme="majorBidi"/>
        </w:rPr>
        <w:t>i</w:t>
      </w:r>
      <w:r w:rsidRPr="007C6BE9" w:rsidDel="00DE166D">
        <w:rPr>
          <w:rFonts w:asciiTheme="majorHAnsi" w:hAnsiTheme="majorHAnsi" w:cstheme="majorBidi"/>
        </w:rPr>
        <w:t>ndustry standards for e-cigarettes to establish evidence of compliance to some of the EPs (or parts of them)</w:t>
      </w:r>
      <w:r>
        <w:rPr>
          <w:rFonts w:asciiTheme="majorHAnsi" w:hAnsiTheme="majorHAnsi" w:cstheme="majorBidi"/>
        </w:rPr>
        <w:t>.</w:t>
      </w:r>
      <w:r w:rsidDel="00DE166D">
        <w:rPr>
          <w:rFonts w:asciiTheme="majorHAnsi" w:hAnsiTheme="majorHAnsi" w:cstheme="majorBidi"/>
        </w:rPr>
        <w:t xml:space="preserve"> </w:t>
      </w:r>
      <w:r>
        <w:rPr>
          <w:rFonts w:asciiTheme="majorHAnsi" w:hAnsiTheme="majorHAnsi" w:cstheme="majorBidi"/>
        </w:rPr>
        <w:t>H</w:t>
      </w:r>
      <w:r w:rsidRPr="007C6BE9" w:rsidDel="00DE166D">
        <w:rPr>
          <w:rFonts w:asciiTheme="majorHAnsi" w:hAnsiTheme="majorHAnsi" w:cstheme="majorBidi"/>
        </w:rPr>
        <w:t xml:space="preserve">owever, standards such as CEN/TS 17287 - Requirements and test methods for electronic cigarette devices are not sufficient to demonstrate compliance with all the EPs. These standards alone do not support therapeutic use. </w:t>
      </w:r>
    </w:p>
    <w:p w14:paraId="1277C630" w14:textId="7FB444B9" w:rsidR="00D9296A" w:rsidDel="00DE166D" w:rsidRDefault="00D9296A" w:rsidP="00D9296A">
      <w:pPr>
        <w:pStyle w:val="ListParagraph"/>
        <w:numPr>
          <w:ilvl w:val="0"/>
          <w:numId w:val="41"/>
        </w:numPr>
        <w:rPr>
          <w:rFonts w:asciiTheme="majorHAnsi" w:hAnsiTheme="majorHAnsi" w:cstheme="majorBidi"/>
        </w:rPr>
      </w:pPr>
      <w:r w:rsidDel="00DE166D">
        <w:rPr>
          <w:rFonts w:asciiTheme="majorHAnsi" w:hAnsiTheme="majorHAnsi" w:cstheme="majorBidi"/>
        </w:rPr>
        <w:t xml:space="preserve">If your device contains button or coin batteries, the </w:t>
      </w:r>
      <w:r w:rsidRPr="006A6636" w:rsidDel="00DE166D">
        <w:rPr>
          <w:rFonts w:asciiTheme="majorHAnsi" w:hAnsiTheme="majorHAnsi" w:cstheme="majorBidi"/>
          <w:i/>
          <w:iCs/>
        </w:rPr>
        <w:t>Consumer Goods (Products Containing Button/Coin Batteries) Safety Standard 2020</w:t>
      </w:r>
      <w:r w:rsidDel="00DE166D">
        <w:rPr>
          <w:rFonts w:asciiTheme="majorHAnsi" w:hAnsiTheme="majorHAnsi" w:cstheme="majorBidi"/>
        </w:rPr>
        <w:t xml:space="preserve"> is mandatory</w:t>
      </w:r>
      <w:r w:rsidR="008522E7">
        <w:rPr>
          <w:rFonts w:asciiTheme="majorHAnsi" w:hAnsiTheme="majorHAnsi" w:cstheme="majorBidi"/>
        </w:rPr>
        <w:t xml:space="preserve"> in Australia</w:t>
      </w:r>
      <w:r w:rsidDel="00DE166D">
        <w:rPr>
          <w:rFonts w:asciiTheme="majorHAnsi" w:hAnsiTheme="majorHAnsi" w:cstheme="majorBidi"/>
        </w:rPr>
        <w:t xml:space="preserve">. </w:t>
      </w:r>
    </w:p>
    <w:p w14:paraId="5042ACD0" w14:textId="77777777" w:rsidR="00D9296A" w:rsidRDefault="00D9296A" w:rsidP="002E165B">
      <w:pPr>
        <w:pStyle w:val="NormalWeb"/>
        <w:spacing w:before="0" w:beforeAutospacing="0" w:after="0" w:afterAutospacing="0"/>
        <w:rPr>
          <w:rFonts w:asciiTheme="majorHAnsi" w:eastAsia="Cambria" w:hAnsiTheme="majorHAnsi" w:cstheme="majorHAnsi"/>
          <w:color w:val="333F48"/>
          <w:sz w:val="22"/>
          <w:szCs w:val="22"/>
          <w:lang w:eastAsia="en-US"/>
        </w:rPr>
      </w:pPr>
    </w:p>
    <w:p w14:paraId="755FE938" w14:textId="77777777" w:rsidR="008522E7" w:rsidRDefault="008522E7">
      <w:pPr>
        <w:adjustRightInd/>
        <w:snapToGrid/>
        <w:spacing w:before="0" w:after="0" w:line="240" w:lineRule="auto"/>
        <w:rPr>
          <w:rFonts w:asciiTheme="majorHAnsi" w:eastAsia="Times New Roman" w:hAnsiTheme="majorHAnsi" w:cstheme="majorHAnsi"/>
          <w:b/>
          <w:bCs/>
          <w:color w:val="001871"/>
          <w:sz w:val="48"/>
          <w:szCs w:val="28"/>
        </w:rPr>
      </w:pPr>
      <w:r>
        <w:br w:type="page"/>
      </w:r>
    </w:p>
    <w:p w14:paraId="7F68A97E" w14:textId="248336E9" w:rsidR="004D04C3" w:rsidRDefault="004D04C3" w:rsidP="008522E7">
      <w:pPr>
        <w:pStyle w:val="Heading1"/>
        <w:sectPr w:rsidR="004D04C3" w:rsidSect="00D3276C">
          <w:footerReference w:type="default" r:id="rId19"/>
          <w:footerReference w:type="first" r:id="rId20"/>
          <w:footnotePr>
            <w:numFmt w:val="chicago"/>
          </w:footnotePr>
          <w:endnotePr>
            <w:numFmt w:val="chicago"/>
          </w:endnotePr>
          <w:pgSz w:w="11907" w:h="16840" w:code="9"/>
          <w:pgMar w:top="1104" w:right="1134" w:bottom="284" w:left="1134" w:header="284" w:footer="451" w:gutter="0"/>
          <w:cols w:space="708"/>
          <w:titlePg/>
          <w:docGrid w:linePitch="360"/>
        </w:sectPr>
      </w:pPr>
    </w:p>
    <w:p w14:paraId="5B2A0DE1" w14:textId="2C7C7966" w:rsidR="00586E61" w:rsidRPr="008522E7" w:rsidRDefault="008522E7" w:rsidP="008522E7">
      <w:pPr>
        <w:pStyle w:val="Heading1"/>
        <w:ind w:left="360"/>
      </w:pPr>
      <w:r>
        <w:lastRenderedPageBreak/>
        <w:t>Standards checklist for therapeutic vaping devices</w:t>
      </w:r>
    </w:p>
    <w:tbl>
      <w:tblPr>
        <w:tblStyle w:val="TableTGAblue"/>
        <w:tblW w:w="15397" w:type="dxa"/>
        <w:tblLook w:val="04A0" w:firstRow="1" w:lastRow="0" w:firstColumn="1" w:lastColumn="0" w:noHBand="0" w:noVBand="1"/>
      </w:tblPr>
      <w:tblGrid>
        <w:gridCol w:w="1446"/>
        <w:gridCol w:w="1105"/>
        <w:gridCol w:w="7184"/>
        <w:gridCol w:w="828"/>
        <w:gridCol w:w="834"/>
        <w:gridCol w:w="1023"/>
        <w:gridCol w:w="2977"/>
      </w:tblGrid>
      <w:tr w:rsidR="004115A3" w:rsidRPr="00D00B19" w14:paraId="5A6EF7F8" w14:textId="77777777" w:rsidTr="001E5558">
        <w:trPr>
          <w:cnfStyle w:val="100000000000" w:firstRow="1" w:lastRow="0" w:firstColumn="0" w:lastColumn="0" w:oddVBand="0" w:evenVBand="0" w:oddHBand="0" w:evenHBand="0" w:firstRowFirstColumn="0" w:firstRowLastColumn="0" w:lastRowFirstColumn="0" w:lastRowLastColumn="0"/>
          <w:cantSplit w:val="0"/>
          <w:trHeight w:val="900"/>
          <w:tblHeader/>
        </w:trPr>
        <w:tc>
          <w:tcPr>
            <w:tcW w:w="1446" w:type="dxa"/>
            <w:noWrap/>
            <w:hideMark/>
          </w:tcPr>
          <w:p w14:paraId="46EFCE86" w14:textId="405D06C7" w:rsidR="00B90D7F" w:rsidRPr="00F04A09" w:rsidRDefault="00CD351D" w:rsidP="001E5558">
            <w:pPr>
              <w:adjustRightInd/>
              <w:snapToGrid/>
              <w:spacing w:after="0" w:line="240" w:lineRule="auto"/>
              <w:ind w:left="20" w:hanging="20"/>
              <w:jc w:val="center"/>
              <w:rPr>
                <w:rFonts w:asciiTheme="majorHAnsi" w:eastAsia="Times New Roman" w:hAnsiTheme="majorHAnsi" w:cstheme="majorBidi"/>
                <w:b w:val="0"/>
                <w:color w:val="000000"/>
                <w:lang w:eastAsia="en-AU"/>
              </w:rPr>
            </w:pPr>
            <w:r>
              <w:rPr>
                <w:rFonts w:asciiTheme="majorHAnsi" w:eastAsia="Times New Roman" w:hAnsiTheme="majorHAnsi" w:cstheme="majorBidi"/>
                <w:color w:val="000000"/>
                <w:lang w:eastAsia="en-AU"/>
              </w:rPr>
              <w:t>Cross</w:t>
            </w:r>
            <w:r w:rsidR="005D7BBE" w:rsidRPr="00F04A09">
              <w:rPr>
                <w:rFonts w:asciiTheme="majorHAnsi" w:eastAsia="Times New Roman" w:hAnsiTheme="majorHAnsi" w:cstheme="majorBidi"/>
                <w:color w:val="000000"/>
                <w:lang w:eastAsia="en-AU"/>
              </w:rPr>
              <w:t xml:space="preserve"> here when you have evidence for this EP</w:t>
            </w:r>
            <w:r w:rsidR="00AF7B4F" w:rsidRPr="00F04A09">
              <w:br/>
            </w:r>
            <w:r w:rsidR="00AF7B4F" w:rsidRPr="00F04A09">
              <w:rPr>
                <w:rFonts w:asciiTheme="majorHAnsi" w:eastAsia="Times New Roman" w:hAnsiTheme="majorHAnsi" w:cstheme="majorBidi"/>
                <w:color w:val="000000"/>
                <w:lang w:eastAsia="en-AU"/>
              </w:rPr>
              <w:t>(</w:t>
            </w:r>
            <w:sdt>
              <w:sdtPr>
                <w:rPr>
                  <w:rFonts w:asciiTheme="majorHAnsi" w:eastAsia="Chilgok Gwon Anja" w:hAnsiTheme="majorHAnsi" w:cstheme="majorBidi" w:hint="eastAsia"/>
                  <w:color w:val="000000"/>
                  <w:lang w:eastAsia="en-AU"/>
                </w:rPr>
                <w:id w:val="666524716"/>
                <w14:checkbox>
                  <w14:checked w14:val="1"/>
                  <w14:checkedState w14:val="2612" w14:font="MS Gothic"/>
                  <w14:uncheckedState w14:val="2610" w14:font="MS Gothic"/>
                </w14:checkbox>
              </w:sdtPr>
              <w:sdtEndPr/>
              <w:sdtContent>
                <w:r>
                  <w:rPr>
                    <w:rFonts w:ascii="MS Gothic" w:eastAsia="MS Gothic" w:hAnsi="MS Gothic" w:cstheme="majorBidi" w:hint="eastAsia"/>
                    <w:color w:val="000000"/>
                    <w:lang w:eastAsia="en-AU"/>
                  </w:rPr>
                  <w:t>☒</w:t>
                </w:r>
              </w:sdtContent>
            </w:sdt>
            <w:r w:rsidR="00AF7B4F" w:rsidRPr="00F04A09">
              <w:rPr>
                <w:rFonts w:asciiTheme="majorHAnsi" w:eastAsia="Times New Roman" w:hAnsiTheme="majorHAnsi" w:cstheme="majorBidi"/>
                <w:color w:val="000000"/>
                <w:lang w:eastAsia="en-AU"/>
              </w:rPr>
              <w:t>)</w:t>
            </w:r>
          </w:p>
        </w:tc>
        <w:tc>
          <w:tcPr>
            <w:tcW w:w="1105" w:type="dxa"/>
            <w:noWrap/>
            <w:hideMark/>
          </w:tcPr>
          <w:p w14:paraId="78D2C484" w14:textId="5EACA199" w:rsidR="00B90D7F" w:rsidRPr="00F04A09" w:rsidRDefault="00B90D7F" w:rsidP="001E5558">
            <w:pPr>
              <w:adjustRightInd/>
              <w:snapToGrid/>
              <w:spacing w:after="0" w:line="720" w:lineRule="auto"/>
              <w:jc w:val="center"/>
              <w:rPr>
                <w:rFonts w:asciiTheme="majorHAnsi" w:eastAsia="Times New Roman" w:hAnsiTheme="majorHAnsi" w:cstheme="majorHAnsi"/>
                <w:b w:val="0"/>
                <w:color w:val="000000"/>
                <w:lang w:eastAsia="en-AU"/>
              </w:rPr>
            </w:pPr>
            <w:r w:rsidRPr="00F04A09">
              <w:rPr>
                <w:rFonts w:asciiTheme="majorHAnsi" w:eastAsia="Times New Roman" w:hAnsiTheme="majorHAnsi" w:cstheme="majorHAnsi"/>
                <w:color w:val="000000"/>
                <w:lang w:eastAsia="en-AU"/>
              </w:rPr>
              <w:t>EP</w:t>
            </w:r>
            <w:r w:rsidR="009423B2" w:rsidRPr="00F04A09">
              <w:rPr>
                <w:rFonts w:asciiTheme="majorHAnsi" w:eastAsia="Times New Roman" w:hAnsiTheme="majorHAnsi" w:cstheme="majorHAnsi"/>
                <w:color w:val="000000"/>
                <w:lang w:eastAsia="en-AU"/>
              </w:rPr>
              <w:t xml:space="preserve"> </w:t>
            </w:r>
            <w:r w:rsidR="008522E7">
              <w:rPr>
                <w:rFonts w:asciiTheme="majorHAnsi" w:eastAsia="Times New Roman" w:hAnsiTheme="majorHAnsi" w:cstheme="majorHAnsi"/>
                <w:color w:val="000000"/>
                <w:lang w:eastAsia="en-AU"/>
              </w:rPr>
              <w:t>No</w:t>
            </w:r>
          </w:p>
        </w:tc>
        <w:tc>
          <w:tcPr>
            <w:tcW w:w="7184" w:type="dxa"/>
            <w:noWrap/>
            <w:hideMark/>
          </w:tcPr>
          <w:p w14:paraId="48C9F3FD" w14:textId="51289E6B" w:rsidR="00B90D7F" w:rsidRPr="00F04A09" w:rsidRDefault="00B90D7F" w:rsidP="001E5558">
            <w:pPr>
              <w:adjustRightInd/>
              <w:snapToGrid/>
              <w:spacing w:after="0" w:line="720" w:lineRule="auto"/>
              <w:jc w:val="center"/>
              <w:rPr>
                <w:rFonts w:asciiTheme="majorHAnsi" w:eastAsia="Times New Roman" w:hAnsiTheme="majorHAnsi" w:cstheme="majorBidi"/>
                <w:b w:val="0"/>
                <w:color w:val="000000"/>
                <w:lang w:eastAsia="en-AU"/>
              </w:rPr>
            </w:pPr>
            <w:r w:rsidRPr="00F04A09">
              <w:rPr>
                <w:rFonts w:asciiTheme="majorHAnsi" w:eastAsia="Times New Roman" w:hAnsiTheme="majorHAnsi" w:cstheme="majorBidi"/>
                <w:color w:val="000000"/>
                <w:lang w:eastAsia="en-AU"/>
              </w:rPr>
              <w:t>EP Description</w:t>
            </w:r>
          </w:p>
        </w:tc>
        <w:tc>
          <w:tcPr>
            <w:tcW w:w="828" w:type="dxa"/>
            <w:noWrap/>
            <w:hideMark/>
          </w:tcPr>
          <w:p w14:paraId="06A20A74" w14:textId="77777777" w:rsidR="00B90D7F" w:rsidRPr="00F04A09" w:rsidRDefault="00B90D7F" w:rsidP="001E5558">
            <w:pPr>
              <w:adjustRightInd/>
              <w:snapToGrid/>
              <w:spacing w:after="0" w:line="240" w:lineRule="auto"/>
              <w:jc w:val="center"/>
              <w:rPr>
                <w:rFonts w:asciiTheme="majorHAnsi" w:eastAsia="Times New Roman" w:hAnsiTheme="majorHAnsi" w:cstheme="majorBidi"/>
                <w:b w:val="0"/>
                <w:color w:val="000000"/>
                <w:lang w:eastAsia="en-AU"/>
              </w:rPr>
            </w:pPr>
            <w:r w:rsidRPr="00F04A09">
              <w:rPr>
                <w:rFonts w:asciiTheme="majorHAnsi" w:eastAsia="Times New Roman" w:hAnsiTheme="majorHAnsi" w:cstheme="majorBidi"/>
                <w:color w:val="000000"/>
                <w:lang w:eastAsia="en-AU"/>
              </w:rPr>
              <w:t>ISO 14971</w:t>
            </w:r>
          </w:p>
        </w:tc>
        <w:tc>
          <w:tcPr>
            <w:tcW w:w="834" w:type="dxa"/>
            <w:noWrap/>
            <w:hideMark/>
          </w:tcPr>
          <w:p w14:paraId="1177B9F1" w14:textId="77777777" w:rsidR="00B90D7F" w:rsidRPr="00F04A09" w:rsidRDefault="00B90D7F" w:rsidP="001E5558">
            <w:pPr>
              <w:adjustRightInd/>
              <w:snapToGrid/>
              <w:spacing w:after="0" w:line="240" w:lineRule="auto"/>
              <w:jc w:val="center"/>
              <w:rPr>
                <w:rFonts w:asciiTheme="majorHAnsi" w:eastAsia="Times New Roman" w:hAnsiTheme="majorHAnsi" w:cstheme="majorHAnsi"/>
                <w:b w:val="0"/>
                <w:color w:val="000000"/>
                <w:lang w:eastAsia="en-AU"/>
              </w:rPr>
            </w:pPr>
            <w:r w:rsidRPr="00F04A09">
              <w:rPr>
                <w:rFonts w:asciiTheme="majorHAnsi" w:eastAsia="Times New Roman" w:hAnsiTheme="majorHAnsi" w:cstheme="majorHAnsi"/>
                <w:color w:val="000000"/>
                <w:lang w:eastAsia="en-AU"/>
              </w:rPr>
              <w:t xml:space="preserve">ISO 20072 </w:t>
            </w:r>
          </w:p>
        </w:tc>
        <w:tc>
          <w:tcPr>
            <w:tcW w:w="1023" w:type="dxa"/>
            <w:noWrap/>
            <w:hideMark/>
          </w:tcPr>
          <w:p w14:paraId="39251610" w14:textId="77777777" w:rsidR="00B90D7F" w:rsidRPr="00F04A09" w:rsidRDefault="00B90D7F" w:rsidP="001E5558">
            <w:pPr>
              <w:adjustRightInd/>
              <w:snapToGrid/>
              <w:spacing w:after="0" w:line="240" w:lineRule="auto"/>
              <w:jc w:val="center"/>
              <w:rPr>
                <w:rFonts w:asciiTheme="majorHAnsi" w:eastAsia="Times New Roman" w:hAnsiTheme="majorHAnsi" w:cstheme="majorBidi"/>
                <w:b w:val="0"/>
                <w:color w:val="000000"/>
                <w:lang w:eastAsia="en-AU"/>
              </w:rPr>
            </w:pPr>
            <w:r w:rsidRPr="00F04A09">
              <w:rPr>
                <w:rFonts w:asciiTheme="majorHAnsi" w:eastAsia="Times New Roman" w:hAnsiTheme="majorHAnsi" w:cstheme="majorBidi"/>
                <w:color w:val="000000"/>
                <w:lang w:eastAsia="en-AU"/>
              </w:rPr>
              <w:t>CEN/TS 17287 </w:t>
            </w:r>
          </w:p>
        </w:tc>
        <w:tc>
          <w:tcPr>
            <w:tcW w:w="2977" w:type="dxa"/>
            <w:hideMark/>
          </w:tcPr>
          <w:p w14:paraId="5ECC308A" w14:textId="3C26CC85" w:rsidR="00B90D7F" w:rsidRPr="00F04A09" w:rsidRDefault="00B90D7F" w:rsidP="001E5558">
            <w:pPr>
              <w:adjustRightInd/>
              <w:snapToGrid/>
              <w:spacing w:after="0" w:line="240" w:lineRule="auto"/>
              <w:rPr>
                <w:rFonts w:asciiTheme="majorHAnsi" w:eastAsia="Times New Roman" w:hAnsiTheme="majorHAnsi" w:cstheme="majorHAnsi"/>
                <w:b w:val="0"/>
                <w:color w:val="000000"/>
                <w:lang w:eastAsia="en-AU"/>
              </w:rPr>
            </w:pPr>
            <w:r w:rsidRPr="00F04A09">
              <w:rPr>
                <w:rFonts w:asciiTheme="majorHAnsi" w:eastAsia="Times New Roman" w:hAnsiTheme="majorHAnsi" w:cstheme="majorHAnsi"/>
                <w:color w:val="000000"/>
                <w:lang w:eastAsia="en-AU"/>
              </w:rPr>
              <w:t xml:space="preserve">Other </w:t>
            </w:r>
            <w:r w:rsidR="00DE166D">
              <w:rPr>
                <w:rFonts w:asciiTheme="majorHAnsi" w:eastAsia="Times New Roman" w:hAnsiTheme="majorHAnsi" w:cstheme="majorHAnsi"/>
                <w:color w:val="000000"/>
                <w:lang w:eastAsia="en-AU"/>
              </w:rPr>
              <w:t>r</w:t>
            </w:r>
            <w:r w:rsidRPr="00F04A09">
              <w:rPr>
                <w:rFonts w:asciiTheme="majorHAnsi" w:eastAsia="Times New Roman" w:hAnsiTheme="majorHAnsi" w:cstheme="majorHAnsi"/>
                <w:color w:val="000000"/>
                <w:lang w:eastAsia="en-AU"/>
              </w:rPr>
              <w:t xml:space="preserve">elevant </w:t>
            </w:r>
            <w:r w:rsidR="004400F8">
              <w:rPr>
                <w:rFonts w:asciiTheme="majorHAnsi" w:eastAsia="Times New Roman" w:hAnsiTheme="majorHAnsi" w:cstheme="majorHAnsi"/>
                <w:color w:val="000000"/>
                <w:lang w:eastAsia="en-AU"/>
              </w:rPr>
              <w:t>s</w:t>
            </w:r>
            <w:r w:rsidRPr="00F04A09">
              <w:rPr>
                <w:rFonts w:asciiTheme="majorHAnsi" w:eastAsia="Times New Roman" w:hAnsiTheme="majorHAnsi" w:cstheme="majorHAnsi"/>
                <w:color w:val="000000"/>
                <w:lang w:eastAsia="en-AU"/>
              </w:rPr>
              <w:t>tandards and guidance documents</w:t>
            </w:r>
          </w:p>
        </w:tc>
      </w:tr>
      <w:tr w:rsidR="004115A3" w:rsidRPr="00D00B19" w14:paraId="024C7CF9" w14:textId="77777777" w:rsidTr="001E5558">
        <w:trPr>
          <w:trHeight w:val="1329"/>
        </w:trPr>
        <w:tc>
          <w:tcPr>
            <w:tcW w:w="1446" w:type="dxa"/>
            <w:noWrap/>
            <w:hideMark/>
          </w:tcPr>
          <w:p w14:paraId="6E2BDD20" w14:textId="733B87D0" w:rsidR="00E41A2D" w:rsidRPr="00181817" w:rsidRDefault="00F2353D" w:rsidP="00E41A2D">
            <w:pPr>
              <w:adjustRightInd/>
              <w:snapToGrid/>
              <w:spacing w:before="0" w:after="0" w:line="240" w:lineRule="auto"/>
              <w:ind w:left="20" w:hanging="20"/>
              <w:jc w:val="center"/>
              <w:rPr>
                <w:rFonts w:asciiTheme="majorHAnsi" w:eastAsia="Chilgok Gwon Anja" w:hAnsiTheme="majorHAnsi" w:cstheme="majorHAnsi"/>
                <w:color w:val="000000"/>
                <w:lang w:eastAsia="en-AU"/>
              </w:rPr>
            </w:pPr>
            <w:sdt>
              <w:sdtPr>
                <w:rPr>
                  <w:rFonts w:asciiTheme="majorHAnsi" w:eastAsia="Chilgok Gwon Anja" w:hAnsiTheme="majorHAnsi" w:cstheme="majorHAnsi" w:hint="eastAsia"/>
                  <w:color w:val="000000"/>
                  <w:lang w:eastAsia="en-AU"/>
                </w:rPr>
                <w:id w:val="-1287589950"/>
                <w14:checkbox>
                  <w14:checked w14:val="0"/>
                  <w14:checkedState w14:val="2612" w14:font="MS Gothic"/>
                  <w14:uncheckedState w14:val="2610" w14:font="MS Gothic"/>
                </w14:checkbox>
              </w:sdtPr>
              <w:sdtEndPr/>
              <w:sdtContent>
                <w:r w:rsidR="00CD351D">
                  <w:rPr>
                    <w:rFonts w:ascii="MS Gothic" w:eastAsia="MS Gothic" w:hAnsi="MS Gothic" w:cstheme="majorHAnsi" w:hint="eastAsia"/>
                    <w:color w:val="000000"/>
                    <w:lang w:eastAsia="en-AU"/>
                  </w:rPr>
                  <w:t>☐</w:t>
                </w:r>
              </w:sdtContent>
            </w:sdt>
          </w:p>
        </w:tc>
        <w:tc>
          <w:tcPr>
            <w:tcW w:w="1105" w:type="dxa"/>
            <w:noWrap/>
            <w:hideMark/>
          </w:tcPr>
          <w:p w14:paraId="23CF1461"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EP 1 </w:t>
            </w:r>
          </w:p>
        </w:tc>
        <w:tc>
          <w:tcPr>
            <w:tcW w:w="7184" w:type="dxa"/>
            <w:hideMark/>
          </w:tcPr>
          <w:p w14:paraId="5A4D9B89" w14:textId="18758472" w:rsidR="00E41A2D" w:rsidRPr="00181817" w:rsidRDefault="00E41A2D" w:rsidP="00E41A2D">
            <w:pPr>
              <w:adjustRightInd/>
              <w:snapToGrid/>
              <w:spacing w:before="0" w:after="0" w:line="240" w:lineRule="auto"/>
              <w:rPr>
                <w:rFonts w:asciiTheme="majorHAnsi" w:eastAsia="Times New Roman" w:hAnsiTheme="majorHAnsi" w:cstheme="majorBidi"/>
                <w:color w:val="000000"/>
                <w:lang w:eastAsia="en-AU"/>
              </w:rPr>
            </w:pPr>
            <w:r w:rsidRPr="00181817">
              <w:rPr>
                <w:rFonts w:asciiTheme="majorHAnsi" w:eastAsia="Times New Roman" w:hAnsiTheme="majorHAnsi" w:cstheme="majorBidi"/>
                <w:b/>
                <w:color w:val="000000"/>
                <w:lang w:eastAsia="en-AU"/>
              </w:rPr>
              <w:t>Use of medical devices not to compromise health and safety</w:t>
            </w:r>
            <w:r w:rsidRPr="00181817">
              <w:br/>
            </w:r>
            <w:r w:rsidR="52EF5E25" w:rsidRPr="00181817">
              <w:t>The m</w:t>
            </w:r>
            <w:r w:rsidRPr="00181817">
              <w:rPr>
                <w:rFonts w:asciiTheme="majorHAnsi" w:eastAsia="Times New Roman" w:hAnsiTheme="majorHAnsi" w:cstheme="majorBidi"/>
                <w:color w:val="000000"/>
                <w:lang w:eastAsia="en-AU"/>
              </w:rPr>
              <w:t xml:space="preserve">anufacturer </w:t>
            </w:r>
            <w:r w:rsidR="008037B6" w:rsidRPr="00181817">
              <w:rPr>
                <w:rFonts w:asciiTheme="majorHAnsi" w:eastAsia="Times New Roman" w:hAnsiTheme="majorHAnsi" w:cstheme="majorBidi"/>
                <w:color w:val="000000"/>
                <w:lang w:eastAsia="en-AU"/>
              </w:rPr>
              <w:t xml:space="preserve">should </w:t>
            </w:r>
            <w:r w:rsidRPr="00181817">
              <w:rPr>
                <w:rFonts w:asciiTheme="majorHAnsi" w:eastAsia="Times New Roman" w:hAnsiTheme="majorHAnsi" w:cstheme="majorBidi"/>
                <w:color w:val="000000"/>
                <w:lang w:eastAsia="en-AU"/>
              </w:rPr>
              <w:t>undertake a</w:t>
            </w:r>
            <w:r w:rsidR="004B4339" w:rsidRPr="00181817">
              <w:rPr>
                <w:rFonts w:asciiTheme="majorHAnsi" w:eastAsia="Times New Roman" w:hAnsiTheme="majorHAnsi" w:cstheme="majorBidi"/>
                <w:color w:val="000000"/>
                <w:lang w:eastAsia="en-AU"/>
              </w:rPr>
              <w:t xml:space="preserve">n </w:t>
            </w:r>
            <w:r w:rsidRPr="00181817">
              <w:rPr>
                <w:rFonts w:asciiTheme="majorHAnsi" w:eastAsia="Times New Roman" w:hAnsiTheme="majorHAnsi" w:cstheme="majorBidi"/>
                <w:color w:val="000000"/>
                <w:lang w:eastAsia="en-AU"/>
              </w:rPr>
              <w:t xml:space="preserve">analysis of the foreseeable risks that could occur </w:t>
            </w:r>
            <w:r w:rsidR="004B4339" w:rsidRPr="00181817">
              <w:rPr>
                <w:rFonts w:asciiTheme="majorHAnsi" w:eastAsia="Times New Roman" w:hAnsiTheme="majorHAnsi" w:cstheme="majorBidi"/>
                <w:color w:val="000000"/>
                <w:lang w:eastAsia="en-AU"/>
              </w:rPr>
              <w:t>from</w:t>
            </w:r>
            <w:r w:rsidRPr="00181817">
              <w:rPr>
                <w:rFonts w:asciiTheme="majorHAnsi" w:eastAsia="Times New Roman" w:hAnsiTheme="majorHAnsi" w:cstheme="majorBidi"/>
                <w:color w:val="000000"/>
                <w:lang w:eastAsia="en-AU"/>
              </w:rPr>
              <w:t xml:space="preserve"> using the device and compare these with </w:t>
            </w:r>
            <w:r w:rsidR="00F2546B" w:rsidRPr="00181817">
              <w:rPr>
                <w:rFonts w:asciiTheme="majorHAnsi" w:eastAsia="Times New Roman" w:hAnsiTheme="majorHAnsi" w:cstheme="majorBidi"/>
                <w:color w:val="000000"/>
                <w:lang w:eastAsia="en-AU"/>
              </w:rPr>
              <w:t>consideration</w:t>
            </w:r>
            <w:r w:rsidRPr="00181817">
              <w:rPr>
                <w:rFonts w:asciiTheme="majorHAnsi" w:eastAsia="Times New Roman" w:hAnsiTheme="majorHAnsi" w:cstheme="majorBidi"/>
                <w:color w:val="000000"/>
                <w:lang w:eastAsia="en-AU"/>
              </w:rPr>
              <w:t xml:space="preserve"> of the benefits that would be provided for the patient or user of the medical device. These analyses </w:t>
            </w:r>
            <w:r w:rsidR="15D99EC5" w:rsidRPr="00181817">
              <w:rPr>
                <w:rFonts w:asciiTheme="majorHAnsi" w:eastAsia="Times New Roman" w:hAnsiTheme="majorHAnsi" w:cstheme="majorBidi"/>
                <w:color w:val="000000"/>
                <w:lang w:eastAsia="en-AU"/>
              </w:rPr>
              <w:t>must be documented and</w:t>
            </w:r>
            <w:r w:rsidRPr="00181817">
              <w:rPr>
                <w:rFonts w:asciiTheme="majorHAnsi" w:eastAsia="Times New Roman" w:hAnsiTheme="majorHAnsi" w:cstheme="majorBidi"/>
                <w:color w:val="000000"/>
                <w:lang w:eastAsia="en-AU"/>
              </w:rPr>
              <w:t xml:space="preserve"> </w:t>
            </w:r>
            <w:r w:rsidR="009F00C6" w:rsidRPr="00181817">
              <w:rPr>
                <w:rFonts w:asciiTheme="majorHAnsi" w:eastAsia="Times New Roman" w:hAnsiTheme="majorHAnsi" w:cstheme="majorBidi"/>
                <w:color w:val="000000"/>
                <w:lang w:eastAsia="en-AU"/>
              </w:rPr>
              <w:t>must</w:t>
            </w:r>
            <w:r w:rsidRPr="00181817">
              <w:rPr>
                <w:rFonts w:asciiTheme="majorHAnsi" w:eastAsia="Times New Roman" w:hAnsiTheme="majorHAnsi" w:cstheme="majorBidi"/>
                <w:color w:val="000000"/>
                <w:lang w:eastAsia="en-AU"/>
              </w:rPr>
              <w:t xml:space="preserve"> recognise that a patient or user’s safety is paramount.</w:t>
            </w:r>
          </w:p>
        </w:tc>
        <w:tc>
          <w:tcPr>
            <w:tcW w:w="828" w:type="dxa"/>
            <w:noWrap/>
            <w:hideMark/>
          </w:tcPr>
          <w:p w14:paraId="6E54CFDA"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834" w:type="dxa"/>
            <w:noWrap/>
            <w:hideMark/>
          </w:tcPr>
          <w:p w14:paraId="46B6CC6A"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1023" w:type="dxa"/>
            <w:noWrap/>
            <w:hideMark/>
          </w:tcPr>
          <w:p w14:paraId="6DCCDFD6"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2977" w:type="dxa"/>
            <w:hideMark/>
          </w:tcPr>
          <w:p w14:paraId="67B41312" w14:textId="61263383" w:rsidR="00E41A2D" w:rsidRPr="00181817" w:rsidRDefault="2D992398" w:rsidP="49B463A9">
            <w:pPr>
              <w:adjustRightInd/>
              <w:snapToGrid/>
              <w:spacing w:before="0" w:after="0" w:line="240" w:lineRule="auto"/>
              <w:rPr>
                <w:rFonts w:asciiTheme="majorHAnsi" w:eastAsia="Times New Roman" w:hAnsiTheme="majorHAnsi" w:cstheme="majorBidi"/>
                <w:color w:val="auto"/>
                <w:lang w:eastAsia="en-AU"/>
              </w:rPr>
            </w:pPr>
            <w:r w:rsidRPr="00181817">
              <w:rPr>
                <w:rStyle w:val="font371"/>
                <w:rFonts w:asciiTheme="majorHAnsi" w:hAnsiTheme="majorHAnsi" w:cstheme="majorBidi"/>
                <w:color w:val="auto"/>
              </w:rPr>
              <w:t xml:space="preserve">PAS 54115 </w:t>
            </w:r>
            <w:r w:rsidR="00E41A2D" w:rsidRPr="00181817">
              <w:rPr>
                <w:color w:val="auto"/>
              </w:rPr>
              <w:br/>
            </w:r>
            <w:r w:rsidRPr="00181817">
              <w:rPr>
                <w:rStyle w:val="font371"/>
                <w:rFonts w:asciiTheme="majorHAnsi" w:hAnsiTheme="majorHAnsi" w:cstheme="majorBidi"/>
                <w:color w:val="auto"/>
              </w:rPr>
              <w:t xml:space="preserve">IEC 62281 </w:t>
            </w:r>
            <w:r w:rsidR="00E41A2D" w:rsidRPr="00181817">
              <w:rPr>
                <w:color w:val="auto"/>
              </w:rPr>
              <w:br/>
            </w:r>
            <w:r w:rsidRPr="00181817">
              <w:rPr>
                <w:rStyle w:val="font611"/>
                <w:rFonts w:asciiTheme="majorHAnsi" w:hAnsiTheme="majorHAnsi" w:cstheme="majorBidi"/>
                <w:color w:val="auto"/>
              </w:rPr>
              <w:t>TGA guidance "Active medical devices"</w:t>
            </w:r>
            <w:r w:rsidR="00E41A2D" w:rsidRPr="00181817">
              <w:rPr>
                <w:color w:val="auto"/>
              </w:rPr>
              <w:br/>
            </w:r>
            <w:r w:rsidRPr="00181817">
              <w:rPr>
                <w:rStyle w:val="font611"/>
                <w:rFonts w:asciiTheme="majorHAnsi" w:hAnsiTheme="majorHAnsi" w:cstheme="majorBidi"/>
                <w:color w:val="auto"/>
              </w:rPr>
              <w:t>IEC 60601 series</w:t>
            </w:r>
            <w:r w:rsidR="00E41A2D" w:rsidRPr="00181817">
              <w:rPr>
                <w:color w:val="auto"/>
              </w:rPr>
              <w:br/>
            </w:r>
            <w:r w:rsidRPr="00181817">
              <w:rPr>
                <w:rStyle w:val="font611"/>
                <w:rFonts w:asciiTheme="majorHAnsi" w:hAnsiTheme="majorHAnsi" w:cstheme="majorBidi"/>
                <w:color w:val="auto"/>
              </w:rPr>
              <w:t>IEC 62366</w:t>
            </w:r>
            <w:r w:rsidR="00E41A2D" w:rsidRPr="00181817">
              <w:rPr>
                <w:color w:val="auto"/>
              </w:rPr>
              <w:br/>
            </w:r>
            <w:r w:rsidRPr="00181817">
              <w:rPr>
                <w:rStyle w:val="font371"/>
                <w:rFonts w:asciiTheme="majorHAnsi" w:hAnsiTheme="majorHAnsi" w:cstheme="majorBidi"/>
                <w:color w:val="auto"/>
              </w:rPr>
              <w:t>CEN/TS 17633</w:t>
            </w:r>
            <w:r w:rsidR="00E41A2D" w:rsidRPr="00181817">
              <w:rPr>
                <w:color w:val="auto"/>
              </w:rPr>
              <w:br/>
            </w:r>
            <w:r w:rsidRPr="00181817">
              <w:rPr>
                <w:rStyle w:val="font371"/>
                <w:rFonts w:asciiTheme="majorHAnsi" w:hAnsiTheme="majorHAnsi" w:cstheme="majorBidi"/>
                <w:color w:val="auto"/>
              </w:rPr>
              <w:t xml:space="preserve">E-Cigarettes, Vapes, and other Electronic Nicotine Delivery Systems </w:t>
            </w:r>
            <w:r w:rsidR="008522E7">
              <w:rPr>
                <w:rStyle w:val="font371"/>
                <w:rFonts w:asciiTheme="majorHAnsi" w:hAnsiTheme="majorHAnsi" w:cstheme="majorBidi"/>
                <w:color w:val="auto"/>
              </w:rPr>
              <w:t>U</w:t>
            </w:r>
            <w:r w:rsidR="008522E7">
              <w:rPr>
                <w:rStyle w:val="font371"/>
                <w:rFonts w:asciiTheme="majorHAnsi" w:hAnsiTheme="majorHAnsi" w:cstheme="majorBidi"/>
              </w:rPr>
              <w:t xml:space="preserve">S </w:t>
            </w:r>
            <w:r w:rsidRPr="00181817">
              <w:rPr>
                <w:rStyle w:val="font371"/>
                <w:rFonts w:asciiTheme="majorHAnsi" w:hAnsiTheme="majorHAnsi" w:cstheme="majorBidi"/>
                <w:color w:val="auto"/>
              </w:rPr>
              <w:t>FDA</w:t>
            </w:r>
          </w:p>
        </w:tc>
      </w:tr>
      <w:tr w:rsidR="004115A3" w:rsidRPr="00D00B19" w14:paraId="3E474ED4" w14:textId="77777777" w:rsidTr="001E5558">
        <w:trPr>
          <w:trHeight w:val="1116"/>
        </w:trPr>
        <w:tc>
          <w:tcPr>
            <w:tcW w:w="1446" w:type="dxa"/>
            <w:noWrap/>
            <w:hideMark/>
          </w:tcPr>
          <w:p w14:paraId="4B63115B" w14:textId="486EA20D" w:rsidR="00E41A2D" w:rsidRPr="00181817" w:rsidRDefault="00F2353D" w:rsidP="00E41A2D">
            <w:pPr>
              <w:adjustRightInd/>
              <w:snapToGrid/>
              <w:spacing w:before="0" w:after="0" w:line="240" w:lineRule="auto"/>
              <w:jc w:val="center"/>
              <w:rPr>
                <w:rFonts w:asciiTheme="majorHAnsi" w:eastAsia="MS Gothic" w:hAnsiTheme="majorHAnsi" w:cstheme="majorHAnsi"/>
                <w:color w:val="000000"/>
                <w:lang w:eastAsia="en-AU"/>
              </w:rPr>
            </w:pPr>
            <w:sdt>
              <w:sdtPr>
                <w:rPr>
                  <w:rFonts w:asciiTheme="majorHAnsi" w:eastAsia="MS Gothic" w:hAnsiTheme="majorHAnsi" w:cstheme="majorHAnsi" w:hint="eastAsia"/>
                  <w:color w:val="000000"/>
                  <w:lang w:eastAsia="en-AU"/>
                </w:rPr>
                <w:id w:val="1626966377"/>
                <w14:checkbox>
                  <w14:checked w14:val="0"/>
                  <w14:checkedState w14:val="2612" w14:font="MS Gothic"/>
                  <w14:uncheckedState w14:val="2610" w14:font="MS Gothic"/>
                </w14:checkbox>
              </w:sdtPr>
              <w:sdtEndPr/>
              <w:sdtContent>
                <w:r w:rsidR="00E41A2D" w:rsidRPr="00181817">
                  <w:rPr>
                    <w:rFonts w:ascii="Segoe UI Symbol" w:eastAsia="MS Gothic" w:hAnsi="Segoe UI Symbol" w:cs="Segoe UI Symbol" w:hint="eastAsia"/>
                    <w:color w:val="000000"/>
                    <w:lang w:eastAsia="en-AU"/>
                  </w:rPr>
                  <w:t>☐</w:t>
                </w:r>
              </w:sdtContent>
            </w:sdt>
          </w:p>
        </w:tc>
        <w:tc>
          <w:tcPr>
            <w:tcW w:w="1105" w:type="dxa"/>
            <w:noWrap/>
            <w:hideMark/>
          </w:tcPr>
          <w:p w14:paraId="329DB30B"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EP 2 </w:t>
            </w:r>
          </w:p>
        </w:tc>
        <w:tc>
          <w:tcPr>
            <w:tcW w:w="7184" w:type="dxa"/>
            <w:hideMark/>
          </w:tcPr>
          <w:p w14:paraId="66EA7573" w14:textId="3C4821F6" w:rsidR="00E41A2D" w:rsidRPr="00181817" w:rsidRDefault="00E41A2D" w:rsidP="001E5558">
            <w:pPr>
              <w:adjustRightInd/>
              <w:snapToGrid/>
              <w:spacing w:before="0" w:after="0" w:line="240" w:lineRule="auto"/>
              <w:rPr>
                <w:rFonts w:asciiTheme="majorHAnsi" w:eastAsia="Times New Roman" w:hAnsiTheme="majorHAnsi" w:cstheme="majorBidi"/>
                <w:color w:val="000000"/>
                <w:lang w:eastAsia="en-AU"/>
              </w:rPr>
            </w:pPr>
            <w:r w:rsidRPr="00181817">
              <w:rPr>
                <w:rFonts w:asciiTheme="majorHAnsi" w:eastAsia="Times New Roman" w:hAnsiTheme="majorHAnsi" w:cstheme="majorBidi"/>
                <w:b/>
                <w:color w:val="000000"/>
                <w:lang w:eastAsia="en-AU"/>
              </w:rPr>
              <w:t>Design and construction of medical devices to conform with safety principles</w:t>
            </w:r>
            <w:r w:rsidRPr="00181817">
              <w:br/>
            </w:r>
            <w:r w:rsidR="101D1669" w:rsidRPr="00181817">
              <w:rPr>
                <w:color w:val="auto"/>
              </w:rPr>
              <w:t>The manufacturer must identify hazards and associated risks arising from the use of the device, eliminate or reduce these risks as far as possible by design or other means, and inform the users of res</w:t>
            </w:r>
            <w:r w:rsidR="4719BFF4" w:rsidRPr="00181817">
              <w:rPr>
                <w:color w:val="auto"/>
              </w:rPr>
              <w:t>id</w:t>
            </w:r>
            <w:r w:rsidR="101D1669" w:rsidRPr="00181817">
              <w:rPr>
                <w:color w:val="auto"/>
              </w:rPr>
              <w:t>ual risks that may arise</w:t>
            </w:r>
            <w:r w:rsidR="10631083" w:rsidRPr="00181817">
              <w:rPr>
                <w:color w:val="auto"/>
              </w:rPr>
              <w:t>.</w:t>
            </w:r>
            <w:r w:rsidR="101D1669" w:rsidRPr="00181817">
              <w:rPr>
                <w:color w:val="auto"/>
              </w:rPr>
              <w:t xml:space="preserve"> </w:t>
            </w:r>
            <w:r w:rsidRPr="00181817">
              <w:rPr>
                <w:rFonts w:asciiTheme="majorHAnsi" w:eastAsia="Times New Roman" w:hAnsiTheme="majorHAnsi" w:cstheme="majorBidi"/>
                <w:color w:val="000000"/>
                <w:lang w:eastAsia="en-AU"/>
              </w:rPr>
              <w:t>A risk management report, which lists all identified hazards associated with the manufacture, distribution and use of the</w:t>
            </w:r>
            <w:r w:rsidR="00BE3550" w:rsidRPr="00181817">
              <w:rPr>
                <w:rFonts w:asciiTheme="majorHAnsi" w:eastAsia="Times New Roman" w:hAnsiTheme="majorHAnsi" w:cstheme="majorBidi"/>
                <w:color w:val="000000"/>
                <w:lang w:eastAsia="en-AU"/>
              </w:rPr>
              <w:t xml:space="preserve"> </w:t>
            </w:r>
            <w:r w:rsidR="00407C73" w:rsidRPr="00181817">
              <w:rPr>
                <w:rFonts w:asciiTheme="majorHAnsi" w:eastAsia="Times New Roman" w:hAnsiTheme="majorHAnsi" w:cstheme="majorBidi"/>
                <w:color w:val="000000"/>
                <w:lang w:eastAsia="en-AU"/>
              </w:rPr>
              <w:t>therapeutic</w:t>
            </w:r>
            <w:r w:rsidRPr="00181817">
              <w:rPr>
                <w:rFonts w:asciiTheme="majorHAnsi" w:eastAsia="Times New Roman" w:hAnsiTheme="majorHAnsi" w:cstheme="majorBidi"/>
                <w:color w:val="000000"/>
                <w:lang w:eastAsia="en-AU"/>
              </w:rPr>
              <w:t xml:space="preserve"> vaping device</w:t>
            </w:r>
            <w:r w:rsidR="00C852DF" w:rsidRPr="00181817">
              <w:rPr>
                <w:rFonts w:asciiTheme="majorHAnsi" w:eastAsia="Times New Roman" w:hAnsiTheme="majorHAnsi" w:cstheme="majorBidi"/>
                <w:color w:val="000000"/>
                <w:lang w:eastAsia="en-AU"/>
              </w:rPr>
              <w:t xml:space="preserve"> is the normal </w:t>
            </w:r>
            <w:r w:rsidR="00644937" w:rsidRPr="00181817">
              <w:rPr>
                <w:rFonts w:asciiTheme="majorHAnsi" w:eastAsia="Times New Roman" w:hAnsiTheme="majorHAnsi" w:cstheme="majorBidi"/>
                <w:color w:val="000000"/>
                <w:lang w:eastAsia="en-AU"/>
              </w:rPr>
              <w:t>way to document this process</w:t>
            </w:r>
            <w:r w:rsidRPr="00181817">
              <w:rPr>
                <w:rFonts w:asciiTheme="majorHAnsi" w:eastAsia="Times New Roman" w:hAnsiTheme="majorHAnsi" w:cstheme="majorBidi"/>
                <w:color w:val="000000"/>
                <w:lang w:eastAsia="en-AU"/>
              </w:rPr>
              <w:t>. A comprehensive hazard and risk analysis should be conducted</w:t>
            </w:r>
            <w:r w:rsidR="1618E63A" w:rsidRPr="00181817">
              <w:rPr>
                <w:rFonts w:asciiTheme="majorHAnsi" w:eastAsia="Times New Roman" w:hAnsiTheme="majorHAnsi" w:cstheme="majorBidi"/>
                <w:color w:val="000000"/>
                <w:lang w:eastAsia="en-AU"/>
              </w:rPr>
              <w:t xml:space="preserve"> for the device, </w:t>
            </w:r>
            <w:r w:rsidR="00832F52" w:rsidRPr="00181817">
              <w:rPr>
                <w:rFonts w:asciiTheme="majorHAnsi" w:eastAsia="Times New Roman" w:hAnsiTheme="majorHAnsi" w:cstheme="majorBidi"/>
                <w:color w:val="000000"/>
                <w:lang w:eastAsia="en-AU"/>
              </w:rPr>
              <w:t xml:space="preserve">considering both its use and </w:t>
            </w:r>
            <w:r w:rsidR="1618E63A" w:rsidRPr="00181817">
              <w:rPr>
                <w:rFonts w:asciiTheme="majorHAnsi" w:eastAsia="Times New Roman" w:hAnsiTheme="majorHAnsi" w:cstheme="majorBidi"/>
                <w:color w:val="000000"/>
                <w:lang w:eastAsia="en-AU"/>
              </w:rPr>
              <w:t>foreseeable misuse</w:t>
            </w:r>
            <w:r w:rsidR="00832F52" w:rsidRPr="00181817">
              <w:rPr>
                <w:rFonts w:asciiTheme="majorHAnsi" w:eastAsia="Times New Roman" w:hAnsiTheme="majorHAnsi" w:cstheme="majorBidi"/>
                <w:color w:val="000000"/>
                <w:lang w:eastAsia="en-AU"/>
              </w:rPr>
              <w:t>,</w:t>
            </w:r>
            <w:r w:rsidR="1618E63A" w:rsidRPr="00181817">
              <w:rPr>
                <w:rFonts w:asciiTheme="majorHAnsi" w:eastAsia="Times New Roman" w:hAnsiTheme="majorHAnsi" w:cstheme="majorBidi"/>
                <w:color w:val="000000"/>
                <w:lang w:eastAsia="en-AU"/>
              </w:rPr>
              <w:t xml:space="preserve"> or incorrect use</w:t>
            </w:r>
            <w:r w:rsidRPr="00181817">
              <w:rPr>
                <w:rFonts w:asciiTheme="majorHAnsi" w:eastAsia="Times New Roman" w:hAnsiTheme="majorHAnsi" w:cstheme="majorBidi"/>
                <w:color w:val="000000"/>
                <w:lang w:eastAsia="en-AU"/>
              </w:rPr>
              <w:t xml:space="preserve">. </w:t>
            </w:r>
            <w:r w:rsidR="006F2507" w:rsidRPr="00181817">
              <w:rPr>
                <w:rFonts w:asciiTheme="majorHAnsi" w:eastAsia="Times New Roman" w:hAnsiTheme="majorHAnsi" w:cstheme="majorBidi"/>
                <w:color w:val="000000"/>
                <w:lang w:eastAsia="en-AU"/>
              </w:rPr>
              <w:t xml:space="preserve">This risk analysis should include the accessories used with the device as intended by the manufacturer. </w:t>
            </w:r>
            <w:r w:rsidRPr="00181817">
              <w:rPr>
                <w:rFonts w:asciiTheme="majorHAnsi" w:eastAsia="Times New Roman" w:hAnsiTheme="majorHAnsi" w:cstheme="majorBidi"/>
                <w:color w:val="000000"/>
                <w:lang w:eastAsia="en-AU"/>
              </w:rPr>
              <w:t xml:space="preserve">The report should include a final analysis of any remaining residual risks and their potential impact on device performance, health and safety. </w:t>
            </w:r>
            <w:r w:rsidR="006078DD" w:rsidRPr="00181817">
              <w:rPr>
                <w:rFonts w:asciiTheme="majorHAnsi" w:eastAsia="Times New Roman" w:hAnsiTheme="majorHAnsi" w:cstheme="majorBidi"/>
                <w:color w:val="000000"/>
                <w:lang w:eastAsia="en-AU"/>
              </w:rPr>
              <w:t>T</w:t>
            </w:r>
            <w:r w:rsidRPr="00181817">
              <w:rPr>
                <w:rFonts w:asciiTheme="majorHAnsi" w:eastAsia="Times New Roman" w:hAnsiTheme="majorHAnsi" w:cstheme="majorBidi"/>
                <w:color w:val="000000"/>
                <w:lang w:eastAsia="en-AU"/>
              </w:rPr>
              <w:t>he whole product lifecycle</w:t>
            </w:r>
            <w:r w:rsidR="006F2507" w:rsidRPr="00181817">
              <w:rPr>
                <w:rFonts w:asciiTheme="majorHAnsi" w:eastAsia="Times New Roman" w:hAnsiTheme="majorHAnsi" w:cstheme="majorBidi"/>
                <w:color w:val="000000"/>
                <w:lang w:eastAsia="en-AU"/>
              </w:rPr>
              <w:t xml:space="preserve"> should</w:t>
            </w:r>
            <w:r w:rsidRPr="00181817">
              <w:rPr>
                <w:rFonts w:asciiTheme="majorHAnsi" w:eastAsia="Times New Roman" w:hAnsiTheme="majorHAnsi" w:cstheme="majorBidi"/>
                <w:color w:val="000000"/>
                <w:lang w:eastAsia="en-AU"/>
              </w:rPr>
              <w:t xml:space="preserve"> be </w:t>
            </w:r>
            <w:r w:rsidR="00A01FE6" w:rsidRPr="00181817">
              <w:rPr>
                <w:rFonts w:asciiTheme="majorHAnsi" w:eastAsia="Times New Roman" w:hAnsiTheme="majorHAnsi" w:cstheme="majorBidi"/>
                <w:color w:val="000000"/>
                <w:lang w:eastAsia="en-AU"/>
              </w:rPr>
              <w:t>considered</w:t>
            </w:r>
            <w:r w:rsidRPr="00181817">
              <w:rPr>
                <w:rFonts w:asciiTheme="majorHAnsi" w:eastAsia="Times New Roman" w:hAnsiTheme="majorHAnsi" w:cstheme="majorBidi"/>
                <w:color w:val="000000"/>
                <w:lang w:eastAsia="en-AU"/>
              </w:rPr>
              <w:t xml:space="preserve"> (from design, </w:t>
            </w:r>
            <w:r w:rsidR="00A01FE6" w:rsidRPr="00181817">
              <w:rPr>
                <w:rFonts w:asciiTheme="majorHAnsi" w:eastAsia="Times New Roman" w:hAnsiTheme="majorHAnsi" w:cstheme="majorBidi"/>
                <w:color w:val="000000"/>
                <w:lang w:eastAsia="en-AU"/>
              </w:rPr>
              <w:t xml:space="preserve">verification, </w:t>
            </w:r>
            <w:r w:rsidRPr="00181817">
              <w:rPr>
                <w:rFonts w:asciiTheme="majorHAnsi" w:eastAsia="Times New Roman" w:hAnsiTheme="majorHAnsi" w:cstheme="majorBidi"/>
                <w:color w:val="000000"/>
                <w:lang w:eastAsia="en-AU"/>
              </w:rPr>
              <w:t>manufacturing, supply</w:t>
            </w:r>
            <w:r w:rsidR="00E820DB" w:rsidRPr="00181817">
              <w:rPr>
                <w:rFonts w:asciiTheme="majorHAnsi" w:eastAsia="Times New Roman" w:hAnsiTheme="majorHAnsi" w:cstheme="majorBidi"/>
                <w:color w:val="000000"/>
                <w:lang w:eastAsia="en-AU"/>
              </w:rPr>
              <w:t>,</w:t>
            </w:r>
            <w:r w:rsidRPr="00181817">
              <w:rPr>
                <w:rFonts w:asciiTheme="majorHAnsi" w:eastAsia="Times New Roman" w:hAnsiTheme="majorHAnsi" w:cstheme="majorBidi"/>
                <w:color w:val="000000"/>
                <w:lang w:eastAsia="en-AU"/>
              </w:rPr>
              <w:t xml:space="preserve"> to end user).</w:t>
            </w:r>
          </w:p>
        </w:tc>
        <w:tc>
          <w:tcPr>
            <w:tcW w:w="828" w:type="dxa"/>
            <w:noWrap/>
            <w:hideMark/>
          </w:tcPr>
          <w:p w14:paraId="4BA8AF6B"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834" w:type="dxa"/>
            <w:noWrap/>
            <w:hideMark/>
          </w:tcPr>
          <w:p w14:paraId="215E7244"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1023" w:type="dxa"/>
            <w:noWrap/>
            <w:hideMark/>
          </w:tcPr>
          <w:p w14:paraId="3F525EBD"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2977" w:type="dxa"/>
            <w:hideMark/>
          </w:tcPr>
          <w:p w14:paraId="56094FCD" w14:textId="0F45F807" w:rsidR="00E41A2D" w:rsidRPr="00181817" w:rsidRDefault="2D992398" w:rsidP="49B463A9">
            <w:pPr>
              <w:adjustRightInd/>
              <w:snapToGrid/>
              <w:spacing w:before="0" w:after="0" w:line="240" w:lineRule="auto"/>
              <w:rPr>
                <w:rFonts w:asciiTheme="majorHAnsi" w:eastAsia="Times New Roman" w:hAnsiTheme="majorHAnsi" w:cstheme="majorBidi"/>
                <w:color w:val="auto"/>
                <w:lang w:eastAsia="en-AU"/>
              </w:rPr>
            </w:pPr>
            <w:r w:rsidRPr="00181817">
              <w:rPr>
                <w:rStyle w:val="font371"/>
                <w:rFonts w:asciiTheme="majorHAnsi" w:hAnsiTheme="majorHAnsi" w:cstheme="majorBidi"/>
                <w:color w:val="auto"/>
              </w:rPr>
              <w:t xml:space="preserve">PAS 54115 </w:t>
            </w:r>
            <w:r w:rsidR="00E41A2D" w:rsidRPr="00181817">
              <w:rPr>
                <w:color w:val="auto"/>
              </w:rPr>
              <w:br/>
            </w:r>
            <w:r w:rsidRPr="00181817">
              <w:rPr>
                <w:rStyle w:val="font371"/>
                <w:rFonts w:asciiTheme="majorHAnsi" w:hAnsiTheme="majorHAnsi" w:cstheme="majorBidi"/>
                <w:color w:val="auto"/>
              </w:rPr>
              <w:t xml:space="preserve">IEC 62281 </w:t>
            </w:r>
            <w:r w:rsidR="00E41A2D" w:rsidRPr="00181817">
              <w:rPr>
                <w:color w:val="auto"/>
              </w:rPr>
              <w:br/>
            </w:r>
            <w:r w:rsidR="5F52C22D" w:rsidRPr="00181817">
              <w:rPr>
                <w:rStyle w:val="font611"/>
                <w:rFonts w:asciiTheme="majorHAnsi" w:hAnsiTheme="majorHAnsi" w:cstheme="majorBidi"/>
                <w:color w:val="auto"/>
              </w:rPr>
              <w:t>TGA guidance "Active medical devices"</w:t>
            </w:r>
            <w:r w:rsidR="00E41A2D" w:rsidRPr="00181817">
              <w:rPr>
                <w:color w:val="auto"/>
              </w:rPr>
              <w:br/>
            </w:r>
            <w:r w:rsidRPr="00181817">
              <w:rPr>
                <w:rStyle w:val="font611"/>
                <w:rFonts w:asciiTheme="majorHAnsi" w:hAnsiTheme="majorHAnsi" w:cstheme="majorBidi"/>
                <w:color w:val="auto"/>
              </w:rPr>
              <w:t>IEC 60601 series</w:t>
            </w:r>
            <w:r w:rsidR="00E41A2D" w:rsidRPr="00181817">
              <w:rPr>
                <w:color w:val="auto"/>
              </w:rPr>
              <w:br/>
            </w:r>
            <w:r w:rsidRPr="00181817">
              <w:rPr>
                <w:rStyle w:val="font611"/>
                <w:rFonts w:asciiTheme="majorHAnsi" w:hAnsiTheme="majorHAnsi" w:cstheme="majorBidi"/>
                <w:color w:val="auto"/>
              </w:rPr>
              <w:t>IEC 62366</w:t>
            </w:r>
            <w:r w:rsidR="00E41A2D" w:rsidRPr="00181817">
              <w:rPr>
                <w:color w:val="auto"/>
              </w:rPr>
              <w:br/>
            </w:r>
            <w:r w:rsidRPr="00181817">
              <w:rPr>
                <w:rStyle w:val="font611"/>
                <w:rFonts w:asciiTheme="majorHAnsi" w:hAnsiTheme="majorHAnsi" w:cstheme="majorBidi"/>
                <w:color w:val="auto"/>
              </w:rPr>
              <w:t xml:space="preserve">IEC 62304 </w:t>
            </w:r>
            <w:r w:rsidR="00E41A2D" w:rsidRPr="00181817">
              <w:rPr>
                <w:color w:val="auto"/>
              </w:rPr>
              <w:br/>
            </w:r>
            <w:r w:rsidRPr="00181817">
              <w:rPr>
                <w:rStyle w:val="font371"/>
                <w:rFonts w:asciiTheme="majorHAnsi" w:hAnsiTheme="majorHAnsi" w:cstheme="majorBidi"/>
                <w:color w:val="auto"/>
              </w:rPr>
              <w:t>CEN/TS 17633</w:t>
            </w:r>
            <w:r w:rsidR="00E41A2D" w:rsidRPr="00181817">
              <w:rPr>
                <w:color w:val="auto"/>
              </w:rPr>
              <w:br/>
            </w:r>
            <w:r w:rsidRPr="00181817">
              <w:rPr>
                <w:rStyle w:val="font371"/>
                <w:rFonts w:asciiTheme="majorHAnsi" w:hAnsiTheme="majorHAnsi" w:cstheme="majorBidi"/>
                <w:color w:val="auto"/>
              </w:rPr>
              <w:t>GB 41700</w:t>
            </w:r>
            <w:r w:rsidR="00E41A2D" w:rsidRPr="00181817">
              <w:rPr>
                <w:color w:val="auto"/>
              </w:rPr>
              <w:br/>
            </w:r>
            <w:r w:rsidRPr="00181817">
              <w:rPr>
                <w:rStyle w:val="font371"/>
                <w:rFonts w:asciiTheme="majorHAnsi" w:hAnsiTheme="majorHAnsi" w:cstheme="majorBidi"/>
                <w:color w:val="auto"/>
              </w:rPr>
              <w:t xml:space="preserve">UL 8139 </w:t>
            </w:r>
            <w:r w:rsidR="00E41A2D" w:rsidRPr="00181817">
              <w:rPr>
                <w:color w:val="auto"/>
              </w:rPr>
              <w:br/>
            </w:r>
            <w:r w:rsidRPr="00181817">
              <w:rPr>
                <w:rStyle w:val="font371"/>
                <w:rFonts w:asciiTheme="majorHAnsi" w:hAnsiTheme="majorHAnsi" w:cstheme="majorBidi"/>
                <w:color w:val="auto"/>
              </w:rPr>
              <w:t>IEC 62133-2</w:t>
            </w:r>
            <w:r w:rsidR="00E41A2D" w:rsidRPr="00181817">
              <w:rPr>
                <w:color w:val="auto"/>
              </w:rPr>
              <w:br/>
            </w:r>
            <w:r w:rsidRPr="00181817">
              <w:rPr>
                <w:rStyle w:val="font371"/>
                <w:rFonts w:asciiTheme="majorHAnsi" w:hAnsiTheme="majorHAnsi" w:cstheme="majorBidi"/>
                <w:color w:val="auto"/>
              </w:rPr>
              <w:t>EN ISO 8317</w:t>
            </w:r>
            <w:r w:rsidR="00E41A2D" w:rsidRPr="00181817">
              <w:rPr>
                <w:color w:val="auto"/>
              </w:rPr>
              <w:br/>
            </w:r>
            <w:r w:rsidRPr="00181817">
              <w:rPr>
                <w:rStyle w:val="font371"/>
                <w:rFonts w:asciiTheme="majorHAnsi" w:hAnsiTheme="majorHAnsi" w:cstheme="majorBidi"/>
                <w:color w:val="auto"/>
              </w:rPr>
              <w:t xml:space="preserve">E-Cigarettes, Vapes, and other Electronic Nicotine Delivery Systems </w:t>
            </w:r>
            <w:r w:rsidR="008522E7">
              <w:rPr>
                <w:rStyle w:val="font371"/>
                <w:rFonts w:asciiTheme="majorHAnsi" w:hAnsiTheme="majorHAnsi" w:cstheme="majorBidi"/>
                <w:color w:val="auto"/>
              </w:rPr>
              <w:t>U</w:t>
            </w:r>
            <w:r w:rsidR="008522E7">
              <w:rPr>
                <w:rStyle w:val="font371"/>
                <w:rFonts w:asciiTheme="majorHAnsi" w:hAnsiTheme="majorHAnsi" w:cstheme="majorBidi"/>
              </w:rPr>
              <w:t xml:space="preserve">S </w:t>
            </w:r>
            <w:r w:rsidRPr="00181817">
              <w:rPr>
                <w:rStyle w:val="font371"/>
                <w:rFonts w:asciiTheme="majorHAnsi" w:hAnsiTheme="majorHAnsi" w:cstheme="majorBidi"/>
                <w:color w:val="auto"/>
              </w:rPr>
              <w:t>FDA</w:t>
            </w:r>
          </w:p>
        </w:tc>
      </w:tr>
      <w:tr w:rsidR="004115A3" w:rsidRPr="00D00B19" w14:paraId="1A3EDC23" w14:textId="77777777" w:rsidTr="001E5558">
        <w:trPr>
          <w:trHeight w:val="1763"/>
        </w:trPr>
        <w:tc>
          <w:tcPr>
            <w:tcW w:w="1446" w:type="dxa"/>
            <w:noWrap/>
            <w:hideMark/>
          </w:tcPr>
          <w:p w14:paraId="50A7EF4F" w14:textId="0296643A" w:rsidR="00E41A2D" w:rsidRPr="00181817" w:rsidRDefault="00F2353D" w:rsidP="00E41A2D">
            <w:pPr>
              <w:adjustRightInd/>
              <w:snapToGrid/>
              <w:spacing w:before="0" w:after="0" w:line="240" w:lineRule="auto"/>
              <w:jc w:val="center"/>
              <w:rPr>
                <w:rFonts w:asciiTheme="majorHAnsi" w:eastAsia="MS Gothic" w:hAnsiTheme="majorHAnsi" w:cstheme="majorHAnsi"/>
                <w:color w:val="000000"/>
                <w:lang w:eastAsia="en-AU"/>
              </w:rPr>
            </w:pPr>
            <w:sdt>
              <w:sdtPr>
                <w:rPr>
                  <w:rFonts w:asciiTheme="majorHAnsi" w:eastAsia="MS Gothic" w:hAnsiTheme="majorHAnsi" w:cstheme="majorHAnsi" w:hint="eastAsia"/>
                  <w:color w:val="000000"/>
                  <w:lang w:eastAsia="en-AU"/>
                </w:rPr>
                <w:id w:val="2136295188"/>
                <w14:checkbox>
                  <w14:checked w14:val="0"/>
                  <w14:checkedState w14:val="2612" w14:font="MS Gothic"/>
                  <w14:uncheckedState w14:val="2610" w14:font="MS Gothic"/>
                </w14:checkbox>
              </w:sdtPr>
              <w:sdtEndPr/>
              <w:sdtContent>
                <w:r w:rsidR="00D00B19" w:rsidRPr="00181817">
                  <w:rPr>
                    <w:rFonts w:ascii="MS Gothic" w:eastAsia="MS Gothic" w:hAnsi="MS Gothic" w:cstheme="majorHAnsi" w:hint="eastAsia"/>
                    <w:color w:val="000000"/>
                    <w:lang w:eastAsia="en-AU"/>
                  </w:rPr>
                  <w:t>☐</w:t>
                </w:r>
              </w:sdtContent>
            </w:sdt>
          </w:p>
        </w:tc>
        <w:tc>
          <w:tcPr>
            <w:tcW w:w="1105" w:type="dxa"/>
            <w:noWrap/>
            <w:hideMark/>
          </w:tcPr>
          <w:p w14:paraId="559490CD"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EP 3 </w:t>
            </w:r>
          </w:p>
        </w:tc>
        <w:tc>
          <w:tcPr>
            <w:tcW w:w="7184" w:type="dxa"/>
            <w:hideMark/>
          </w:tcPr>
          <w:p w14:paraId="3F83DFEA" w14:textId="0510FFFE" w:rsidR="00E41A2D" w:rsidRPr="00181817" w:rsidRDefault="00E41A2D" w:rsidP="00E41A2D">
            <w:pPr>
              <w:adjustRightInd/>
              <w:snapToGrid/>
              <w:spacing w:before="0" w:after="0" w:line="240" w:lineRule="auto"/>
              <w:rPr>
                <w:rFonts w:asciiTheme="majorHAnsi" w:eastAsia="Times New Roman" w:hAnsiTheme="majorHAnsi" w:cstheme="majorBidi"/>
                <w:color w:val="000000"/>
                <w:lang w:eastAsia="en-AU"/>
              </w:rPr>
            </w:pPr>
            <w:r w:rsidRPr="00181817">
              <w:rPr>
                <w:rFonts w:asciiTheme="majorHAnsi" w:eastAsia="Times New Roman" w:hAnsiTheme="majorHAnsi" w:cstheme="majorBidi"/>
                <w:b/>
                <w:color w:val="000000"/>
                <w:lang w:eastAsia="en-AU"/>
              </w:rPr>
              <w:t>Medical devices to be suitable for intended purpose</w:t>
            </w:r>
            <w:r w:rsidRPr="00181817">
              <w:br/>
            </w:r>
            <w:r w:rsidR="00BB3C0E" w:rsidRPr="00181817">
              <w:rPr>
                <w:rFonts w:asciiTheme="majorHAnsi" w:eastAsia="Times New Roman" w:hAnsiTheme="majorHAnsi" w:cstheme="majorBidi"/>
                <w:color w:val="000000"/>
                <w:lang w:eastAsia="en-AU"/>
              </w:rPr>
              <w:t>The</w:t>
            </w:r>
            <w:r w:rsidRPr="00181817">
              <w:rPr>
                <w:rFonts w:asciiTheme="majorHAnsi" w:eastAsia="Times New Roman" w:hAnsiTheme="majorHAnsi" w:cstheme="majorBidi"/>
                <w:color w:val="000000"/>
                <w:lang w:eastAsia="en-AU"/>
              </w:rPr>
              <w:t xml:space="preserve"> </w:t>
            </w:r>
            <w:r w:rsidR="00BE3550" w:rsidRPr="00181817">
              <w:rPr>
                <w:rFonts w:asciiTheme="majorHAnsi" w:eastAsia="Times New Roman" w:hAnsiTheme="majorHAnsi" w:cstheme="majorBidi"/>
                <w:color w:val="000000"/>
                <w:lang w:eastAsia="en-AU"/>
              </w:rPr>
              <w:t xml:space="preserve">therapeutic </w:t>
            </w:r>
            <w:r w:rsidR="00B4C0B4" w:rsidRPr="00181817">
              <w:rPr>
                <w:rFonts w:asciiTheme="majorHAnsi" w:eastAsia="Times New Roman" w:hAnsiTheme="majorHAnsi" w:cstheme="majorBidi"/>
                <w:color w:val="000000"/>
                <w:lang w:eastAsia="en-AU"/>
              </w:rPr>
              <w:t>v</w:t>
            </w:r>
            <w:r w:rsidRPr="00181817">
              <w:rPr>
                <w:rFonts w:asciiTheme="majorHAnsi" w:eastAsia="Times New Roman" w:hAnsiTheme="majorHAnsi" w:cstheme="majorBidi"/>
                <w:color w:val="000000"/>
                <w:lang w:eastAsia="en-AU"/>
              </w:rPr>
              <w:t xml:space="preserve">aping </w:t>
            </w:r>
            <w:r w:rsidR="6820F561" w:rsidRPr="00181817">
              <w:rPr>
                <w:rFonts w:asciiTheme="majorHAnsi" w:eastAsia="Times New Roman" w:hAnsiTheme="majorHAnsi" w:cstheme="majorBidi"/>
                <w:color w:val="000000"/>
                <w:lang w:eastAsia="en-AU"/>
              </w:rPr>
              <w:t>d</w:t>
            </w:r>
            <w:r w:rsidRPr="00181817">
              <w:rPr>
                <w:rFonts w:asciiTheme="majorHAnsi" w:eastAsia="Times New Roman" w:hAnsiTheme="majorHAnsi" w:cstheme="majorBidi"/>
                <w:color w:val="000000"/>
                <w:lang w:eastAsia="en-AU"/>
              </w:rPr>
              <w:t xml:space="preserve">evice must perform </w:t>
            </w:r>
            <w:r w:rsidR="2467E784" w:rsidRPr="00181817">
              <w:rPr>
                <w:rFonts w:asciiTheme="majorHAnsi" w:eastAsia="Times New Roman" w:hAnsiTheme="majorHAnsi" w:cstheme="majorBidi"/>
                <w:color w:val="000000"/>
                <w:lang w:eastAsia="en-AU"/>
              </w:rPr>
              <w:t xml:space="preserve">in </w:t>
            </w:r>
            <w:r w:rsidRPr="00181817">
              <w:rPr>
                <w:rFonts w:asciiTheme="majorHAnsi" w:eastAsia="Times New Roman" w:hAnsiTheme="majorHAnsi" w:cstheme="majorBidi"/>
                <w:color w:val="000000"/>
                <w:lang w:eastAsia="en-AU"/>
              </w:rPr>
              <w:t xml:space="preserve">the way intended by the manufacturer </w:t>
            </w:r>
            <w:r w:rsidR="58758B05" w:rsidRPr="00181817">
              <w:rPr>
                <w:rFonts w:asciiTheme="majorHAnsi" w:eastAsia="Times New Roman" w:hAnsiTheme="majorHAnsi" w:cstheme="majorBidi"/>
                <w:color w:val="000000"/>
                <w:lang w:eastAsia="en-AU"/>
              </w:rPr>
              <w:t>and be designed, produced and packaged</w:t>
            </w:r>
            <w:r w:rsidR="00832F52" w:rsidRPr="00181817">
              <w:rPr>
                <w:rFonts w:asciiTheme="majorHAnsi" w:eastAsia="Times New Roman" w:hAnsiTheme="majorHAnsi" w:cstheme="majorBidi"/>
                <w:color w:val="000000"/>
                <w:lang w:eastAsia="en-AU"/>
              </w:rPr>
              <w:t xml:space="preserve"> accordingly</w:t>
            </w:r>
            <w:r w:rsidR="58758B05" w:rsidRPr="00181817">
              <w:rPr>
                <w:rFonts w:asciiTheme="majorHAnsi" w:eastAsia="Times New Roman" w:hAnsiTheme="majorHAnsi" w:cstheme="majorBidi"/>
                <w:color w:val="000000"/>
                <w:lang w:eastAsia="en-AU"/>
              </w:rPr>
              <w:t>. The intended purpose and use of the device should be</w:t>
            </w:r>
            <w:r w:rsidRPr="00181817">
              <w:rPr>
                <w:rFonts w:asciiTheme="majorHAnsi" w:eastAsia="Times New Roman" w:hAnsiTheme="majorHAnsi" w:cstheme="majorBidi"/>
                <w:color w:val="000000"/>
                <w:lang w:eastAsia="en-AU"/>
              </w:rPr>
              <w:t xml:space="preserve"> substantiated </w:t>
            </w:r>
            <w:r w:rsidR="00832F52" w:rsidRPr="00181817">
              <w:rPr>
                <w:rFonts w:asciiTheme="majorHAnsi" w:eastAsia="Times New Roman" w:hAnsiTheme="majorHAnsi" w:cstheme="majorBidi"/>
                <w:color w:val="000000"/>
                <w:lang w:eastAsia="en-AU"/>
              </w:rPr>
              <w:t xml:space="preserve">thoroughly </w:t>
            </w:r>
            <w:r w:rsidRPr="00181817">
              <w:rPr>
                <w:rFonts w:asciiTheme="majorHAnsi" w:eastAsia="Times New Roman" w:hAnsiTheme="majorHAnsi" w:cstheme="majorBidi"/>
                <w:color w:val="000000"/>
                <w:lang w:eastAsia="en-AU"/>
              </w:rPr>
              <w:t>using</w:t>
            </w:r>
            <w:r w:rsidR="00832F52" w:rsidRPr="00181817">
              <w:rPr>
                <w:rFonts w:asciiTheme="majorHAnsi" w:eastAsia="Times New Roman" w:hAnsiTheme="majorHAnsi" w:cstheme="majorBidi"/>
                <w:color w:val="000000"/>
                <w:lang w:eastAsia="en-AU"/>
              </w:rPr>
              <w:t xml:space="preserve"> evidence such </w:t>
            </w:r>
            <w:r w:rsidR="00DC30A2" w:rsidRPr="00181817">
              <w:rPr>
                <w:rFonts w:asciiTheme="majorHAnsi" w:eastAsia="Times New Roman" w:hAnsiTheme="majorHAnsi" w:cstheme="majorBidi"/>
                <w:color w:val="000000"/>
                <w:lang w:eastAsia="en-AU"/>
              </w:rPr>
              <w:t>as</w:t>
            </w:r>
            <w:r w:rsidRPr="00181817">
              <w:rPr>
                <w:rFonts w:asciiTheme="majorHAnsi" w:eastAsia="Times New Roman" w:hAnsiTheme="majorHAnsi" w:cstheme="majorBidi"/>
                <w:color w:val="000000"/>
                <w:lang w:eastAsia="en-AU"/>
              </w:rPr>
              <w:t xml:space="preserve"> pre-clinical testing, clinical evidence, </w:t>
            </w:r>
            <w:r w:rsidR="00832F52" w:rsidRPr="00181817">
              <w:rPr>
                <w:rFonts w:asciiTheme="majorHAnsi" w:eastAsia="Times New Roman" w:hAnsiTheme="majorHAnsi" w:cstheme="majorBidi"/>
                <w:color w:val="000000"/>
                <w:lang w:eastAsia="en-AU"/>
              </w:rPr>
              <w:t>usability studies</w:t>
            </w:r>
            <w:r w:rsidR="00B7391A" w:rsidRPr="00181817">
              <w:rPr>
                <w:rFonts w:asciiTheme="majorHAnsi" w:eastAsia="Times New Roman" w:hAnsiTheme="majorHAnsi" w:cstheme="majorBidi"/>
                <w:color w:val="000000"/>
                <w:lang w:eastAsia="en-AU"/>
              </w:rPr>
              <w:t xml:space="preserve">, </w:t>
            </w:r>
            <w:r w:rsidRPr="00181817">
              <w:rPr>
                <w:rFonts w:asciiTheme="majorHAnsi" w:eastAsia="Times New Roman" w:hAnsiTheme="majorHAnsi" w:cstheme="majorBidi"/>
                <w:color w:val="000000"/>
                <w:lang w:eastAsia="en-AU"/>
              </w:rPr>
              <w:t xml:space="preserve">verification and validation </w:t>
            </w:r>
            <w:r w:rsidR="000A1E2C" w:rsidRPr="00181817">
              <w:rPr>
                <w:rFonts w:asciiTheme="majorHAnsi" w:eastAsia="Times New Roman" w:hAnsiTheme="majorHAnsi" w:cstheme="majorBidi"/>
                <w:color w:val="000000"/>
                <w:lang w:eastAsia="en-AU"/>
              </w:rPr>
              <w:t>evidence</w:t>
            </w:r>
            <w:r w:rsidRPr="00181817">
              <w:rPr>
                <w:rFonts w:asciiTheme="majorHAnsi" w:eastAsia="Times New Roman" w:hAnsiTheme="majorHAnsi" w:cstheme="majorBidi"/>
                <w:color w:val="000000"/>
                <w:lang w:eastAsia="en-AU"/>
              </w:rPr>
              <w:t xml:space="preserve"> </w:t>
            </w:r>
            <w:r w:rsidR="000A1E2C" w:rsidRPr="00181817">
              <w:rPr>
                <w:rFonts w:asciiTheme="majorHAnsi" w:eastAsia="Times New Roman" w:hAnsiTheme="majorHAnsi" w:cstheme="majorBidi"/>
                <w:color w:val="000000"/>
                <w:lang w:eastAsia="en-AU"/>
              </w:rPr>
              <w:t>(</w:t>
            </w:r>
            <w:r w:rsidRPr="00181817">
              <w:rPr>
                <w:rFonts w:asciiTheme="majorHAnsi" w:eastAsia="Times New Roman" w:hAnsiTheme="majorHAnsi" w:cstheme="majorBidi"/>
                <w:color w:val="000000"/>
                <w:lang w:eastAsia="en-AU"/>
              </w:rPr>
              <w:t>including protocols, testing</w:t>
            </w:r>
            <w:r w:rsidR="001C7B09" w:rsidRPr="00181817">
              <w:rPr>
                <w:rFonts w:asciiTheme="majorHAnsi" w:eastAsia="Times New Roman" w:hAnsiTheme="majorHAnsi" w:cstheme="majorBidi"/>
                <w:color w:val="000000"/>
                <w:lang w:eastAsia="en-AU"/>
              </w:rPr>
              <w:t xml:space="preserve">, </w:t>
            </w:r>
            <w:r w:rsidRPr="00181817">
              <w:rPr>
                <w:rFonts w:asciiTheme="majorHAnsi" w:eastAsia="Times New Roman" w:hAnsiTheme="majorHAnsi" w:cstheme="majorBidi"/>
                <w:color w:val="000000"/>
                <w:lang w:eastAsia="en-AU"/>
              </w:rPr>
              <w:t xml:space="preserve">analysis </w:t>
            </w:r>
            <w:r w:rsidR="001C7B09" w:rsidRPr="00181817">
              <w:rPr>
                <w:rFonts w:asciiTheme="majorHAnsi" w:eastAsia="Times New Roman" w:hAnsiTheme="majorHAnsi" w:cstheme="majorBidi"/>
                <w:color w:val="000000"/>
                <w:lang w:eastAsia="en-AU"/>
              </w:rPr>
              <w:t>and reports</w:t>
            </w:r>
            <w:r w:rsidR="000A1E2C" w:rsidRPr="00181817">
              <w:rPr>
                <w:rFonts w:asciiTheme="majorHAnsi" w:eastAsia="Times New Roman" w:hAnsiTheme="majorHAnsi" w:cstheme="majorBidi"/>
                <w:color w:val="000000"/>
                <w:lang w:eastAsia="en-AU"/>
              </w:rPr>
              <w:t>)</w:t>
            </w:r>
            <w:r w:rsidR="001C7B09" w:rsidRPr="00181817">
              <w:rPr>
                <w:rFonts w:asciiTheme="majorHAnsi" w:eastAsia="Times New Roman" w:hAnsiTheme="majorHAnsi" w:cstheme="majorBidi"/>
                <w:color w:val="000000"/>
                <w:lang w:eastAsia="en-AU"/>
              </w:rPr>
              <w:t>.</w:t>
            </w:r>
            <w:r w:rsidR="00B90D7F" w:rsidRPr="00181817">
              <w:rPr>
                <w:rFonts w:asciiTheme="majorHAnsi" w:eastAsia="Times New Roman" w:hAnsiTheme="majorHAnsi" w:cstheme="majorBidi"/>
                <w:color w:val="000000"/>
                <w:lang w:eastAsia="en-AU"/>
              </w:rPr>
              <w:t xml:space="preserve"> </w:t>
            </w:r>
          </w:p>
        </w:tc>
        <w:tc>
          <w:tcPr>
            <w:tcW w:w="828" w:type="dxa"/>
            <w:noWrap/>
            <w:hideMark/>
          </w:tcPr>
          <w:p w14:paraId="4131ECDF"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834" w:type="dxa"/>
            <w:noWrap/>
            <w:hideMark/>
          </w:tcPr>
          <w:p w14:paraId="33591130"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1023" w:type="dxa"/>
            <w:noWrap/>
            <w:hideMark/>
          </w:tcPr>
          <w:p w14:paraId="7AF520AC"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2977" w:type="dxa"/>
            <w:hideMark/>
          </w:tcPr>
          <w:p w14:paraId="28F35634" w14:textId="7BA72F2E" w:rsidR="00E41A2D" w:rsidRPr="00181817" w:rsidRDefault="00E41A2D" w:rsidP="00E41A2D">
            <w:pPr>
              <w:adjustRightInd/>
              <w:snapToGrid/>
              <w:spacing w:before="0" w:after="0" w:line="240" w:lineRule="auto"/>
              <w:rPr>
                <w:rFonts w:asciiTheme="majorHAnsi" w:eastAsia="Times New Roman" w:hAnsiTheme="majorHAnsi" w:cstheme="majorHAnsi"/>
                <w:color w:val="auto"/>
                <w:lang w:eastAsia="en-AU"/>
              </w:rPr>
            </w:pPr>
            <w:r w:rsidRPr="00181817">
              <w:rPr>
                <w:rFonts w:asciiTheme="majorHAnsi" w:hAnsiTheme="majorHAnsi" w:cstheme="majorHAnsi"/>
                <w:color w:val="auto"/>
              </w:rPr>
              <w:t xml:space="preserve">PAS 54115 </w:t>
            </w:r>
            <w:r w:rsidRPr="00181817">
              <w:rPr>
                <w:rFonts w:asciiTheme="majorHAnsi" w:hAnsiTheme="majorHAnsi" w:cstheme="majorHAnsi"/>
                <w:color w:val="auto"/>
              </w:rPr>
              <w:br/>
              <w:t xml:space="preserve">IEC 62281 </w:t>
            </w:r>
            <w:r w:rsidRPr="00181817">
              <w:rPr>
                <w:rFonts w:asciiTheme="majorHAnsi" w:hAnsiTheme="majorHAnsi" w:cstheme="majorHAnsi"/>
                <w:color w:val="auto"/>
              </w:rPr>
              <w:br/>
            </w:r>
            <w:r w:rsidRPr="00181817">
              <w:rPr>
                <w:rStyle w:val="font411"/>
                <w:rFonts w:asciiTheme="majorHAnsi" w:hAnsiTheme="majorHAnsi" w:cstheme="majorHAnsi"/>
                <w:color w:val="auto"/>
              </w:rPr>
              <w:t>TGA guidance "Active medical devices"</w:t>
            </w:r>
            <w:r w:rsidRPr="00181817">
              <w:rPr>
                <w:rFonts w:asciiTheme="majorHAnsi" w:hAnsiTheme="majorHAnsi" w:cstheme="majorHAnsi"/>
                <w:color w:val="auto"/>
              </w:rPr>
              <w:br/>
            </w:r>
            <w:r w:rsidRPr="00181817">
              <w:rPr>
                <w:rStyle w:val="font411"/>
                <w:rFonts w:asciiTheme="majorHAnsi" w:hAnsiTheme="majorHAnsi" w:cstheme="majorHAnsi"/>
                <w:color w:val="auto"/>
              </w:rPr>
              <w:t>IEC 60601 series</w:t>
            </w:r>
            <w:r w:rsidRPr="00181817">
              <w:rPr>
                <w:rFonts w:asciiTheme="majorHAnsi" w:hAnsiTheme="majorHAnsi" w:cstheme="majorHAnsi"/>
                <w:color w:val="auto"/>
              </w:rPr>
              <w:br/>
            </w:r>
            <w:r w:rsidRPr="00181817">
              <w:rPr>
                <w:rStyle w:val="font411"/>
                <w:rFonts w:asciiTheme="majorHAnsi" w:hAnsiTheme="majorHAnsi" w:cstheme="majorHAnsi"/>
                <w:color w:val="auto"/>
              </w:rPr>
              <w:t>IEC 62366</w:t>
            </w:r>
            <w:r w:rsidRPr="00181817">
              <w:rPr>
                <w:rFonts w:asciiTheme="majorHAnsi" w:hAnsiTheme="majorHAnsi" w:cstheme="majorHAnsi"/>
                <w:color w:val="auto"/>
              </w:rPr>
              <w:br/>
            </w:r>
            <w:r w:rsidRPr="00181817">
              <w:rPr>
                <w:rStyle w:val="font01"/>
                <w:rFonts w:asciiTheme="majorHAnsi" w:hAnsiTheme="majorHAnsi" w:cstheme="majorHAnsi"/>
                <w:color w:val="auto"/>
              </w:rPr>
              <w:t>ISO 14155</w:t>
            </w:r>
            <w:r w:rsidRPr="00181817">
              <w:rPr>
                <w:rFonts w:asciiTheme="majorHAnsi" w:hAnsiTheme="majorHAnsi" w:cstheme="majorHAnsi"/>
                <w:color w:val="auto"/>
              </w:rPr>
              <w:br/>
            </w:r>
            <w:r w:rsidRPr="00181817">
              <w:rPr>
                <w:rStyle w:val="font01"/>
                <w:rFonts w:asciiTheme="majorHAnsi" w:hAnsiTheme="majorHAnsi" w:cstheme="majorHAnsi"/>
                <w:color w:val="auto"/>
              </w:rPr>
              <w:t>CEN/TS 17633</w:t>
            </w:r>
            <w:r w:rsidRPr="00181817">
              <w:rPr>
                <w:rFonts w:asciiTheme="majorHAnsi" w:hAnsiTheme="majorHAnsi" w:cstheme="majorHAnsi"/>
                <w:color w:val="auto"/>
              </w:rPr>
              <w:br/>
            </w:r>
            <w:r w:rsidRPr="00181817">
              <w:rPr>
                <w:rStyle w:val="font01"/>
                <w:rFonts w:asciiTheme="majorHAnsi" w:hAnsiTheme="majorHAnsi" w:cstheme="majorHAnsi"/>
                <w:color w:val="auto"/>
              </w:rPr>
              <w:t>TGA Clinical Evidence Guidelines</w:t>
            </w:r>
            <w:r w:rsidRPr="00181817">
              <w:rPr>
                <w:rFonts w:asciiTheme="majorHAnsi" w:hAnsiTheme="majorHAnsi" w:cstheme="majorHAnsi"/>
                <w:color w:val="auto"/>
              </w:rPr>
              <w:br/>
            </w:r>
            <w:r w:rsidRPr="00181817">
              <w:rPr>
                <w:rStyle w:val="font01"/>
                <w:rFonts w:asciiTheme="majorHAnsi" w:hAnsiTheme="majorHAnsi" w:cstheme="majorHAnsi"/>
                <w:color w:val="auto"/>
              </w:rPr>
              <w:t xml:space="preserve">E-Cigarettes, Vapes, and other Electronic Nicotine Delivery Systems </w:t>
            </w:r>
            <w:r w:rsidR="008522E7">
              <w:rPr>
                <w:rStyle w:val="font01"/>
                <w:rFonts w:asciiTheme="majorHAnsi" w:hAnsiTheme="majorHAnsi" w:cstheme="majorHAnsi"/>
                <w:color w:val="auto"/>
              </w:rPr>
              <w:t>U</w:t>
            </w:r>
            <w:r w:rsidR="008522E7">
              <w:rPr>
                <w:rStyle w:val="font01"/>
                <w:rFonts w:asciiTheme="majorHAnsi" w:hAnsiTheme="majorHAnsi" w:cstheme="majorHAnsi"/>
              </w:rPr>
              <w:t>S</w:t>
            </w:r>
            <w:r w:rsidRPr="00181817">
              <w:rPr>
                <w:rStyle w:val="font01"/>
                <w:rFonts w:asciiTheme="majorHAnsi" w:hAnsiTheme="majorHAnsi" w:cstheme="majorHAnsi"/>
                <w:color w:val="auto"/>
              </w:rPr>
              <w:t xml:space="preserve"> FDA</w:t>
            </w:r>
          </w:p>
        </w:tc>
      </w:tr>
      <w:tr w:rsidR="004115A3" w:rsidRPr="00D00B19" w14:paraId="5F652878" w14:textId="77777777" w:rsidTr="001E5558">
        <w:trPr>
          <w:trHeight w:val="1832"/>
        </w:trPr>
        <w:tc>
          <w:tcPr>
            <w:tcW w:w="1446" w:type="dxa"/>
            <w:noWrap/>
            <w:hideMark/>
          </w:tcPr>
          <w:p w14:paraId="788FFCFC" w14:textId="23502440" w:rsidR="00E41A2D" w:rsidRPr="00181817" w:rsidRDefault="00F2353D" w:rsidP="00E41A2D">
            <w:pPr>
              <w:adjustRightInd/>
              <w:snapToGrid/>
              <w:spacing w:before="0" w:after="0" w:line="240" w:lineRule="auto"/>
              <w:jc w:val="center"/>
              <w:rPr>
                <w:rFonts w:asciiTheme="majorHAnsi" w:eastAsia="MS Gothic" w:hAnsiTheme="majorHAnsi" w:cstheme="majorHAnsi"/>
                <w:color w:val="000000"/>
                <w:lang w:eastAsia="en-AU"/>
              </w:rPr>
            </w:pPr>
            <w:sdt>
              <w:sdtPr>
                <w:rPr>
                  <w:rFonts w:asciiTheme="majorHAnsi" w:eastAsia="MS Gothic" w:hAnsiTheme="majorHAnsi" w:cstheme="majorHAnsi" w:hint="eastAsia"/>
                  <w:color w:val="000000"/>
                  <w:lang w:eastAsia="en-AU"/>
                </w:rPr>
                <w:id w:val="-590001019"/>
                <w14:checkbox>
                  <w14:checked w14:val="0"/>
                  <w14:checkedState w14:val="2612" w14:font="MS Gothic"/>
                  <w14:uncheckedState w14:val="2610" w14:font="MS Gothic"/>
                </w14:checkbox>
              </w:sdtPr>
              <w:sdtEndPr/>
              <w:sdtContent>
                <w:r w:rsidR="00E41A2D" w:rsidRPr="00181817">
                  <w:rPr>
                    <w:rFonts w:ascii="Segoe UI Symbol" w:eastAsia="MS Gothic" w:hAnsi="Segoe UI Symbol" w:cs="Segoe UI Symbol" w:hint="eastAsia"/>
                    <w:color w:val="000000"/>
                    <w:lang w:eastAsia="en-AU"/>
                  </w:rPr>
                  <w:t>☐</w:t>
                </w:r>
              </w:sdtContent>
            </w:sdt>
          </w:p>
        </w:tc>
        <w:tc>
          <w:tcPr>
            <w:tcW w:w="1105" w:type="dxa"/>
            <w:noWrap/>
            <w:hideMark/>
          </w:tcPr>
          <w:p w14:paraId="46E93A52"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EP 4 </w:t>
            </w:r>
          </w:p>
        </w:tc>
        <w:tc>
          <w:tcPr>
            <w:tcW w:w="7184" w:type="dxa"/>
            <w:hideMark/>
          </w:tcPr>
          <w:p w14:paraId="7C6F2F7B" w14:textId="40CAF2F4" w:rsidR="00E41A2D" w:rsidRPr="00181817" w:rsidRDefault="00E41A2D" w:rsidP="00E41A2D">
            <w:pPr>
              <w:adjustRightInd/>
              <w:snapToGrid/>
              <w:spacing w:before="0" w:after="0" w:line="240" w:lineRule="auto"/>
              <w:rPr>
                <w:rFonts w:asciiTheme="majorHAnsi" w:eastAsia="Times New Roman" w:hAnsiTheme="majorHAnsi" w:cstheme="majorBidi"/>
                <w:b/>
                <w:color w:val="000000"/>
                <w:lang w:eastAsia="en-AU"/>
              </w:rPr>
            </w:pPr>
            <w:r w:rsidRPr="00181817">
              <w:rPr>
                <w:rFonts w:asciiTheme="majorHAnsi" w:eastAsia="Times New Roman" w:hAnsiTheme="majorHAnsi" w:cstheme="majorBidi"/>
                <w:b/>
                <w:color w:val="000000"/>
                <w:lang w:eastAsia="en-AU"/>
              </w:rPr>
              <w:t>Long-term safety</w:t>
            </w:r>
            <w:r w:rsidRPr="00181817">
              <w:br/>
            </w:r>
            <w:r w:rsidR="00DE5586" w:rsidRPr="00181817">
              <w:rPr>
                <w:rFonts w:asciiTheme="majorHAnsi" w:eastAsia="Times New Roman" w:hAnsiTheme="majorHAnsi" w:cstheme="majorBidi"/>
                <w:color w:val="000000"/>
                <w:lang w:eastAsia="en-AU"/>
              </w:rPr>
              <w:t>The t</w:t>
            </w:r>
            <w:r w:rsidRPr="00181817">
              <w:rPr>
                <w:rFonts w:asciiTheme="majorHAnsi" w:eastAsia="Times New Roman" w:hAnsiTheme="majorHAnsi" w:cstheme="majorBidi"/>
                <w:color w:val="000000"/>
                <w:lang w:eastAsia="en-AU"/>
              </w:rPr>
              <w:t xml:space="preserve">herapeutic vaping device must be designed and produced in a way that ensures that the device </w:t>
            </w:r>
            <w:r w:rsidR="68154BA3" w:rsidRPr="00181817">
              <w:rPr>
                <w:rFonts w:asciiTheme="majorHAnsi" w:eastAsia="Times New Roman" w:hAnsiTheme="majorHAnsi" w:cstheme="majorBidi"/>
                <w:color w:val="000000"/>
                <w:lang w:eastAsia="en-AU"/>
              </w:rPr>
              <w:t xml:space="preserve">operates safely and reliably </w:t>
            </w:r>
            <w:r w:rsidRPr="00181817">
              <w:rPr>
                <w:rFonts w:asciiTheme="majorHAnsi" w:eastAsia="Times New Roman" w:hAnsiTheme="majorHAnsi" w:cstheme="majorBidi"/>
                <w:color w:val="000000"/>
                <w:lang w:eastAsia="en-AU"/>
              </w:rPr>
              <w:t>within the lifetime</w:t>
            </w:r>
            <w:r w:rsidR="602E4641" w:rsidRPr="00181817">
              <w:rPr>
                <w:rFonts w:asciiTheme="majorHAnsi" w:eastAsia="Times New Roman" w:hAnsiTheme="majorHAnsi" w:cstheme="majorBidi"/>
                <w:color w:val="000000"/>
                <w:lang w:eastAsia="en-AU"/>
              </w:rPr>
              <w:t xml:space="preserve"> specified by the manufacturer</w:t>
            </w:r>
            <w:r w:rsidRPr="00181817">
              <w:rPr>
                <w:rFonts w:asciiTheme="majorHAnsi" w:eastAsia="Times New Roman" w:hAnsiTheme="majorHAnsi" w:cstheme="majorBidi"/>
                <w:color w:val="000000"/>
                <w:lang w:eastAsia="en-AU"/>
              </w:rPr>
              <w:t xml:space="preserve">. Compliance can be </w:t>
            </w:r>
            <w:r w:rsidR="000A1E2C" w:rsidRPr="00181817">
              <w:rPr>
                <w:rFonts w:asciiTheme="majorHAnsi" w:eastAsia="Times New Roman" w:hAnsiTheme="majorHAnsi" w:cstheme="majorBidi"/>
                <w:color w:val="000000"/>
                <w:lang w:eastAsia="en-AU"/>
              </w:rPr>
              <w:t>demonstrated</w:t>
            </w:r>
            <w:r w:rsidRPr="00181817">
              <w:rPr>
                <w:rFonts w:asciiTheme="majorHAnsi" w:eastAsia="Times New Roman" w:hAnsiTheme="majorHAnsi" w:cstheme="majorBidi"/>
                <w:color w:val="000000"/>
                <w:lang w:eastAsia="en-AU"/>
              </w:rPr>
              <w:t xml:space="preserve"> by using appropriate </w:t>
            </w:r>
            <w:r w:rsidR="5B9658C0" w:rsidRPr="00181817">
              <w:rPr>
                <w:rFonts w:asciiTheme="majorHAnsi" w:eastAsia="Times New Roman" w:hAnsiTheme="majorHAnsi" w:cstheme="majorBidi"/>
                <w:color w:val="000000"/>
                <w:lang w:eastAsia="en-AU"/>
              </w:rPr>
              <w:t xml:space="preserve">evidence </w:t>
            </w:r>
            <w:r w:rsidR="000A1E2C" w:rsidRPr="00181817">
              <w:rPr>
                <w:rFonts w:asciiTheme="majorHAnsi" w:eastAsia="Times New Roman" w:hAnsiTheme="majorHAnsi" w:cstheme="majorBidi"/>
                <w:color w:val="000000"/>
                <w:lang w:eastAsia="en-AU"/>
              </w:rPr>
              <w:t>such as</w:t>
            </w:r>
            <w:r w:rsidR="5B9658C0" w:rsidRPr="00181817">
              <w:rPr>
                <w:rFonts w:asciiTheme="majorHAnsi" w:eastAsia="Times New Roman" w:hAnsiTheme="majorHAnsi" w:cstheme="majorBidi"/>
                <w:color w:val="000000"/>
                <w:lang w:eastAsia="en-AU"/>
              </w:rPr>
              <w:t xml:space="preserve"> material</w:t>
            </w:r>
            <w:r w:rsidR="008C64E7" w:rsidRPr="00181817">
              <w:rPr>
                <w:rFonts w:asciiTheme="majorHAnsi" w:eastAsia="Times New Roman" w:hAnsiTheme="majorHAnsi" w:cstheme="majorBidi"/>
                <w:color w:val="000000"/>
                <w:lang w:eastAsia="en-AU"/>
              </w:rPr>
              <w:t xml:space="preserve"> and functional</w:t>
            </w:r>
            <w:r w:rsidR="5B9658C0" w:rsidRPr="00181817">
              <w:rPr>
                <w:rFonts w:asciiTheme="majorHAnsi" w:eastAsia="Times New Roman" w:hAnsiTheme="majorHAnsi" w:cstheme="majorBidi"/>
                <w:color w:val="000000"/>
                <w:lang w:eastAsia="en-AU"/>
              </w:rPr>
              <w:t xml:space="preserve"> </w:t>
            </w:r>
            <w:r w:rsidRPr="00181817">
              <w:rPr>
                <w:rFonts w:asciiTheme="majorHAnsi" w:eastAsia="Times New Roman" w:hAnsiTheme="majorHAnsi" w:cstheme="majorBidi"/>
                <w:color w:val="000000"/>
                <w:lang w:eastAsia="en-AU"/>
              </w:rPr>
              <w:t>durability</w:t>
            </w:r>
            <w:r w:rsidR="000A1E2C" w:rsidRPr="00181817">
              <w:rPr>
                <w:rFonts w:asciiTheme="majorHAnsi" w:eastAsia="Times New Roman" w:hAnsiTheme="majorHAnsi" w:cstheme="majorBidi"/>
                <w:color w:val="000000"/>
                <w:lang w:eastAsia="en-AU"/>
              </w:rPr>
              <w:t xml:space="preserve"> testing</w:t>
            </w:r>
            <w:r w:rsidRPr="00181817">
              <w:rPr>
                <w:rFonts w:asciiTheme="majorHAnsi" w:eastAsia="Times New Roman" w:hAnsiTheme="majorHAnsi" w:cstheme="majorBidi"/>
                <w:color w:val="000000"/>
                <w:lang w:eastAsia="en-AU"/>
              </w:rPr>
              <w:t xml:space="preserve"> </w:t>
            </w:r>
            <w:r w:rsidR="00786DC8" w:rsidRPr="00181817">
              <w:rPr>
                <w:rFonts w:asciiTheme="majorHAnsi" w:eastAsia="Times New Roman" w:hAnsiTheme="majorHAnsi" w:cstheme="majorBidi"/>
                <w:color w:val="000000"/>
                <w:lang w:eastAsia="en-AU"/>
              </w:rPr>
              <w:t>and</w:t>
            </w:r>
            <w:r w:rsidR="000A1E2C" w:rsidRPr="00181817">
              <w:rPr>
                <w:rFonts w:asciiTheme="majorHAnsi" w:eastAsia="Times New Roman" w:hAnsiTheme="majorHAnsi" w:cstheme="majorBidi"/>
                <w:color w:val="000000"/>
                <w:lang w:eastAsia="en-AU"/>
              </w:rPr>
              <w:t xml:space="preserve"> </w:t>
            </w:r>
            <w:r w:rsidR="00515E45" w:rsidRPr="00181817">
              <w:rPr>
                <w:rFonts w:asciiTheme="majorHAnsi" w:eastAsia="Times New Roman" w:hAnsiTheme="majorHAnsi" w:cstheme="majorBidi"/>
                <w:color w:val="000000"/>
                <w:lang w:eastAsia="en-AU"/>
              </w:rPr>
              <w:t>long-term</w:t>
            </w:r>
            <w:r w:rsidR="00B90D7F" w:rsidRPr="00181817">
              <w:rPr>
                <w:rFonts w:asciiTheme="majorHAnsi" w:eastAsia="Times New Roman" w:hAnsiTheme="majorHAnsi" w:cstheme="majorBidi"/>
                <w:color w:val="000000"/>
                <w:lang w:eastAsia="en-AU"/>
              </w:rPr>
              <w:t xml:space="preserve"> </w:t>
            </w:r>
            <w:r w:rsidR="62A2BF78" w:rsidRPr="00181817">
              <w:rPr>
                <w:rFonts w:asciiTheme="majorHAnsi" w:eastAsia="Times New Roman" w:hAnsiTheme="majorHAnsi" w:cstheme="majorBidi"/>
                <w:color w:val="000000"/>
                <w:lang w:eastAsia="en-AU"/>
              </w:rPr>
              <w:t xml:space="preserve">material stability </w:t>
            </w:r>
            <w:r w:rsidRPr="00181817">
              <w:rPr>
                <w:rFonts w:asciiTheme="majorHAnsi" w:eastAsia="Times New Roman" w:hAnsiTheme="majorHAnsi" w:cstheme="majorBidi"/>
                <w:color w:val="000000"/>
                <w:lang w:eastAsia="en-AU"/>
              </w:rPr>
              <w:t>testing</w:t>
            </w:r>
            <w:r w:rsidR="003B3C7C" w:rsidRPr="00181817">
              <w:rPr>
                <w:rFonts w:asciiTheme="majorHAnsi" w:eastAsia="Times New Roman" w:hAnsiTheme="majorHAnsi" w:cstheme="majorBidi"/>
                <w:color w:val="000000"/>
                <w:lang w:eastAsia="en-AU"/>
              </w:rPr>
              <w:t>.</w:t>
            </w:r>
          </w:p>
        </w:tc>
        <w:tc>
          <w:tcPr>
            <w:tcW w:w="828" w:type="dxa"/>
            <w:noWrap/>
            <w:hideMark/>
          </w:tcPr>
          <w:p w14:paraId="507D7DC4"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834" w:type="dxa"/>
            <w:noWrap/>
            <w:hideMark/>
          </w:tcPr>
          <w:p w14:paraId="794E9A3F"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1023" w:type="dxa"/>
            <w:noWrap/>
            <w:hideMark/>
          </w:tcPr>
          <w:p w14:paraId="57805F1E"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2977" w:type="dxa"/>
            <w:hideMark/>
          </w:tcPr>
          <w:p w14:paraId="72CDE207" w14:textId="28577A4B" w:rsidR="00E41A2D" w:rsidRPr="00181817" w:rsidRDefault="00E41A2D" w:rsidP="00E41A2D">
            <w:pPr>
              <w:adjustRightInd/>
              <w:snapToGrid/>
              <w:spacing w:before="0" w:after="0" w:line="240" w:lineRule="auto"/>
              <w:rPr>
                <w:rFonts w:asciiTheme="majorHAnsi" w:eastAsia="Times New Roman" w:hAnsiTheme="majorHAnsi" w:cstheme="majorHAnsi"/>
                <w:color w:val="auto"/>
                <w:lang w:eastAsia="en-AU"/>
              </w:rPr>
            </w:pPr>
            <w:r w:rsidRPr="00181817">
              <w:rPr>
                <w:rFonts w:asciiTheme="majorHAnsi" w:hAnsiTheme="majorHAnsi" w:cstheme="majorHAnsi"/>
                <w:color w:val="auto"/>
              </w:rPr>
              <w:t xml:space="preserve">PAS 54115 </w:t>
            </w:r>
            <w:r w:rsidRPr="00181817">
              <w:rPr>
                <w:rFonts w:asciiTheme="majorHAnsi" w:hAnsiTheme="majorHAnsi" w:cstheme="majorHAnsi"/>
                <w:color w:val="auto"/>
              </w:rPr>
              <w:br/>
              <w:t xml:space="preserve">IEC 62281 </w:t>
            </w:r>
            <w:r w:rsidRPr="00181817">
              <w:rPr>
                <w:rFonts w:asciiTheme="majorHAnsi" w:hAnsiTheme="majorHAnsi" w:cstheme="majorHAnsi"/>
                <w:color w:val="auto"/>
              </w:rPr>
              <w:br/>
            </w:r>
            <w:r w:rsidRPr="00181817">
              <w:rPr>
                <w:rStyle w:val="font411"/>
                <w:rFonts w:asciiTheme="majorHAnsi" w:hAnsiTheme="majorHAnsi" w:cstheme="majorHAnsi"/>
                <w:color w:val="auto"/>
              </w:rPr>
              <w:t>TGA guidance "Active medical devices"</w:t>
            </w:r>
            <w:r w:rsidRPr="00181817">
              <w:rPr>
                <w:rFonts w:asciiTheme="majorHAnsi" w:hAnsiTheme="majorHAnsi" w:cstheme="majorHAnsi"/>
                <w:color w:val="auto"/>
              </w:rPr>
              <w:br/>
            </w:r>
            <w:r w:rsidRPr="00181817">
              <w:rPr>
                <w:rStyle w:val="font411"/>
                <w:rFonts w:asciiTheme="majorHAnsi" w:hAnsiTheme="majorHAnsi" w:cstheme="majorHAnsi"/>
                <w:color w:val="auto"/>
              </w:rPr>
              <w:t>IEC 60601 series</w:t>
            </w:r>
            <w:r w:rsidRPr="00181817">
              <w:rPr>
                <w:rFonts w:asciiTheme="majorHAnsi" w:hAnsiTheme="majorHAnsi" w:cstheme="majorHAnsi"/>
                <w:color w:val="auto"/>
              </w:rPr>
              <w:br/>
            </w:r>
            <w:r w:rsidRPr="00181817">
              <w:rPr>
                <w:rStyle w:val="font411"/>
                <w:rFonts w:asciiTheme="majorHAnsi" w:hAnsiTheme="majorHAnsi" w:cstheme="majorHAnsi"/>
                <w:color w:val="auto"/>
              </w:rPr>
              <w:t>IEC 62366</w:t>
            </w:r>
            <w:r w:rsidRPr="00181817">
              <w:rPr>
                <w:rFonts w:asciiTheme="majorHAnsi" w:hAnsiTheme="majorHAnsi" w:cstheme="majorHAnsi"/>
                <w:color w:val="auto"/>
              </w:rPr>
              <w:br/>
            </w:r>
            <w:r w:rsidRPr="00181817">
              <w:rPr>
                <w:rStyle w:val="font431"/>
                <w:rFonts w:asciiTheme="majorHAnsi" w:hAnsiTheme="majorHAnsi" w:cstheme="majorHAnsi"/>
              </w:rPr>
              <w:t xml:space="preserve">E-Cigarettes, Vapes, and other Electronic Nicotine Delivery Systems </w:t>
            </w:r>
            <w:r w:rsidR="008522E7">
              <w:rPr>
                <w:rStyle w:val="font431"/>
                <w:rFonts w:asciiTheme="majorHAnsi" w:hAnsiTheme="majorHAnsi" w:cstheme="majorHAnsi"/>
              </w:rPr>
              <w:t>US</w:t>
            </w:r>
            <w:r w:rsidRPr="00181817">
              <w:rPr>
                <w:rStyle w:val="font431"/>
                <w:rFonts w:asciiTheme="majorHAnsi" w:hAnsiTheme="majorHAnsi" w:cstheme="majorHAnsi"/>
              </w:rPr>
              <w:t xml:space="preserve"> FDA</w:t>
            </w:r>
          </w:p>
        </w:tc>
      </w:tr>
      <w:tr w:rsidR="004115A3" w:rsidRPr="00D00B19" w14:paraId="2BD9211D" w14:textId="77777777" w:rsidTr="001E5558">
        <w:trPr>
          <w:trHeight w:val="736"/>
        </w:trPr>
        <w:tc>
          <w:tcPr>
            <w:tcW w:w="1446" w:type="dxa"/>
            <w:noWrap/>
            <w:hideMark/>
          </w:tcPr>
          <w:p w14:paraId="46CE5C3C" w14:textId="32225E20" w:rsidR="00E41A2D" w:rsidRPr="00181817" w:rsidRDefault="00F2353D" w:rsidP="00E41A2D">
            <w:pPr>
              <w:adjustRightInd/>
              <w:snapToGrid/>
              <w:spacing w:before="0" w:after="0" w:line="240" w:lineRule="auto"/>
              <w:jc w:val="center"/>
              <w:rPr>
                <w:rFonts w:asciiTheme="majorHAnsi" w:eastAsia="MS Gothic" w:hAnsiTheme="majorHAnsi" w:cstheme="majorHAnsi"/>
                <w:color w:val="000000"/>
                <w:lang w:eastAsia="en-AU"/>
              </w:rPr>
            </w:pPr>
            <w:sdt>
              <w:sdtPr>
                <w:rPr>
                  <w:rFonts w:asciiTheme="majorHAnsi" w:eastAsia="MS Gothic" w:hAnsiTheme="majorHAnsi" w:cstheme="majorHAnsi" w:hint="eastAsia"/>
                  <w:color w:val="000000"/>
                  <w:lang w:eastAsia="en-AU"/>
                </w:rPr>
                <w:id w:val="42107416"/>
                <w14:checkbox>
                  <w14:checked w14:val="0"/>
                  <w14:checkedState w14:val="2612" w14:font="MS Gothic"/>
                  <w14:uncheckedState w14:val="2610" w14:font="MS Gothic"/>
                </w14:checkbox>
              </w:sdtPr>
              <w:sdtEndPr/>
              <w:sdtContent>
                <w:r w:rsidR="00E41A2D" w:rsidRPr="00181817">
                  <w:rPr>
                    <w:rFonts w:ascii="Segoe UI Symbol" w:eastAsia="MS Gothic" w:hAnsi="Segoe UI Symbol" w:cs="Segoe UI Symbol" w:hint="eastAsia"/>
                    <w:color w:val="000000"/>
                    <w:lang w:eastAsia="en-AU"/>
                  </w:rPr>
                  <w:t>☐</w:t>
                </w:r>
              </w:sdtContent>
            </w:sdt>
          </w:p>
        </w:tc>
        <w:tc>
          <w:tcPr>
            <w:tcW w:w="1105" w:type="dxa"/>
            <w:noWrap/>
            <w:hideMark/>
          </w:tcPr>
          <w:p w14:paraId="75B53F10"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EP 5 </w:t>
            </w:r>
          </w:p>
        </w:tc>
        <w:tc>
          <w:tcPr>
            <w:tcW w:w="7184" w:type="dxa"/>
            <w:hideMark/>
          </w:tcPr>
          <w:p w14:paraId="38BAC4EC" w14:textId="4244D865" w:rsidR="00CC455D" w:rsidRPr="00181817" w:rsidRDefault="00E41A2D" w:rsidP="00E41A2D">
            <w:pPr>
              <w:adjustRightInd/>
              <w:snapToGrid/>
              <w:spacing w:before="0" w:after="0" w:line="240" w:lineRule="auto"/>
              <w:rPr>
                <w:rFonts w:asciiTheme="majorHAnsi" w:eastAsia="Times New Roman" w:hAnsiTheme="majorHAnsi" w:cstheme="majorBidi"/>
                <w:color w:val="000000"/>
                <w:lang w:eastAsia="en-AU"/>
              </w:rPr>
            </w:pPr>
            <w:r w:rsidRPr="00181817">
              <w:rPr>
                <w:rFonts w:asciiTheme="majorHAnsi" w:eastAsia="Times New Roman" w:hAnsiTheme="majorHAnsi" w:cstheme="majorBidi"/>
                <w:b/>
                <w:color w:val="000000"/>
                <w:lang w:eastAsia="en-AU"/>
              </w:rPr>
              <w:t>Medical devices not to be adversely affected by transport or storage</w:t>
            </w:r>
            <w:r w:rsidRPr="00181817">
              <w:br/>
            </w:r>
            <w:r w:rsidR="00CC455D" w:rsidRPr="00181817">
              <w:rPr>
                <w:rFonts w:asciiTheme="majorHAnsi" w:eastAsia="Times New Roman" w:hAnsiTheme="majorHAnsi" w:cstheme="majorBidi"/>
                <w:color w:val="000000"/>
                <w:lang w:eastAsia="en-AU"/>
              </w:rPr>
              <w:t>The manufacturer must hold evidence to demonstrate the</w:t>
            </w:r>
            <w:r w:rsidR="008037B6" w:rsidRPr="00181817">
              <w:rPr>
                <w:rFonts w:asciiTheme="majorHAnsi" w:eastAsia="Times New Roman" w:hAnsiTheme="majorHAnsi" w:cstheme="majorBidi"/>
                <w:color w:val="000000"/>
                <w:lang w:eastAsia="en-AU"/>
              </w:rPr>
              <w:t xml:space="preserve"> therapeutic</w:t>
            </w:r>
            <w:r w:rsidR="00CC455D" w:rsidRPr="00181817">
              <w:rPr>
                <w:rFonts w:asciiTheme="majorHAnsi" w:eastAsia="Times New Roman" w:hAnsiTheme="majorHAnsi" w:cstheme="majorBidi"/>
                <w:color w:val="000000"/>
                <w:lang w:eastAsia="en-AU"/>
              </w:rPr>
              <w:t xml:space="preserve"> vaping device is safe and performs as intended when used in foreseeable transport and storage scenarios. </w:t>
            </w:r>
          </w:p>
          <w:p w14:paraId="45413DC7" w14:textId="0D9C51F1" w:rsidR="00E41A2D" w:rsidRPr="00181817" w:rsidRDefault="00CC455D" w:rsidP="00E41A2D">
            <w:pPr>
              <w:adjustRightInd/>
              <w:snapToGrid/>
              <w:spacing w:before="0" w:after="0" w:line="240" w:lineRule="auto"/>
              <w:rPr>
                <w:rFonts w:asciiTheme="majorHAnsi" w:eastAsia="Times New Roman" w:hAnsiTheme="majorHAnsi" w:cstheme="majorBidi"/>
                <w:color w:val="000000"/>
                <w:lang w:eastAsia="en-AU"/>
              </w:rPr>
            </w:pPr>
            <w:r w:rsidRPr="00181817">
              <w:rPr>
                <w:rFonts w:asciiTheme="majorHAnsi" w:eastAsia="Times New Roman" w:hAnsiTheme="majorHAnsi" w:cstheme="majorBidi"/>
                <w:color w:val="000000"/>
                <w:lang w:eastAsia="en-AU"/>
              </w:rPr>
              <w:t>Typically,</w:t>
            </w:r>
            <w:r w:rsidR="00E9318C" w:rsidRPr="00181817">
              <w:rPr>
                <w:rFonts w:asciiTheme="majorHAnsi" w:eastAsia="Times New Roman" w:hAnsiTheme="majorHAnsi" w:cstheme="majorBidi"/>
                <w:color w:val="000000"/>
                <w:lang w:eastAsia="en-AU"/>
              </w:rPr>
              <w:t xml:space="preserve"> compliance is demonstrated through </w:t>
            </w:r>
            <w:r w:rsidR="00E41A2D" w:rsidRPr="00181817">
              <w:rPr>
                <w:rFonts w:asciiTheme="majorHAnsi" w:eastAsia="Times New Roman" w:hAnsiTheme="majorHAnsi" w:cstheme="majorBidi"/>
                <w:color w:val="000000"/>
                <w:lang w:eastAsia="en-AU"/>
              </w:rPr>
              <w:t>accelerated and real time studies that have been conducted to establish the shelf-life and transport stability of the</w:t>
            </w:r>
            <w:r w:rsidR="00CF57B6" w:rsidRPr="00181817">
              <w:rPr>
                <w:rFonts w:asciiTheme="majorHAnsi" w:eastAsia="Times New Roman" w:hAnsiTheme="majorHAnsi" w:cstheme="majorBidi"/>
                <w:color w:val="000000"/>
                <w:lang w:eastAsia="en-AU"/>
              </w:rPr>
              <w:t xml:space="preserve"> therapeutic</w:t>
            </w:r>
            <w:r w:rsidR="00E41A2D" w:rsidRPr="00181817">
              <w:rPr>
                <w:rFonts w:asciiTheme="majorHAnsi" w:eastAsia="Times New Roman" w:hAnsiTheme="majorHAnsi" w:cstheme="majorBidi"/>
                <w:color w:val="000000"/>
                <w:lang w:eastAsia="en-AU"/>
              </w:rPr>
              <w:t xml:space="preserve"> </w:t>
            </w:r>
            <w:r w:rsidR="00DD3D04" w:rsidRPr="00181817">
              <w:rPr>
                <w:rFonts w:asciiTheme="majorHAnsi" w:eastAsia="Times New Roman" w:hAnsiTheme="majorHAnsi" w:cstheme="majorBidi"/>
                <w:color w:val="000000"/>
                <w:lang w:eastAsia="en-AU"/>
              </w:rPr>
              <w:t xml:space="preserve">vaping </w:t>
            </w:r>
            <w:r w:rsidR="00B90D7F" w:rsidRPr="00181817">
              <w:rPr>
                <w:rFonts w:asciiTheme="majorHAnsi" w:eastAsia="Times New Roman" w:hAnsiTheme="majorHAnsi" w:cstheme="majorBidi"/>
                <w:color w:val="000000"/>
                <w:lang w:eastAsia="en-AU"/>
              </w:rPr>
              <w:t>device</w:t>
            </w:r>
            <w:r w:rsidR="00DD3D04" w:rsidRPr="00181817">
              <w:rPr>
                <w:rFonts w:asciiTheme="majorHAnsi" w:eastAsia="Times New Roman" w:hAnsiTheme="majorHAnsi" w:cstheme="majorBidi"/>
                <w:color w:val="000000"/>
                <w:lang w:eastAsia="en-AU"/>
              </w:rPr>
              <w:t xml:space="preserve">. </w:t>
            </w:r>
            <w:r w:rsidR="00D3348E" w:rsidRPr="00181817">
              <w:rPr>
                <w:rFonts w:asciiTheme="majorHAnsi" w:eastAsia="Times New Roman" w:hAnsiTheme="majorHAnsi" w:cstheme="majorBidi"/>
                <w:color w:val="000000"/>
                <w:lang w:eastAsia="en-AU"/>
              </w:rPr>
              <w:t>Studies</w:t>
            </w:r>
            <w:r w:rsidR="00D858BE" w:rsidRPr="00181817">
              <w:rPr>
                <w:rFonts w:asciiTheme="majorHAnsi" w:eastAsia="Times New Roman" w:hAnsiTheme="majorHAnsi" w:cstheme="majorBidi"/>
                <w:color w:val="000000"/>
                <w:lang w:eastAsia="en-AU"/>
              </w:rPr>
              <w:t xml:space="preserve">, testing or analysis </w:t>
            </w:r>
            <w:r w:rsidR="002C1AA5" w:rsidRPr="00181817">
              <w:rPr>
                <w:rFonts w:asciiTheme="majorHAnsi" w:eastAsia="Times New Roman" w:hAnsiTheme="majorHAnsi" w:cstheme="majorBidi"/>
                <w:color w:val="000000"/>
                <w:lang w:eastAsia="en-AU"/>
              </w:rPr>
              <w:t xml:space="preserve">should </w:t>
            </w:r>
            <w:r w:rsidR="00832F52" w:rsidRPr="00181817">
              <w:rPr>
                <w:rFonts w:asciiTheme="majorHAnsi" w:eastAsia="Times New Roman" w:hAnsiTheme="majorHAnsi" w:cstheme="majorBidi"/>
                <w:color w:val="000000"/>
                <w:lang w:eastAsia="en-AU"/>
              </w:rPr>
              <w:t xml:space="preserve">use </w:t>
            </w:r>
            <w:r w:rsidR="002C1AA5" w:rsidRPr="00181817">
              <w:rPr>
                <w:rFonts w:asciiTheme="majorHAnsi" w:eastAsia="Times New Roman" w:hAnsiTheme="majorHAnsi" w:cstheme="majorBidi"/>
                <w:color w:val="000000"/>
                <w:lang w:eastAsia="en-AU"/>
              </w:rPr>
              <w:t>comparable conditions</w:t>
            </w:r>
            <w:r w:rsidR="007733A4" w:rsidRPr="00181817">
              <w:rPr>
                <w:rFonts w:asciiTheme="majorHAnsi" w:eastAsia="Times New Roman" w:hAnsiTheme="majorHAnsi" w:cstheme="majorBidi"/>
                <w:color w:val="000000"/>
                <w:lang w:eastAsia="en-AU"/>
              </w:rPr>
              <w:t xml:space="preserve"> </w:t>
            </w:r>
            <w:r w:rsidR="00D858BE" w:rsidRPr="00181817">
              <w:rPr>
                <w:rFonts w:asciiTheme="majorHAnsi" w:eastAsia="Times New Roman" w:hAnsiTheme="majorHAnsi" w:cstheme="majorBidi"/>
                <w:color w:val="000000"/>
                <w:lang w:eastAsia="en-AU"/>
              </w:rPr>
              <w:t>to</w:t>
            </w:r>
            <w:r w:rsidR="007B6FE4" w:rsidRPr="00181817">
              <w:rPr>
                <w:rFonts w:asciiTheme="majorHAnsi" w:eastAsia="Times New Roman" w:hAnsiTheme="majorHAnsi" w:cstheme="majorBidi"/>
                <w:color w:val="000000"/>
                <w:lang w:eastAsia="en-AU"/>
              </w:rPr>
              <w:t xml:space="preserve"> </w:t>
            </w:r>
            <w:r w:rsidR="00925CD4" w:rsidRPr="00181817">
              <w:rPr>
                <w:rFonts w:asciiTheme="majorHAnsi" w:eastAsia="Times New Roman" w:hAnsiTheme="majorHAnsi" w:cstheme="majorBidi"/>
                <w:color w:val="000000"/>
                <w:lang w:eastAsia="en-AU"/>
              </w:rPr>
              <w:t>Australian climate</w:t>
            </w:r>
            <w:r w:rsidR="00AF459C" w:rsidRPr="00181817">
              <w:rPr>
                <w:rFonts w:asciiTheme="majorHAnsi" w:eastAsia="Times New Roman" w:hAnsiTheme="majorHAnsi" w:cstheme="majorBidi"/>
                <w:color w:val="000000"/>
                <w:lang w:eastAsia="en-AU"/>
              </w:rPr>
              <w:t xml:space="preserve"> zones</w:t>
            </w:r>
            <w:r w:rsidR="007733A4" w:rsidRPr="00181817">
              <w:rPr>
                <w:rFonts w:asciiTheme="majorHAnsi" w:eastAsia="Times New Roman" w:hAnsiTheme="majorHAnsi" w:cstheme="majorBidi"/>
                <w:color w:val="000000"/>
                <w:lang w:eastAsia="en-AU"/>
              </w:rPr>
              <w:t xml:space="preserve"> or be modelled on them. </w:t>
            </w:r>
          </w:p>
        </w:tc>
        <w:tc>
          <w:tcPr>
            <w:tcW w:w="828" w:type="dxa"/>
            <w:noWrap/>
            <w:hideMark/>
          </w:tcPr>
          <w:p w14:paraId="72EBC399"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834" w:type="dxa"/>
            <w:noWrap/>
            <w:hideMark/>
          </w:tcPr>
          <w:p w14:paraId="59BBA949"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w:t>
            </w:r>
          </w:p>
        </w:tc>
        <w:tc>
          <w:tcPr>
            <w:tcW w:w="1023" w:type="dxa"/>
            <w:noWrap/>
            <w:hideMark/>
          </w:tcPr>
          <w:p w14:paraId="0F5A3428"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w:t>
            </w:r>
          </w:p>
        </w:tc>
        <w:tc>
          <w:tcPr>
            <w:tcW w:w="2977" w:type="dxa"/>
            <w:hideMark/>
          </w:tcPr>
          <w:p w14:paraId="128FA5D2" w14:textId="0E037A1E"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hAnsiTheme="majorHAnsi" w:cstheme="majorHAnsi"/>
                <w:color w:val="000000"/>
              </w:rPr>
              <w:t>ASTM F1980</w:t>
            </w:r>
            <w:r w:rsidRPr="00181817">
              <w:rPr>
                <w:rFonts w:asciiTheme="majorHAnsi" w:hAnsiTheme="majorHAnsi" w:cstheme="majorHAnsi"/>
                <w:color w:val="000000"/>
              </w:rPr>
              <w:br/>
              <w:t>ASTM F1886</w:t>
            </w:r>
            <w:r w:rsidRPr="00181817">
              <w:rPr>
                <w:rFonts w:asciiTheme="majorHAnsi" w:hAnsiTheme="majorHAnsi" w:cstheme="majorHAnsi"/>
                <w:color w:val="000000"/>
              </w:rPr>
              <w:br/>
              <w:t>ISTA 2A testing</w:t>
            </w:r>
            <w:r w:rsidRPr="00181817">
              <w:rPr>
                <w:rFonts w:asciiTheme="majorHAnsi" w:hAnsiTheme="majorHAnsi" w:cstheme="majorHAnsi"/>
                <w:color w:val="000000"/>
              </w:rPr>
              <w:br/>
              <w:t>ASTM D5276 &amp; D4169</w:t>
            </w:r>
            <w:r w:rsidRPr="00181817">
              <w:rPr>
                <w:rFonts w:asciiTheme="majorHAnsi" w:hAnsiTheme="majorHAnsi" w:cstheme="majorHAnsi"/>
                <w:color w:val="000000"/>
              </w:rPr>
              <w:br/>
              <w:t xml:space="preserve">UN 38.3, IEC 62133-2, IEC 62281 </w:t>
            </w:r>
          </w:p>
        </w:tc>
      </w:tr>
      <w:tr w:rsidR="004115A3" w:rsidRPr="00D00B19" w14:paraId="76579C2A" w14:textId="77777777" w:rsidTr="001E5558">
        <w:trPr>
          <w:trHeight w:val="1641"/>
        </w:trPr>
        <w:tc>
          <w:tcPr>
            <w:tcW w:w="1446" w:type="dxa"/>
            <w:noWrap/>
            <w:hideMark/>
          </w:tcPr>
          <w:p w14:paraId="43D81560" w14:textId="6B81B85B" w:rsidR="00E41A2D" w:rsidRPr="00181817" w:rsidRDefault="00F2353D" w:rsidP="00E41A2D">
            <w:pPr>
              <w:adjustRightInd/>
              <w:snapToGrid/>
              <w:spacing w:before="0" w:after="0" w:line="240" w:lineRule="auto"/>
              <w:jc w:val="center"/>
              <w:rPr>
                <w:rFonts w:asciiTheme="majorHAnsi" w:eastAsia="MS Gothic" w:hAnsiTheme="majorHAnsi" w:cstheme="majorHAnsi"/>
                <w:color w:val="000000"/>
                <w:lang w:eastAsia="en-AU"/>
              </w:rPr>
            </w:pPr>
            <w:sdt>
              <w:sdtPr>
                <w:rPr>
                  <w:rFonts w:asciiTheme="majorHAnsi" w:eastAsia="MS Gothic" w:hAnsiTheme="majorHAnsi" w:cstheme="majorHAnsi" w:hint="eastAsia"/>
                  <w:color w:val="000000"/>
                  <w:lang w:eastAsia="en-AU"/>
                </w:rPr>
                <w:id w:val="-303242152"/>
                <w14:checkbox>
                  <w14:checked w14:val="0"/>
                  <w14:checkedState w14:val="2612" w14:font="MS Gothic"/>
                  <w14:uncheckedState w14:val="2610" w14:font="MS Gothic"/>
                </w14:checkbox>
              </w:sdtPr>
              <w:sdtEndPr/>
              <w:sdtContent>
                <w:r w:rsidR="00E41A2D" w:rsidRPr="00181817">
                  <w:rPr>
                    <w:rFonts w:ascii="Segoe UI Symbol" w:eastAsia="MS Gothic" w:hAnsi="Segoe UI Symbol" w:cs="Segoe UI Symbol" w:hint="eastAsia"/>
                    <w:color w:val="000000"/>
                    <w:lang w:eastAsia="en-AU"/>
                  </w:rPr>
                  <w:t>☐</w:t>
                </w:r>
              </w:sdtContent>
            </w:sdt>
          </w:p>
        </w:tc>
        <w:tc>
          <w:tcPr>
            <w:tcW w:w="1105" w:type="dxa"/>
            <w:noWrap/>
            <w:hideMark/>
          </w:tcPr>
          <w:p w14:paraId="53B8D46C"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EP 6 </w:t>
            </w:r>
          </w:p>
        </w:tc>
        <w:tc>
          <w:tcPr>
            <w:tcW w:w="7184" w:type="dxa"/>
            <w:hideMark/>
          </w:tcPr>
          <w:p w14:paraId="74BA1730" w14:textId="343E77D4" w:rsidR="00E41A2D" w:rsidRPr="00181817" w:rsidRDefault="00E41A2D" w:rsidP="00E41A2D">
            <w:pPr>
              <w:adjustRightInd/>
              <w:snapToGrid/>
              <w:spacing w:before="0" w:after="0" w:line="240" w:lineRule="auto"/>
              <w:rPr>
                <w:rFonts w:asciiTheme="majorHAnsi" w:eastAsia="Times New Roman" w:hAnsiTheme="majorHAnsi" w:cstheme="majorBidi"/>
                <w:color w:val="000000"/>
                <w:lang w:eastAsia="en-AU"/>
              </w:rPr>
            </w:pPr>
            <w:r w:rsidRPr="00181817">
              <w:rPr>
                <w:rFonts w:asciiTheme="majorHAnsi" w:eastAsia="Times New Roman" w:hAnsiTheme="majorHAnsi" w:cstheme="majorBidi"/>
                <w:b/>
                <w:color w:val="000000"/>
                <w:lang w:eastAsia="en-AU"/>
              </w:rPr>
              <w:t>Benefits of medical devices to outweigh any undesirable effects</w:t>
            </w:r>
            <w:r w:rsidRPr="00181817">
              <w:br/>
            </w:r>
            <w:r w:rsidR="07BC15E8" w:rsidRPr="00181817">
              <w:rPr>
                <w:rFonts w:asciiTheme="majorHAnsi" w:eastAsia="Times New Roman" w:hAnsiTheme="majorHAnsi" w:cstheme="majorBidi"/>
                <w:color w:val="000000"/>
                <w:lang w:eastAsia="en-AU"/>
              </w:rPr>
              <w:t xml:space="preserve">The manufacturer must undertake a </w:t>
            </w:r>
            <w:r w:rsidR="527BDA0E" w:rsidRPr="00181817">
              <w:rPr>
                <w:rFonts w:asciiTheme="majorHAnsi" w:eastAsia="Times New Roman" w:hAnsiTheme="majorHAnsi" w:cstheme="majorBidi"/>
                <w:color w:val="000000"/>
                <w:lang w:eastAsia="en-AU"/>
              </w:rPr>
              <w:t>w</w:t>
            </w:r>
            <w:r w:rsidRPr="00181817">
              <w:rPr>
                <w:rFonts w:asciiTheme="majorHAnsi" w:eastAsia="Times New Roman" w:hAnsiTheme="majorHAnsi" w:cstheme="majorBidi"/>
                <w:color w:val="000000"/>
                <w:lang w:eastAsia="en-AU"/>
              </w:rPr>
              <w:t>ell-reasoned risk analysis</w:t>
            </w:r>
            <w:r w:rsidR="2C808CF5" w:rsidRPr="00181817">
              <w:rPr>
                <w:rFonts w:asciiTheme="majorHAnsi" w:eastAsia="Times New Roman" w:hAnsiTheme="majorHAnsi" w:cstheme="majorBidi"/>
                <w:color w:val="000000"/>
                <w:lang w:eastAsia="en-AU"/>
              </w:rPr>
              <w:t xml:space="preserve"> </w:t>
            </w:r>
            <w:r w:rsidR="08A4B20F" w:rsidRPr="00181817">
              <w:rPr>
                <w:rFonts w:asciiTheme="majorHAnsi" w:eastAsia="Times New Roman" w:hAnsiTheme="majorHAnsi" w:cstheme="majorBidi"/>
                <w:color w:val="000000"/>
                <w:lang w:eastAsia="en-AU"/>
              </w:rPr>
              <w:t xml:space="preserve">supported by </w:t>
            </w:r>
            <w:r w:rsidR="1BD78D70" w:rsidRPr="00181817">
              <w:rPr>
                <w:rFonts w:asciiTheme="majorHAnsi" w:eastAsia="Times New Roman" w:hAnsiTheme="majorHAnsi" w:cstheme="majorBidi"/>
                <w:color w:val="000000"/>
                <w:lang w:eastAsia="en-AU"/>
              </w:rPr>
              <w:t>c</w:t>
            </w:r>
            <w:r w:rsidRPr="00181817">
              <w:rPr>
                <w:rFonts w:asciiTheme="majorHAnsi" w:eastAsia="Times New Roman" w:hAnsiTheme="majorHAnsi" w:cstheme="majorBidi"/>
                <w:color w:val="000000"/>
                <w:lang w:eastAsia="en-AU"/>
              </w:rPr>
              <w:t xml:space="preserve">linical investigations to provide an assessment of the benefit-risk profile for the </w:t>
            </w:r>
            <w:r w:rsidR="008037B6" w:rsidRPr="00181817">
              <w:rPr>
                <w:rFonts w:asciiTheme="majorHAnsi" w:eastAsia="Times New Roman" w:hAnsiTheme="majorHAnsi" w:cstheme="majorBidi"/>
                <w:color w:val="000000"/>
                <w:lang w:eastAsia="en-AU"/>
              </w:rPr>
              <w:t xml:space="preserve">therapeutic vaping device </w:t>
            </w:r>
            <w:r w:rsidRPr="00181817">
              <w:rPr>
                <w:rFonts w:asciiTheme="majorHAnsi" w:eastAsia="Times New Roman" w:hAnsiTheme="majorHAnsi" w:cstheme="majorBidi"/>
                <w:color w:val="000000"/>
                <w:lang w:eastAsia="en-AU"/>
              </w:rPr>
              <w:t>when it is used for its intended purpose. A safety profile can be established via clinical investigations, literature reviews and clinical experience (from post-market data, adverse event data).</w:t>
            </w:r>
          </w:p>
        </w:tc>
        <w:tc>
          <w:tcPr>
            <w:tcW w:w="828" w:type="dxa"/>
            <w:noWrap/>
            <w:hideMark/>
          </w:tcPr>
          <w:p w14:paraId="2218721E"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834" w:type="dxa"/>
            <w:noWrap/>
            <w:hideMark/>
          </w:tcPr>
          <w:p w14:paraId="1EDEAF1C"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w:t>
            </w:r>
          </w:p>
        </w:tc>
        <w:tc>
          <w:tcPr>
            <w:tcW w:w="1023" w:type="dxa"/>
            <w:noWrap/>
            <w:hideMark/>
          </w:tcPr>
          <w:p w14:paraId="5FF08037"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w:t>
            </w:r>
          </w:p>
        </w:tc>
        <w:tc>
          <w:tcPr>
            <w:tcW w:w="2977" w:type="dxa"/>
            <w:hideMark/>
          </w:tcPr>
          <w:p w14:paraId="28739CEB"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hAnsiTheme="majorHAnsi" w:cstheme="majorHAnsi"/>
                <w:color w:val="000000"/>
              </w:rPr>
              <w:t>ISO 14155</w:t>
            </w:r>
            <w:r w:rsidRPr="00181817">
              <w:rPr>
                <w:rFonts w:asciiTheme="majorHAnsi" w:hAnsiTheme="majorHAnsi" w:cstheme="majorHAnsi"/>
                <w:color w:val="000000"/>
              </w:rPr>
              <w:br/>
              <w:t>TGA Clinical Evidence Guidelines</w:t>
            </w:r>
          </w:p>
        </w:tc>
      </w:tr>
      <w:tr w:rsidR="004115A3" w:rsidRPr="00D00B19" w14:paraId="3B0346A4" w14:textId="77777777" w:rsidTr="001E5558">
        <w:trPr>
          <w:trHeight w:val="1030"/>
        </w:trPr>
        <w:tc>
          <w:tcPr>
            <w:tcW w:w="1446" w:type="dxa"/>
            <w:noWrap/>
            <w:hideMark/>
          </w:tcPr>
          <w:p w14:paraId="1A0EEB53" w14:textId="6A8A66E1" w:rsidR="00E41A2D" w:rsidRPr="00181817" w:rsidRDefault="00F2353D" w:rsidP="00E41A2D">
            <w:pPr>
              <w:adjustRightInd/>
              <w:snapToGrid/>
              <w:spacing w:before="0" w:after="0" w:line="240" w:lineRule="auto"/>
              <w:jc w:val="center"/>
              <w:rPr>
                <w:rFonts w:asciiTheme="majorHAnsi" w:eastAsia="MS Gothic" w:hAnsiTheme="majorHAnsi" w:cstheme="majorHAnsi"/>
                <w:color w:val="000000"/>
                <w:lang w:eastAsia="en-AU"/>
              </w:rPr>
            </w:pPr>
            <w:sdt>
              <w:sdtPr>
                <w:rPr>
                  <w:rFonts w:asciiTheme="majorHAnsi" w:eastAsia="MS Gothic" w:hAnsiTheme="majorHAnsi" w:cstheme="majorHAnsi" w:hint="eastAsia"/>
                  <w:color w:val="000000"/>
                  <w:lang w:eastAsia="en-AU"/>
                </w:rPr>
                <w:id w:val="-1899897092"/>
                <w14:checkbox>
                  <w14:checked w14:val="0"/>
                  <w14:checkedState w14:val="2612" w14:font="MS Gothic"/>
                  <w14:uncheckedState w14:val="2610" w14:font="MS Gothic"/>
                </w14:checkbox>
              </w:sdtPr>
              <w:sdtEndPr/>
              <w:sdtContent>
                <w:r w:rsidR="00E41A2D" w:rsidRPr="00181817">
                  <w:rPr>
                    <w:rFonts w:ascii="Segoe UI Symbol" w:eastAsia="MS Gothic" w:hAnsi="Segoe UI Symbol" w:cs="Segoe UI Symbol" w:hint="eastAsia"/>
                    <w:color w:val="000000"/>
                    <w:lang w:eastAsia="en-AU"/>
                  </w:rPr>
                  <w:t>☐</w:t>
                </w:r>
              </w:sdtContent>
            </w:sdt>
          </w:p>
        </w:tc>
        <w:tc>
          <w:tcPr>
            <w:tcW w:w="1105" w:type="dxa"/>
            <w:noWrap/>
            <w:hideMark/>
          </w:tcPr>
          <w:p w14:paraId="49669091"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EP 7</w:t>
            </w:r>
          </w:p>
        </w:tc>
        <w:tc>
          <w:tcPr>
            <w:tcW w:w="7184" w:type="dxa"/>
            <w:hideMark/>
          </w:tcPr>
          <w:p w14:paraId="7EC4D41A" w14:textId="09D74CF3" w:rsidR="00E41A2D" w:rsidRPr="00181817" w:rsidRDefault="00E41A2D" w:rsidP="00E41A2D">
            <w:pPr>
              <w:adjustRightInd/>
              <w:snapToGrid/>
              <w:spacing w:before="0" w:after="0" w:line="240" w:lineRule="auto"/>
              <w:rPr>
                <w:rFonts w:asciiTheme="majorHAnsi" w:eastAsia="Times New Roman" w:hAnsiTheme="majorHAnsi" w:cstheme="majorBidi"/>
                <w:color w:val="000000"/>
                <w:lang w:eastAsia="en-AU"/>
              </w:rPr>
            </w:pPr>
            <w:r w:rsidRPr="00181817">
              <w:rPr>
                <w:rFonts w:asciiTheme="majorHAnsi" w:eastAsia="Times New Roman" w:hAnsiTheme="majorHAnsi" w:cstheme="majorBidi"/>
                <w:b/>
                <w:color w:val="000000"/>
                <w:lang w:eastAsia="en-AU"/>
              </w:rPr>
              <w:t>Chemical, physical and biological properties</w:t>
            </w:r>
            <w:r w:rsidRPr="00181817">
              <w:br/>
            </w:r>
            <w:r w:rsidR="00014803" w:rsidRPr="00181817">
              <w:rPr>
                <w:rFonts w:asciiTheme="majorHAnsi" w:eastAsia="Times New Roman" w:hAnsiTheme="majorHAnsi" w:cstheme="majorBidi"/>
                <w:color w:val="000000"/>
                <w:lang w:eastAsia="en-AU"/>
              </w:rPr>
              <w:t xml:space="preserve">Compliance can be demonstrated through </w:t>
            </w:r>
            <w:r w:rsidRPr="00181817">
              <w:rPr>
                <w:rFonts w:asciiTheme="majorHAnsi" w:eastAsia="Times New Roman" w:hAnsiTheme="majorHAnsi" w:cstheme="majorBidi"/>
                <w:color w:val="000000"/>
                <w:lang w:eastAsia="en-AU"/>
              </w:rPr>
              <w:t>appropriate risk analysis and product testing</w:t>
            </w:r>
            <w:r w:rsidR="4A85C16D" w:rsidRPr="00181817">
              <w:rPr>
                <w:rFonts w:asciiTheme="majorHAnsi" w:eastAsia="Times New Roman" w:hAnsiTheme="majorHAnsi" w:cstheme="majorBidi"/>
                <w:color w:val="000000"/>
                <w:lang w:eastAsia="en-AU"/>
              </w:rPr>
              <w:t xml:space="preserve"> for biocompatibility, leachable compounds, chemical compatibility with substances administered via </w:t>
            </w:r>
            <w:r w:rsidR="0176A6D0" w:rsidRPr="00181817">
              <w:rPr>
                <w:rFonts w:asciiTheme="majorHAnsi" w:eastAsia="Times New Roman" w:hAnsiTheme="majorHAnsi" w:cstheme="majorBidi"/>
                <w:color w:val="000000"/>
                <w:lang w:eastAsia="en-AU"/>
              </w:rPr>
              <w:t xml:space="preserve">the </w:t>
            </w:r>
            <w:r w:rsidR="4A85C16D" w:rsidRPr="00181817">
              <w:rPr>
                <w:rFonts w:asciiTheme="majorHAnsi" w:eastAsia="Times New Roman" w:hAnsiTheme="majorHAnsi" w:cstheme="majorBidi"/>
                <w:color w:val="000000"/>
                <w:lang w:eastAsia="en-AU"/>
              </w:rPr>
              <w:t>device</w:t>
            </w:r>
            <w:r w:rsidR="00CC5EF6" w:rsidRPr="00181817">
              <w:rPr>
                <w:rFonts w:asciiTheme="majorHAnsi" w:eastAsia="Times New Roman" w:hAnsiTheme="majorHAnsi" w:cstheme="majorBidi"/>
                <w:color w:val="000000"/>
                <w:lang w:eastAsia="en-AU"/>
              </w:rPr>
              <w:t xml:space="preserve">. </w:t>
            </w:r>
          </w:p>
        </w:tc>
        <w:tc>
          <w:tcPr>
            <w:tcW w:w="828" w:type="dxa"/>
            <w:noWrap/>
            <w:hideMark/>
          </w:tcPr>
          <w:p w14:paraId="6009E9F2"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834" w:type="dxa"/>
            <w:noWrap/>
            <w:hideMark/>
          </w:tcPr>
          <w:p w14:paraId="7760D688"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1023" w:type="dxa"/>
            <w:noWrap/>
            <w:hideMark/>
          </w:tcPr>
          <w:p w14:paraId="591315A4"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2977" w:type="dxa"/>
            <w:noWrap/>
            <w:hideMark/>
          </w:tcPr>
          <w:p w14:paraId="4C3226B2" w14:textId="7307A22D"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hAnsiTheme="majorHAnsi" w:cstheme="majorHAnsi"/>
                <w:color w:val="000000"/>
              </w:rPr>
              <w:t>ISO 10993 series</w:t>
            </w:r>
            <w:r w:rsidRPr="00181817">
              <w:rPr>
                <w:rFonts w:asciiTheme="majorHAnsi" w:hAnsiTheme="majorHAnsi" w:cstheme="majorHAnsi"/>
                <w:color w:val="000000"/>
              </w:rPr>
              <w:br/>
              <w:t xml:space="preserve">E-Cigarettes, Vapes, and other Electronic Nicotine Delivery Systems </w:t>
            </w:r>
            <w:r w:rsidR="008522E7">
              <w:rPr>
                <w:rFonts w:asciiTheme="majorHAnsi" w:hAnsiTheme="majorHAnsi" w:cstheme="majorHAnsi"/>
                <w:color w:val="000000"/>
              </w:rPr>
              <w:t>US</w:t>
            </w:r>
            <w:r w:rsidRPr="00181817">
              <w:rPr>
                <w:rFonts w:asciiTheme="majorHAnsi" w:hAnsiTheme="majorHAnsi" w:cstheme="majorHAnsi"/>
                <w:color w:val="000000"/>
              </w:rPr>
              <w:t xml:space="preserve"> FDA (not covering 7.2 and 7.7)</w:t>
            </w:r>
          </w:p>
        </w:tc>
      </w:tr>
      <w:tr w:rsidR="004115A3" w:rsidRPr="00D00B19" w14:paraId="37C29FFB" w14:textId="77777777" w:rsidTr="001E5558">
        <w:trPr>
          <w:trHeight w:val="997"/>
        </w:trPr>
        <w:tc>
          <w:tcPr>
            <w:tcW w:w="1446" w:type="dxa"/>
            <w:noWrap/>
            <w:hideMark/>
          </w:tcPr>
          <w:p w14:paraId="07B9E277" w14:textId="5A99AE43" w:rsidR="00E41A2D" w:rsidRPr="00181817" w:rsidRDefault="00F2353D" w:rsidP="00E41A2D">
            <w:pPr>
              <w:adjustRightInd/>
              <w:snapToGrid/>
              <w:spacing w:before="0" w:after="0" w:line="240" w:lineRule="auto"/>
              <w:jc w:val="center"/>
              <w:rPr>
                <w:rFonts w:asciiTheme="majorHAnsi" w:eastAsia="MS Gothic" w:hAnsiTheme="majorHAnsi" w:cstheme="majorHAnsi"/>
                <w:color w:val="000000"/>
                <w:lang w:eastAsia="en-AU"/>
              </w:rPr>
            </w:pPr>
            <w:sdt>
              <w:sdtPr>
                <w:rPr>
                  <w:rFonts w:asciiTheme="majorHAnsi" w:eastAsia="MS Gothic" w:hAnsiTheme="majorHAnsi" w:cstheme="majorHAnsi" w:hint="eastAsia"/>
                  <w:color w:val="000000"/>
                  <w:lang w:eastAsia="en-AU"/>
                </w:rPr>
                <w:id w:val="749090045"/>
                <w14:checkbox>
                  <w14:checked w14:val="0"/>
                  <w14:checkedState w14:val="2612" w14:font="MS Gothic"/>
                  <w14:uncheckedState w14:val="2610" w14:font="MS Gothic"/>
                </w14:checkbox>
              </w:sdtPr>
              <w:sdtEndPr/>
              <w:sdtContent>
                <w:r w:rsidR="00E41A2D" w:rsidRPr="00181817">
                  <w:rPr>
                    <w:rFonts w:ascii="Segoe UI Symbol" w:eastAsia="MS Gothic" w:hAnsi="Segoe UI Symbol" w:cs="Segoe UI Symbol" w:hint="eastAsia"/>
                    <w:color w:val="000000"/>
                    <w:lang w:eastAsia="en-AU"/>
                  </w:rPr>
                  <w:t>☐</w:t>
                </w:r>
              </w:sdtContent>
            </w:sdt>
          </w:p>
        </w:tc>
        <w:tc>
          <w:tcPr>
            <w:tcW w:w="1105" w:type="dxa"/>
            <w:noWrap/>
            <w:hideMark/>
          </w:tcPr>
          <w:p w14:paraId="01319D64"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EP 8 </w:t>
            </w:r>
          </w:p>
        </w:tc>
        <w:tc>
          <w:tcPr>
            <w:tcW w:w="7184" w:type="dxa"/>
            <w:hideMark/>
          </w:tcPr>
          <w:p w14:paraId="676FB49B" w14:textId="3496F080"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b/>
                <w:color w:val="000000"/>
                <w:lang w:eastAsia="en-AU"/>
              </w:rPr>
              <w:t>Minimisation of risk of infection and contamination</w:t>
            </w:r>
            <w:r w:rsidRPr="00181817">
              <w:rPr>
                <w:rFonts w:asciiTheme="majorHAnsi" w:eastAsia="Times New Roman" w:hAnsiTheme="majorHAnsi" w:cstheme="majorHAnsi"/>
                <w:color w:val="000000"/>
                <w:lang w:eastAsia="en-AU"/>
              </w:rPr>
              <w:br/>
            </w:r>
            <w:r w:rsidR="002B1DD6" w:rsidRPr="00181817">
              <w:rPr>
                <w:rFonts w:asciiTheme="majorHAnsi" w:eastAsia="Times New Roman" w:hAnsiTheme="majorHAnsi" w:cstheme="majorBidi"/>
                <w:color w:val="000000"/>
                <w:lang w:eastAsia="en-AU"/>
              </w:rPr>
              <w:t>Compliance can be demonstrated through</w:t>
            </w:r>
            <w:r w:rsidR="002B1DD6" w:rsidRPr="00181817">
              <w:rPr>
                <w:rFonts w:asciiTheme="majorHAnsi" w:eastAsia="Times New Roman" w:hAnsiTheme="majorHAnsi" w:cstheme="majorHAnsi"/>
                <w:color w:val="000000"/>
                <w:lang w:eastAsia="en-AU"/>
              </w:rPr>
              <w:t xml:space="preserve"> </w:t>
            </w:r>
            <w:r w:rsidRPr="00181817">
              <w:rPr>
                <w:rFonts w:asciiTheme="majorHAnsi" w:eastAsia="Times New Roman" w:hAnsiTheme="majorHAnsi" w:cstheme="majorHAnsi"/>
                <w:color w:val="000000"/>
                <w:lang w:eastAsia="en-AU"/>
              </w:rPr>
              <w:t>appropriate process control measures and risk mitigation throughout the manufacture, storage and use of the device</w:t>
            </w:r>
            <w:r w:rsidR="00106401" w:rsidRPr="00181817">
              <w:rPr>
                <w:rFonts w:asciiTheme="majorHAnsi" w:eastAsia="Times New Roman" w:hAnsiTheme="majorHAnsi" w:cstheme="majorHAnsi"/>
                <w:color w:val="000000"/>
                <w:lang w:eastAsia="en-AU"/>
              </w:rPr>
              <w:t xml:space="preserve"> to ensure that risks of infection and contamination have been mitigated. </w:t>
            </w:r>
          </w:p>
        </w:tc>
        <w:tc>
          <w:tcPr>
            <w:tcW w:w="828" w:type="dxa"/>
            <w:noWrap/>
            <w:hideMark/>
          </w:tcPr>
          <w:p w14:paraId="43708FC0"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834" w:type="dxa"/>
            <w:noWrap/>
            <w:hideMark/>
          </w:tcPr>
          <w:p w14:paraId="50479E34"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1023" w:type="dxa"/>
            <w:noWrap/>
            <w:hideMark/>
          </w:tcPr>
          <w:p w14:paraId="668D087B"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2977" w:type="dxa"/>
            <w:noWrap/>
            <w:hideMark/>
          </w:tcPr>
          <w:p w14:paraId="4B8B3D7C" w14:textId="773AE23B"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331DB8">
              <w:rPr>
                <w:rFonts w:asciiTheme="majorHAnsi" w:hAnsiTheme="majorHAnsi" w:cstheme="majorHAnsi"/>
                <w:color w:val="auto"/>
              </w:rPr>
              <w:t>ISO/DIS 23417 (as guidance)</w:t>
            </w:r>
          </w:p>
        </w:tc>
      </w:tr>
      <w:tr w:rsidR="004115A3" w:rsidRPr="00D00B19" w14:paraId="1E3C9849" w14:textId="77777777" w:rsidTr="001E5558">
        <w:trPr>
          <w:trHeight w:val="973"/>
        </w:trPr>
        <w:tc>
          <w:tcPr>
            <w:tcW w:w="1446" w:type="dxa"/>
            <w:noWrap/>
            <w:hideMark/>
          </w:tcPr>
          <w:p w14:paraId="4080232B" w14:textId="54BF2917" w:rsidR="00E41A2D" w:rsidRPr="00181817" w:rsidRDefault="00F2353D" w:rsidP="00E41A2D">
            <w:pPr>
              <w:adjustRightInd/>
              <w:snapToGrid/>
              <w:spacing w:before="0" w:after="0" w:line="240" w:lineRule="auto"/>
              <w:jc w:val="center"/>
              <w:rPr>
                <w:rFonts w:asciiTheme="majorHAnsi" w:eastAsia="MS Gothic" w:hAnsiTheme="majorHAnsi" w:cstheme="majorHAnsi"/>
                <w:color w:val="000000"/>
                <w:lang w:eastAsia="en-AU"/>
              </w:rPr>
            </w:pPr>
            <w:sdt>
              <w:sdtPr>
                <w:rPr>
                  <w:rFonts w:asciiTheme="majorHAnsi" w:eastAsia="MS Gothic" w:hAnsiTheme="majorHAnsi" w:cstheme="majorHAnsi" w:hint="eastAsia"/>
                  <w:color w:val="000000"/>
                  <w:lang w:eastAsia="en-AU"/>
                </w:rPr>
                <w:id w:val="279612014"/>
                <w14:checkbox>
                  <w14:checked w14:val="0"/>
                  <w14:checkedState w14:val="2612" w14:font="MS Gothic"/>
                  <w14:uncheckedState w14:val="2610" w14:font="MS Gothic"/>
                </w14:checkbox>
              </w:sdtPr>
              <w:sdtEndPr/>
              <w:sdtContent>
                <w:r w:rsidR="00E41A2D" w:rsidRPr="00181817">
                  <w:rPr>
                    <w:rFonts w:ascii="Segoe UI Symbol" w:eastAsia="MS Gothic" w:hAnsi="Segoe UI Symbol" w:cs="Segoe UI Symbol" w:hint="eastAsia"/>
                    <w:color w:val="000000"/>
                    <w:lang w:eastAsia="en-AU"/>
                  </w:rPr>
                  <w:t>☐</w:t>
                </w:r>
              </w:sdtContent>
            </w:sdt>
          </w:p>
        </w:tc>
        <w:tc>
          <w:tcPr>
            <w:tcW w:w="1105" w:type="dxa"/>
            <w:noWrap/>
            <w:hideMark/>
          </w:tcPr>
          <w:p w14:paraId="0ED2114D"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EP 9</w:t>
            </w:r>
          </w:p>
        </w:tc>
        <w:tc>
          <w:tcPr>
            <w:tcW w:w="7184" w:type="dxa"/>
            <w:hideMark/>
          </w:tcPr>
          <w:p w14:paraId="2BEE60EF" w14:textId="0E4F2D0C" w:rsidR="00E41A2D" w:rsidRPr="00181817" w:rsidRDefault="00E41A2D" w:rsidP="00E41A2D">
            <w:pPr>
              <w:adjustRightInd/>
              <w:snapToGrid/>
              <w:spacing w:before="0" w:after="0" w:line="240" w:lineRule="auto"/>
              <w:rPr>
                <w:rFonts w:asciiTheme="majorHAnsi" w:eastAsia="Times New Roman" w:hAnsiTheme="majorHAnsi" w:cstheme="majorBidi"/>
                <w:color w:val="000000"/>
                <w:lang w:eastAsia="en-AU"/>
              </w:rPr>
            </w:pPr>
            <w:r w:rsidRPr="00181817">
              <w:rPr>
                <w:rFonts w:asciiTheme="majorHAnsi" w:eastAsia="Times New Roman" w:hAnsiTheme="majorHAnsi" w:cstheme="majorHAnsi"/>
                <w:b/>
                <w:color w:val="000000"/>
                <w:lang w:eastAsia="en-AU"/>
              </w:rPr>
              <w:t>Construction and environmental properties</w:t>
            </w:r>
            <w:r w:rsidRPr="00181817">
              <w:rPr>
                <w:rFonts w:asciiTheme="majorHAnsi" w:eastAsia="Times New Roman" w:hAnsiTheme="majorHAnsi" w:cstheme="majorHAnsi"/>
                <w:color w:val="000000"/>
                <w:lang w:eastAsia="en-AU"/>
              </w:rPr>
              <w:br/>
            </w:r>
            <w:r w:rsidR="00106401" w:rsidRPr="00181817">
              <w:rPr>
                <w:rFonts w:asciiTheme="majorHAnsi" w:eastAsia="Times New Roman" w:hAnsiTheme="majorHAnsi" w:cstheme="majorBidi"/>
                <w:color w:val="000000"/>
                <w:lang w:eastAsia="en-AU"/>
              </w:rPr>
              <w:t>Compliance can be demonstrated through</w:t>
            </w:r>
            <w:r w:rsidR="00106401" w:rsidRPr="00181817">
              <w:rPr>
                <w:rFonts w:asciiTheme="majorHAnsi" w:eastAsia="Times New Roman" w:hAnsiTheme="majorHAnsi" w:cstheme="majorHAnsi"/>
                <w:color w:val="000000"/>
                <w:lang w:eastAsia="en-AU"/>
              </w:rPr>
              <w:t xml:space="preserve"> </w:t>
            </w:r>
            <w:r w:rsidR="0071617B" w:rsidRPr="00181817">
              <w:rPr>
                <w:rFonts w:asciiTheme="majorHAnsi" w:eastAsia="Times New Roman" w:hAnsiTheme="majorHAnsi" w:cstheme="majorHAnsi"/>
                <w:color w:val="000000"/>
                <w:lang w:eastAsia="en-AU"/>
              </w:rPr>
              <w:t>verifying</w:t>
            </w:r>
            <w:r w:rsidRPr="00181817">
              <w:rPr>
                <w:rFonts w:asciiTheme="majorHAnsi" w:eastAsia="Times New Roman" w:hAnsiTheme="majorHAnsi" w:cstheme="majorHAnsi"/>
                <w:color w:val="000000"/>
                <w:lang w:eastAsia="en-AU"/>
              </w:rPr>
              <w:t xml:space="preserve"> </w:t>
            </w:r>
            <w:r w:rsidR="0093138A" w:rsidRPr="00181817">
              <w:rPr>
                <w:rFonts w:asciiTheme="majorHAnsi" w:eastAsia="Times New Roman" w:hAnsiTheme="majorHAnsi" w:cstheme="majorHAnsi"/>
                <w:color w:val="000000"/>
                <w:lang w:eastAsia="en-AU"/>
              </w:rPr>
              <w:t>the</w:t>
            </w:r>
            <w:r w:rsidRPr="00181817">
              <w:rPr>
                <w:rFonts w:asciiTheme="majorHAnsi" w:eastAsia="Times New Roman" w:hAnsiTheme="majorHAnsi" w:cstheme="majorHAnsi"/>
                <w:color w:val="000000"/>
                <w:lang w:eastAsia="en-AU"/>
              </w:rPr>
              <w:t xml:space="preserve"> safety of the device when used in combination with </w:t>
            </w:r>
            <w:r w:rsidR="00E5420B" w:rsidRPr="00181817">
              <w:rPr>
                <w:rFonts w:asciiTheme="majorHAnsi" w:eastAsia="Times New Roman" w:hAnsiTheme="majorHAnsi" w:cstheme="majorHAnsi"/>
                <w:color w:val="000000"/>
                <w:lang w:eastAsia="en-AU"/>
              </w:rPr>
              <w:t xml:space="preserve">its accessories, </w:t>
            </w:r>
            <w:r w:rsidRPr="00181817">
              <w:rPr>
                <w:rFonts w:asciiTheme="majorHAnsi" w:eastAsia="Times New Roman" w:hAnsiTheme="majorHAnsi" w:cstheme="majorHAnsi"/>
                <w:color w:val="000000"/>
                <w:lang w:eastAsia="en-AU"/>
              </w:rPr>
              <w:t>or components</w:t>
            </w:r>
            <w:r w:rsidR="00832F52" w:rsidRPr="00181817">
              <w:rPr>
                <w:rFonts w:asciiTheme="majorHAnsi" w:eastAsia="Times New Roman" w:hAnsiTheme="majorHAnsi" w:cstheme="majorHAnsi"/>
                <w:color w:val="000000"/>
                <w:lang w:eastAsia="en-AU"/>
              </w:rPr>
              <w:t>.</w:t>
            </w:r>
            <w:r w:rsidR="00D46580" w:rsidRPr="00181817">
              <w:rPr>
                <w:rFonts w:asciiTheme="majorHAnsi" w:eastAsia="Times New Roman" w:hAnsiTheme="majorHAnsi" w:cstheme="majorHAnsi"/>
                <w:color w:val="000000"/>
                <w:lang w:eastAsia="en-AU"/>
              </w:rPr>
              <w:t xml:space="preserve"> </w:t>
            </w:r>
            <w:r w:rsidR="000A1E2C" w:rsidRPr="00181817">
              <w:rPr>
                <w:rFonts w:asciiTheme="majorHAnsi" w:eastAsia="Times New Roman" w:hAnsiTheme="majorHAnsi" w:cstheme="majorHAnsi"/>
                <w:color w:val="000000"/>
                <w:lang w:eastAsia="en-AU"/>
              </w:rPr>
              <w:t xml:space="preserve">Generally, </w:t>
            </w:r>
            <w:r w:rsidRPr="00181817">
              <w:rPr>
                <w:rFonts w:asciiTheme="majorHAnsi" w:eastAsia="Times New Roman" w:hAnsiTheme="majorHAnsi" w:cstheme="majorHAnsi"/>
                <w:color w:val="000000"/>
                <w:lang w:eastAsia="en-AU"/>
              </w:rPr>
              <w:t>usability studies and appropriate bench testin</w:t>
            </w:r>
            <w:r w:rsidR="000A1E2C" w:rsidRPr="00181817">
              <w:rPr>
                <w:rFonts w:asciiTheme="majorHAnsi" w:eastAsia="Times New Roman" w:hAnsiTheme="majorHAnsi" w:cstheme="majorHAnsi"/>
                <w:color w:val="000000"/>
                <w:lang w:eastAsia="en-AU"/>
              </w:rPr>
              <w:t xml:space="preserve">g are used to demonstrate compliance. </w:t>
            </w:r>
          </w:p>
        </w:tc>
        <w:tc>
          <w:tcPr>
            <w:tcW w:w="828" w:type="dxa"/>
            <w:noWrap/>
            <w:hideMark/>
          </w:tcPr>
          <w:p w14:paraId="73097FDF"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834" w:type="dxa"/>
            <w:noWrap/>
            <w:hideMark/>
          </w:tcPr>
          <w:p w14:paraId="4E7B800D"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1023" w:type="dxa"/>
            <w:noWrap/>
            <w:hideMark/>
          </w:tcPr>
          <w:p w14:paraId="72EC5E3E"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2977" w:type="dxa"/>
            <w:hideMark/>
          </w:tcPr>
          <w:p w14:paraId="70E86376" w14:textId="5C1BFD0B" w:rsidR="00E41A2D" w:rsidRPr="00181817" w:rsidRDefault="00E41A2D" w:rsidP="00E41A2D">
            <w:pPr>
              <w:adjustRightInd/>
              <w:snapToGrid/>
              <w:spacing w:before="0" w:after="0" w:line="240" w:lineRule="auto"/>
              <w:rPr>
                <w:rFonts w:asciiTheme="majorHAnsi" w:eastAsia="Times New Roman" w:hAnsiTheme="majorHAnsi" w:cstheme="majorHAnsi"/>
                <w:color w:val="auto"/>
                <w:lang w:eastAsia="en-AU"/>
              </w:rPr>
            </w:pPr>
            <w:r w:rsidRPr="00181817">
              <w:rPr>
                <w:rFonts w:asciiTheme="majorHAnsi" w:hAnsiTheme="majorHAnsi" w:cstheme="majorHAnsi"/>
                <w:color w:val="auto"/>
              </w:rPr>
              <w:t>ISO 10993 series</w:t>
            </w:r>
            <w:r w:rsidRPr="00181817">
              <w:rPr>
                <w:rFonts w:asciiTheme="majorHAnsi" w:hAnsiTheme="majorHAnsi" w:cstheme="majorHAnsi"/>
                <w:color w:val="auto"/>
              </w:rPr>
              <w:br/>
            </w:r>
            <w:r w:rsidRPr="00181817">
              <w:rPr>
                <w:rStyle w:val="font411"/>
                <w:rFonts w:asciiTheme="majorHAnsi" w:hAnsiTheme="majorHAnsi" w:cstheme="majorHAnsi"/>
                <w:color w:val="auto"/>
              </w:rPr>
              <w:t>TGA guidance "Active medical devices"</w:t>
            </w:r>
            <w:r w:rsidRPr="00181817">
              <w:rPr>
                <w:rFonts w:asciiTheme="majorHAnsi" w:hAnsiTheme="majorHAnsi" w:cstheme="majorHAnsi"/>
                <w:color w:val="auto"/>
              </w:rPr>
              <w:br/>
            </w:r>
            <w:r w:rsidRPr="00181817">
              <w:rPr>
                <w:rStyle w:val="font411"/>
                <w:rFonts w:asciiTheme="majorHAnsi" w:hAnsiTheme="majorHAnsi" w:cstheme="majorHAnsi"/>
                <w:color w:val="auto"/>
              </w:rPr>
              <w:t>IEC 62366</w:t>
            </w:r>
            <w:r w:rsidRPr="00181817">
              <w:rPr>
                <w:rFonts w:asciiTheme="majorHAnsi" w:hAnsiTheme="majorHAnsi" w:cstheme="majorHAnsi"/>
                <w:color w:val="auto"/>
              </w:rPr>
              <w:br/>
            </w:r>
            <w:r w:rsidRPr="00181817">
              <w:rPr>
                <w:rStyle w:val="font01"/>
                <w:rFonts w:asciiTheme="majorHAnsi" w:hAnsiTheme="majorHAnsi" w:cstheme="majorHAnsi"/>
                <w:color w:val="auto"/>
              </w:rPr>
              <w:t>UL 8139</w:t>
            </w:r>
            <w:r w:rsidRPr="00181817">
              <w:rPr>
                <w:rFonts w:asciiTheme="majorHAnsi" w:hAnsiTheme="majorHAnsi" w:cstheme="majorHAnsi"/>
                <w:color w:val="auto"/>
              </w:rPr>
              <w:br/>
            </w:r>
            <w:r w:rsidRPr="00181817">
              <w:rPr>
                <w:rStyle w:val="font01"/>
                <w:rFonts w:asciiTheme="majorHAnsi" w:hAnsiTheme="majorHAnsi" w:cstheme="majorHAnsi"/>
                <w:color w:val="auto"/>
              </w:rPr>
              <w:t>UN 38.3, IEC 62133-2, IEC 62281, UL 1642</w:t>
            </w:r>
            <w:r w:rsidRPr="00181817">
              <w:rPr>
                <w:rFonts w:asciiTheme="majorHAnsi" w:hAnsiTheme="majorHAnsi" w:cstheme="majorHAnsi"/>
                <w:color w:val="auto"/>
              </w:rPr>
              <w:br/>
            </w:r>
            <w:r w:rsidRPr="00181817">
              <w:rPr>
                <w:rStyle w:val="font01"/>
                <w:rFonts w:asciiTheme="majorHAnsi" w:hAnsiTheme="majorHAnsi" w:cstheme="majorHAnsi"/>
                <w:color w:val="auto"/>
              </w:rPr>
              <w:t xml:space="preserve">E-Cigarettes, Vapes, and other Electronic Nicotine Delivery Systems </w:t>
            </w:r>
            <w:r w:rsidR="00C71511">
              <w:rPr>
                <w:rStyle w:val="font01"/>
                <w:rFonts w:asciiTheme="majorHAnsi" w:hAnsiTheme="majorHAnsi" w:cstheme="majorHAnsi"/>
                <w:color w:val="auto"/>
              </w:rPr>
              <w:t>U</w:t>
            </w:r>
            <w:r w:rsidR="00C71511">
              <w:rPr>
                <w:rStyle w:val="font01"/>
                <w:rFonts w:asciiTheme="majorHAnsi" w:hAnsiTheme="majorHAnsi" w:cstheme="majorHAnsi"/>
              </w:rPr>
              <w:t>S</w:t>
            </w:r>
            <w:r w:rsidRPr="00181817">
              <w:rPr>
                <w:rStyle w:val="font01"/>
                <w:rFonts w:asciiTheme="majorHAnsi" w:hAnsiTheme="majorHAnsi" w:cstheme="majorHAnsi"/>
                <w:color w:val="auto"/>
              </w:rPr>
              <w:t xml:space="preserve"> FDA</w:t>
            </w:r>
          </w:p>
        </w:tc>
      </w:tr>
      <w:tr w:rsidR="004115A3" w:rsidRPr="00D00B19" w14:paraId="3F2151C2" w14:textId="77777777" w:rsidTr="001E5558">
        <w:trPr>
          <w:trHeight w:val="1318"/>
        </w:trPr>
        <w:tc>
          <w:tcPr>
            <w:tcW w:w="1446" w:type="dxa"/>
            <w:noWrap/>
            <w:hideMark/>
          </w:tcPr>
          <w:p w14:paraId="15AAEA16" w14:textId="44982EA6" w:rsidR="00E41A2D" w:rsidRPr="00181817" w:rsidRDefault="00F2353D" w:rsidP="00E41A2D">
            <w:pPr>
              <w:adjustRightInd/>
              <w:snapToGrid/>
              <w:spacing w:before="0" w:after="0" w:line="240" w:lineRule="auto"/>
              <w:jc w:val="center"/>
              <w:rPr>
                <w:rFonts w:asciiTheme="majorHAnsi" w:eastAsia="MS Gothic" w:hAnsiTheme="majorHAnsi" w:cstheme="majorHAnsi"/>
                <w:color w:val="000000"/>
                <w:lang w:eastAsia="en-AU"/>
              </w:rPr>
            </w:pPr>
            <w:sdt>
              <w:sdtPr>
                <w:rPr>
                  <w:rFonts w:asciiTheme="majorHAnsi" w:eastAsia="MS Gothic" w:hAnsiTheme="majorHAnsi" w:cstheme="majorHAnsi" w:hint="eastAsia"/>
                  <w:color w:val="000000"/>
                  <w:lang w:eastAsia="en-AU"/>
                </w:rPr>
                <w:id w:val="-1861584197"/>
                <w14:checkbox>
                  <w14:checked w14:val="0"/>
                  <w14:checkedState w14:val="2612" w14:font="MS Gothic"/>
                  <w14:uncheckedState w14:val="2610" w14:font="MS Gothic"/>
                </w14:checkbox>
              </w:sdtPr>
              <w:sdtEndPr/>
              <w:sdtContent>
                <w:r w:rsidR="00E41A2D" w:rsidRPr="00181817">
                  <w:rPr>
                    <w:rFonts w:ascii="Segoe UI Symbol" w:eastAsia="MS Gothic" w:hAnsi="Segoe UI Symbol" w:cs="Segoe UI Symbol" w:hint="eastAsia"/>
                    <w:color w:val="000000"/>
                    <w:lang w:eastAsia="en-AU"/>
                  </w:rPr>
                  <w:t>☐</w:t>
                </w:r>
              </w:sdtContent>
            </w:sdt>
          </w:p>
        </w:tc>
        <w:tc>
          <w:tcPr>
            <w:tcW w:w="1105" w:type="dxa"/>
            <w:noWrap/>
            <w:hideMark/>
          </w:tcPr>
          <w:p w14:paraId="58E2FEFE"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EP 12 </w:t>
            </w:r>
          </w:p>
        </w:tc>
        <w:tc>
          <w:tcPr>
            <w:tcW w:w="7184" w:type="dxa"/>
            <w:hideMark/>
          </w:tcPr>
          <w:p w14:paraId="2388A382" w14:textId="49D6F38A" w:rsidR="00263399" w:rsidRPr="00181817" w:rsidRDefault="00E41A2D" w:rsidP="00E41A2D">
            <w:pPr>
              <w:adjustRightInd/>
              <w:snapToGrid/>
              <w:spacing w:before="0" w:after="0" w:line="240" w:lineRule="auto"/>
              <w:rPr>
                <w:rFonts w:asciiTheme="majorHAnsi" w:eastAsia="Times New Roman" w:hAnsiTheme="majorHAnsi" w:cstheme="majorBidi"/>
                <w:color w:val="000000"/>
                <w:lang w:eastAsia="en-AU"/>
              </w:rPr>
            </w:pPr>
            <w:r w:rsidRPr="00181817">
              <w:rPr>
                <w:rFonts w:asciiTheme="majorHAnsi" w:eastAsia="Times New Roman" w:hAnsiTheme="majorHAnsi" w:cstheme="majorBidi"/>
                <w:b/>
                <w:color w:val="000000"/>
                <w:lang w:eastAsia="en-AU"/>
              </w:rPr>
              <w:t>Medical devices connected to or equipped with an energy source</w:t>
            </w:r>
            <w:r w:rsidRPr="00181817">
              <w:br/>
            </w:r>
            <w:r w:rsidR="00973241" w:rsidRPr="00181817">
              <w:rPr>
                <w:rFonts w:asciiTheme="majorHAnsi" w:eastAsia="Times New Roman" w:hAnsiTheme="majorHAnsi" w:cstheme="majorBidi"/>
                <w:color w:val="000000"/>
                <w:lang w:eastAsia="en-AU"/>
              </w:rPr>
              <w:t xml:space="preserve">Compliance can be demonstrated through </w:t>
            </w:r>
            <w:r w:rsidR="0071617B" w:rsidRPr="00181817">
              <w:rPr>
                <w:rFonts w:asciiTheme="majorHAnsi" w:eastAsia="Times New Roman" w:hAnsiTheme="majorHAnsi" w:cstheme="majorBidi"/>
                <w:color w:val="000000"/>
                <w:lang w:eastAsia="en-AU"/>
              </w:rPr>
              <w:t>e</w:t>
            </w:r>
            <w:r w:rsidRPr="00181817">
              <w:rPr>
                <w:rFonts w:asciiTheme="majorHAnsi" w:eastAsia="Times New Roman" w:hAnsiTheme="majorHAnsi" w:cstheme="majorBidi"/>
                <w:color w:val="000000"/>
                <w:lang w:eastAsia="en-AU"/>
              </w:rPr>
              <w:t>vidence of electrical</w:t>
            </w:r>
            <w:r w:rsidR="000A1E2C" w:rsidRPr="00181817">
              <w:rPr>
                <w:rFonts w:asciiTheme="majorHAnsi" w:eastAsia="Times New Roman" w:hAnsiTheme="majorHAnsi" w:cstheme="majorBidi"/>
                <w:color w:val="000000"/>
                <w:lang w:eastAsia="en-AU"/>
              </w:rPr>
              <w:t xml:space="preserve"> system and battery</w:t>
            </w:r>
            <w:r w:rsidRPr="00181817">
              <w:rPr>
                <w:rFonts w:asciiTheme="majorHAnsi" w:eastAsia="Times New Roman" w:hAnsiTheme="majorHAnsi" w:cstheme="majorBidi"/>
                <w:color w:val="000000"/>
                <w:lang w:eastAsia="en-AU"/>
              </w:rPr>
              <w:t xml:space="preserve"> safety</w:t>
            </w:r>
            <w:r w:rsidR="00263399" w:rsidRPr="00181817">
              <w:rPr>
                <w:rFonts w:asciiTheme="majorHAnsi" w:eastAsia="Times New Roman" w:hAnsiTheme="majorHAnsi" w:cstheme="majorBidi"/>
                <w:color w:val="000000"/>
                <w:lang w:eastAsia="en-AU"/>
              </w:rPr>
              <w:t>. This should include</w:t>
            </w:r>
            <w:r w:rsidRPr="00181817">
              <w:rPr>
                <w:rFonts w:asciiTheme="majorHAnsi" w:eastAsia="Times New Roman" w:hAnsiTheme="majorHAnsi" w:cstheme="majorBidi"/>
                <w:color w:val="000000"/>
                <w:lang w:eastAsia="en-AU"/>
              </w:rPr>
              <w:t xml:space="preserve"> electromagnetic compatibility and user safety</w:t>
            </w:r>
            <w:r w:rsidR="18DFF857" w:rsidRPr="00181817">
              <w:rPr>
                <w:rFonts w:asciiTheme="majorHAnsi" w:eastAsia="Times New Roman" w:hAnsiTheme="majorHAnsi" w:cstheme="majorBidi"/>
                <w:color w:val="000000"/>
                <w:lang w:eastAsia="en-AU"/>
              </w:rPr>
              <w:t xml:space="preserve"> through the product life cycle</w:t>
            </w:r>
            <w:r w:rsidRPr="00181817">
              <w:rPr>
                <w:rFonts w:asciiTheme="majorHAnsi" w:eastAsia="Times New Roman" w:hAnsiTheme="majorHAnsi" w:cstheme="majorBidi"/>
                <w:color w:val="000000"/>
                <w:lang w:eastAsia="en-AU"/>
              </w:rPr>
              <w:t xml:space="preserve">. </w:t>
            </w:r>
          </w:p>
          <w:p w14:paraId="175D4E89" w14:textId="21C5F2C3" w:rsidR="00E41A2D" w:rsidRPr="00181817" w:rsidRDefault="00263399" w:rsidP="008428C2">
            <w:pPr>
              <w:adjustRightInd/>
              <w:snapToGrid/>
              <w:spacing w:before="0" w:after="0" w:line="240" w:lineRule="auto"/>
              <w:rPr>
                <w:rFonts w:asciiTheme="majorHAnsi" w:eastAsia="Times New Roman" w:hAnsiTheme="majorHAnsi" w:cstheme="majorBidi"/>
                <w:color w:val="000000"/>
                <w:lang w:eastAsia="en-AU"/>
              </w:rPr>
            </w:pPr>
            <w:r w:rsidRPr="00181817">
              <w:rPr>
                <w:rFonts w:asciiTheme="majorHAnsi" w:eastAsia="Times New Roman" w:hAnsiTheme="majorHAnsi" w:cstheme="majorBidi"/>
                <w:color w:val="000000"/>
                <w:lang w:eastAsia="en-AU"/>
              </w:rPr>
              <w:t xml:space="preserve">If the device contains firmware, </w:t>
            </w:r>
            <w:r w:rsidR="005A16FD" w:rsidRPr="00181817">
              <w:rPr>
                <w:rFonts w:asciiTheme="majorHAnsi" w:eastAsia="Times New Roman" w:hAnsiTheme="majorHAnsi" w:cstheme="majorBidi"/>
                <w:color w:val="000000"/>
                <w:lang w:eastAsia="en-AU"/>
              </w:rPr>
              <w:t xml:space="preserve">you </w:t>
            </w:r>
            <w:r w:rsidR="000A1E2C" w:rsidRPr="00181817">
              <w:rPr>
                <w:rFonts w:asciiTheme="majorHAnsi" w:eastAsia="Times New Roman" w:hAnsiTheme="majorHAnsi" w:cstheme="majorBidi"/>
                <w:color w:val="000000"/>
                <w:lang w:eastAsia="en-AU"/>
              </w:rPr>
              <w:t>should</w:t>
            </w:r>
            <w:r w:rsidR="005A16FD" w:rsidRPr="00181817">
              <w:rPr>
                <w:rFonts w:asciiTheme="majorHAnsi" w:eastAsia="Times New Roman" w:hAnsiTheme="majorHAnsi" w:cstheme="majorBidi"/>
                <w:color w:val="000000"/>
                <w:lang w:eastAsia="en-AU"/>
              </w:rPr>
              <w:t xml:space="preserve"> consider risks related to software</w:t>
            </w:r>
            <w:r w:rsidR="00D739F0" w:rsidRPr="00181817">
              <w:rPr>
                <w:rFonts w:asciiTheme="majorHAnsi" w:eastAsia="Times New Roman" w:hAnsiTheme="majorHAnsi" w:cstheme="majorBidi"/>
                <w:color w:val="000000"/>
                <w:lang w:eastAsia="en-AU"/>
              </w:rPr>
              <w:t xml:space="preserve">, </w:t>
            </w:r>
            <w:r w:rsidR="008428C2" w:rsidRPr="00181817">
              <w:rPr>
                <w:rFonts w:asciiTheme="majorHAnsi" w:eastAsia="Times New Roman" w:hAnsiTheme="majorHAnsi" w:cstheme="majorBidi"/>
                <w:color w:val="000000"/>
                <w:lang w:eastAsia="en-AU"/>
              </w:rPr>
              <w:t>and the</w:t>
            </w:r>
            <w:r w:rsidR="005A16FD" w:rsidRPr="00181817">
              <w:rPr>
                <w:rFonts w:asciiTheme="majorHAnsi" w:eastAsia="Times New Roman" w:hAnsiTheme="majorHAnsi" w:cstheme="majorBidi"/>
                <w:color w:val="000000"/>
                <w:lang w:eastAsia="en-AU"/>
              </w:rPr>
              <w:t xml:space="preserve"> </w:t>
            </w:r>
            <w:r w:rsidR="00D739F0" w:rsidRPr="00181817">
              <w:rPr>
                <w:rFonts w:asciiTheme="majorHAnsi" w:eastAsia="Times New Roman" w:hAnsiTheme="majorHAnsi" w:cstheme="majorBidi"/>
                <w:color w:val="000000"/>
                <w:lang w:eastAsia="en-AU"/>
              </w:rPr>
              <w:t>programmed or programmable elements of the device</w:t>
            </w:r>
            <w:r w:rsidR="008428C2" w:rsidRPr="00181817">
              <w:rPr>
                <w:rFonts w:asciiTheme="majorHAnsi" w:eastAsia="Times New Roman" w:hAnsiTheme="majorHAnsi" w:cstheme="majorBidi"/>
                <w:color w:val="000000"/>
                <w:lang w:eastAsia="en-AU"/>
              </w:rPr>
              <w:t xml:space="preserve">. Evidence of compliance in this case </w:t>
            </w:r>
            <w:r w:rsidR="005633C9" w:rsidRPr="00181817">
              <w:rPr>
                <w:rFonts w:asciiTheme="majorHAnsi" w:eastAsia="Times New Roman" w:hAnsiTheme="majorHAnsi" w:cstheme="majorBidi"/>
                <w:color w:val="000000"/>
                <w:lang w:eastAsia="en-AU"/>
              </w:rPr>
              <w:t>must</w:t>
            </w:r>
            <w:r w:rsidR="008428C2" w:rsidRPr="00181817">
              <w:rPr>
                <w:rFonts w:asciiTheme="majorHAnsi" w:eastAsia="Times New Roman" w:hAnsiTheme="majorHAnsi" w:cstheme="majorBidi"/>
                <w:color w:val="000000"/>
                <w:lang w:eastAsia="en-AU"/>
              </w:rPr>
              <w:t xml:space="preserve"> </w:t>
            </w:r>
            <w:r w:rsidR="00E41A2D" w:rsidRPr="00181817">
              <w:rPr>
                <w:rFonts w:asciiTheme="majorHAnsi" w:eastAsia="Times New Roman" w:hAnsiTheme="majorHAnsi" w:cstheme="majorBidi"/>
                <w:color w:val="000000"/>
                <w:lang w:eastAsia="en-AU"/>
              </w:rPr>
              <w:t xml:space="preserve">demonstrate the safety, performance, reliability, accuracy, precision, useability, security and repeatability </w:t>
            </w:r>
            <w:r w:rsidR="005633C9" w:rsidRPr="00181817">
              <w:rPr>
                <w:rFonts w:asciiTheme="majorHAnsi" w:eastAsia="Times New Roman" w:hAnsiTheme="majorHAnsi" w:cstheme="majorBidi"/>
                <w:color w:val="000000"/>
                <w:lang w:eastAsia="en-AU"/>
              </w:rPr>
              <w:t xml:space="preserve">of the software </w:t>
            </w:r>
            <w:r w:rsidR="005D7882" w:rsidRPr="00181817">
              <w:rPr>
                <w:rFonts w:asciiTheme="majorHAnsi" w:eastAsia="Times New Roman" w:hAnsiTheme="majorHAnsi" w:cstheme="majorBidi"/>
                <w:color w:val="000000"/>
                <w:lang w:eastAsia="en-AU"/>
              </w:rPr>
              <w:t>or</w:t>
            </w:r>
            <w:r w:rsidR="005633C9" w:rsidRPr="00181817">
              <w:rPr>
                <w:rFonts w:asciiTheme="majorHAnsi" w:eastAsia="Times New Roman" w:hAnsiTheme="majorHAnsi" w:cstheme="majorBidi"/>
                <w:color w:val="000000"/>
                <w:lang w:eastAsia="en-AU"/>
              </w:rPr>
              <w:t xml:space="preserve"> programmed or programmable</w:t>
            </w:r>
            <w:r w:rsidR="005633C9" w:rsidRPr="00181817" w:rsidDel="005633C9">
              <w:rPr>
                <w:rFonts w:asciiTheme="majorHAnsi" w:eastAsia="Times New Roman" w:hAnsiTheme="majorHAnsi" w:cstheme="majorBidi"/>
                <w:color w:val="000000"/>
                <w:lang w:eastAsia="en-AU"/>
              </w:rPr>
              <w:t xml:space="preserve"> </w:t>
            </w:r>
            <w:r w:rsidR="005D7882" w:rsidRPr="00181817">
              <w:rPr>
                <w:rFonts w:asciiTheme="majorHAnsi" w:eastAsia="Times New Roman" w:hAnsiTheme="majorHAnsi" w:cstheme="majorBidi"/>
                <w:color w:val="000000"/>
                <w:lang w:eastAsia="en-AU"/>
              </w:rPr>
              <w:t xml:space="preserve">subsystems of the device. </w:t>
            </w:r>
          </w:p>
        </w:tc>
        <w:tc>
          <w:tcPr>
            <w:tcW w:w="828" w:type="dxa"/>
            <w:noWrap/>
            <w:hideMark/>
          </w:tcPr>
          <w:p w14:paraId="719AA5B3"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834" w:type="dxa"/>
            <w:noWrap/>
            <w:hideMark/>
          </w:tcPr>
          <w:p w14:paraId="54D3AC40"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1023" w:type="dxa"/>
            <w:noWrap/>
            <w:hideMark/>
          </w:tcPr>
          <w:p w14:paraId="57840690"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2977" w:type="dxa"/>
            <w:hideMark/>
          </w:tcPr>
          <w:p w14:paraId="4E44D303" w14:textId="4B01FC09" w:rsidR="00E41A2D" w:rsidRPr="00181817" w:rsidRDefault="00E41A2D" w:rsidP="00E41A2D">
            <w:pPr>
              <w:adjustRightInd/>
              <w:snapToGrid/>
              <w:spacing w:before="0" w:after="0" w:line="240" w:lineRule="auto"/>
              <w:rPr>
                <w:rStyle w:val="font01"/>
                <w:rFonts w:asciiTheme="majorHAnsi" w:hAnsiTheme="majorHAnsi" w:cstheme="majorHAnsi"/>
                <w:color w:val="auto"/>
              </w:rPr>
            </w:pPr>
            <w:r w:rsidRPr="00181817">
              <w:rPr>
                <w:rStyle w:val="font411"/>
                <w:rFonts w:asciiTheme="majorHAnsi" w:hAnsiTheme="majorHAnsi" w:cstheme="majorHAnsi"/>
                <w:color w:val="auto"/>
              </w:rPr>
              <w:t>TGA guidance "Active medical devices"</w:t>
            </w:r>
            <w:r w:rsidRPr="00181817">
              <w:rPr>
                <w:rFonts w:asciiTheme="majorHAnsi" w:hAnsiTheme="majorHAnsi" w:cstheme="majorHAnsi"/>
                <w:color w:val="auto"/>
              </w:rPr>
              <w:br/>
            </w:r>
            <w:r w:rsidRPr="00181817">
              <w:rPr>
                <w:rStyle w:val="font411"/>
                <w:rFonts w:asciiTheme="majorHAnsi" w:hAnsiTheme="majorHAnsi" w:cstheme="majorHAnsi"/>
                <w:color w:val="auto"/>
              </w:rPr>
              <w:t>IEC 60601 series</w:t>
            </w:r>
            <w:r w:rsidRPr="00181817">
              <w:rPr>
                <w:rFonts w:asciiTheme="majorHAnsi" w:hAnsiTheme="majorHAnsi" w:cstheme="majorHAnsi"/>
                <w:color w:val="auto"/>
              </w:rPr>
              <w:br/>
            </w:r>
            <w:r w:rsidRPr="00181817">
              <w:rPr>
                <w:rStyle w:val="font411"/>
                <w:rFonts w:asciiTheme="majorHAnsi" w:hAnsiTheme="majorHAnsi" w:cstheme="majorHAnsi"/>
                <w:color w:val="auto"/>
              </w:rPr>
              <w:t xml:space="preserve">IEC 62304 </w:t>
            </w:r>
            <w:r w:rsidRPr="00181817">
              <w:rPr>
                <w:rFonts w:asciiTheme="majorHAnsi" w:hAnsiTheme="majorHAnsi" w:cstheme="majorHAnsi"/>
                <w:color w:val="auto"/>
              </w:rPr>
              <w:br/>
            </w:r>
            <w:r w:rsidRPr="00181817">
              <w:rPr>
                <w:rStyle w:val="font411"/>
                <w:rFonts w:asciiTheme="majorHAnsi" w:hAnsiTheme="majorHAnsi" w:cstheme="majorHAnsi"/>
                <w:color w:val="auto"/>
              </w:rPr>
              <w:t>IEC 62366</w:t>
            </w:r>
            <w:r w:rsidRPr="00181817">
              <w:rPr>
                <w:rFonts w:asciiTheme="majorHAnsi" w:hAnsiTheme="majorHAnsi" w:cstheme="majorHAnsi"/>
                <w:color w:val="auto"/>
              </w:rPr>
              <w:br/>
            </w:r>
            <w:r w:rsidRPr="00181817">
              <w:rPr>
                <w:rStyle w:val="font411"/>
                <w:rFonts w:asciiTheme="majorHAnsi" w:hAnsiTheme="majorHAnsi" w:cstheme="majorHAnsi"/>
                <w:color w:val="auto"/>
              </w:rPr>
              <w:t>AS/NZS 3112</w:t>
            </w:r>
            <w:r w:rsidRPr="00181817">
              <w:rPr>
                <w:rFonts w:asciiTheme="majorHAnsi" w:hAnsiTheme="majorHAnsi" w:cstheme="majorHAnsi"/>
                <w:color w:val="auto"/>
              </w:rPr>
              <w:br/>
            </w:r>
            <w:r w:rsidRPr="00181817">
              <w:rPr>
                <w:rStyle w:val="font01"/>
                <w:rFonts w:asciiTheme="majorHAnsi" w:hAnsiTheme="majorHAnsi" w:cstheme="majorHAnsi"/>
                <w:color w:val="auto"/>
              </w:rPr>
              <w:t xml:space="preserve">UL 8139 </w:t>
            </w:r>
            <w:r w:rsidRPr="00181817">
              <w:rPr>
                <w:rFonts w:asciiTheme="majorHAnsi" w:hAnsiTheme="majorHAnsi" w:cstheme="majorHAnsi"/>
                <w:color w:val="auto"/>
              </w:rPr>
              <w:br/>
            </w:r>
            <w:r w:rsidRPr="00181817">
              <w:rPr>
                <w:rStyle w:val="font01"/>
                <w:rFonts w:asciiTheme="majorHAnsi" w:hAnsiTheme="majorHAnsi" w:cstheme="majorHAnsi"/>
                <w:color w:val="auto"/>
              </w:rPr>
              <w:t xml:space="preserve">IEC 62281 </w:t>
            </w:r>
            <w:r w:rsidRPr="00181817">
              <w:rPr>
                <w:rFonts w:asciiTheme="majorHAnsi" w:hAnsiTheme="majorHAnsi" w:cstheme="majorHAnsi"/>
                <w:color w:val="auto"/>
              </w:rPr>
              <w:br/>
            </w:r>
            <w:r w:rsidRPr="00181817">
              <w:rPr>
                <w:rStyle w:val="font01"/>
                <w:rFonts w:asciiTheme="majorHAnsi" w:hAnsiTheme="majorHAnsi" w:cstheme="majorHAnsi"/>
                <w:color w:val="auto"/>
              </w:rPr>
              <w:t>UL 2054</w:t>
            </w:r>
            <w:r w:rsidRPr="00181817">
              <w:rPr>
                <w:rFonts w:asciiTheme="majorHAnsi" w:hAnsiTheme="majorHAnsi" w:cstheme="majorHAnsi"/>
                <w:color w:val="auto"/>
              </w:rPr>
              <w:br/>
            </w:r>
            <w:r w:rsidRPr="00181817">
              <w:rPr>
                <w:rStyle w:val="font01"/>
                <w:rFonts w:asciiTheme="majorHAnsi" w:hAnsiTheme="majorHAnsi" w:cstheme="majorHAnsi"/>
                <w:color w:val="auto"/>
              </w:rPr>
              <w:t xml:space="preserve">E-Cigarettes, Vapes, and other Electronic Nicotine Delivery Systems </w:t>
            </w:r>
            <w:r w:rsidR="00C71511">
              <w:rPr>
                <w:rStyle w:val="font01"/>
                <w:rFonts w:asciiTheme="majorHAnsi" w:hAnsiTheme="majorHAnsi" w:cstheme="majorHAnsi"/>
                <w:color w:val="auto"/>
              </w:rPr>
              <w:t>U</w:t>
            </w:r>
            <w:r w:rsidR="00C71511">
              <w:rPr>
                <w:rStyle w:val="font01"/>
                <w:rFonts w:asciiTheme="majorHAnsi" w:hAnsiTheme="majorHAnsi" w:cstheme="majorHAnsi"/>
              </w:rPr>
              <w:t>S</w:t>
            </w:r>
            <w:r w:rsidRPr="00181817">
              <w:rPr>
                <w:rStyle w:val="font01"/>
                <w:rFonts w:asciiTheme="majorHAnsi" w:hAnsiTheme="majorHAnsi" w:cstheme="majorHAnsi"/>
                <w:color w:val="auto"/>
              </w:rPr>
              <w:t xml:space="preserve"> FDA</w:t>
            </w:r>
          </w:p>
          <w:p w14:paraId="4BCED81A" w14:textId="77777777" w:rsidR="008126AB" w:rsidRDefault="008126AB" w:rsidP="00E41A2D">
            <w:pPr>
              <w:adjustRightInd/>
              <w:snapToGrid/>
              <w:spacing w:before="0" w:after="0" w:line="240" w:lineRule="auto"/>
              <w:rPr>
                <w:rStyle w:val="font01"/>
                <w:rFonts w:asciiTheme="majorHAnsi" w:hAnsiTheme="majorHAnsi" w:cstheme="majorHAnsi"/>
                <w:color w:val="auto"/>
              </w:rPr>
            </w:pPr>
            <w:bookmarkStart w:id="1" w:name="_Hlk159591765"/>
            <w:r w:rsidRPr="00181817">
              <w:rPr>
                <w:rStyle w:val="font01"/>
                <w:rFonts w:asciiTheme="majorHAnsi" w:hAnsiTheme="majorHAnsi" w:cstheme="majorHAnsi"/>
                <w:color w:val="auto"/>
              </w:rPr>
              <w:t>Consumer Goods (Products Containing Button/Coin Batteries) Safety Standard 2020</w:t>
            </w:r>
            <w:bookmarkEnd w:id="1"/>
          </w:p>
          <w:p w14:paraId="7EFCB10E" w14:textId="415FFF65" w:rsidR="00C71511" w:rsidRPr="00181817" w:rsidRDefault="00C71511" w:rsidP="00E41A2D">
            <w:pPr>
              <w:adjustRightInd/>
              <w:snapToGrid/>
              <w:spacing w:before="0" w:after="0" w:line="240" w:lineRule="auto"/>
              <w:rPr>
                <w:rFonts w:asciiTheme="majorHAnsi" w:eastAsia="Times New Roman" w:hAnsiTheme="majorHAnsi" w:cstheme="majorHAnsi"/>
                <w:color w:val="auto"/>
                <w:lang w:eastAsia="en-AU"/>
              </w:rPr>
            </w:pPr>
          </w:p>
        </w:tc>
      </w:tr>
      <w:tr w:rsidR="004115A3" w:rsidRPr="00D00B19" w14:paraId="0DB64149" w14:textId="77777777" w:rsidTr="001E5558">
        <w:trPr>
          <w:trHeight w:val="1110"/>
        </w:trPr>
        <w:tc>
          <w:tcPr>
            <w:tcW w:w="1446" w:type="dxa"/>
            <w:noWrap/>
            <w:hideMark/>
          </w:tcPr>
          <w:p w14:paraId="7C4A5A10" w14:textId="1D42613C" w:rsidR="00E41A2D" w:rsidRPr="00181817" w:rsidRDefault="00F2353D" w:rsidP="00E41A2D">
            <w:pPr>
              <w:adjustRightInd/>
              <w:snapToGrid/>
              <w:spacing w:before="0" w:after="0" w:line="240" w:lineRule="auto"/>
              <w:jc w:val="center"/>
              <w:rPr>
                <w:rFonts w:asciiTheme="majorHAnsi" w:eastAsia="MS Gothic" w:hAnsiTheme="majorHAnsi" w:cstheme="majorHAnsi"/>
                <w:color w:val="000000"/>
                <w:lang w:eastAsia="en-AU"/>
              </w:rPr>
            </w:pPr>
            <w:sdt>
              <w:sdtPr>
                <w:rPr>
                  <w:rFonts w:asciiTheme="majorHAnsi" w:eastAsia="MS Gothic" w:hAnsiTheme="majorHAnsi" w:cstheme="majorHAnsi" w:hint="eastAsia"/>
                  <w:color w:val="000000"/>
                  <w:lang w:eastAsia="en-AU"/>
                </w:rPr>
                <w:id w:val="-674580703"/>
                <w14:checkbox>
                  <w14:checked w14:val="0"/>
                  <w14:checkedState w14:val="2612" w14:font="MS Gothic"/>
                  <w14:uncheckedState w14:val="2610" w14:font="MS Gothic"/>
                </w14:checkbox>
              </w:sdtPr>
              <w:sdtEndPr/>
              <w:sdtContent>
                <w:r w:rsidR="00E41A2D" w:rsidRPr="00181817">
                  <w:rPr>
                    <w:rFonts w:ascii="Segoe UI Symbol" w:eastAsia="MS Gothic" w:hAnsi="Segoe UI Symbol" w:cs="Segoe UI Symbol" w:hint="eastAsia"/>
                    <w:color w:val="000000"/>
                    <w:lang w:eastAsia="en-AU"/>
                  </w:rPr>
                  <w:t>☐</w:t>
                </w:r>
              </w:sdtContent>
            </w:sdt>
          </w:p>
        </w:tc>
        <w:tc>
          <w:tcPr>
            <w:tcW w:w="1105" w:type="dxa"/>
            <w:noWrap/>
            <w:hideMark/>
          </w:tcPr>
          <w:p w14:paraId="4B6E08CE"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EP 13</w:t>
            </w:r>
          </w:p>
        </w:tc>
        <w:tc>
          <w:tcPr>
            <w:tcW w:w="7184" w:type="dxa"/>
            <w:hideMark/>
          </w:tcPr>
          <w:p w14:paraId="57549D61" w14:textId="02366356" w:rsidR="00E41A2D" w:rsidRPr="00181817" w:rsidRDefault="00E41A2D" w:rsidP="00E41A2D">
            <w:pPr>
              <w:adjustRightInd/>
              <w:snapToGrid/>
              <w:spacing w:before="0" w:after="0" w:line="240" w:lineRule="auto"/>
              <w:rPr>
                <w:rFonts w:asciiTheme="majorHAnsi" w:eastAsia="Times New Roman" w:hAnsiTheme="majorHAnsi" w:cstheme="majorBidi"/>
                <w:color w:val="000000"/>
                <w:lang w:eastAsia="en-AU"/>
              </w:rPr>
            </w:pPr>
            <w:r w:rsidRPr="00181817">
              <w:rPr>
                <w:rFonts w:asciiTheme="majorHAnsi" w:eastAsia="Times New Roman" w:hAnsiTheme="majorHAnsi" w:cstheme="majorBidi"/>
                <w:color w:val="000000"/>
                <w:lang w:eastAsia="en-AU"/>
              </w:rPr>
              <w:t>I</w:t>
            </w:r>
            <w:r w:rsidRPr="00181817">
              <w:rPr>
                <w:rFonts w:asciiTheme="majorHAnsi" w:eastAsia="Times New Roman" w:hAnsiTheme="majorHAnsi" w:cstheme="majorBidi"/>
                <w:b/>
                <w:color w:val="000000"/>
                <w:lang w:eastAsia="en-AU"/>
              </w:rPr>
              <w:t>nformation to be provided with medical devices</w:t>
            </w:r>
            <w:r w:rsidRPr="00181817">
              <w:br/>
            </w:r>
            <w:r w:rsidR="001A1AC2" w:rsidRPr="00181817">
              <w:rPr>
                <w:rFonts w:asciiTheme="majorHAnsi" w:eastAsia="Times New Roman" w:hAnsiTheme="majorHAnsi" w:cstheme="majorBidi"/>
                <w:color w:val="000000"/>
                <w:lang w:eastAsia="en-AU"/>
              </w:rPr>
              <w:t xml:space="preserve">Compliance can be demonstrated through showing that the </w:t>
            </w:r>
            <w:hyperlink r:id="rId21" w:history="1">
              <w:r w:rsidRPr="00181817">
                <w:rPr>
                  <w:rStyle w:val="Hyperlink"/>
                  <w:rFonts w:asciiTheme="majorHAnsi" w:eastAsia="Times New Roman" w:hAnsiTheme="majorHAnsi" w:cstheme="majorBidi"/>
                  <w:lang w:eastAsia="en-AU"/>
                </w:rPr>
                <w:t>I</w:t>
              </w:r>
              <w:r w:rsidR="00CC5507" w:rsidRPr="00181817">
                <w:rPr>
                  <w:rStyle w:val="Hyperlink"/>
                  <w:rFonts w:asciiTheme="majorHAnsi" w:eastAsia="Times New Roman" w:hAnsiTheme="majorHAnsi" w:cstheme="majorBidi"/>
                  <w:lang w:eastAsia="en-AU"/>
                </w:rPr>
                <w:t>nstructions for use</w:t>
              </w:r>
            </w:hyperlink>
            <w:r w:rsidRPr="00181817">
              <w:rPr>
                <w:rFonts w:asciiTheme="majorHAnsi" w:eastAsia="Times New Roman" w:hAnsiTheme="majorHAnsi" w:cstheme="majorBidi"/>
                <w:color w:val="000000"/>
                <w:lang w:eastAsia="en-AU"/>
              </w:rPr>
              <w:t xml:space="preserve">, </w:t>
            </w:r>
            <w:r w:rsidR="56EA95C0" w:rsidRPr="00181817">
              <w:rPr>
                <w:rFonts w:asciiTheme="majorHAnsi" w:eastAsia="Times New Roman" w:hAnsiTheme="majorHAnsi" w:cstheme="majorBidi"/>
                <w:color w:val="000000"/>
                <w:lang w:eastAsia="en-AU"/>
              </w:rPr>
              <w:t>l</w:t>
            </w:r>
            <w:r w:rsidRPr="00181817">
              <w:rPr>
                <w:rFonts w:asciiTheme="majorHAnsi" w:eastAsia="Times New Roman" w:hAnsiTheme="majorHAnsi" w:cstheme="majorBidi"/>
                <w:color w:val="000000"/>
                <w:lang w:eastAsia="en-AU"/>
              </w:rPr>
              <w:t xml:space="preserve">abelling and packaging </w:t>
            </w:r>
            <w:r w:rsidR="001A1AC2" w:rsidRPr="00181817">
              <w:rPr>
                <w:rFonts w:asciiTheme="majorHAnsi" w:eastAsia="Times New Roman" w:hAnsiTheme="majorHAnsi" w:cstheme="majorBidi"/>
                <w:color w:val="000000"/>
                <w:lang w:eastAsia="en-AU"/>
              </w:rPr>
              <w:t>are</w:t>
            </w:r>
            <w:r w:rsidRPr="00181817">
              <w:rPr>
                <w:rFonts w:asciiTheme="majorHAnsi" w:eastAsia="Times New Roman" w:hAnsiTheme="majorHAnsi" w:cstheme="majorBidi"/>
                <w:color w:val="000000"/>
                <w:lang w:eastAsia="en-AU"/>
              </w:rPr>
              <w:t xml:space="preserve"> consistent with requirements for medical device</w:t>
            </w:r>
            <w:r w:rsidR="001A1AC2" w:rsidRPr="00181817">
              <w:rPr>
                <w:rFonts w:asciiTheme="majorHAnsi" w:eastAsia="Times New Roman" w:hAnsiTheme="majorHAnsi" w:cstheme="majorBidi"/>
                <w:color w:val="000000"/>
                <w:lang w:eastAsia="en-AU"/>
              </w:rPr>
              <w:t>s</w:t>
            </w:r>
            <w:r w:rsidRPr="00181817">
              <w:rPr>
                <w:rFonts w:asciiTheme="majorHAnsi" w:eastAsia="Times New Roman" w:hAnsiTheme="majorHAnsi" w:cstheme="majorBidi"/>
                <w:color w:val="000000"/>
                <w:lang w:eastAsia="en-AU"/>
              </w:rPr>
              <w:t>.</w:t>
            </w:r>
          </w:p>
        </w:tc>
        <w:tc>
          <w:tcPr>
            <w:tcW w:w="828" w:type="dxa"/>
            <w:noWrap/>
            <w:hideMark/>
          </w:tcPr>
          <w:p w14:paraId="64266435"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834" w:type="dxa"/>
            <w:noWrap/>
            <w:hideMark/>
          </w:tcPr>
          <w:p w14:paraId="2FDF3A85"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1023" w:type="dxa"/>
            <w:noWrap/>
            <w:hideMark/>
          </w:tcPr>
          <w:p w14:paraId="21D4BE0F"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2977" w:type="dxa"/>
            <w:noWrap/>
            <w:hideMark/>
          </w:tcPr>
          <w:p w14:paraId="222778F4" w14:textId="77777777" w:rsidR="00E41A2D" w:rsidRDefault="00E41A2D" w:rsidP="00E41A2D">
            <w:pPr>
              <w:adjustRightInd/>
              <w:snapToGrid/>
              <w:spacing w:before="0" w:after="0" w:line="240" w:lineRule="auto"/>
              <w:rPr>
                <w:rStyle w:val="font01"/>
                <w:rFonts w:asciiTheme="majorHAnsi" w:hAnsiTheme="majorHAnsi" w:cstheme="majorHAnsi"/>
                <w:color w:val="auto"/>
              </w:rPr>
            </w:pPr>
            <w:r w:rsidRPr="00181817">
              <w:rPr>
                <w:rFonts w:asciiTheme="majorHAnsi" w:hAnsiTheme="majorHAnsi" w:cstheme="majorHAnsi"/>
                <w:color w:val="auto"/>
              </w:rPr>
              <w:t>ISO 15223-1</w:t>
            </w:r>
            <w:r w:rsidRPr="00181817">
              <w:rPr>
                <w:rFonts w:asciiTheme="majorHAnsi" w:hAnsiTheme="majorHAnsi" w:cstheme="majorHAnsi"/>
                <w:color w:val="auto"/>
              </w:rPr>
              <w:br/>
            </w:r>
            <w:r w:rsidRPr="00181817">
              <w:rPr>
                <w:rStyle w:val="font411"/>
                <w:rFonts w:asciiTheme="majorHAnsi" w:hAnsiTheme="majorHAnsi" w:cstheme="majorHAnsi"/>
                <w:color w:val="auto"/>
              </w:rPr>
              <w:t>TGA guidance "Active medical devices"</w:t>
            </w:r>
            <w:r w:rsidRPr="00181817">
              <w:rPr>
                <w:rFonts w:asciiTheme="majorHAnsi" w:hAnsiTheme="majorHAnsi" w:cstheme="majorHAnsi"/>
                <w:color w:val="auto"/>
              </w:rPr>
              <w:br/>
            </w:r>
            <w:r w:rsidRPr="00181817">
              <w:rPr>
                <w:rStyle w:val="font411"/>
                <w:rFonts w:asciiTheme="majorHAnsi" w:hAnsiTheme="majorHAnsi" w:cstheme="majorHAnsi"/>
                <w:color w:val="auto"/>
              </w:rPr>
              <w:t>IEC 60601 series</w:t>
            </w:r>
            <w:r w:rsidRPr="00181817">
              <w:rPr>
                <w:rFonts w:asciiTheme="majorHAnsi" w:hAnsiTheme="majorHAnsi" w:cstheme="majorHAnsi"/>
                <w:color w:val="auto"/>
              </w:rPr>
              <w:br/>
            </w:r>
            <w:r w:rsidRPr="00181817">
              <w:rPr>
                <w:rStyle w:val="font01"/>
                <w:rFonts w:asciiTheme="majorHAnsi" w:hAnsiTheme="majorHAnsi" w:cstheme="majorHAnsi"/>
                <w:color w:val="auto"/>
              </w:rPr>
              <w:t>PAS 54115</w:t>
            </w:r>
            <w:r w:rsidRPr="00181817">
              <w:rPr>
                <w:rFonts w:asciiTheme="majorHAnsi" w:hAnsiTheme="majorHAnsi" w:cstheme="majorHAnsi"/>
                <w:color w:val="auto"/>
              </w:rPr>
              <w:br/>
            </w:r>
            <w:r w:rsidRPr="00181817">
              <w:rPr>
                <w:rStyle w:val="font01"/>
                <w:rFonts w:asciiTheme="majorHAnsi" w:hAnsiTheme="majorHAnsi" w:cstheme="majorHAnsi"/>
                <w:color w:val="auto"/>
              </w:rPr>
              <w:t>GB 41700</w:t>
            </w:r>
            <w:r w:rsidRPr="00181817">
              <w:rPr>
                <w:rFonts w:asciiTheme="majorHAnsi" w:hAnsiTheme="majorHAnsi" w:cstheme="majorHAnsi"/>
                <w:color w:val="auto"/>
              </w:rPr>
              <w:br/>
            </w:r>
            <w:r w:rsidRPr="00181817">
              <w:rPr>
                <w:rStyle w:val="font01"/>
                <w:rFonts w:asciiTheme="majorHAnsi" w:hAnsiTheme="majorHAnsi" w:cstheme="majorHAnsi"/>
                <w:color w:val="auto"/>
              </w:rPr>
              <w:t>ISO 28219</w:t>
            </w:r>
            <w:r w:rsidRPr="00181817">
              <w:rPr>
                <w:rFonts w:asciiTheme="majorHAnsi" w:hAnsiTheme="majorHAnsi" w:cstheme="majorHAnsi"/>
                <w:color w:val="auto"/>
              </w:rPr>
              <w:br/>
            </w:r>
            <w:r w:rsidRPr="00181817">
              <w:rPr>
                <w:rStyle w:val="font01"/>
                <w:rFonts w:asciiTheme="majorHAnsi" w:hAnsiTheme="majorHAnsi" w:cstheme="majorHAnsi"/>
                <w:color w:val="auto"/>
              </w:rPr>
              <w:t xml:space="preserve">Consumer Goods (Products Containing Button/Coin Batteries) Safety Standard 2020 </w:t>
            </w:r>
          </w:p>
          <w:p w14:paraId="4DA6515E" w14:textId="77777777" w:rsidR="00C71511" w:rsidRDefault="00C71511" w:rsidP="00E41A2D">
            <w:pPr>
              <w:adjustRightInd/>
              <w:snapToGrid/>
              <w:spacing w:before="0" w:after="0" w:line="240" w:lineRule="auto"/>
              <w:rPr>
                <w:rFonts w:asciiTheme="majorHAnsi" w:eastAsia="Times New Roman" w:hAnsiTheme="majorHAnsi" w:cstheme="majorHAnsi"/>
                <w:color w:val="auto"/>
                <w:lang w:eastAsia="en-AU"/>
              </w:rPr>
            </w:pPr>
          </w:p>
          <w:p w14:paraId="798C12B2" w14:textId="0ED46EB8" w:rsidR="00C71511" w:rsidRPr="00181817" w:rsidRDefault="00C71511" w:rsidP="00E41A2D">
            <w:pPr>
              <w:adjustRightInd/>
              <w:snapToGrid/>
              <w:spacing w:before="0" w:after="0" w:line="240" w:lineRule="auto"/>
              <w:rPr>
                <w:rFonts w:asciiTheme="majorHAnsi" w:eastAsia="Times New Roman" w:hAnsiTheme="majorHAnsi" w:cstheme="majorHAnsi"/>
                <w:color w:val="auto"/>
                <w:lang w:eastAsia="en-AU"/>
              </w:rPr>
            </w:pPr>
          </w:p>
        </w:tc>
      </w:tr>
      <w:tr w:rsidR="004115A3" w:rsidRPr="00D00B19" w14:paraId="11ACB5CA" w14:textId="77777777" w:rsidTr="001E5558">
        <w:trPr>
          <w:trHeight w:val="687"/>
        </w:trPr>
        <w:tc>
          <w:tcPr>
            <w:tcW w:w="1446" w:type="dxa"/>
            <w:noWrap/>
            <w:hideMark/>
          </w:tcPr>
          <w:p w14:paraId="23F3427F" w14:textId="169906DA" w:rsidR="00E41A2D" w:rsidRPr="00181817" w:rsidRDefault="00F2353D" w:rsidP="00E41A2D">
            <w:pPr>
              <w:adjustRightInd/>
              <w:snapToGrid/>
              <w:spacing w:before="0" w:after="0" w:line="240" w:lineRule="auto"/>
              <w:jc w:val="center"/>
              <w:rPr>
                <w:rFonts w:asciiTheme="majorHAnsi" w:eastAsia="MS Gothic" w:hAnsiTheme="majorHAnsi" w:cstheme="majorHAnsi"/>
                <w:color w:val="000000"/>
                <w:lang w:eastAsia="en-AU"/>
              </w:rPr>
            </w:pPr>
            <w:sdt>
              <w:sdtPr>
                <w:rPr>
                  <w:rFonts w:asciiTheme="majorHAnsi" w:eastAsia="MS Gothic" w:hAnsiTheme="majorHAnsi" w:cstheme="majorHAnsi" w:hint="eastAsia"/>
                  <w:color w:val="000000"/>
                  <w:lang w:eastAsia="en-AU"/>
                </w:rPr>
                <w:id w:val="-1870437830"/>
                <w14:checkbox>
                  <w14:checked w14:val="0"/>
                  <w14:checkedState w14:val="2612" w14:font="MS Gothic"/>
                  <w14:uncheckedState w14:val="2610" w14:font="MS Gothic"/>
                </w14:checkbox>
              </w:sdtPr>
              <w:sdtEndPr/>
              <w:sdtContent>
                <w:r w:rsidR="00E41A2D" w:rsidRPr="00181817">
                  <w:rPr>
                    <w:rFonts w:ascii="Segoe UI Symbol" w:eastAsia="MS Gothic" w:hAnsi="Segoe UI Symbol" w:cs="Segoe UI Symbol" w:hint="eastAsia"/>
                    <w:color w:val="000000"/>
                    <w:lang w:eastAsia="en-AU"/>
                  </w:rPr>
                  <w:t>☐</w:t>
                </w:r>
              </w:sdtContent>
            </w:sdt>
          </w:p>
        </w:tc>
        <w:tc>
          <w:tcPr>
            <w:tcW w:w="1105" w:type="dxa"/>
            <w:noWrap/>
            <w:hideMark/>
          </w:tcPr>
          <w:p w14:paraId="464AC5B9"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EP 13B </w:t>
            </w:r>
          </w:p>
        </w:tc>
        <w:tc>
          <w:tcPr>
            <w:tcW w:w="7184" w:type="dxa"/>
            <w:hideMark/>
          </w:tcPr>
          <w:p w14:paraId="3D901DE7" w14:textId="0633B259"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b/>
                <w:color w:val="000000"/>
                <w:lang w:eastAsia="en-AU"/>
              </w:rPr>
              <w:t>Software—version numbers and build numbers</w:t>
            </w:r>
            <w:r w:rsidRPr="00181817">
              <w:rPr>
                <w:rFonts w:asciiTheme="majorHAnsi" w:eastAsia="Times New Roman" w:hAnsiTheme="majorHAnsi" w:cstheme="majorHAnsi"/>
                <w:b/>
                <w:color w:val="000000"/>
                <w:lang w:eastAsia="en-AU"/>
              </w:rPr>
              <w:br/>
            </w:r>
            <w:r w:rsidRPr="00181817">
              <w:rPr>
                <w:rFonts w:asciiTheme="majorHAnsi" w:eastAsia="Times New Roman" w:hAnsiTheme="majorHAnsi" w:cstheme="majorHAnsi"/>
                <w:color w:val="000000"/>
                <w:lang w:eastAsia="en-AU"/>
              </w:rPr>
              <w:t>Ensure that the current software version number and build number (where applicable) accessible and identifiable to users.</w:t>
            </w:r>
          </w:p>
        </w:tc>
        <w:tc>
          <w:tcPr>
            <w:tcW w:w="828" w:type="dxa"/>
            <w:noWrap/>
            <w:hideMark/>
          </w:tcPr>
          <w:p w14:paraId="5CD7FCA2"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834" w:type="dxa"/>
            <w:noWrap/>
            <w:hideMark/>
          </w:tcPr>
          <w:p w14:paraId="6503CB42"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w:t>
            </w:r>
          </w:p>
        </w:tc>
        <w:tc>
          <w:tcPr>
            <w:tcW w:w="1023" w:type="dxa"/>
            <w:noWrap/>
            <w:hideMark/>
          </w:tcPr>
          <w:p w14:paraId="5D999F35"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2977" w:type="dxa"/>
            <w:hideMark/>
          </w:tcPr>
          <w:p w14:paraId="22627866" w14:textId="77777777" w:rsidR="00E41A2D" w:rsidRDefault="00E41A2D" w:rsidP="00E41A2D">
            <w:pPr>
              <w:adjustRightInd/>
              <w:snapToGrid/>
              <w:spacing w:before="0" w:after="0" w:line="240" w:lineRule="auto"/>
              <w:rPr>
                <w:rStyle w:val="font01"/>
                <w:rFonts w:asciiTheme="majorHAnsi" w:hAnsiTheme="majorHAnsi" w:cstheme="majorHAnsi"/>
                <w:color w:val="auto"/>
              </w:rPr>
            </w:pPr>
            <w:r w:rsidRPr="00181817">
              <w:rPr>
                <w:rFonts w:asciiTheme="majorHAnsi" w:hAnsiTheme="majorHAnsi" w:cstheme="majorHAnsi"/>
                <w:color w:val="auto"/>
              </w:rPr>
              <w:t>IEC/TR 80002-1</w:t>
            </w:r>
            <w:r w:rsidRPr="00181817">
              <w:rPr>
                <w:rFonts w:asciiTheme="majorHAnsi" w:hAnsiTheme="majorHAnsi" w:cstheme="majorHAnsi"/>
                <w:color w:val="auto"/>
              </w:rPr>
              <w:br/>
              <w:t>ISO 15223-1</w:t>
            </w:r>
            <w:r w:rsidRPr="00181817">
              <w:rPr>
                <w:rFonts w:asciiTheme="majorHAnsi" w:hAnsiTheme="majorHAnsi" w:cstheme="majorHAnsi"/>
                <w:color w:val="auto"/>
              </w:rPr>
              <w:br/>
            </w:r>
            <w:r w:rsidRPr="00181817">
              <w:rPr>
                <w:rStyle w:val="font411"/>
                <w:rFonts w:asciiTheme="majorHAnsi" w:hAnsiTheme="majorHAnsi" w:cstheme="majorHAnsi"/>
                <w:color w:val="auto"/>
              </w:rPr>
              <w:t>TGA guidance "Active medical devices"</w:t>
            </w:r>
            <w:r w:rsidRPr="00181817">
              <w:rPr>
                <w:rFonts w:asciiTheme="majorHAnsi" w:hAnsiTheme="majorHAnsi" w:cstheme="majorHAnsi"/>
                <w:color w:val="auto"/>
              </w:rPr>
              <w:br/>
            </w:r>
            <w:r w:rsidRPr="00181817">
              <w:rPr>
                <w:rStyle w:val="font411"/>
                <w:rFonts w:asciiTheme="majorHAnsi" w:hAnsiTheme="majorHAnsi" w:cstheme="majorHAnsi"/>
                <w:color w:val="auto"/>
              </w:rPr>
              <w:t>IEC 62304</w:t>
            </w:r>
            <w:r w:rsidRPr="00181817">
              <w:rPr>
                <w:rFonts w:asciiTheme="majorHAnsi" w:hAnsiTheme="majorHAnsi" w:cstheme="majorHAnsi"/>
                <w:color w:val="auto"/>
              </w:rPr>
              <w:br/>
            </w:r>
            <w:r w:rsidRPr="00181817">
              <w:rPr>
                <w:rStyle w:val="font01"/>
                <w:rFonts w:asciiTheme="majorHAnsi" w:hAnsiTheme="majorHAnsi" w:cstheme="majorHAnsi"/>
                <w:color w:val="auto"/>
              </w:rPr>
              <w:t xml:space="preserve">E-Cigarettes, Vapes, and other Electronic Nicotine Delivery Systems </w:t>
            </w:r>
            <w:r w:rsidR="00C71511">
              <w:rPr>
                <w:rStyle w:val="font01"/>
                <w:rFonts w:asciiTheme="majorHAnsi" w:hAnsiTheme="majorHAnsi" w:cstheme="majorHAnsi"/>
                <w:color w:val="auto"/>
              </w:rPr>
              <w:t>U</w:t>
            </w:r>
            <w:r w:rsidR="00C71511">
              <w:rPr>
                <w:rStyle w:val="font01"/>
                <w:rFonts w:asciiTheme="majorHAnsi" w:hAnsiTheme="majorHAnsi" w:cstheme="majorHAnsi"/>
              </w:rPr>
              <w:t>S</w:t>
            </w:r>
            <w:r w:rsidRPr="00181817">
              <w:rPr>
                <w:rStyle w:val="font01"/>
                <w:rFonts w:asciiTheme="majorHAnsi" w:hAnsiTheme="majorHAnsi" w:cstheme="majorHAnsi"/>
                <w:color w:val="auto"/>
              </w:rPr>
              <w:t xml:space="preserve"> FDA</w:t>
            </w:r>
          </w:p>
          <w:p w14:paraId="697D943C" w14:textId="65B193D0" w:rsidR="00C71511" w:rsidRPr="00181817" w:rsidRDefault="00C71511" w:rsidP="00E41A2D">
            <w:pPr>
              <w:adjustRightInd/>
              <w:snapToGrid/>
              <w:spacing w:before="0" w:after="0" w:line="240" w:lineRule="auto"/>
              <w:rPr>
                <w:rFonts w:asciiTheme="majorHAnsi" w:eastAsia="Times New Roman" w:hAnsiTheme="majorHAnsi" w:cstheme="majorHAnsi"/>
                <w:color w:val="auto"/>
                <w:lang w:eastAsia="en-AU"/>
              </w:rPr>
            </w:pPr>
          </w:p>
        </w:tc>
      </w:tr>
      <w:tr w:rsidR="004115A3" w:rsidRPr="00D00B19" w14:paraId="3E3A7561" w14:textId="77777777" w:rsidTr="001E5558">
        <w:trPr>
          <w:trHeight w:val="1170"/>
        </w:trPr>
        <w:tc>
          <w:tcPr>
            <w:tcW w:w="1446" w:type="dxa"/>
            <w:noWrap/>
            <w:hideMark/>
          </w:tcPr>
          <w:p w14:paraId="29C6C0C1" w14:textId="07A89AB0" w:rsidR="00E41A2D" w:rsidRPr="00181817" w:rsidRDefault="00F2353D" w:rsidP="00E41A2D">
            <w:pPr>
              <w:adjustRightInd/>
              <w:snapToGrid/>
              <w:spacing w:before="0" w:after="0" w:line="240" w:lineRule="auto"/>
              <w:jc w:val="center"/>
              <w:rPr>
                <w:rFonts w:asciiTheme="majorHAnsi" w:eastAsia="MS Gothic" w:hAnsiTheme="majorHAnsi" w:cstheme="majorHAnsi"/>
                <w:color w:val="000000"/>
                <w:lang w:eastAsia="en-AU"/>
              </w:rPr>
            </w:pPr>
            <w:sdt>
              <w:sdtPr>
                <w:rPr>
                  <w:rFonts w:asciiTheme="majorHAnsi" w:eastAsia="MS Gothic" w:hAnsiTheme="majorHAnsi" w:cstheme="majorHAnsi" w:hint="eastAsia"/>
                  <w:color w:val="000000"/>
                  <w:lang w:eastAsia="en-AU"/>
                </w:rPr>
                <w:id w:val="846828163"/>
                <w14:checkbox>
                  <w14:checked w14:val="0"/>
                  <w14:checkedState w14:val="2612" w14:font="MS Gothic"/>
                  <w14:uncheckedState w14:val="2610" w14:font="MS Gothic"/>
                </w14:checkbox>
              </w:sdtPr>
              <w:sdtEndPr/>
              <w:sdtContent>
                <w:r w:rsidR="00E41A2D" w:rsidRPr="00181817">
                  <w:rPr>
                    <w:rFonts w:ascii="Segoe UI Symbol" w:eastAsia="MS Gothic" w:hAnsi="Segoe UI Symbol" w:cs="Segoe UI Symbol" w:hint="eastAsia"/>
                    <w:color w:val="000000"/>
                    <w:lang w:eastAsia="en-AU"/>
                  </w:rPr>
                  <w:t>☐</w:t>
                </w:r>
              </w:sdtContent>
            </w:sdt>
          </w:p>
        </w:tc>
        <w:tc>
          <w:tcPr>
            <w:tcW w:w="1105" w:type="dxa"/>
            <w:noWrap/>
            <w:hideMark/>
          </w:tcPr>
          <w:p w14:paraId="48DD72B2"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EP 14 </w:t>
            </w:r>
          </w:p>
        </w:tc>
        <w:tc>
          <w:tcPr>
            <w:tcW w:w="7184" w:type="dxa"/>
            <w:hideMark/>
          </w:tcPr>
          <w:p w14:paraId="7285F48C" w14:textId="78584F36" w:rsidR="00E41A2D" w:rsidRPr="00181817" w:rsidRDefault="00E41A2D" w:rsidP="00E41A2D">
            <w:pPr>
              <w:adjustRightInd/>
              <w:snapToGrid/>
              <w:spacing w:before="0" w:after="0" w:line="240" w:lineRule="auto"/>
              <w:rPr>
                <w:rFonts w:asciiTheme="majorHAnsi" w:eastAsia="Times New Roman" w:hAnsiTheme="majorHAnsi" w:cstheme="majorBidi"/>
                <w:color w:val="000000"/>
                <w:lang w:eastAsia="en-AU"/>
              </w:rPr>
            </w:pPr>
            <w:r w:rsidRPr="00181817">
              <w:rPr>
                <w:rFonts w:asciiTheme="majorHAnsi" w:eastAsia="Times New Roman" w:hAnsiTheme="majorHAnsi" w:cstheme="majorBidi"/>
                <w:b/>
                <w:color w:val="000000"/>
                <w:lang w:eastAsia="en-AU"/>
              </w:rPr>
              <w:t>Clinical evidence</w:t>
            </w:r>
            <w:r w:rsidRPr="00181817">
              <w:br/>
            </w:r>
            <w:r w:rsidRPr="00181817">
              <w:rPr>
                <w:rFonts w:asciiTheme="majorHAnsi" w:eastAsia="Times New Roman" w:hAnsiTheme="majorHAnsi" w:cstheme="majorBidi"/>
                <w:color w:val="000000"/>
                <w:lang w:eastAsia="en-AU"/>
              </w:rPr>
              <w:t>A detailed clinical performance report is required. See CER guidance. www.tga.gov.au/resources/resource/guidance/clinical-evidence-guidelines</w:t>
            </w:r>
          </w:p>
        </w:tc>
        <w:tc>
          <w:tcPr>
            <w:tcW w:w="828" w:type="dxa"/>
            <w:noWrap/>
            <w:hideMark/>
          </w:tcPr>
          <w:p w14:paraId="18038F8E"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xml:space="preserve"> </w:t>
            </w:r>
            <w:r w:rsidRPr="00181817">
              <w:rPr>
                <w:rFonts w:ascii="Segoe UI Symbol" w:eastAsia="Times New Roman" w:hAnsi="Segoe UI Symbol" w:cs="Segoe UI Symbol"/>
                <w:color w:val="000000"/>
                <w:lang w:eastAsia="en-AU"/>
              </w:rPr>
              <w:t>✓</w:t>
            </w:r>
          </w:p>
        </w:tc>
        <w:tc>
          <w:tcPr>
            <w:tcW w:w="834" w:type="dxa"/>
            <w:noWrap/>
            <w:hideMark/>
          </w:tcPr>
          <w:p w14:paraId="5BA6F541"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w:t>
            </w:r>
          </w:p>
        </w:tc>
        <w:tc>
          <w:tcPr>
            <w:tcW w:w="1023" w:type="dxa"/>
            <w:noWrap/>
            <w:hideMark/>
          </w:tcPr>
          <w:p w14:paraId="2F1BA112"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eastAsia="Times New Roman" w:hAnsiTheme="majorHAnsi" w:cstheme="majorHAnsi"/>
                <w:color w:val="000000"/>
                <w:lang w:eastAsia="en-AU"/>
              </w:rPr>
              <w:t> </w:t>
            </w:r>
          </w:p>
        </w:tc>
        <w:tc>
          <w:tcPr>
            <w:tcW w:w="2977" w:type="dxa"/>
            <w:hideMark/>
          </w:tcPr>
          <w:p w14:paraId="51FEFCF0" w14:textId="77777777" w:rsidR="00E41A2D" w:rsidRPr="00181817" w:rsidRDefault="00E41A2D" w:rsidP="00E41A2D">
            <w:pPr>
              <w:adjustRightInd/>
              <w:snapToGrid/>
              <w:spacing w:before="0" w:after="0" w:line="240" w:lineRule="auto"/>
              <w:rPr>
                <w:rFonts w:asciiTheme="majorHAnsi" w:eastAsia="Times New Roman" w:hAnsiTheme="majorHAnsi" w:cstheme="majorHAnsi"/>
                <w:color w:val="000000"/>
                <w:lang w:eastAsia="en-AU"/>
              </w:rPr>
            </w:pPr>
            <w:r w:rsidRPr="00181817">
              <w:rPr>
                <w:rFonts w:asciiTheme="majorHAnsi" w:hAnsiTheme="majorHAnsi" w:cstheme="majorHAnsi"/>
                <w:color w:val="000000"/>
              </w:rPr>
              <w:t>ISO 14155</w:t>
            </w:r>
            <w:r w:rsidRPr="00181817">
              <w:rPr>
                <w:rFonts w:asciiTheme="majorHAnsi" w:hAnsiTheme="majorHAnsi" w:cstheme="majorHAnsi"/>
                <w:color w:val="000000"/>
              </w:rPr>
              <w:br/>
              <w:t>TGA Clinical Evidence Guidelines</w:t>
            </w:r>
          </w:p>
        </w:tc>
      </w:tr>
    </w:tbl>
    <w:p w14:paraId="2C50DCD0" w14:textId="77777777" w:rsidR="00F2353D" w:rsidRDefault="00F2353D" w:rsidP="00987DBB">
      <w:pPr>
        <w:rPr>
          <w:rFonts w:asciiTheme="majorHAnsi" w:hAnsiTheme="majorHAnsi" w:cstheme="majorHAnsi"/>
        </w:rPr>
        <w:sectPr w:rsidR="00F2353D" w:rsidSect="00515E45">
          <w:pgSz w:w="16840" w:h="11907" w:orient="landscape" w:code="9"/>
          <w:pgMar w:top="993" w:right="1104" w:bottom="1134" w:left="142" w:header="284" w:footer="451" w:gutter="0"/>
          <w:cols w:space="708"/>
          <w:titlePg/>
          <w:docGrid w:linePitch="360"/>
        </w:sectPr>
      </w:pPr>
    </w:p>
    <w:p w14:paraId="48C35D67" w14:textId="514753BB" w:rsidR="00F04A09" w:rsidRDefault="00F04A09" w:rsidP="00F04A09">
      <w:pPr>
        <w:pStyle w:val="Heading2"/>
        <w:ind w:firstLine="426"/>
      </w:pPr>
      <w:r w:rsidRPr="00682C9B">
        <w:lastRenderedPageBreak/>
        <w:t>Glossary</w:t>
      </w:r>
      <w:r w:rsidR="00CD351D">
        <w:t xml:space="preserve"> and f</w:t>
      </w:r>
      <w:r w:rsidRPr="00682C9B">
        <w:t xml:space="preserve">urther information on </w:t>
      </w:r>
      <w:r w:rsidR="00CD351D">
        <w:t xml:space="preserve">the </w:t>
      </w:r>
      <w:r w:rsidRPr="00682C9B">
        <w:t>standards:</w:t>
      </w:r>
    </w:p>
    <w:p w14:paraId="188F11C2" w14:textId="77777777" w:rsidR="00CD351D" w:rsidRDefault="00F04A09" w:rsidP="00F04A09">
      <w:pPr>
        <w:ind w:left="426"/>
      </w:pPr>
      <w:r>
        <w:t>The standards are considered the generally acknowledged state-of-the-art</w:t>
      </w:r>
      <w:r w:rsidR="00A40F5D">
        <w:t xml:space="preserve">. </w:t>
      </w:r>
    </w:p>
    <w:p w14:paraId="09E31DE0" w14:textId="1B474782" w:rsidR="00F04A09" w:rsidRPr="00062C87" w:rsidRDefault="00CD351D" w:rsidP="00F04A09">
      <w:pPr>
        <w:ind w:left="426"/>
      </w:pPr>
      <w:r>
        <w:t>If you</w:t>
      </w:r>
      <w:r w:rsidR="00A40F5D">
        <w:t xml:space="preserve"> claim </w:t>
      </w:r>
      <w:r w:rsidR="004C3763">
        <w:t xml:space="preserve">full compliance </w:t>
      </w:r>
      <w:r w:rsidR="00974284">
        <w:t>to a standard</w:t>
      </w:r>
      <w:r>
        <w:t xml:space="preserve">, you are claiming </w:t>
      </w:r>
      <w:r w:rsidR="00F04A09">
        <w:t xml:space="preserve">compliance with all </w:t>
      </w:r>
      <w:r>
        <w:t xml:space="preserve">the </w:t>
      </w:r>
      <w:r w:rsidR="00F04A09">
        <w:t>applicable clauses in the latest published version</w:t>
      </w:r>
      <w:r w:rsidRPr="00CD351D">
        <w:t xml:space="preserve"> </w:t>
      </w:r>
      <w:r>
        <w:t>of that standard</w:t>
      </w:r>
      <w:r w:rsidR="00F04A09">
        <w:t xml:space="preserve">. </w:t>
      </w:r>
    </w:p>
    <w:p w14:paraId="68FDCB9A" w14:textId="77777777" w:rsidR="00F04A09" w:rsidRPr="00EE4A26" w:rsidRDefault="00F04A09" w:rsidP="00F04A09">
      <w:pPr>
        <w:spacing w:before="240"/>
        <w:ind w:left="425"/>
        <w:rPr>
          <w:rFonts w:asciiTheme="majorHAnsi" w:hAnsiTheme="majorHAnsi" w:cstheme="majorBidi"/>
          <w:b/>
        </w:rPr>
      </w:pPr>
      <w:r w:rsidRPr="00EE4A26">
        <w:rPr>
          <w:rFonts w:asciiTheme="majorHAnsi" w:hAnsiTheme="majorHAnsi" w:cstheme="majorBidi"/>
          <w:b/>
        </w:rPr>
        <w:t>ISO 14971 - Medical devices Application of risk management to medical devices</w:t>
      </w:r>
    </w:p>
    <w:p w14:paraId="6B78B9BF" w14:textId="4E1C6C1F" w:rsidR="00F04A09" w:rsidRPr="00130961" w:rsidRDefault="00F04A09" w:rsidP="00F04A09">
      <w:pPr>
        <w:ind w:left="426"/>
        <w:rPr>
          <w:rFonts w:asciiTheme="majorHAnsi" w:hAnsiTheme="majorHAnsi" w:cstheme="majorBidi"/>
        </w:rPr>
      </w:pPr>
      <w:r w:rsidRPr="00EE4A26">
        <w:rPr>
          <w:rFonts w:asciiTheme="majorHAnsi" w:hAnsiTheme="majorHAnsi" w:cstheme="majorBidi"/>
        </w:rPr>
        <w:t xml:space="preserve">This document specifies terminology, principles, and a process for risk management of medical devices, including software as a medical device. The process described in this document </w:t>
      </w:r>
      <w:r w:rsidR="009B0DF4">
        <w:rPr>
          <w:rFonts w:asciiTheme="majorHAnsi" w:hAnsiTheme="majorHAnsi" w:cstheme="majorBidi"/>
        </w:rPr>
        <w:t>helps</w:t>
      </w:r>
      <w:r w:rsidRPr="00EE4A26">
        <w:rPr>
          <w:rFonts w:asciiTheme="majorHAnsi" w:hAnsiTheme="majorHAnsi" w:cstheme="majorBidi"/>
        </w:rPr>
        <w:t xml:space="preserve"> manufacturers of medical devices to identify the hazards associated with the medical device, to estimate and evaluate the associated risks, to control these risks, and to monitor the effectiveness of the controls.</w:t>
      </w:r>
    </w:p>
    <w:p w14:paraId="117AB652" w14:textId="77777777" w:rsidR="00F04A09" w:rsidRPr="00EE4A26" w:rsidRDefault="00F04A09" w:rsidP="00F04A09">
      <w:pPr>
        <w:spacing w:before="240"/>
        <w:ind w:left="425"/>
        <w:rPr>
          <w:rFonts w:asciiTheme="majorHAnsi" w:hAnsiTheme="majorHAnsi" w:cstheme="majorBidi"/>
          <w:b/>
        </w:rPr>
      </w:pPr>
      <w:r w:rsidRPr="00EE4A26">
        <w:rPr>
          <w:rFonts w:asciiTheme="majorHAnsi" w:hAnsiTheme="majorHAnsi" w:cstheme="majorBidi"/>
          <w:b/>
        </w:rPr>
        <w:t>ISO 20072 - Aerosol drug delivery device design verification - Requirements and test methods</w:t>
      </w:r>
    </w:p>
    <w:p w14:paraId="2BB12ADA" w14:textId="3444EBA5" w:rsidR="00F04A09" w:rsidRPr="00130961" w:rsidRDefault="00F04A09" w:rsidP="00F04A09">
      <w:pPr>
        <w:ind w:left="426"/>
        <w:rPr>
          <w:rFonts w:asciiTheme="majorHAnsi" w:hAnsiTheme="majorHAnsi" w:cstheme="majorBidi"/>
        </w:rPr>
      </w:pPr>
      <w:r w:rsidRPr="00EE4A26">
        <w:rPr>
          <w:rFonts w:asciiTheme="majorHAnsi" w:hAnsiTheme="majorHAnsi" w:cstheme="majorBidi"/>
        </w:rPr>
        <w:t xml:space="preserve">ISO 20072 applies to the design, labelling, instructions for use and testing requirements for hand-held single- and multi-use aerosol drug delivery devices intended to deliver a metered or pre-metered aerosolized medication to or by means of the human respiratory tract (including nasal, oral, tracheal, </w:t>
      </w:r>
      <w:r w:rsidR="009B0DF4" w:rsidRPr="00EE4A26">
        <w:rPr>
          <w:rFonts w:asciiTheme="majorHAnsi" w:hAnsiTheme="majorHAnsi" w:cstheme="majorBidi"/>
        </w:rPr>
        <w:t>bronchial,</w:t>
      </w:r>
      <w:r w:rsidRPr="00EE4A26">
        <w:rPr>
          <w:rFonts w:asciiTheme="majorHAnsi" w:hAnsiTheme="majorHAnsi" w:cstheme="majorBidi"/>
        </w:rPr>
        <w:t xml:space="preserve"> and alveolar sites). This International Standard applies to both refillable and disposable devices intended for personal use.</w:t>
      </w:r>
    </w:p>
    <w:p w14:paraId="46C5B67A" w14:textId="77777777" w:rsidR="00F04A09" w:rsidRPr="00EE4A26" w:rsidRDefault="00F04A09" w:rsidP="00F04A09">
      <w:pPr>
        <w:spacing w:before="240"/>
        <w:ind w:left="425"/>
        <w:rPr>
          <w:rFonts w:asciiTheme="majorHAnsi" w:hAnsiTheme="majorHAnsi" w:cstheme="majorBidi"/>
          <w:b/>
        </w:rPr>
      </w:pPr>
      <w:r w:rsidRPr="00EE4A26">
        <w:rPr>
          <w:rFonts w:asciiTheme="majorHAnsi" w:hAnsiTheme="majorHAnsi" w:cstheme="majorBidi"/>
          <w:b/>
        </w:rPr>
        <w:t>CEN/TS 17287 - Requirements and test methods for electronic cigarette devices</w:t>
      </w:r>
    </w:p>
    <w:p w14:paraId="29F63286" w14:textId="77777777" w:rsidR="00F04A09" w:rsidRPr="00FB22AE" w:rsidRDefault="00F04A09" w:rsidP="00F04A09">
      <w:pPr>
        <w:ind w:left="426"/>
        <w:rPr>
          <w:rFonts w:asciiTheme="majorHAnsi" w:hAnsiTheme="majorHAnsi" w:cstheme="majorBidi"/>
        </w:rPr>
      </w:pPr>
      <w:r w:rsidRPr="00EE4A26">
        <w:rPr>
          <w:rFonts w:asciiTheme="majorHAnsi" w:hAnsiTheme="majorHAnsi" w:cstheme="majorBidi"/>
        </w:rPr>
        <w:t>This standard specifies the minimum safety and technical requirements for electronic cigarette devices, e-liquid containers, and associated accessories when operated and maintained in the manner prescribed by the manufacturer.</w:t>
      </w:r>
    </w:p>
    <w:p w14:paraId="64FD0E1A" w14:textId="77777777" w:rsidR="00F04A09" w:rsidRPr="00EE4A26" w:rsidRDefault="00F04A09" w:rsidP="00F04A09">
      <w:pPr>
        <w:spacing w:before="240"/>
        <w:ind w:left="425"/>
        <w:rPr>
          <w:rFonts w:asciiTheme="majorHAnsi" w:hAnsiTheme="majorHAnsi" w:cstheme="majorBidi"/>
          <w:b/>
        </w:rPr>
      </w:pPr>
      <w:r w:rsidRPr="00EE4A26">
        <w:rPr>
          <w:rFonts w:asciiTheme="majorHAnsi" w:hAnsiTheme="majorHAnsi" w:cstheme="majorBidi"/>
          <w:b/>
        </w:rPr>
        <w:t xml:space="preserve">PAS 54115 - Vaping products, including electronic cigarettes, e-liquids, e-shisha and directly-related products. Manufacture, importation, testing and labelling. Guide </w:t>
      </w:r>
    </w:p>
    <w:p w14:paraId="5B12E9F7" w14:textId="5EA10CF9" w:rsidR="00F04A09" w:rsidRDefault="00F04A09" w:rsidP="00F04A09">
      <w:pPr>
        <w:ind w:left="426"/>
        <w:rPr>
          <w:rFonts w:asciiTheme="majorHAnsi" w:hAnsiTheme="majorHAnsi" w:cstheme="majorBidi"/>
        </w:rPr>
      </w:pPr>
      <w:r w:rsidRPr="00DC4B8E">
        <w:rPr>
          <w:rFonts w:asciiTheme="majorHAnsi" w:hAnsiTheme="majorHAnsi" w:cstheme="majorBidi"/>
        </w:rPr>
        <w:t xml:space="preserve">This standard </w:t>
      </w:r>
      <w:r w:rsidRPr="00F35D14">
        <w:rPr>
          <w:rFonts w:asciiTheme="majorHAnsi" w:hAnsiTheme="majorHAnsi" w:cstheme="majorBidi"/>
        </w:rPr>
        <w:t xml:space="preserve">gives guidance for the manufacture, importation, labelling, </w:t>
      </w:r>
      <w:r w:rsidR="009B0DF4" w:rsidRPr="00F35D14">
        <w:rPr>
          <w:rFonts w:asciiTheme="majorHAnsi" w:hAnsiTheme="majorHAnsi" w:cstheme="majorBidi"/>
        </w:rPr>
        <w:t>marketing,</w:t>
      </w:r>
      <w:r w:rsidRPr="00F35D14">
        <w:rPr>
          <w:rFonts w:asciiTheme="majorHAnsi" w:hAnsiTheme="majorHAnsi" w:cstheme="majorBidi"/>
        </w:rPr>
        <w:t xml:space="preserve"> and sale of vaping products including electronic cigarettes, e-shisha, </w:t>
      </w:r>
      <w:r w:rsidR="009B0DF4">
        <w:rPr>
          <w:rFonts w:asciiTheme="majorHAnsi" w:hAnsiTheme="majorHAnsi" w:cstheme="majorBidi"/>
        </w:rPr>
        <w:t>do-it-yourself</w:t>
      </w:r>
      <w:r w:rsidRPr="00F35D14">
        <w:rPr>
          <w:rFonts w:asciiTheme="majorHAnsi" w:hAnsiTheme="majorHAnsi" w:cstheme="majorBidi"/>
        </w:rPr>
        <w:t xml:space="preserve"> e-liquid mixing kits, and directly related produc</w:t>
      </w:r>
      <w:r>
        <w:rPr>
          <w:rFonts w:asciiTheme="majorHAnsi" w:hAnsiTheme="majorHAnsi" w:cstheme="majorBidi"/>
        </w:rPr>
        <w:t xml:space="preserve">ts.  </w:t>
      </w:r>
    </w:p>
    <w:p w14:paraId="7FA67F7E" w14:textId="77777777" w:rsidR="00F04A09" w:rsidRPr="00EE4A26" w:rsidRDefault="00F04A09" w:rsidP="00F04A09">
      <w:pPr>
        <w:ind w:left="426"/>
        <w:rPr>
          <w:rFonts w:asciiTheme="majorHAnsi" w:hAnsiTheme="majorHAnsi" w:cstheme="majorBidi"/>
          <w:b/>
        </w:rPr>
      </w:pPr>
      <w:r w:rsidRPr="00EE4A26">
        <w:rPr>
          <w:rFonts w:asciiTheme="majorHAnsi" w:hAnsiTheme="majorHAnsi" w:cstheme="majorBidi"/>
          <w:b/>
        </w:rPr>
        <w:t>IEC 62281 Safety of primary and secondary lithium cells and batteries during transport</w:t>
      </w:r>
    </w:p>
    <w:p w14:paraId="31761204" w14:textId="77777777" w:rsidR="00F04A09" w:rsidRPr="00682C9B" w:rsidRDefault="00F04A09" w:rsidP="00F04A09">
      <w:pPr>
        <w:ind w:left="426"/>
        <w:rPr>
          <w:rFonts w:asciiTheme="majorHAnsi" w:hAnsiTheme="majorHAnsi" w:cstheme="majorBidi"/>
        </w:rPr>
      </w:pPr>
      <w:r>
        <w:rPr>
          <w:rFonts w:asciiTheme="majorHAnsi" w:hAnsiTheme="majorHAnsi" w:cstheme="majorBidi"/>
        </w:rPr>
        <w:t>I</w:t>
      </w:r>
      <w:r w:rsidRPr="00B43039">
        <w:rPr>
          <w:rFonts w:asciiTheme="majorHAnsi" w:hAnsiTheme="majorHAnsi" w:cstheme="majorBidi"/>
        </w:rPr>
        <w:t>EC 62281 specifies test methods and requirements for primary and secondary (rechargeable) lithium cells and batteries to ensure their safety during transport other than for recycling or disposal.</w:t>
      </w:r>
    </w:p>
    <w:p w14:paraId="199DE611" w14:textId="42ECFD98" w:rsidR="00F04A09" w:rsidRPr="00EE4A26" w:rsidRDefault="00F2353D" w:rsidP="00F2353D">
      <w:pPr>
        <w:pageBreakBefore/>
        <w:spacing w:before="240"/>
        <w:ind w:left="425"/>
        <w:rPr>
          <w:rFonts w:asciiTheme="majorHAnsi" w:hAnsiTheme="majorHAnsi" w:cstheme="majorBidi"/>
          <w:b/>
        </w:rPr>
      </w:pPr>
      <w:hyperlink r:id="rId22" w:history="1">
        <w:r w:rsidR="00F04A09" w:rsidRPr="00EE4A26">
          <w:rPr>
            <w:rStyle w:val="Hyperlink"/>
            <w:b/>
          </w:rPr>
          <w:t>TGA guidance</w:t>
        </w:r>
        <w:r w:rsidR="00F04A09" w:rsidRPr="00EE4A26">
          <w:rPr>
            <w:rStyle w:val="Hyperlink"/>
            <w:b/>
            <w:bCs/>
          </w:rPr>
          <w:t xml:space="preserve"> on </w:t>
        </w:r>
        <w:r w:rsidR="009B0DF4">
          <w:rPr>
            <w:rStyle w:val="Hyperlink"/>
            <w:b/>
          </w:rPr>
          <w:t>a</w:t>
        </w:r>
        <w:r w:rsidR="00F04A09" w:rsidRPr="00EE4A26">
          <w:rPr>
            <w:rStyle w:val="Hyperlink"/>
            <w:b/>
          </w:rPr>
          <w:t>ctive medical devices</w:t>
        </w:r>
        <w:r w:rsidR="00F04A09" w:rsidRPr="00EE4A26">
          <w:rPr>
            <w:rStyle w:val="Hyperlink"/>
            <w:b/>
            <w:bCs/>
          </w:rPr>
          <w:t>,</w:t>
        </w:r>
        <w:r w:rsidR="00F04A09" w:rsidRPr="00EE4A26">
          <w:rPr>
            <w:rStyle w:val="Hyperlink"/>
            <w:b/>
          </w:rPr>
          <w:t xml:space="preserve"> Introduction and overview of requirements</w:t>
        </w:r>
      </w:hyperlink>
    </w:p>
    <w:p w14:paraId="598FE002" w14:textId="0404D2AE" w:rsidR="00F04A09" w:rsidRPr="00EE4A26" w:rsidRDefault="00F04A09" w:rsidP="00F04A09">
      <w:pPr>
        <w:ind w:left="426"/>
        <w:rPr>
          <w:rFonts w:asciiTheme="majorHAnsi" w:hAnsiTheme="majorHAnsi" w:cstheme="majorBidi"/>
        </w:rPr>
      </w:pPr>
      <w:r w:rsidRPr="00EE4A26">
        <w:rPr>
          <w:rFonts w:asciiTheme="majorHAnsi" w:hAnsiTheme="majorHAnsi" w:cstheme="majorBidi"/>
        </w:rPr>
        <w:t xml:space="preserve">TGA </w:t>
      </w:r>
      <w:r w:rsidR="009B0DF4">
        <w:rPr>
          <w:rFonts w:asciiTheme="majorHAnsi" w:hAnsiTheme="majorHAnsi" w:cstheme="majorBidi"/>
        </w:rPr>
        <w:t>g</w:t>
      </w:r>
      <w:r w:rsidRPr="00EE4A26">
        <w:rPr>
          <w:rFonts w:asciiTheme="majorHAnsi" w:hAnsiTheme="majorHAnsi" w:cstheme="majorBidi"/>
        </w:rPr>
        <w:t xml:space="preserve">uidance on </w:t>
      </w:r>
      <w:r w:rsidR="009B0DF4">
        <w:rPr>
          <w:rFonts w:asciiTheme="majorHAnsi" w:hAnsiTheme="majorHAnsi" w:cstheme="majorBidi"/>
        </w:rPr>
        <w:t>a</w:t>
      </w:r>
      <w:r w:rsidRPr="00EE4A26">
        <w:rPr>
          <w:rFonts w:asciiTheme="majorHAnsi" w:hAnsiTheme="majorHAnsi" w:cstheme="majorBidi"/>
        </w:rPr>
        <w:t xml:space="preserve">ctive </w:t>
      </w:r>
      <w:r>
        <w:rPr>
          <w:rFonts w:asciiTheme="majorHAnsi" w:hAnsiTheme="majorHAnsi" w:cstheme="majorBidi"/>
        </w:rPr>
        <w:t xml:space="preserve">medical devices provides guidelines on </w:t>
      </w:r>
      <w:r>
        <w:t xml:space="preserve">the requirements that specifically apply to active medical devices including requirements around electromedical safety standards, electrical safety and requirements for programmed and programmable medical devices. </w:t>
      </w:r>
    </w:p>
    <w:p w14:paraId="7F9191A7" w14:textId="15719B80" w:rsidR="00F04A09" w:rsidRPr="00EE4A26" w:rsidRDefault="00F04A09" w:rsidP="00F04A09">
      <w:pPr>
        <w:spacing w:before="240"/>
        <w:ind w:left="425"/>
        <w:rPr>
          <w:rFonts w:asciiTheme="majorHAnsi" w:hAnsiTheme="majorHAnsi" w:cstheme="majorBidi"/>
          <w:b/>
        </w:rPr>
      </w:pPr>
      <w:r w:rsidRPr="00EE4A26">
        <w:rPr>
          <w:rFonts w:asciiTheme="majorHAnsi" w:hAnsiTheme="majorHAnsi" w:cstheme="majorBidi"/>
          <w:b/>
        </w:rPr>
        <w:t xml:space="preserve">IEC 60601 series </w:t>
      </w:r>
    </w:p>
    <w:p w14:paraId="0E8DA736" w14:textId="537CC7E8" w:rsidR="00F04A09" w:rsidRPr="00682C9B" w:rsidRDefault="00F04A09" w:rsidP="00F04A09">
      <w:pPr>
        <w:ind w:left="426"/>
        <w:rPr>
          <w:rFonts w:asciiTheme="majorHAnsi" w:hAnsiTheme="majorHAnsi" w:cstheme="majorBidi"/>
        </w:rPr>
      </w:pPr>
      <w:r w:rsidRPr="00663226">
        <w:rPr>
          <w:rFonts w:asciiTheme="majorHAnsi" w:hAnsiTheme="majorHAnsi" w:cstheme="majorBidi"/>
        </w:rPr>
        <w:t xml:space="preserve">The IEC 60601 is a series of technical standards designed to ensure the safety and effectiveness of medical electrical equipment. </w:t>
      </w:r>
      <w:r w:rsidR="0060387B">
        <w:rPr>
          <w:rFonts w:asciiTheme="majorHAnsi" w:hAnsiTheme="majorHAnsi" w:cstheme="majorBidi"/>
        </w:rPr>
        <w:t xml:space="preserve">You could use this </w:t>
      </w:r>
      <w:r>
        <w:rPr>
          <w:rFonts w:asciiTheme="majorHAnsi" w:hAnsiTheme="majorHAnsi" w:cstheme="majorBidi"/>
        </w:rPr>
        <w:t>standard as</w:t>
      </w:r>
      <w:r w:rsidR="0060387B">
        <w:rPr>
          <w:rFonts w:asciiTheme="majorHAnsi" w:hAnsiTheme="majorHAnsi" w:cstheme="majorBidi"/>
        </w:rPr>
        <w:t xml:space="preserve"> a</w:t>
      </w:r>
      <w:r>
        <w:rPr>
          <w:rFonts w:asciiTheme="majorHAnsi" w:hAnsiTheme="majorHAnsi" w:cstheme="majorBidi"/>
        </w:rPr>
        <w:t xml:space="preserve"> guid</w:t>
      </w:r>
      <w:r w:rsidR="0060387B">
        <w:rPr>
          <w:rFonts w:asciiTheme="majorHAnsi" w:hAnsiTheme="majorHAnsi" w:cstheme="majorBidi"/>
        </w:rPr>
        <w:t>e</w:t>
      </w:r>
      <w:r>
        <w:rPr>
          <w:rFonts w:asciiTheme="majorHAnsi" w:hAnsiTheme="majorHAnsi" w:cstheme="majorBidi"/>
        </w:rPr>
        <w:t xml:space="preserve"> to verify the electrical systems within the therapeutic vaping device to reduce risks to users </w:t>
      </w:r>
      <w:r w:rsidRPr="005E3593">
        <w:rPr>
          <w:rFonts w:asciiTheme="majorHAnsi" w:hAnsiTheme="majorHAnsi" w:cstheme="majorBidi"/>
        </w:rPr>
        <w:t>such as electric shocks or burns</w:t>
      </w:r>
      <w:r w:rsidR="009B0DF4">
        <w:rPr>
          <w:rFonts w:asciiTheme="majorHAnsi" w:hAnsiTheme="majorHAnsi" w:cstheme="majorBidi"/>
        </w:rPr>
        <w:t>.</w:t>
      </w:r>
    </w:p>
    <w:p w14:paraId="6B5479B0" w14:textId="77777777" w:rsidR="00F04A09" w:rsidRPr="00EE4A26" w:rsidRDefault="00F04A09" w:rsidP="00F04A09">
      <w:pPr>
        <w:spacing w:before="240"/>
        <w:ind w:left="425"/>
        <w:rPr>
          <w:rFonts w:asciiTheme="majorHAnsi" w:hAnsiTheme="majorHAnsi" w:cstheme="majorBidi"/>
          <w:b/>
        </w:rPr>
      </w:pPr>
      <w:r w:rsidRPr="00EE4A26">
        <w:rPr>
          <w:rFonts w:asciiTheme="majorHAnsi" w:hAnsiTheme="majorHAnsi" w:cstheme="majorBidi"/>
          <w:b/>
        </w:rPr>
        <w:t>IEC 62366 Medical devices Part 1: Application of usability engineering to medical devices</w:t>
      </w:r>
    </w:p>
    <w:p w14:paraId="22CD422F" w14:textId="77777777" w:rsidR="00F04A09" w:rsidRPr="00682C9B" w:rsidRDefault="00F04A09" w:rsidP="00F04A09">
      <w:pPr>
        <w:ind w:left="426"/>
        <w:rPr>
          <w:rFonts w:asciiTheme="majorHAnsi" w:hAnsiTheme="majorHAnsi" w:cstheme="majorBidi"/>
        </w:rPr>
      </w:pPr>
      <w:r w:rsidRPr="00E461F1">
        <w:rPr>
          <w:rFonts w:asciiTheme="majorHAnsi" w:hAnsiTheme="majorHAnsi" w:cstheme="majorBidi"/>
        </w:rPr>
        <w:t xml:space="preserve">The </w:t>
      </w:r>
      <w:r>
        <w:rPr>
          <w:rFonts w:asciiTheme="majorHAnsi" w:hAnsiTheme="majorHAnsi" w:cstheme="majorBidi"/>
        </w:rPr>
        <w:t xml:space="preserve">is a </w:t>
      </w:r>
      <w:r w:rsidRPr="0076020F">
        <w:rPr>
          <w:rFonts w:asciiTheme="majorHAnsi" w:hAnsiTheme="majorHAnsi" w:cstheme="majorBidi"/>
        </w:rPr>
        <w:t xml:space="preserve">process-based </w:t>
      </w:r>
      <w:r w:rsidRPr="00E461F1">
        <w:rPr>
          <w:rFonts w:asciiTheme="majorHAnsi" w:hAnsiTheme="majorHAnsi" w:cstheme="majorBidi"/>
        </w:rPr>
        <w:t xml:space="preserve">standard </w:t>
      </w:r>
      <w:r>
        <w:rPr>
          <w:rFonts w:asciiTheme="majorHAnsi" w:hAnsiTheme="majorHAnsi" w:cstheme="majorBidi"/>
        </w:rPr>
        <w:t xml:space="preserve">that </w:t>
      </w:r>
      <w:r w:rsidRPr="00E461F1">
        <w:rPr>
          <w:rFonts w:asciiTheme="majorHAnsi" w:hAnsiTheme="majorHAnsi" w:cstheme="majorBidi"/>
        </w:rPr>
        <w:t xml:space="preserve">specifies usability requirements for the development of medical devices. </w:t>
      </w:r>
    </w:p>
    <w:p w14:paraId="3770D89F" w14:textId="77777777" w:rsidR="00F04A09" w:rsidRDefault="00F04A09" w:rsidP="00F04A09">
      <w:pPr>
        <w:spacing w:before="240"/>
        <w:ind w:left="425"/>
        <w:rPr>
          <w:rFonts w:asciiTheme="majorHAnsi" w:hAnsiTheme="majorHAnsi" w:cstheme="majorBidi"/>
          <w:b/>
        </w:rPr>
      </w:pPr>
      <w:r w:rsidRPr="00EE4A26">
        <w:rPr>
          <w:rFonts w:asciiTheme="majorHAnsi" w:hAnsiTheme="majorHAnsi" w:cstheme="majorBidi"/>
          <w:b/>
        </w:rPr>
        <w:t>CEN/TS 17633 General principles and requirements for testing of quality and nicotine levels of electronic cigarette liquids</w:t>
      </w:r>
    </w:p>
    <w:p w14:paraId="7F33138A" w14:textId="77777777" w:rsidR="00F04A09" w:rsidRPr="001609D0" w:rsidRDefault="00F04A09" w:rsidP="00F04A09">
      <w:pPr>
        <w:ind w:left="426"/>
        <w:rPr>
          <w:rFonts w:asciiTheme="majorHAnsi" w:hAnsiTheme="majorHAnsi" w:cstheme="majorBidi"/>
        </w:rPr>
      </w:pPr>
      <w:r w:rsidRPr="001609D0">
        <w:rPr>
          <w:rFonts w:asciiTheme="majorHAnsi" w:hAnsiTheme="majorHAnsi" w:cstheme="majorBidi"/>
        </w:rPr>
        <w:t xml:space="preserve">This document </w:t>
      </w:r>
      <w:r>
        <w:rPr>
          <w:rFonts w:asciiTheme="majorHAnsi" w:hAnsiTheme="majorHAnsi" w:cstheme="majorBidi"/>
        </w:rPr>
        <w:t>can be used as guidance to verify vaping device long term performance and to ensure the device performs within set specifications. The standard provides guidance on</w:t>
      </w:r>
      <w:r w:rsidRPr="001609D0">
        <w:rPr>
          <w:rFonts w:asciiTheme="majorHAnsi" w:hAnsiTheme="majorHAnsi" w:cstheme="majorBidi"/>
        </w:rPr>
        <w:t xml:space="preserve"> analytical</w:t>
      </w:r>
      <w:r>
        <w:rPr>
          <w:rFonts w:asciiTheme="majorHAnsi" w:hAnsiTheme="majorHAnsi" w:cstheme="majorBidi"/>
        </w:rPr>
        <w:t xml:space="preserve"> test</w:t>
      </w:r>
      <w:r w:rsidRPr="001609D0">
        <w:rPr>
          <w:rFonts w:asciiTheme="majorHAnsi" w:hAnsiTheme="majorHAnsi" w:cstheme="majorBidi"/>
        </w:rPr>
        <w:t xml:space="preserve"> method</w:t>
      </w:r>
      <w:r>
        <w:rPr>
          <w:rFonts w:asciiTheme="majorHAnsi" w:hAnsiTheme="majorHAnsi" w:cstheme="majorBidi"/>
        </w:rPr>
        <w:t>s</w:t>
      </w:r>
      <w:r w:rsidRPr="001609D0">
        <w:rPr>
          <w:rFonts w:asciiTheme="majorHAnsi" w:hAnsiTheme="majorHAnsi" w:cstheme="majorBidi"/>
        </w:rPr>
        <w:t xml:space="preserve"> to quantify the nicotine, propylene glycol and glycerol content in e-liquids by gas chromatography.</w:t>
      </w:r>
    </w:p>
    <w:p w14:paraId="658195C8" w14:textId="77777777" w:rsidR="00F04A09" w:rsidRPr="00EE4A26" w:rsidRDefault="00F04A09" w:rsidP="00F04A09">
      <w:pPr>
        <w:spacing w:before="240"/>
        <w:ind w:left="425"/>
        <w:rPr>
          <w:rFonts w:asciiTheme="majorHAnsi" w:hAnsiTheme="majorHAnsi" w:cstheme="majorBidi"/>
          <w:b/>
        </w:rPr>
      </w:pPr>
      <w:r w:rsidRPr="00EE4A26">
        <w:rPr>
          <w:rFonts w:asciiTheme="majorHAnsi" w:hAnsiTheme="majorHAnsi" w:cstheme="majorBidi"/>
          <w:b/>
        </w:rPr>
        <w:t>IEC 62304 Medical device software life cycle processes</w:t>
      </w:r>
    </w:p>
    <w:p w14:paraId="375C1537" w14:textId="77777777" w:rsidR="00F04A09" w:rsidRDefault="00F04A09" w:rsidP="00F04A09">
      <w:pPr>
        <w:ind w:left="426"/>
        <w:rPr>
          <w:rFonts w:asciiTheme="majorHAnsi" w:hAnsiTheme="majorHAnsi" w:cstheme="majorBidi"/>
        </w:rPr>
      </w:pPr>
      <w:r>
        <w:rPr>
          <w:rFonts w:asciiTheme="majorHAnsi" w:hAnsiTheme="majorHAnsi" w:cstheme="majorBidi"/>
        </w:rPr>
        <w:t>IEC 62304 d</w:t>
      </w:r>
      <w:r w:rsidRPr="003E78E0">
        <w:rPr>
          <w:rFonts w:asciiTheme="majorHAnsi" w:hAnsiTheme="majorHAnsi" w:cstheme="majorBidi"/>
        </w:rPr>
        <w:t xml:space="preserve">efines the life cycle requirements for </w:t>
      </w:r>
      <w:r>
        <w:rPr>
          <w:rFonts w:asciiTheme="majorHAnsi" w:hAnsiTheme="majorHAnsi" w:cstheme="majorBidi"/>
        </w:rPr>
        <w:t xml:space="preserve">software in a </w:t>
      </w:r>
      <w:r w:rsidRPr="003E78E0">
        <w:rPr>
          <w:rFonts w:asciiTheme="majorHAnsi" w:hAnsiTheme="majorHAnsi" w:cstheme="majorBidi"/>
        </w:rPr>
        <w:t xml:space="preserve">medical device </w:t>
      </w:r>
      <w:r>
        <w:rPr>
          <w:rFonts w:asciiTheme="majorHAnsi" w:hAnsiTheme="majorHAnsi" w:cstheme="majorBidi"/>
        </w:rPr>
        <w:t xml:space="preserve">and provides </w:t>
      </w:r>
      <w:r>
        <w:rPr>
          <w:color w:val="4D5156"/>
          <w:shd w:val="clear" w:color="auto" w:fill="FFFFFF"/>
        </w:rPr>
        <w:t>processes, activities, and tasks to ensure safety and performance of associated devices.</w:t>
      </w:r>
    </w:p>
    <w:p w14:paraId="62A6A69C" w14:textId="77777777" w:rsidR="00F04A09" w:rsidRPr="00EE4A26" w:rsidRDefault="00F04A09" w:rsidP="00F04A09">
      <w:pPr>
        <w:spacing w:before="240"/>
        <w:ind w:left="425"/>
        <w:rPr>
          <w:rFonts w:asciiTheme="majorHAnsi" w:hAnsiTheme="majorHAnsi" w:cstheme="majorBidi"/>
          <w:b/>
        </w:rPr>
      </w:pPr>
      <w:r w:rsidRPr="00EE4A26">
        <w:rPr>
          <w:rFonts w:asciiTheme="majorHAnsi" w:hAnsiTheme="majorHAnsi" w:cstheme="majorBidi"/>
          <w:b/>
        </w:rPr>
        <w:t>GB 41700 Mandatory National Standards for Electronic Cigarettes</w:t>
      </w:r>
    </w:p>
    <w:p w14:paraId="2E52A163" w14:textId="77777777" w:rsidR="00F04A09" w:rsidRDefault="00F04A09" w:rsidP="00F04A09">
      <w:pPr>
        <w:ind w:left="426"/>
      </w:pPr>
      <w:r>
        <w:t xml:space="preserve">The standard specifies the terms and definitions, requirements for design and raw materials, technical requirements, test methods, labelling and product instructions concerning electronic cigarettes. </w:t>
      </w:r>
    </w:p>
    <w:p w14:paraId="33063054" w14:textId="77777777" w:rsidR="00F04A09" w:rsidRDefault="00F04A09" w:rsidP="00F04A09">
      <w:pPr>
        <w:spacing w:before="240"/>
        <w:ind w:left="425"/>
        <w:rPr>
          <w:rFonts w:asciiTheme="majorHAnsi" w:hAnsiTheme="majorHAnsi" w:cstheme="majorBidi"/>
          <w:b/>
        </w:rPr>
      </w:pPr>
      <w:r w:rsidRPr="00EE4A26">
        <w:rPr>
          <w:rFonts w:asciiTheme="majorHAnsi" w:hAnsiTheme="majorHAnsi" w:cstheme="majorBidi"/>
          <w:b/>
        </w:rPr>
        <w:t>UL 8139 Standard for Electrical Systems of Electronic Cigarettes and Vaping Devices</w:t>
      </w:r>
    </w:p>
    <w:p w14:paraId="0F78C66F" w14:textId="55EDB8C1" w:rsidR="00F04A09" w:rsidRPr="009B5663" w:rsidRDefault="0060387B" w:rsidP="00F04A09">
      <w:pPr>
        <w:ind w:left="426"/>
      </w:pPr>
      <w:r>
        <w:rPr>
          <w:rFonts w:asciiTheme="majorHAnsi" w:hAnsiTheme="majorHAnsi" w:cstheme="majorBidi"/>
        </w:rPr>
        <w:t xml:space="preserve">You could use this </w:t>
      </w:r>
      <w:r w:rsidR="00F04A09" w:rsidRPr="3F72518E">
        <w:rPr>
          <w:rFonts w:asciiTheme="majorHAnsi" w:hAnsiTheme="majorHAnsi" w:cstheme="majorBidi"/>
        </w:rPr>
        <w:t xml:space="preserve">standard </w:t>
      </w:r>
      <w:r>
        <w:rPr>
          <w:rFonts w:asciiTheme="majorHAnsi" w:hAnsiTheme="majorHAnsi" w:cstheme="majorBidi"/>
        </w:rPr>
        <w:t>to</w:t>
      </w:r>
      <w:r w:rsidR="00F04A09" w:rsidRPr="3F72518E">
        <w:rPr>
          <w:rFonts w:asciiTheme="majorHAnsi" w:hAnsiTheme="majorHAnsi" w:cstheme="majorBidi"/>
        </w:rPr>
        <w:t xml:space="preserve"> help </w:t>
      </w:r>
      <w:r w:rsidR="00E90989">
        <w:rPr>
          <w:rFonts w:asciiTheme="majorHAnsi" w:hAnsiTheme="majorHAnsi" w:cstheme="majorBidi"/>
        </w:rPr>
        <w:t>you assess if the</w:t>
      </w:r>
      <w:r w:rsidR="00F04A09">
        <w:rPr>
          <w:rFonts w:asciiTheme="majorHAnsi" w:hAnsiTheme="majorHAnsi" w:cstheme="majorBidi"/>
        </w:rPr>
        <w:t xml:space="preserve"> electrical elements used in therapeutic vaping devices are safe for use. </w:t>
      </w:r>
      <w:r w:rsidR="00F04A09" w:rsidRPr="7346B724">
        <w:rPr>
          <w:rFonts w:asciiTheme="majorHAnsi" w:hAnsiTheme="majorHAnsi" w:cstheme="majorBidi"/>
        </w:rPr>
        <w:t xml:space="preserve">The standard specifies testing </w:t>
      </w:r>
      <w:r w:rsidR="00F04A09" w:rsidRPr="0DE41947">
        <w:rPr>
          <w:rFonts w:asciiTheme="majorHAnsi" w:hAnsiTheme="majorHAnsi" w:cstheme="majorBidi"/>
        </w:rPr>
        <w:t>requirement</w:t>
      </w:r>
      <w:r w:rsidR="4B2F15A1" w:rsidRPr="0DE41947">
        <w:rPr>
          <w:rFonts w:asciiTheme="majorHAnsi" w:hAnsiTheme="majorHAnsi" w:cstheme="majorBidi"/>
        </w:rPr>
        <w:t>s</w:t>
      </w:r>
      <w:r w:rsidR="00F04A09" w:rsidRPr="7346B724">
        <w:rPr>
          <w:rFonts w:asciiTheme="majorHAnsi" w:hAnsiTheme="majorHAnsi" w:cstheme="majorBidi"/>
        </w:rPr>
        <w:t xml:space="preserve"> </w:t>
      </w:r>
      <w:r w:rsidR="3EF63752">
        <w:t>for evaluation of</w:t>
      </w:r>
      <w:r w:rsidR="00F04A09">
        <w:t xml:space="preserve"> the </w:t>
      </w:r>
      <w:r w:rsidR="00F04A09" w:rsidRPr="009B5663">
        <w:t>safety of the electrical, heating, battery and charging systems</w:t>
      </w:r>
      <w:r w:rsidR="00F04A09">
        <w:t>.</w:t>
      </w:r>
    </w:p>
    <w:p w14:paraId="2761417B" w14:textId="669514EC" w:rsidR="00F04A09" w:rsidRPr="00EE4A26" w:rsidRDefault="00F04A09" w:rsidP="00F04A09">
      <w:pPr>
        <w:spacing w:before="240"/>
        <w:ind w:left="425"/>
        <w:rPr>
          <w:rFonts w:asciiTheme="majorHAnsi" w:hAnsiTheme="majorHAnsi" w:cstheme="majorBidi"/>
          <w:b/>
        </w:rPr>
      </w:pPr>
      <w:r w:rsidRPr="00EE4A26">
        <w:rPr>
          <w:rFonts w:asciiTheme="majorHAnsi" w:hAnsiTheme="majorHAnsi" w:cstheme="majorBidi"/>
          <w:b/>
        </w:rPr>
        <w:t xml:space="preserve">EN ISO 8317 Child-resistant packaging </w:t>
      </w:r>
      <w:r w:rsidR="492AA9C9" w:rsidRPr="44EE0658">
        <w:rPr>
          <w:rFonts w:asciiTheme="majorHAnsi" w:hAnsiTheme="majorHAnsi" w:cstheme="majorBidi"/>
          <w:b/>
          <w:bCs/>
        </w:rPr>
        <w:t>r</w:t>
      </w:r>
      <w:r w:rsidRPr="00EE4A26">
        <w:rPr>
          <w:rFonts w:asciiTheme="majorHAnsi" w:hAnsiTheme="majorHAnsi" w:cstheme="majorBidi"/>
          <w:b/>
        </w:rPr>
        <w:t>equirements and testing procedures for re</w:t>
      </w:r>
      <w:r>
        <w:rPr>
          <w:rFonts w:asciiTheme="majorHAnsi" w:hAnsiTheme="majorHAnsi" w:cstheme="majorBidi"/>
          <w:b/>
        </w:rPr>
        <w:t>-</w:t>
      </w:r>
      <w:r w:rsidRPr="00EE4A26">
        <w:rPr>
          <w:rFonts w:asciiTheme="majorHAnsi" w:hAnsiTheme="majorHAnsi" w:cstheme="majorBidi"/>
          <w:b/>
        </w:rPr>
        <w:t>closable packages</w:t>
      </w:r>
    </w:p>
    <w:p w14:paraId="5919C527" w14:textId="77777777" w:rsidR="00F04A09" w:rsidRPr="00130961" w:rsidRDefault="00F04A09" w:rsidP="00F04A09">
      <w:pPr>
        <w:ind w:left="426"/>
      </w:pPr>
      <w:r>
        <w:t xml:space="preserve">This standard </w:t>
      </w:r>
      <w:r w:rsidRPr="0071754B">
        <w:t>specifies performance requirements and test methods for re</w:t>
      </w:r>
      <w:r>
        <w:t>-</w:t>
      </w:r>
      <w:r w:rsidRPr="0071754B">
        <w:t>closable packages designated as resistant to opening by children.</w:t>
      </w:r>
    </w:p>
    <w:p w14:paraId="4CAD4F38" w14:textId="77777777" w:rsidR="00F04A09" w:rsidRPr="00EE4A26" w:rsidRDefault="00F04A09" w:rsidP="00F04A09">
      <w:pPr>
        <w:ind w:left="426"/>
        <w:rPr>
          <w:rFonts w:asciiTheme="majorHAnsi" w:hAnsiTheme="majorHAnsi" w:cstheme="majorBidi"/>
          <w:b/>
          <w:bCs/>
        </w:rPr>
      </w:pPr>
      <w:r w:rsidRPr="00EE4A26">
        <w:rPr>
          <w:rFonts w:asciiTheme="majorHAnsi" w:hAnsiTheme="majorHAnsi" w:cstheme="majorBidi"/>
          <w:b/>
          <w:bCs/>
        </w:rPr>
        <w:t>ISO 14155 Clinical investigation of medical devices for human subjects</w:t>
      </w:r>
      <w:r>
        <w:rPr>
          <w:rFonts w:asciiTheme="majorHAnsi" w:hAnsiTheme="majorHAnsi" w:cstheme="majorBidi"/>
          <w:b/>
          <w:bCs/>
        </w:rPr>
        <w:t xml:space="preserve"> </w:t>
      </w:r>
      <w:r w:rsidRPr="00EE4A26">
        <w:rPr>
          <w:rFonts w:asciiTheme="majorHAnsi" w:hAnsiTheme="majorHAnsi" w:cstheme="majorBidi"/>
          <w:b/>
          <w:bCs/>
        </w:rPr>
        <w:t>- Good clinical practice</w:t>
      </w:r>
    </w:p>
    <w:p w14:paraId="2FC50052" w14:textId="77A25079" w:rsidR="00F04A09" w:rsidRDefault="00F04A09" w:rsidP="00F04A09">
      <w:pPr>
        <w:ind w:left="426"/>
      </w:pPr>
      <w:r w:rsidRPr="000F7F4A">
        <w:t>Th</w:t>
      </w:r>
      <w:r w:rsidR="009B0DF4">
        <w:t>is</w:t>
      </w:r>
      <w:r w:rsidRPr="000F7F4A">
        <w:t xml:space="preserve"> standard addresses good clinical practice for the design, conduct, recording and reporting of clinical investigations carried out in human subjects to assess the clinical performance or effectiveness and safety of medical devices.</w:t>
      </w:r>
    </w:p>
    <w:p w14:paraId="727FD694" w14:textId="77777777" w:rsidR="000531F1" w:rsidRDefault="000531F1" w:rsidP="00F04A09">
      <w:pPr>
        <w:ind w:left="426"/>
      </w:pPr>
    </w:p>
    <w:p w14:paraId="1EC294EA" w14:textId="77777777" w:rsidR="000531F1" w:rsidRDefault="000531F1" w:rsidP="00F04A09">
      <w:pPr>
        <w:ind w:left="426"/>
      </w:pPr>
    </w:p>
    <w:p w14:paraId="33AA0FA0" w14:textId="2D57DCE9" w:rsidR="00F04A09" w:rsidRPr="00FE1909" w:rsidRDefault="00F2353D" w:rsidP="00F04A09">
      <w:pPr>
        <w:ind w:left="426"/>
        <w:rPr>
          <w:rFonts w:asciiTheme="majorHAnsi" w:hAnsiTheme="majorHAnsi" w:cstheme="majorBidi"/>
          <w:b/>
          <w:bCs/>
        </w:rPr>
      </w:pPr>
      <w:hyperlink r:id="rId23" w:history="1">
        <w:r w:rsidR="00F04A09" w:rsidRPr="00D631BE">
          <w:rPr>
            <w:rStyle w:val="Hyperlink"/>
            <w:rFonts w:asciiTheme="majorHAnsi" w:hAnsiTheme="majorHAnsi" w:cstheme="majorBidi"/>
            <w:b/>
            <w:bCs/>
          </w:rPr>
          <w:t>TGA Clinical Evidence Guidelines</w:t>
        </w:r>
      </w:hyperlink>
    </w:p>
    <w:p w14:paraId="1E262BB1" w14:textId="77777777" w:rsidR="00F04A09" w:rsidRPr="00E723A0" w:rsidRDefault="00F04A09" w:rsidP="00F04A09">
      <w:pPr>
        <w:ind w:left="426"/>
      </w:pPr>
      <w:r>
        <w:t xml:space="preserve">TGA </w:t>
      </w:r>
      <w:r w:rsidRPr="00E723A0">
        <w:t xml:space="preserve">Clinical evidence guidelines </w:t>
      </w:r>
      <w:r>
        <w:t>can provide guidance</w:t>
      </w:r>
      <w:r w:rsidRPr="00E723A0">
        <w:t xml:space="preserve"> to manufacturers of </w:t>
      </w:r>
      <w:r>
        <w:t xml:space="preserve">therapeutic vaping devices and e-liquids </w:t>
      </w:r>
      <w:r w:rsidRPr="00E723A0">
        <w:t>on how to generate and evaluate clinical data to support the efficacy and safety of their products. The guidelines specify the type of evidence required, and help sponsors understand their regulatory obligations in relation to holding that evidence.</w:t>
      </w:r>
    </w:p>
    <w:p w14:paraId="3966F27A" w14:textId="77777777" w:rsidR="00F04A09" w:rsidRPr="001D699C" w:rsidRDefault="00F04A09" w:rsidP="00F04A09">
      <w:pPr>
        <w:spacing w:before="240"/>
        <w:ind w:left="425"/>
        <w:rPr>
          <w:rFonts w:asciiTheme="majorHAnsi" w:hAnsiTheme="majorHAnsi" w:cstheme="majorBidi"/>
        </w:rPr>
      </w:pPr>
      <w:r w:rsidRPr="001D699C">
        <w:rPr>
          <w:rFonts w:asciiTheme="majorHAnsi" w:hAnsiTheme="majorHAnsi" w:cstheme="majorBidi"/>
          <w:b/>
        </w:rPr>
        <w:t>ASTM F1980</w:t>
      </w:r>
      <w:r w:rsidRPr="001D699C">
        <w:rPr>
          <w:rFonts w:asciiTheme="majorHAnsi" w:hAnsiTheme="majorHAnsi" w:cstheme="majorBidi"/>
        </w:rPr>
        <w:t xml:space="preserve"> - </w:t>
      </w:r>
      <w:r w:rsidRPr="001D699C">
        <w:rPr>
          <w:rFonts w:asciiTheme="majorHAnsi" w:hAnsiTheme="majorHAnsi" w:cstheme="majorBidi"/>
          <w:b/>
        </w:rPr>
        <w:t>Standard Guide for Accelerated Aging of Sterile Barrier Systems and Medical Devices</w:t>
      </w:r>
    </w:p>
    <w:p w14:paraId="3D710F9B" w14:textId="6D1A4A79" w:rsidR="00F04A09" w:rsidRDefault="0060387B" w:rsidP="00F04A09">
      <w:pPr>
        <w:ind w:left="426"/>
      </w:pPr>
      <w:r>
        <w:rPr>
          <w:rFonts w:asciiTheme="majorHAnsi" w:hAnsiTheme="majorHAnsi" w:cstheme="majorBidi"/>
        </w:rPr>
        <w:t xml:space="preserve">You could use this standard </w:t>
      </w:r>
      <w:r w:rsidR="00F04A09" w:rsidRPr="3F72518E">
        <w:rPr>
          <w:rFonts w:asciiTheme="majorHAnsi" w:hAnsiTheme="majorHAnsi" w:cstheme="majorBidi"/>
        </w:rPr>
        <w:t xml:space="preserve">as </w:t>
      </w:r>
      <w:r w:rsidR="00F04A09">
        <w:rPr>
          <w:rFonts w:asciiTheme="majorHAnsi" w:hAnsiTheme="majorHAnsi" w:cstheme="majorBidi"/>
        </w:rPr>
        <w:t>a</w:t>
      </w:r>
      <w:r w:rsidR="00F04A09" w:rsidRPr="3F72518E">
        <w:rPr>
          <w:rFonts w:asciiTheme="majorHAnsi" w:hAnsiTheme="majorHAnsi" w:cstheme="majorBidi"/>
        </w:rPr>
        <w:t xml:space="preserve"> guid</w:t>
      </w:r>
      <w:r w:rsidR="00F04A09">
        <w:rPr>
          <w:rFonts w:asciiTheme="majorHAnsi" w:hAnsiTheme="majorHAnsi" w:cstheme="majorBidi"/>
        </w:rPr>
        <w:t>e</w:t>
      </w:r>
      <w:r w:rsidR="00F04A09" w:rsidRPr="3F72518E">
        <w:rPr>
          <w:rFonts w:asciiTheme="majorHAnsi" w:hAnsiTheme="majorHAnsi" w:cstheme="majorBidi"/>
        </w:rPr>
        <w:t xml:space="preserve"> to </w:t>
      </w:r>
      <w:r w:rsidR="00F04A09">
        <w:rPr>
          <w:rFonts w:asciiTheme="majorHAnsi" w:hAnsiTheme="majorHAnsi" w:cstheme="majorBidi"/>
        </w:rPr>
        <w:t>the development of evidence to show that the specified storage</w:t>
      </w:r>
      <w:r w:rsidR="00F04A09" w:rsidRPr="3F72518E">
        <w:rPr>
          <w:rFonts w:asciiTheme="majorHAnsi" w:hAnsiTheme="majorHAnsi" w:cstheme="majorBidi"/>
        </w:rPr>
        <w:t xml:space="preserve"> and distribution</w:t>
      </w:r>
      <w:r w:rsidR="00F04A09">
        <w:rPr>
          <w:rFonts w:asciiTheme="majorHAnsi" w:hAnsiTheme="majorHAnsi" w:cstheme="majorBidi"/>
        </w:rPr>
        <w:t xml:space="preserve"> conditions</w:t>
      </w:r>
      <w:r w:rsidR="00F04A09" w:rsidRPr="3F72518E">
        <w:rPr>
          <w:rFonts w:asciiTheme="majorHAnsi" w:hAnsiTheme="majorHAnsi" w:cstheme="majorBidi"/>
        </w:rPr>
        <w:t xml:space="preserve"> of </w:t>
      </w:r>
      <w:r w:rsidR="00F04A09">
        <w:rPr>
          <w:rFonts w:asciiTheme="majorHAnsi" w:hAnsiTheme="majorHAnsi" w:cstheme="majorBidi"/>
        </w:rPr>
        <w:t xml:space="preserve">a </w:t>
      </w:r>
      <w:r w:rsidR="00F04A09" w:rsidRPr="3F72518E">
        <w:rPr>
          <w:rFonts w:asciiTheme="majorHAnsi" w:hAnsiTheme="majorHAnsi" w:cstheme="majorBidi"/>
        </w:rPr>
        <w:t>vape</w:t>
      </w:r>
      <w:r w:rsidR="00F04A09">
        <w:rPr>
          <w:rFonts w:asciiTheme="majorHAnsi" w:hAnsiTheme="majorHAnsi" w:cstheme="majorBidi"/>
        </w:rPr>
        <w:t xml:space="preserve"> does not</w:t>
      </w:r>
      <w:r w:rsidR="00F04A09" w:rsidRPr="3F72518E">
        <w:rPr>
          <w:rFonts w:asciiTheme="majorHAnsi" w:hAnsiTheme="majorHAnsi" w:cstheme="majorBidi"/>
        </w:rPr>
        <w:t xml:space="preserve"> affect</w:t>
      </w:r>
      <w:r w:rsidR="00F04A09">
        <w:rPr>
          <w:rFonts w:asciiTheme="majorHAnsi" w:hAnsiTheme="majorHAnsi" w:cstheme="majorBidi"/>
        </w:rPr>
        <w:t xml:space="preserve"> safety or performance and </w:t>
      </w:r>
      <w:r w:rsidR="009B0DF4">
        <w:rPr>
          <w:rFonts w:asciiTheme="majorHAnsi" w:hAnsiTheme="majorHAnsi" w:cstheme="majorBidi"/>
        </w:rPr>
        <w:t xml:space="preserve">to </w:t>
      </w:r>
      <w:r w:rsidR="00F04A09">
        <w:rPr>
          <w:rFonts w:asciiTheme="majorHAnsi" w:hAnsiTheme="majorHAnsi" w:cstheme="majorBidi"/>
        </w:rPr>
        <w:t>ensure the provision of specified storage and distribution conditions on the label and in the user instructions</w:t>
      </w:r>
      <w:r w:rsidR="00F04A09" w:rsidRPr="3F72518E">
        <w:rPr>
          <w:rFonts w:asciiTheme="majorHAnsi" w:hAnsiTheme="majorHAnsi" w:cstheme="majorBidi"/>
        </w:rPr>
        <w:t>.</w:t>
      </w:r>
    </w:p>
    <w:p w14:paraId="35708C9E" w14:textId="77777777" w:rsidR="00F04A09" w:rsidRPr="001D699C" w:rsidRDefault="00F04A09" w:rsidP="00F04A09">
      <w:pPr>
        <w:ind w:left="426"/>
        <w:rPr>
          <w:rFonts w:asciiTheme="majorHAnsi" w:hAnsiTheme="majorHAnsi" w:cstheme="majorBidi"/>
        </w:rPr>
      </w:pPr>
      <w:r w:rsidRPr="001D699C">
        <w:t>This standard provides</w:t>
      </w:r>
      <w:r w:rsidRPr="001D699C">
        <w:rPr>
          <w:rFonts w:asciiTheme="majorHAnsi" w:hAnsiTheme="majorHAnsi" w:cstheme="majorBidi"/>
        </w:rPr>
        <w:t xml:space="preserve"> guidance to verify time-related aspects of potential packaging integrity loss.</w:t>
      </w:r>
    </w:p>
    <w:p w14:paraId="39CF6509" w14:textId="77777777" w:rsidR="00F04A09" w:rsidRPr="00AB14BE" w:rsidRDefault="00F04A09" w:rsidP="00F04A09">
      <w:pPr>
        <w:spacing w:before="240"/>
        <w:ind w:left="425"/>
        <w:rPr>
          <w:rFonts w:asciiTheme="majorHAnsi" w:hAnsiTheme="majorHAnsi" w:cstheme="majorBidi"/>
          <w:b/>
        </w:rPr>
      </w:pPr>
      <w:r>
        <w:rPr>
          <w:rFonts w:asciiTheme="majorHAnsi" w:hAnsiTheme="majorHAnsi" w:cstheme="majorBidi"/>
          <w:b/>
          <w:bCs/>
        </w:rPr>
        <w:t xml:space="preserve">ISTA 2A - </w:t>
      </w:r>
      <w:r w:rsidRPr="00AB14BE">
        <w:rPr>
          <w:rFonts w:asciiTheme="majorHAnsi" w:hAnsiTheme="majorHAnsi" w:cstheme="majorBidi"/>
          <w:b/>
        </w:rPr>
        <w:t>ISTA Series – International Safe Transit Association test procedures</w:t>
      </w:r>
    </w:p>
    <w:p w14:paraId="6463E9BA" w14:textId="24A7EC8F" w:rsidR="00F04A09" w:rsidRPr="00CA0024" w:rsidRDefault="00F04A09" w:rsidP="00F04A09">
      <w:pPr>
        <w:ind w:left="426"/>
        <w:rPr>
          <w:rFonts w:asciiTheme="majorHAnsi" w:hAnsiTheme="majorHAnsi" w:cstheme="majorBidi"/>
          <w:b/>
        </w:rPr>
      </w:pPr>
      <w:r>
        <w:t>This standard covers simulation testing of individual packaged products for shipment. Test procedure ISTA 2A</w:t>
      </w:r>
      <w:r w:rsidRPr="00130961">
        <w:rPr>
          <w:rFonts w:asciiTheme="majorHAnsi" w:hAnsiTheme="majorHAnsi" w:cstheme="majorBidi"/>
        </w:rPr>
        <w:t xml:space="preserve"> </w:t>
      </w:r>
      <w:r>
        <w:rPr>
          <w:rFonts w:asciiTheme="majorHAnsi" w:hAnsiTheme="majorHAnsi" w:cstheme="majorBidi"/>
        </w:rPr>
        <w:t xml:space="preserve">is a partial simulation test for individual packaged therapeutic vaping devices which can be used to evaluate the performance of a packaged-product and compare relative performance of package and product design alternatives. </w:t>
      </w:r>
      <w:r>
        <w:br/>
      </w:r>
      <w:r>
        <w:br/>
      </w:r>
      <w:r w:rsidRPr="00AB14BE">
        <w:rPr>
          <w:rFonts w:asciiTheme="majorHAnsi" w:hAnsiTheme="majorHAnsi" w:cstheme="majorBidi"/>
          <w:b/>
        </w:rPr>
        <w:t>ASTM D5276 -</w:t>
      </w:r>
      <w:r w:rsidRPr="00CA0024">
        <w:rPr>
          <w:rFonts w:asciiTheme="majorHAnsi" w:hAnsiTheme="majorHAnsi" w:cstheme="majorBidi"/>
          <w:b/>
        </w:rPr>
        <w:t xml:space="preserve"> Standard Test Method for Drop Test of Loaded Containers by Free Fall</w:t>
      </w:r>
    </w:p>
    <w:p w14:paraId="680A6E24" w14:textId="266AC989" w:rsidR="00F04A09" w:rsidRPr="00130961" w:rsidRDefault="00F04A09" w:rsidP="00F04A09">
      <w:pPr>
        <w:spacing w:before="240"/>
        <w:ind w:left="425"/>
        <w:rPr>
          <w:rFonts w:asciiTheme="majorHAnsi" w:hAnsiTheme="majorHAnsi" w:cstheme="majorBidi"/>
        </w:rPr>
      </w:pPr>
      <w:r w:rsidRPr="37BBB69A">
        <w:rPr>
          <w:rFonts w:asciiTheme="majorHAnsi" w:hAnsiTheme="majorHAnsi" w:cstheme="majorBidi"/>
        </w:rPr>
        <w:t xml:space="preserve">This standard is intended for use in evaluating the ability of a container to withstand the sudden shock resulting from a free fall drop impact, or to evaluate the ability of a container and its inner packing to protect its contents during the sudden shock resulting from a free fall drop impact. </w:t>
      </w:r>
    </w:p>
    <w:p w14:paraId="733058A8" w14:textId="77777777" w:rsidR="00F04A09" w:rsidRPr="00E17EF8" w:rsidRDefault="00F04A09" w:rsidP="00F04A09">
      <w:pPr>
        <w:spacing w:before="240"/>
        <w:ind w:left="425"/>
        <w:rPr>
          <w:rFonts w:asciiTheme="majorHAnsi" w:hAnsiTheme="majorHAnsi" w:cstheme="majorBidi"/>
          <w:b/>
        </w:rPr>
      </w:pPr>
      <w:r w:rsidRPr="00E17EF8">
        <w:rPr>
          <w:rFonts w:asciiTheme="majorHAnsi" w:hAnsiTheme="majorHAnsi" w:cstheme="majorBidi"/>
          <w:b/>
        </w:rPr>
        <w:t>ASTM D4169 - Standard Practice for Performance Testing of Shipping Containers and Systems</w:t>
      </w:r>
    </w:p>
    <w:p w14:paraId="20C60F5B" w14:textId="77777777" w:rsidR="00F04A09" w:rsidRPr="00130961" w:rsidRDefault="00F04A09" w:rsidP="00F04A09">
      <w:pPr>
        <w:spacing w:before="240"/>
        <w:ind w:left="425"/>
        <w:rPr>
          <w:rFonts w:asciiTheme="majorHAnsi" w:hAnsiTheme="majorHAnsi" w:cstheme="majorBidi"/>
        </w:rPr>
      </w:pPr>
      <w:r w:rsidRPr="37BBB69A">
        <w:rPr>
          <w:rFonts w:asciiTheme="majorHAnsi" w:hAnsiTheme="majorHAnsi" w:cstheme="majorBidi"/>
        </w:rPr>
        <w:t>This standard provides a guide for the evaluation of shipping units in accordance with a uniform system, using established test methods at levels representative of those occurring in actual distribution.</w:t>
      </w:r>
    </w:p>
    <w:p w14:paraId="6947E64E" w14:textId="77777777" w:rsidR="00F04A09" w:rsidRPr="00AB14BE" w:rsidRDefault="00F04A09" w:rsidP="00F04A09">
      <w:pPr>
        <w:spacing w:before="240"/>
        <w:ind w:left="425"/>
        <w:rPr>
          <w:rFonts w:asciiTheme="majorHAnsi" w:hAnsiTheme="majorHAnsi" w:cstheme="majorBidi"/>
          <w:b/>
        </w:rPr>
      </w:pPr>
      <w:r w:rsidRPr="00AB14BE">
        <w:rPr>
          <w:rFonts w:asciiTheme="majorHAnsi" w:hAnsiTheme="majorHAnsi" w:cstheme="majorBidi"/>
          <w:b/>
        </w:rPr>
        <w:t>IEC 62133-2 - Secondary cells and batteries containing alkaline or other non-acid electrolytes - Safety requirements for portable sealed secondary cells, and for batteries made from them, for use in portable applications - Part 2: Lithium systems</w:t>
      </w:r>
    </w:p>
    <w:p w14:paraId="065B2CC9" w14:textId="77777777" w:rsidR="00F04A09" w:rsidRPr="00130961" w:rsidRDefault="00F04A09" w:rsidP="00F04A09">
      <w:pPr>
        <w:spacing w:before="240"/>
        <w:ind w:left="425"/>
        <w:rPr>
          <w:rFonts w:asciiTheme="majorHAnsi" w:hAnsiTheme="majorHAnsi" w:cstheme="majorBidi"/>
        </w:rPr>
      </w:pPr>
      <w:r>
        <w:rPr>
          <w:rFonts w:asciiTheme="majorHAnsi" w:hAnsiTheme="majorHAnsi" w:cstheme="majorBidi"/>
        </w:rPr>
        <w:t>This s</w:t>
      </w:r>
      <w:r w:rsidRPr="5BA332DF">
        <w:rPr>
          <w:rFonts w:asciiTheme="majorHAnsi" w:hAnsiTheme="majorHAnsi" w:cstheme="majorBidi"/>
        </w:rPr>
        <w:t>tandard specifies</w:t>
      </w:r>
      <w:r w:rsidRPr="26C07066">
        <w:rPr>
          <w:rFonts w:asciiTheme="majorHAnsi" w:hAnsiTheme="majorHAnsi" w:cstheme="majorBidi"/>
        </w:rPr>
        <w:t xml:space="preserve"> requirements and tests for the safe operation of portable sealed secondary lithium cells and batteries containing non-acid electrolyte, under intended use and reasonably foreseeable misuse.</w:t>
      </w:r>
    </w:p>
    <w:p w14:paraId="72D1C474" w14:textId="77777777" w:rsidR="00F04A09" w:rsidRPr="00AB14BE" w:rsidRDefault="00F04A09" w:rsidP="00F04A09">
      <w:pPr>
        <w:spacing w:before="240"/>
        <w:ind w:left="425"/>
        <w:rPr>
          <w:rFonts w:asciiTheme="majorHAnsi" w:hAnsiTheme="majorHAnsi" w:cstheme="majorBidi"/>
          <w:b/>
        </w:rPr>
      </w:pPr>
      <w:r w:rsidRPr="00AB14BE">
        <w:rPr>
          <w:rFonts w:asciiTheme="majorHAnsi" w:hAnsiTheme="majorHAnsi" w:cstheme="majorBidi"/>
          <w:b/>
        </w:rPr>
        <w:t>IEC 62281 - Safety of primary and secondary lithium cells and batteries during transport</w:t>
      </w:r>
    </w:p>
    <w:p w14:paraId="746A8123" w14:textId="77777777" w:rsidR="00F04A09" w:rsidRPr="00130961" w:rsidRDefault="00F04A09" w:rsidP="00F04A09">
      <w:pPr>
        <w:spacing w:before="240"/>
        <w:ind w:left="425"/>
        <w:rPr>
          <w:rFonts w:asciiTheme="majorHAnsi" w:hAnsiTheme="majorHAnsi" w:cstheme="majorBidi"/>
        </w:rPr>
      </w:pPr>
      <w:r w:rsidRPr="22B4295B">
        <w:rPr>
          <w:rFonts w:asciiTheme="majorHAnsi" w:hAnsiTheme="majorHAnsi" w:cstheme="majorBidi"/>
        </w:rPr>
        <w:t xml:space="preserve">The standard </w:t>
      </w:r>
      <w:r w:rsidRPr="2AF291B6">
        <w:rPr>
          <w:rFonts w:asciiTheme="majorHAnsi" w:hAnsiTheme="majorHAnsi" w:cstheme="majorBidi"/>
        </w:rPr>
        <w:t>specifies test methods and requirements for primary and secondary (rechargeable) lithium cells and batteries to ensure their safety during transport other than for recycling or disposal.</w:t>
      </w:r>
    </w:p>
    <w:p w14:paraId="34E9043E" w14:textId="77777777" w:rsidR="00F04A09" w:rsidRPr="00B21F55" w:rsidRDefault="00F04A09" w:rsidP="00F04A09">
      <w:pPr>
        <w:spacing w:before="240" w:after="0"/>
        <w:ind w:left="425"/>
        <w:rPr>
          <w:rFonts w:asciiTheme="majorHAnsi" w:hAnsiTheme="majorHAnsi" w:cstheme="majorBidi"/>
        </w:rPr>
      </w:pPr>
      <w:r w:rsidRPr="00467C2E">
        <w:rPr>
          <w:rFonts w:asciiTheme="majorHAnsi" w:hAnsiTheme="majorHAnsi" w:cstheme="majorBidi"/>
          <w:b/>
          <w:bCs/>
        </w:rPr>
        <w:t>UN</w:t>
      </w:r>
      <w:r w:rsidRPr="00AB14BE">
        <w:rPr>
          <w:rFonts w:asciiTheme="majorHAnsi" w:hAnsiTheme="majorHAnsi" w:cstheme="majorBidi"/>
          <w:b/>
          <w:bCs/>
        </w:rPr>
        <w:t xml:space="preserve"> 38.3 </w:t>
      </w:r>
      <w:r>
        <w:rPr>
          <w:rFonts w:asciiTheme="majorHAnsi" w:hAnsiTheme="majorHAnsi" w:cstheme="majorBidi"/>
          <w:b/>
          <w:bCs/>
        </w:rPr>
        <w:t>– Transportation testing for</w:t>
      </w:r>
      <w:r w:rsidRPr="00AB14BE">
        <w:rPr>
          <w:rFonts w:asciiTheme="majorHAnsi" w:hAnsiTheme="majorHAnsi" w:cstheme="majorBidi"/>
          <w:b/>
          <w:bCs/>
        </w:rPr>
        <w:t xml:space="preserve"> Lithium metal and lithium</w:t>
      </w:r>
      <w:r w:rsidRPr="004F44FE">
        <w:rPr>
          <w:rFonts w:asciiTheme="majorHAnsi" w:hAnsiTheme="majorHAnsi" w:cstheme="majorBidi"/>
          <w:b/>
          <w:bCs/>
        </w:rPr>
        <w:t>-ion</w:t>
      </w:r>
      <w:r w:rsidRPr="00AB14BE">
        <w:rPr>
          <w:rFonts w:asciiTheme="majorHAnsi" w:hAnsiTheme="majorHAnsi" w:cstheme="majorBidi"/>
          <w:b/>
          <w:bCs/>
        </w:rPr>
        <w:t xml:space="preserve"> batteries</w:t>
      </w:r>
    </w:p>
    <w:p w14:paraId="6A5480FC" w14:textId="77777777" w:rsidR="00F04A09" w:rsidRPr="00130961" w:rsidRDefault="00F04A09" w:rsidP="00F04A09">
      <w:pPr>
        <w:spacing w:before="0"/>
        <w:ind w:left="425"/>
      </w:pPr>
      <w:r w:rsidRPr="1C6BCBEB">
        <w:rPr>
          <w:rFonts w:asciiTheme="majorHAnsi" w:hAnsiTheme="majorHAnsi" w:cstheme="majorBidi"/>
        </w:rPr>
        <w:t xml:space="preserve">This standard </w:t>
      </w:r>
      <w:r w:rsidRPr="00B21F55">
        <w:rPr>
          <w:rFonts w:asciiTheme="majorHAnsi" w:hAnsiTheme="majorHAnsi" w:cstheme="majorBidi"/>
        </w:rPr>
        <w:t>details</w:t>
      </w:r>
      <w:r>
        <w:rPr>
          <w:color w:val="666666"/>
          <w:sz w:val="27"/>
          <w:szCs w:val="27"/>
        </w:rPr>
        <w:t xml:space="preserve"> </w:t>
      </w:r>
      <w:r w:rsidRPr="00B21F55">
        <w:rPr>
          <w:rFonts w:asciiTheme="majorHAnsi" w:hAnsiTheme="majorHAnsi" w:cstheme="majorBidi"/>
        </w:rPr>
        <w:t>environmental, mechanical, and electrical requirements for all lithium cells and batteries.</w:t>
      </w:r>
      <w:r>
        <w:rPr>
          <w:rFonts w:asciiTheme="majorHAnsi" w:hAnsiTheme="majorHAnsi" w:cstheme="majorBidi"/>
        </w:rPr>
        <w:t xml:space="preserve"> This standard can be useful to demonstrate battery stability and stability of the device function is not affected after transportation. </w:t>
      </w:r>
    </w:p>
    <w:p w14:paraId="55344D86" w14:textId="77777777" w:rsidR="00F2353D" w:rsidRDefault="00F2353D" w:rsidP="00F04A09">
      <w:pPr>
        <w:spacing w:before="240"/>
        <w:ind w:left="425"/>
        <w:rPr>
          <w:rFonts w:asciiTheme="majorHAnsi" w:hAnsiTheme="majorHAnsi" w:cstheme="majorBidi"/>
          <w:b/>
        </w:rPr>
      </w:pPr>
    </w:p>
    <w:p w14:paraId="46E521CE" w14:textId="081CD56C" w:rsidR="00F04A09" w:rsidRPr="00130961" w:rsidRDefault="00F04A09" w:rsidP="00F04A09">
      <w:pPr>
        <w:spacing w:before="240"/>
        <w:ind w:left="425"/>
        <w:rPr>
          <w:rFonts w:asciiTheme="majorHAnsi" w:hAnsiTheme="majorHAnsi" w:cstheme="majorBidi"/>
        </w:rPr>
      </w:pPr>
      <w:r w:rsidRPr="00AB14BE">
        <w:rPr>
          <w:rFonts w:asciiTheme="majorHAnsi" w:hAnsiTheme="majorHAnsi" w:cstheme="majorBidi"/>
          <w:b/>
        </w:rPr>
        <w:lastRenderedPageBreak/>
        <w:t>ISO 10993 series - Biological evaluation of medical devices</w:t>
      </w:r>
      <w:r>
        <w:br/>
      </w:r>
      <w:r w:rsidRPr="009D44B7">
        <w:rPr>
          <w:rFonts w:asciiTheme="majorHAnsi" w:hAnsiTheme="majorHAnsi" w:cstheme="majorBidi"/>
        </w:rPr>
        <w:t>ISO 10993</w:t>
      </w:r>
      <w:r w:rsidRPr="00AB14BE">
        <w:rPr>
          <w:rFonts w:asciiTheme="majorHAnsi" w:hAnsiTheme="majorHAnsi" w:cstheme="majorBidi"/>
          <w:b/>
          <w:bCs/>
        </w:rPr>
        <w:t xml:space="preserve"> </w:t>
      </w:r>
      <w:r>
        <w:rPr>
          <w:rFonts w:asciiTheme="majorHAnsi" w:hAnsiTheme="majorHAnsi" w:cstheme="majorBidi"/>
        </w:rPr>
        <w:t>s</w:t>
      </w:r>
      <w:r w:rsidRPr="2AA14D86">
        <w:rPr>
          <w:rFonts w:asciiTheme="majorHAnsi" w:hAnsiTheme="majorHAnsi" w:cstheme="majorBidi"/>
        </w:rPr>
        <w:t xml:space="preserve">tandards cover the </w:t>
      </w:r>
      <w:r w:rsidRPr="5E34BE71">
        <w:rPr>
          <w:rFonts w:asciiTheme="majorHAnsi" w:hAnsiTheme="majorHAnsi" w:cstheme="majorBidi"/>
        </w:rPr>
        <w:t>general principles governing the biological evaluation of medical devices</w:t>
      </w:r>
      <w:r w:rsidRPr="2759D2B3">
        <w:rPr>
          <w:rFonts w:asciiTheme="majorHAnsi" w:hAnsiTheme="majorHAnsi" w:cstheme="majorBidi"/>
        </w:rPr>
        <w:t>.</w:t>
      </w:r>
      <w:r>
        <w:rPr>
          <w:rFonts w:asciiTheme="majorHAnsi" w:hAnsiTheme="majorHAnsi" w:cstheme="majorBidi"/>
        </w:rPr>
        <w:t xml:space="preserve"> These standards can be used to demonstrate the materials used in the device and its component are biocompatible and remain stable during storage and use of the devices and do not cause adverse reaction or irritation to the user. </w:t>
      </w:r>
      <w:r>
        <w:br/>
      </w:r>
      <w:r>
        <w:br/>
      </w:r>
      <w:hyperlink r:id="rId24">
        <w:r w:rsidRPr="00AB14BE">
          <w:rPr>
            <w:rStyle w:val="Hyperlink"/>
            <w:b/>
          </w:rPr>
          <w:t>E-Cigarettes, Vapes, and other Electronic Nicotine Delivery Systems (ENDS) | FDA</w:t>
        </w:r>
      </w:hyperlink>
      <w:r w:rsidRPr="00AB14BE">
        <w:rPr>
          <w:rStyle w:val="Hyperlink"/>
          <w:b/>
        </w:rPr>
        <w:t xml:space="preserve"> </w:t>
      </w:r>
      <w:r w:rsidRPr="00AB14BE">
        <w:rPr>
          <w:rStyle w:val="Hyperlink"/>
          <w:b/>
        </w:rPr>
        <w:br/>
      </w:r>
      <w:r w:rsidRPr="1736975F">
        <w:rPr>
          <w:rFonts w:asciiTheme="majorHAnsi" w:hAnsiTheme="majorHAnsi" w:cstheme="majorBidi"/>
        </w:rPr>
        <w:t>This</w:t>
      </w:r>
      <w:r w:rsidRPr="2FB82201">
        <w:rPr>
          <w:rFonts w:asciiTheme="majorHAnsi" w:hAnsiTheme="majorHAnsi" w:cstheme="majorBidi"/>
        </w:rPr>
        <w:t xml:space="preserve"> </w:t>
      </w:r>
      <w:r w:rsidR="009B0DF4">
        <w:rPr>
          <w:rFonts w:asciiTheme="majorHAnsi" w:hAnsiTheme="majorHAnsi" w:cstheme="majorBidi"/>
        </w:rPr>
        <w:t xml:space="preserve">US </w:t>
      </w:r>
      <w:r w:rsidRPr="121E94EF">
        <w:rPr>
          <w:rFonts w:asciiTheme="majorHAnsi" w:hAnsiTheme="majorHAnsi" w:cstheme="majorBidi"/>
        </w:rPr>
        <w:t>FDA</w:t>
      </w:r>
      <w:r w:rsidRPr="1736975F">
        <w:rPr>
          <w:rFonts w:asciiTheme="majorHAnsi" w:hAnsiTheme="majorHAnsi" w:cstheme="majorBidi"/>
        </w:rPr>
        <w:t xml:space="preserve"> guidance </w:t>
      </w:r>
      <w:r w:rsidRPr="2CC37EF5">
        <w:rPr>
          <w:rFonts w:asciiTheme="majorHAnsi" w:hAnsiTheme="majorHAnsi" w:cstheme="majorBidi"/>
        </w:rPr>
        <w:t xml:space="preserve">may not </w:t>
      </w:r>
      <w:r w:rsidRPr="1736975F">
        <w:rPr>
          <w:rFonts w:asciiTheme="majorHAnsi" w:hAnsiTheme="majorHAnsi" w:cstheme="majorBidi"/>
        </w:rPr>
        <w:t>full</w:t>
      </w:r>
      <w:r w:rsidR="009B0DF4">
        <w:rPr>
          <w:rFonts w:asciiTheme="majorHAnsi" w:hAnsiTheme="majorHAnsi" w:cstheme="majorBidi"/>
        </w:rPr>
        <w:t>y address</w:t>
      </w:r>
      <w:r w:rsidRPr="1736975F">
        <w:rPr>
          <w:rFonts w:asciiTheme="majorHAnsi" w:hAnsiTheme="majorHAnsi" w:cstheme="majorBidi"/>
        </w:rPr>
        <w:t xml:space="preserve"> EPs 7.2 and 7.7</w:t>
      </w:r>
      <w:r w:rsidRPr="4670791E">
        <w:rPr>
          <w:rFonts w:asciiTheme="majorHAnsi" w:hAnsiTheme="majorHAnsi" w:cstheme="majorBidi"/>
        </w:rPr>
        <w:t>.</w:t>
      </w:r>
      <w:r>
        <w:br/>
      </w:r>
      <w:r w:rsidRPr="67EB48F2">
        <w:rPr>
          <w:rFonts w:asciiTheme="majorHAnsi" w:hAnsiTheme="majorHAnsi" w:cstheme="majorBidi"/>
        </w:rPr>
        <w:t>This guidance</w:t>
      </w:r>
      <w:r w:rsidRPr="2B48C37C">
        <w:rPr>
          <w:rFonts w:asciiTheme="majorHAnsi" w:hAnsiTheme="majorHAnsi" w:cstheme="majorBidi"/>
        </w:rPr>
        <w:t xml:space="preserve"> is intended to assist persons submitting premarket tobacco product applications for electronic nicotine delivery systems to the US FDA</w:t>
      </w:r>
      <w:r w:rsidRPr="00D0B362">
        <w:rPr>
          <w:rFonts w:asciiTheme="majorHAnsi" w:hAnsiTheme="majorHAnsi" w:cstheme="majorBidi"/>
        </w:rPr>
        <w:t>.</w:t>
      </w:r>
    </w:p>
    <w:p w14:paraId="5F4EC901" w14:textId="1AEB50F9" w:rsidR="00F04A09" w:rsidRPr="00130961" w:rsidRDefault="00F04A09" w:rsidP="00F04A09">
      <w:pPr>
        <w:spacing w:before="240"/>
        <w:ind w:left="425"/>
        <w:rPr>
          <w:rFonts w:asciiTheme="majorHAnsi" w:hAnsiTheme="majorHAnsi" w:cstheme="majorBidi"/>
        </w:rPr>
      </w:pPr>
      <w:r w:rsidRPr="00AB14BE">
        <w:rPr>
          <w:rFonts w:asciiTheme="majorHAnsi" w:hAnsiTheme="majorHAnsi" w:cstheme="majorBidi"/>
          <w:b/>
        </w:rPr>
        <w:t>ISO/DIS 23417 - General specifications and validation methods for non-sterile medical device packages in good distribution practice principles</w:t>
      </w:r>
      <w:r w:rsidRPr="3F72518E">
        <w:rPr>
          <w:rFonts w:asciiTheme="majorHAnsi" w:hAnsiTheme="majorHAnsi" w:cstheme="majorBidi"/>
        </w:rPr>
        <w:t xml:space="preserve"> This standard can be used as guidance to ensure the packaging and distribution of vapes does not affect the safety and performance of the vaping device.</w:t>
      </w:r>
      <w:r>
        <w:br/>
      </w:r>
      <w:r w:rsidR="00A270C0">
        <w:rPr>
          <w:rFonts w:asciiTheme="majorHAnsi" w:hAnsiTheme="majorHAnsi" w:cstheme="majorBidi"/>
        </w:rPr>
        <w:t>The s</w:t>
      </w:r>
      <w:r w:rsidRPr="3F72518E">
        <w:rPr>
          <w:rFonts w:asciiTheme="majorHAnsi" w:hAnsiTheme="majorHAnsi" w:cstheme="majorBidi"/>
        </w:rPr>
        <w:t>tandard specifies the test methods of the validation and the performance of the distribution packaging for medical devices that do not need sterilization. This document is intended to facilitate harmonized regulatory requirements for transport packaging of medical devices in good distribution practice principles</w:t>
      </w:r>
      <w:r w:rsidRPr="55D11349">
        <w:rPr>
          <w:rFonts w:asciiTheme="majorHAnsi" w:hAnsiTheme="majorHAnsi" w:cstheme="majorBidi"/>
        </w:rPr>
        <w:t>.</w:t>
      </w:r>
    </w:p>
    <w:p w14:paraId="6C821E27" w14:textId="77777777" w:rsidR="00F04A09" w:rsidRPr="00130961" w:rsidRDefault="00F04A09" w:rsidP="00F04A09">
      <w:pPr>
        <w:spacing w:before="240"/>
        <w:ind w:left="425"/>
        <w:rPr>
          <w:rFonts w:asciiTheme="majorHAnsi" w:hAnsiTheme="majorHAnsi" w:cstheme="majorBidi"/>
        </w:rPr>
      </w:pPr>
      <w:r w:rsidRPr="00AB14BE">
        <w:rPr>
          <w:rFonts w:asciiTheme="majorHAnsi" w:hAnsiTheme="majorHAnsi" w:cstheme="majorBidi"/>
          <w:b/>
        </w:rPr>
        <w:t>ISO 15223-1 - Symbols to be used with information to be supplied by the manufacturer</w:t>
      </w:r>
      <w:r>
        <w:br/>
      </w:r>
      <w:r w:rsidRPr="3F72518E">
        <w:rPr>
          <w:rFonts w:asciiTheme="majorHAnsi" w:hAnsiTheme="majorHAnsi" w:cstheme="majorBidi"/>
        </w:rPr>
        <w:t>This document specifies symbols used to express information supplied for a medical device</w:t>
      </w:r>
      <w:r w:rsidRPr="3A4A423C">
        <w:rPr>
          <w:rFonts w:asciiTheme="majorHAnsi" w:hAnsiTheme="majorHAnsi" w:cstheme="majorBidi"/>
        </w:rPr>
        <w:t>.</w:t>
      </w:r>
    </w:p>
    <w:p w14:paraId="56CBA27F" w14:textId="77777777" w:rsidR="00F04A09" w:rsidRDefault="00F04A09" w:rsidP="00F04A09">
      <w:pPr>
        <w:spacing w:before="240"/>
        <w:ind w:left="425"/>
        <w:rPr>
          <w:rStyle w:val="Hyperlink"/>
          <w:b/>
          <w:bCs/>
        </w:rPr>
      </w:pPr>
      <w:r w:rsidRPr="00734E75">
        <w:rPr>
          <w:rFonts w:asciiTheme="majorHAnsi" w:hAnsiTheme="majorHAnsi" w:cstheme="majorBidi"/>
          <w:b/>
        </w:rPr>
        <w:t>ISO 28219</w:t>
      </w:r>
      <w:r w:rsidRPr="00734E75">
        <w:rPr>
          <w:rFonts w:asciiTheme="majorHAnsi" w:hAnsiTheme="majorHAnsi" w:cstheme="majorBidi"/>
          <w:b/>
          <w:bCs/>
        </w:rPr>
        <w:t xml:space="preserve"> </w:t>
      </w:r>
      <w:r>
        <w:rPr>
          <w:rFonts w:asciiTheme="majorHAnsi" w:hAnsiTheme="majorHAnsi" w:cstheme="majorBidi"/>
          <w:b/>
          <w:bCs/>
        </w:rPr>
        <w:t>–</w:t>
      </w:r>
      <w:r w:rsidRPr="00734E75">
        <w:rPr>
          <w:rFonts w:asciiTheme="majorHAnsi" w:hAnsiTheme="majorHAnsi" w:cstheme="majorBidi"/>
          <w:b/>
          <w:bCs/>
        </w:rPr>
        <w:t xml:space="preserve"> </w:t>
      </w:r>
      <w:r w:rsidRPr="00705B84">
        <w:rPr>
          <w:rFonts w:asciiTheme="majorHAnsi" w:hAnsiTheme="majorHAnsi" w:cstheme="majorBidi"/>
          <w:b/>
          <w:bCs/>
        </w:rPr>
        <w:t>Packaging</w:t>
      </w:r>
      <w:r>
        <w:rPr>
          <w:rFonts w:asciiTheme="majorHAnsi" w:hAnsiTheme="majorHAnsi" w:cstheme="majorBidi"/>
          <w:b/>
        </w:rPr>
        <w:t xml:space="preserve"> - </w:t>
      </w:r>
      <w:r w:rsidRPr="00734E75">
        <w:rPr>
          <w:rFonts w:asciiTheme="majorHAnsi" w:hAnsiTheme="majorHAnsi" w:cstheme="majorBidi"/>
          <w:b/>
        </w:rPr>
        <w:t>Labelling and direct product marking with linear bar code and two-dimensional symbols</w:t>
      </w:r>
      <w:r w:rsidRPr="00734E75">
        <w:rPr>
          <w:rFonts w:asciiTheme="majorHAnsi" w:hAnsiTheme="majorHAnsi" w:cstheme="majorBidi"/>
          <w:b/>
        </w:rPr>
        <w:br/>
        <w:t>Standard covers both labels and direct marking of items.</w:t>
      </w:r>
      <w:r w:rsidRPr="00734E75">
        <w:rPr>
          <w:rFonts w:asciiTheme="majorHAnsi" w:hAnsiTheme="majorHAnsi" w:cstheme="majorBidi"/>
          <w:b/>
        </w:rPr>
        <w:br/>
      </w:r>
      <w:r>
        <w:t>This standard defines minimum requirements for labelling requirements to enable identifying of items and provides guidelines for item marking with machine-readable symbols, covers both labels and direct marking of items, includes testing procedures for label adhesive characteristics and mark durability and provides guidance for the formatting on the label of data presented in linear bar code, two-dimensional symbol or human-readable form.</w:t>
      </w:r>
      <w:r>
        <w:br/>
      </w:r>
    </w:p>
    <w:p w14:paraId="5D25C45E" w14:textId="2416F843" w:rsidR="00F04A09" w:rsidRDefault="00F2353D" w:rsidP="00F04A09">
      <w:pPr>
        <w:spacing w:before="240"/>
        <w:ind w:left="425"/>
        <w:rPr>
          <w:rFonts w:asciiTheme="majorHAnsi" w:hAnsiTheme="majorHAnsi" w:cstheme="majorBidi"/>
        </w:rPr>
      </w:pPr>
      <w:hyperlink r:id="rId25">
        <w:r w:rsidR="00F04A09" w:rsidRPr="00700B07">
          <w:rPr>
            <w:rStyle w:val="Hyperlink"/>
            <w:b/>
          </w:rPr>
          <w:t>Consumer Goods (Products Containing Button/Coin Batteries) Safety Standard 2020</w:t>
        </w:r>
      </w:hyperlink>
      <w:r w:rsidR="00F04A09" w:rsidRPr="3F72518E">
        <w:rPr>
          <w:rFonts w:cstheme="majorBidi"/>
        </w:rPr>
        <w:t xml:space="preserve"> </w:t>
      </w:r>
      <w:r w:rsidR="00F04A09">
        <w:br/>
      </w:r>
      <w:r w:rsidR="00F04A09" w:rsidRPr="3F72518E">
        <w:rPr>
          <w:rFonts w:cstheme="majorBidi"/>
        </w:rPr>
        <w:t>This mandatory standard defines the safety requirements for all consumer goods containing button</w:t>
      </w:r>
      <w:r w:rsidR="009B0DF4">
        <w:rPr>
          <w:rFonts w:cstheme="majorBidi"/>
        </w:rPr>
        <w:t xml:space="preserve"> or </w:t>
      </w:r>
      <w:r w:rsidR="00F04A09" w:rsidRPr="3F72518E">
        <w:rPr>
          <w:rFonts w:cstheme="majorBidi"/>
        </w:rPr>
        <w:t>coin batteries</w:t>
      </w:r>
      <w:r w:rsidR="006C6870">
        <w:rPr>
          <w:rFonts w:cstheme="majorBidi"/>
        </w:rPr>
        <w:t xml:space="preserve"> supplied in Australia</w:t>
      </w:r>
      <w:r w:rsidR="00F04A09" w:rsidRPr="3F72518E">
        <w:rPr>
          <w:rFonts w:cstheme="majorBidi"/>
        </w:rPr>
        <w:t>, including storage containers and organisers</w:t>
      </w:r>
      <w:r w:rsidR="00F04A09" w:rsidRPr="483A4320">
        <w:rPr>
          <w:rFonts w:cstheme="majorBidi"/>
        </w:rPr>
        <w:t>.</w:t>
      </w:r>
      <w:r w:rsidR="00F04A09">
        <w:br/>
      </w:r>
      <w:r w:rsidR="00F04A09">
        <w:br/>
      </w:r>
      <w:r w:rsidR="00F04A09" w:rsidRPr="00AB14BE">
        <w:rPr>
          <w:rFonts w:asciiTheme="majorHAnsi" w:hAnsiTheme="majorHAnsi" w:cstheme="majorBidi"/>
          <w:b/>
        </w:rPr>
        <w:t>IEC/TR 80002-1 - Medical Devices Software Package</w:t>
      </w:r>
      <w:r w:rsidR="00F04A09" w:rsidRPr="00AB14BE">
        <w:rPr>
          <w:rFonts w:asciiTheme="majorHAnsi" w:hAnsiTheme="majorHAnsi" w:cstheme="majorBidi"/>
          <w:b/>
        </w:rPr>
        <w:br/>
      </w:r>
      <w:r w:rsidR="00F04A09">
        <w:rPr>
          <w:rFonts w:asciiTheme="majorHAnsi" w:hAnsiTheme="majorHAnsi" w:cstheme="majorBidi"/>
        </w:rPr>
        <w:t>This s</w:t>
      </w:r>
      <w:r w:rsidR="00F04A09" w:rsidRPr="3F72518E">
        <w:rPr>
          <w:rFonts w:asciiTheme="majorHAnsi" w:hAnsiTheme="majorHAnsi" w:cstheme="majorBidi"/>
        </w:rPr>
        <w:t xml:space="preserve">tandard specifies the process of identifying, </w:t>
      </w:r>
      <w:r w:rsidR="006C6870" w:rsidRPr="3F72518E">
        <w:rPr>
          <w:rFonts w:asciiTheme="majorHAnsi" w:hAnsiTheme="majorHAnsi" w:cstheme="majorBidi"/>
        </w:rPr>
        <w:t>controlling,</w:t>
      </w:r>
      <w:r w:rsidR="00F04A09" w:rsidRPr="3F72518E">
        <w:rPr>
          <w:rFonts w:asciiTheme="majorHAnsi" w:hAnsiTheme="majorHAnsi" w:cstheme="majorBidi"/>
        </w:rPr>
        <w:t xml:space="preserve"> and monitoring risk and hazards associated with medical device software</w:t>
      </w:r>
      <w:r w:rsidR="00F04A09" w:rsidRPr="188C74B2">
        <w:rPr>
          <w:rFonts w:asciiTheme="majorHAnsi" w:hAnsiTheme="majorHAnsi" w:cstheme="majorBidi"/>
        </w:rPr>
        <w:t>.</w:t>
      </w:r>
    </w:p>
    <w:p w14:paraId="640FAF42" w14:textId="77777777" w:rsidR="00F04A09" w:rsidRDefault="00F04A09" w:rsidP="00987DBB">
      <w:pPr>
        <w:rPr>
          <w:rFonts w:asciiTheme="majorHAnsi" w:hAnsiTheme="majorHAnsi" w:cstheme="majorHAnsi"/>
        </w:rPr>
      </w:pPr>
    </w:p>
    <w:p w14:paraId="52AD4473" w14:textId="77777777" w:rsidR="00F2353D" w:rsidRDefault="00F2353D" w:rsidP="00987DBB">
      <w:pPr>
        <w:rPr>
          <w:rFonts w:asciiTheme="majorHAnsi" w:hAnsiTheme="majorHAnsi" w:cstheme="majorHAnsi"/>
        </w:rPr>
      </w:pPr>
    </w:p>
    <w:p w14:paraId="7D4C059E" w14:textId="77777777" w:rsidR="00F2353D" w:rsidRDefault="00F2353D" w:rsidP="00987DBB">
      <w:pPr>
        <w:rPr>
          <w:rFonts w:asciiTheme="majorHAnsi" w:hAnsiTheme="majorHAnsi" w:cstheme="majorHAnsi"/>
        </w:rPr>
      </w:pPr>
    </w:p>
    <w:p w14:paraId="261DD954" w14:textId="77777777" w:rsidR="00F2353D" w:rsidRDefault="00F2353D" w:rsidP="00987DBB">
      <w:pPr>
        <w:rPr>
          <w:rFonts w:asciiTheme="majorHAnsi" w:hAnsiTheme="majorHAnsi" w:cstheme="majorHAnsi"/>
        </w:rPr>
      </w:pPr>
    </w:p>
    <w:p w14:paraId="1720EB4B" w14:textId="77777777" w:rsidR="00F2353D" w:rsidRPr="0002029A" w:rsidRDefault="00F2353D" w:rsidP="00987DBB">
      <w:pPr>
        <w:rPr>
          <w:rFonts w:asciiTheme="majorHAnsi" w:hAnsiTheme="majorHAnsi" w:cstheme="majorHAnsi"/>
        </w:rPr>
      </w:pPr>
    </w:p>
    <w:p w14:paraId="352A8E3D" w14:textId="4F23CF8D" w:rsidR="00446731" w:rsidRPr="008E1AFB" w:rsidRDefault="00446731" w:rsidP="00446731">
      <w:pPr>
        <w:pStyle w:val="Heading2"/>
      </w:pPr>
      <w:r w:rsidRPr="008E1AFB">
        <w:lastRenderedPageBreak/>
        <w:t>Version history</w:t>
      </w:r>
    </w:p>
    <w:tbl>
      <w:tblPr>
        <w:tblStyle w:val="TableTGAblack"/>
        <w:tblW w:w="5000" w:type="pct"/>
        <w:tblLook w:val="04A0" w:firstRow="1" w:lastRow="0" w:firstColumn="1" w:lastColumn="0" w:noHBand="0" w:noVBand="1"/>
      </w:tblPr>
      <w:tblGrid>
        <w:gridCol w:w="1038"/>
        <w:gridCol w:w="3806"/>
        <w:gridCol w:w="2630"/>
        <w:gridCol w:w="2296"/>
      </w:tblGrid>
      <w:tr w:rsidR="00446731" w:rsidRPr="0002029A" w14:paraId="026F9D17" w14:textId="77777777" w:rsidTr="00E90989">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531" w:type="pct"/>
          </w:tcPr>
          <w:p w14:paraId="3C9F9D37" w14:textId="77777777" w:rsidR="00446731" w:rsidRPr="0002029A" w:rsidRDefault="00446731" w:rsidP="00E90989">
            <w:pPr>
              <w:rPr>
                <w:rFonts w:asciiTheme="majorHAnsi" w:hAnsiTheme="majorHAnsi" w:cstheme="majorHAnsi"/>
                <w:color w:val="FFFFFF" w:themeColor="background1"/>
              </w:rPr>
            </w:pPr>
            <w:r w:rsidRPr="0002029A">
              <w:rPr>
                <w:rFonts w:asciiTheme="majorHAnsi" w:hAnsiTheme="majorHAnsi" w:cstheme="majorHAnsi"/>
                <w:color w:val="FFFFFF" w:themeColor="background1"/>
              </w:rPr>
              <w:t>Version</w:t>
            </w:r>
          </w:p>
        </w:tc>
        <w:tc>
          <w:tcPr>
            <w:tcW w:w="1948" w:type="pct"/>
          </w:tcPr>
          <w:p w14:paraId="525F25C4" w14:textId="77777777" w:rsidR="00446731" w:rsidRPr="0002029A" w:rsidRDefault="00446731" w:rsidP="00E90989">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rPr>
            </w:pPr>
            <w:r w:rsidRPr="0002029A">
              <w:rPr>
                <w:rFonts w:asciiTheme="majorHAnsi" w:hAnsiTheme="majorHAnsi" w:cstheme="majorHAnsi"/>
                <w:color w:val="FFFFFF" w:themeColor="background1"/>
              </w:rPr>
              <w:t>Description of change</w:t>
            </w:r>
          </w:p>
        </w:tc>
        <w:tc>
          <w:tcPr>
            <w:tcW w:w="1346" w:type="pct"/>
          </w:tcPr>
          <w:p w14:paraId="2738A16D" w14:textId="77777777" w:rsidR="00446731" w:rsidRPr="0002029A" w:rsidRDefault="00446731" w:rsidP="00E90989">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rPr>
            </w:pPr>
            <w:r w:rsidRPr="0002029A">
              <w:rPr>
                <w:rFonts w:asciiTheme="majorHAnsi" w:hAnsiTheme="majorHAnsi" w:cstheme="majorHAnsi"/>
                <w:color w:val="FFFFFF" w:themeColor="background1"/>
              </w:rPr>
              <w:t>Author/s</w:t>
            </w:r>
          </w:p>
        </w:tc>
        <w:tc>
          <w:tcPr>
            <w:tcW w:w="1175" w:type="pct"/>
          </w:tcPr>
          <w:p w14:paraId="4295A88A" w14:textId="77777777" w:rsidR="00446731" w:rsidRPr="0002029A" w:rsidRDefault="00446731" w:rsidP="00E90989">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rPr>
            </w:pPr>
            <w:r w:rsidRPr="0002029A">
              <w:rPr>
                <w:rFonts w:asciiTheme="majorHAnsi" w:hAnsiTheme="majorHAnsi" w:cstheme="majorHAnsi"/>
                <w:color w:val="FFFFFF" w:themeColor="background1"/>
              </w:rPr>
              <w:t>Effective date</w:t>
            </w:r>
          </w:p>
        </w:tc>
      </w:tr>
      <w:tr w:rsidR="00446731" w:rsidRPr="0002029A" w14:paraId="5CF5D395" w14:textId="77777777" w:rsidTr="00E90989">
        <w:tc>
          <w:tcPr>
            <w:tcW w:w="531" w:type="pct"/>
          </w:tcPr>
          <w:p w14:paraId="0EEA1E80" w14:textId="77777777" w:rsidR="00446731" w:rsidRPr="0002029A" w:rsidRDefault="00446731" w:rsidP="00E90989">
            <w:pPr>
              <w:rPr>
                <w:rFonts w:asciiTheme="majorHAnsi" w:hAnsiTheme="majorHAnsi" w:cstheme="majorHAnsi"/>
              </w:rPr>
            </w:pPr>
            <w:r w:rsidRPr="0002029A">
              <w:rPr>
                <w:rFonts w:asciiTheme="majorHAnsi" w:hAnsiTheme="majorHAnsi" w:cstheme="majorHAnsi"/>
              </w:rPr>
              <w:t>V1.0</w:t>
            </w:r>
          </w:p>
        </w:tc>
        <w:tc>
          <w:tcPr>
            <w:tcW w:w="1948" w:type="pct"/>
          </w:tcPr>
          <w:p w14:paraId="46A0CF3F" w14:textId="77777777" w:rsidR="00446731" w:rsidRPr="0002029A" w:rsidRDefault="00446731" w:rsidP="00E90989">
            <w:pPr>
              <w:rPr>
                <w:rFonts w:asciiTheme="majorHAnsi" w:hAnsiTheme="majorHAnsi" w:cstheme="majorHAnsi"/>
              </w:rPr>
            </w:pPr>
            <w:r w:rsidRPr="0002029A">
              <w:rPr>
                <w:rFonts w:asciiTheme="majorHAnsi" w:hAnsiTheme="majorHAnsi" w:cstheme="majorHAnsi"/>
              </w:rPr>
              <w:t>Original publication</w:t>
            </w:r>
          </w:p>
        </w:tc>
        <w:tc>
          <w:tcPr>
            <w:tcW w:w="1346" w:type="pct"/>
          </w:tcPr>
          <w:p w14:paraId="223B7DF4" w14:textId="77777777" w:rsidR="00446731" w:rsidRPr="0002029A" w:rsidRDefault="00446731" w:rsidP="00E90989">
            <w:pPr>
              <w:rPr>
                <w:rFonts w:asciiTheme="majorHAnsi" w:hAnsiTheme="majorHAnsi" w:cstheme="majorHAnsi"/>
              </w:rPr>
            </w:pPr>
            <w:r w:rsidRPr="0002029A">
              <w:rPr>
                <w:rFonts w:asciiTheme="majorHAnsi" w:hAnsiTheme="majorHAnsi" w:cstheme="majorHAnsi"/>
              </w:rPr>
              <w:t>Therapeutic Goods Administration</w:t>
            </w:r>
          </w:p>
        </w:tc>
        <w:tc>
          <w:tcPr>
            <w:tcW w:w="1175" w:type="pct"/>
          </w:tcPr>
          <w:p w14:paraId="5F5BB9DA" w14:textId="07D21A5B" w:rsidR="00446731" w:rsidRPr="0002029A" w:rsidRDefault="00F2353D" w:rsidP="00E90989">
            <w:pPr>
              <w:rPr>
                <w:rFonts w:asciiTheme="majorHAnsi" w:hAnsiTheme="majorHAnsi" w:cstheme="majorHAnsi"/>
              </w:rPr>
            </w:pPr>
            <w:r>
              <w:rPr>
                <w:rFonts w:asciiTheme="majorHAnsi" w:hAnsiTheme="majorHAnsi" w:cstheme="majorHAnsi"/>
              </w:rPr>
              <w:t>March 2024</w:t>
            </w:r>
          </w:p>
        </w:tc>
      </w:tr>
    </w:tbl>
    <w:p w14:paraId="176AC72B" w14:textId="77777777" w:rsidR="00446731" w:rsidRPr="0002029A" w:rsidRDefault="00446731" w:rsidP="00AF0AD2">
      <w:pPr>
        <w:rPr>
          <w:rFonts w:asciiTheme="majorHAnsi" w:hAnsiTheme="majorHAnsi" w:cstheme="majorHAnsi"/>
        </w:rPr>
      </w:pPr>
    </w:p>
    <w:sectPr w:rsidR="00446731" w:rsidRPr="0002029A" w:rsidSect="00F2353D">
      <w:pgSz w:w="11907" w:h="16840" w:code="9"/>
      <w:pgMar w:top="1104" w:right="1134" w:bottom="142" w:left="993"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CF763" w14:textId="77777777" w:rsidR="00350291" w:rsidRDefault="00350291" w:rsidP="000B1A45">
      <w:r>
        <w:separator/>
      </w:r>
    </w:p>
  </w:endnote>
  <w:endnote w:type="continuationSeparator" w:id="0">
    <w:p w14:paraId="5F84F011" w14:textId="77777777" w:rsidR="00350291" w:rsidRDefault="00350291" w:rsidP="000B1A45">
      <w:r>
        <w:continuationSeparator/>
      </w:r>
    </w:p>
  </w:endnote>
  <w:endnote w:type="continuationNotice" w:id="1">
    <w:p w14:paraId="6E0C211B" w14:textId="77777777" w:rsidR="00350291" w:rsidRDefault="0035029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hilgok Gwon Anja">
    <w:charset w:val="81"/>
    <w:family w:val="roman"/>
    <w:pitch w:val="variable"/>
    <w:sig w:usb0="800000EF" w:usb1="0917404B" w:usb2="00000010" w:usb3="00000000" w:csb0="002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7F19" w14:textId="68E885E5" w:rsidR="00987DBB" w:rsidRPr="00037033" w:rsidRDefault="001E5558" w:rsidP="00987DBB">
    <w:pPr>
      <w:pStyle w:val="Footer"/>
      <w:tabs>
        <w:tab w:val="center" w:pos="8222"/>
      </w:tabs>
      <w:spacing w:before="0" w:after="0"/>
      <w:rPr>
        <w:rFonts w:cs="Arial"/>
        <w:szCs w:val="22"/>
        <w:lang w:val="en-AU"/>
      </w:rPr>
    </w:pPr>
    <w:r w:rsidRPr="001E5558">
      <w:rPr>
        <w:rFonts w:cs="Arial"/>
        <w:szCs w:val="22"/>
        <w:lang w:val="en-AU"/>
      </w:rPr>
      <w:t>Standards for therapeutic vaping devices checklist</w:t>
    </w:r>
  </w:p>
  <w:p w14:paraId="25DA9F73" w14:textId="474F2C24" w:rsidR="00987DBB" w:rsidRPr="002C3C78" w:rsidRDefault="00987DBB" w:rsidP="00987DBB">
    <w:pPr>
      <w:pStyle w:val="Footer"/>
      <w:spacing w:before="0" w:after="0"/>
      <w:rPr>
        <w:lang w:val="en-AU"/>
      </w:rPr>
    </w:pPr>
    <w:r>
      <w:rPr>
        <w:lang w:val="en-AU"/>
      </w:rPr>
      <w:t>V</w:t>
    </w:r>
    <w:r w:rsidR="00F1320E">
      <w:rPr>
        <w:lang w:val="en-AU"/>
      </w:rPr>
      <w:t>1</w:t>
    </w:r>
    <w:r>
      <w:rPr>
        <w:lang w:val="en-AU"/>
      </w:rPr>
      <w:t xml:space="preserve">.0 </w:t>
    </w:r>
    <w:r w:rsidRPr="002C3C78">
      <w:rPr>
        <w:lang w:val="en-AU"/>
      </w:rPr>
      <w:t>(</w:t>
    </w:r>
    <w:r w:rsidR="001E5558">
      <w:rPr>
        <w:lang w:val="en-AU"/>
      </w:rPr>
      <w:t>March</w:t>
    </w:r>
    <w:r>
      <w:rPr>
        <w:lang w:val="en-AU"/>
      </w:rPr>
      <w:t xml:space="preserve"> 20</w:t>
    </w:r>
    <w:r w:rsidR="00022D43">
      <w:rPr>
        <w:lang w:val="en-AU"/>
      </w:rPr>
      <w:t>24</w:t>
    </w:r>
    <w:r w:rsidRPr="002C3C78">
      <w:rPr>
        <w:lang w:val="en-AU"/>
      </w:rPr>
      <w:t>)</w:t>
    </w:r>
  </w:p>
  <w:p w14:paraId="4E40E280" w14:textId="77777777" w:rsidR="00212A35" w:rsidRPr="002C3C78" w:rsidRDefault="006D7E16" w:rsidP="009D5FEA">
    <w:pPr>
      <w:pStyle w:val="Footer"/>
      <w:spacing w:before="0"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9B4FA4">
          <w:rPr>
            <w:noProof/>
            <w:lang w:val="en-AU"/>
          </w:rPr>
          <w:t>3</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9B4FA4">
          <w:rPr>
            <w:noProof/>
            <w:lang w:val="en-AU"/>
          </w:rPr>
          <w:t>3</w:t>
        </w:r>
        <w:r w:rsidRPr="002C3C78">
          <w:rPr>
            <w:noProof/>
            <w:lang w:val="en-AU"/>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63F3" w14:textId="3B538792" w:rsidR="00212A35" w:rsidRPr="002C3C78" w:rsidRDefault="00B16BE8" w:rsidP="009B4FA4">
    <w:pPr>
      <w:pStyle w:val="Footer"/>
      <w:spacing w:before="120" w:after="0"/>
      <w:rPr>
        <w:lang w:val="en-AU"/>
      </w:rPr>
    </w:pPr>
    <w:r w:rsidRPr="00B16BE8">
      <w:rPr>
        <w:color w:val="006BA6"/>
        <w:lang w:val="en-AU"/>
      </w:rPr>
      <w:t>Post:</w:t>
    </w:r>
    <w:r>
      <w:rPr>
        <w:lang w:val="en-AU"/>
      </w:rPr>
      <w:t xml:space="preserve"> </w:t>
    </w:r>
    <w:r w:rsidR="00212A35" w:rsidRPr="002C3C78">
      <w:rPr>
        <w:lang w:val="en-AU"/>
      </w:rPr>
      <w:t xml:space="preserve">PO Box </w:t>
    </w:r>
    <w:proofErr w:type="gramStart"/>
    <w:r w:rsidR="00212A35" w:rsidRPr="002C3C78">
      <w:rPr>
        <w:lang w:val="en-AU"/>
      </w:rPr>
      <w:t>100  Woden</w:t>
    </w:r>
    <w:proofErr w:type="gramEnd"/>
    <w:r w:rsidR="00212A35" w:rsidRPr="002C3C78">
      <w:rPr>
        <w:lang w:val="en-AU"/>
      </w:rPr>
      <w:t xml:space="preserve"> ACT 2606</w:t>
    </w:r>
    <w:r w:rsidR="00212A35" w:rsidRPr="002C3C78">
      <w:rPr>
        <w:rFonts w:ascii="Cambria" w:hAnsi="Cambria"/>
        <w:sz w:val="22"/>
        <w:szCs w:val="22"/>
        <w:lang w:val="en-AU"/>
      </w:rPr>
      <w:t xml:space="preserve">  </w:t>
    </w:r>
    <w:r w:rsidR="00212A35" w:rsidRPr="00B16BE8">
      <w:rPr>
        <w:color w:val="006BA6"/>
      </w:rPr>
      <w:t>ABN</w:t>
    </w:r>
    <w:r w:rsidRPr="00B16BE8">
      <w:rPr>
        <w:color w:val="006BA6"/>
      </w:rPr>
      <w:t>:</w:t>
    </w:r>
    <w:r>
      <w:rPr>
        <w:color w:val="006BA6"/>
      </w:rPr>
      <w:t xml:space="preserve"> </w:t>
    </w:r>
    <w:r w:rsidR="00212A35" w:rsidRPr="00B16BE8">
      <w:t xml:space="preserve"> 40 939 406 804</w:t>
    </w:r>
  </w:p>
  <w:p w14:paraId="6ABC2B87" w14:textId="3962C021" w:rsidR="00212A35" w:rsidRPr="002C3C78" w:rsidRDefault="00212A35" w:rsidP="00212A35">
    <w:pPr>
      <w:spacing w:before="0" w:after="0"/>
      <w:rPr>
        <w:rStyle w:val="FooterChar"/>
        <w:lang w:val="en-AU"/>
      </w:rPr>
    </w:pPr>
    <w:r w:rsidRPr="00B16BE8">
      <w:rPr>
        <w:rStyle w:val="FooterChar"/>
        <w:color w:val="006BA6"/>
        <w:lang w:val="en-AU"/>
      </w:rPr>
      <w:t xml:space="preserve">Phone: </w:t>
    </w:r>
    <w:r w:rsidRPr="002C3C78">
      <w:rPr>
        <w:rStyle w:val="FooterChar"/>
        <w:lang w:val="en-AU"/>
      </w:rPr>
      <w:t xml:space="preserve">1800 020 653  </w:t>
    </w:r>
    <w:r w:rsidRPr="00B16BE8">
      <w:rPr>
        <w:rStyle w:val="FooterChar"/>
        <w:color w:val="006BA6"/>
        <w:lang w:val="en-AU"/>
      </w:rPr>
      <w:t>Email:</w:t>
    </w:r>
    <w:r w:rsidRPr="002C3C78">
      <w:rPr>
        <w:rStyle w:val="FooterChar"/>
        <w:lang w:val="en-AU"/>
      </w:rPr>
      <w:t xml:space="preserve"> info@tga.gov.au  </w:t>
    </w:r>
    <w:hyperlink r:id="rId1" w:history="1">
      <w:r w:rsidR="000531F1" w:rsidRPr="002961A6">
        <w:rPr>
          <w:rStyle w:val="Hyperlink"/>
          <w:rFonts w:cstheme="majorHAnsi"/>
          <w:sz w:val="18"/>
          <w:szCs w:val="14"/>
        </w:rPr>
        <w:t>www.tga.gov.au</w:t>
      </w:r>
    </w:hyperlink>
  </w:p>
  <w:p w14:paraId="4DAC510B" w14:textId="77777777" w:rsidR="001E5558" w:rsidRPr="00037033" w:rsidRDefault="001E5558" w:rsidP="001E5558">
    <w:pPr>
      <w:pStyle w:val="Footer"/>
      <w:tabs>
        <w:tab w:val="center" w:pos="8222"/>
      </w:tabs>
      <w:spacing w:before="0" w:after="0"/>
      <w:rPr>
        <w:rFonts w:cs="Arial"/>
        <w:szCs w:val="22"/>
        <w:lang w:val="en-AU"/>
      </w:rPr>
    </w:pPr>
    <w:r w:rsidRPr="001E5558">
      <w:rPr>
        <w:rFonts w:cs="Arial"/>
        <w:szCs w:val="22"/>
        <w:lang w:val="en-AU"/>
      </w:rPr>
      <w:t>Standards for therapeutic vaping devices checklist</w:t>
    </w:r>
  </w:p>
  <w:p w14:paraId="5B6E80B1" w14:textId="39FED86E" w:rsidR="00C7600C" w:rsidRPr="002C3C78" w:rsidRDefault="001E5558" w:rsidP="001E5558">
    <w:pPr>
      <w:pStyle w:val="Footer"/>
      <w:spacing w:before="0" w:after="0"/>
      <w:rPr>
        <w:lang w:val="en-AU"/>
      </w:rPr>
    </w:pPr>
    <w:r>
      <w:rPr>
        <w:lang w:val="en-AU"/>
      </w:rPr>
      <w:t xml:space="preserve">V1.0 </w:t>
    </w:r>
    <w:r w:rsidRPr="002C3C78">
      <w:rPr>
        <w:lang w:val="en-AU"/>
      </w:rPr>
      <w:t>(</w:t>
    </w:r>
    <w:r>
      <w:rPr>
        <w:lang w:val="en-AU"/>
      </w:rPr>
      <w:t>March 2024</w:t>
    </w:r>
    <w:r w:rsidRPr="002C3C78">
      <w:rPr>
        <w:lang w:val="en-AU"/>
      </w:rPr>
      <w:t>)</w:t>
    </w:r>
    <w:r>
      <w:rPr>
        <w:lang w:val="en-AU"/>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7A401" w14:textId="77777777" w:rsidR="00350291" w:rsidRDefault="00350291" w:rsidP="000B1A45">
      <w:r>
        <w:separator/>
      </w:r>
    </w:p>
  </w:footnote>
  <w:footnote w:type="continuationSeparator" w:id="0">
    <w:p w14:paraId="012C3435" w14:textId="77777777" w:rsidR="00350291" w:rsidRDefault="00350291" w:rsidP="000B1A45">
      <w:r>
        <w:continuationSeparator/>
      </w:r>
    </w:p>
  </w:footnote>
  <w:footnote w:type="continuationNotice" w:id="1">
    <w:p w14:paraId="5BDFC231" w14:textId="77777777" w:rsidR="00350291" w:rsidRDefault="00350291">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qbWyZUPTd97MtY" int2:id="2WQBdK8F">
      <int2:state int2:value="Rejected" int2:type="AugLoop_Text_Critique"/>
    </int2:textHash>
    <int2:textHash int2:hashCode="4fJ8/ImEXgr6Hl" int2:id="7I1Qixkd">
      <int2:state int2:value="Rejected" int2:type="AugLoop_Text_Critique"/>
    </int2:textHash>
    <int2:textHash int2:hashCode="Fl8NRNoNw5J1Id" int2:id="CcLpjk39">
      <int2:state int2:value="Rejected" int2:type="AugLoop_Text_Critique"/>
    </int2:textHash>
    <int2:textHash int2:hashCode="fku2T8w2Wbn0jj" int2:id="H8AnV4Bp">
      <int2:state int2:value="Rejected" int2:type="AugLoop_Text_Critique"/>
    </int2:textHash>
    <int2:textHash int2:hashCode="mrp9drqqIu6D8S" int2:id="r05f6vn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6154528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B967BD5"/>
    <w:multiLevelType w:val="multilevel"/>
    <w:tmpl w:val="575CEDBE"/>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3" w15:restartNumberingAfterBreak="0">
    <w:nsid w:val="288119B9"/>
    <w:multiLevelType w:val="hybridMultilevel"/>
    <w:tmpl w:val="1F265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451574"/>
    <w:multiLevelType w:val="hybridMultilevel"/>
    <w:tmpl w:val="990283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4572D95"/>
    <w:multiLevelType w:val="hybridMultilevel"/>
    <w:tmpl w:val="B27A760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1A386E"/>
    <w:multiLevelType w:val="hybridMultilevel"/>
    <w:tmpl w:val="00726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1B3083"/>
    <w:multiLevelType w:val="hybridMultilevel"/>
    <w:tmpl w:val="8DF2F7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F6A000B"/>
    <w:multiLevelType w:val="hybridMultilevel"/>
    <w:tmpl w:val="A57AA8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1743D8B"/>
    <w:multiLevelType w:val="multilevel"/>
    <w:tmpl w:val="6CF2FF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2272441">
    <w:abstractNumId w:val="9"/>
  </w:num>
  <w:num w:numId="2" w16cid:durableId="1612667333">
    <w:abstractNumId w:val="7"/>
  </w:num>
  <w:num w:numId="3" w16cid:durableId="1312516766">
    <w:abstractNumId w:val="6"/>
  </w:num>
  <w:num w:numId="4" w16cid:durableId="287512061">
    <w:abstractNumId w:val="5"/>
  </w:num>
  <w:num w:numId="5" w16cid:durableId="839127893">
    <w:abstractNumId w:val="4"/>
  </w:num>
  <w:num w:numId="6" w16cid:durableId="1009522993">
    <w:abstractNumId w:val="8"/>
  </w:num>
  <w:num w:numId="7" w16cid:durableId="219875705">
    <w:abstractNumId w:val="3"/>
  </w:num>
  <w:num w:numId="8" w16cid:durableId="361247215">
    <w:abstractNumId w:val="2"/>
  </w:num>
  <w:num w:numId="9" w16cid:durableId="101806931">
    <w:abstractNumId w:val="1"/>
  </w:num>
  <w:num w:numId="10" w16cid:durableId="1640960485">
    <w:abstractNumId w:val="0"/>
  </w:num>
  <w:num w:numId="11" w16cid:durableId="2136176581">
    <w:abstractNumId w:val="18"/>
  </w:num>
  <w:num w:numId="12" w16cid:durableId="385110391">
    <w:abstractNumId w:val="14"/>
  </w:num>
  <w:num w:numId="13" w16cid:durableId="62337418">
    <w:abstractNumId w:val="11"/>
  </w:num>
  <w:num w:numId="14" w16cid:durableId="755630922">
    <w:abstractNumId w:val="11"/>
  </w:num>
  <w:num w:numId="15" w16cid:durableId="1158228924">
    <w:abstractNumId w:val="11"/>
  </w:num>
  <w:num w:numId="16" w16cid:durableId="278608258">
    <w:abstractNumId w:val="11"/>
  </w:num>
  <w:num w:numId="17" w16cid:durableId="1454981741">
    <w:abstractNumId w:val="10"/>
  </w:num>
  <w:num w:numId="18" w16cid:durableId="1648321480">
    <w:abstractNumId w:val="10"/>
  </w:num>
  <w:num w:numId="19" w16cid:durableId="2023193660">
    <w:abstractNumId w:val="10"/>
  </w:num>
  <w:num w:numId="20" w16cid:durableId="1913540802">
    <w:abstractNumId w:val="1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1" w16cid:durableId="1913273565">
    <w:abstractNumId w:val="11"/>
  </w:num>
  <w:num w:numId="22" w16cid:durableId="1470316286">
    <w:abstractNumId w:val="11"/>
  </w:num>
  <w:num w:numId="23" w16cid:durableId="1356687208">
    <w:abstractNumId w:val="11"/>
  </w:num>
  <w:num w:numId="24" w16cid:durableId="1489207184">
    <w:abstractNumId w:val="21"/>
  </w:num>
  <w:num w:numId="25" w16cid:durableId="820579360">
    <w:abstractNumId w:val="1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16cid:durableId="808744547">
    <w:abstractNumId w:val="15"/>
  </w:num>
  <w:num w:numId="27" w16cid:durableId="1213080903">
    <w:abstractNumId w:val="12"/>
  </w:num>
  <w:num w:numId="28" w16cid:durableId="1995209764">
    <w:abstractNumId w:val="3"/>
    <w:lvlOverride w:ilvl="0">
      <w:startOverride w:val="1"/>
    </w:lvlOverride>
  </w:num>
  <w:num w:numId="29" w16cid:durableId="1524630306">
    <w:abstractNumId w:val="3"/>
    <w:lvlOverride w:ilvl="0">
      <w:startOverride w:val="1"/>
    </w:lvlOverride>
  </w:num>
  <w:num w:numId="30" w16cid:durableId="1157183097">
    <w:abstractNumId w:val="3"/>
    <w:lvlOverride w:ilvl="0">
      <w:startOverride w:val="1"/>
    </w:lvlOverride>
  </w:num>
  <w:num w:numId="31" w16cid:durableId="1875537058">
    <w:abstractNumId w:val="20"/>
  </w:num>
  <w:num w:numId="32" w16cid:durableId="1992557259">
    <w:abstractNumId w:val="16"/>
  </w:num>
  <w:num w:numId="33" w16cid:durableId="439688546">
    <w:abstractNumId w:val="10"/>
    <w:lvlOverride w:ilvl="0">
      <w:lvl w:ilvl="0">
        <w:start w:val="1"/>
        <w:numFmt w:val="decimal"/>
        <w:pStyle w:val="Numberbullet0"/>
        <w:lvlText w:val="%1."/>
        <w:lvlJc w:val="left"/>
        <w:pPr>
          <w:ind w:left="425" w:hanging="425"/>
        </w:pPr>
        <w:rPr>
          <w:rFonts w:asciiTheme="majorHAnsi" w:hAnsiTheme="majorHAnsi" w:cstheme="majorHAnsi" w:hint="default"/>
          <w:b w:val="0"/>
          <w:bCs w:val="0"/>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34" w16cid:durableId="367678703">
    <w:abstractNumId w:val="10"/>
    <w:lvlOverride w:ilvl="0">
      <w:startOverride w:val="1"/>
      <w:lvl w:ilvl="0">
        <w:start w:val="1"/>
        <w:numFmt w:val="decimal"/>
        <w:pStyle w:val="Numberbullet0"/>
        <w:lvlText w:val="%1."/>
        <w:lvlJc w:val="left"/>
        <w:pPr>
          <w:ind w:left="425" w:hanging="425"/>
        </w:pPr>
        <w:rPr>
          <w:rFonts w:asciiTheme="majorHAnsi" w:hAnsiTheme="majorHAnsi" w:cstheme="majorHAnsi"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5" w16cid:durableId="1917007971">
    <w:abstractNumId w:val="10"/>
    <w:lvlOverride w:ilvl="0">
      <w:lvl w:ilvl="0">
        <w:start w:val="1"/>
        <w:numFmt w:val="decimal"/>
        <w:pStyle w:val="Numberbullet0"/>
        <w:lvlText w:val="%1."/>
        <w:lvlJc w:val="left"/>
        <w:pPr>
          <w:ind w:left="425" w:hanging="425"/>
        </w:pPr>
        <w:rPr>
          <w:rFonts w:asciiTheme="majorHAnsi" w:hAnsiTheme="majorHAnsi" w:cstheme="majorHAnsi" w:hint="default"/>
        </w:rPr>
      </w:lvl>
    </w:lvlOverride>
    <w:lvlOverride w:ilvl="1">
      <w:lvl w:ilvl="1">
        <w:start w:val="1"/>
        <w:numFmt w:val="lowerLetter"/>
        <w:pStyle w:val="Numberbullet2"/>
        <w:lvlText w:val="%2)"/>
        <w:lvlJc w:val="left"/>
        <w:pPr>
          <w:ind w:left="851" w:hanging="426"/>
        </w:pPr>
        <w:rPr>
          <w:rFonts w:ascii="Arial" w:eastAsia="Cambria" w:hAnsi="Arial" w:cs="Arial"/>
          <w:b w:val="0"/>
          <w:bCs w:val="0"/>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36" w16cid:durableId="415522282">
    <w:abstractNumId w:val="10"/>
    <w:lvlOverride w:ilvl="0">
      <w:startOverride w:val="1"/>
      <w:lvl w:ilvl="0">
        <w:start w:val="1"/>
        <w:numFmt w:val="decimal"/>
        <w:pStyle w:val="Numberbullet0"/>
        <w:lvlText w:val="%1."/>
        <w:lvlJc w:val="left"/>
        <w:pPr>
          <w:ind w:left="425" w:hanging="425"/>
        </w:pPr>
        <w:rPr>
          <w:rFonts w:asciiTheme="majorHAnsi" w:hAnsiTheme="majorHAnsi" w:cstheme="majorHAnsi" w:hint="default"/>
        </w:rPr>
      </w:lvl>
    </w:lvlOverride>
    <w:lvlOverride w:ilvl="1">
      <w:startOverride w:val="1"/>
      <w:lvl w:ilvl="1">
        <w:start w:val="1"/>
        <w:numFmt w:val="lowerLetter"/>
        <w:pStyle w:val="Numberbullet2"/>
        <w:lvlText w:val="%2)"/>
        <w:lvlJc w:val="left"/>
        <w:pPr>
          <w:ind w:left="851" w:hanging="426"/>
        </w:pPr>
        <w:rPr>
          <w:rFonts w:ascii="Arial" w:eastAsia="Cambria" w:hAnsi="Arial" w:cs="Arial"/>
          <w:b w:val="0"/>
          <w:bCs w:val="0"/>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7" w16cid:durableId="1290670140">
    <w:abstractNumId w:val="1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8" w16cid:durableId="1518693025">
    <w:abstractNumId w:val="1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9" w16cid:durableId="1615751408">
    <w:abstractNumId w:val="13"/>
  </w:num>
  <w:num w:numId="40" w16cid:durableId="875384264">
    <w:abstractNumId w:val="17"/>
  </w:num>
  <w:num w:numId="41" w16cid:durableId="15073582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numFmt w:val="chicago"/>
    <w:footnote w:id="-1"/>
    <w:footnote w:id="0"/>
    <w:footnote w:id="1"/>
  </w:footnotePr>
  <w:endnotePr>
    <w:numFmt w:val="chicago"/>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7D"/>
    <w:rsid w:val="00000471"/>
    <w:rsid w:val="000004C4"/>
    <w:rsid w:val="000011B4"/>
    <w:rsid w:val="00001269"/>
    <w:rsid w:val="00001318"/>
    <w:rsid w:val="0000287E"/>
    <w:rsid w:val="000052A3"/>
    <w:rsid w:val="000061E0"/>
    <w:rsid w:val="000115E1"/>
    <w:rsid w:val="00011BC3"/>
    <w:rsid w:val="00014803"/>
    <w:rsid w:val="000153D9"/>
    <w:rsid w:val="00015911"/>
    <w:rsid w:val="000170C1"/>
    <w:rsid w:val="0002029A"/>
    <w:rsid w:val="00022D43"/>
    <w:rsid w:val="00024198"/>
    <w:rsid w:val="000247EA"/>
    <w:rsid w:val="00033145"/>
    <w:rsid w:val="0003701B"/>
    <w:rsid w:val="0004112E"/>
    <w:rsid w:val="00042633"/>
    <w:rsid w:val="00042F25"/>
    <w:rsid w:val="00045EBC"/>
    <w:rsid w:val="00046322"/>
    <w:rsid w:val="00046BDF"/>
    <w:rsid w:val="000475AB"/>
    <w:rsid w:val="00050813"/>
    <w:rsid w:val="00051947"/>
    <w:rsid w:val="0005278F"/>
    <w:rsid w:val="000529FF"/>
    <w:rsid w:val="00052B04"/>
    <w:rsid w:val="000531F1"/>
    <w:rsid w:val="0005332B"/>
    <w:rsid w:val="0005431B"/>
    <w:rsid w:val="00056622"/>
    <w:rsid w:val="000607ED"/>
    <w:rsid w:val="00060B33"/>
    <w:rsid w:val="00060C59"/>
    <w:rsid w:val="000614DD"/>
    <w:rsid w:val="00062DD8"/>
    <w:rsid w:val="0006303F"/>
    <w:rsid w:val="000644B9"/>
    <w:rsid w:val="000655D6"/>
    <w:rsid w:val="00066F8C"/>
    <w:rsid w:val="00067D1B"/>
    <w:rsid w:val="00070E2A"/>
    <w:rsid w:val="00071D6C"/>
    <w:rsid w:val="0007237A"/>
    <w:rsid w:val="00072A33"/>
    <w:rsid w:val="00072EEB"/>
    <w:rsid w:val="000749AA"/>
    <w:rsid w:val="000749AD"/>
    <w:rsid w:val="00075904"/>
    <w:rsid w:val="00075975"/>
    <w:rsid w:val="000814DC"/>
    <w:rsid w:val="00081903"/>
    <w:rsid w:val="00081A2C"/>
    <w:rsid w:val="000821BE"/>
    <w:rsid w:val="00083DE4"/>
    <w:rsid w:val="000857AB"/>
    <w:rsid w:val="000864A9"/>
    <w:rsid w:val="000876C5"/>
    <w:rsid w:val="000909D6"/>
    <w:rsid w:val="00091C41"/>
    <w:rsid w:val="0009311B"/>
    <w:rsid w:val="000938CC"/>
    <w:rsid w:val="000950B9"/>
    <w:rsid w:val="00095222"/>
    <w:rsid w:val="00095544"/>
    <w:rsid w:val="000A1E2C"/>
    <w:rsid w:val="000A5AFC"/>
    <w:rsid w:val="000B122C"/>
    <w:rsid w:val="000B1A45"/>
    <w:rsid w:val="000B2125"/>
    <w:rsid w:val="000B49A2"/>
    <w:rsid w:val="000B4F2E"/>
    <w:rsid w:val="000B6107"/>
    <w:rsid w:val="000B7269"/>
    <w:rsid w:val="000B7270"/>
    <w:rsid w:val="000B7F3C"/>
    <w:rsid w:val="000C1841"/>
    <w:rsid w:val="000C2D27"/>
    <w:rsid w:val="000C5512"/>
    <w:rsid w:val="000C7843"/>
    <w:rsid w:val="000D0E11"/>
    <w:rsid w:val="000D188A"/>
    <w:rsid w:val="000D335A"/>
    <w:rsid w:val="000D4EAA"/>
    <w:rsid w:val="000D597D"/>
    <w:rsid w:val="000D6180"/>
    <w:rsid w:val="000D6BF6"/>
    <w:rsid w:val="000D7317"/>
    <w:rsid w:val="000E23BC"/>
    <w:rsid w:val="000E2CF3"/>
    <w:rsid w:val="000E5852"/>
    <w:rsid w:val="000F04D9"/>
    <w:rsid w:val="000F06FC"/>
    <w:rsid w:val="000F0CBD"/>
    <w:rsid w:val="000F0EFA"/>
    <w:rsid w:val="000F112B"/>
    <w:rsid w:val="000F1E0A"/>
    <w:rsid w:val="000F3124"/>
    <w:rsid w:val="000F4834"/>
    <w:rsid w:val="0010007E"/>
    <w:rsid w:val="00103B59"/>
    <w:rsid w:val="00104407"/>
    <w:rsid w:val="001047C9"/>
    <w:rsid w:val="00106401"/>
    <w:rsid w:val="0010697A"/>
    <w:rsid w:val="00112EC4"/>
    <w:rsid w:val="001156DD"/>
    <w:rsid w:val="00116CC9"/>
    <w:rsid w:val="00122350"/>
    <w:rsid w:val="0012237E"/>
    <w:rsid w:val="001245A3"/>
    <w:rsid w:val="00126ED6"/>
    <w:rsid w:val="00130B4D"/>
    <w:rsid w:val="00131BCC"/>
    <w:rsid w:val="00132E55"/>
    <w:rsid w:val="00134175"/>
    <w:rsid w:val="0013431D"/>
    <w:rsid w:val="00134923"/>
    <w:rsid w:val="00140213"/>
    <w:rsid w:val="00142446"/>
    <w:rsid w:val="00144096"/>
    <w:rsid w:val="00146478"/>
    <w:rsid w:val="001500BC"/>
    <w:rsid w:val="0015162F"/>
    <w:rsid w:val="00153566"/>
    <w:rsid w:val="00153894"/>
    <w:rsid w:val="00153C1E"/>
    <w:rsid w:val="001555E0"/>
    <w:rsid w:val="00161EC8"/>
    <w:rsid w:val="0016372C"/>
    <w:rsid w:val="0016442C"/>
    <w:rsid w:val="00164BA7"/>
    <w:rsid w:val="00166069"/>
    <w:rsid w:val="001667E9"/>
    <w:rsid w:val="0017014F"/>
    <w:rsid w:val="00172699"/>
    <w:rsid w:val="001731F5"/>
    <w:rsid w:val="0017363B"/>
    <w:rsid w:val="00173790"/>
    <w:rsid w:val="00174C52"/>
    <w:rsid w:val="00176458"/>
    <w:rsid w:val="00180C44"/>
    <w:rsid w:val="00181817"/>
    <w:rsid w:val="001829E8"/>
    <w:rsid w:val="001842C2"/>
    <w:rsid w:val="00185812"/>
    <w:rsid w:val="00185892"/>
    <w:rsid w:val="00185A11"/>
    <w:rsid w:val="00186F57"/>
    <w:rsid w:val="00190A4F"/>
    <w:rsid w:val="00192687"/>
    <w:rsid w:val="00192757"/>
    <w:rsid w:val="001932A3"/>
    <w:rsid w:val="001937C3"/>
    <w:rsid w:val="00197E47"/>
    <w:rsid w:val="001A0018"/>
    <w:rsid w:val="001A06AE"/>
    <w:rsid w:val="001A1AC2"/>
    <w:rsid w:val="001A39C5"/>
    <w:rsid w:val="001A5625"/>
    <w:rsid w:val="001A59BF"/>
    <w:rsid w:val="001A6813"/>
    <w:rsid w:val="001A6CDC"/>
    <w:rsid w:val="001B0496"/>
    <w:rsid w:val="001C07EA"/>
    <w:rsid w:val="001C1E9B"/>
    <w:rsid w:val="001C29A2"/>
    <w:rsid w:val="001C4B92"/>
    <w:rsid w:val="001C7B09"/>
    <w:rsid w:val="001C7E45"/>
    <w:rsid w:val="001D0DB4"/>
    <w:rsid w:val="001D64A1"/>
    <w:rsid w:val="001D6FA3"/>
    <w:rsid w:val="001E0DC7"/>
    <w:rsid w:val="001E11E4"/>
    <w:rsid w:val="001E1F60"/>
    <w:rsid w:val="001E3056"/>
    <w:rsid w:val="001E3CF4"/>
    <w:rsid w:val="001E3EA0"/>
    <w:rsid w:val="001E4385"/>
    <w:rsid w:val="001E4643"/>
    <w:rsid w:val="001E4A96"/>
    <w:rsid w:val="001E5558"/>
    <w:rsid w:val="001F050E"/>
    <w:rsid w:val="001F1183"/>
    <w:rsid w:val="001F2036"/>
    <w:rsid w:val="001F223E"/>
    <w:rsid w:val="001F2CFB"/>
    <w:rsid w:val="001F3445"/>
    <w:rsid w:val="001F6EC0"/>
    <w:rsid w:val="0020049C"/>
    <w:rsid w:val="00201B41"/>
    <w:rsid w:val="002022AC"/>
    <w:rsid w:val="00203443"/>
    <w:rsid w:val="00206055"/>
    <w:rsid w:val="002069AF"/>
    <w:rsid w:val="00207922"/>
    <w:rsid w:val="0021073A"/>
    <w:rsid w:val="00212122"/>
    <w:rsid w:val="00212A35"/>
    <w:rsid w:val="00212F68"/>
    <w:rsid w:val="00215514"/>
    <w:rsid w:val="00217F69"/>
    <w:rsid w:val="00221B71"/>
    <w:rsid w:val="00221E5B"/>
    <w:rsid w:val="002247D9"/>
    <w:rsid w:val="00224EF8"/>
    <w:rsid w:val="00226678"/>
    <w:rsid w:val="00230296"/>
    <w:rsid w:val="00232554"/>
    <w:rsid w:val="00233902"/>
    <w:rsid w:val="00235662"/>
    <w:rsid w:val="002358F6"/>
    <w:rsid w:val="0023590D"/>
    <w:rsid w:val="00241E71"/>
    <w:rsid w:val="002422C4"/>
    <w:rsid w:val="00244001"/>
    <w:rsid w:val="00244CBC"/>
    <w:rsid w:val="00244D74"/>
    <w:rsid w:val="00246806"/>
    <w:rsid w:val="002524E5"/>
    <w:rsid w:val="00252BE2"/>
    <w:rsid w:val="002544CF"/>
    <w:rsid w:val="002545EE"/>
    <w:rsid w:val="002572E6"/>
    <w:rsid w:val="00260487"/>
    <w:rsid w:val="00261222"/>
    <w:rsid w:val="002624BD"/>
    <w:rsid w:val="00263399"/>
    <w:rsid w:val="00263823"/>
    <w:rsid w:val="00263A56"/>
    <w:rsid w:val="002653A6"/>
    <w:rsid w:val="00266D7C"/>
    <w:rsid w:val="00267C88"/>
    <w:rsid w:val="002716E3"/>
    <w:rsid w:val="00271889"/>
    <w:rsid w:val="00271CEC"/>
    <w:rsid w:val="0027601B"/>
    <w:rsid w:val="002761BF"/>
    <w:rsid w:val="002765A6"/>
    <w:rsid w:val="00276E56"/>
    <w:rsid w:val="002804A3"/>
    <w:rsid w:val="00280586"/>
    <w:rsid w:val="00280DE1"/>
    <w:rsid w:val="002811A8"/>
    <w:rsid w:val="002827BA"/>
    <w:rsid w:val="002879DC"/>
    <w:rsid w:val="00290049"/>
    <w:rsid w:val="002919BF"/>
    <w:rsid w:val="002933C7"/>
    <w:rsid w:val="00296947"/>
    <w:rsid w:val="00296E61"/>
    <w:rsid w:val="00296F1B"/>
    <w:rsid w:val="002972EA"/>
    <w:rsid w:val="002A305E"/>
    <w:rsid w:val="002A374A"/>
    <w:rsid w:val="002B1DD6"/>
    <w:rsid w:val="002B1DF1"/>
    <w:rsid w:val="002B30A4"/>
    <w:rsid w:val="002B3BDC"/>
    <w:rsid w:val="002B3D80"/>
    <w:rsid w:val="002B49AA"/>
    <w:rsid w:val="002B57F1"/>
    <w:rsid w:val="002B646F"/>
    <w:rsid w:val="002B73E9"/>
    <w:rsid w:val="002C1AA5"/>
    <w:rsid w:val="002C1CCF"/>
    <w:rsid w:val="002C3C78"/>
    <w:rsid w:val="002C5561"/>
    <w:rsid w:val="002C57FE"/>
    <w:rsid w:val="002C655F"/>
    <w:rsid w:val="002C78E8"/>
    <w:rsid w:val="002D113E"/>
    <w:rsid w:val="002D1F6A"/>
    <w:rsid w:val="002D2205"/>
    <w:rsid w:val="002D26E5"/>
    <w:rsid w:val="002D32D6"/>
    <w:rsid w:val="002D5450"/>
    <w:rsid w:val="002D7233"/>
    <w:rsid w:val="002D78CA"/>
    <w:rsid w:val="002E07C7"/>
    <w:rsid w:val="002E122F"/>
    <w:rsid w:val="002E165B"/>
    <w:rsid w:val="002E40C0"/>
    <w:rsid w:val="002E4D9E"/>
    <w:rsid w:val="002E692D"/>
    <w:rsid w:val="002F0460"/>
    <w:rsid w:val="002F0E52"/>
    <w:rsid w:val="002F2F0F"/>
    <w:rsid w:val="002F393C"/>
    <w:rsid w:val="002F3AC0"/>
    <w:rsid w:val="002F4240"/>
    <w:rsid w:val="002F742F"/>
    <w:rsid w:val="00300376"/>
    <w:rsid w:val="00302919"/>
    <w:rsid w:val="00305A69"/>
    <w:rsid w:val="0030608B"/>
    <w:rsid w:val="0030663E"/>
    <w:rsid w:val="00312D28"/>
    <w:rsid w:val="00313A6D"/>
    <w:rsid w:val="00316038"/>
    <w:rsid w:val="00317F01"/>
    <w:rsid w:val="003205DA"/>
    <w:rsid w:val="00321BD9"/>
    <w:rsid w:val="00322523"/>
    <w:rsid w:val="0032274A"/>
    <w:rsid w:val="00323E81"/>
    <w:rsid w:val="0032479F"/>
    <w:rsid w:val="00324E54"/>
    <w:rsid w:val="00326085"/>
    <w:rsid w:val="0032699E"/>
    <w:rsid w:val="0032736E"/>
    <w:rsid w:val="003273C6"/>
    <w:rsid w:val="00330153"/>
    <w:rsid w:val="003303C2"/>
    <w:rsid w:val="003306C0"/>
    <w:rsid w:val="00330A9F"/>
    <w:rsid w:val="00331DB8"/>
    <w:rsid w:val="0033465A"/>
    <w:rsid w:val="0033548E"/>
    <w:rsid w:val="0033572E"/>
    <w:rsid w:val="00335EE1"/>
    <w:rsid w:val="0033652C"/>
    <w:rsid w:val="00336CD1"/>
    <w:rsid w:val="00337345"/>
    <w:rsid w:val="00337F8A"/>
    <w:rsid w:val="00341258"/>
    <w:rsid w:val="003443AE"/>
    <w:rsid w:val="00344ED1"/>
    <w:rsid w:val="00347627"/>
    <w:rsid w:val="00347A24"/>
    <w:rsid w:val="00347B39"/>
    <w:rsid w:val="00347E6B"/>
    <w:rsid w:val="00350291"/>
    <w:rsid w:val="00350685"/>
    <w:rsid w:val="00351B05"/>
    <w:rsid w:val="00351B27"/>
    <w:rsid w:val="00354B2A"/>
    <w:rsid w:val="00354DF4"/>
    <w:rsid w:val="0036068A"/>
    <w:rsid w:val="003613E9"/>
    <w:rsid w:val="0036182A"/>
    <w:rsid w:val="0036187D"/>
    <w:rsid w:val="00361E2C"/>
    <w:rsid w:val="00362150"/>
    <w:rsid w:val="0036461F"/>
    <w:rsid w:val="00370489"/>
    <w:rsid w:val="00370FD9"/>
    <w:rsid w:val="00374BEF"/>
    <w:rsid w:val="00380426"/>
    <w:rsid w:val="00382B8B"/>
    <w:rsid w:val="00383F75"/>
    <w:rsid w:val="0038762E"/>
    <w:rsid w:val="003876F7"/>
    <w:rsid w:val="003900DD"/>
    <w:rsid w:val="00391279"/>
    <w:rsid w:val="0039226B"/>
    <w:rsid w:val="00393A73"/>
    <w:rsid w:val="00393E2F"/>
    <w:rsid w:val="00394829"/>
    <w:rsid w:val="003958C9"/>
    <w:rsid w:val="00396846"/>
    <w:rsid w:val="003A0B79"/>
    <w:rsid w:val="003A13DE"/>
    <w:rsid w:val="003A3511"/>
    <w:rsid w:val="003A3A28"/>
    <w:rsid w:val="003A6EA0"/>
    <w:rsid w:val="003B0CE7"/>
    <w:rsid w:val="003B0E8A"/>
    <w:rsid w:val="003B1A0B"/>
    <w:rsid w:val="003B3C7C"/>
    <w:rsid w:val="003B6AA3"/>
    <w:rsid w:val="003C07D3"/>
    <w:rsid w:val="003C201A"/>
    <w:rsid w:val="003C3AC4"/>
    <w:rsid w:val="003C6642"/>
    <w:rsid w:val="003C6C55"/>
    <w:rsid w:val="003C6EA4"/>
    <w:rsid w:val="003D0532"/>
    <w:rsid w:val="003D30C3"/>
    <w:rsid w:val="003D3476"/>
    <w:rsid w:val="003D3B45"/>
    <w:rsid w:val="003D3C56"/>
    <w:rsid w:val="003D40E7"/>
    <w:rsid w:val="003D48D6"/>
    <w:rsid w:val="003D4D33"/>
    <w:rsid w:val="003D4D69"/>
    <w:rsid w:val="003D5003"/>
    <w:rsid w:val="003D5E1F"/>
    <w:rsid w:val="003E08BC"/>
    <w:rsid w:val="003E2D60"/>
    <w:rsid w:val="003E32DA"/>
    <w:rsid w:val="003E360B"/>
    <w:rsid w:val="003E376A"/>
    <w:rsid w:val="003E71D1"/>
    <w:rsid w:val="003E773A"/>
    <w:rsid w:val="003F3734"/>
    <w:rsid w:val="003F50C7"/>
    <w:rsid w:val="003F5889"/>
    <w:rsid w:val="003F6956"/>
    <w:rsid w:val="003F7001"/>
    <w:rsid w:val="003F75BE"/>
    <w:rsid w:val="0040101F"/>
    <w:rsid w:val="004034A0"/>
    <w:rsid w:val="00403FC1"/>
    <w:rsid w:val="00404421"/>
    <w:rsid w:val="0040477C"/>
    <w:rsid w:val="00404C92"/>
    <w:rsid w:val="00405109"/>
    <w:rsid w:val="00407608"/>
    <w:rsid w:val="00407700"/>
    <w:rsid w:val="00407C73"/>
    <w:rsid w:val="004115A3"/>
    <w:rsid w:val="00412E60"/>
    <w:rsid w:val="004134E2"/>
    <w:rsid w:val="004142E2"/>
    <w:rsid w:val="004234D2"/>
    <w:rsid w:val="00430858"/>
    <w:rsid w:val="0043163F"/>
    <w:rsid w:val="00433032"/>
    <w:rsid w:val="004376DF"/>
    <w:rsid w:val="004400F8"/>
    <w:rsid w:val="004407F3"/>
    <w:rsid w:val="00441256"/>
    <w:rsid w:val="00442137"/>
    <w:rsid w:val="004427CE"/>
    <w:rsid w:val="00443885"/>
    <w:rsid w:val="004456C1"/>
    <w:rsid w:val="00446731"/>
    <w:rsid w:val="00446B86"/>
    <w:rsid w:val="00447476"/>
    <w:rsid w:val="00447958"/>
    <w:rsid w:val="00447B62"/>
    <w:rsid w:val="004510ED"/>
    <w:rsid w:val="00451DBF"/>
    <w:rsid w:val="00452F34"/>
    <w:rsid w:val="004540DA"/>
    <w:rsid w:val="004553EA"/>
    <w:rsid w:val="004563C1"/>
    <w:rsid w:val="004564EE"/>
    <w:rsid w:val="00457CDA"/>
    <w:rsid w:val="00457D72"/>
    <w:rsid w:val="00460D8F"/>
    <w:rsid w:val="00461BC3"/>
    <w:rsid w:val="0046442B"/>
    <w:rsid w:val="00464BE4"/>
    <w:rsid w:val="00464F8D"/>
    <w:rsid w:val="0046735B"/>
    <w:rsid w:val="004677A8"/>
    <w:rsid w:val="004677A9"/>
    <w:rsid w:val="00470ACB"/>
    <w:rsid w:val="00472CAB"/>
    <w:rsid w:val="00473710"/>
    <w:rsid w:val="004738C2"/>
    <w:rsid w:val="0047393D"/>
    <w:rsid w:val="00474243"/>
    <w:rsid w:val="00475C1D"/>
    <w:rsid w:val="0047611D"/>
    <w:rsid w:val="00477254"/>
    <w:rsid w:val="004774F4"/>
    <w:rsid w:val="00477525"/>
    <w:rsid w:val="0048014A"/>
    <w:rsid w:val="00480198"/>
    <w:rsid w:val="00481DA8"/>
    <w:rsid w:val="004840EC"/>
    <w:rsid w:val="00484978"/>
    <w:rsid w:val="004856D0"/>
    <w:rsid w:val="004858D4"/>
    <w:rsid w:val="00486746"/>
    <w:rsid w:val="00491BC2"/>
    <w:rsid w:val="004957F3"/>
    <w:rsid w:val="00496E97"/>
    <w:rsid w:val="00497670"/>
    <w:rsid w:val="00497E37"/>
    <w:rsid w:val="004A1AFE"/>
    <w:rsid w:val="004A472C"/>
    <w:rsid w:val="004A771C"/>
    <w:rsid w:val="004A7FBF"/>
    <w:rsid w:val="004B00E8"/>
    <w:rsid w:val="004B0144"/>
    <w:rsid w:val="004B1BF3"/>
    <w:rsid w:val="004B4339"/>
    <w:rsid w:val="004B59C6"/>
    <w:rsid w:val="004B73A2"/>
    <w:rsid w:val="004C07C7"/>
    <w:rsid w:val="004C1445"/>
    <w:rsid w:val="004C1661"/>
    <w:rsid w:val="004C3763"/>
    <w:rsid w:val="004C4891"/>
    <w:rsid w:val="004C6DB3"/>
    <w:rsid w:val="004C7361"/>
    <w:rsid w:val="004C7494"/>
    <w:rsid w:val="004C797B"/>
    <w:rsid w:val="004C7F17"/>
    <w:rsid w:val="004D04C3"/>
    <w:rsid w:val="004D18C8"/>
    <w:rsid w:val="004D2AA8"/>
    <w:rsid w:val="004D3CE6"/>
    <w:rsid w:val="004D416B"/>
    <w:rsid w:val="004D57EA"/>
    <w:rsid w:val="004D5B3B"/>
    <w:rsid w:val="004D5ECF"/>
    <w:rsid w:val="004D63E1"/>
    <w:rsid w:val="004E11DC"/>
    <w:rsid w:val="004E13EE"/>
    <w:rsid w:val="004F2350"/>
    <w:rsid w:val="004F6B3D"/>
    <w:rsid w:val="005037AB"/>
    <w:rsid w:val="00510189"/>
    <w:rsid w:val="00511470"/>
    <w:rsid w:val="00511E7A"/>
    <w:rsid w:val="00511F11"/>
    <w:rsid w:val="00512D26"/>
    <w:rsid w:val="0051358B"/>
    <w:rsid w:val="00513A22"/>
    <w:rsid w:val="00514031"/>
    <w:rsid w:val="00515E45"/>
    <w:rsid w:val="005211BD"/>
    <w:rsid w:val="005219A9"/>
    <w:rsid w:val="00523C63"/>
    <w:rsid w:val="00524EF8"/>
    <w:rsid w:val="00525E0B"/>
    <w:rsid w:val="0052752D"/>
    <w:rsid w:val="005279B3"/>
    <w:rsid w:val="00527C41"/>
    <w:rsid w:val="005314AC"/>
    <w:rsid w:val="005332D3"/>
    <w:rsid w:val="0053374A"/>
    <w:rsid w:val="00534005"/>
    <w:rsid w:val="00543B5D"/>
    <w:rsid w:val="0054463F"/>
    <w:rsid w:val="005462AD"/>
    <w:rsid w:val="00546355"/>
    <w:rsid w:val="00547BC9"/>
    <w:rsid w:val="00551D04"/>
    <w:rsid w:val="00553158"/>
    <w:rsid w:val="005533BF"/>
    <w:rsid w:val="0055365D"/>
    <w:rsid w:val="0055748F"/>
    <w:rsid w:val="00560E52"/>
    <w:rsid w:val="005617E2"/>
    <w:rsid w:val="00561C8C"/>
    <w:rsid w:val="00561FE2"/>
    <w:rsid w:val="005633C9"/>
    <w:rsid w:val="00564326"/>
    <w:rsid w:val="00565269"/>
    <w:rsid w:val="00565739"/>
    <w:rsid w:val="00565A51"/>
    <w:rsid w:val="005677AE"/>
    <w:rsid w:val="005709AF"/>
    <w:rsid w:val="005734D5"/>
    <w:rsid w:val="00575C18"/>
    <w:rsid w:val="0057637C"/>
    <w:rsid w:val="00576B11"/>
    <w:rsid w:val="00577EEF"/>
    <w:rsid w:val="005808B6"/>
    <w:rsid w:val="00580CDD"/>
    <w:rsid w:val="00581323"/>
    <w:rsid w:val="005831C3"/>
    <w:rsid w:val="0058461F"/>
    <w:rsid w:val="00584C32"/>
    <w:rsid w:val="005854DB"/>
    <w:rsid w:val="005855BC"/>
    <w:rsid w:val="00586762"/>
    <w:rsid w:val="00586E61"/>
    <w:rsid w:val="00587799"/>
    <w:rsid w:val="00587900"/>
    <w:rsid w:val="0059045D"/>
    <w:rsid w:val="005907EA"/>
    <w:rsid w:val="005922F3"/>
    <w:rsid w:val="00595CCE"/>
    <w:rsid w:val="00596D79"/>
    <w:rsid w:val="0059714C"/>
    <w:rsid w:val="00597403"/>
    <w:rsid w:val="005A024F"/>
    <w:rsid w:val="005A16FD"/>
    <w:rsid w:val="005A2F77"/>
    <w:rsid w:val="005A35CF"/>
    <w:rsid w:val="005A705B"/>
    <w:rsid w:val="005B0126"/>
    <w:rsid w:val="005B0CB4"/>
    <w:rsid w:val="005B24A9"/>
    <w:rsid w:val="005B3EA2"/>
    <w:rsid w:val="005B493C"/>
    <w:rsid w:val="005C0C5B"/>
    <w:rsid w:val="005C1825"/>
    <w:rsid w:val="005C1E50"/>
    <w:rsid w:val="005C33A1"/>
    <w:rsid w:val="005C51F4"/>
    <w:rsid w:val="005C7E88"/>
    <w:rsid w:val="005C7F77"/>
    <w:rsid w:val="005D24A5"/>
    <w:rsid w:val="005D366B"/>
    <w:rsid w:val="005D4187"/>
    <w:rsid w:val="005D5DF6"/>
    <w:rsid w:val="005D6DDA"/>
    <w:rsid w:val="005D7256"/>
    <w:rsid w:val="005D7882"/>
    <w:rsid w:val="005D7BBE"/>
    <w:rsid w:val="005D7E14"/>
    <w:rsid w:val="005E08A5"/>
    <w:rsid w:val="005E2243"/>
    <w:rsid w:val="005E2487"/>
    <w:rsid w:val="005E29E0"/>
    <w:rsid w:val="005E63B8"/>
    <w:rsid w:val="005E65F5"/>
    <w:rsid w:val="005E723C"/>
    <w:rsid w:val="005F00AA"/>
    <w:rsid w:val="005F44D7"/>
    <w:rsid w:val="005F56CE"/>
    <w:rsid w:val="005F5F2C"/>
    <w:rsid w:val="005F6907"/>
    <w:rsid w:val="005F728A"/>
    <w:rsid w:val="005F769E"/>
    <w:rsid w:val="00600F84"/>
    <w:rsid w:val="0060242C"/>
    <w:rsid w:val="0060287F"/>
    <w:rsid w:val="0060387B"/>
    <w:rsid w:val="00603DD5"/>
    <w:rsid w:val="006078DD"/>
    <w:rsid w:val="00612979"/>
    <w:rsid w:val="00613F91"/>
    <w:rsid w:val="00614E24"/>
    <w:rsid w:val="00616222"/>
    <w:rsid w:val="0061731F"/>
    <w:rsid w:val="0062143B"/>
    <w:rsid w:val="0062180B"/>
    <w:rsid w:val="00621F34"/>
    <w:rsid w:val="006220D6"/>
    <w:rsid w:val="00623093"/>
    <w:rsid w:val="006275C5"/>
    <w:rsid w:val="00631083"/>
    <w:rsid w:val="006317BC"/>
    <w:rsid w:val="006323B8"/>
    <w:rsid w:val="00632EE4"/>
    <w:rsid w:val="00634451"/>
    <w:rsid w:val="00636859"/>
    <w:rsid w:val="006419A5"/>
    <w:rsid w:val="006419C4"/>
    <w:rsid w:val="006436C0"/>
    <w:rsid w:val="00644937"/>
    <w:rsid w:val="00644B65"/>
    <w:rsid w:val="00646924"/>
    <w:rsid w:val="00647308"/>
    <w:rsid w:val="006473B8"/>
    <w:rsid w:val="0065047D"/>
    <w:rsid w:val="006514FF"/>
    <w:rsid w:val="00654399"/>
    <w:rsid w:val="006547EC"/>
    <w:rsid w:val="0065579E"/>
    <w:rsid w:val="00656793"/>
    <w:rsid w:val="00657144"/>
    <w:rsid w:val="00661F0D"/>
    <w:rsid w:val="00662A52"/>
    <w:rsid w:val="00662F63"/>
    <w:rsid w:val="00664B84"/>
    <w:rsid w:val="00666816"/>
    <w:rsid w:val="00666D03"/>
    <w:rsid w:val="0066703C"/>
    <w:rsid w:val="00671DC4"/>
    <w:rsid w:val="00674D40"/>
    <w:rsid w:val="006751CF"/>
    <w:rsid w:val="00675321"/>
    <w:rsid w:val="00676F76"/>
    <w:rsid w:val="00681BB2"/>
    <w:rsid w:val="00681DE0"/>
    <w:rsid w:val="00682BC2"/>
    <w:rsid w:val="00683BA6"/>
    <w:rsid w:val="00684AB2"/>
    <w:rsid w:val="00690602"/>
    <w:rsid w:val="006909D6"/>
    <w:rsid w:val="00690F0C"/>
    <w:rsid w:val="0069375B"/>
    <w:rsid w:val="00695C2B"/>
    <w:rsid w:val="00696782"/>
    <w:rsid w:val="0069787F"/>
    <w:rsid w:val="006A12E6"/>
    <w:rsid w:val="006A1714"/>
    <w:rsid w:val="006A1FB4"/>
    <w:rsid w:val="006A4D2F"/>
    <w:rsid w:val="006A636A"/>
    <w:rsid w:val="006A6573"/>
    <w:rsid w:val="006A6636"/>
    <w:rsid w:val="006A7425"/>
    <w:rsid w:val="006B0C06"/>
    <w:rsid w:val="006B4455"/>
    <w:rsid w:val="006B5101"/>
    <w:rsid w:val="006C0C21"/>
    <w:rsid w:val="006C16C4"/>
    <w:rsid w:val="006C4339"/>
    <w:rsid w:val="006C4ED2"/>
    <w:rsid w:val="006C6870"/>
    <w:rsid w:val="006C775D"/>
    <w:rsid w:val="006D0944"/>
    <w:rsid w:val="006D168F"/>
    <w:rsid w:val="006D1BC5"/>
    <w:rsid w:val="006D244D"/>
    <w:rsid w:val="006D2AEF"/>
    <w:rsid w:val="006D2E8C"/>
    <w:rsid w:val="006D3F9B"/>
    <w:rsid w:val="006D763E"/>
    <w:rsid w:val="006D7E16"/>
    <w:rsid w:val="006D7FF7"/>
    <w:rsid w:val="006E0322"/>
    <w:rsid w:val="006E1856"/>
    <w:rsid w:val="006E2D63"/>
    <w:rsid w:val="006E73CD"/>
    <w:rsid w:val="006E74A6"/>
    <w:rsid w:val="006E7F04"/>
    <w:rsid w:val="006F0B41"/>
    <w:rsid w:val="006F2507"/>
    <w:rsid w:val="006F67A0"/>
    <w:rsid w:val="0070274C"/>
    <w:rsid w:val="00703502"/>
    <w:rsid w:val="007040D6"/>
    <w:rsid w:val="007049AA"/>
    <w:rsid w:val="00704E66"/>
    <w:rsid w:val="0070583C"/>
    <w:rsid w:val="00706787"/>
    <w:rsid w:val="00706AE0"/>
    <w:rsid w:val="0070787D"/>
    <w:rsid w:val="0071617B"/>
    <w:rsid w:val="0071671C"/>
    <w:rsid w:val="00716820"/>
    <w:rsid w:val="00716D41"/>
    <w:rsid w:val="00722F60"/>
    <w:rsid w:val="00725FCA"/>
    <w:rsid w:val="00731C73"/>
    <w:rsid w:val="00731E58"/>
    <w:rsid w:val="00732058"/>
    <w:rsid w:val="007332DA"/>
    <w:rsid w:val="0073526C"/>
    <w:rsid w:val="00741EF9"/>
    <w:rsid w:val="007423CC"/>
    <w:rsid w:val="007437AC"/>
    <w:rsid w:val="00743C00"/>
    <w:rsid w:val="00744398"/>
    <w:rsid w:val="007476F6"/>
    <w:rsid w:val="00750733"/>
    <w:rsid w:val="00750E27"/>
    <w:rsid w:val="00753980"/>
    <w:rsid w:val="00753E01"/>
    <w:rsid w:val="00755F32"/>
    <w:rsid w:val="00755FF0"/>
    <w:rsid w:val="007578F1"/>
    <w:rsid w:val="007579D0"/>
    <w:rsid w:val="00760947"/>
    <w:rsid w:val="00761833"/>
    <w:rsid w:val="0076185D"/>
    <w:rsid w:val="00761C99"/>
    <w:rsid w:val="007648FE"/>
    <w:rsid w:val="00765AAE"/>
    <w:rsid w:val="007676B4"/>
    <w:rsid w:val="00770C28"/>
    <w:rsid w:val="0077320A"/>
    <w:rsid w:val="007733A4"/>
    <w:rsid w:val="00773AA8"/>
    <w:rsid w:val="00774F30"/>
    <w:rsid w:val="00777DB8"/>
    <w:rsid w:val="00781179"/>
    <w:rsid w:val="00786DC8"/>
    <w:rsid w:val="00787823"/>
    <w:rsid w:val="007905FE"/>
    <w:rsid w:val="00791A0C"/>
    <w:rsid w:val="007929C0"/>
    <w:rsid w:val="00793779"/>
    <w:rsid w:val="00793CA0"/>
    <w:rsid w:val="00796374"/>
    <w:rsid w:val="007969A9"/>
    <w:rsid w:val="00796A1E"/>
    <w:rsid w:val="00797E56"/>
    <w:rsid w:val="007A04BE"/>
    <w:rsid w:val="007A0E92"/>
    <w:rsid w:val="007A1917"/>
    <w:rsid w:val="007A1D45"/>
    <w:rsid w:val="007A2C94"/>
    <w:rsid w:val="007A6481"/>
    <w:rsid w:val="007A7298"/>
    <w:rsid w:val="007B00A6"/>
    <w:rsid w:val="007B2F78"/>
    <w:rsid w:val="007B6FE4"/>
    <w:rsid w:val="007C0B78"/>
    <w:rsid w:val="007C109F"/>
    <w:rsid w:val="007C2D76"/>
    <w:rsid w:val="007C3C5B"/>
    <w:rsid w:val="007C5614"/>
    <w:rsid w:val="007C6193"/>
    <w:rsid w:val="007C6A4F"/>
    <w:rsid w:val="007C6BE9"/>
    <w:rsid w:val="007C6C8C"/>
    <w:rsid w:val="007C73DC"/>
    <w:rsid w:val="007C7666"/>
    <w:rsid w:val="007D09DB"/>
    <w:rsid w:val="007D1863"/>
    <w:rsid w:val="007D401E"/>
    <w:rsid w:val="007D4B14"/>
    <w:rsid w:val="007D513A"/>
    <w:rsid w:val="007E097A"/>
    <w:rsid w:val="007E0D85"/>
    <w:rsid w:val="007E128C"/>
    <w:rsid w:val="007E3493"/>
    <w:rsid w:val="007E44F4"/>
    <w:rsid w:val="007E56B8"/>
    <w:rsid w:val="007E5C73"/>
    <w:rsid w:val="007E77CD"/>
    <w:rsid w:val="007F39A5"/>
    <w:rsid w:val="007F44C3"/>
    <w:rsid w:val="007F46E7"/>
    <w:rsid w:val="007F6D4E"/>
    <w:rsid w:val="00800A0E"/>
    <w:rsid w:val="008037B6"/>
    <w:rsid w:val="00806E71"/>
    <w:rsid w:val="0081178E"/>
    <w:rsid w:val="008117D6"/>
    <w:rsid w:val="008126AB"/>
    <w:rsid w:val="008141B3"/>
    <w:rsid w:val="00814C9E"/>
    <w:rsid w:val="008173B8"/>
    <w:rsid w:val="0082458F"/>
    <w:rsid w:val="008245FA"/>
    <w:rsid w:val="008276A7"/>
    <w:rsid w:val="00830562"/>
    <w:rsid w:val="00832F52"/>
    <w:rsid w:val="00834B18"/>
    <w:rsid w:val="008377B4"/>
    <w:rsid w:val="00842161"/>
    <w:rsid w:val="008428C2"/>
    <w:rsid w:val="00844A09"/>
    <w:rsid w:val="00847A0A"/>
    <w:rsid w:val="00847E6F"/>
    <w:rsid w:val="008522E7"/>
    <w:rsid w:val="00853471"/>
    <w:rsid w:val="00855026"/>
    <w:rsid w:val="00855B0D"/>
    <w:rsid w:val="00856106"/>
    <w:rsid w:val="00857C06"/>
    <w:rsid w:val="0086734C"/>
    <w:rsid w:val="00867B1B"/>
    <w:rsid w:val="00870A57"/>
    <w:rsid w:val="00870F48"/>
    <w:rsid w:val="00872EC7"/>
    <w:rsid w:val="00872FD3"/>
    <w:rsid w:val="00874249"/>
    <w:rsid w:val="008767C6"/>
    <w:rsid w:val="00877782"/>
    <w:rsid w:val="008810FC"/>
    <w:rsid w:val="008811D7"/>
    <w:rsid w:val="00881643"/>
    <w:rsid w:val="00885FE5"/>
    <w:rsid w:val="00887236"/>
    <w:rsid w:val="00892A6E"/>
    <w:rsid w:val="00892F02"/>
    <w:rsid w:val="008934FA"/>
    <w:rsid w:val="00896642"/>
    <w:rsid w:val="008979D0"/>
    <w:rsid w:val="008A2606"/>
    <w:rsid w:val="008A3171"/>
    <w:rsid w:val="008A4AAC"/>
    <w:rsid w:val="008A546D"/>
    <w:rsid w:val="008A6762"/>
    <w:rsid w:val="008A6E61"/>
    <w:rsid w:val="008B26A0"/>
    <w:rsid w:val="008B7838"/>
    <w:rsid w:val="008B7E66"/>
    <w:rsid w:val="008C1FE3"/>
    <w:rsid w:val="008C2F78"/>
    <w:rsid w:val="008C3A9F"/>
    <w:rsid w:val="008C3AB3"/>
    <w:rsid w:val="008C54CE"/>
    <w:rsid w:val="008C58EA"/>
    <w:rsid w:val="008C64E7"/>
    <w:rsid w:val="008C6DA1"/>
    <w:rsid w:val="008C7FC1"/>
    <w:rsid w:val="008D045C"/>
    <w:rsid w:val="008D0FE8"/>
    <w:rsid w:val="008D1625"/>
    <w:rsid w:val="008D3561"/>
    <w:rsid w:val="008D4A49"/>
    <w:rsid w:val="008D624F"/>
    <w:rsid w:val="008E03CF"/>
    <w:rsid w:val="008E0799"/>
    <w:rsid w:val="008E0935"/>
    <w:rsid w:val="008E3DF9"/>
    <w:rsid w:val="008E4E1D"/>
    <w:rsid w:val="008E6439"/>
    <w:rsid w:val="008E7FAC"/>
    <w:rsid w:val="008F51A3"/>
    <w:rsid w:val="008F6B4E"/>
    <w:rsid w:val="008F7EB0"/>
    <w:rsid w:val="00901CFB"/>
    <w:rsid w:val="0090279F"/>
    <w:rsid w:val="00902F72"/>
    <w:rsid w:val="009051BD"/>
    <w:rsid w:val="00905C59"/>
    <w:rsid w:val="0090602B"/>
    <w:rsid w:val="00907D33"/>
    <w:rsid w:val="00910EE8"/>
    <w:rsid w:val="00912352"/>
    <w:rsid w:val="00912FF4"/>
    <w:rsid w:val="00913D5D"/>
    <w:rsid w:val="00914238"/>
    <w:rsid w:val="00915592"/>
    <w:rsid w:val="00916625"/>
    <w:rsid w:val="00916AC3"/>
    <w:rsid w:val="00920050"/>
    <w:rsid w:val="0092271D"/>
    <w:rsid w:val="0092500A"/>
    <w:rsid w:val="0092511A"/>
    <w:rsid w:val="00925CD4"/>
    <w:rsid w:val="00926393"/>
    <w:rsid w:val="009263B6"/>
    <w:rsid w:val="00927A1F"/>
    <w:rsid w:val="0093138A"/>
    <w:rsid w:val="00931B68"/>
    <w:rsid w:val="00933319"/>
    <w:rsid w:val="0093369D"/>
    <w:rsid w:val="009341D7"/>
    <w:rsid w:val="00934543"/>
    <w:rsid w:val="009356D3"/>
    <w:rsid w:val="00937403"/>
    <w:rsid w:val="009423B2"/>
    <w:rsid w:val="009435F0"/>
    <w:rsid w:val="009438A7"/>
    <w:rsid w:val="00944CEB"/>
    <w:rsid w:val="00945F7C"/>
    <w:rsid w:val="00946312"/>
    <w:rsid w:val="00946C27"/>
    <w:rsid w:val="00947387"/>
    <w:rsid w:val="00950347"/>
    <w:rsid w:val="00950F31"/>
    <w:rsid w:val="00951995"/>
    <w:rsid w:val="009523FF"/>
    <w:rsid w:val="00952CF1"/>
    <w:rsid w:val="0095621A"/>
    <w:rsid w:val="009563BA"/>
    <w:rsid w:val="00956BEA"/>
    <w:rsid w:val="009606E4"/>
    <w:rsid w:val="0096142A"/>
    <w:rsid w:val="00962087"/>
    <w:rsid w:val="00962ED7"/>
    <w:rsid w:val="00963B56"/>
    <w:rsid w:val="009648F1"/>
    <w:rsid w:val="00965978"/>
    <w:rsid w:val="0096625F"/>
    <w:rsid w:val="00970FD9"/>
    <w:rsid w:val="00972DFA"/>
    <w:rsid w:val="00973241"/>
    <w:rsid w:val="00973604"/>
    <w:rsid w:val="00974284"/>
    <w:rsid w:val="009778CC"/>
    <w:rsid w:val="00982ABC"/>
    <w:rsid w:val="00987DBB"/>
    <w:rsid w:val="00990B8A"/>
    <w:rsid w:val="00990DE4"/>
    <w:rsid w:val="009910F9"/>
    <w:rsid w:val="009926B4"/>
    <w:rsid w:val="00993C88"/>
    <w:rsid w:val="009970FE"/>
    <w:rsid w:val="00997709"/>
    <w:rsid w:val="00997D31"/>
    <w:rsid w:val="009A1DC8"/>
    <w:rsid w:val="009A2501"/>
    <w:rsid w:val="009A3615"/>
    <w:rsid w:val="009A4C84"/>
    <w:rsid w:val="009A53A5"/>
    <w:rsid w:val="009A61CF"/>
    <w:rsid w:val="009A6687"/>
    <w:rsid w:val="009AA185"/>
    <w:rsid w:val="009B01E3"/>
    <w:rsid w:val="009B0DF4"/>
    <w:rsid w:val="009B0F4F"/>
    <w:rsid w:val="009B4CCC"/>
    <w:rsid w:val="009B4FA4"/>
    <w:rsid w:val="009B63CE"/>
    <w:rsid w:val="009B6B01"/>
    <w:rsid w:val="009C0D7A"/>
    <w:rsid w:val="009C1558"/>
    <w:rsid w:val="009C1A85"/>
    <w:rsid w:val="009C1AD5"/>
    <w:rsid w:val="009C481A"/>
    <w:rsid w:val="009C60DB"/>
    <w:rsid w:val="009D0E02"/>
    <w:rsid w:val="009D0FB8"/>
    <w:rsid w:val="009D1F4F"/>
    <w:rsid w:val="009D22B6"/>
    <w:rsid w:val="009D3719"/>
    <w:rsid w:val="009D3A7F"/>
    <w:rsid w:val="009D5E24"/>
    <w:rsid w:val="009D5FEA"/>
    <w:rsid w:val="009D7A91"/>
    <w:rsid w:val="009E034D"/>
    <w:rsid w:val="009E22CF"/>
    <w:rsid w:val="009E25B6"/>
    <w:rsid w:val="009E2D36"/>
    <w:rsid w:val="009E2E96"/>
    <w:rsid w:val="009E38F7"/>
    <w:rsid w:val="009E44D9"/>
    <w:rsid w:val="009E5164"/>
    <w:rsid w:val="009F00C6"/>
    <w:rsid w:val="009F1CD4"/>
    <w:rsid w:val="009F2B86"/>
    <w:rsid w:val="009F653D"/>
    <w:rsid w:val="009F6738"/>
    <w:rsid w:val="009F7773"/>
    <w:rsid w:val="00A0146C"/>
    <w:rsid w:val="00A01FE6"/>
    <w:rsid w:val="00A02EBA"/>
    <w:rsid w:val="00A04134"/>
    <w:rsid w:val="00A0440D"/>
    <w:rsid w:val="00A04F8A"/>
    <w:rsid w:val="00A05352"/>
    <w:rsid w:val="00A06377"/>
    <w:rsid w:val="00A069A2"/>
    <w:rsid w:val="00A074F9"/>
    <w:rsid w:val="00A07FF7"/>
    <w:rsid w:val="00A10368"/>
    <w:rsid w:val="00A117F6"/>
    <w:rsid w:val="00A13469"/>
    <w:rsid w:val="00A15ADF"/>
    <w:rsid w:val="00A215AD"/>
    <w:rsid w:val="00A22D70"/>
    <w:rsid w:val="00A236B1"/>
    <w:rsid w:val="00A23C24"/>
    <w:rsid w:val="00A25E7C"/>
    <w:rsid w:val="00A26AA8"/>
    <w:rsid w:val="00A270C0"/>
    <w:rsid w:val="00A30216"/>
    <w:rsid w:val="00A34938"/>
    <w:rsid w:val="00A353C1"/>
    <w:rsid w:val="00A37492"/>
    <w:rsid w:val="00A37E63"/>
    <w:rsid w:val="00A400A5"/>
    <w:rsid w:val="00A405D1"/>
    <w:rsid w:val="00A40F5D"/>
    <w:rsid w:val="00A4779E"/>
    <w:rsid w:val="00A5012A"/>
    <w:rsid w:val="00A50531"/>
    <w:rsid w:val="00A52D8B"/>
    <w:rsid w:val="00A534CB"/>
    <w:rsid w:val="00A5451A"/>
    <w:rsid w:val="00A54949"/>
    <w:rsid w:val="00A55223"/>
    <w:rsid w:val="00A57033"/>
    <w:rsid w:val="00A60FBD"/>
    <w:rsid w:val="00A63E23"/>
    <w:rsid w:val="00A64AFC"/>
    <w:rsid w:val="00A67641"/>
    <w:rsid w:val="00A7072A"/>
    <w:rsid w:val="00A72E19"/>
    <w:rsid w:val="00A73251"/>
    <w:rsid w:val="00A7340E"/>
    <w:rsid w:val="00A74358"/>
    <w:rsid w:val="00A75E30"/>
    <w:rsid w:val="00A7731D"/>
    <w:rsid w:val="00A77650"/>
    <w:rsid w:val="00A80E24"/>
    <w:rsid w:val="00A82609"/>
    <w:rsid w:val="00A841DD"/>
    <w:rsid w:val="00A915C1"/>
    <w:rsid w:val="00A91BBD"/>
    <w:rsid w:val="00A9211E"/>
    <w:rsid w:val="00A925D1"/>
    <w:rsid w:val="00A94B94"/>
    <w:rsid w:val="00A97C77"/>
    <w:rsid w:val="00AA6583"/>
    <w:rsid w:val="00AA6920"/>
    <w:rsid w:val="00AA7550"/>
    <w:rsid w:val="00AB24CE"/>
    <w:rsid w:val="00AB321F"/>
    <w:rsid w:val="00AB4EB4"/>
    <w:rsid w:val="00AB62A3"/>
    <w:rsid w:val="00AB6597"/>
    <w:rsid w:val="00AB7D18"/>
    <w:rsid w:val="00AC1F27"/>
    <w:rsid w:val="00AC2B3E"/>
    <w:rsid w:val="00AC3F6B"/>
    <w:rsid w:val="00AC4D09"/>
    <w:rsid w:val="00AD1C82"/>
    <w:rsid w:val="00AD208E"/>
    <w:rsid w:val="00AD3AB6"/>
    <w:rsid w:val="00AD5272"/>
    <w:rsid w:val="00AD55FC"/>
    <w:rsid w:val="00AD6250"/>
    <w:rsid w:val="00AD628C"/>
    <w:rsid w:val="00AD7E26"/>
    <w:rsid w:val="00AE034C"/>
    <w:rsid w:val="00AE2010"/>
    <w:rsid w:val="00AE34DD"/>
    <w:rsid w:val="00AE3A57"/>
    <w:rsid w:val="00AE3B78"/>
    <w:rsid w:val="00AE3D69"/>
    <w:rsid w:val="00AE595D"/>
    <w:rsid w:val="00AE5E89"/>
    <w:rsid w:val="00AE6655"/>
    <w:rsid w:val="00AE7C1D"/>
    <w:rsid w:val="00AE7EDD"/>
    <w:rsid w:val="00AF0AD2"/>
    <w:rsid w:val="00AF1F38"/>
    <w:rsid w:val="00AF3064"/>
    <w:rsid w:val="00AF3BD6"/>
    <w:rsid w:val="00AF459C"/>
    <w:rsid w:val="00AF47D8"/>
    <w:rsid w:val="00AF537C"/>
    <w:rsid w:val="00AF57F9"/>
    <w:rsid w:val="00AF6D97"/>
    <w:rsid w:val="00AF7B4F"/>
    <w:rsid w:val="00B00AF9"/>
    <w:rsid w:val="00B01288"/>
    <w:rsid w:val="00B017CF"/>
    <w:rsid w:val="00B02EFF"/>
    <w:rsid w:val="00B04D2E"/>
    <w:rsid w:val="00B04FB8"/>
    <w:rsid w:val="00B062AD"/>
    <w:rsid w:val="00B0659C"/>
    <w:rsid w:val="00B107D9"/>
    <w:rsid w:val="00B1266F"/>
    <w:rsid w:val="00B12AB5"/>
    <w:rsid w:val="00B1656E"/>
    <w:rsid w:val="00B16BB0"/>
    <w:rsid w:val="00B16BE8"/>
    <w:rsid w:val="00B179B4"/>
    <w:rsid w:val="00B203DF"/>
    <w:rsid w:val="00B20726"/>
    <w:rsid w:val="00B251E0"/>
    <w:rsid w:val="00B25DB7"/>
    <w:rsid w:val="00B26A3F"/>
    <w:rsid w:val="00B273B3"/>
    <w:rsid w:val="00B3319B"/>
    <w:rsid w:val="00B33A66"/>
    <w:rsid w:val="00B33BC0"/>
    <w:rsid w:val="00B340CE"/>
    <w:rsid w:val="00B35FCF"/>
    <w:rsid w:val="00B40967"/>
    <w:rsid w:val="00B4130D"/>
    <w:rsid w:val="00B42796"/>
    <w:rsid w:val="00B44036"/>
    <w:rsid w:val="00B441BB"/>
    <w:rsid w:val="00B44774"/>
    <w:rsid w:val="00B44FA1"/>
    <w:rsid w:val="00B474CC"/>
    <w:rsid w:val="00B47F62"/>
    <w:rsid w:val="00B4C0B4"/>
    <w:rsid w:val="00B50244"/>
    <w:rsid w:val="00B50738"/>
    <w:rsid w:val="00B525A9"/>
    <w:rsid w:val="00B528BA"/>
    <w:rsid w:val="00B550C9"/>
    <w:rsid w:val="00B55AA7"/>
    <w:rsid w:val="00B57256"/>
    <w:rsid w:val="00B62AFF"/>
    <w:rsid w:val="00B64DAE"/>
    <w:rsid w:val="00B70C08"/>
    <w:rsid w:val="00B72BD3"/>
    <w:rsid w:val="00B72F31"/>
    <w:rsid w:val="00B7317B"/>
    <w:rsid w:val="00B7374C"/>
    <w:rsid w:val="00B7391A"/>
    <w:rsid w:val="00B74311"/>
    <w:rsid w:val="00B765F5"/>
    <w:rsid w:val="00B76B71"/>
    <w:rsid w:val="00B777A2"/>
    <w:rsid w:val="00B84747"/>
    <w:rsid w:val="00B86C73"/>
    <w:rsid w:val="00B90D7F"/>
    <w:rsid w:val="00B90E9C"/>
    <w:rsid w:val="00B93A68"/>
    <w:rsid w:val="00B949D4"/>
    <w:rsid w:val="00B96156"/>
    <w:rsid w:val="00B96DAC"/>
    <w:rsid w:val="00B97507"/>
    <w:rsid w:val="00B97F28"/>
    <w:rsid w:val="00BA37F7"/>
    <w:rsid w:val="00BA61F6"/>
    <w:rsid w:val="00BA6D94"/>
    <w:rsid w:val="00BA7570"/>
    <w:rsid w:val="00BA79ED"/>
    <w:rsid w:val="00BB1490"/>
    <w:rsid w:val="00BB3004"/>
    <w:rsid w:val="00BB39D0"/>
    <w:rsid w:val="00BB3C0E"/>
    <w:rsid w:val="00BB4575"/>
    <w:rsid w:val="00BB7AC9"/>
    <w:rsid w:val="00BC1B94"/>
    <w:rsid w:val="00BC2C8F"/>
    <w:rsid w:val="00BC423F"/>
    <w:rsid w:val="00BC5A7B"/>
    <w:rsid w:val="00BC5AED"/>
    <w:rsid w:val="00BC623C"/>
    <w:rsid w:val="00BC7068"/>
    <w:rsid w:val="00BC7960"/>
    <w:rsid w:val="00BD07CA"/>
    <w:rsid w:val="00BD10BF"/>
    <w:rsid w:val="00BD1BFE"/>
    <w:rsid w:val="00BD1CF1"/>
    <w:rsid w:val="00BD1D0F"/>
    <w:rsid w:val="00BD41E8"/>
    <w:rsid w:val="00BD4B5B"/>
    <w:rsid w:val="00BD6B05"/>
    <w:rsid w:val="00BD7F56"/>
    <w:rsid w:val="00BD7FCE"/>
    <w:rsid w:val="00BE0F02"/>
    <w:rsid w:val="00BE3550"/>
    <w:rsid w:val="00BE49DE"/>
    <w:rsid w:val="00BE7236"/>
    <w:rsid w:val="00BE769C"/>
    <w:rsid w:val="00BF03A3"/>
    <w:rsid w:val="00BF08CA"/>
    <w:rsid w:val="00BF2DDF"/>
    <w:rsid w:val="00BF2FB6"/>
    <w:rsid w:val="00BF4F53"/>
    <w:rsid w:val="00BF55E8"/>
    <w:rsid w:val="00C002CB"/>
    <w:rsid w:val="00C03B91"/>
    <w:rsid w:val="00C04A36"/>
    <w:rsid w:val="00C12849"/>
    <w:rsid w:val="00C13347"/>
    <w:rsid w:val="00C1555F"/>
    <w:rsid w:val="00C1748D"/>
    <w:rsid w:val="00C22089"/>
    <w:rsid w:val="00C22DDB"/>
    <w:rsid w:val="00C27BAD"/>
    <w:rsid w:val="00C27D7F"/>
    <w:rsid w:val="00C3278A"/>
    <w:rsid w:val="00C32F44"/>
    <w:rsid w:val="00C3385B"/>
    <w:rsid w:val="00C3577F"/>
    <w:rsid w:val="00C35F39"/>
    <w:rsid w:val="00C4175E"/>
    <w:rsid w:val="00C4376F"/>
    <w:rsid w:val="00C46D26"/>
    <w:rsid w:val="00C471E5"/>
    <w:rsid w:val="00C472B1"/>
    <w:rsid w:val="00C47EA1"/>
    <w:rsid w:val="00C50BEC"/>
    <w:rsid w:val="00C511FD"/>
    <w:rsid w:val="00C51A6C"/>
    <w:rsid w:val="00C52DB5"/>
    <w:rsid w:val="00C53231"/>
    <w:rsid w:val="00C5366D"/>
    <w:rsid w:val="00C53E9D"/>
    <w:rsid w:val="00C56C74"/>
    <w:rsid w:val="00C57300"/>
    <w:rsid w:val="00C60718"/>
    <w:rsid w:val="00C6214B"/>
    <w:rsid w:val="00C623B1"/>
    <w:rsid w:val="00C62EE5"/>
    <w:rsid w:val="00C63BC7"/>
    <w:rsid w:val="00C651AC"/>
    <w:rsid w:val="00C66089"/>
    <w:rsid w:val="00C663FB"/>
    <w:rsid w:val="00C66426"/>
    <w:rsid w:val="00C672FA"/>
    <w:rsid w:val="00C67DF1"/>
    <w:rsid w:val="00C711DF"/>
    <w:rsid w:val="00C71511"/>
    <w:rsid w:val="00C72FA5"/>
    <w:rsid w:val="00C74FB3"/>
    <w:rsid w:val="00C74FFD"/>
    <w:rsid w:val="00C7600C"/>
    <w:rsid w:val="00C7748E"/>
    <w:rsid w:val="00C8047E"/>
    <w:rsid w:val="00C8377D"/>
    <w:rsid w:val="00C852DF"/>
    <w:rsid w:val="00C857A7"/>
    <w:rsid w:val="00C85EE6"/>
    <w:rsid w:val="00C85EFB"/>
    <w:rsid w:val="00C86316"/>
    <w:rsid w:val="00C90E5B"/>
    <w:rsid w:val="00C90F77"/>
    <w:rsid w:val="00C91204"/>
    <w:rsid w:val="00C949B5"/>
    <w:rsid w:val="00C94DB1"/>
    <w:rsid w:val="00C95510"/>
    <w:rsid w:val="00C959F5"/>
    <w:rsid w:val="00C96A2D"/>
    <w:rsid w:val="00C978B3"/>
    <w:rsid w:val="00C97D28"/>
    <w:rsid w:val="00CA5138"/>
    <w:rsid w:val="00CA5B50"/>
    <w:rsid w:val="00CA6718"/>
    <w:rsid w:val="00CA7362"/>
    <w:rsid w:val="00CB0EE8"/>
    <w:rsid w:val="00CB14CD"/>
    <w:rsid w:val="00CB1A9C"/>
    <w:rsid w:val="00CB3877"/>
    <w:rsid w:val="00CB581C"/>
    <w:rsid w:val="00CB657A"/>
    <w:rsid w:val="00CC1BD6"/>
    <w:rsid w:val="00CC3E43"/>
    <w:rsid w:val="00CC3ECB"/>
    <w:rsid w:val="00CC455D"/>
    <w:rsid w:val="00CC5507"/>
    <w:rsid w:val="00CC5E62"/>
    <w:rsid w:val="00CC5EF6"/>
    <w:rsid w:val="00CC6C84"/>
    <w:rsid w:val="00CC7B2D"/>
    <w:rsid w:val="00CD04D4"/>
    <w:rsid w:val="00CD0D42"/>
    <w:rsid w:val="00CD351D"/>
    <w:rsid w:val="00CD3D7E"/>
    <w:rsid w:val="00CD42FB"/>
    <w:rsid w:val="00CD48DC"/>
    <w:rsid w:val="00CD4A1F"/>
    <w:rsid w:val="00CD6286"/>
    <w:rsid w:val="00CD7463"/>
    <w:rsid w:val="00CE096A"/>
    <w:rsid w:val="00CE1005"/>
    <w:rsid w:val="00CE300E"/>
    <w:rsid w:val="00CE4A02"/>
    <w:rsid w:val="00CE5B50"/>
    <w:rsid w:val="00CE6545"/>
    <w:rsid w:val="00CE6C13"/>
    <w:rsid w:val="00CE7013"/>
    <w:rsid w:val="00CF0879"/>
    <w:rsid w:val="00CF09C0"/>
    <w:rsid w:val="00CF161D"/>
    <w:rsid w:val="00CF30F1"/>
    <w:rsid w:val="00CF3944"/>
    <w:rsid w:val="00CF5038"/>
    <w:rsid w:val="00CF57B6"/>
    <w:rsid w:val="00CF5DA3"/>
    <w:rsid w:val="00CF635E"/>
    <w:rsid w:val="00CF6A32"/>
    <w:rsid w:val="00D004A1"/>
    <w:rsid w:val="00D00B19"/>
    <w:rsid w:val="00D01CB7"/>
    <w:rsid w:val="00D02B8E"/>
    <w:rsid w:val="00D04C1D"/>
    <w:rsid w:val="00D05CA7"/>
    <w:rsid w:val="00D07D40"/>
    <w:rsid w:val="00D1110F"/>
    <w:rsid w:val="00D134B5"/>
    <w:rsid w:val="00D13882"/>
    <w:rsid w:val="00D15D02"/>
    <w:rsid w:val="00D16E06"/>
    <w:rsid w:val="00D2154D"/>
    <w:rsid w:val="00D2409F"/>
    <w:rsid w:val="00D268E5"/>
    <w:rsid w:val="00D26D2C"/>
    <w:rsid w:val="00D2788A"/>
    <w:rsid w:val="00D3276C"/>
    <w:rsid w:val="00D331F1"/>
    <w:rsid w:val="00D3348E"/>
    <w:rsid w:val="00D33EFF"/>
    <w:rsid w:val="00D351D3"/>
    <w:rsid w:val="00D3542B"/>
    <w:rsid w:val="00D412D4"/>
    <w:rsid w:val="00D41AE5"/>
    <w:rsid w:val="00D422DC"/>
    <w:rsid w:val="00D451EE"/>
    <w:rsid w:val="00D46580"/>
    <w:rsid w:val="00D47F7E"/>
    <w:rsid w:val="00D5180A"/>
    <w:rsid w:val="00D51C78"/>
    <w:rsid w:val="00D52AE9"/>
    <w:rsid w:val="00D55237"/>
    <w:rsid w:val="00D569B6"/>
    <w:rsid w:val="00D61500"/>
    <w:rsid w:val="00D61A19"/>
    <w:rsid w:val="00D63098"/>
    <w:rsid w:val="00D63AFE"/>
    <w:rsid w:val="00D651CF"/>
    <w:rsid w:val="00D65F2E"/>
    <w:rsid w:val="00D70FD9"/>
    <w:rsid w:val="00D717C0"/>
    <w:rsid w:val="00D71A6D"/>
    <w:rsid w:val="00D739F0"/>
    <w:rsid w:val="00D73C26"/>
    <w:rsid w:val="00D744A9"/>
    <w:rsid w:val="00D74C74"/>
    <w:rsid w:val="00D7529F"/>
    <w:rsid w:val="00D7618D"/>
    <w:rsid w:val="00D77C5C"/>
    <w:rsid w:val="00D818E8"/>
    <w:rsid w:val="00D819E9"/>
    <w:rsid w:val="00D81EE0"/>
    <w:rsid w:val="00D8265C"/>
    <w:rsid w:val="00D84A16"/>
    <w:rsid w:val="00D858BE"/>
    <w:rsid w:val="00D87989"/>
    <w:rsid w:val="00D91CA7"/>
    <w:rsid w:val="00D9296A"/>
    <w:rsid w:val="00D932DC"/>
    <w:rsid w:val="00D93307"/>
    <w:rsid w:val="00D94EB5"/>
    <w:rsid w:val="00D95199"/>
    <w:rsid w:val="00D95319"/>
    <w:rsid w:val="00D95B87"/>
    <w:rsid w:val="00D971D9"/>
    <w:rsid w:val="00DA12B3"/>
    <w:rsid w:val="00DA1D2B"/>
    <w:rsid w:val="00DA2084"/>
    <w:rsid w:val="00DA20B0"/>
    <w:rsid w:val="00DA2A12"/>
    <w:rsid w:val="00DA4260"/>
    <w:rsid w:val="00DA545F"/>
    <w:rsid w:val="00DA6D54"/>
    <w:rsid w:val="00DB07FC"/>
    <w:rsid w:val="00DB229A"/>
    <w:rsid w:val="00DB2D9A"/>
    <w:rsid w:val="00DB56C7"/>
    <w:rsid w:val="00DB725E"/>
    <w:rsid w:val="00DC23FA"/>
    <w:rsid w:val="00DC276A"/>
    <w:rsid w:val="00DC30A2"/>
    <w:rsid w:val="00DC3E76"/>
    <w:rsid w:val="00DC5769"/>
    <w:rsid w:val="00DC720A"/>
    <w:rsid w:val="00DC7445"/>
    <w:rsid w:val="00DD1EFB"/>
    <w:rsid w:val="00DD279C"/>
    <w:rsid w:val="00DD3D04"/>
    <w:rsid w:val="00DD6267"/>
    <w:rsid w:val="00DD73C6"/>
    <w:rsid w:val="00DD7C41"/>
    <w:rsid w:val="00DE166D"/>
    <w:rsid w:val="00DE1689"/>
    <w:rsid w:val="00DE177E"/>
    <w:rsid w:val="00DE1E20"/>
    <w:rsid w:val="00DE31C8"/>
    <w:rsid w:val="00DE3522"/>
    <w:rsid w:val="00DE4AE6"/>
    <w:rsid w:val="00DE522C"/>
    <w:rsid w:val="00DE5586"/>
    <w:rsid w:val="00DE5CB3"/>
    <w:rsid w:val="00DE6AB2"/>
    <w:rsid w:val="00DE72EF"/>
    <w:rsid w:val="00DE799F"/>
    <w:rsid w:val="00DF30ED"/>
    <w:rsid w:val="00DF30F7"/>
    <w:rsid w:val="00DF4793"/>
    <w:rsid w:val="00DF4D6D"/>
    <w:rsid w:val="00DF5D26"/>
    <w:rsid w:val="00DF6180"/>
    <w:rsid w:val="00DF7DF7"/>
    <w:rsid w:val="00E0016B"/>
    <w:rsid w:val="00E0019F"/>
    <w:rsid w:val="00E0247C"/>
    <w:rsid w:val="00E0482F"/>
    <w:rsid w:val="00E06003"/>
    <w:rsid w:val="00E06121"/>
    <w:rsid w:val="00E071C6"/>
    <w:rsid w:val="00E12CC6"/>
    <w:rsid w:val="00E1343F"/>
    <w:rsid w:val="00E15F4B"/>
    <w:rsid w:val="00E1603D"/>
    <w:rsid w:val="00E16B5E"/>
    <w:rsid w:val="00E16FB9"/>
    <w:rsid w:val="00E21C0E"/>
    <w:rsid w:val="00E220DC"/>
    <w:rsid w:val="00E2222D"/>
    <w:rsid w:val="00E24E15"/>
    <w:rsid w:val="00E25393"/>
    <w:rsid w:val="00E259BE"/>
    <w:rsid w:val="00E26BEE"/>
    <w:rsid w:val="00E26D49"/>
    <w:rsid w:val="00E27BE1"/>
    <w:rsid w:val="00E31222"/>
    <w:rsid w:val="00E31A5B"/>
    <w:rsid w:val="00E31DA8"/>
    <w:rsid w:val="00E33CE0"/>
    <w:rsid w:val="00E40D48"/>
    <w:rsid w:val="00E41A2D"/>
    <w:rsid w:val="00E42EEC"/>
    <w:rsid w:val="00E44F9F"/>
    <w:rsid w:val="00E46132"/>
    <w:rsid w:val="00E46A9C"/>
    <w:rsid w:val="00E46F22"/>
    <w:rsid w:val="00E47C1B"/>
    <w:rsid w:val="00E5420B"/>
    <w:rsid w:val="00E545F6"/>
    <w:rsid w:val="00E55B35"/>
    <w:rsid w:val="00E57EBA"/>
    <w:rsid w:val="00E601CE"/>
    <w:rsid w:val="00E60775"/>
    <w:rsid w:val="00E60FE1"/>
    <w:rsid w:val="00E63672"/>
    <w:rsid w:val="00E66F28"/>
    <w:rsid w:val="00E7009E"/>
    <w:rsid w:val="00E7090C"/>
    <w:rsid w:val="00E714E1"/>
    <w:rsid w:val="00E76EFE"/>
    <w:rsid w:val="00E774C5"/>
    <w:rsid w:val="00E77608"/>
    <w:rsid w:val="00E77E8C"/>
    <w:rsid w:val="00E80317"/>
    <w:rsid w:val="00E8130C"/>
    <w:rsid w:val="00E814E7"/>
    <w:rsid w:val="00E820DB"/>
    <w:rsid w:val="00E82BA7"/>
    <w:rsid w:val="00E8395F"/>
    <w:rsid w:val="00E840E7"/>
    <w:rsid w:val="00E84E94"/>
    <w:rsid w:val="00E85B43"/>
    <w:rsid w:val="00E87486"/>
    <w:rsid w:val="00E908F4"/>
    <w:rsid w:val="00E90989"/>
    <w:rsid w:val="00E9318C"/>
    <w:rsid w:val="00E9335A"/>
    <w:rsid w:val="00E9553D"/>
    <w:rsid w:val="00E9574F"/>
    <w:rsid w:val="00E96EB2"/>
    <w:rsid w:val="00EA1FEB"/>
    <w:rsid w:val="00EA40F9"/>
    <w:rsid w:val="00EA53C9"/>
    <w:rsid w:val="00EA5509"/>
    <w:rsid w:val="00EA5533"/>
    <w:rsid w:val="00EA5E57"/>
    <w:rsid w:val="00EA69ED"/>
    <w:rsid w:val="00EA6EC2"/>
    <w:rsid w:val="00EA7EFC"/>
    <w:rsid w:val="00EB09CD"/>
    <w:rsid w:val="00EB44C2"/>
    <w:rsid w:val="00EB4DF7"/>
    <w:rsid w:val="00EC08AB"/>
    <w:rsid w:val="00EC2295"/>
    <w:rsid w:val="00EC2817"/>
    <w:rsid w:val="00EC4267"/>
    <w:rsid w:val="00EC5A23"/>
    <w:rsid w:val="00EC5AD0"/>
    <w:rsid w:val="00EC64A1"/>
    <w:rsid w:val="00EC6552"/>
    <w:rsid w:val="00EC7657"/>
    <w:rsid w:val="00ED1EAA"/>
    <w:rsid w:val="00ED479E"/>
    <w:rsid w:val="00ED48C4"/>
    <w:rsid w:val="00ED6E49"/>
    <w:rsid w:val="00EE0C2A"/>
    <w:rsid w:val="00EE0C54"/>
    <w:rsid w:val="00EE2C40"/>
    <w:rsid w:val="00EE51AB"/>
    <w:rsid w:val="00EE6924"/>
    <w:rsid w:val="00EE69C9"/>
    <w:rsid w:val="00EF0AD4"/>
    <w:rsid w:val="00EF65FF"/>
    <w:rsid w:val="00EF6917"/>
    <w:rsid w:val="00EF7C21"/>
    <w:rsid w:val="00F00ED0"/>
    <w:rsid w:val="00F04233"/>
    <w:rsid w:val="00F0452D"/>
    <w:rsid w:val="00F04A09"/>
    <w:rsid w:val="00F10ECD"/>
    <w:rsid w:val="00F1320E"/>
    <w:rsid w:val="00F134F6"/>
    <w:rsid w:val="00F1428E"/>
    <w:rsid w:val="00F14CCC"/>
    <w:rsid w:val="00F1655C"/>
    <w:rsid w:val="00F16A46"/>
    <w:rsid w:val="00F16C58"/>
    <w:rsid w:val="00F17BD1"/>
    <w:rsid w:val="00F17CB2"/>
    <w:rsid w:val="00F22D50"/>
    <w:rsid w:val="00F2353D"/>
    <w:rsid w:val="00F2546B"/>
    <w:rsid w:val="00F26A26"/>
    <w:rsid w:val="00F363CA"/>
    <w:rsid w:val="00F36B5E"/>
    <w:rsid w:val="00F37ACA"/>
    <w:rsid w:val="00F403A7"/>
    <w:rsid w:val="00F40BE2"/>
    <w:rsid w:val="00F457AE"/>
    <w:rsid w:val="00F50059"/>
    <w:rsid w:val="00F51253"/>
    <w:rsid w:val="00F516A8"/>
    <w:rsid w:val="00F51A28"/>
    <w:rsid w:val="00F5313B"/>
    <w:rsid w:val="00F54634"/>
    <w:rsid w:val="00F547D6"/>
    <w:rsid w:val="00F6118B"/>
    <w:rsid w:val="00F620D1"/>
    <w:rsid w:val="00F6237F"/>
    <w:rsid w:val="00F62796"/>
    <w:rsid w:val="00F62A33"/>
    <w:rsid w:val="00F647AF"/>
    <w:rsid w:val="00F65DFE"/>
    <w:rsid w:val="00F66649"/>
    <w:rsid w:val="00F66D92"/>
    <w:rsid w:val="00F71A3A"/>
    <w:rsid w:val="00F71F8D"/>
    <w:rsid w:val="00F72E83"/>
    <w:rsid w:val="00F737FA"/>
    <w:rsid w:val="00F7777D"/>
    <w:rsid w:val="00F8109F"/>
    <w:rsid w:val="00F82130"/>
    <w:rsid w:val="00F85525"/>
    <w:rsid w:val="00F85BA8"/>
    <w:rsid w:val="00F86144"/>
    <w:rsid w:val="00F86A7B"/>
    <w:rsid w:val="00F86D90"/>
    <w:rsid w:val="00F90FCD"/>
    <w:rsid w:val="00F97D5C"/>
    <w:rsid w:val="00FA0BF3"/>
    <w:rsid w:val="00FA154A"/>
    <w:rsid w:val="00FA37FD"/>
    <w:rsid w:val="00FA3C2A"/>
    <w:rsid w:val="00FA3F1B"/>
    <w:rsid w:val="00FA7462"/>
    <w:rsid w:val="00FB0E3C"/>
    <w:rsid w:val="00FB4680"/>
    <w:rsid w:val="00FB6F43"/>
    <w:rsid w:val="00FB78B2"/>
    <w:rsid w:val="00FBAB0E"/>
    <w:rsid w:val="00FC1625"/>
    <w:rsid w:val="00FC4761"/>
    <w:rsid w:val="00FC51FF"/>
    <w:rsid w:val="00FC5836"/>
    <w:rsid w:val="00FC5E2A"/>
    <w:rsid w:val="00FC64BF"/>
    <w:rsid w:val="00FC775F"/>
    <w:rsid w:val="00FD0D83"/>
    <w:rsid w:val="00FD1E5D"/>
    <w:rsid w:val="00FD366B"/>
    <w:rsid w:val="00FD3FC2"/>
    <w:rsid w:val="00FE1885"/>
    <w:rsid w:val="00FE220C"/>
    <w:rsid w:val="00FE2373"/>
    <w:rsid w:val="00FF0880"/>
    <w:rsid w:val="00FF0940"/>
    <w:rsid w:val="00FF0D56"/>
    <w:rsid w:val="00FF18F8"/>
    <w:rsid w:val="00FF1B54"/>
    <w:rsid w:val="00FF3D15"/>
    <w:rsid w:val="00FF517C"/>
    <w:rsid w:val="00FF54B5"/>
    <w:rsid w:val="00FF71FF"/>
    <w:rsid w:val="014DBD10"/>
    <w:rsid w:val="0176A6D0"/>
    <w:rsid w:val="018676F2"/>
    <w:rsid w:val="019F0912"/>
    <w:rsid w:val="01CAF589"/>
    <w:rsid w:val="01DB2E8C"/>
    <w:rsid w:val="02167D09"/>
    <w:rsid w:val="022619C8"/>
    <w:rsid w:val="0230A0A1"/>
    <w:rsid w:val="023A65C6"/>
    <w:rsid w:val="027B3BBA"/>
    <w:rsid w:val="0286D267"/>
    <w:rsid w:val="0298F955"/>
    <w:rsid w:val="02ECE9BA"/>
    <w:rsid w:val="033AD973"/>
    <w:rsid w:val="042CF8A6"/>
    <w:rsid w:val="0481A20B"/>
    <w:rsid w:val="04855DD2"/>
    <w:rsid w:val="052EAB5F"/>
    <w:rsid w:val="053D14CA"/>
    <w:rsid w:val="054E5036"/>
    <w:rsid w:val="05A5240C"/>
    <w:rsid w:val="05B2C876"/>
    <w:rsid w:val="05D80BA9"/>
    <w:rsid w:val="05FBDF31"/>
    <w:rsid w:val="060EF0BD"/>
    <w:rsid w:val="069BB4DE"/>
    <w:rsid w:val="06ACE091"/>
    <w:rsid w:val="07BC15E8"/>
    <w:rsid w:val="07BF6DA3"/>
    <w:rsid w:val="07D03488"/>
    <w:rsid w:val="07F26DD0"/>
    <w:rsid w:val="083D0A8B"/>
    <w:rsid w:val="08A4B20F"/>
    <w:rsid w:val="08B6A0CE"/>
    <w:rsid w:val="0933A292"/>
    <w:rsid w:val="096D9802"/>
    <w:rsid w:val="09C3A5BE"/>
    <w:rsid w:val="0A02A515"/>
    <w:rsid w:val="0A456D6C"/>
    <w:rsid w:val="0A97EE2F"/>
    <w:rsid w:val="0AB0B2BD"/>
    <w:rsid w:val="0AF27905"/>
    <w:rsid w:val="0AFC8CDC"/>
    <w:rsid w:val="0B45EB58"/>
    <w:rsid w:val="0B48F61B"/>
    <w:rsid w:val="0B9DECE3"/>
    <w:rsid w:val="0BF71512"/>
    <w:rsid w:val="0C2C340C"/>
    <w:rsid w:val="0CC86484"/>
    <w:rsid w:val="0CCCB3AF"/>
    <w:rsid w:val="0CD3CFA4"/>
    <w:rsid w:val="0CE6FAF1"/>
    <w:rsid w:val="0D0A15AB"/>
    <w:rsid w:val="0D2A6145"/>
    <w:rsid w:val="0D338210"/>
    <w:rsid w:val="0DB5BAFF"/>
    <w:rsid w:val="0DC84DAB"/>
    <w:rsid w:val="0DDFF5FA"/>
    <w:rsid w:val="0DE41947"/>
    <w:rsid w:val="0E65B575"/>
    <w:rsid w:val="0F3773BF"/>
    <w:rsid w:val="0F6AC220"/>
    <w:rsid w:val="0F7E9A21"/>
    <w:rsid w:val="0FC7DFF2"/>
    <w:rsid w:val="0FE77131"/>
    <w:rsid w:val="101D1669"/>
    <w:rsid w:val="10323BB8"/>
    <w:rsid w:val="10631083"/>
    <w:rsid w:val="1097F349"/>
    <w:rsid w:val="109BE442"/>
    <w:rsid w:val="110F7F2E"/>
    <w:rsid w:val="11442481"/>
    <w:rsid w:val="11900BDC"/>
    <w:rsid w:val="12267A4A"/>
    <w:rsid w:val="12353C94"/>
    <w:rsid w:val="12EE7664"/>
    <w:rsid w:val="1311531A"/>
    <w:rsid w:val="142B97D3"/>
    <w:rsid w:val="14938A48"/>
    <w:rsid w:val="14A10810"/>
    <w:rsid w:val="14A36F22"/>
    <w:rsid w:val="155479F9"/>
    <w:rsid w:val="157F39F7"/>
    <w:rsid w:val="15C76834"/>
    <w:rsid w:val="15D99EC5"/>
    <w:rsid w:val="1618E63A"/>
    <w:rsid w:val="166F9E5A"/>
    <w:rsid w:val="16861FF2"/>
    <w:rsid w:val="16D9D2A4"/>
    <w:rsid w:val="170320CB"/>
    <w:rsid w:val="1705BD03"/>
    <w:rsid w:val="185BFCFA"/>
    <w:rsid w:val="18DFF857"/>
    <w:rsid w:val="191423BC"/>
    <w:rsid w:val="1938CF09"/>
    <w:rsid w:val="19467751"/>
    <w:rsid w:val="1A1125E8"/>
    <w:rsid w:val="1A351786"/>
    <w:rsid w:val="1A43FFF9"/>
    <w:rsid w:val="1A74EF09"/>
    <w:rsid w:val="1B34116C"/>
    <w:rsid w:val="1B62A444"/>
    <w:rsid w:val="1B769352"/>
    <w:rsid w:val="1BD78D70"/>
    <w:rsid w:val="1BFE2350"/>
    <w:rsid w:val="1C457154"/>
    <w:rsid w:val="1C893508"/>
    <w:rsid w:val="1C931A41"/>
    <w:rsid w:val="1CBE8ED2"/>
    <w:rsid w:val="1CCFE1CD"/>
    <w:rsid w:val="1D01F22A"/>
    <w:rsid w:val="1D17E843"/>
    <w:rsid w:val="1D22BFE4"/>
    <w:rsid w:val="1E198F34"/>
    <w:rsid w:val="1E1C6775"/>
    <w:rsid w:val="1E31290B"/>
    <w:rsid w:val="1E395FAB"/>
    <w:rsid w:val="1E747C0E"/>
    <w:rsid w:val="1E9CBB56"/>
    <w:rsid w:val="1EE2B97A"/>
    <w:rsid w:val="1F570BC6"/>
    <w:rsid w:val="1F85056C"/>
    <w:rsid w:val="1F937DBC"/>
    <w:rsid w:val="2035F1F4"/>
    <w:rsid w:val="21335584"/>
    <w:rsid w:val="21A736DB"/>
    <w:rsid w:val="21BCB1C1"/>
    <w:rsid w:val="21D1A4E5"/>
    <w:rsid w:val="21D6F6E4"/>
    <w:rsid w:val="223964D3"/>
    <w:rsid w:val="225C1F65"/>
    <w:rsid w:val="228AB000"/>
    <w:rsid w:val="22EEA736"/>
    <w:rsid w:val="232F63ED"/>
    <w:rsid w:val="23420B1D"/>
    <w:rsid w:val="235A0683"/>
    <w:rsid w:val="24281F0E"/>
    <w:rsid w:val="2467E784"/>
    <w:rsid w:val="24AF18AD"/>
    <w:rsid w:val="2547A922"/>
    <w:rsid w:val="259F7E6C"/>
    <w:rsid w:val="26012BA9"/>
    <w:rsid w:val="2612CC22"/>
    <w:rsid w:val="2674F4D2"/>
    <w:rsid w:val="26F65AF5"/>
    <w:rsid w:val="27C3A098"/>
    <w:rsid w:val="27D41221"/>
    <w:rsid w:val="281109E2"/>
    <w:rsid w:val="2821286C"/>
    <w:rsid w:val="2835254C"/>
    <w:rsid w:val="28B2A5E7"/>
    <w:rsid w:val="28EBE8F1"/>
    <w:rsid w:val="29048826"/>
    <w:rsid w:val="290D31FE"/>
    <w:rsid w:val="29253F0C"/>
    <w:rsid w:val="29DA273D"/>
    <w:rsid w:val="29ED2F17"/>
    <w:rsid w:val="2A074C91"/>
    <w:rsid w:val="2A5F1170"/>
    <w:rsid w:val="2AACCA49"/>
    <w:rsid w:val="2AB4B6D4"/>
    <w:rsid w:val="2AEF947C"/>
    <w:rsid w:val="2BB1DF3C"/>
    <w:rsid w:val="2BC9ADB8"/>
    <w:rsid w:val="2C24388E"/>
    <w:rsid w:val="2C808CF5"/>
    <w:rsid w:val="2C92B087"/>
    <w:rsid w:val="2CE91F47"/>
    <w:rsid w:val="2D3E87B1"/>
    <w:rsid w:val="2D6064C5"/>
    <w:rsid w:val="2D992398"/>
    <w:rsid w:val="2DD485E4"/>
    <w:rsid w:val="2E0C6671"/>
    <w:rsid w:val="2E10932E"/>
    <w:rsid w:val="2E39850A"/>
    <w:rsid w:val="2E56F6F4"/>
    <w:rsid w:val="2ED6A5F4"/>
    <w:rsid w:val="2F172FA5"/>
    <w:rsid w:val="2F229356"/>
    <w:rsid w:val="2F72CD8B"/>
    <w:rsid w:val="2FB557B5"/>
    <w:rsid w:val="2FB9AE68"/>
    <w:rsid w:val="2FE7BCCF"/>
    <w:rsid w:val="30C29C0E"/>
    <w:rsid w:val="30F10A27"/>
    <w:rsid w:val="3107D106"/>
    <w:rsid w:val="310E9DEC"/>
    <w:rsid w:val="310F9A0B"/>
    <w:rsid w:val="318F45E2"/>
    <w:rsid w:val="31B7CB7C"/>
    <w:rsid w:val="31EB2270"/>
    <w:rsid w:val="322120C0"/>
    <w:rsid w:val="32562675"/>
    <w:rsid w:val="32A20707"/>
    <w:rsid w:val="32AB6A6C"/>
    <w:rsid w:val="32CF6980"/>
    <w:rsid w:val="3308E2F5"/>
    <w:rsid w:val="33140241"/>
    <w:rsid w:val="331CF67E"/>
    <w:rsid w:val="335700F2"/>
    <w:rsid w:val="33AFD1F9"/>
    <w:rsid w:val="33F5588E"/>
    <w:rsid w:val="345FCCED"/>
    <w:rsid w:val="34A8C68E"/>
    <w:rsid w:val="34D1EE41"/>
    <w:rsid w:val="352EAF84"/>
    <w:rsid w:val="359D153D"/>
    <w:rsid w:val="35AD28DB"/>
    <w:rsid w:val="35D06046"/>
    <w:rsid w:val="37293272"/>
    <w:rsid w:val="3776AD65"/>
    <w:rsid w:val="380354EA"/>
    <w:rsid w:val="3805935A"/>
    <w:rsid w:val="383B1574"/>
    <w:rsid w:val="38D3863A"/>
    <w:rsid w:val="38F3B093"/>
    <w:rsid w:val="3992F59D"/>
    <w:rsid w:val="3994B16D"/>
    <w:rsid w:val="39BEA33C"/>
    <w:rsid w:val="39C9AAC5"/>
    <w:rsid w:val="3AB98A87"/>
    <w:rsid w:val="3AF42F4A"/>
    <w:rsid w:val="3AFACD78"/>
    <w:rsid w:val="3B526A9C"/>
    <w:rsid w:val="3B894DE2"/>
    <w:rsid w:val="3C3D6BA5"/>
    <w:rsid w:val="3C6ADED2"/>
    <w:rsid w:val="3CF65A59"/>
    <w:rsid w:val="3D979F16"/>
    <w:rsid w:val="3DD87ECC"/>
    <w:rsid w:val="3DDCA11B"/>
    <w:rsid w:val="3E86BEEB"/>
    <w:rsid w:val="3EF63752"/>
    <w:rsid w:val="3F436BC7"/>
    <w:rsid w:val="3F744F2D"/>
    <w:rsid w:val="4017636F"/>
    <w:rsid w:val="40467153"/>
    <w:rsid w:val="4108D7CD"/>
    <w:rsid w:val="417D2923"/>
    <w:rsid w:val="419BA680"/>
    <w:rsid w:val="4211EA16"/>
    <w:rsid w:val="428EBF6F"/>
    <w:rsid w:val="42CFAE85"/>
    <w:rsid w:val="42F8DDC3"/>
    <w:rsid w:val="435A6F1E"/>
    <w:rsid w:val="436C1C8C"/>
    <w:rsid w:val="439C28CC"/>
    <w:rsid w:val="43BAAA46"/>
    <w:rsid w:val="43D75DE3"/>
    <w:rsid w:val="44AC591E"/>
    <w:rsid w:val="44EE0658"/>
    <w:rsid w:val="4506E4A3"/>
    <w:rsid w:val="451A6D5D"/>
    <w:rsid w:val="451E1FF2"/>
    <w:rsid w:val="454F1A67"/>
    <w:rsid w:val="4638F730"/>
    <w:rsid w:val="46497FE2"/>
    <w:rsid w:val="4667E2D5"/>
    <w:rsid w:val="46BB88CE"/>
    <w:rsid w:val="4719BFF4"/>
    <w:rsid w:val="47880BD2"/>
    <w:rsid w:val="479C56A2"/>
    <w:rsid w:val="47B4269B"/>
    <w:rsid w:val="47D2CF53"/>
    <w:rsid w:val="484E80CB"/>
    <w:rsid w:val="48954B37"/>
    <w:rsid w:val="48BB72FA"/>
    <w:rsid w:val="491E98C4"/>
    <w:rsid w:val="492AA9C9"/>
    <w:rsid w:val="4933F9AB"/>
    <w:rsid w:val="49A59750"/>
    <w:rsid w:val="49B463A9"/>
    <w:rsid w:val="49D33EB4"/>
    <w:rsid w:val="4A282487"/>
    <w:rsid w:val="4A720708"/>
    <w:rsid w:val="4A85C16D"/>
    <w:rsid w:val="4ABA6925"/>
    <w:rsid w:val="4AC83097"/>
    <w:rsid w:val="4B24C6CD"/>
    <w:rsid w:val="4B2F15A1"/>
    <w:rsid w:val="4BCCA1FF"/>
    <w:rsid w:val="4BD18F17"/>
    <w:rsid w:val="4BDA82D7"/>
    <w:rsid w:val="4C03BE3B"/>
    <w:rsid w:val="4C116683"/>
    <w:rsid w:val="4C5735A5"/>
    <w:rsid w:val="4D3DEA41"/>
    <w:rsid w:val="4DFEE050"/>
    <w:rsid w:val="4E06E603"/>
    <w:rsid w:val="4E537DEA"/>
    <w:rsid w:val="4E6DA27D"/>
    <w:rsid w:val="4E890004"/>
    <w:rsid w:val="4EA0F971"/>
    <w:rsid w:val="4ED7DCB7"/>
    <w:rsid w:val="4F8BD2BF"/>
    <w:rsid w:val="4FC02400"/>
    <w:rsid w:val="4FF06228"/>
    <w:rsid w:val="4FF70900"/>
    <w:rsid w:val="50012F7F"/>
    <w:rsid w:val="5015052B"/>
    <w:rsid w:val="50216B50"/>
    <w:rsid w:val="503FF082"/>
    <w:rsid w:val="5057B71E"/>
    <w:rsid w:val="50D433E1"/>
    <w:rsid w:val="50D8245D"/>
    <w:rsid w:val="50F0E795"/>
    <w:rsid w:val="51178C23"/>
    <w:rsid w:val="51475AFA"/>
    <w:rsid w:val="5166A495"/>
    <w:rsid w:val="519545B4"/>
    <w:rsid w:val="5215E5F8"/>
    <w:rsid w:val="526A549F"/>
    <w:rsid w:val="5270FFE3"/>
    <w:rsid w:val="527BDA0E"/>
    <w:rsid w:val="52E1ED9D"/>
    <w:rsid w:val="52EF5E25"/>
    <w:rsid w:val="535317C5"/>
    <w:rsid w:val="539AF37A"/>
    <w:rsid w:val="53FD1E6C"/>
    <w:rsid w:val="54298DA8"/>
    <w:rsid w:val="547B3D30"/>
    <w:rsid w:val="5492D33A"/>
    <w:rsid w:val="54A45CCA"/>
    <w:rsid w:val="54B18595"/>
    <w:rsid w:val="5504283E"/>
    <w:rsid w:val="5542C788"/>
    <w:rsid w:val="55C8399D"/>
    <w:rsid w:val="55DC8F11"/>
    <w:rsid w:val="563A49B6"/>
    <w:rsid w:val="566CA378"/>
    <w:rsid w:val="56C3498F"/>
    <w:rsid w:val="56EA95C0"/>
    <w:rsid w:val="56F010BE"/>
    <w:rsid w:val="5702A145"/>
    <w:rsid w:val="570E18EA"/>
    <w:rsid w:val="572F9D1C"/>
    <w:rsid w:val="57F83018"/>
    <w:rsid w:val="57F9959C"/>
    <w:rsid w:val="582E2855"/>
    <w:rsid w:val="583BC900"/>
    <w:rsid w:val="58433401"/>
    <w:rsid w:val="586B7FD7"/>
    <w:rsid w:val="58758B05"/>
    <w:rsid w:val="59F84B86"/>
    <w:rsid w:val="5A1F21EA"/>
    <w:rsid w:val="5A20F7DD"/>
    <w:rsid w:val="5A303A71"/>
    <w:rsid w:val="5A4F4717"/>
    <w:rsid w:val="5A8604F1"/>
    <w:rsid w:val="5AB4A306"/>
    <w:rsid w:val="5AF84F44"/>
    <w:rsid w:val="5B0959A5"/>
    <w:rsid w:val="5B7369C2"/>
    <w:rsid w:val="5B9658C0"/>
    <w:rsid w:val="5BB50991"/>
    <w:rsid w:val="5BBCC83E"/>
    <w:rsid w:val="5BD61268"/>
    <w:rsid w:val="5C507367"/>
    <w:rsid w:val="5C652BC3"/>
    <w:rsid w:val="5CDB1B48"/>
    <w:rsid w:val="5CE6C774"/>
    <w:rsid w:val="5D3452FA"/>
    <w:rsid w:val="5DAFB67B"/>
    <w:rsid w:val="5DD95B77"/>
    <w:rsid w:val="5DFDFE61"/>
    <w:rsid w:val="5E4C5B92"/>
    <w:rsid w:val="5E7C5AE2"/>
    <w:rsid w:val="5EAB0A84"/>
    <w:rsid w:val="5F3D7333"/>
    <w:rsid w:val="5F52C22D"/>
    <w:rsid w:val="5F64BA4F"/>
    <w:rsid w:val="5F8AD5B5"/>
    <w:rsid w:val="5FF39545"/>
    <w:rsid w:val="602E4641"/>
    <w:rsid w:val="6046DAE5"/>
    <w:rsid w:val="606888AB"/>
    <w:rsid w:val="6098F239"/>
    <w:rsid w:val="60C2E93A"/>
    <w:rsid w:val="60E099A2"/>
    <w:rsid w:val="610F37CA"/>
    <w:rsid w:val="611F41B8"/>
    <w:rsid w:val="612C83FA"/>
    <w:rsid w:val="61A72C42"/>
    <w:rsid w:val="61E5A282"/>
    <w:rsid w:val="6256F465"/>
    <w:rsid w:val="629117F6"/>
    <w:rsid w:val="62A2BF78"/>
    <w:rsid w:val="632EFFC3"/>
    <w:rsid w:val="63340641"/>
    <w:rsid w:val="6367B507"/>
    <w:rsid w:val="637E7BA7"/>
    <w:rsid w:val="637F473F"/>
    <w:rsid w:val="638D37D2"/>
    <w:rsid w:val="63EC8E53"/>
    <w:rsid w:val="63FDE412"/>
    <w:rsid w:val="646706A4"/>
    <w:rsid w:val="64833E69"/>
    <w:rsid w:val="6488E385"/>
    <w:rsid w:val="6499716E"/>
    <w:rsid w:val="650645F6"/>
    <w:rsid w:val="655209CB"/>
    <w:rsid w:val="6559E685"/>
    <w:rsid w:val="655FF30A"/>
    <w:rsid w:val="656FB85D"/>
    <w:rsid w:val="65CB7FB5"/>
    <w:rsid w:val="65E33E6C"/>
    <w:rsid w:val="65E8902B"/>
    <w:rsid w:val="66977595"/>
    <w:rsid w:val="66E57E53"/>
    <w:rsid w:val="66F26061"/>
    <w:rsid w:val="670F8D31"/>
    <w:rsid w:val="6740988D"/>
    <w:rsid w:val="6767DFA9"/>
    <w:rsid w:val="6768CC6B"/>
    <w:rsid w:val="67E1FE0E"/>
    <w:rsid w:val="67FC30DA"/>
    <w:rsid w:val="68005D00"/>
    <w:rsid w:val="68154BA3"/>
    <w:rsid w:val="6820F561"/>
    <w:rsid w:val="683B2431"/>
    <w:rsid w:val="68B68EA9"/>
    <w:rsid w:val="68B8DDB6"/>
    <w:rsid w:val="69236A87"/>
    <w:rsid w:val="69851CFD"/>
    <w:rsid w:val="6998013B"/>
    <w:rsid w:val="699D388A"/>
    <w:rsid w:val="69C180C0"/>
    <w:rsid w:val="69EDBD2B"/>
    <w:rsid w:val="6A2A0123"/>
    <w:rsid w:val="6A5CB896"/>
    <w:rsid w:val="6B940949"/>
    <w:rsid w:val="6BB09AEC"/>
    <w:rsid w:val="6BDAD98E"/>
    <w:rsid w:val="6C558C71"/>
    <w:rsid w:val="6CB14BA2"/>
    <w:rsid w:val="6CD051E5"/>
    <w:rsid w:val="6D49CE3A"/>
    <w:rsid w:val="6D672F92"/>
    <w:rsid w:val="6DCEAB7A"/>
    <w:rsid w:val="6DD5BF6C"/>
    <w:rsid w:val="6DE23468"/>
    <w:rsid w:val="6DE717D0"/>
    <w:rsid w:val="6E147256"/>
    <w:rsid w:val="6E6EF2ED"/>
    <w:rsid w:val="6FE15AB5"/>
    <w:rsid w:val="7118D778"/>
    <w:rsid w:val="71B59557"/>
    <w:rsid w:val="7217183F"/>
    <w:rsid w:val="72191C8E"/>
    <w:rsid w:val="7232B6C4"/>
    <w:rsid w:val="72A4DF3C"/>
    <w:rsid w:val="73072CC8"/>
    <w:rsid w:val="7346B724"/>
    <w:rsid w:val="738DDB0E"/>
    <w:rsid w:val="73CBB76C"/>
    <w:rsid w:val="73D7F997"/>
    <w:rsid w:val="7451BA4E"/>
    <w:rsid w:val="746F0642"/>
    <w:rsid w:val="74C11C46"/>
    <w:rsid w:val="74F303E7"/>
    <w:rsid w:val="75128462"/>
    <w:rsid w:val="7549466A"/>
    <w:rsid w:val="7562010E"/>
    <w:rsid w:val="7591CE20"/>
    <w:rsid w:val="760A9C8F"/>
    <w:rsid w:val="7681BA90"/>
    <w:rsid w:val="76A7FB69"/>
    <w:rsid w:val="76C422BB"/>
    <w:rsid w:val="76DD4002"/>
    <w:rsid w:val="76EBF639"/>
    <w:rsid w:val="76F5AAB7"/>
    <w:rsid w:val="776B0CFE"/>
    <w:rsid w:val="77729373"/>
    <w:rsid w:val="77EE85CA"/>
    <w:rsid w:val="781E6E50"/>
    <w:rsid w:val="78452D8B"/>
    <w:rsid w:val="7883E46E"/>
    <w:rsid w:val="7936F745"/>
    <w:rsid w:val="797A68ED"/>
    <w:rsid w:val="79C485CB"/>
    <w:rsid w:val="7AA6141E"/>
    <w:rsid w:val="7AB8A470"/>
    <w:rsid w:val="7BFC70C5"/>
    <w:rsid w:val="7C3B2DAD"/>
    <w:rsid w:val="7C7FD4A1"/>
    <w:rsid w:val="7CB61E2E"/>
    <w:rsid w:val="7CF1FA20"/>
    <w:rsid w:val="7D127712"/>
    <w:rsid w:val="7D319ED2"/>
    <w:rsid w:val="7D5179B4"/>
    <w:rsid w:val="7E01CB4B"/>
    <w:rsid w:val="7E8DAFD4"/>
    <w:rsid w:val="7EACEEE4"/>
    <w:rsid w:val="7EF49F28"/>
    <w:rsid w:val="7F29575F"/>
    <w:rsid w:val="7F8F10BE"/>
    <w:rsid w:val="7FC1FADF"/>
    <w:rsid w:val="7FC54A5D"/>
    <w:rsid w:val="7FE9AA7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DC8C"/>
  <w15:docId w15:val="{7BEC9F50-46DD-4103-9C75-A2160765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CCF"/>
    <w:pPr>
      <w:adjustRightInd w:val="0"/>
      <w:snapToGrid w:val="0"/>
      <w:spacing w:before="180" w:after="180" w:line="240" w:lineRule="atLeast"/>
    </w:pPr>
    <w:rPr>
      <w:rFonts w:ascii="Arial" w:eastAsia="Cambria" w:hAnsi="Arial" w:cs="Arial"/>
      <w:color w:val="333F48"/>
      <w:sz w:val="22"/>
      <w:szCs w:val="22"/>
      <w:lang w:eastAsia="en-US"/>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after="12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sz w:val="20"/>
      <w:szCs w:val="20"/>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BC5A7B"/>
    <w:pPr>
      <w:numPr>
        <w:numId w:val="13"/>
      </w:numPr>
      <w:spacing w:before="0" w:after="60"/>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1">
    <w:name w:val="Subtitle1"/>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2"/>
    <w:qFormat/>
    <w:rsid w:val="00BC5A7B"/>
    <w:pPr>
      <w:numPr>
        <w:ilvl w:val="1"/>
        <w:numId w:val="13"/>
      </w:numPr>
      <w:spacing w:before="0" w:after="60"/>
    </w:pPr>
  </w:style>
  <w:style w:type="paragraph" w:styleId="ListBullet3">
    <w:name w:val="List Bullet 3"/>
    <w:basedOn w:val="Normal"/>
    <w:uiPriority w:val="2"/>
    <w:qFormat/>
    <w:rsid w:val="00BC5A7B"/>
    <w:pPr>
      <w:numPr>
        <w:ilvl w:val="2"/>
        <w:numId w:val="13"/>
      </w:numPr>
      <w:spacing w:before="0" w:after="60"/>
    </w:pPr>
  </w:style>
  <w:style w:type="paragraph" w:styleId="ListNumber">
    <w:name w:val="List Number"/>
    <w:basedOn w:val="Normal"/>
    <w:rsid w:val="00BC5A7B"/>
    <w:pPr>
      <w:numPr>
        <w:numId w:val="6"/>
      </w:numPr>
      <w:spacing w:before="60" w:after="60"/>
      <w:ind w:left="425" w:hanging="425"/>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customStyle="1" w:styleId="Subtitle0">
    <w:name w:val="Subtitle0"/>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51358B"/>
    <w:rPr>
      <w:rFonts w:ascii="Arial" w:eastAsia="Cambria" w:hAnsi="Arial"/>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wordWrap/>
        <w:spacing w:beforeLines="0" w:beforeAutospacing="0" w:afterLines="0" w:afterAutospacing="0"/>
      </w:pPr>
      <w:rPr>
        <w:rFonts w:ascii="Cambria" w:hAnsi="Cambria"/>
        <w:b/>
        <w:color w:val="FFFFFF"/>
        <w:sz w:val="22"/>
      </w:rPr>
      <w:tblPr/>
      <w:tcPr>
        <w:shd w:val="clear" w:color="auto" w:fill="DEE7F7" w:themeFill="accent2" w:themeFillTint="33"/>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styleId="UnresolvedMention">
    <w:name w:val="Unresolved Mention"/>
    <w:basedOn w:val="DefaultParagraphFont"/>
    <w:uiPriority w:val="99"/>
    <w:semiHidden/>
    <w:unhideWhenUsed/>
    <w:rsid w:val="002827BA"/>
    <w:rPr>
      <w:color w:val="605E5C"/>
      <w:shd w:val="clear" w:color="auto" w:fill="E1DFDD"/>
    </w:rPr>
  </w:style>
  <w:style w:type="paragraph" w:styleId="Revision">
    <w:name w:val="Revision"/>
    <w:hidden/>
    <w:uiPriority w:val="99"/>
    <w:semiHidden/>
    <w:rsid w:val="006E73CD"/>
    <w:rPr>
      <w:rFonts w:ascii="Arial" w:eastAsia="Cambria" w:hAnsi="Arial" w:cs="Arial"/>
      <w:color w:val="333F48"/>
      <w:sz w:val="22"/>
      <w:szCs w:val="22"/>
      <w:lang w:eastAsia="en-US"/>
    </w:rPr>
  </w:style>
  <w:style w:type="paragraph" w:styleId="NormalWeb">
    <w:name w:val="Normal (Web)"/>
    <w:basedOn w:val="Normal"/>
    <w:uiPriority w:val="99"/>
    <w:unhideWhenUsed/>
    <w:rsid w:val="00F22D50"/>
    <w:pPr>
      <w:adjustRightInd/>
      <w:snapToGrid/>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FootnoteText">
    <w:name w:val="footnote text"/>
    <w:basedOn w:val="Normal"/>
    <w:link w:val="FootnoteTextChar"/>
    <w:semiHidden/>
    <w:unhideWhenUsed/>
    <w:rsid w:val="00C27D7F"/>
    <w:pPr>
      <w:spacing w:before="0" w:after="0" w:line="240" w:lineRule="auto"/>
    </w:pPr>
    <w:rPr>
      <w:sz w:val="20"/>
      <w:szCs w:val="20"/>
    </w:rPr>
  </w:style>
  <w:style w:type="character" w:customStyle="1" w:styleId="FootnoteTextChar">
    <w:name w:val="Footnote Text Char"/>
    <w:basedOn w:val="DefaultParagraphFont"/>
    <w:link w:val="FootnoteText"/>
    <w:semiHidden/>
    <w:rsid w:val="00C27D7F"/>
    <w:rPr>
      <w:rFonts w:ascii="Arial" w:eastAsia="Cambria" w:hAnsi="Arial" w:cs="Arial"/>
      <w:color w:val="333F48"/>
      <w:lang w:eastAsia="en-US"/>
    </w:rPr>
  </w:style>
  <w:style w:type="character" w:styleId="FootnoteReference">
    <w:name w:val="footnote reference"/>
    <w:basedOn w:val="DefaultParagraphFont"/>
    <w:semiHidden/>
    <w:unhideWhenUsed/>
    <w:rsid w:val="00C27D7F"/>
    <w:rPr>
      <w:vertAlign w:val="superscript"/>
    </w:rPr>
  </w:style>
  <w:style w:type="paragraph" w:styleId="EndnoteText">
    <w:name w:val="endnote text"/>
    <w:basedOn w:val="Normal"/>
    <w:link w:val="EndnoteTextChar"/>
    <w:semiHidden/>
    <w:unhideWhenUsed/>
    <w:rsid w:val="00C27D7F"/>
    <w:pPr>
      <w:spacing w:before="0" w:after="0" w:line="240" w:lineRule="auto"/>
    </w:pPr>
    <w:rPr>
      <w:sz w:val="20"/>
      <w:szCs w:val="20"/>
    </w:rPr>
  </w:style>
  <w:style w:type="character" w:customStyle="1" w:styleId="EndnoteTextChar">
    <w:name w:val="Endnote Text Char"/>
    <w:basedOn w:val="DefaultParagraphFont"/>
    <w:link w:val="EndnoteText"/>
    <w:semiHidden/>
    <w:rsid w:val="00C27D7F"/>
    <w:rPr>
      <w:rFonts w:ascii="Arial" w:eastAsia="Cambria" w:hAnsi="Arial" w:cs="Arial"/>
      <w:color w:val="333F48"/>
      <w:lang w:eastAsia="en-US"/>
    </w:rPr>
  </w:style>
  <w:style w:type="character" w:styleId="EndnoteReference">
    <w:name w:val="endnote reference"/>
    <w:basedOn w:val="DefaultParagraphFont"/>
    <w:semiHidden/>
    <w:unhideWhenUsed/>
    <w:rsid w:val="00C27D7F"/>
    <w:rPr>
      <w:vertAlign w:val="superscript"/>
    </w:rPr>
  </w:style>
  <w:style w:type="character" w:customStyle="1" w:styleId="font611">
    <w:name w:val="font611"/>
    <w:basedOn w:val="DefaultParagraphFont"/>
    <w:rsid w:val="007476F6"/>
    <w:rPr>
      <w:rFonts w:ascii="Calibri" w:hAnsi="Calibri" w:cs="Calibri" w:hint="default"/>
      <w:b w:val="0"/>
      <w:bCs w:val="0"/>
      <w:i w:val="0"/>
      <w:iCs w:val="0"/>
      <w:strike w:val="0"/>
      <w:dstrike w:val="0"/>
      <w:color w:val="000000"/>
      <w:sz w:val="22"/>
      <w:szCs w:val="22"/>
      <w:u w:val="none"/>
      <w:effect w:val="none"/>
    </w:rPr>
  </w:style>
  <w:style w:type="character" w:customStyle="1" w:styleId="font581">
    <w:name w:val="font581"/>
    <w:basedOn w:val="DefaultParagraphFont"/>
    <w:rsid w:val="007476F6"/>
    <w:rPr>
      <w:rFonts w:ascii="Calibri" w:hAnsi="Calibri" w:cs="Calibri" w:hint="default"/>
      <w:b w:val="0"/>
      <w:bCs w:val="0"/>
      <w:i w:val="0"/>
      <w:iCs w:val="0"/>
      <w:strike w:val="0"/>
      <w:dstrike w:val="0"/>
      <w:color w:val="92D050"/>
      <w:sz w:val="22"/>
      <w:szCs w:val="22"/>
      <w:u w:val="none"/>
      <w:effect w:val="none"/>
    </w:rPr>
  </w:style>
  <w:style w:type="character" w:customStyle="1" w:styleId="font391">
    <w:name w:val="font391"/>
    <w:basedOn w:val="DefaultParagraphFont"/>
    <w:rsid w:val="007476F6"/>
    <w:rPr>
      <w:rFonts w:ascii="Calibri" w:hAnsi="Calibri" w:cs="Calibri" w:hint="default"/>
      <w:b w:val="0"/>
      <w:bCs w:val="0"/>
      <w:i w:val="0"/>
      <w:iCs w:val="0"/>
      <w:strike w:val="0"/>
      <w:dstrike w:val="0"/>
      <w:color w:val="000000"/>
      <w:sz w:val="22"/>
      <w:szCs w:val="22"/>
      <w:u w:val="none"/>
      <w:effect w:val="none"/>
    </w:rPr>
  </w:style>
  <w:style w:type="character" w:customStyle="1" w:styleId="font601">
    <w:name w:val="font601"/>
    <w:basedOn w:val="DefaultParagraphFont"/>
    <w:rsid w:val="00B44FA1"/>
    <w:rPr>
      <w:rFonts w:ascii="Calibri" w:hAnsi="Calibri" w:cs="Calibri" w:hint="default"/>
      <w:b w:val="0"/>
      <w:bCs w:val="0"/>
      <w:i w:val="0"/>
      <w:iCs w:val="0"/>
      <w:strike w:val="0"/>
      <w:dstrike w:val="0"/>
      <w:color w:val="auto"/>
      <w:sz w:val="22"/>
      <w:szCs w:val="22"/>
      <w:u w:val="none"/>
      <w:effect w:val="none"/>
    </w:rPr>
  </w:style>
  <w:style w:type="character" w:customStyle="1" w:styleId="font371">
    <w:name w:val="font371"/>
    <w:basedOn w:val="DefaultParagraphFont"/>
    <w:rsid w:val="00E41A2D"/>
    <w:rPr>
      <w:rFonts w:ascii="Calibri" w:hAnsi="Calibri" w:cs="Calibri" w:hint="default"/>
      <w:b w:val="0"/>
      <w:bCs w:val="0"/>
      <w:i w:val="0"/>
      <w:iCs w:val="0"/>
      <w:strike w:val="0"/>
      <w:dstrike w:val="0"/>
      <w:color w:val="000000"/>
      <w:sz w:val="22"/>
      <w:szCs w:val="22"/>
      <w:u w:val="none"/>
      <w:effect w:val="none"/>
    </w:rPr>
  </w:style>
  <w:style w:type="character" w:customStyle="1" w:styleId="font411">
    <w:name w:val="font411"/>
    <w:basedOn w:val="DefaultParagraphFont"/>
    <w:rsid w:val="00E41A2D"/>
    <w:rPr>
      <w:rFonts w:ascii="Calibri" w:hAnsi="Calibri" w:cs="Calibri" w:hint="default"/>
      <w:b w:val="0"/>
      <w:bCs w:val="0"/>
      <w:i w:val="0"/>
      <w:iCs w:val="0"/>
      <w:strike w:val="0"/>
      <w:dstrike w:val="0"/>
      <w:color w:val="92D050"/>
      <w:sz w:val="22"/>
      <w:szCs w:val="22"/>
      <w:u w:val="none"/>
      <w:effect w:val="none"/>
    </w:rPr>
  </w:style>
  <w:style w:type="character" w:customStyle="1" w:styleId="font01">
    <w:name w:val="font01"/>
    <w:basedOn w:val="DefaultParagraphFont"/>
    <w:rsid w:val="00E41A2D"/>
    <w:rPr>
      <w:rFonts w:ascii="Calibri" w:hAnsi="Calibri" w:cs="Calibri" w:hint="default"/>
      <w:b w:val="0"/>
      <w:bCs w:val="0"/>
      <w:i w:val="0"/>
      <w:iCs w:val="0"/>
      <w:strike w:val="0"/>
      <w:dstrike w:val="0"/>
      <w:color w:val="000000"/>
      <w:sz w:val="22"/>
      <w:szCs w:val="22"/>
      <w:u w:val="none"/>
      <w:effect w:val="none"/>
    </w:rPr>
  </w:style>
  <w:style w:type="character" w:customStyle="1" w:styleId="font431">
    <w:name w:val="font431"/>
    <w:basedOn w:val="DefaultParagraphFont"/>
    <w:rsid w:val="00E41A2D"/>
    <w:rPr>
      <w:rFonts w:ascii="Calibri" w:hAnsi="Calibri" w:cs="Calibri" w:hint="default"/>
      <w:b w:val="0"/>
      <w:bCs w:val="0"/>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7284">
      <w:bodyDiv w:val="1"/>
      <w:marLeft w:val="0"/>
      <w:marRight w:val="0"/>
      <w:marTop w:val="0"/>
      <w:marBottom w:val="0"/>
      <w:divBdr>
        <w:top w:val="none" w:sz="0" w:space="0" w:color="auto"/>
        <w:left w:val="none" w:sz="0" w:space="0" w:color="auto"/>
        <w:bottom w:val="none" w:sz="0" w:space="0" w:color="auto"/>
        <w:right w:val="none" w:sz="0" w:space="0" w:color="auto"/>
      </w:divBdr>
      <w:divsChild>
        <w:div w:id="364527117">
          <w:marLeft w:val="0"/>
          <w:marRight w:val="0"/>
          <w:marTop w:val="0"/>
          <w:marBottom w:val="0"/>
          <w:divBdr>
            <w:top w:val="none" w:sz="0" w:space="0" w:color="auto"/>
            <w:left w:val="none" w:sz="0" w:space="0" w:color="auto"/>
            <w:bottom w:val="none" w:sz="0" w:space="0" w:color="auto"/>
            <w:right w:val="none" w:sz="0" w:space="0" w:color="auto"/>
          </w:divBdr>
        </w:div>
      </w:divsChild>
    </w:div>
    <w:div w:id="123550962">
      <w:bodyDiv w:val="1"/>
      <w:marLeft w:val="0"/>
      <w:marRight w:val="0"/>
      <w:marTop w:val="0"/>
      <w:marBottom w:val="0"/>
      <w:divBdr>
        <w:top w:val="none" w:sz="0" w:space="0" w:color="auto"/>
        <w:left w:val="none" w:sz="0" w:space="0" w:color="auto"/>
        <w:bottom w:val="none" w:sz="0" w:space="0" w:color="auto"/>
        <w:right w:val="none" w:sz="0" w:space="0" w:color="auto"/>
      </w:divBdr>
    </w:div>
    <w:div w:id="226040911">
      <w:bodyDiv w:val="1"/>
      <w:marLeft w:val="0"/>
      <w:marRight w:val="0"/>
      <w:marTop w:val="0"/>
      <w:marBottom w:val="0"/>
      <w:divBdr>
        <w:top w:val="none" w:sz="0" w:space="0" w:color="auto"/>
        <w:left w:val="none" w:sz="0" w:space="0" w:color="auto"/>
        <w:bottom w:val="none" w:sz="0" w:space="0" w:color="auto"/>
        <w:right w:val="none" w:sz="0" w:space="0" w:color="auto"/>
      </w:divBdr>
    </w:div>
    <w:div w:id="228543451">
      <w:bodyDiv w:val="1"/>
      <w:marLeft w:val="0"/>
      <w:marRight w:val="0"/>
      <w:marTop w:val="0"/>
      <w:marBottom w:val="0"/>
      <w:divBdr>
        <w:top w:val="none" w:sz="0" w:space="0" w:color="auto"/>
        <w:left w:val="none" w:sz="0" w:space="0" w:color="auto"/>
        <w:bottom w:val="none" w:sz="0" w:space="0" w:color="auto"/>
        <w:right w:val="none" w:sz="0" w:space="0" w:color="auto"/>
      </w:divBdr>
    </w:div>
    <w:div w:id="269749467">
      <w:bodyDiv w:val="1"/>
      <w:marLeft w:val="0"/>
      <w:marRight w:val="0"/>
      <w:marTop w:val="0"/>
      <w:marBottom w:val="0"/>
      <w:divBdr>
        <w:top w:val="none" w:sz="0" w:space="0" w:color="auto"/>
        <w:left w:val="none" w:sz="0" w:space="0" w:color="auto"/>
        <w:bottom w:val="none" w:sz="0" w:space="0" w:color="auto"/>
        <w:right w:val="none" w:sz="0" w:space="0" w:color="auto"/>
      </w:divBdr>
    </w:div>
    <w:div w:id="425811776">
      <w:bodyDiv w:val="1"/>
      <w:marLeft w:val="0"/>
      <w:marRight w:val="0"/>
      <w:marTop w:val="0"/>
      <w:marBottom w:val="0"/>
      <w:divBdr>
        <w:top w:val="none" w:sz="0" w:space="0" w:color="auto"/>
        <w:left w:val="none" w:sz="0" w:space="0" w:color="auto"/>
        <w:bottom w:val="none" w:sz="0" w:space="0" w:color="auto"/>
        <w:right w:val="none" w:sz="0" w:space="0" w:color="auto"/>
      </w:divBdr>
      <w:divsChild>
        <w:div w:id="12655178">
          <w:marLeft w:val="0"/>
          <w:marRight w:val="0"/>
          <w:marTop w:val="0"/>
          <w:marBottom w:val="0"/>
          <w:divBdr>
            <w:top w:val="none" w:sz="0" w:space="0" w:color="auto"/>
            <w:left w:val="none" w:sz="0" w:space="0" w:color="auto"/>
            <w:bottom w:val="none" w:sz="0" w:space="0" w:color="auto"/>
            <w:right w:val="none" w:sz="0" w:space="0" w:color="auto"/>
          </w:divBdr>
        </w:div>
      </w:divsChild>
    </w:div>
    <w:div w:id="445389306">
      <w:bodyDiv w:val="1"/>
      <w:marLeft w:val="0"/>
      <w:marRight w:val="0"/>
      <w:marTop w:val="0"/>
      <w:marBottom w:val="0"/>
      <w:divBdr>
        <w:top w:val="none" w:sz="0" w:space="0" w:color="auto"/>
        <w:left w:val="none" w:sz="0" w:space="0" w:color="auto"/>
        <w:bottom w:val="none" w:sz="0" w:space="0" w:color="auto"/>
        <w:right w:val="none" w:sz="0" w:space="0" w:color="auto"/>
      </w:divBdr>
      <w:divsChild>
        <w:div w:id="1593313388">
          <w:marLeft w:val="0"/>
          <w:marRight w:val="0"/>
          <w:marTop w:val="0"/>
          <w:marBottom w:val="0"/>
          <w:divBdr>
            <w:top w:val="none" w:sz="0" w:space="0" w:color="auto"/>
            <w:left w:val="none" w:sz="0" w:space="0" w:color="auto"/>
            <w:bottom w:val="none" w:sz="0" w:space="0" w:color="auto"/>
            <w:right w:val="none" w:sz="0" w:space="0" w:color="auto"/>
          </w:divBdr>
        </w:div>
      </w:divsChild>
    </w:div>
    <w:div w:id="510216356">
      <w:bodyDiv w:val="1"/>
      <w:marLeft w:val="0"/>
      <w:marRight w:val="0"/>
      <w:marTop w:val="0"/>
      <w:marBottom w:val="0"/>
      <w:divBdr>
        <w:top w:val="none" w:sz="0" w:space="0" w:color="auto"/>
        <w:left w:val="none" w:sz="0" w:space="0" w:color="auto"/>
        <w:bottom w:val="none" w:sz="0" w:space="0" w:color="auto"/>
        <w:right w:val="none" w:sz="0" w:space="0" w:color="auto"/>
      </w:divBdr>
    </w:div>
    <w:div w:id="666832209">
      <w:bodyDiv w:val="1"/>
      <w:marLeft w:val="0"/>
      <w:marRight w:val="0"/>
      <w:marTop w:val="0"/>
      <w:marBottom w:val="0"/>
      <w:divBdr>
        <w:top w:val="none" w:sz="0" w:space="0" w:color="auto"/>
        <w:left w:val="none" w:sz="0" w:space="0" w:color="auto"/>
        <w:bottom w:val="none" w:sz="0" w:space="0" w:color="auto"/>
        <w:right w:val="none" w:sz="0" w:space="0" w:color="auto"/>
      </w:divBdr>
    </w:div>
    <w:div w:id="781338778">
      <w:bodyDiv w:val="1"/>
      <w:marLeft w:val="0"/>
      <w:marRight w:val="0"/>
      <w:marTop w:val="0"/>
      <w:marBottom w:val="0"/>
      <w:divBdr>
        <w:top w:val="none" w:sz="0" w:space="0" w:color="auto"/>
        <w:left w:val="none" w:sz="0" w:space="0" w:color="auto"/>
        <w:bottom w:val="none" w:sz="0" w:space="0" w:color="auto"/>
        <w:right w:val="none" w:sz="0" w:space="0" w:color="auto"/>
      </w:divBdr>
    </w:div>
    <w:div w:id="1522623705">
      <w:bodyDiv w:val="1"/>
      <w:marLeft w:val="0"/>
      <w:marRight w:val="0"/>
      <w:marTop w:val="0"/>
      <w:marBottom w:val="0"/>
      <w:divBdr>
        <w:top w:val="none" w:sz="0" w:space="0" w:color="auto"/>
        <w:left w:val="none" w:sz="0" w:space="0" w:color="auto"/>
        <w:bottom w:val="none" w:sz="0" w:space="0" w:color="auto"/>
        <w:right w:val="none" w:sz="0" w:space="0" w:color="auto"/>
      </w:divBdr>
    </w:div>
    <w:div w:id="190560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ga.gov.au/how-we-regulate/manufacturing/manufacture-medical-device/meet-safety-performance-and-quality-requirements-medical-device-manufacturers/demonstrating-compliance-essential-principles" TargetMode="External"/><Relationship Id="rId18" Type="http://schemas.openxmlformats.org/officeDocument/2006/relationships/hyperlink" Target="https://www.tga.gov.au/resources/resource/guidance/pre-submission-meetings-tga-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ga.gov.au/resources/resource/guidance/medical-device-labelling-obligations" TargetMode="External"/><Relationship Id="rId7" Type="http://schemas.openxmlformats.org/officeDocument/2006/relationships/settings" Target="settings.xml"/><Relationship Id="rId12" Type="http://schemas.openxmlformats.org/officeDocument/2006/relationships/hyperlink" Target="file:///\\production.tga.gov.au\dfsroot\APPS\Apps\RES%20-%20Web%20Team\data\Websites\tga%20internet\admin\original%20documents\2024%2003\Janet\devices\notice-import-supply-australia-therapeutic-vaping-goods.pdf%20(tga.gov.au)" TargetMode="External"/><Relationship Id="rId17" Type="http://schemas.openxmlformats.org/officeDocument/2006/relationships/hyperlink" Target="https://www.tga.gov.au/resources/resource/guidance/regulatory-affairs-consultants" TargetMode="External"/><Relationship Id="rId25" Type="http://schemas.openxmlformats.org/officeDocument/2006/relationships/hyperlink" Target="https://www.legislation.gov.au/F2020L01656/latest/text" TargetMode="External"/><Relationship Id="rId2" Type="http://schemas.openxmlformats.org/officeDocument/2006/relationships/customXml" Target="../customXml/item2.xml"/><Relationship Id="rId16" Type="http://schemas.openxmlformats.org/officeDocument/2006/relationships/hyperlink" Target="https://www.tga.gov.au/how-we-regulate/manufacturing/manufacture-medical-device/meet-safety-performance-and-quality-requirements-medical-device-manufacturers/demonstrating-compliance-essential-principl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da.gov/media/127853/download"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tga.gov.au/resources/resource/guidance/clinical-evidence-guidelines"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ga.gov.au/resources/resource/guidance/therapeutic-vapes" TargetMode="External"/><Relationship Id="rId22" Type="http://schemas.openxmlformats.org/officeDocument/2006/relationships/hyperlink" Target="https://www.tga.gov.au/resources/resource/guidance/active-medical-device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tga.gov.au"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182614D379FF4E9AEFA9EFD3205953" ma:contentTypeVersion="13" ma:contentTypeDescription="Create a new document." ma:contentTypeScope="" ma:versionID="f8fa36133c58da24287180b4e1e62119">
  <xsd:schema xmlns:xsd="http://www.w3.org/2001/XMLSchema" xmlns:xs="http://www.w3.org/2001/XMLSchema" xmlns:p="http://schemas.microsoft.com/office/2006/metadata/properties" xmlns:ns2="ce0529d1-0054-464c-a987-6a345c5c0407" xmlns:ns3="eaf82191-2c2e-468c-b61c-d2174456422d" targetNamespace="http://schemas.microsoft.com/office/2006/metadata/properties" ma:root="true" ma:fieldsID="d64cbb1380b97e615bb67000f77641cf" ns2:_="" ns3:_="">
    <xsd:import namespace="ce0529d1-0054-464c-a987-6a345c5c0407"/>
    <xsd:import namespace="eaf82191-2c2e-468c-b61c-d217445642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529d1-0054-464c-a987-6a345c5c04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91b1109-b77f-4ea8-95d3-2fffe707b638}" ma:internalName="TaxCatchAll" ma:showField="CatchAllData" ma:web="ce0529d1-0054-464c-a987-6a345c5c04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f82191-2c2e-468c-b61c-d217445642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f82191-2c2e-468c-b61c-d2174456422d">
      <Terms xmlns="http://schemas.microsoft.com/office/infopath/2007/PartnerControls"/>
    </lcf76f155ced4ddcb4097134ff3c332f>
    <TaxCatchAll xmlns="ce0529d1-0054-464c-a987-6a345c5c0407" xsi:nil="true"/>
    <SharedWithUsers xmlns="ce0529d1-0054-464c-a987-6a345c5c0407">
      <UserInfo>
        <DisplayName>WEEKES, Leon</DisplayName>
        <AccountId>17</AccountId>
        <AccountType/>
      </UserInfo>
      <UserInfo>
        <DisplayName>SOEBAGYO, Amy</DisplayName>
        <AccountId>94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E71D9-20A9-4FCE-98D0-64D58D8DF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529d1-0054-464c-a987-6a345c5c0407"/>
    <ds:schemaRef ds:uri="eaf82191-2c2e-468c-b61c-d21744564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1F7E1-52BB-49BF-9EE7-AEA7CE5AB965}">
  <ds:schemaRefs>
    <ds:schemaRef ds:uri="http://schemas.microsoft.com/sharepoint/v3/contenttype/forms"/>
  </ds:schemaRefs>
</ds:datastoreItem>
</file>

<file path=customXml/itemProps3.xml><?xml version="1.0" encoding="utf-8"?>
<ds:datastoreItem xmlns:ds="http://schemas.openxmlformats.org/officeDocument/2006/customXml" ds:itemID="{DF00C53A-44DF-40C2-A352-CC5E2A72947D}">
  <ds:schemaRefs>
    <ds:schemaRef ds:uri="http://schemas.microsoft.com/office/2006/metadata/properties"/>
    <ds:schemaRef ds:uri="http://schemas.microsoft.com/office/infopath/2007/PartnerControls"/>
    <ds:schemaRef ds:uri="eaf82191-2c2e-468c-b61c-d2174456422d"/>
    <ds:schemaRef ds:uri="ce0529d1-0054-464c-a987-6a345c5c0407"/>
  </ds:schemaRefs>
</ds:datastoreItem>
</file>

<file path=customXml/itemProps4.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3263</Words>
  <Characters>20297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Standards for therapeutic vaping devices checklist</vt:lpstr>
    </vt:vector>
  </TitlesOfParts>
  <Company>Department of Health and Aged Care</Company>
  <LinksUpToDate>false</LinksUpToDate>
  <CharactersWithSpaces>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for therapeutic vaping devices checklist</dc:title>
  <dc:subject>vaping</dc:subject>
  <dc:creator>Therapeutic Goods Administration</dc:creator>
  <cp:keywords/>
  <cp:lastModifiedBy>LACK, Janet</cp:lastModifiedBy>
  <cp:revision>3</cp:revision>
  <cp:lastPrinted>2005-05-30T20:22:00Z</cp:lastPrinted>
  <dcterms:created xsi:type="dcterms:W3CDTF">2024-03-05T03:27:00Z</dcterms:created>
  <dcterms:modified xsi:type="dcterms:W3CDTF">2024-03-05T03:46:00Z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MediaServiceImageTags">
    <vt:lpwstr/>
  </property>
  <property fmtid="{D5CDD505-2E9C-101B-9397-08002B2CF9AE}" pid="5" name="ContentTypeId">
    <vt:lpwstr>0x0101009C182614D379FF4E9AEFA9EFD3205953</vt:lpwstr>
  </property>
</Properties>
</file>