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542227F" w14:textId="77777777" w:rsidTr="002B29B2">
        <w:tc>
          <w:tcPr>
            <w:tcW w:w="8720" w:type="dxa"/>
          </w:tcPr>
          <w:p w14:paraId="27BD53BC" w14:textId="6E503ABA" w:rsidR="00F401EF" w:rsidRPr="00215D48" w:rsidRDefault="00BE23AB" w:rsidP="002B29B2">
            <w:pPr>
              <w:pStyle w:val="Title"/>
            </w:pPr>
            <w:r w:rsidRPr="00BE23AB">
              <w:t>Authorised Prescriber Scheme</w:t>
            </w:r>
          </w:p>
        </w:tc>
      </w:tr>
      <w:tr w:rsidR="002B29B2" w:rsidRPr="00215D48" w14:paraId="232B17E2" w14:textId="77777777" w:rsidTr="002B29B2">
        <w:trPr>
          <w:trHeight w:val="1916"/>
        </w:trPr>
        <w:tc>
          <w:tcPr>
            <w:tcW w:w="8720" w:type="dxa"/>
          </w:tcPr>
          <w:p w14:paraId="75323BBF" w14:textId="24415B64" w:rsidR="00F401EF" w:rsidRPr="00215D48" w:rsidRDefault="00BE23AB" w:rsidP="002B29B2">
            <w:pPr>
              <w:pStyle w:val="Subtitle"/>
              <w:ind w:left="0"/>
            </w:pPr>
            <w:r w:rsidRPr="00BE23AB">
              <w:t>Guidance for medical practitioners, Human Research Ethics Committees, specialist colleges and sponsors</w:t>
            </w:r>
          </w:p>
        </w:tc>
      </w:tr>
      <w:tr w:rsidR="002B29B2" w:rsidRPr="00215D48" w14:paraId="7C2FA6BE" w14:textId="77777777" w:rsidTr="002B29B2">
        <w:tc>
          <w:tcPr>
            <w:tcW w:w="8720" w:type="dxa"/>
          </w:tcPr>
          <w:p w14:paraId="473FF891" w14:textId="44190E48" w:rsidR="002B29B2" w:rsidRPr="00215D48" w:rsidRDefault="00BE23AB" w:rsidP="00F54CA9">
            <w:pPr>
              <w:pStyle w:val="Date"/>
            </w:pPr>
            <w:r w:rsidRPr="005848E1">
              <w:t xml:space="preserve">Version </w:t>
            </w:r>
            <w:r>
              <w:t>5</w:t>
            </w:r>
            <w:r w:rsidRPr="005848E1">
              <w:t>.</w:t>
            </w:r>
            <w:r w:rsidR="00782E55">
              <w:t>3</w:t>
            </w:r>
            <w:r w:rsidRPr="005848E1">
              <w:t xml:space="preserve">, </w:t>
            </w:r>
            <w:r w:rsidR="00782E55">
              <w:t>March</w:t>
            </w:r>
            <w:r>
              <w:t xml:space="preserve"> 202</w:t>
            </w:r>
            <w:r w:rsidR="00782E55">
              <w:t>4</w:t>
            </w:r>
          </w:p>
        </w:tc>
      </w:tr>
    </w:tbl>
    <w:p w14:paraId="4B1CBF95" w14:textId="77777777" w:rsidR="00B24FF5" w:rsidRPr="00215D48" w:rsidRDefault="00B24FF5" w:rsidP="00B24FF5">
      <w:pPr>
        <w:pStyle w:val="ListBullet"/>
        <w:numPr>
          <w:ilvl w:val="0"/>
          <w:numId w:val="0"/>
        </w:numPr>
        <w:sectPr w:rsidR="00B24FF5" w:rsidRPr="00215D48" w:rsidSect="00AE7C6A">
          <w:headerReference w:type="default" r:id="rId11"/>
          <w:footerReference w:type="default" r:id="rId12"/>
          <w:headerReference w:type="first" r:id="rId13"/>
          <w:footerReference w:type="first" r:id="rId14"/>
          <w:type w:val="continuous"/>
          <w:pgSz w:w="11906" w:h="16838" w:code="9"/>
          <w:pgMar w:top="6486" w:right="1418" w:bottom="0" w:left="1418" w:header="992" w:footer="335" w:gutter="0"/>
          <w:cols w:space="708"/>
          <w:titlePg/>
          <w:docGrid w:linePitch="360"/>
        </w:sectPr>
      </w:pPr>
    </w:p>
    <w:p w14:paraId="28EE9B03" w14:textId="34651171" w:rsidR="005D1689" w:rsidRPr="00E1198B" w:rsidRDefault="005D1689" w:rsidP="00BA0DFC">
      <w:pPr>
        <w:pStyle w:val="LegalSubheading"/>
      </w:pPr>
      <w:r w:rsidRPr="00BA0DFC">
        <w:lastRenderedPageBreak/>
        <w:t>Copyright</w:t>
      </w:r>
    </w:p>
    <w:p w14:paraId="316BE128" w14:textId="081521A6" w:rsidR="00181727" w:rsidRPr="00D12FFB" w:rsidRDefault="00181727" w:rsidP="00181727">
      <w:pPr>
        <w:pStyle w:val="LegalSubheading"/>
        <w:rPr>
          <w:b w:val="0"/>
          <w:bCs/>
        </w:rPr>
      </w:pPr>
      <w:bookmarkStart w:id="0" w:name="_Toc126664138"/>
      <w:r w:rsidRPr="00D12FFB">
        <w:rPr>
          <w:b w:val="0"/>
          <w:bCs/>
        </w:rPr>
        <w:t>© Commonwealth of Australia 202</w:t>
      </w:r>
      <w:r w:rsidR="00B0586C">
        <w:rPr>
          <w:b w:val="0"/>
          <w:bCs/>
        </w:rPr>
        <w:t>4</w:t>
      </w:r>
      <w:r w:rsidRPr="00D12FFB">
        <w:rPr>
          <w:b w:val="0"/>
          <w:bCs/>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12FFB">
        <w:rPr>
          <w:b w:val="0"/>
          <w:bCs/>
          <w:i/>
        </w:rPr>
        <w:t>Copyright Act 1968</w:t>
      </w:r>
      <w:r w:rsidRPr="00D12FFB">
        <w:rPr>
          <w:b w:val="0"/>
          <w:bCs/>
        </w:rPr>
        <w:t xml:space="preserve"> or allowed by this copyright notice, all other rights are </w:t>
      </w:r>
      <w:proofErr w:type="gramStart"/>
      <w:r w:rsidRPr="00D12FFB">
        <w:rPr>
          <w:b w:val="0"/>
          <w:bCs/>
        </w:rPr>
        <w:t>reserved</w:t>
      </w:r>
      <w:proofErr w:type="gramEnd"/>
      <w:r w:rsidRPr="00D12FFB">
        <w:rPr>
          <w:b w:val="0"/>
          <w:bCs/>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181727">
          <w:rPr>
            <w:rStyle w:val="Hyperlink"/>
            <w:rFonts w:cs="Arial"/>
            <w:b w:val="0"/>
            <w:bCs/>
          </w:rPr>
          <w:t>tga.copyright@tga.gov.au</w:t>
        </w:r>
      </w:hyperlink>
      <w:r w:rsidRPr="00D12FFB">
        <w:rPr>
          <w:b w:val="0"/>
          <w:bCs/>
        </w:rPr>
        <w:t>&gt;.</w:t>
      </w:r>
      <w:bookmarkEnd w:id="0"/>
    </w:p>
    <w:sdt>
      <w:sdtPr>
        <w:rPr>
          <w:rFonts w:ascii="Cambria" w:hAnsi="Cambria"/>
          <w:b w:val="0"/>
          <w:color w:val="auto"/>
          <w:sz w:val="22"/>
          <w:szCs w:val="22"/>
          <w:shd w:val="clear" w:color="auto" w:fill="E6E6E6"/>
        </w:rPr>
        <w:id w:val="21514769"/>
        <w:docPartObj>
          <w:docPartGallery w:val="Table of Contents"/>
          <w:docPartUnique/>
        </w:docPartObj>
      </w:sdtPr>
      <w:sdtEndPr>
        <w:rPr>
          <w:rFonts w:ascii="Arial" w:hAnsi="Arial"/>
          <w:color w:val="333F48"/>
        </w:rPr>
      </w:sdtEndPr>
      <w:sdtContent>
        <w:p w14:paraId="540EE4F1" w14:textId="77777777" w:rsidR="00F401EF" w:rsidRPr="00215D48" w:rsidRDefault="00F401EF" w:rsidP="00035110">
          <w:pPr>
            <w:pStyle w:val="NonTOCheading2"/>
          </w:pPr>
          <w:r w:rsidRPr="00215D48">
            <w:t>Contents</w:t>
          </w:r>
        </w:p>
        <w:p w14:paraId="31C0F546" w14:textId="6AA6DFEF" w:rsidR="00562079" w:rsidRDefault="00F859D2">
          <w:pPr>
            <w:pStyle w:val="TOC1"/>
            <w:rPr>
              <w:rFonts w:asciiTheme="minorHAnsi" w:eastAsiaTheme="minorEastAsia" w:hAnsiTheme="minorHAnsi" w:cstheme="minorBidi"/>
              <w:b w:val="0"/>
              <w:noProof/>
              <w:color w:val="auto"/>
              <w:sz w:val="22"/>
              <w:szCs w:val="22"/>
              <w:lang w:eastAsia="en-AU"/>
            </w:rPr>
          </w:pPr>
          <w:r w:rsidRPr="4BCDB6AC">
            <w:rPr>
              <w:color w:val="2B579A"/>
              <w:shd w:val="clear" w:color="auto" w:fill="E6E6E6"/>
            </w:rPr>
            <w:fldChar w:fldCharType="begin"/>
          </w:r>
          <w:r w:rsidR="00F401EF" w:rsidRPr="00215D48">
            <w:instrText xml:space="preserve"> TOC \h \z \u \t "Heading 2,1,Heading 3,2,Heading 4,3" </w:instrText>
          </w:r>
          <w:r w:rsidRPr="4BCDB6AC">
            <w:rPr>
              <w:color w:val="2B579A"/>
              <w:shd w:val="clear" w:color="auto" w:fill="E6E6E6"/>
            </w:rPr>
            <w:fldChar w:fldCharType="separate"/>
          </w:r>
          <w:hyperlink w:anchor="_Toc121127819" w:history="1">
            <w:r w:rsidR="00562079" w:rsidRPr="0027532F">
              <w:rPr>
                <w:rStyle w:val="Hyperlink"/>
                <w:noProof/>
              </w:rPr>
              <w:t>About this guidance</w:t>
            </w:r>
            <w:r w:rsidR="00562079">
              <w:rPr>
                <w:noProof/>
                <w:webHidden/>
              </w:rPr>
              <w:tab/>
            </w:r>
            <w:r w:rsidR="00562079">
              <w:rPr>
                <w:noProof/>
                <w:webHidden/>
                <w:color w:val="2B579A"/>
                <w:shd w:val="clear" w:color="auto" w:fill="E6E6E6"/>
              </w:rPr>
              <w:fldChar w:fldCharType="begin"/>
            </w:r>
            <w:r w:rsidR="00562079">
              <w:rPr>
                <w:noProof/>
                <w:webHidden/>
              </w:rPr>
              <w:instrText xml:space="preserve"> PAGEREF _Toc121127819 \h </w:instrText>
            </w:r>
            <w:r w:rsidR="00562079">
              <w:rPr>
                <w:noProof/>
                <w:webHidden/>
                <w:color w:val="2B579A"/>
                <w:shd w:val="clear" w:color="auto" w:fill="E6E6E6"/>
              </w:rPr>
            </w:r>
            <w:r w:rsidR="00562079">
              <w:rPr>
                <w:noProof/>
                <w:webHidden/>
                <w:color w:val="2B579A"/>
                <w:shd w:val="clear" w:color="auto" w:fill="E6E6E6"/>
              </w:rPr>
              <w:fldChar w:fldCharType="separate"/>
            </w:r>
            <w:r w:rsidR="00A04EAF">
              <w:rPr>
                <w:noProof/>
                <w:webHidden/>
              </w:rPr>
              <w:t>5</w:t>
            </w:r>
            <w:r w:rsidR="00562079">
              <w:rPr>
                <w:noProof/>
                <w:webHidden/>
                <w:color w:val="2B579A"/>
                <w:shd w:val="clear" w:color="auto" w:fill="E6E6E6"/>
              </w:rPr>
              <w:fldChar w:fldCharType="end"/>
            </w:r>
          </w:hyperlink>
        </w:p>
        <w:p w14:paraId="528E4F80" w14:textId="0627AD91"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20" w:history="1">
            <w:r w:rsidR="00562079" w:rsidRPr="00D12FFB">
              <w:rPr>
                <w:rStyle w:val="Hyperlink"/>
                <w:b w:val="0"/>
                <w:bCs/>
                <w:noProof/>
              </w:rPr>
              <w:t>Authorised Prescriber Scheme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_Toc121127820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5</w:t>
            </w:r>
            <w:r w:rsidR="00562079" w:rsidRPr="00D12FFB">
              <w:rPr>
                <w:b w:val="0"/>
                <w:bCs/>
                <w:noProof/>
                <w:webHidden/>
                <w:color w:val="2B579A"/>
                <w:shd w:val="clear" w:color="auto" w:fill="E6E6E6"/>
              </w:rPr>
              <w:fldChar w:fldCharType="end"/>
            </w:r>
          </w:hyperlink>
        </w:p>
        <w:p w14:paraId="388CCFDF" w14:textId="31503AFA"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21" w:history="1">
            <w:r w:rsidR="00562079" w:rsidRPr="00D12FFB">
              <w:rPr>
                <w:rStyle w:val="Hyperlink"/>
                <w:b w:val="0"/>
                <w:bCs/>
                <w:noProof/>
              </w:rPr>
              <w:t>Changes to the Authorised Prescriber Scheme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_Toc121127821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5</w:t>
            </w:r>
            <w:r w:rsidR="00562079" w:rsidRPr="00D12FFB">
              <w:rPr>
                <w:b w:val="0"/>
                <w:bCs/>
                <w:noProof/>
                <w:webHidden/>
                <w:color w:val="2B579A"/>
                <w:shd w:val="clear" w:color="auto" w:fill="E6E6E6"/>
              </w:rPr>
              <w:fldChar w:fldCharType="end"/>
            </w:r>
          </w:hyperlink>
        </w:p>
        <w:p w14:paraId="0D0F66D8" w14:textId="77A03B1C"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22" w:history="1">
            <w:r w:rsidR="00562079" w:rsidRPr="00D12FFB">
              <w:rPr>
                <w:rStyle w:val="Hyperlink"/>
                <w:b w:val="0"/>
                <w:bCs/>
                <w:noProof/>
              </w:rPr>
              <w:t>Who can become an Authorised Prescriber</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_Toc121127822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6</w:t>
            </w:r>
            <w:r w:rsidR="00562079" w:rsidRPr="00D12FFB">
              <w:rPr>
                <w:b w:val="0"/>
                <w:bCs/>
                <w:noProof/>
                <w:webHidden/>
                <w:color w:val="2B579A"/>
                <w:shd w:val="clear" w:color="auto" w:fill="E6E6E6"/>
              </w:rPr>
              <w:fldChar w:fldCharType="end"/>
            </w:r>
          </w:hyperlink>
        </w:p>
        <w:p w14:paraId="22E9353A" w14:textId="76C20845"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23" w:history="1">
            <w:r w:rsidR="00562079" w:rsidRPr="00D12FFB">
              <w:rPr>
                <w:rStyle w:val="Hyperlink"/>
                <w:b w:val="0"/>
                <w:bCs/>
                <w:noProof/>
              </w:rPr>
              <w:t>Roles and responsibilities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_Toc121127823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7</w:t>
            </w:r>
            <w:r w:rsidR="00562079" w:rsidRPr="00D12FFB">
              <w:rPr>
                <w:b w:val="0"/>
                <w:bCs/>
                <w:noProof/>
                <w:webHidden/>
                <w:color w:val="2B579A"/>
                <w:shd w:val="clear" w:color="auto" w:fill="E6E6E6"/>
              </w:rPr>
              <w:fldChar w:fldCharType="end"/>
            </w:r>
          </w:hyperlink>
        </w:p>
        <w:p w14:paraId="67ABB3DB" w14:textId="082D61E8"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24" w:history="1">
            <w:r w:rsidR="00562079" w:rsidRPr="00D12FFB">
              <w:rPr>
                <w:rStyle w:val="Hyperlink"/>
                <w:b w:val="0"/>
                <w:bCs/>
                <w:noProof/>
              </w:rPr>
              <w:t>The TGA</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_Toc121127824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7</w:t>
            </w:r>
            <w:r w:rsidR="00562079" w:rsidRPr="00D12FFB">
              <w:rPr>
                <w:b w:val="0"/>
                <w:bCs/>
                <w:noProof/>
                <w:webHidden/>
                <w:color w:val="2B579A"/>
                <w:shd w:val="clear" w:color="auto" w:fill="E6E6E6"/>
              </w:rPr>
              <w:fldChar w:fldCharType="end"/>
            </w:r>
          </w:hyperlink>
        </w:p>
        <w:p w14:paraId="411FC4D5" w14:textId="7AF86544"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25" w:history="1">
            <w:r w:rsidR="00562079" w:rsidRPr="00D12FFB">
              <w:rPr>
                <w:rStyle w:val="Hyperlink"/>
                <w:b w:val="0"/>
                <w:bCs/>
                <w:noProof/>
              </w:rPr>
              <w:t>Medical practitioners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_Toc121127825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7</w:t>
            </w:r>
            <w:r w:rsidR="00562079" w:rsidRPr="00D12FFB">
              <w:rPr>
                <w:b w:val="0"/>
                <w:bCs/>
                <w:noProof/>
                <w:webHidden/>
                <w:color w:val="2B579A"/>
                <w:shd w:val="clear" w:color="auto" w:fill="E6E6E6"/>
              </w:rPr>
              <w:fldChar w:fldCharType="end"/>
            </w:r>
          </w:hyperlink>
        </w:p>
        <w:p w14:paraId="7ACEE4E9" w14:textId="6482744B"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26" w:history="1">
            <w:r w:rsidR="00562079" w:rsidRPr="00D12FFB">
              <w:rPr>
                <w:rStyle w:val="Hyperlink"/>
                <w:b w:val="0"/>
                <w:bCs/>
                <w:noProof/>
              </w:rPr>
              <w:t>HRECs and specialist colleges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_Toc121127826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8</w:t>
            </w:r>
            <w:r w:rsidR="00562079" w:rsidRPr="00D12FFB">
              <w:rPr>
                <w:b w:val="0"/>
                <w:bCs/>
                <w:noProof/>
                <w:webHidden/>
                <w:color w:val="2B579A"/>
                <w:shd w:val="clear" w:color="auto" w:fill="E6E6E6"/>
              </w:rPr>
              <w:fldChar w:fldCharType="end"/>
            </w:r>
          </w:hyperlink>
        </w:p>
        <w:p w14:paraId="6E30AE0F" w14:textId="7A0D7D76"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27" w:history="1">
            <w:r w:rsidR="00562079" w:rsidRPr="00D12FFB">
              <w:rPr>
                <w:rStyle w:val="Hyperlink"/>
                <w:b w:val="0"/>
                <w:bCs/>
                <w:noProof/>
              </w:rPr>
              <w:t>Sponsors of ‘unapproved’ therapeutic goods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_Toc121127827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8</w:t>
            </w:r>
            <w:r w:rsidR="00562079" w:rsidRPr="00D12FFB">
              <w:rPr>
                <w:b w:val="0"/>
                <w:bCs/>
                <w:noProof/>
                <w:webHidden/>
                <w:color w:val="2B579A"/>
                <w:shd w:val="clear" w:color="auto" w:fill="E6E6E6"/>
              </w:rPr>
              <w:fldChar w:fldCharType="end"/>
            </w:r>
          </w:hyperlink>
        </w:p>
        <w:p w14:paraId="5C92798C" w14:textId="4EA9D9CE" w:rsidR="00562079" w:rsidRDefault="00000000">
          <w:pPr>
            <w:pStyle w:val="TOC1"/>
            <w:rPr>
              <w:rFonts w:asciiTheme="minorHAnsi" w:eastAsiaTheme="minorEastAsia" w:hAnsiTheme="minorHAnsi" w:cstheme="minorBidi"/>
              <w:b w:val="0"/>
              <w:noProof/>
              <w:color w:val="auto"/>
              <w:sz w:val="22"/>
              <w:szCs w:val="22"/>
              <w:lang w:eastAsia="en-AU"/>
            </w:rPr>
          </w:pPr>
          <w:hyperlink w:anchor="_Toc121127828" w:history="1">
            <w:r w:rsidR="00562079" w:rsidRPr="0027532F">
              <w:rPr>
                <w:rStyle w:val="Hyperlink"/>
                <w:noProof/>
              </w:rPr>
              <w:t>How to become an Authorised Prescriber</w:t>
            </w:r>
            <w:r w:rsidR="00562079">
              <w:rPr>
                <w:noProof/>
                <w:webHidden/>
              </w:rPr>
              <w:tab/>
            </w:r>
            <w:r w:rsidR="00562079">
              <w:rPr>
                <w:noProof/>
                <w:webHidden/>
                <w:color w:val="2B579A"/>
                <w:shd w:val="clear" w:color="auto" w:fill="E6E6E6"/>
              </w:rPr>
              <w:fldChar w:fldCharType="begin"/>
            </w:r>
            <w:r w:rsidR="00562079">
              <w:rPr>
                <w:noProof/>
                <w:webHidden/>
              </w:rPr>
              <w:instrText xml:space="preserve"> PAGEREF _Toc121127828 \h </w:instrText>
            </w:r>
            <w:r w:rsidR="00562079">
              <w:rPr>
                <w:noProof/>
                <w:webHidden/>
                <w:color w:val="2B579A"/>
                <w:shd w:val="clear" w:color="auto" w:fill="E6E6E6"/>
              </w:rPr>
            </w:r>
            <w:r w:rsidR="00562079">
              <w:rPr>
                <w:noProof/>
                <w:webHidden/>
                <w:color w:val="2B579A"/>
                <w:shd w:val="clear" w:color="auto" w:fill="E6E6E6"/>
              </w:rPr>
              <w:fldChar w:fldCharType="separate"/>
            </w:r>
            <w:r w:rsidR="00A04EAF">
              <w:rPr>
                <w:noProof/>
                <w:webHidden/>
              </w:rPr>
              <w:t>8</w:t>
            </w:r>
            <w:r w:rsidR="00562079">
              <w:rPr>
                <w:noProof/>
                <w:webHidden/>
                <w:color w:val="2B579A"/>
                <w:shd w:val="clear" w:color="auto" w:fill="E6E6E6"/>
              </w:rPr>
              <w:fldChar w:fldCharType="end"/>
            </w:r>
          </w:hyperlink>
        </w:p>
        <w:p w14:paraId="7A4DD2B0" w14:textId="49D56C09"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29" w:history="1">
            <w:r w:rsidR="00562079" w:rsidRPr="00D12FFB">
              <w:rPr>
                <w:rStyle w:val="Hyperlink"/>
                <w:b w:val="0"/>
                <w:bCs/>
                <w:noProof/>
              </w:rPr>
              <w:t>Established history of use pathway</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_Toc121127829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8</w:t>
            </w:r>
            <w:r w:rsidR="00562079" w:rsidRPr="00D12FFB">
              <w:rPr>
                <w:b w:val="0"/>
                <w:bCs/>
                <w:noProof/>
                <w:webHidden/>
                <w:color w:val="2B579A"/>
                <w:shd w:val="clear" w:color="auto" w:fill="E6E6E6"/>
              </w:rPr>
              <w:fldChar w:fldCharType="end"/>
            </w:r>
          </w:hyperlink>
        </w:p>
        <w:p w14:paraId="16989A2F" w14:textId="3426B20F"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0" w:history="1">
            <w:r w:rsidR="00562079" w:rsidRPr="00D12FFB">
              <w:rPr>
                <w:rStyle w:val="Hyperlink"/>
                <w:b w:val="0"/>
                <w:bCs/>
                <w:noProof/>
              </w:rPr>
              <w:t>Standard pathway</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_Toc121127830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9</w:t>
            </w:r>
            <w:r w:rsidR="00562079" w:rsidRPr="00D12FFB">
              <w:rPr>
                <w:b w:val="0"/>
                <w:bCs/>
                <w:noProof/>
                <w:webHidden/>
                <w:color w:val="2B579A"/>
                <w:shd w:val="clear" w:color="auto" w:fill="E6E6E6"/>
              </w:rPr>
              <w:fldChar w:fldCharType="end"/>
            </w:r>
          </w:hyperlink>
        </w:p>
        <w:p w14:paraId="775FB471" w14:textId="0DDAAEB4"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1" w:history="1">
            <w:r w:rsidR="00562079" w:rsidRPr="00D12FFB">
              <w:rPr>
                <w:rStyle w:val="Hyperlink"/>
                <w:b w:val="0"/>
                <w:bCs/>
                <w:noProof/>
              </w:rPr>
              <w:t>Where to find an HREC or specialist college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_Toc121127831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10</w:t>
            </w:r>
            <w:r w:rsidR="00562079" w:rsidRPr="00D12FFB">
              <w:rPr>
                <w:b w:val="0"/>
                <w:bCs/>
                <w:noProof/>
                <w:webHidden/>
                <w:color w:val="2B579A"/>
                <w:shd w:val="clear" w:color="auto" w:fill="E6E6E6"/>
              </w:rPr>
              <w:fldChar w:fldCharType="end"/>
            </w:r>
          </w:hyperlink>
        </w:p>
        <w:p w14:paraId="2D9A5C2C" w14:textId="015F5456"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2" w:history="1">
            <w:r w:rsidR="00562079" w:rsidRPr="00D12FFB">
              <w:rPr>
                <w:rStyle w:val="Hyperlink"/>
                <w:b w:val="0"/>
                <w:bCs/>
                <w:noProof/>
              </w:rPr>
              <w:t>Applying for HREC approval or specialist college endorsement</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_Toc121127832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11</w:t>
            </w:r>
            <w:r w:rsidR="00562079" w:rsidRPr="00D12FFB">
              <w:rPr>
                <w:b w:val="0"/>
                <w:bCs/>
                <w:noProof/>
                <w:webHidden/>
                <w:color w:val="2B579A"/>
                <w:shd w:val="clear" w:color="auto" w:fill="E6E6E6"/>
              </w:rPr>
              <w:fldChar w:fldCharType="end"/>
            </w:r>
          </w:hyperlink>
        </w:p>
        <w:p w14:paraId="15CEC70C" w14:textId="7A3BA1AE"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33" w:history="1">
            <w:r w:rsidR="00562079" w:rsidRPr="00D12FFB">
              <w:rPr>
                <w:rStyle w:val="Hyperlink"/>
                <w:b w:val="0"/>
                <w:bCs/>
                <w:noProof/>
              </w:rPr>
              <w:t>Medical practitioner details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_Toc121127833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11</w:t>
            </w:r>
            <w:r w:rsidR="00562079" w:rsidRPr="00D12FFB">
              <w:rPr>
                <w:b w:val="0"/>
                <w:bCs/>
                <w:noProof/>
                <w:webHidden/>
                <w:color w:val="2B579A"/>
                <w:shd w:val="clear" w:color="auto" w:fill="E6E6E6"/>
              </w:rPr>
              <w:fldChar w:fldCharType="end"/>
            </w:r>
          </w:hyperlink>
        </w:p>
        <w:p w14:paraId="38B6E0A4" w14:textId="639DAF7E"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34" w:history="1">
            <w:r w:rsidR="00562079" w:rsidRPr="00D12FFB">
              <w:rPr>
                <w:rStyle w:val="Hyperlink"/>
                <w:b w:val="0"/>
                <w:bCs/>
                <w:noProof/>
              </w:rPr>
              <w:t>‘Unapproved’ therapeutic good description and evidence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_Toc121127834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12</w:t>
            </w:r>
            <w:r w:rsidR="00562079" w:rsidRPr="00D12FFB">
              <w:rPr>
                <w:b w:val="0"/>
                <w:bCs/>
                <w:noProof/>
                <w:webHidden/>
                <w:color w:val="2B579A"/>
                <w:shd w:val="clear" w:color="auto" w:fill="E6E6E6"/>
              </w:rPr>
              <w:fldChar w:fldCharType="end"/>
            </w:r>
          </w:hyperlink>
        </w:p>
        <w:p w14:paraId="5AD4BFC7" w14:textId="1E07D069"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5" w:history="1">
            <w:r w:rsidR="00562079" w:rsidRPr="00D12FFB">
              <w:rPr>
                <w:rStyle w:val="Hyperlink"/>
                <w:b w:val="0"/>
                <w:bCs/>
                <w:noProof/>
              </w:rPr>
              <w:t>Clinical justification for the use of the goods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_Toc121127835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16</w:t>
            </w:r>
            <w:r w:rsidR="00562079" w:rsidRPr="00D12FFB">
              <w:rPr>
                <w:b w:val="0"/>
                <w:bCs/>
                <w:noProof/>
                <w:webHidden/>
                <w:color w:val="2B579A"/>
                <w:shd w:val="clear" w:color="auto" w:fill="E6E6E6"/>
              </w:rPr>
              <w:fldChar w:fldCharType="end"/>
            </w:r>
          </w:hyperlink>
        </w:p>
        <w:p w14:paraId="2ECE2B15" w14:textId="730D0C86"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6" w:history="1">
            <w:r w:rsidR="00562079" w:rsidRPr="00D12FFB">
              <w:rPr>
                <w:rStyle w:val="Hyperlink"/>
                <w:b w:val="0"/>
                <w:bCs/>
                <w:noProof/>
              </w:rPr>
              <w:t>TGA decision</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_Toc121127836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16</w:t>
            </w:r>
            <w:r w:rsidR="00562079" w:rsidRPr="00D12FFB">
              <w:rPr>
                <w:b w:val="0"/>
                <w:bCs/>
                <w:noProof/>
                <w:webHidden/>
                <w:color w:val="2B579A"/>
                <w:shd w:val="clear" w:color="auto" w:fill="E6E6E6"/>
              </w:rPr>
              <w:fldChar w:fldCharType="end"/>
            </w:r>
          </w:hyperlink>
        </w:p>
        <w:p w14:paraId="36578CC9" w14:textId="1C397714"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37" w:history="1">
            <w:r w:rsidR="00562079" w:rsidRPr="00D12FFB">
              <w:rPr>
                <w:rStyle w:val="Hyperlink"/>
                <w:b w:val="0"/>
                <w:bCs/>
                <w:noProof/>
              </w:rPr>
              <w:t>Applications that we authorise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_Toc121127837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16</w:t>
            </w:r>
            <w:r w:rsidR="00562079" w:rsidRPr="00D12FFB">
              <w:rPr>
                <w:b w:val="0"/>
                <w:bCs/>
                <w:noProof/>
                <w:webHidden/>
                <w:color w:val="2B579A"/>
                <w:shd w:val="clear" w:color="auto" w:fill="E6E6E6"/>
              </w:rPr>
              <w:fldChar w:fldCharType="end"/>
            </w:r>
          </w:hyperlink>
        </w:p>
        <w:p w14:paraId="57C0D1C9" w14:textId="64E51867"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38" w:history="1">
            <w:r w:rsidR="00562079" w:rsidRPr="00D12FFB">
              <w:rPr>
                <w:rStyle w:val="Hyperlink"/>
                <w:b w:val="0"/>
                <w:bCs/>
                <w:noProof/>
              </w:rPr>
              <w:t>Applications that we do not authorise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_Toc121127838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17</w:t>
            </w:r>
            <w:r w:rsidR="00562079" w:rsidRPr="00D12FFB">
              <w:rPr>
                <w:b w:val="0"/>
                <w:bCs/>
                <w:noProof/>
                <w:webHidden/>
                <w:color w:val="2B579A"/>
                <w:shd w:val="clear" w:color="auto" w:fill="E6E6E6"/>
              </w:rPr>
              <w:fldChar w:fldCharType="end"/>
            </w:r>
          </w:hyperlink>
        </w:p>
        <w:p w14:paraId="1B3CF2E6" w14:textId="66D74844"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39" w:history="1">
            <w:r w:rsidR="00562079" w:rsidRPr="00D12FFB">
              <w:rPr>
                <w:rStyle w:val="Hyperlink"/>
                <w:b w:val="0"/>
                <w:bCs/>
                <w:noProof/>
              </w:rPr>
              <w:t>Appeals mechanisms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_Toc121127839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17</w:t>
            </w:r>
            <w:r w:rsidR="00562079" w:rsidRPr="00D12FFB">
              <w:rPr>
                <w:b w:val="0"/>
                <w:bCs/>
                <w:noProof/>
                <w:webHidden/>
                <w:color w:val="2B579A"/>
                <w:shd w:val="clear" w:color="auto" w:fill="E6E6E6"/>
              </w:rPr>
              <w:fldChar w:fldCharType="end"/>
            </w:r>
          </w:hyperlink>
        </w:p>
        <w:p w14:paraId="0C3F2418" w14:textId="6091AA99"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40" w:history="1">
            <w:r w:rsidR="00562079" w:rsidRPr="00D12FFB">
              <w:rPr>
                <w:rStyle w:val="Hyperlink"/>
                <w:b w:val="0"/>
                <w:bCs/>
                <w:noProof/>
              </w:rPr>
              <w:t>Informal appeals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_Toc121127840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17</w:t>
            </w:r>
            <w:r w:rsidR="00562079" w:rsidRPr="00D12FFB">
              <w:rPr>
                <w:b w:val="0"/>
                <w:bCs/>
                <w:noProof/>
                <w:webHidden/>
                <w:color w:val="2B579A"/>
                <w:shd w:val="clear" w:color="auto" w:fill="E6E6E6"/>
              </w:rPr>
              <w:fldChar w:fldCharType="end"/>
            </w:r>
          </w:hyperlink>
        </w:p>
        <w:p w14:paraId="6D586B95" w14:textId="75986191"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41" w:history="1">
            <w:r w:rsidR="00562079" w:rsidRPr="00D12FFB">
              <w:rPr>
                <w:rStyle w:val="Hyperlink"/>
                <w:b w:val="0"/>
                <w:bCs/>
                <w:noProof/>
              </w:rPr>
              <w:t>Formal appeals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_Toc121127841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17</w:t>
            </w:r>
            <w:r w:rsidR="00562079" w:rsidRPr="00D12FFB">
              <w:rPr>
                <w:b w:val="0"/>
                <w:bCs/>
                <w:noProof/>
                <w:webHidden/>
                <w:color w:val="2B579A"/>
                <w:shd w:val="clear" w:color="auto" w:fill="E6E6E6"/>
              </w:rPr>
              <w:fldChar w:fldCharType="end"/>
            </w:r>
          </w:hyperlink>
        </w:p>
        <w:p w14:paraId="74241C2D" w14:textId="624E9997" w:rsidR="00562079" w:rsidRDefault="00000000">
          <w:pPr>
            <w:pStyle w:val="TOC1"/>
            <w:rPr>
              <w:rFonts w:asciiTheme="minorHAnsi" w:eastAsiaTheme="minorEastAsia" w:hAnsiTheme="minorHAnsi" w:cstheme="minorBidi"/>
              <w:b w:val="0"/>
              <w:noProof/>
              <w:color w:val="auto"/>
              <w:sz w:val="22"/>
              <w:szCs w:val="22"/>
              <w:lang w:eastAsia="en-AU"/>
            </w:rPr>
          </w:pPr>
          <w:hyperlink w:anchor="_Toc121127842" w:history="1">
            <w:r w:rsidR="00562079" w:rsidRPr="0027532F">
              <w:rPr>
                <w:rStyle w:val="Hyperlink"/>
                <w:noProof/>
              </w:rPr>
              <w:t>Information for Medical Practitioners</w:t>
            </w:r>
            <w:r w:rsidR="00562079">
              <w:rPr>
                <w:noProof/>
                <w:webHidden/>
              </w:rPr>
              <w:tab/>
            </w:r>
            <w:r w:rsidR="00562079">
              <w:rPr>
                <w:noProof/>
                <w:webHidden/>
                <w:color w:val="2B579A"/>
                <w:shd w:val="clear" w:color="auto" w:fill="E6E6E6"/>
              </w:rPr>
              <w:fldChar w:fldCharType="begin"/>
            </w:r>
            <w:r w:rsidR="00562079">
              <w:rPr>
                <w:noProof/>
                <w:webHidden/>
              </w:rPr>
              <w:instrText xml:space="preserve"> PAGEREF _Toc121127842 \h </w:instrText>
            </w:r>
            <w:r w:rsidR="00562079">
              <w:rPr>
                <w:noProof/>
                <w:webHidden/>
                <w:color w:val="2B579A"/>
                <w:shd w:val="clear" w:color="auto" w:fill="E6E6E6"/>
              </w:rPr>
            </w:r>
            <w:r w:rsidR="00562079">
              <w:rPr>
                <w:noProof/>
                <w:webHidden/>
                <w:color w:val="2B579A"/>
                <w:shd w:val="clear" w:color="auto" w:fill="E6E6E6"/>
              </w:rPr>
              <w:fldChar w:fldCharType="separate"/>
            </w:r>
            <w:r w:rsidR="00A04EAF">
              <w:rPr>
                <w:noProof/>
                <w:webHidden/>
              </w:rPr>
              <w:t>17</w:t>
            </w:r>
            <w:r w:rsidR="00562079">
              <w:rPr>
                <w:noProof/>
                <w:webHidden/>
                <w:color w:val="2B579A"/>
                <w:shd w:val="clear" w:color="auto" w:fill="E6E6E6"/>
              </w:rPr>
              <w:fldChar w:fldCharType="end"/>
            </w:r>
          </w:hyperlink>
        </w:p>
        <w:p w14:paraId="2859DDAA" w14:textId="0D271075"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3" w:history="1">
            <w:r w:rsidR="00562079" w:rsidRPr="00D12FFB">
              <w:rPr>
                <w:rStyle w:val="Hyperlink"/>
                <w:b w:val="0"/>
                <w:bCs/>
                <w:noProof/>
              </w:rPr>
              <w:t>Informed consent</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_Toc121127843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17</w:t>
            </w:r>
            <w:r w:rsidR="00562079" w:rsidRPr="00D12FFB">
              <w:rPr>
                <w:b w:val="0"/>
                <w:bCs/>
                <w:noProof/>
                <w:webHidden/>
                <w:color w:val="2B579A"/>
                <w:shd w:val="clear" w:color="auto" w:fill="E6E6E6"/>
              </w:rPr>
              <w:fldChar w:fldCharType="end"/>
            </w:r>
          </w:hyperlink>
        </w:p>
        <w:p w14:paraId="1A998B37" w14:textId="1F522640"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4" w:history="1">
            <w:r w:rsidR="00562079" w:rsidRPr="00D12FFB">
              <w:rPr>
                <w:rStyle w:val="Hyperlink"/>
                <w:b w:val="0"/>
                <w:bCs/>
                <w:noProof/>
              </w:rPr>
              <w:t>Prescribing and using the ‘unapproved’ good</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_Toc121127844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18</w:t>
            </w:r>
            <w:r w:rsidR="00562079" w:rsidRPr="00D12FFB">
              <w:rPr>
                <w:b w:val="0"/>
                <w:bCs/>
                <w:noProof/>
                <w:webHidden/>
                <w:color w:val="2B579A"/>
                <w:shd w:val="clear" w:color="auto" w:fill="E6E6E6"/>
              </w:rPr>
              <w:fldChar w:fldCharType="end"/>
            </w:r>
          </w:hyperlink>
        </w:p>
        <w:p w14:paraId="0F7E8943" w14:textId="0E06FF3D"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5" w:history="1">
            <w:r w:rsidR="00562079" w:rsidRPr="00D12FFB">
              <w:rPr>
                <w:rStyle w:val="Hyperlink"/>
                <w:b w:val="0"/>
                <w:bCs/>
                <w:noProof/>
              </w:rPr>
              <w:t>Obtaining the ‘unapproved’ goods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_Toc121127845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18</w:t>
            </w:r>
            <w:r w:rsidR="00562079" w:rsidRPr="00D12FFB">
              <w:rPr>
                <w:b w:val="0"/>
                <w:bCs/>
                <w:noProof/>
                <w:webHidden/>
                <w:color w:val="2B579A"/>
                <w:shd w:val="clear" w:color="auto" w:fill="E6E6E6"/>
              </w:rPr>
              <w:fldChar w:fldCharType="end"/>
            </w:r>
          </w:hyperlink>
        </w:p>
        <w:p w14:paraId="04647F5F" w14:textId="5291BFB9"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6" w:history="1">
            <w:r w:rsidR="00562079" w:rsidRPr="00D12FFB">
              <w:rPr>
                <w:rStyle w:val="Hyperlink"/>
                <w:b w:val="0"/>
                <w:bCs/>
                <w:noProof/>
              </w:rPr>
              <w:t>Six monthly reporting</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_Toc121127846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18</w:t>
            </w:r>
            <w:r w:rsidR="00562079" w:rsidRPr="00D12FFB">
              <w:rPr>
                <w:b w:val="0"/>
                <w:bCs/>
                <w:noProof/>
                <w:webHidden/>
                <w:color w:val="2B579A"/>
                <w:shd w:val="clear" w:color="auto" w:fill="E6E6E6"/>
              </w:rPr>
              <w:fldChar w:fldCharType="end"/>
            </w:r>
          </w:hyperlink>
        </w:p>
        <w:p w14:paraId="1E77238D" w14:textId="22B95F80"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7" w:history="1">
            <w:r w:rsidR="00562079" w:rsidRPr="00D12FFB">
              <w:rPr>
                <w:rStyle w:val="Hyperlink"/>
                <w:b w:val="0"/>
                <w:bCs/>
                <w:noProof/>
              </w:rPr>
              <w:t>Revoking authorisation</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_Toc121127847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19</w:t>
            </w:r>
            <w:r w:rsidR="00562079" w:rsidRPr="00D12FFB">
              <w:rPr>
                <w:b w:val="0"/>
                <w:bCs/>
                <w:noProof/>
                <w:webHidden/>
                <w:color w:val="2B579A"/>
                <w:shd w:val="clear" w:color="auto" w:fill="E6E6E6"/>
              </w:rPr>
              <w:fldChar w:fldCharType="end"/>
            </w:r>
          </w:hyperlink>
        </w:p>
        <w:p w14:paraId="5B9B8900" w14:textId="250BB5E7"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8" w:history="1">
            <w:r w:rsidR="00562079" w:rsidRPr="00D12FFB">
              <w:rPr>
                <w:rStyle w:val="Hyperlink"/>
                <w:b w:val="0"/>
                <w:bCs/>
                <w:noProof/>
              </w:rPr>
              <w:t>If a suitable alternative good is available in the ARTG</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_Toc121127848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19</w:t>
            </w:r>
            <w:r w:rsidR="00562079" w:rsidRPr="00D12FFB">
              <w:rPr>
                <w:b w:val="0"/>
                <w:bCs/>
                <w:noProof/>
                <w:webHidden/>
                <w:color w:val="2B579A"/>
                <w:shd w:val="clear" w:color="auto" w:fill="E6E6E6"/>
              </w:rPr>
              <w:fldChar w:fldCharType="end"/>
            </w:r>
          </w:hyperlink>
        </w:p>
        <w:p w14:paraId="78E3A85A" w14:textId="47C0A694"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49" w:history="1">
            <w:r w:rsidR="00562079" w:rsidRPr="00D12FFB">
              <w:rPr>
                <w:rStyle w:val="Hyperlink"/>
                <w:b w:val="0"/>
                <w:bCs/>
                <w:noProof/>
              </w:rPr>
              <w:t>Review of medicines with an established history of use</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_Toc121127849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20</w:t>
            </w:r>
            <w:r w:rsidR="00562079" w:rsidRPr="00D12FFB">
              <w:rPr>
                <w:b w:val="0"/>
                <w:bCs/>
                <w:noProof/>
                <w:webHidden/>
                <w:color w:val="2B579A"/>
                <w:shd w:val="clear" w:color="auto" w:fill="E6E6E6"/>
              </w:rPr>
              <w:fldChar w:fldCharType="end"/>
            </w:r>
          </w:hyperlink>
        </w:p>
        <w:p w14:paraId="64B39C8C" w14:textId="77777777" w:rsidR="006D7AFB" w:rsidRDefault="006D7AFB">
          <w:pPr>
            <w:spacing w:before="0" w:after="0" w:line="240" w:lineRule="auto"/>
            <w:rPr>
              <w:b/>
              <w:noProof/>
              <w:sz w:val="32"/>
            </w:rPr>
          </w:pPr>
          <w:r>
            <w:rPr>
              <w:noProof/>
            </w:rPr>
            <w:br w:type="page"/>
          </w:r>
        </w:p>
        <w:p w14:paraId="50BE7F5A" w14:textId="1DEA2C97" w:rsidR="00562079" w:rsidRPr="00D12FFB" w:rsidRDefault="00000000" w:rsidP="00D333B3">
          <w:pPr>
            <w:pStyle w:val="TOC1"/>
            <w:tabs>
              <w:tab w:val="right" w:pos="8505"/>
            </w:tabs>
            <w:rPr>
              <w:rFonts w:asciiTheme="minorHAnsi" w:eastAsiaTheme="minorEastAsia" w:hAnsiTheme="minorHAnsi" w:cstheme="minorBidi"/>
              <w:noProof/>
              <w:color w:val="auto"/>
              <w:sz w:val="22"/>
              <w:szCs w:val="22"/>
              <w:lang w:eastAsia="en-AU"/>
            </w:rPr>
          </w:pPr>
          <w:hyperlink w:anchor="_Toc121127850" w:history="1">
            <w:r w:rsidR="00562079" w:rsidRPr="00D12FFB">
              <w:rPr>
                <w:rStyle w:val="Hyperlink"/>
                <w:noProof/>
              </w:rPr>
              <w:t>Information for HRECs and specialist colleges</w:t>
            </w:r>
            <w:r w:rsidR="00562079" w:rsidRPr="00D12FFB">
              <w:rPr>
                <w:noProof/>
                <w:webHidden/>
              </w:rPr>
              <w:tab/>
            </w:r>
            <w:r w:rsidR="00562079" w:rsidRPr="00D12FFB">
              <w:rPr>
                <w:noProof/>
                <w:webHidden/>
                <w:color w:val="2B579A"/>
                <w:shd w:val="clear" w:color="auto" w:fill="E6E6E6"/>
              </w:rPr>
              <w:fldChar w:fldCharType="begin"/>
            </w:r>
            <w:r w:rsidR="00562079" w:rsidRPr="00D12FFB">
              <w:rPr>
                <w:noProof/>
                <w:webHidden/>
              </w:rPr>
              <w:instrText xml:space="preserve"> PAGEREF _Toc121127850 \h </w:instrText>
            </w:r>
            <w:r w:rsidR="00562079" w:rsidRPr="00D12FFB">
              <w:rPr>
                <w:noProof/>
                <w:webHidden/>
                <w:color w:val="2B579A"/>
                <w:shd w:val="clear" w:color="auto" w:fill="E6E6E6"/>
              </w:rPr>
            </w:r>
            <w:r w:rsidR="00562079" w:rsidRPr="00D12FFB">
              <w:rPr>
                <w:noProof/>
                <w:webHidden/>
                <w:color w:val="2B579A"/>
                <w:shd w:val="clear" w:color="auto" w:fill="E6E6E6"/>
              </w:rPr>
              <w:fldChar w:fldCharType="separate"/>
            </w:r>
            <w:r w:rsidR="00A04EAF">
              <w:rPr>
                <w:noProof/>
                <w:webHidden/>
              </w:rPr>
              <w:t>20</w:t>
            </w:r>
            <w:r w:rsidR="00562079" w:rsidRPr="00D12FFB">
              <w:rPr>
                <w:noProof/>
                <w:webHidden/>
                <w:color w:val="2B579A"/>
                <w:shd w:val="clear" w:color="auto" w:fill="E6E6E6"/>
              </w:rPr>
              <w:fldChar w:fldCharType="end"/>
            </w:r>
          </w:hyperlink>
        </w:p>
        <w:p w14:paraId="372886DF" w14:textId="65E1081E"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1" w:history="1">
            <w:r w:rsidR="00562079" w:rsidRPr="00D12FFB">
              <w:rPr>
                <w:rStyle w:val="Hyperlink"/>
                <w:b w:val="0"/>
                <w:bCs/>
                <w:noProof/>
              </w:rPr>
              <w:t>Clinical justification for the use of the goods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_Toc121127851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20</w:t>
            </w:r>
            <w:r w:rsidR="00562079" w:rsidRPr="00D12FFB">
              <w:rPr>
                <w:b w:val="0"/>
                <w:bCs/>
                <w:noProof/>
                <w:webHidden/>
                <w:color w:val="2B579A"/>
                <w:shd w:val="clear" w:color="auto" w:fill="E6E6E6"/>
              </w:rPr>
              <w:fldChar w:fldCharType="end"/>
            </w:r>
          </w:hyperlink>
        </w:p>
        <w:p w14:paraId="28CAF76C" w14:textId="017D03C2"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2" w:history="1">
            <w:r w:rsidR="00562079" w:rsidRPr="00D12FFB">
              <w:rPr>
                <w:rStyle w:val="Hyperlink"/>
                <w:b w:val="0"/>
                <w:bCs/>
                <w:noProof/>
              </w:rPr>
              <w:t>Providing approval or endorsement</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_Toc121127852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21</w:t>
            </w:r>
            <w:r w:rsidR="00562079" w:rsidRPr="00D12FFB">
              <w:rPr>
                <w:b w:val="0"/>
                <w:bCs/>
                <w:noProof/>
                <w:webHidden/>
                <w:color w:val="2B579A"/>
                <w:shd w:val="clear" w:color="auto" w:fill="E6E6E6"/>
              </w:rPr>
              <w:fldChar w:fldCharType="end"/>
            </w:r>
          </w:hyperlink>
        </w:p>
        <w:p w14:paraId="0D82BEFB" w14:textId="7F2A1107"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3" w:history="1">
            <w:r w:rsidR="00562079" w:rsidRPr="00D12FFB">
              <w:rPr>
                <w:rStyle w:val="Hyperlink"/>
                <w:b w:val="0"/>
                <w:bCs/>
                <w:noProof/>
              </w:rPr>
              <w:t>Applications not approved or endorsed</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_Toc121127853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23</w:t>
            </w:r>
            <w:r w:rsidR="00562079" w:rsidRPr="00D12FFB">
              <w:rPr>
                <w:b w:val="0"/>
                <w:bCs/>
                <w:noProof/>
                <w:webHidden/>
                <w:color w:val="2B579A"/>
                <w:shd w:val="clear" w:color="auto" w:fill="E6E6E6"/>
              </w:rPr>
              <w:fldChar w:fldCharType="end"/>
            </w:r>
          </w:hyperlink>
        </w:p>
        <w:p w14:paraId="6BE5675E" w14:textId="5368320E"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4" w:history="1">
            <w:r w:rsidR="00562079" w:rsidRPr="00D12FFB">
              <w:rPr>
                <w:rStyle w:val="Hyperlink"/>
                <w:b w:val="0"/>
                <w:bCs/>
                <w:noProof/>
              </w:rPr>
              <w:t>Withdrawal of approval or endorsement</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_Toc121127854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23</w:t>
            </w:r>
            <w:r w:rsidR="00562079" w:rsidRPr="00D12FFB">
              <w:rPr>
                <w:b w:val="0"/>
                <w:bCs/>
                <w:noProof/>
                <w:webHidden/>
                <w:color w:val="2B579A"/>
                <w:shd w:val="clear" w:color="auto" w:fill="E6E6E6"/>
              </w:rPr>
              <w:fldChar w:fldCharType="end"/>
            </w:r>
          </w:hyperlink>
        </w:p>
        <w:p w14:paraId="5ABB663A" w14:textId="22BB13D8" w:rsidR="00562079" w:rsidRPr="00D12FFB" w:rsidRDefault="00000000">
          <w:pPr>
            <w:pStyle w:val="TOC1"/>
            <w:rPr>
              <w:rFonts w:asciiTheme="minorHAnsi" w:eastAsiaTheme="minorEastAsia" w:hAnsiTheme="minorHAnsi" w:cstheme="minorBidi"/>
              <w:noProof/>
              <w:color w:val="auto"/>
              <w:sz w:val="22"/>
              <w:szCs w:val="22"/>
              <w:lang w:eastAsia="en-AU"/>
            </w:rPr>
          </w:pPr>
          <w:hyperlink w:anchor="_Toc121127855" w:history="1">
            <w:r w:rsidR="00562079" w:rsidRPr="00D12FFB">
              <w:rPr>
                <w:rStyle w:val="Hyperlink"/>
                <w:noProof/>
              </w:rPr>
              <w:t>Information for sponsors</w:t>
            </w:r>
            <w:r w:rsidR="00562079" w:rsidRPr="00D12FFB">
              <w:rPr>
                <w:noProof/>
                <w:webHidden/>
              </w:rPr>
              <w:tab/>
            </w:r>
            <w:r w:rsidR="00562079" w:rsidRPr="00D12FFB">
              <w:rPr>
                <w:noProof/>
                <w:webHidden/>
                <w:color w:val="2B579A"/>
                <w:shd w:val="clear" w:color="auto" w:fill="E6E6E6"/>
              </w:rPr>
              <w:fldChar w:fldCharType="begin"/>
            </w:r>
            <w:r w:rsidR="00562079" w:rsidRPr="00D12FFB">
              <w:rPr>
                <w:noProof/>
                <w:webHidden/>
              </w:rPr>
              <w:instrText xml:space="preserve"> PAGEREF _Toc121127855 \h </w:instrText>
            </w:r>
            <w:r w:rsidR="00562079" w:rsidRPr="00D12FFB">
              <w:rPr>
                <w:noProof/>
                <w:webHidden/>
                <w:color w:val="2B579A"/>
                <w:shd w:val="clear" w:color="auto" w:fill="E6E6E6"/>
              </w:rPr>
            </w:r>
            <w:r w:rsidR="00562079" w:rsidRPr="00D12FFB">
              <w:rPr>
                <w:noProof/>
                <w:webHidden/>
                <w:color w:val="2B579A"/>
                <w:shd w:val="clear" w:color="auto" w:fill="E6E6E6"/>
              </w:rPr>
              <w:fldChar w:fldCharType="separate"/>
            </w:r>
            <w:r w:rsidR="00A04EAF">
              <w:rPr>
                <w:noProof/>
                <w:webHidden/>
              </w:rPr>
              <w:t>23</w:t>
            </w:r>
            <w:r w:rsidR="00562079" w:rsidRPr="00D12FFB">
              <w:rPr>
                <w:noProof/>
                <w:webHidden/>
                <w:color w:val="2B579A"/>
                <w:shd w:val="clear" w:color="auto" w:fill="E6E6E6"/>
              </w:rPr>
              <w:fldChar w:fldCharType="end"/>
            </w:r>
          </w:hyperlink>
        </w:p>
        <w:p w14:paraId="624D9A42" w14:textId="6F1292CB"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6" w:history="1">
            <w:r w:rsidR="00562079" w:rsidRPr="00D12FFB">
              <w:rPr>
                <w:rStyle w:val="Hyperlink"/>
                <w:b w:val="0"/>
                <w:bCs/>
                <w:noProof/>
              </w:rPr>
              <w:t>Releasing ‘unapproved’ goods to medical practitioners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_Toc121127856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23</w:t>
            </w:r>
            <w:r w:rsidR="00562079" w:rsidRPr="00D12FFB">
              <w:rPr>
                <w:b w:val="0"/>
                <w:bCs/>
                <w:noProof/>
                <w:webHidden/>
                <w:color w:val="2B579A"/>
                <w:shd w:val="clear" w:color="auto" w:fill="E6E6E6"/>
              </w:rPr>
              <w:fldChar w:fldCharType="end"/>
            </w:r>
          </w:hyperlink>
        </w:p>
        <w:p w14:paraId="5623B1FD" w14:textId="763A2AD4" w:rsidR="00562079" w:rsidRPr="00D12FFB" w:rsidRDefault="00000000">
          <w:pPr>
            <w:pStyle w:val="TOC3"/>
            <w:rPr>
              <w:rFonts w:asciiTheme="minorHAnsi" w:eastAsiaTheme="minorEastAsia" w:hAnsiTheme="minorHAnsi" w:cstheme="minorBidi"/>
              <w:b w:val="0"/>
              <w:bCs/>
              <w:noProof/>
              <w:color w:val="auto"/>
              <w:szCs w:val="22"/>
              <w:lang w:eastAsia="en-AU"/>
            </w:rPr>
          </w:pPr>
          <w:hyperlink w:anchor="_Toc121127857" w:history="1">
            <w:r w:rsidR="00562079" w:rsidRPr="00D12FFB">
              <w:rPr>
                <w:rStyle w:val="Hyperlink"/>
                <w:b w:val="0"/>
                <w:bCs/>
                <w:noProof/>
              </w:rPr>
              <w:t>Reporting requirements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_Toc121127857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23</w:t>
            </w:r>
            <w:r w:rsidR="00562079" w:rsidRPr="00D12FFB">
              <w:rPr>
                <w:b w:val="0"/>
                <w:bCs/>
                <w:noProof/>
                <w:webHidden/>
                <w:color w:val="2B579A"/>
                <w:shd w:val="clear" w:color="auto" w:fill="E6E6E6"/>
              </w:rPr>
              <w:fldChar w:fldCharType="end"/>
            </w:r>
          </w:hyperlink>
        </w:p>
        <w:p w14:paraId="327012D9" w14:textId="68B0116D"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58" w:history="1">
            <w:r w:rsidR="00562079" w:rsidRPr="00D12FFB">
              <w:rPr>
                <w:rStyle w:val="Hyperlink"/>
                <w:b w:val="0"/>
                <w:bCs/>
                <w:noProof/>
              </w:rPr>
              <w:t>Reporting adverse events and product defects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_Toc121127858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24</w:t>
            </w:r>
            <w:r w:rsidR="00562079" w:rsidRPr="00D12FFB">
              <w:rPr>
                <w:b w:val="0"/>
                <w:bCs/>
                <w:noProof/>
                <w:webHidden/>
                <w:color w:val="2B579A"/>
                <w:shd w:val="clear" w:color="auto" w:fill="E6E6E6"/>
              </w:rPr>
              <w:fldChar w:fldCharType="end"/>
            </w:r>
          </w:hyperlink>
        </w:p>
        <w:p w14:paraId="108FE3CE" w14:textId="627FBF5A" w:rsidR="00562079" w:rsidRPr="00D12FFB" w:rsidRDefault="00000000">
          <w:pPr>
            <w:pStyle w:val="TOC1"/>
            <w:rPr>
              <w:rFonts w:asciiTheme="minorHAnsi" w:eastAsiaTheme="minorEastAsia" w:hAnsiTheme="minorHAnsi" w:cstheme="minorBidi"/>
              <w:noProof/>
              <w:color w:val="auto"/>
              <w:sz w:val="22"/>
              <w:szCs w:val="22"/>
              <w:lang w:eastAsia="en-AU"/>
            </w:rPr>
          </w:pPr>
          <w:hyperlink w:anchor="_Toc121127859" w:history="1">
            <w:r w:rsidR="00562079" w:rsidRPr="00D12FFB">
              <w:rPr>
                <w:rStyle w:val="Hyperlink"/>
                <w:noProof/>
              </w:rPr>
              <w:t>Legal basis of the scheme</w:t>
            </w:r>
            <w:r w:rsidR="00562079" w:rsidRPr="00D12FFB">
              <w:rPr>
                <w:noProof/>
                <w:webHidden/>
              </w:rPr>
              <w:tab/>
            </w:r>
            <w:r w:rsidR="00562079" w:rsidRPr="00D12FFB">
              <w:rPr>
                <w:noProof/>
                <w:webHidden/>
                <w:color w:val="2B579A"/>
                <w:shd w:val="clear" w:color="auto" w:fill="E6E6E6"/>
              </w:rPr>
              <w:fldChar w:fldCharType="begin"/>
            </w:r>
            <w:r w:rsidR="00562079" w:rsidRPr="00D12FFB">
              <w:rPr>
                <w:noProof/>
                <w:webHidden/>
              </w:rPr>
              <w:instrText xml:space="preserve"> PAGEREF _Toc121127859 \h </w:instrText>
            </w:r>
            <w:r w:rsidR="00562079" w:rsidRPr="00D12FFB">
              <w:rPr>
                <w:noProof/>
                <w:webHidden/>
                <w:color w:val="2B579A"/>
                <w:shd w:val="clear" w:color="auto" w:fill="E6E6E6"/>
              </w:rPr>
            </w:r>
            <w:r w:rsidR="00562079" w:rsidRPr="00D12FFB">
              <w:rPr>
                <w:noProof/>
                <w:webHidden/>
                <w:color w:val="2B579A"/>
                <w:shd w:val="clear" w:color="auto" w:fill="E6E6E6"/>
              </w:rPr>
              <w:fldChar w:fldCharType="separate"/>
            </w:r>
            <w:r w:rsidR="00A04EAF">
              <w:rPr>
                <w:noProof/>
                <w:webHidden/>
              </w:rPr>
              <w:t>24</w:t>
            </w:r>
            <w:r w:rsidR="00562079" w:rsidRPr="00D12FFB">
              <w:rPr>
                <w:noProof/>
                <w:webHidden/>
                <w:color w:val="2B579A"/>
                <w:shd w:val="clear" w:color="auto" w:fill="E6E6E6"/>
              </w:rPr>
              <w:fldChar w:fldCharType="end"/>
            </w:r>
          </w:hyperlink>
        </w:p>
        <w:p w14:paraId="7B23088F" w14:textId="46E26025"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60" w:history="1">
            <w:r w:rsidR="00562079" w:rsidRPr="00D12FFB">
              <w:rPr>
                <w:rStyle w:val="Hyperlink"/>
                <w:b w:val="0"/>
                <w:bCs/>
                <w:noProof/>
              </w:rPr>
              <w:t>Medicines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_Toc121127860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24</w:t>
            </w:r>
            <w:r w:rsidR="00562079" w:rsidRPr="00D12FFB">
              <w:rPr>
                <w:b w:val="0"/>
                <w:bCs/>
                <w:noProof/>
                <w:webHidden/>
                <w:color w:val="2B579A"/>
                <w:shd w:val="clear" w:color="auto" w:fill="E6E6E6"/>
              </w:rPr>
              <w:fldChar w:fldCharType="end"/>
            </w:r>
          </w:hyperlink>
        </w:p>
        <w:p w14:paraId="0A0C5508" w14:textId="55D80B6D"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61" w:history="1">
            <w:r w:rsidR="00562079" w:rsidRPr="00D12FFB">
              <w:rPr>
                <w:rStyle w:val="Hyperlink"/>
                <w:b w:val="0"/>
                <w:bCs/>
                <w:noProof/>
              </w:rPr>
              <w:t>Biologicals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_Toc121127861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25</w:t>
            </w:r>
            <w:r w:rsidR="00562079" w:rsidRPr="00D12FFB">
              <w:rPr>
                <w:b w:val="0"/>
                <w:bCs/>
                <w:noProof/>
                <w:webHidden/>
                <w:color w:val="2B579A"/>
                <w:shd w:val="clear" w:color="auto" w:fill="E6E6E6"/>
              </w:rPr>
              <w:fldChar w:fldCharType="end"/>
            </w:r>
          </w:hyperlink>
        </w:p>
        <w:p w14:paraId="1626C9C8" w14:textId="4E363A76"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62" w:history="1">
            <w:r w:rsidR="00562079" w:rsidRPr="00D12FFB">
              <w:rPr>
                <w:rStyle w:val="Hyperlink"/>
                <w:b w:val="0"/>
                <w:bCs/>
                <w:noProof/>
              </w:rPr>
              <w:t>Medical devices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_Toc121127862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26</w:t>
            </w:r>
            <w:r w:rsidR="00562079" w:rsidRPr="00D12FFB">
              <w:rPr>
                <w:b w:val="0"/>
                <w:bCs/>
                <w:noProof/>
                <w:webHidden/>
                <w:color w:val="2B579A"/>
                <w:shd w:val="clear" w:color="auto" w:fill="E6E6E6"/>
              </w:rPr>
              <w:fldChar w:fldCharType="end"/>
            </w:r>
          </w:hyperlink>
        </w:p>
        <w:p w14:paraId="6917C822" w14:textId="5FE71A89"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63" w:history="1">
            <w:r w:rsidR="00562079" w:rsidRPr="00D12FFB">
              <w:rPr>
                <w:rStyle w:val="Hyperlink"/>
                <w:b w:val="0"/>
                <w:bCs/>
                <w:noProof/>
              </w:rPr>
              <w:t>Prohibition of promoting ‘unapproved’ therapeutic goods</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_Toc121127863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26</w:t>
            </w:r>
            <w:r w:rsidR="00562079" w:rsidRPr="00D12FFB">
              <w:rPr>
                <w:b w:val="0"/>
                <w:bCs/>
                <w:noProof/>
                <w:webHidden/>
                <w:color w:val="2B579A"/>
                <w:shd w:val="clear" w:color="auto" w:fill="E6E6E6"/>
              </w:rPr>
              <w:fldChar w:fldCharType="end"/>
            </w:r>
          </w:hyperlink>
        </w:p>
        <w:p w14:paraId="5065AF52" w14:textId="55C316CA" w:rsidR="00562079" w:rsidRPr="00D12FFB" w:rsidRDefault="00000000">
          <w:pPr>
            <w:pStyle w:val="TOC2"/>
            <w:rPr>
              <w:rFonts w:asciiTheme="minorHAnsi" w:eastAsiaTheme="minorEastAsia" w:hAnsiTheme="minorHAnsi" w:cstheme="minorBidi"/>
              <w:b w:val="0"/>
              <w:bCs/>
              <w:noProof/>
              <w:color w:val="auto"/>
              <w:sz w:val="22"/>
              <w:szCs w:val="22"/>
              <w:lang w:eastAsia="en-AU"/>
            </w:rPr>
          </w:pPr>
          <w:hyperlink w:anchor="_Toc121127864" w:history="1">
            <w:r w:rsidR="00562079" w:rsidRPr="00D12FFB">
              <w:rPr>
                <w:rStyle w:val="Hyperlink"/>
                <w:b w:val="0"/>
                <w:bCs/>
                <w:noProof/>
              </w:rPr>
              <w:t>Information and privacy</w:t>
            </w:r>
            <w:r w:rsidR="00562079" w:rsidRPr="00D12FFB">
              <w:rPr>
                <w:b w:val="0"/>
                <w:bCs/>
                <w:noProof/>
                <w:webHidden/>
              </w:rPr>
              <w:tab/>
            </w:r>
            <w:r w:rsidR="00562079" w:rsidRPr="00D12FFB">
              <w:rPr>
                <w:b w:val="0"/>
                <w:bCs/>
                <w:noProof/>
                <w:webHidden/>
                <w:color w:val="2B579A"/>
                <w:shd w:val="clear" w:color="auto" w:fill="E6E6E6"/>
              </w:rPr>
              <w:fldChar w:fldCharType="begin"/>
            </w:r>
            <w:r w:rsidR="00562079" w:rsidRPr="00D12FFB">
              <w:rPr>
                <w:b w:val="0"/>
                <w:bCs/>
                <w:noProof/>
                <w:webHidden/>
              </w:rPr>
              <w:instrText xml:space="preserve"> PAGEREF _Toc121127864 \h </w:instrText>
            </w:r>
            <w:r w:rsidR="00562079" w:rsidRPr="00D12FFB">
              <w:rPr>
                <w:b w:val="0"/>
                <w:bCs/>
                <w:noProof/>
                <w:webHidden/>
                <w:color w:val="2B579A"/>
                <w:shd w:val="clear" w:color="auto" w:fill="E6E6E6"/>
              </w:rPr>
            </w:r>
            <w:r w:rsidR="00562079" w:rsidRPr="00D12FFB">
              <w:rPr>
                <w:b w:val="0"/>
                <w:bCs/>
                <w:noProof/>
                <w:webHidden/>
                <w:color w:val="2B579A"/>
                <w:shd w:val="clear" w:color="auto" w:fill="E6E6E6"/>
              </w:rPr>
              <w:fldChar w:fldCharType="separate"/>
            </w:r>
            <w:r w:rsidR="00A04EAF">
              <w:rPr>
                <w:b w:val="0"/>
                <w:bCs/>
                <w:noProof/>
                <w:webHidden/>
              </w:rPr>
              <w:t>26</w:t>
            </w:r>
            <w:r w:rsidR="00562079" w:rsidRPr="00D12FFB">
              <w:rPr>
                <w:b w:val="0"/>
                <w:bCs/>
                <w:noProof/>
                <w:webHidden/>
                <w:color w:val="2B579A"/>
                <w:shd w:val="clear" w:color="auto" w:fill="E6E6E6"/>
              </w:rPr>
              <w:fldChar w:fldCharType="end"/>
            </w:r>
          </w:hyperlink>
        </w:p>
        <w:p w14:paraId="253D794E" w14:textId="6803B700" w:rsidR="00F401EF" w:rsidRPr="00215D48" w:rsidRDefault="00F859D2" w:rsidP="00F401EF">
          <w:r w:rsidRPr="4BCDB6AC">
            <w:rPr>
              <w:color w:val="2B579A"/>
            </w:rPr>
            <w:fldChar w:fldCharType="end"/>
          </w:r>
        </w:p>
      </w:sdtContent>
    </w:sdt>
    <w:p w14:paraId="4263657A" w14:textId="77777777" w:rsidR="00AA3EB9" w:rsidRPr="00215D48" w:rsidRDefault="001525B4" w:rsidP="0055653F">
      <w:r w:rsidRPr="00215D48">
        <w:br w:type="page"/>
      </w:r>
    </w:p>
    <w:p w14:paraId="28A990A3" w14:textId="77777777" w:rsidR="00BE23AB" w:rsidRDefault="00BE23AB" w:rsidP="00BE23AB">
      <w:pPr>
        <w:pStyle w:val="Heading2"/>
      </w:pPr>
      <w:bookmarkStart w:id="1" w:name="_Toc87540005"/>
      <w:bookmarkStart w:id="2" w:name="_Toc121127819"/>
      <w:r>
        <w:lastRenderedPageBreak/>
        <w:t>About this guidance</w:t>
      </w:r>
      <w:bookmarkEnd w:id="1"/>
      <w:bookmarkEnd w:id="2"/>
    </w:p>
    <w:p w14:paraId="0C1E8081" w14:textId="77777777" w:rsidR="00BE23AB" w:rsidRDefault="00BE23AB" w:rsidP="00BE23AB">
      <w:r>
        <w:t xml:space="preserve">This guidance is for medical practitioners, Human Research Ethics Committees (HRECs), specialist colleges and sponsors of </w:t>
      </w:r>
      <w:r w:rsidRPr="00DF5B4B">
        <w:t>‘unapproved’ therapeutic goods</w:t>
      </w:r>
      <w:r>
        <w:t xml:space="preserve"> and provides information about the:</w:t>
      </w:r>
    </w:p>
    <w:p w14:paraId="09348CB0" w14:textId="77777777" w:rsidR="00BE23AB" w:rsidRDefault="00BE23AB" w:rsidP="00BE23AB">
      <w:pPr>
        <w:pStyle w:val="ListBullet"/>
        <w:numPr>
          <w:ilvl w:val="0"/>
          <w:numId w:val="3"/>
        </w:numPr>
      </w:pPr>
      <w:r>
        <w:t>Authorised Prescriber scheme</w:t>
      </w:r>
    </w:p>
    <w:p w14:paraId="4005FBC7" w14:textId="77777777" w:rsidR="00BE23AB" w:rsidRDefault="00BE23AB" w:rsidP="00BE23AB">
      <w:pPr>
        <w:pStyle w:val="ListBullet"/>
        <w:numPr>
          <w:ilvl w:val="0"/>
          <w:numId w:val="3"/>
        </w:numPr>
      </w:pPr>
      <w:r>
        <w:t>roles and responsibilities of HRECs, specialist colleges, Authorised Prescribers, sponsors and TGA in relation to the Authorised Prescriber scheme</w:t>
      </w:r>
    </w:p>
    <w:p w14:paraId="4098D1D7" w14:textId="77777777" w:rsidR="00BE23AB" w:rsidRDefault="00BE23AB" w:rsidP="00BE23AB">
      <w:pPr>
        <w:pStyle w:val="ListBullet"/>
        <w:numPr>
          <w:ilvl w:val="0"/>
          <w:numId w:val="3"/>
        </w:numPr>
      </w:pPr>
      <w:r>
        <w:t>legal basis for supply of ‘unapproved’ therapeutic goods</w:t>
      </w:r>
    </w:p>
    <w:p w14:paraId="41B7090F" w14:textId="77777777" w:rsidR="00BE23AB" w:rsidRDefault="00BE23AB" w:rsidP="00BE23AB">
      <w:pPr>
        <w:pStyle w:val="ListBullet"/>
        <w:numPr>
          <w:ilvl w:val="0"/>
          <w:numId w:val="0"/>
        </w:numPr>
      </w:pPr>
      <w:r>
        <w:t xml:space="preserve">This guidance also provides details about relevant amendments to the </w:t>
      </w:r>
      <w:hyperlink r:id="rId16" w:history="1">
        <w:r w:rsidRPr="000D6895">
          <w:rPr>
            <w:rStyle w:val="Hyperlink"/>
            <w:i/>
          </w:rPr>
          <w:t>Therapeutic Goods Regulations 1990</w:t>
        </w:r>
      </w:hyperlink>
      <w:r>
        <w:t xml:space="preserve"> to streamline the application process for medicines considered to have an established history of use.</w:t>
      </w:r>
    </w:p>
    <w:p w14:paraId="25E36A21" w14:textId="77777777" w:rsidR="00BE23AB" w:rsidRDefault="00BE23AB" w:rsidP="00BE23AB">
      <w:r>
        <w:t>This document replaces previous guidance on this topic.</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E23AB" w:rsidRPr="00215D48" w14:paraId="7F68FB69" w14:textId="77777777" w:rsidTr="00387ACE">
        <w:trPr>
          <w:trHeight w:val="1018"/>
        </w:trPr>
        <w:tc>
          <w:tcPr>
            <w:tcW w:w="1276" w:type="dxa"/>
            <w:vAlign w:val="center"/>
          </w:tcPr>
          <w:p w14:paraId="206B3A20" w14:textId="77777777" w:rsidR="00BE23AB" w:rsidRPr="00215D48" w:rsidRDefault="00BE23AB" w:rsidP="00387ACE">
            <w:pPr>
              <w:spacing w:before="0"/>
              <w:rPr>
                <w:sz w:val="20"/>
              </w:rPr>
            </w:pPr>
            <w:r w:rsidRPr="00215D48">
              <w:rPr>
                <w:noProof/>
                <w:color w:val="2B579A"/>
                <w:sz w:val="20"/>
                <w:shd w:val="clear" w:color="auto" w:fill="E6E6E6"/>
                <w:lang w:eastAsia="en-AU"/>
              </w:rPr>
              <w:drawing>
                <wp:inline distT="0" distB="0" distL="0" distR="0" wp14:anchorId="4C878C39" wp14:editId="071B4DA0">
                  <wp:extent cx="487681" cy="487681"/>
                  <wp:effectExtent l="19050" t="0" r="7619" b="0"/>
                  <wp:docPr id="7" name="Picture 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CA191B3" w14:textId="77777777" w:rsidR="00BE23AB" w:rsidRDefault="00BE23AB" w:rsidP="00387ACE">
            <w:r>
              <w:t>This information is provided for guidance only and should not be relied on to address every aspect of the relevant legislation.</w:t>
            </w:r>
          </w:p>
          <w:p w14:paraId="6D5F6315" w14:textId="77777777" w:rsidR="00BE23AB" w:rsidRPr="00215D48" w:rsidRDefault="00BE23AB" w:rsidP="00387ACE">
            <w:r>
              <w:rPr>
                <w:iCs/>
                <w:lang w:eastAsia="en-AU"/>
              </w:rPr>
              <w:t>Y</w:t>
            </w:r>
            <w:r w:rsidRPr="00262360">
              <w:rPr>
                <w:iCs/>
                <w:lang w:eastAsia="en-AU"/>
              </w:rPr>
              <w:t xml:space="preserve">ou should </w:t>
            </w:r>
            <w:r>
              <w:rPr>
                <w:iCs/>
                <w:lang w:eastAsia="en-AU"/>
              </w:rPr>
              <w:t>seek</w:t>
            </w:r>
            <w:r w:rsidRPr="00262360">
              <w:rPr>
                <w:iCs/>
                <w:lang w:eastAsia="en-AU"/>
              </w:rPr>
              <w:t xml:space="preserve"> your own independent legal advice to ensure that </w:t>
            </w:r>
            <w:proofErr w:type="gramStart"/>
            <w:r w:rsidRPr="00262360">
              <w:rPr>
                <w:iCs/>
                <w:lang w:eastAsia="en-AU"/>
              </w:rPr>
              <w:t>all of</w:t>
            </w:r>
            <w:proofErr w:type="gramEnd"/>
            <w:r w:rsidRPr="00262360">
              <w:rPr>
                <w:iCs/>
                <w:lang w:eastAsia="en-AU"/>
              </w:rPr>
              <w:t xml:space="preserve"> the legislative requirements are met.</w:t>
            </w:r>
          </w:p>
        </w:tc>
      </w:tr>
    </w:tbl>
    <w:p w14:paraId="7981E2CD" w14:textId="77777777" w:rsidR="00BE23AB" w:rsidRPr="002D10CD" w:rsidRDefault="00BE23AB" w:rsidP="00BE23AB">
      <w:pPr>
        <w:pStyle w:val="Heading3"/>
      </w:pPr>
      <w:bookmarkStart w:id="3" w:name="_Toc87540006"/>
      <w:bookmarkStart w:id="4" w:name="_Toc121127820"/>
      <w:r w:rsidRPr="0072448B">
        <w:t xml:space="preserve">Authorised Prescriber </w:t>
      </w:r>
      <w:r>
        <w:t>S</w:t>
      </w:r>
      <w:r w:rsidRPr="0072448B">
        <w:t>cheme</w:t>
      </w:r>
      <w:bookmarkEnd w:id="3"/>
      <w:bookmarkEnd w:id="4"/>
    </w:p>
    <w:p w14:paraId="06E6D5D3" w14:textId="77777777" w:rsidR="00BE23AB" w:rsidRDefault="00BE23AB" w:rsidP="00BE23AB">
      <w:pPr>
        <w:rPr>
          <w:lang w:val="en"/>
        </w:rPr>
      </w:pPr>
      <w:r w:rsidRPr="002D616D">
        <w:t xml:space="preserve">Generally, therapeutic goods must be included in the </w:t>
      </w:r>
      <w:hyperlink r:id="rId18" w:history="1">
        <w:r w:rsidRPr="002D616D">
          <w:rPr>
            <w:rStyle w:val="Hyperlink"/>
          </w:rPr>
          <w:t>Australian Register of Therapeutic Goods (ARTG)</w:t>
        </w:r>
      </w:hyperlink>
      <w:r w:rsidRPr="002D616D">
        <w:t xml:space="preserve"> before they can be imported into, supplied in, and exported from Australia. </w:t>
      </w:r>
      <w:r w:rsidRPr="002D616D">
        <w:rPr>
          <w:lang w:val="en"/>
        </w:rPr>
        <w:t xml:space="preserve">Therapeutic goods that are not included in the ARTG </w:t>
      </w:r>
      <w:r>
        <w:rPr>
          <w:lang w:val="en"/>
        </w:rPr>
        <w:t>(</w:t>
      </w:r>
      <w:r w:rsidRPr="002D616D">
        <w:rPr>
          <w:lang w:val="en"/>
        </w:rPr>
        <w:t>described by us as 'unapproved'</w:t>
      </w:r>
      <w:r>
        <w:rPr>
          <w:lang w:val="en"/>
        </w:rPr>
        <w:t xml:space="preserve"> goods) cannot be lawfully supplied in Australia unless exempt, </w:t>
      </w:r>
      <w:proofErr w:type="gramStart"/>
      <w:r>
        <w:rPr>
          <w:lang w:val="en"/>
        </w:rPr>
        <w:t>approved</w:t>
      </w:r>
      <w:proofErr w:type="gramEnd"/>
      <w:r>
        <w:rPr>
          <w:lang w:val="en"/>
        </w:rPr>
        <w:t xml:space="preserve"> or </w:t>
      </w:r>
      <w:proofErr w:type="spellStart"/>
      <w:r>
        <w:rPr>
          <w:lang w:val="en"/>
        </w:rPr>
        <w:t>authorised</w:t>
      </w:r>
      <w:proofErr w:type="spellEnd"/>
      <w:r>
        <w:rPr>
          <w:lang w:val="en"/>
        </w:rPr>
        <w:t xml:space="preserve"> under the therapeutic goods legislation. </w:t>
      </w:r>
    </w:p>
    <w:p w14:paraId="60A5C329" w14:textId="77777777" w:rsidR="00BE23AB" w:rsidRDefault="00BE23AB" w:rsidP="00BE23AB">
      <w:r w:rsidRPr="002D616D">
        <w:t xml:space="preserve">The therapeutic goods legislation provides </w:t>
      </w:r>
      <w:proofErr w:type="gramStart"/>
      <w:r w:rsidRPr="002D616D">
        <w:t>a number of</w:t>
      </w:r>
      <w:proofErr w:type="gramEnd"/>
      <w:r w:rsidRPr="002D616D">
        <w:t xml:space="preserve"> avenues </w:t>
      </w:r>
      <w:r>
        <w:t>that</w:t>
      </w:r>
      <w:r w:rsidRPr="002D616D">
        <w:t xml:space="preserve"> allow access to therapeutic goods that are not included in the ARTG.</w:t>
      </w:r>
      <w:r>
        <w:t xml:space="preserve"> The Authorised Prescriber scheme allows authorised medical practitioners to access and legally supply a specified ’</w:t>
      </w:r>
      <w:r w:rsidRPr="00601267">
        <w:t>unapproved</w:t>
      </w:r>
      <w:r>
        <w:t>’</w:t>
      </w:r>
      <w:r w:rsidRPr="00601267">
        <w:t xml:space="preserve"> therapeutic good</w:t>
      </w:r>
      <w:r>
        <w:t xml:space="preserve"> (or class of ‘unapproved’ therapeutic goods) to a class of patients with a particular medical condition.</w:t>
      </w:r>
    </w:p>
    <w:p w14:paraId="523CEEFC" w14:textId="77777777" w:rsidR="00BE23AB" w:rsidRDefault="00BE23AB" w:rsidP="00BE23AB">
      <w:r>
        <w:t>An Authorised Prescriber is allowed to supply the product directly to patients in their immediate care without requiring separate approval for individual patients. The product must not be supplied to other practitioners who prescribe or administer the product.</w:t>
      </w:r>
    </w:p>
    <w:p w14:paraId="06A91364" w14:textId="77777777" w:rsidR="00BE23AB" w:rsidRDefault="00BE23AB" w:rsidP="00BE23AB">
      <w:pPr>
        <w:pStyle w:val="Heading3"/>
      </w:pPr>
      <w:bookmarkStart w:id="5" w:name="_Toc87540007"/>
      <w:bookmarkStart w:id="6" w:name="_Toc121127821"/>
      <w:r>
        <w:t>Changes to the Authorised Prescriber Scheme</w:t>
      </w:r>
      <w:bookmarkEnd w:id="5"/>
      <w:bookmarkEnd w:id="6"/>
    </w:p>
    <w:p w14:paraId="1F598EA4" w14:textId="77777777" w:rsidR="00BE23AB" w:rsidRDefault="00BE23AB" w:rsidP="00BE23AB">
      <w:r>
        <w:t xml:space="preserve">Established history of use pathway </w:t>
      </w:r>
      <w:proofErr w:type="gramStart"/>
      <w:r>
        <w:t>On</w:t>
      </w:r>
      <w:proofErr w:type="gramEnd"/>
      <w:r>
        <w:t xml:space="preserve"> 24 July 2020, the Therapeutic Goods Administration (TGA) implemented a change to the Authorised Prescriber scheme to streamline the application process for medicines considered to have an established history of use in Australia.</w:t>
      </w:r>
    </w:p>
    <w:p w14:paraId="49C1DC9B" w14:textId="77777777" w:rsidR="00BE23AB" w:rsidRDefault="00BE23AB" w:rsidP="00BE23AB">
      <w:r>
        <w:t>This change removes the TGA requirement for Human Research Ethics Committee (HREC) approval or specialist college endorsement in circumstances where the medical practitioner is applying to become an Authorised Prescriber of medicines specified in</w:t>
      </w:r>
      <w:r w:rsidRPr="00D455A9">
        <w:t xml:space="preserve"> subregulation 12B(1B) </w:t>
      </w:r>
      <w:r>
        <w:t xml:space="preserve">and 12B(1C) </w:t>
      </w:r>
      <w:r w:rsidRPr="00D455A9">
        <w:t xml:space="preserve">of the </w:t>
      </w:r>
      <w:hyperlink r:id="rId19" w:history="1">
        <w:r w:rsidRPr="000D6895">
          <w:rPr>
            <w:rStyle w:val="Hyperlink"/>
            <w:i/>
          </w:rPr>
          <w:t>Therapeutic Goods Regulations 1990</w:t>
        </w:r>
      </w:hyperlink>
      <w:r>
        <w:t xml:space="preserve">, that are considered to </w:t>
      </w:r>
      <w:r>
        <w:lastRenderedPageBreak/>
        <w:t>have an established history of use. This arrangement only applies where the medicine to be prescribed</w:t>
      </w:r>
      <w:r w:rsidRPr="004B1E9E">
        <w:t>, concentration (if any), dosage form, route of administration and indication match an entry in subregulation 12B(1B)</w:t>
      </w:r>
      <w:r>
        <w:t xml:space="preserve"> or 12B(1C)</w:t>
      </w:r>
      <w:r w:rsidRPr="004B1E9E">
        <w:t>.</w:t>
      </w:r>
    </w:p>
    <w:p w14:paraId="2D38F489" w14:textId="77777777" w:rsidR="00BE23AB" w:rsidRPr="004B1E9E" w:rsidRDefault="00BE23AB" w:rsidP="00BE23AB">
      <w:r w:rsidRPr="009E1FDF">
        <w:t>Subregulation 12B(1C) includes the addition of certain medicinal cannabis medicines to the ‘Established history of use’ pathway, by reference to active ingredient categories, dosage forms and indications.</w:t>
      </w:r>
    </w:p>
    <w:p w14:paraId="7D09F785" w14:textId="77777777" w:rsidR="00BE23AB" w:rsidRDefault="00BE23AB" w:rsidP="00BE23AB">
      <w:r w:rsidRPr="002A6915">
        <w:rPr>
          <w:iCs/>
        </w:rPr>
        <w:t xml:space="preserve">A printable </w:t>
      </w:r>
      <w:hyperlink r:id="rId20" w:history="1">
        <w:r w:rsidRPr="00482451">
          <w:rPr>
            <w:rStyle w:val="Hyperlink"/>
            <w:iCs/>
          </w:rPr>
          <w:t>list of medicines with an established history of use</w:t>
        </w:r>
      </w:hyperlink>
      <w:r>
        <w:rPr>
          <w:iCs/>
        </w:rPr>
        <w:t xml:space="preserve"> </w:t>
      </w:r>
      <w:r w:rsidRPr="002A6915">
        <w:rPr>
          <w:iCs/>
        </w:rPr>
        <w:t>is available on our website.</w:t>
      </w:r>
      <w:r>
        <w:rPr>
          <w:iCs/>
        </w:rPr>
        <w:t xml:space="preserve"> </w:t>
      </w:r>
      <w:r w:rsidRPr="004B0046">
        <w:rPr>
          <w:iCs/>
        </w:rPr>
        <w:t>HREC or institutional approval may still be required to use certain ‘unapproved’ therapeutic goods within an institution such as a hospital. Medical practitioners need to liaise with the relevant institution to confirm the institution’s requirements.</w:t>
      </w:r>
    </w:p>
    <w:p w14:paraId="02699BA9" w14:textId="77777777" w:rsidR="00BE23AB" w:rsidRDefault="00BE23AB" w:rsidP="00BE23AB">
      <w:r w:rsidRPr="004B1E9E">
        <w:t xml:space="preserve">For medicines accessed under </w:t>
      </w:r>
      <w:r>
        <w:t>the</w:t>
      </w:r>
      <w:r w:rsidRPr="004B1E9E">
        <w:t xml:space="preserve"> established history of use</w:t>
      </w:r>
      <w:r>
        <w:t xml:space="preserve"> pathway</w:t>
      </w:r>
      <w:r w:rsidRPr="004B1E9E">
        <w:t>, the</w:t>
      </w:r>
      <w:r>
        <w:t xml:space="preserve"> approving</w:t>
      </w:r>
      <w:r w:rsidRPr="004B1E9E">
        <w:t xml:space="preserve"> Delegate may authorise supply for up to a </w:t>
      </w:r>
      <w:proofErr w:type="gramStart"/>
      <w:r w:rsidRPr="004B1E9E">
        <w:t>five year</w:t>
      </w:r>
      <w:proofErr w:type="gramEnd"/>
      <w:r w:rsidRPr="004B1E9E">
        <w:t xml:space="preserve"> period. However, the individual delegate assessing the application has discretion to apply any duration they assess is appropriate for the application. </w:t>
      </w:r>
    </w:p>
    <w:p w14:paraId="1F501146" w14:textId="69B1020D" w:rsidR="00BE23AB" w:rsidRPr="00E53FBB" w:rsidRDefault="00BE23AB" w:rsidP="00BE23AB">
      <w:r>
        <w:t>N</w:t>
      </w:r>
      <w:r w:rsidRPr="004B1E9E">
        <w:t xml:space="preserve">o changes have been made to the application process for medical devices and biologicals. The duration of authorisation may be extended for medical devices (from one year to two years) and biologicals (from two years to five years) that are listed in the </w:t>
      </w:r>
      <w:hyperlink r:id="rId21" w:history="1">
        <w:r w:rsidRPr="004B1E9E">
          <w:rPr>
            <w:rStyle w:val="Hyperlink"/>
          </w:rPr>
          <w:t>Special Access Scheme rules</w:t>
        </w:r>
      </w:hyperlink>
      <w:r w:rsidRPr="004B1E9E">
        <w:t>.</w:t>
      </w:r>
    </w:p>
    <w:p w14:paraId="5DB36878" w14:textId="77777777" w:rsidR="00BE23AB" w:rsidRDefault="00BE23AB" w:rsidP="00BE23AB">
      <w:pPr>
        <w:pStyle w:val="Heading3"/>
      </w:pPr>
      <w:bookmarkStart w:id="7" w:name="_Toc87540008"/>
      <w:bookmarkStart w:id="8" w:name="_Toc121127822"/>
      <w:r>
        <w:t xml:space="preserve">Who can become an Authorised </w:t>
      </w:r>
      <w:proofErr w:type="gramStart"/>
      <w:r>
        <w:t>Prescriber</w:t>
      </w:r>
      <w:bookmarkEnd w:id="7"/>
      <w:bookmarkEnd w:id="8"/>
      <w:proofErr w:type="gramEnd"/>
    </w:p>
    <w:p w14:paraId="46BBACB8" w14:textId="77777777" w:rsidR="00BE23AB" w:rsidRDefault="00BE23AB" w:rsidP="00BE23AB">
      <w:r>
        <w:t xml:space="preserve">Only medical practitioners can apply to become Authorised Prescribers under the </w:t>
      </w:r>
      <w:hyperlink r:id="rId22" w:history="1">
        <w:r w:rsidRPr="00E8470A">
          <w:rPr>
            <w:rStyle w:val="Hyperlink"/>
            <w:i/>
          </w:rPr>
          <w:t>Therapeutic Goods Act 1989</w:t>
        </w:r>
      </w:hyperlink>
      <w:r>
        <w:t xml:space="preserve">. The therapeutic goods legislation defines a medical practitioner as ‘a person who is registered, in a state or internal territory, as a medical practitioner’. In addition, the HREC (if applicable) and TGA Delegate must be assured that the medical practitioner has </w:t>
      </w:r>
      <w:r w:rsidRPr="00522089">
        <w:t>the qualifications and experience necessary to appropriately manage the medica</w:t>
      </w:r>
      <w:r>
        <w:t>l condition and use the product.</w:t>
      </w:r>
    </w:p>
    <w:p w14:paraId="28DDE29E" w14:textId="77777777" w:rsidR="00BE23AB" w:rsidRDefault="00BE23AB" w:rsidP="00BE23AB">
      <w:r>
        <w:t>To become an Authorised Prescriber, applicants must:</w:t>
      </w:r>
    </w:p>
    <w:p w14:paraId="634B7DB8" w14:textId="77777777" w:rsidR="00BE23AB" w:rsidRDefault="00BE23AB" w:rsidP="00BE23AB">
      <w:pPr>
        <w:pStyle w:val="ListBullet"/>
        <w:numPr>
          <w:ilvl w:val="0"/>
          <w:numId w:val="3"/>
        </w:numPr>
      </w:pPr>
      <w:r>
        <w:t xml:space="preserve">be a medical practitioner with specialist registration or general registration with the Medical Board of Australia  </w:t>
      </w:r>
    </w:p>
    <w:p w14:paraId="6222F021" w14:textId="77777777" w:rsidR="00BE23AB" w:rsidRPr="008E7E0F" w:rsidRDefault="00BE23AB" w:rsidP="00BE23AB">
      <w:pPr>
        <w:pStyle w:val="ListBullet2"/>
        <w:numPr>
          <w:ilvl w:val="1"/>
          <w:numId w:val="3"/>
        </w:numPr>
        <w:ind w:left="850" w:hanging="425"/>
      </w:pPr>
      <w:r w:rsidRPr="008E7E0F">
        <w:t>generally, applications from medical practitioners with non-practising, limited, student</w:t>
      </w:r>
      <w:r>
        <w:t xml:space="preserve">, </w:t>
      </w:r>
      <w:r w:rsidRPr="008E7E0F">
        <w:t>provisional registration (requiring supervised practice)</w:t>
      </w:r>
      <w:r>
        <w:t>, or conditions placed on their registration</w:t>
      </w:r>
      <w:r w:rsidRPr="008E7E0F">
        <w:t xml:space="preserve"> will not be considered for the Authorised Prescriber </w:t>
      </w:r>
      <w:proofErr w:type="gramStart"/>
      <w:r>
        <w:t>s</w:t>
      </w:r>
      <w:r w:rsidRPr="008E7E0F">
        <w:t>cheme</w:t>
      </w:r>
      <w:proofErr w:type="gramEnd"/>
    </w:p>
    <w:p w14:paraId="71631E97" w14:textId="77777777" w:rsidR="00BE23AB" w:rsidRDefault="00BE23AB" w:rsidP="00BE23AB">
      <w:pPr>
        <w:pStyle w:val="ListBullet"/>
        <w:numPr>
          <w:ilvl w:val="0"/>
          <w:numId w:val="3"/>
        </w:numPr>
      </w:pPr>
      <w:r>
        <w:t xml:space="preserve">have the training and expertise appropriate for the condition being treated and the proposed use of the </w:t>
      </w:r>
      <w:proofErr w:type="gramStart"/>
      <w:r>
        <w:t>product</w:t>
      </w:r>
      <w:proofErr w:type="gramEnd"/>
    </w:p>
    <w:p w14:paraId="029989AF" w14:textId="77777777" w:rsidR="00BE23AB" w:rsidRDefault="00BE23AB" w:rsidP="00BE23AB">
      <w:pPr>
        <w:pStyle w:val="ListBullet"/>
        <w:numPr>
          <w:ilvl w:val="0"/>
          <w:numId w:val="3"/>
        </w:numPr>
      </w:pPr>
      <w:r>
        <w:t xml:space="preserve">be able to best determine the needs of the </w:t>
      </w:r>
      <w:proofErr w:type="gramStart"/>
      <w:r>
        <w:t>patient</w:t>
      </w:r>
      <w:proofErr w:type="gramEnd"/>
    </w:p>
    <w:p w14:paraId="5743B7BE" w14:textId="77777777" w:rsidR="00BE23AB" w:rsidRDefault="00BE23AB" w:rsidP="00BE23AB">
      <w:pPr>
        <w:pStyle w:val="ListBullet"/>
        <w:numPr>
          <w:ilvl w:val="0"/>
          <w:numId w:val="3"/>
        </w:numPr>
      </w:pPr>
      <w:r>
        <w:t>be able to monitor the outcome of therapy.</w:t>
      </w:r>
    </w:p>
    <w:p w14:paraId="5BECE491" w14:textId="77777777" w:rsidR="00BE23AB" w:rsidRDefault="00BE23AB" w:rsidP="00BE23AB">
      <w:r>
        <w:t xml:space="preserve">The application should specify the medical practitioner’s registration number in the national </w:t>
      </w:r>
      <w:hyperlink r:id="rId23" w:history="1">
        <w:r>
          <w:rPr>
            <w:rStyle w:val="Hyperlink"/>
          </w:rPr>
          <w:t>Register of practitioners</w:t>
        </w:r>
      </w:hyperlink>
      <w:r>
        <w:t xml:space="preserve"> on the Australian Health Practitioner Regulation Agency (AHPRA) website. Other health practitioners, including dentists, are not eligible to become Authorised Prescribers. These practitioners may be able to access ‘unapproved’ therapeutic goods for </w:t>
      </w:r>
      <w:r w:rsidRPr="006E7358">
        <w:t xml:space="preserve">individual patients under the </w:t>
      </w:r>
      <w:hyperlink r:id="rId24" w:history="1">
        <w:r w:rsidRPr="006E7358">
          <w:rPr>
            <w:rStyle w:val="Hyperlink"/>
          </w:rPr>
          <w:t>Special Access</w:t>
        </w:r>
        <w:r w:rsidRPr="00267D89">
          <w:rPr>
            <w:rStyle w:val="Hyperlink"/>
          </w:rPr>
          <w:t xml:space="preserve"> </w:t>
        </w:r>
        <w:r w:rsidRPr="006E7358">
          <w:rPr>
            <w:rStyle w:val="Hyperlink"/>
          </w:rPr>
          <w:t>Scheme</w:t>
        </w:r>
      </w:hyperlink>
      <w:r w:rsidRPr="006E7358">
        <w:t>.</w:t>
      </w:r>
    </w:p>
    <w:p w14:paraId="2A0978C7" w14:textId="77777777" w:rsidR="00BE23AB" w:rsidRDefault="00BE23AB" w:rsidP="00BE23AB">
      <w:pPr>
        <w:pStyle w:val="Heading3"/>
        <w:pageBreakBefore/>
      </w:pPr>
      <w:bookmarkStart w:id="9" w:name="_Toc87540009"/>
      <w:bookmarkStart w:id="10" w:name="_Toc121127823"/>
      <w:r>
        <w:lastRenderedPageBreak/>
        <w:t>Roles and responsibilities</w:t>
      </w:r>
      <w:bookmarkEnd w:id="9"/>
      <w:bookmarkEnd w:id="10"/>
    </w:p>
    <w:p w14:paraId="486B2590" w14:textId="77777777" w:rsidR="00BE23AB" w:rsidRDefault="00BE23AB" w:rsidP="00BE23AB">
      <w:pPr>
        <w:pStyle w:val="Heading4"/>
      </w:pPr>
      <w:bookmarkStart w:id="11" w:name="_Toc87540010"/>
      <w:bookmarkStart w:id="12" w:name="_Toc121127824"/>
      <w:bookmarkStart w:id="13" w:name="_Toc46934110"/>
      <w:bookmarkStart w:id="14" w:name="_Toc46934401"/>
      <w:r>
        <w:t>The TGA</w:t>
      </w:r>
      <w:bookmarkEnd w:id="11"/>
      <w:bookmarkEnd w:id="12"/>
    </w:p>
    <w:p w14:paraId="518CD2CA" w14:textId="77777777" w:rsidR="00BE23AB" w:rsidRDefault="00BE23AB" w:rsidP="00BE23AB">
      <w:pPr>
        <w:pStyle w:val="ListBullet"/>
        <w:numPr>
          <w:ilvl w:val="0"/>
          <w:numId w:val="0"/>
        </w:numPr>
      </w:pPr>
      <w:r>
        <w:t xml:space="preserve">The TGA administers the </w:t>
      </w:r>
      <w:r w:rsidRPr="00073DF6">
        <w:rPr>
          <w:i/>
        </w:rPr>
        <w:t>Therapeutic Goods Act 1989</w:t>
      </w:r>
      <w:r>
        <w:t xml:space="preserve"> (the Act), the </w:t>
      </w:r>
      <w:r w:rsidRPr="00E1658F">
        <w:rPr>
          <w:i/>
        </w:rPr>
        <w:t>Therapeutic Goods Regulations 1990</w:t>
      </w:r>
      <w:r>
        <w:t xml:space="preserve"> (the Regulations), and various Orders and Determinations, and regulates the quality, </w:t>
      </w:r>
      <w:proofErr w:type="gramStart"/>
      <w:r>
        <w:t>safety</w:t>
      </w:r>
      <w:proofErr w:type="gramEnd"/>
      <w:r>
        <w:t xml:space="preserve"> and efficacy of therapeutic goods as well as access to therapeutic goods that have not been approved for general use (‘unapproved’ therapeutic goods).</w:t>
      </w:r>
    </w:p>
    <w:p w14:paraId="227F622E" w14:textId="77777777" w:rsidR="00BE23AB" w:rsidRDefault="00BE23AB" w:rsidP="00BE23AB">
      <w:r>
        <w:t>The TGA:</w:t>
      </w:r>
    </w:p>
    <w:p w14:paraId="0BE64D8A" w14:textId="77777777" w:rsidR="00BE23AB" w:rsidRDefault="00BE23AB" w:rsidP="00BE23AB">
      <w:pPr>
        <w:pStyle w:val="ListBullet"/>
        <w:numPr>
          <w:ilvl w:val="0"/>
          <w:numId w:val="3"/>
        </w:numPr>
      </w:pPr>
      <w:r>
        <w:t xml:space="preserve">encourages the use of products included in the </w:t>
      </w:r>
      <w:proofErr w:type="gramStart"/>
      <w:r>
        <w:t>ARTG</w:t>
      </w:r>
      <w:proofErr w:type="gramEnd"/>
    </w:p>
    <w:p w14:paraId="1D395DE8" w14:textId="77777777" w:rsidR="00BE23AB" w:rsidRDefault="00BE23AB" w:rsidP="00BE23AB">
      <w:pPr>
        <w:pStyle w:val="ListBullet"/>
        <w:numPr>
          <w:ilvl w:val="0"/>
          <w:numId w:val="3"/>
        </w:numPr>
      </w:pPr>
      <w:r>
        <w:t xml:space="preserve">determines whether there are emerging safety concerns that would make approval or endorsement </w:t>
      </w:r>
      <w:proofErr w:type="gramStart"/>
      <w:r>
        <w:t>inappropriate</w:t>
      </w:r>
      <w:proofErr w:type="gramEnd"/>
    </w:p>
    <w:p w14:paraId="3CD45EA7" w14:textId="77777777" w:rsidR="00BE23AB" w:rsidRDefault="00BE23AB" w:rsidP="00BE23AB">
      <w:pPr>
        <w:pStyle w:val="ListBullet"/>
        <w:numPr>
          <w:ilvl w:val="0"/>
          <w:numId w:val="3"/>
        </w:numPr>
      </w:pPr>
      <w:r>
        <w:t xml:space="preserve">determines whether the requirements for authorisation as an Authorised Prescriber have been </w:t>
      </w:r>
      <w:proofErr w:type="gramStart"/>
      <w:r>
        <w:t>met</w:t>
      </w:r>
      <w:proofErr w:type="gramEnd"/>
      <w:r>
        <w:t xml:space="preserve"> </w:t>
      </w:r>
    </w:p>
    <w:p w14:paraId="3A40108C" w14:textId="77777777" w:rsidR="00BE23AB" w:rsidRDefault="00BE23AB" w:rsidP="00BE23AB">
      <w:pPr>
        <w:pStyle w:val="Heading4"/>
      </w:pPr>
      <w:bookmarkStart w:id="15" w:name="_Toc87540011"/>
      <w:bookmarkStart w:id="16" w:name="_Toc121127825"/>
      <w:r>
        <w:t>Medical practitioners</w:t>
      </w:r>
      <w:bookmarkEnd w:id="13"/>
      <w:bookmarkEnd w:id="14"/>
      <w:bookmarkEnd w:id="15"/>
      <w:bookmarkEnd w:id="16"/>
    </w:p>
    <w:p w14:paraId="46C7A992" w14:textId="77777777" w:rsidR="00BE23AB" w:rsidRDefault="00BE23AB" w:rsidP="00BE23AB">
      <w:r w:rsidRPr="00E1658F">
        <w:t>Medical practitioners</w:t>
      </w:r>
      <w:r w:rsidRPr="00015FAD">
        <w:t xml:space="preserve"> </w:t>
      </w:r>
      <w:r>
        <w:t>who wish to apply to become Authorised Prescribers must:</w:t>
      </w:r>
    </w:p>
    <w:p w14:paraId="74C1104A" w14:textId="77777777" w:rsidR="00BE23AB" w:rsidRPr="00084C1A" w:rsidRDefault="00BE23AB" w:rsidP="00BE23AB">
      <w:pPr>
        <w:pStyle w:val="ListBullet"/>
        <w:numPr>
          <w:ilvl w:val="0"/>
          <w:numId w:val="3"/>
        </w:numPr>
      </w:pPr>
      <w:r w:rsidRPr="00084C1A">
        <w:t xml:space="preserve">determine whether any suitable alternative therapeutic goods are included in the </w:t>
      </w:r>
      <w:proofErr w:type="gramStart"/>
      <w:r w:rsidRPr="00084C1A">
        <w:t>ARTG</w:t>
      </w:r>
      <w:proofErr w:type="gramEnd"/>
    </w:p>
    <w:p w14:paraId="2D9AE750" w14:textId="77777777" w:rsidR="00BE23AB" w:rsidRPr="00084C1A" w:rsidRDefault="00BE23AB" w:rsidP="00BE23AB">
      <w:pPr>
        <w:pStyle w:val="ListBullet"/>
        <w:numPr>
          <w:ilvl w:val="0"/>
          <w:numId w:val="3"/>
        </w:numPr>
      </w:pPr>
      <w:r w:rsidRPr="00084C1A">
        <w:t>apply for approval from an HREC or endorsement from a specialist college (if applicable)</w:t>
      </w:r>
    </w:p>
    <w:p w14:paraId="2AA8A86D" w14:textId="77777777" w:rsidR="00BE23AB" w:rsidRDefault="00BE23AB" w:rsidP="00BE23AB">
      <w:pPr>
        <w:pStyle w:val="ListBullet"/>
        <w:numPr>
          <w:ilvl w:val="0"/>
          <w:numId w:val="3"/>
        </w:numPr>
      </w:pPr>
      <w:proofErr w:type="gramStart"/>
      <w:r>
        <w:t>submit an application</w:t>
      </w:r>
      <w:proofErr w:type="gramEnd"/>
      <w:r>
        <w:t xml:space="preserve"> to the TGA.</w:t>
      </w:r>
    </w:p>
    <w:p w14:paraId="23523890" w14:textId="77777777" w:rsidR="00BE23AB" w:rsidRDefault="00BE23AB" w:rsidP="00BE23AB">
      <w:r>
        <w:t>Medical practitioners who become Authorised Prescribers must:</w:t>
      </w:r>
    </w:p>
    <w:p w14:paraId="2450B36C" w14:textId="77777777" w:rsidR="00BE23AB" w:rsidRDefault="00BE23AB" w:rsidP="00BE23AB">
      <w:pPr>
        <w:pStyle w:val="ListBullet"/>
        <w:numPr>
          <w:ilvl w:val="0"/>
          <w:numId w:val="3"/>
        </w:numPr>
      </w:pPr>
      <w:r>
        <w:t xml:space="preserve">remain informed about changes to the benefits and risks of the good as they </w:t>
      </w:r>
      <w:proofErr w:type="gramStart"/>
      <w:r>
        <w:t>arise</w:t>
      </w:r>
      <w:proofErr w:type="gramEnd"/>
    </w:p>
    <w:p w14:paraId="46FFF82C" w14:textId="77777777" w:rsidR="00BE23AB" w:rsidRDefault="00BE23AB" w:rsidP="00BE23AB">
      <w:pPr>
        <w:pStyle w:val="ListBullet"/>
        <w:numPr>
          <w:ilvl w:val="0"/>
          <w:numId w:val="3"/>
        </w:numPr>
        <w:ind w:right="-286"/>
      </w:pPr>
      <w:r>
        <w:t xml:space="preserve">consider the potential benefits and risks of the ‘unapproved’ for each patient it is prescribed </w:t>
      </w:r>
      <w:proofErr w:type="gramStart"/>
      <w:r>
        <w:t>for</w:t>
      </w:r>
      <w:proofErr w:type="gramEnd"/>
    </w:p>
    <w:p w14:paraId="64E083D4" w14:textId="77777777" w:rsidR="00BE23AB" w:rsidRDefault="00BE23AB" w:rsidP="00BE23AB">
      <w:pPr>
        <w:pStyle w:val="ListBullet"/>
        <w:numPr>
          <w:ilvl w:val="0"/>
          <w:numId w:val="3"/>
        </w:numPr>
      </w:pPr>
      <w:r>
        <w:t xml:space="preserve">obtain written </w:t>
      </w:r>
      <w:hyperlink w:anchor="_Informed_consent_1" w:history="1">
        <w:r w:rsidRPr="00EC1810">
          <w:rPr>
            <w:rStyle w:val="Hyperlink"/>
          </w:rPr>
          <w:t>informed consent</w:t>
        </w:r>
      </w:hyperlink>
      <w:r>
        <w:t xml:space="preserve"> from each patient before </w:t>
      </w:r>
      <w:proofErr w:type="gramStart"/>
      <w:r>
        <w:t>prescribing</w:t>
      </w:r>
      <w:proofErr w:type="gramEnd"/>
    </w:p>
    <w:p w14:paraId="142E3FAC" w14:textId="77777777" w:rsidR="00BE23AB" w:rsidRDefault="00BE23AB" w:rsidP="00BE23AB">
      <w:pPr>
        <w:pStyle w:val="ListBullet"/>
        <w:numPr>
          <w:ilvl w:val="0"/>
          <w:numId w:val="3"/>
        </w:numPr>
      </w:pPr>
      <w:r>
        <w:t xml:space="preserve">arrange </w:t>
      </w:r>
      <w:hyperlink w:anchor="_Territory._Obtaining_the" w:history="1">
        <w:r w:rsidRPr="00EC1810">
          <w:rPr>
            <w:rStyle w:val="Hyperlink"/>
          </w:rPr>
          <w:t>supply</w:t>
        </w:r>
      </w:hyperlink>
      <w:r>
        <w:t xml:space="preserve"> of the goods directly through a sponsor or </w:t>
      </w:r>
      <w:proofErr w:type="gramStart"/>
      <w:r>
        <w:t>pharmacy</w:t>
      </w:r>
      <w:proofErr w:type="gramEnd"/>
    </w:p>
    <w:p w14:paraId="4D4D734A" w14:textId="77777777" w:rsidR="00BE23AB" w:rsidRDefault="00BE23AB" w:rsidP="00BE23AB">
      <w:pPr>
        <w:pStyle w:val="ListBullet"/>
        <w:numPr>
          <w:ilvl w:val="0"/>
          <w:numId w:val="3"/>
        </w:numPr>
      </w:pPr>
      <w:r>
        <w:t xml:space="preserve">monitor the patient during and after use of the ‘unapproved’ </w:t>
      </w:r>
      <w:proofErr w:type="gramStart"/>
      <w:r>
        <w:t>good</w:t>
      </w:r>
      <w:proofErr w:type="gramEnd"/>
    </w:p>
    <w:p w14:paraId="2F4CB480" w14:textId="77777777" w:rsidR="00BE23AB" w:rsidRDefault="00BE23AB" w:rsidP="00BE23AB">
      <w:pPr>
        <w:pStyle w:val="ListBullet"/>
        <w:numPr>
          <w:ilvl w:val="0"/>
          <w:numId w:val="3"/>
        </w:numPr>
      </w:pPr>
      <w:r>
        <w:t xml:space="preserve">provide the TGA with a </w:t>
      </w:r>
      <w:hyperlink w:anchor="_Periodic_reporting" w:history="1">
        <w:r>
          <w:rPr>
            <w:rStyle w:val="Hyperlink"/>
          </w:rPr>
          <w:t>six monthly</w:t>
        </w:r>
        <w:r w:rsidRPr="00EC1810">
          <w:rPr>
            <w:rStyle w:val="Hyperlink"/>
          </w:rPr>
          <w:t xml:space="preserve"> </w:t>
        </w:r>
        <w:proofErr w:type="gramStart"/>
        <w:r w:rsidRPr="00EC1810">
          <w:rPr>
            <w:rStyle w:val="Hyperlink"/>
          </w:rPr>
          <w:t>report</w:t>
        </w:r>
        <w:proofErr w:type="gramEnd"/>
      </w:hyperlink>
      <w:r>
        <w:t xml:space="preserve"> for the periods </w:t>
      </w:r>
      <w:r>
        <w:rPr>
          <w:lang w:val="en"/>
        </w:rPr>
        <w:t>1 January to 30 June and 1 July to 31 December</w:t>
      </w:r>
      <w:r>
        <w:t xml:space="preserve">. These reports must be supplied to TGA within one calendar month after the reporting period </w:t>
      </w:r>
      <w:proofErr w:type="gramStart"/>
      <w:r>
        <w:t>ends</w:t>
      </w:r>
      <w:proofErr w:type="gramEnd"/>
    </w:p>
    <w:p w14:paraId="2CB56B71" w14:textId="77777777" w:rsidR="00BE23AB" w:rsidRDefault="00000000" w:rsidP="00BE23AB">
      <w:pPr>
        <w:pStyle w:val="ListBullet"/>
        <w:numPr>
          <w:ilvl w:val="0"/>
          <w:numId w:val="3"/>
        </w:numPr>
      </w:pPr>
      <w:hyperlink w:anchor="_Reporting_adverse_events" w:history="1">
        <w:r w:rsidR="00BE23AB" w:rsidRPr="00EC1810">
          <w:rPr>
            <w:rStyle w:val="Hyperlink"/>
          </w:rPr>
          <w:t>inform us of adverse events associated with use of the good</w:t>
        </w:r>
      </w:hyperlink>
    </w:p>
    <w:p w14:paraId="46E798D4" w14:textId="77777777" w:rsidR="00BE23AB" w:rsidRDefault="00BE23AB" w:rsidP="00BE23AB">
      <w:pPr>
        <w:pStyle w:val="ListBullet"/>
        <w:numPr>
          <w:ilvl w:val="0"/>
          <w:numId w:val="3"/>
        </w:numPr>
      </w:pPr>
      <w:r>
        <w:t xml:space="preserve">meet any conditions the TGA, HREC or specialist college applies to the approval or </w:t>
      </w:r>
      <w:proofErr w:type="gramStart"/>
      <w:r>
        <w:t>endorsement</w:t>
      </w:r>
      <w:proofErr w:type="gramEnd"/>
    </w:p>
    <w:p w14:paraId="3DDEE17F" w14:textId="77777777" w:rsidR="00BE23AB" w:rsidRDefault="00BE23AB" w:rsidP="00BE23AB">
      <w:pPr>
        <w:pStyle w:val="ListBullet"/>
        <w:numPr>
          <w:ilvl w:val="0"/>
          <w:numId w:val="3"/>
        </w:numPr>
      </w:pPr>
      <w:r>
        <w:t xml:space="preserve">comply with relevant State or Territory legislation governing the supply of therapeutic goods. Approval as an Authorised Prescriber does not override State or Territory </w:t>
      </w:r>
      <w:proofErr w:type="gramStart"/>
      <w:r>
        <w:t>legislation</w:t>
      </w:r>
      <w:proofErr w:type="gramEnd"/>
    </w:p>
    <w:p w14:paraId="2A7D8EDE" w14:textId="77777777" w:rsidR="00BE23AB" w:rsidRDefault="00BE23AB" w:rsidP="00BE23AB">
      <w:pPr>
        <w:pStyle w:val="Heading4"/>
        <w:pageBreakBefore/>
      </w:pPr>
      <w:bookmarkStart w:id="17" w:name="_Toc46934111"/>
      <w:bookmarkStart w:id="18" w:name="_Toc46934402"/>
      <w:bookmarkStart w:id="19" w:name="_Toc87540012"/>
      <w:bookmarkStart w:id="20" w:name="_Toc121127826"/>
      <w:r>
        <w:lastRenderedPageBreak/>
        <w:t>HRECs and specialist colleges</w:t>
      </w:r>
      <w:bookmarkEnd w:id="17"/>
      <w:bookmarkEnd w:id="18"/>
      <w:bookmarkEnd w:id="19"/>
      <w:bookmarkEnd w:id="20"/>
    </w:p>
    <w:p w14:paraId="2DDEAA4C" w14:textId="77777777" w:rsidR="00BE23AB" w:rsidRDefault="00BE23AB" w:rsidP="00BE23AB">
      <w:r>
        <w:t>HRECs and specialist colleges:</w:t>
      </w:r>
    </w:p>
    <w:p w14:paraId="523802AB" w14:textId="77777777" w:rsidR="00BE23AB" w:rsidRDefault="00000000" w:rsidP="00BE23AB">
      <w:pPr>
        <w:pStyle w:val="ListBullet"/>
        <w:numPr>
          <w:ilvl w:val="0"/>
          <w:numId w:val="3"/>
        </w:numPr>
      </w:pPr>
      <w:hyperlink w:anchor="_Clinical_justification_for" w:history="1">
        <w:r w:rsidR="00BE23AB" w:rsidRPr="002D3AAE">
          <w:rPr>
            <w:rStyle w:val="Hyperlink"/>
          </w:rPr>
          <w:t>evaluate</w:t>
        </w:r>
      </w:hyperlink>
      <w:r w:rsidR="00BE23AB">
        <w:t xml:space="preserve"> a medical practitioner’s submission (where applicable) and, if appropriate, approve or endorse it</w:t>
      </w:r>
    </w:p>
    <w:p w14:paraId="49CB4AE3" w14:textId="77777777" w:rsidR="00BE23AB" w:rsidRDefault="00BE23AB" w:rsidP="00BE23AB">
      <w:pPr>
        <w:pStyle w:val="ListBullet"/>
        <w:numPr>
          <w:ilvl w:val="0"/>
          <w:numId w:val="3"/>
        </w:numPr>
      </w:pPr>
      <w:r>
        <w:t xml:space="preserve">if </w:t>
      </w:r>
      <w:hyperlink w:anchor="_Providing_approval_or" w:history="1">
        <w:r w:rsidRPr="002D3AAE">
          <w:rPr>
            <w:rStyle w:val="Hyperlink"/>
          </w:rPr>
          <w:t>the application is approved or endorsed</w:t>
        </w:r>
      </w:hyperlink>
      <w:r>
        <w:t xml:space="preserve">, provide the medical practitioner with a letter declaring they have reviewed all necessary documentation and clearly stating this approval or </w:t>
      </w:r>
      <w:proofErr w:type="gramStart"/>
      <w:r>
        <w:t>endorsement</w:t>
      </w:r>
      <w:proofErr w:type="gramEnd"/>
    </w:p>
    <w:p w14:paraId="1704CE78" w14:textId="77777777" w:rsidR="00BE23AB" w:rsidRDefault="00BE23AB" w:rsidP="00BE23AB">
      <w:pPr>
        <w:pStyle w:val="ListBullet"/>
        <w:numPr>
          <w:ilvl w:val="0"/>
          <w:numId w:val="3"/>
        </w:numPr>
      </w:pPr>
      <w:r>
        <w:t>monitor the medical practitioner’s use of the ‘unapproved’ goods to ensure continued endorsement is appropriate. Examples of monitoring that have been undertaken by HRECs and specialist college have included the requirement for medical practitioner to submit to them:</w:t>
      </w:r>
    </w:p>
    <w:p w14:paraId="2E718991" w14:textId="77777777" w:rsidR="00BE23AB" w:rsidRDefault="00BE23AB" w:rsidP="00BE23AB">
      <w:pPr>
        <w:pStyle w:val="ListBullet2"/>
        <w:numPr>
          <w:ilvl w:val="1"/>
          <w:numId w:val="3"/>
        </w:numPr>
        <w:ind w:left="850" w:hanging="425"/>
      </w:pPr>
      <w:r>
        <w:t xml:space="preserve">reports outlining the number of patients who have been </w:t>
      </w:r>
      <w:proofErr w:type="gramStart"/>
      <w:r>
        <w:t>treated</w:t>
      </w:r>
      <w:proofErr w:type="gramEnd"/>
    </w:p>
    <w:p w14:paraId="54B74D73" w14:textId="77777777" w:rsidR="00BE23AB" w:rsidRDefault="00BE23AB" w:rsidP="00BE23AB">
      <w:pPr>
        <w:pStyle w:val="ListBullet2"/>
        <w:numPr>
          <w:ilvl w:val="1"/>
          <w:numId w:val="3"/>
        </w:numPr>
        <w:ind w:left="850" w:hanging="425"/>
      </w:pPr>
      <w:r>
        <w:t>adverse event or product defect reports</w:t>
      </w:r>
    </w:p>
    <w:p w14:paraId="17232373" w14:textId="77777777" w:rsidR="00BE23AB" w:rsidRDefault="00BE23AB" w:rsidP="00BE23AB">
      <w:pPr>
        <w:pStyle w:val="ListBullet"/>
        <w:numPr>
          <w:ilvl w:val="0"/>
          <w:numId w:val="3"/>
        </w:numPr>
      </w:pPr>
      <w:r>
        <w:t xml:space="preserve">consider any new information available to determine whether it would be appropriate to continue the endorsement or </w:t>
      </w:r>
      <w:proofErr w:type="gramStart"/>
      <w:r>
        <w:t>approval</w:t>
      </w:r>
      <w:proofErr w:type="gramEnd"/>
    </w:p>
    <w:p w14:paraId="3A13B11E" w14:textId="77777777" w:rsidR="00BE23AB" w:rsidRDefault="00BE23AB" w:rsidP="00BE23AB">
      <w:pPr>
        <w:pStyle w:val="Heading4"/>
      </w:pPr>
      <w:bookmarkStart w:id="21" w:name="_Toc46934113"/>
      <w:bookmarkStart w:id="22" w:name="_Toc46934404"/>
      <w:bookmarkStart w:id="23" w:name="_Toc87540013"/>
      <w:bookmarkStart w:id="24" w:name="_Toc121127827"/>
      <w:r>
        <w:t>Sponsors of ‘unapproved’ therapeutic goods</w:t>
      </w:r>
      <w:bookmarkEnd w:id="21"/>
      <w:bookmarkEnd w:id="22"/>
      <w:bookmarkEnd w:id="23"/>
      <w:bookmarkEnd w:id="24"/>
    </w:p>
    <w:p w14:paraId="207EAA89" w14:textId="77777777" w:rsidR="00BE23AB" w:rsidRDefault="00000000" w:rsidP="00BE23AB">
      <w:hyperlink r:id="rId25" w:anchor="id_1291" w:history="1">
        <w:r w:rsidR="00BE23AB" w:rsidRPr="00E8470A">
          <w:rPr>
            <w:rStyle w:val="Hyperlink"/>
          </w:rPr>
          <w:t>Sponsors</w:t>
        </w:r>
      </w:hyperlink>
      <w:r w:rsidR="00BE23AB">
        <w:t>:</w:t>
      </w:r>
    </w:p>
    <w:p w14:paraId="36610D0E" w14:textId="77777777" w:rsidR="00BE23AB" w:rsidRDefault="00BE23AB" w:rsidP="00BE23AB">
      <w:pPr>
        <w:pStyle w:val="ListBullet"/>
        <w:numPr>
          <w:ilvl w:val="0"/>
          <w:numId w:val="3"/>
        </w:numPr>
      </w:pPr>
      <w:r>
        <w:t xml:space="preserve">must obtain a copy of the TGA approval letter from the medical practitioner before supplying the ‘unapproved’ good to the medical </w:t>
      </w:r>
      <w:proofErr w:type="gramStart"/>
      <w:r>
        <w:t>practitioner</w:t>
      </w:r>
      <w:proofErr w:type="gramEnd"/>
    </w:p>
    <w:p w14:paraId="443EB045" w14:textId="77777777" w:rsidR="00BE23AB" w:rsidRDefault="00BE23AB" w:rsidP="00BE23AB">
      <w:pPr>
        <w:pStyle w:val="ListBullet"/>
        <w:numPr>
          <w:ilvl w:val="0"/>
          <w:numId w:val="3"/>
        </w:numPr>
      </w:pPr>
      <w:r>
        <w:t xml:space="preserve">supply the ‘unapproved’ good, at their </w:t>
      </w:r>
      <w:proofErr w:type="gramStart"/>
      <w:r>
        <w:t>discretion</w:t>
      </w:r>
      <w:proofErr w:type="gramEnd"/>
    </w:p>
    <w:p w14:paraId="33FD2D45" w14:textId="77777777" w:rsidR="00BE23AB" w:rsidRDefault="00BE23AB" w:rsidP="00BE23AB">
      <w:pPr>
        <w:pStyle w:val="ListBullet"/>
        <w:numPr>
          <w:ilvl w:val="0"/>
          <w:numId w:val="3"/>
        </w:numPr>
      </w:pPr>
      <w:r>
        <w:t xml:space="preserve">monitor the use of the goods, </w:t>
      </w:r>
      <w:hyperlink w:anchor="_Reporting_adverse_events" w:history="1">
        <w:r w:rsidRPr="002D3AAE">
          <w:rPr>
            <w:rStyle w:val="Hyperlink"/>
          </w:rPr>
          <w:t>report adverse events and product defects</w:t>
        </w:r>
      </w:hyperlink>
      <w:r>
        <w:t xml:space="preserve"> and record the balance of benefits and </w:t>
      </w:r>
      <w:proofErr w:type="gramStart"/>
      <w:r>
        <w:t>risks</w:t>
      </w:r>
      <w:proofErr w:type="gramEnd"/>
    </w:p>
    <w:p w14:paraId="12BE809E" w14:textId="77777777" w:rsidR="00BE23AB" w:rsidRDefault="00BE23AB" w:rsidP="00BE23AB">
      <w:pPr>
        <w:pStyle w:val="ListBullet"/>
        <w:numPr>
          <w:ilvl w:val="0"/>
          <w:numId w:val="3"/>
        </w:numPr>
      </w:pPr>
      <w:r>
        <w:t xml:space="preserve">provide TGA with </w:t>
      </w:r>
      <w:hyperlink w:anchor="_Reporting_of_sponsor" w:history="1">
        <w:r w:rsidRPr="002D3AAE">
          <w:rPr>
            <w:rStyle w:val="Hyperlink"/>
          </w:rPr>
          <w:t>six-monthly reports</w:t>
        </w:r>
      </w:hyperlink>
      <w:r>
        <w:t xml:space="preserve"> on the supply of ‘unapproved’ goods</w:t>
      </w:r>
      <w:r>
        <w:rPr>
          <w:rStyle w:val="FootnoteReference"/>
        </w:rPr>
        <w:footnoteReference w:id="2"/>
      </w:r>
    </w:p>
    <w:p w14:paraId="3158EAFE" w14:textId="77777777" w:rsidR="00BE23AB" w:rsidRDefault="00BE23AB" w:rsidP="00BE23AB">
      <w:pPr>
        <w:pStyle w:val="ListBullet"/>
        <w:numPr>
          <w:ilvl w:val="0"/>
          <w:numId w:val="3"/>
        </w:numPr>
      </w:pPr>
      <w:r>
        <w:t xml:space="preserve">inform us of emerging safety concerns associated with the use of ‘unapproved’ goods that they </w:t>
      </w:r>
      <w:proofErr w:type="gramStart"/>
      <w:r>
        <w:t>supply</w:t>
      </w:r>
      <w:proofErr w:type="gramEnd"/>
    </w:p>
    <w:p w14:paraId="3B3BD197" w14:textId="77777777" w:rsidR="00BE23AB" w:rsidRDefault="00BE23AB" w:rsidP="00BE23AB">
      <w:pPr>
        <w:pStyle w:val="Heading2"/>
      </w:pPr>
      <w:bookmarkStart w:id="25" w:name="_Information_for_Medical"/>
      <w:bookmarkStart w:id="26" w:name="_How_medical_practitionersto"/>
      <w:bookmarkStart w:id="27" w:name="_Toc87540014"/>
      <w:bookmarkStart w:id="28" w:name="_Toc121127828"/>
      <w:bookmarkEnd w:id="25"/>
      <w:bookmarkEnd w:id="26"/>
      <w:r>
        <w:t>How to become an Authorised Prescriber</w:t>
      </w:r>
      <w:bookmarkEnd w:id="27"/>
      <w:bookmarkEnd w:id="28"/>
    </w:p>
    <w:p w14:paraId="00E453FE" w14:textId="77777777" w:rsidR="00BE23AB" w:rsidRPr="004327CF" w:rsidRDefault="00BE23AB" w:rsidP="00BE23AB">
      <w:r w:rsidRPr="00B83619">
        <w:t xml:space="preserve">There are </w:t>
      </w:r>
      <w:r>
        <w:t>2</w:t>
      </w:r>
      <w:r w:rsidRPr="00B83619">
        <w:t xml:space="preserve"> pathways medical practitioners may use to</w:t>
      </w:r>
      <w:r>
        <w:t xml:space="preserve"> apply to</w:t>
      </w:r>
      <w:r w:rsidRPr="00B83619">
        <w:t xml:space="preserve"> become an Authorised Prescriber</w:t>
      </w:r>
      <w:r>
        <w:t>,</w:t>
      </w:r>
      <w:r w:rsidRPr="004327CF">
        <w:t xml:space="preserve"> depending on the product to be prescribed:</w:t>
      </w:r>
    </w:p>
    <w:p w14:paraId="5276EB59" w14:textId="77777777" w:rsidR="00BE23AB" w:rsidRPr="00FF36ED" w:rsidRDefault="00BE23AB" w:rsidP="00BE23AB">
      <w:pPr>
        <w:pStyle w:val="Numberbullet0"/>
        <w:numPr>
          <w:ilvl w:val="0"/>
          <w:numId w:val="8"/>
        </w:numPr>
      </w:pPr>
      <w:r w:rsidRPr="004327CF">
        <w:t xml:space="preserve">Established history of use pathway </w:t>
      </w:r>
    </w:p>
    <w:p w14:paraId="372F9864" w14:textId="77777777" w:rsidR="00BE23AB" w:rsidRPr="00B83619" w:rsidRDefault="00BE23AB" w:rsidP="00BE23AB">
      <w:pPr>
        <w:pStyle w:val="Numberbullet0"/>
        <w:numPr>
          <w:ilvl w:val="0"/>
          <w:numId w:val="8"/>
        </w:numPr>
      </w:pPr>
      <w:r w:rsidRPr="00B83619">
        <w:t>Standard pathway</w:t>
      </w:r>
    </w:p>
    <w:p w14:paraId="37F5F837" w14:textId="77777777" w:rsidR="00BE23AB" w:rsidRPr="00B83619" w:rsidRDefault="00BE23AB" w:rsidP="00BE23AB">
      <w:pPr>
        <w:pStyle w:val="Heading3"/>
      </w:pPr>
      <w:bookmarkStart w:id="29" w:name="_Toc87540015"/>
      <w:bookmarkStart w:id="30" w:name="_Toc121127829"/>
      <w:r w:rsidRPr="00B83619">
        <w:t>Established history of use pathway</w:t>
      </w:r>
      <w:bookmarkEnd w:id="29"/>
      <w:bookmarkEnd w:id="30"/>
    </w:p>
    <w:p w14:paraId="72401F2F" w14:textId="77777777" w:rsidR="00BE23AB" w:rsidRPr="00B83619" w:rsidRDefault="00BE23AB" w:rsidP="00BE23AB">
      <w:r w:rsidRPr="004327CF">
        <w:t xml:space="preserve">If the medicine, concentration (if any), dosage from, route of administration and indication match </w:t>
      </w:r>
      <w:r>
        <w:t xml:space="preserve">an entry </w:t>
      </w:r>
      <w:r w:rsidRPr="004327CF">
        <w:t>in subregulation 12B(1B)</w:t>
      </w:r>
      <w:r>
        <w:t xml:space="preserve"> or 12B(1C)</w:t>
      </w:r>
      <w:r w:rsidRPr="004327CF">
        <w:t xml:space="preserve"> of the </w:t>
      </w:r>
      <w:r w:rsidRPr="004327CF">
        <w:rPr>
          <w:i/>
        </w:rPr>
        <w:t xml:space="preserve">Therapeutic Goods Regulations </w:t>
      </w:r>
      <w:r w:rsidRPr="004327CF">
        <w:rPr>
          <w:i/>
        </w:rPr>
        <w:lastRenderedPageBreak/>
        <w:t>1990</w:t>
      </w:r>
      <w:r w:rsidRPr="004327CF">
        <w:t>,</w:t>
      </w:r>
      <w:r w:rsidRPr="004327CF">
        <w:rPr>
          <w:i/>
        </w:rPr>
        <w:t xml:space="preserve"> </w:t>
      </w:r>
      <w:r w:rsidRPr="00434BE6">
        <w:t xml:space="preserve">then HREC approval or specialist college endorsement is </w:t>
      </w:r>
      <w:r w:rsidRPr="00DE5F46">
        <w:rPr>
          <w:b/>
        </w:rPr>
        <w:t>not</w:t>
      </w:r>
      <w:r w:rsidRPr="00434BE6">
        <w:t xml:space="preserve"> required</w:t>
      </w:r>
      <w:r w:rsidRPr="00B83619">
        <w:t xml:space="preserve"> by the TGA. See a printable version on our website at </w:t>
      </w:r>
      <w:hyperlink r:id="rId26" w:history="1">
        <w:r w:rsidRPr="00084C1A">
          <w:rPr>
            <w:rStyle w:val="Hyperlink"/>
          </w:rPr>
          <w:t>list of medicines with an established history of use</w:t>
        </w:r>
      </w:hyperlink>
      <w:r w:rsidRPr="00B83619">
        <w:t xml:space="preserve">. </w:t>
      </w:r>
    </w:p>
    <w:p w14:paraId="20F939AC" w14:textId="77777777" w:rsidR="00BE23AB" w:rsidRPr="00B83619" w:rsidRDefault="00BE23AB" w:rsidP="00BE23AB">
      <w:r w:rsidRPr="00B83619">
        <w:rPr>
          <w:iCs/>
        </w:rPr>
        <w:t>HREC or institutional approval may still be required to use certain ‘unapproved’ therapeutic goods within an institution such as a hospital. Medical practitioners need to liaise with the relevant institution to confirm the institutions requirements.</w:t>
      </w:r>
    </w:p>
    <w:p w14:paraId="14264F08" w14:textId="77777777" w:rsidR="00BE23AB" w:rsidRPr="004327CF" w:rsidRDefault="00BE23AB" w:rsidP="00BE23AB">
      <w:r w:rsidRPr="00B83619">
        <w:t xml:space="preserve">To become an Authorised Prescriber using the </w:t>
      </w:r>
      <w:r>
        <w:t>‘</w:t>
      </w:r>
      <w:r w:rsidRPr="00B83619">
        <w:t>Established history of use pathway</w:t>
      </w:r>
      <w:r>
        <w:t>’</w:t>
      </w:r>
      <w:r w:rsidRPr="00B83619">
        <w:t>, a medical practit</w:t>
      </w:r>
      <w:r w:rsidRPr="004327CF">
        <w:t>ioner should follow these steps:</w:t>
      </w:r>
    </w:p>
    <w:p w14:paraId="1CB2ADB1" w14:textId="77777777" w:rsidR="00BE23AB" w:rsidRPr="002903A4" w:rsidRDefault="00BE23AB" w:rsidP="00BE23AB">
      <w:pPr>
        <w:pStyle w:val="Numberbullet0"/>
        <w:numPr>
          <w:ilvl w:val="0"/>
          <w:numId w:val="29"/>
        </w:numPr>
      </w:pPr>
      <w:r w:rsidRPr="004327CF">
        <w:t xml:space="preserve">check if the product is included in the </w:t>
      </w:r>
      <w:hyperlink r:id="rId27" w:history="1">
        <w:r w:rsidRPr="00E05AA9">
          <w:rPr>
            <w:rStyle w:val="Hyperlink"/>
          </w:rPr>
          <w:t>list of medicines with an established history of use</w:t>
        </w:r>
      </w:hyperlink>
      <w:r w:rsidRPr="004327CF">
        <w:t xml:space="preserve"> </w:t>
      </w:r>
      <w:r w:rsidRPr="00B83619">
        <w:t xml:space="preserve">(if not, refer to </w:t>
      </w:r>
      <w:hyperlink w:anchor="_Applying_for_HREC" w:history="1">
        <w:r w:rsidRPr="00B83619">
          <w:rPr>
            <w:rStyle w:val="Hyperlink"/>
          </w:rPr>
          <w:t xml:space="preserve">Standard </w:t>
        </w:r>
        <w:r>
          <w:rPr>
            <w:rStyle w:val="Hyperlink"/>
          </w:rPr>
          <w:t>p</w:t>
        </w:r>
        <w:r w:rsidRPr="00B83619">
          <w:rPr>
            <w:rStyle w:val="Hyperlink"/>
          </w:rPr>
          <w:t>athway</w:t>
        </w:r>
      </w:hyperlink>
      <w:r>
        <w:t xml:space="preserve"> b</w:t>
      </w:r>
      <w:r w:rsidRPr="00B83619">
        <w:t>elow)</w:t>
      </w:r>
    </w:p>
    <w:p w14:paraId="0DBE133B" w14:textId="555F7364" w:rsidR="00BE23AB" w:rsidRDefault="00BE23AB" w:rsidP="00BE23AB">
      <w:pPr>
        <w:pStyle w:val="Numberbullet0"/>
        <w:numPr>
          <w:ilvl w:val="0"/>
          <w:numId w:val="29"/>
        </w:numPr>
        <w:spacing w:after="160" w:line="252" w:lineRule="auto"/>
      </w:pPr>
      <w:r w:rsidRPr="00B83619">
        <w:t>complete an</w:t>
      </w:r>
      <w:r>
        <w:t xml:space="preserve"> online </w:t>
      </w:r>
      <w:r w:rsidRPr="00B83619">
        <w:t>application</w:t>
      </w:r>
      <w:r>
        <w:t xml:space="preserve"> u</w:t>
      </w:r>
      <w:r w:rsidRPr="00B83619">
        <w:t xml:space="preserve">sing the </w:t>
      </w:r>
      <w:hyperlink r:id="rId28" w:history="1">
        <w:r>
          <w:rPr>
            <w:rStyle w:val="Hyperlink"/>
          </w:rPr>
          <w:t>SAS &amp; A</w:t>
        </w:r>
        <w:r w:rsidRPr="00B83619">
          <w:rPr>
            <w:rStyle w:val="Hyperlink"/>
          </w:rPr>
          <w:t>uthorised Prescriber Online System</w:t>
        </w:r>
      </w:hyperlink>
      <w:r w:rsidRPr="00B83619">
        <w:t xml:space="preserve"> to the TGA</w:t>
      </w:r>
    </w:p>
    <w:p w14:paraId="4FF46D30" w14:textId="77777777" w:rsidR="00BE23AB" w:rsidRPr="00B83619" w:rsidRDefault="00BE23AB" w:rsidP="00BE23AB">
      <w:pPr>
        <w:pStyle w:val="ListBullet"/>
        <w:numPr>
          <w:ilvl w:val="0"/>
          <w:numId w:val="3"/>
        </w:numPr>
      </w:pPr>
      <w:r w:rsidRPr="00B83619">
        <w:t>the following details are required:</w:t>
      </w:r>
    </w:p>
    <w:p w14:paraId="6F0DB176" w14:textId="77777777" w:rsidR="00BE23AB" w:rsidRPr="004327CF" w:rsidRDefault="00BE23AB" w:rsidP="00BE23AB">
      <w:pPr>
        <w:pStyle w:val="Numberbullet2"/>
        <w:numPr>
          <w:ilvl w:val="2"/>
          <w:numId w:val="27"/>
        </w:numPr>
      </w:pPr>
      <w:r w:rsidRPr="004327CF">
        <w:t>Medical practitioners name and contact details</w:t>
      </w:r>
    </w:p>
    <w:p w14:paraId="7B5DF2B3" w14:textId="77777777" w:rsidR="00BE23AB" w:rsidRPr="004327CF" w:rsidRDefault="00BE23AB" w:rsidP="00BE23AB">
      <w:pPr>
        <w:pStyle w:val="Numberbullet2"/>
        <w:numPr>
          <w:ilvl w:val="2"/>
          <w:numId w:val="27"/>
        </w:numPr>
      </w:pPr>
      <w:r w:rsidRPr="004327CF">
        <w:t>Product details and indication or item code</w:t>
      </w:r>
    </w:p>
    <w:p w14:paraId="5E34C086" w14:textId="5E3B71D2" w:rsidR="00BE23AB" w:rsidRDefault="00D82992" w:rsidP="00352CC9">
      <w:pPr>
        <w:pStyle w:val="Numberbullet0"/>
        <w:numPr>
          <w:ilvl w:val="0"/>
          <w:numId w:val="0"/>
        </w:numPr>
        <w:spacing w:after="160" w:line="252" w:lineRule="auto"/>
      </w:pPr>
      <w:r>
        <w:t>Medical practitioners with</w:t>
      </w:r>
      <w:r w:rsidR="07F38545">
        <w:t xml:space="preserve"> an online system account</w:t>
      </w:r>
      <w:r w:rsidR="2ACC0166">
        <w:t xml:space="preserve"> </w:t>
      </w:r>
      <w:r w:rsidR="00186BDD">
        <w:t xml:space="preserve">will </w:t>
      </w:r>
      <w:r w:rsidR="00BE23AB">
        <w:t xml:space="preserve">have </w:t>
      </w:r>
      <w:r w:rsidR="00186BDD">
        <w:t xml:space="preserve">access to </w:t>
      </w:r>
      <w:r w:rsidR="00BE23AB">
        <w:t>a dashboard where they can:</w:t>
      </w:r>
    </w:p>
    <w:p w14:paraId="28CACC7E" w14:textId="77777777" w:rsidR="00BE23AB" w:rsidRDefault="00BE23AB" w:rsidP="00BE23AB">
      <w:pPr>
        <w:pStyle w:val="ListBullet"/>
        <w:numPr>
          <w:ilvl w:val="0"/>
          <w:numId w:val="3"/>
        </w:numPr>
      </w:pPr>
      <w:r>
        <w:t xml:space="preserve">Track the status of their </w:t>
      </w:r>
      <w:proofErr w:type="gramStart"/>
      <w:r>
        <w:t>application</w:t>
      </w:r>
      <w:proofErr w:type="gramEnd"/>
      <w:r>
        <w:t xml:space="preserve"> </w:t>
      </w:r>
    </w:p>
    <w:p w14:paraId="0713C243" w14:textId="77777777" w:rsidR="00BE23AB" w:rsidRDefault="00BE23AB" w:rsidP="00BE23AB">
      <w:pPr>
        <w:pStyle w:val="ListBullet"/>
        <w:numPr>
          <w:ilvl w:val="0"/>
          <w:numId w:val="3"/>
        </w:numPr>
      </w:pPr>
      <w:r>
        <w:t>Search for previously submitted applications using parameters such as product, submission date and status (</w:t>
      </w:r>
      <w:proofErr w:type="gramStart"/>
      <w:r>
        <w:t>i.e.</w:t>
      </w:r>
      <w:proofErr w:type="gramEnd"/>
      <w:r>
        <w:t xml:space="preserve"> approved, rejected, withdrawn, completed) </w:t>
      </w:r>
    </w:p>
    <w:p w14:paraId="1C103891" w14:textId="77777777" w:rsidR="00BE23AB" w:rsidRDefault="00BE23AB" w:rsidP="00BE23AB">
      <w:pPr>
        <w:pStyle w:val="ListBullet"/>
        <w:numPr>
          <w:ilvl w:val="0"/>
          <w:numId w:val="3"/>
        </w:numPr>
      </w:pPr>
      <w:r>
        <w:t xml:space="preserve">Download a PDF copy of the application </w:t>
      </w:r>
      <w:proofErr w:type="gramStart"/>
      <w:r>
        <w:t>receipt</w:t>
      </w:r>
      <w:proofErr w:type="gramEnd"/>
    </w:p>
    <w:p w14:paraId="3556DD4E" w14:textId="77777777" w:rsidR="00BE23AB" w:rsidRDefault="00BE23AB" w:rsidP="00BE23AB">
      <w:pPr>
        <w:pStyle w:val="ListBullet"/>
        <w:numPr>
          <w:ilvl w:val="0"/>
          <w:numId w:val="3"/>
        </w:numPr>
      </w:pPr>
      <w:r>
        <w:t xml:space="preserve">Identify applications that are expiring or that have </w:t>
      </w:r>
      <w:proofErr w:type="gramStart"/>
      <w:r>
        <w:t>expired</w:t>
      </w:r>
      <w:proofErr w:type="gramEnd"/>
    </w:p>
    <w:p w14:paraId="6074CFE0" w14:textId="77777777" w:rsidR="00BE23AB" w:rsidRDefault="00BE23AB" w:rsidP="00BE23AB">
      <w:pPr>
        <w:pStyle w:val="ListBullet"/>
        <w:numPr>
          <w:ilvl w:val="0"/>
          <w:numId w:val="3"/>
        </w:numPr>
      </w:pPr>
      <w:r>
        <w:t>Download a copy of the TGA decision letter. –</w:t>
      </w:r>
    </w:p>
    <w:p w14:paraId="7C57BCB5" w14:textId="77777777" w:rsidR="00BE23AB" w:rsidRDefault="00BE23AB" w:rsidP="00BE23AB">
      <w:pPr>
        <w:pStyle w:val="ListBullet"/>
        <w:numPr>
          <w:ilvl w:val="0"/>
          <w:numId w:val="3"/>
        </w:numPr>
      </w:pPr>
      <w:r>
        <w:t>Clone (copy) previously submitted AP submissions.</w:t>
      </w:r>
    </w:p>
    <w:p w14:paraId="4CEF6104" w14:textId="77777777" w:rsidR="00BE23AB" w:rsidRPr="00E0676F" w:rsidRDefault="00BE23AB" w:rsidP="00BE23AB">
      <w:pPr>
        <w:spacing w:after="160" w:line="252" w:lineRule="auto"/>
        <w:rPr>
          <w:rFonts w:eastAsia="Times New Roman" w:cstheme="minorHAnsi"/>
          <w:lang w:val="en"/>
        </w:rPr>
      </w:pPr>
      <w:r>
        <w:t>The online system also allows you to easily submit your</w:t>
      </w:r>
      <w:r w:rsidRPr="00572D79">
        <w:t xml:space="preserve"> </w:t>
      </w:r>
      <w:r>
        <w:t>AP six</w:t>
      </w:r>
      <w:r w:rsidRPr="00572D79">
        <w:t xml:space="preserve"> monthly report</w:t>
      </w:r>
      <w:r>
        <w:t xml:space="preserve"> figures.</w:t>
      </w:r>
    </w:p>
    <w:p w14:paraId="1669BAA3" w14:textId="20195E04" w:rsidR="00BE23AB" w:rsidRPr="00104D81" w:rsidRDefault="00BE23AB" w:rsidP="00BE23AB">
      <w:r>
        <w:t xml:space="preserve">Further information on using the online system can be found in the </w:t>
      </w:r>
      <w:hyperlink r:id="rId29" w:history="1">
        <w:r w:rsidRPr="00104D81">
          <w:rPr>
            <w:rStyle w:val="Hyperlink"/>
          </w:rPr>
          <w:t>Special Access Scheme &amp; Authorised Prescriber Scheme Online system guidance document</w:t>
        </w:r>
      </w:hyperlink>
      <w:r>
        <w:t xml:space="preserve">. </w:t>
      </w:r>
    </w:p>
    <w:p w14:paraId="66E16BAC" w14:textId="77777777" w:rsidR="00BE23AB" w:rsidRDefault="00BE23AB" w:rsidP="00BE23AB">
      <w:pPr>
        <w:pStyle w:val="Numberbullet0"/>
        <w:numPr>
          <w:ilvl w:val="0"/>
          <w:numId w:val="27"/>
        </w:numPr>
      </w:pPr>
      <w:r w:rsidRPr="004327CF">
        <w:t xml:space="preserve">The TGA will assess the application and </w:t>
      </w:r>
      <w:r>
        <w:t>provide further correspondence once reviewed</w:t>
      </w:r>
      <w:r w:rsidRPr="004327CF">
        <w:t>.</w:t>
      </w:r>
    </w:p>
    <w:p w14:paraId="70EC811E" w14:textId="77777777" w:rsidR="00BE23AB" w:rsidRPr="00B83619" w:rsidRDefault="00BE23AB" w:rsidP="00BE23AB">
      <w:pPr>
        <w:pStyle w:val="Numberbullet0"/>
        <w:numPr>
          <w:ilvl w:val="0"/>
          <w:numId w:val="0"/>
        </w:numPr>
      </w:pPr>
      <w:r w:rsidRPr="004327CF">
        <w:t xml:space="preserve">To renew an application, an Authorised Prescriber will need to follow the above steps </w:t>
      </w:r>
      <w:r w:rsidRPr="004327CF">
        <w:rPr>
          <w:b/>
        </w:rPr>
        <w:t>and</w:t>
      </w:r>
      <w:r w:rsidRPr="004327CF">
        <w:t xml:space="preserve"> ensure that all </w:t>
      </w:r>
      <w:proofErr w:type="gramStart"/>
      <w:r>
        <w:t>six</w:t>
      </w:r>
      <w:r w:rsidRPr="004327CF">
        <w:t xml:space="preserve"> monthly</w:t>
      </w:r>
      <w:proofErr w:type="gramEnd"/>
      <w:r w:rsidRPr="004327CF">
        <w:t xml:space="preserve"> reports for the previous authorisation period have been p</w:t>
      </w:r>
      <w:r w:rsidRPr="00434BE6">
        <w:t>rovided</w:t>
      </w:r>
      <w:r w:rsidRPr="00B83619">
        <w:t xml:space="preserve"> to the TGA. </w:t>
      </w:r>
    </w:p>
    <w:p w14:paraId="3C2261B9" w14:textId="77777777" w:rsidR="00BE23AB" w:rsidRPr="00B83619" w:rsidRDefault="00BE23AB" w:rsidP="00BE23AB">
      <w:pPr>
        <w:pStyle w:val="Heading3"/>
      </w:pPr>
      <w:bookmarkStart w:id="31" w:name="_Applying_for_HREC"/>
      <w:bookmarkStart w:id="32" w:name="_Applying_forObtaining_HREC"/>
      <w:bookmarkStart w:id="33" w:name="_Ethical_review_pathway"/>
      <w:bookmarkStart w:id="34" w:name="_Pathway_2"/>
      <w:bookmarkStart w:id="35" w:name="_Standard_Pathway"/>
      <w:bookmarkStart w:id="36" w:name="_Toc87540016"/>
      <w:bookmarkStart w:id="37" w:name="_Toc121127830"/>
      <w:bookmarkEnd w:id="31"/>
      <w:bookmarkEnd w:id="32"/>
      <w:bookmarkEnd w:id="33"/>
      <w:bookmarkEnd w:id="34"/>
      <w:bookmarkEnd w:id="35"/>
      <w:r w:rsidRPr="00434BE6">
        <w:t>Standard pathway</w:t>
      </w:r>
      <w:bookmarkEnd w:id="36"/>
      <w:bookmarkEnd w:id="37"/>
    </w:p>
    <w:p w14:paraId="0E0BB992" w14:textId="77777777" w:rsidR="00BE23AB" w:rsidRPr="00434BE6" w:rsidRDefault="00BE23AB" w:rsidP="00BE23AB">
      <w:r w:rsidRPr="004327CF">
        <w:t xml:space="preserve">To become an Authorised Prescriber of products that are not included in subregulation 12B(1B) </w:t>
      </w:r>
      <w:r>
        <w:t xml:space="preserve">or 12B(1C) </w:t>
      </w:r>
      <w:r w:rsidRPr="004327CF">
        <w:t xml:space="preserve">of the </w:t>
      </w:r>
      <w:r w:rsidRPr="004327CF">
        <w:rPr>
          <w:i/>
        </w:rPr>
        <w:t>Therapeutic Goods Regulations 1990</w:t>
      </w:r>
      <w:r w:rsidRPr="00434BE6">
        <w:t>, a medical practitioner should follow the</w:t>
      </w:r>
      <w:r>
        <w:t xml:space="preserve"> ‘Standard pathway’</w:t>
      </w:r>
      <w:r w:rsidRPr="00434BE6">
        <w:t xml:space="preserve"> steps:</w:t>
      </w:r>
    </w:p>
    <w:p w14:paraId="72DAD4D4" w14:textId="77777777" w:rsidR="00BE23AB" w:rsidRPr="00B83619" w:rsidRDefault="00BE23AB" w:rsidP="00BE23AB">
      <w:pPr>
        <w:pStyle w:val="Numberbullet0"/>
        <w:numPr>
          <w:ilvl w:val="0"/>
          <w:numId w:val="30"/>
        </w:numPr>
      </w:pPr>
      <w:r>
        <w:t>S</w:t>
      </w:r>
      <w:r w:rsidRPr="00434BE6">
        <w:t xml:space="preserve">ubmit an application to an HREC or a specialist college as outlined in </w:t>
      </w:r>
      <w:hyperlink w:anchor="_Applying_for_HREC_1" w:history="1">
        <w:r w:rsidRPr="00B83619">
          <w:rPr>
            <w:rStyle w:val="Hyperlink"/>
          </w:rPr>
          <w:t>‘</w:t>
        </w:r>
        <w:r w:rsidRPr="002903A4">
          <w:rPr>
            <w:rStyle w:val="Hyperlink"/>
          </w:rPr>
          <w:t xml:space="preserve">Applying for </w:t>
        </w:r>
        <w:r w:rsidRPr="004327CF">
          <w:rPr>
            <w:rStyle w:val="Hyperlink"/>
          </w:rPr>
          <w:t>HREC approval or specialist college endorsement’</w:t>
        </w:r>
      </w:hyperlink>
      <w:r w:rsidRPr="00B83619">
        <w:t xml:space="preserve"> and receive </w:t>
      </w:r>
      <w:proofErr w:type="gramStart"/>
      <w:r w:rsidRPr="00B83619">
        <w:t>approval</w:t>
      </w:r>
      <w:proofErr w:type="gramEnd"/>
    </w:p>
    <w:p w14:paraId="5023AB19" w14:textId="3D5763A0" w:rsidR="00BE23AB" w:rsidRDefault="00BE23AB" w:rsidP="00BE23AB">
      <w:pPr>
        <w:pStyle w:val="Numberbullet0"/>
        <w:numPr>
          <w:ilvl w:val="0"/>
          <w:numId w:val="30"/>
        </w:numPr>
        <w:spacing w:after="160" w:line="252" w:lineRule="auto"/>
      </w:pPr>
      <w:r>
        <w:t>C</w:t>
      </w:r>
      <w:r w:rsidRPr="00B83619">
        <w:t>omplete an</w:t>
      </w:r>
      <w:r>
        <w:t xml:space="preserve"> online </w:t>
      </w:r>
      <w:r w:rsidRPr="00B83619">
        <w:t>application</w:t>
      </w:r>
      <w:r>
        <w:t xml:space="preserve"> u</w:t>
      </w:r>
      <w:r w:rsidRPr="00B83619">
        <w:t xml:space="preserve">sing the </w:t>
      </w:r>
      <w:hyperlink r:id="rId30" w:history="1">
        <w:r>
          <w:rPr>
            <w:rStyle w:val="Hyperlink"/>
          </w:rPr>
          <w:t>SAS &amp; A</w:t>
        </w:r>
        <w:r w:rsidRPr="00B83619">
          <w:rPr>
            <w:rStyle w:val="Hyperlink"/>
          </w:rPr>
          <w:t>uthorised Prescriber Online System</w:t>
        </w:r>
      </w:hyperlink>
      <w:r w:rsidRPr="00B83619">
        <w:t xml:space="preserve"> to the TGA</w:t>
      </w:r>
    </w:p>
    <w:p w14:paraId="0367AF15" w14:textId="6245A06E" w:rsidR="00BE23AB" w:rsidRDefault="00770642" w:rsidP="00D12FFB">
      <w:pPr>
        <w:pStyle w:val="Numberbullet0"/>
        <w:numPr>
          <w:ilvl w:val="0"/>
          <w:numId w:val="0"/>
        </w:numPr>
        <w:spacing w:after="160" w:line="252" w:lineRule="auto"/>
      </w:pPr>
      <w:r>
        <w:lastRenderedPageBreak/>
        <w:t>The online system allows medical practitioners</w:t>
      </w:r>
      <w:r w:rsidR="09598F51">
        <w:t xml:space="preserve"> </w:t>
      </w:r>
      <w:r>
        <w:t xml:space="preserve">to </w:t>
      </w:r>
      <w:r w:rsidR="00BA364C">
        <w:t xml:space="preserve">access </w:t>
      </w:r>
      <w:r w:rsidR="09598F51">
        <w:t xml:space="preserve">a dashboard where they can: </w:t>
      </w:r>
    </w:p>
    <w:p w14:paraId="3BB479AB" w14:textId="77777777" w:rsidR="00BE23AB" w:rsidRDefault="00BE23AB" w:rsidP="00BE23AB">
      <w:pPr>
        <w:pStyle w:val="ListBullet"/>
        <w:numPr>
          <w:ilvl w:val="0"/>
          <w:numId w:val="3"/>
        </w:numPr>
      </w:pPr>
      <w:r>
        <w:t xml:space="preserve">Track the status of their </w:t>
      </w:r>
      <w:proofErr w:type="gramStart"/>
      <w:r>
        <w:t>application</w:t>
      </w:r>
      <w:proofErr w:type="gramEnd"/>
      <w:r>
        <w:t xml:space="preserve"> </w:t>
      </w:r>
    </w:p>
    <w:p w14:paraId="15AC6213" w14:textId="77777777" w:rsidR="00BE23AB" w:rsidRDefault="00BE23AB" w:rsidP="00BE23AB">
      <w:pPr>
        <w:pStyle w:val="ListBullet"/>
        <w:numPr>
          <w:ilvl w:val="0"/>
          <w:numId w:val="3"/>
        </w:numPr>
      </w:pPr>
      <w:r>
        <w:t>Search for previously submitted applications using parameters such as product, submission date and status (</w:t>
      </w:r>
      <w:proofErr w:type="gramStart"/>
      <w:r>
        <w:t>i.e.</w:t>
      </w:r>
      <w:proofErr w:type="gramEnd"/>
      <w:r>
        <w:t xml:space="preserve"> approved, rejected, withdrawn, completed) </w:t>
      </w:r>
    </w:p>
    <w:p w14:paraId="113B3B49" w14:textId="77777777" w:rsidR="00BE23AB" w:rsidRDefault="00BE23AB" w:rsidP="00BE23AB">
      <w:pPr>
        <w:pStyle w:val="ListBullet"/>
        <w:numPr>
          <w:ilvl w:val="0"/>
          <w:numId w:val="3"/>
        </w:numPr>
      </w:pPr>
      <w:r>
        <w:t xml:space="preserve">Download a PDF copy of the application </w:t>
      </w:r>
      <w:proofErr w:type="gramStart"/>
      <w:r>
        <w:t>receipt</w:t>
      </w:r>
      <w:proofErr w:type="gramEnd"/>
    </w:p>
    <w:p w14:paraId="285E24D4" w14:textId="77777777" w:rsidR="00BE23AB" w:rsidRDefault="00BE23AB" w:rsidP="00BE23AB">
      <w:pPr>
        <w:pStyle w:val="ListBullet"/>
        <w:numPr>
          <w:ilvl w:val="0"/>
          <w:numId w:val="3"/>
        </w:numPr>
      </w:pPr>
      <w:r>
        <w:t xml:space="preserve">Identify applications that are expiring or that have </w:t>
      </w:r>
      <w:proofErr w:type="gramStart"/>
      <w:r>
        <w:t>expired</w:t>
      </w:r>
      <w:proofErr w:type="gramEnd"/>
    </w:p>
    <w:p w14:paraId="3EB7B388" w14:textId="24288277" w:rsidR="00BE23AB" w:rsidRDefault="00BE23AB" w:rsidP="00BE23AB">
      <w:pPr>
        <w:pStyle w:val="ListBullet"/>
        <w:numPr>
          <w:ilvl w:val="0"/>
          <w:numId w:val="3"/>
        </w:numPr>
      </w:pPr>
      <w:r>
        <w:t xml:space="preserve">Download a copy of the TGA decision letter. </w:t>
      </w:r>
    </w:p>
    <w:p w14:paraId="1D35E20A" w14:textId="4121D54A" w:rsidR="00770642" w:rsidRDefault="00BE23AB" w:rsidP="00BE23AB">
      <w:pPr>
        <w:pStyle w:val="ListBullet"/>
        <w:numPr>
          <w:ilvl w:val="0"/>
          <w:numId w:val="3"/>
        </w:numPr>
      </w:pPr>
      <w:r>
        <w:t>Clone (copy) previously submitted AP submissions.</w:t>
      </w:r>
    </w:p>
    <w:p w14:paraId="4BFA62D7" w14:textId="2510236C" w:rsidR="00BE23AB" w:rsidRPr="00770642" w:rsidRDefault="00770642" w:rsidP="00D12FFB">
      <w:pPr>
        <w:pStyle w:val="ListBullet"/>
        <w:numPr>
          <w:ilvl w:val="0"/>
          <w:numId w:val="3"/>
        </w:numPr>
        <w:rPr>
          <w:rFonts w:eastAsia="Times New Roman" w:cstheme="minorHAnsi"/>
          <w:lang w:val="en"/>
        </w:rPr>
      </w:pPr>
      <w:r>
        <w:t>E</w:t>
      </w:r>
      <w:r w:rsidR="00BE23AB">
        <w:t>asily submit AP six</w:t>
      </w:r>
      <w:r w:rsidR="00BE23AB" w:rsidRPr="00572D79">
        <w:t xml:space="preserve"> monthly report</w:t>
      </w:r>
      <w:r w:rsidR="00BE23AB">
        <w:t xml:space="preserve"> figures.</w:t>
      </w:r>
    </w:p>
    <w:p w14:paraId="5FAEA3B3" w14:textId="77777777" w:rsidR="00BE23AB" w:rsidRPr="00104D81" w:rsidRDefault="00BE23AB" w:rsidP="00BE23AB">
      <w:r>
        <w:t xml:space="preserve">Further information on using the online portal system can be found in the </w:t>
      </w:r>
      <w:hyperlink r:id="rId31" w:history="1">
        <w:r w:rsidRPr="00104D81">
          <w:rPr>
            <w:rStyle w:val="Hyperlink"/>
          </w:rPr>
          <w:t>Special Access Scheme &amp; Authorised Prescriber Scheme Online system guidance document</w:t>
        </w:r>
      </w:hyperlink>
      <w:r>
        <w:t xml:space="preserve">. </w:t>
      </w:r>
    </w:p>
    <w:p w14:paraId="0C37B7EA" w14:textId="77777777" w:rsidR="00BE23AB" w:rsidRPr="004327CF" w:rsidRDefault="00BE23AB" w:rsidP="00BE23AB">
      <w:pPr>
        <w:pStyle w:val="Numberbullet0"/>
        <w:numPr>
          <w:ilvl w:val="0"/>
          <w:numId w:val="8"/>
        </w:numPr>
      </w:pPr>
      <w:r>
        <w:t>A</w:t>
      </w:r>
      <w:r w:rsidRPr="002903A4">
        <w:t xml:space="preserve">ttach the HREC letter of approval or a letter of endorsement from a specialist college (where required), including a declaration that all necessary documentation has been </w:t>
      </w:r>
      <w:proofErr w:type="gramStart"/>
      <w:r w:rsidRPr="002903A4">
        <w:t>reviewed</w:t>
      </w:r>
      <w:proofErr w:type="gramEnd"/>
    </w:p>
    <w:p w14:paraId="50973106" w14:textId="77777777" w:rsidR="00BE23AB" w:rsidRDefault="00BE23AB" w:rsidP="00BE23AB">
      <w:pPr>
        <w:pStyle w:val="Numberbullet0"/>
        <w:numPr>
          <w:ilvl w:val="0"/>
          <w:numId w:val="27"/>
        </w:numPr>
      </w:pPr>
      <w:r w:rsidRPr="004327CF">
        <w:t xml:space="preserve">The TGA will assess the application and </w:t>
      </w:r>
      <w:r>
        <w:t>provide further correspondence once reviewed</w:t>
      </w:r>
      <w:r w:rsidRPr="004327CF">
        <w:t>.</w:t>
      </w:r>
    </w:p>
    <w:p w14:paraId="534082AE" w14:textId="77777777" w:rsidR="00BE23AB" w:rsidRDefault="00BE23AB" w:rsidP="00BE23AB">
      <w:r w:rsidRPr="004327CF">
        <w:t>To renew an application, an Authorised Prescriber will need to follow the steps</w:t>
      </w:r>
      <w:r>
        <w:t xml:space="preserve"> above</w:t>
      </w:r>
      <w:r w:rsidRPr="004327CF">
        <w:t xml:space="preserve"> </w:t>
      </w:r>
      <w:r w:rsidRPr="004327CF">
        <w:rPr>
          <w:b/>
        </w:rPr>
        <w:t>and</w:t>
      </w:r>
      <w:r w:rsidRPr="004327CF">
        <w:t xml:space="preserve"> ensure that all </w:t>
      </w:r>
      <w:proofErr w:type="gramStart"/>
      <w:r>
        <w:t xml:space="preserve">six </w:t>
      </w:r>
      <w:r w:rsidRPr="004327CF">
        <w:t>monthly</w:t>
      </w:r>
      <w:proofErr w:type="gramEnd"/>
      <w:r w:rsidRPr="004327CF">
        <w:t xml:space="preserve"> reports for the previous authorisation period have been provided.</w:t>
      </w:r>
    </w:p>
    <w:p w14:paraId="6CE21C55" w14:textId="77777777" w:rsidR="00BE23AB" w:rsidRDefault="00BE23AB" w:rsidP="00BE23AB">
      <w:pPr>
        <w:pStyle w:val="Heading3"/>
      </w:pPr>
      <w:bookmarkStart w:id="38" w:name="_Toc87540017"/>
      <w:bookmarkStart w:id="39" w:name="_Toc121127831"/>
      <w:r>
        <w:t>Where to find an HREC or specialist college</w:t>
      </w:r>
      <w:bookmarkEnd w:id="38"/>
      <w:bookmarkEnd w:id="39"/>
    </w:p>
    <w:p w14:paraId="3965E1E4" w14:textId="77777777" w:rsidR="00BE23AB" w:rsidRDefault="00BE23AB" w:rsidP="00BE23AB">
      <w:pPr>
        <w:pStyle w:val="Heading5"/>
      </w:pPr>
      <w:r>
        <w:t>HRECs</w:t>
      </w:r>
    </w:p>
    <w:p w14:paraId="1497A8CB" w14:textId="77777777" w:rsidR="00BE23AB" w:rsidRPr="0066076C" w:rsidRDefault="00BE23AB" w:rsidP="00BE23AB">
      <w:r>
        <w:t>In the therapeutic goods legislation, a</w:t>
      </w:r>
      <w:r w:rsidRPr="0066076C">
        <w:t xml:space="preserve">n ethics committee means a committee: </w:t>
      </w:r>
    </w:p>
    <w:p w14:paraId="193339BB" w14:textId="77777777" w:rsidR="00BE23AB" w:rsidRDefault="00BE23AB" w:rsidP="00BE23AB">
      <w:pPr>
        <w:pStyle w:val="Numberbullet2"/>
        <w:numPr>
          <w:ilvl w:val="1"/>
          <w:numId w:val="31"/>
        </w:numPr>
      </w:pPr>
      <w:r w:rsidRPr="0066076C">
        <w:t xml:space="preserve">constituted and operating as an ethics committee in accordance with guidelines issued by the CEO of the </w:t>
      </w:r>
      <w:hyperlink r:id="rId32" w:history="1">
        <w:r w:rsidRPr="0066076C">
          <w:rPr>
            <w:rStyle w:val="Hyperlink"/>
          </w:rPr>
          <w:t>National Health and Medical Research Council</w:t>
        </w:r>
      </w:hyperlink>
      <w:r w:rsidRPr="0066076C">
        <w:t xml:space="preserve"> </w:t>
      </w:r>
      <w:r>
        <w:t xml:space="preserve">(NHMRC) </w:t>
      </w:r>
      <w:r w:rsidRPr="0066076C">
        <w:t xml:space="preserve">as in force from time to </w:t>
      </w:r>
      <w:proofErr w:type="gramStart"/>
      <w:r w:rsidRPr="0066076C">
        <w:t>time</w:t>
      </w:r>
      <w:proofErr w:type="gramEnd"/>
    </w:p>
    <w:p w14:paraId="5D3A876F" w14:textId="77777777" w:rsidR="00BE23AB" w:rsidRPr="0066076C" w:rsidRDefault="00BE23AB" w:rsidP="00BE23AB">
      <w:pPr>
        <w:pStyle w:val="Numberbullet2"/>
        <w:numPr>
          <w:ilvl w:val="0"/>
          <w:numId w:val="0"/>
        </w:numPr>
        <w:ind w:left="851"/>
      </w:pPr>
      <w:r>
        <w:t>AND</w:t>
      </w:r>
      <w:r w:rsidRPr="0066076C">
        <w:t xml:space="preserve"> </w:t>
      </w:r>
    </w:p>
    <w:p w14:paraId="296A98A0" w14:textId="77777777" w:rsidR="00BE23AB" w:rsidRPr="0066076C" w:rsidRDefault="00BE23AB" w:rsidP="00BE23AB">
      <w:pPr>
        <w:pStyle w:val="Numberbullet2"/>
        <w:numPr>
          <w:ilvl w:val="1"/>
          <w:numId w:val="8"/>
        </w:numPr>
      </w:pPr>
      <w:r w:rsidRPr="0066076C">
        <w:t xml:space="preserve">which has notified its existence to the Australian Health Ethics Committee (AHEC) established under the </w:t>
      </w:r>
      <w:r w:rsidRPr="0066076C">
        <w:rPr>
          <w:i/>
          <w:iCs/>
        </w:rPr>
        <w:t xml:space="preserve">National Health and Medical Research Council Act 1992 </w:t>
      </w:r>
    </w:p>
    <w:p w14:paraId="796DE9CB" w14:textId="77777777" w:rsidR="00BE23AB" w:rsidRDefault="00BE23AB" w:rsidP="00BE23AB">
      <w:r w:rsidRPr="00AF40B8">
        <w:t xml:space="preserve">A </w:t>
      </w:r>
      <w:hyperlink r:id="rId33" w:history="1">
        <w:r w:rsidRPr="00AF40B8">
          <w:rPr>
            <w:rStyle w:val="Hyperlink"/>
          </w:rPr>
          <w:t>list of registered ethics commit</w:t>
        </w:r>
        <w:r>
          <w:rPr>
            <w:rStyle w:val="Hyperlink"/>
          </w:rPr>
          <w:t>t</w:t>
        </w:r>
        <w:r w:rsidRPr="00AF40B8">
          <w:rPr>
            <w:rStyle w:val="Hyperlink"/>
          </w:rPr>
          <w:t>ees</w:t>
        </w:r>
      </w:hyperlink>
      <w:r w:rsidRPr="00AF40B8">
        <w:t xml:space="preserve"> is available on the NHMRC website. </w:t>
      </w:r>
    </w:p>
    <w:p w14:paraId="08AF0F61" w14:textId="77777777" w:rsidR="00BE23AB" w:rsidRDefault="00BE23AB" w:rsidP="00BE23AB">
      <w:pPr>
        <w:pStyle w:val="Heading5"/>
      </w:pPr>
      <w:r>
        <w:t>Specialist colleges</w:t>
      </w:r>
    </w:p>
    <w:p w14:paraId="3EEDAED1" w14:textId="77777777" w:rsidR="00BE23AB" w:rsidRPr="00D66FAA" w:rsidRDefault="00BE23AB" w:rsidP="00BE23AB">
      <w:r>
        <w:t>F</w:t>
      </w:r>
      <w:r w:rsidRPr="00D66FAA">
        <w:t>or</w:t>
      </w:r>
      <w:r w:rsidRPr="00D66FAA">
        <w:rPr>
          <w:b/>
        </w:rPr>
        <w:t xml:space="preserve"> </w:t>
      </w:r>
      <w:r w:rsidRPr="00D66FAA">
        <w:t>‘unapproved’</w:t>
      </w:r>
      <w:r w:rsidRPr="00D66FAA">
        <w:rPr>
          <w:b/>
        </w:rPr>
        <w:t xml:space="preserve"> medicines or biologicals </w:t>
      </w:r>
      <w:r w:rsidRPr="00D66FAA">
        <w:t>–</w:t>
      </w:r>
      <w:r w:rsidRPr="00D66FAA" w:rsidDel="00D21BC1">
        <w:t xml:space="preserve"> </w:t>
      </w:r>
      <w:r w:rsidRPr="00D66FAA">
        <w:t>if the medical practitioner is engaged in clinical practice outside a hospital and does not have access to an ethics committee</w:t>
      </w:r>
      <w:r>
        <w:t>,</w:t>
      </w:r>
      <w:r w:rsidRPr="00D66FAA">
        <w:t xml:space="preserve"> then the medical practitioner may obtain endorsement from a specialist college that has expertise relevant to the treatment of the medical condition for which authority is sought</w:t>
      </w:r>
      <w:r>
        <w:t>.</w:t>
      </w:r>
    </w:p>
    <w:p w14:paraId="3F5852B4" w14:textId="77777777" w:rsidR="00BE23AB" w:rsidRPr="00D66FAA" w:rsidRDefault="00BE23AB" w:rsidP="00BE23AB">
      <w:pPr>
        <w:pageBreakBefore/>
      </w:pPr>
      <w:r>
        <w:lastRenderedPageBreak/>
        <w:t>F</w:t>
      </w:r>
      <w:r w:rsidRPr="00D66FAA">
        <w:t xml:space="preserve">or ‘unapproved’ </w:t>
      </w:r>
      <w:r w:rsidRPr="00D66FAA">
        <w:rPr>
          <w:b/>
        </w:rPr>
        <w:t>medical devices</w:t>
      </w:r>
      <w:r w:rsidRPr="00D66FAA">
        <w:t xml:space="preserve"> – if the medical practitioner does not have access to an ethics committee that:</w:t>
      </w:r>
    </w:p>
    <w:p w14:paraId="3A69A7DF" w14:textId="77777777" w:rsidR="00BE23AB" w:rsidRDefault="00BE23AB" w:rsidP="00BE23AB">
      <w:pPr>
        <w:pStyle w:val="ListBullet"/>
        <w:numPr>
          <w:ilvl w:val="0"/>
          <w:numId w:val="3"/>
        </w:numPr>
      </w:pPr>
      <w:r w:rsidRPr="00D66FAA">
        <w:t xml:space="preserve">has the expertise relating to the use of the ‘unapproved’ </w:t>
      </w:r>
      <w:proofErr w:type="gramStart"/>
      <w:r w:rsidRPr="00D66FAA">
        <w:t>good</w:t>
      </w:r>
      <w:proofErr w:type="gramEnd"/>
    </w:p>
    <w:p w14:paraId="0259DFBF" w14:textId="77777777" w:rsidR="00BE23AB" w:rsidRPr="00D66FAA" w:rsidRDefault="00BE23AB" w:rsidP="00BE23AB">
      <w:pPr>
        <w:pStyle w:val="ListBullet"/>
        <w:numPr>
          <w:ilvl w:val="0"/>
          <w:numId w:val="0"/>
        </w:numPr>
        <w:ind w:left="360"/>
      </w:pPr>
      <w:r>
        <w:t>OR</w:t>
      </w:r>
    </w:p>
    <w:p w14:paraId="4CE94BAC" w14:textId="77777777" w:rsidR="00BE23AB" w:rsidRPr="00D66FAA" w:rsidRDefault="00BE23AB" w:rsidP="00BE23AB">
      <w:pPr>
        <w:pStyle w:val="ListBullet"/>
        <w:numPr>
          <w:ilvl w:val="0"/>
          <w:numId w:val="3"/>
        </w:numPr>
      </w:pPr>
      <w:r w:rsidRPr="00D66FAA">
        <w:t>conducts its activities in the geographical area where the approval is sought</w:t>
      </w:r>
      <w:r>
        <w:t>,</w:t>
      </w:r>
      <w:r w:rsidRPr="00D66FAA">
        <w:t xml:space="preserve"> </w:t>
      </w:r>
    </w:p>
    <w:p w14:paraId="2D08E28D" w14:textId="77777777" w:rsidR="00BE23AB" w:rsidRDefault="00BE23AB" w:rsidP="00BE23AB">
      <w:r w:rsidRPr="00D66FAA">
        <w:t>then the medical practitioner may seek endorsement from a specialist college that has expertise relevant to the treatment of the medical condition for which the authority is sought</w:t>
      </w:r>
      <w:r>
        <w:t>.</w:t>
      </w:r>
    </w:p>
    <w:p w14:paraId="48E7F644" w14:textId="77777777" w:rsidR="00BE23AB" w:rsidRDefault="00BE23AB" w:rsidP="00BE23AB">
      <w:r w:rsidRPr="00AF40B8">
        <w:t xml:space="preserve">The therapeutic goods legislation defines ‘specialist’ as having the same meaning as in the </w:t>
      </w:r>
      <w:r w:rsidRPr="00AF40B8">
        <w:rPr>
          <w:i/>
          <w:iCs/>
        </w:rPr>
        <w:t>Health Insurance Act 1973</w:t>
      </w:r>
      <w:r>
        <w:t>. This</w:t>
      </w:r>
      <w:r w:rsidRPr="00AF40B8">
        <w:t xml:space="preserve"> includes that the medical practitioner is a fellow of a ‘relevant organisation’ in relation to the specialty.</w:t>
      </w:r>
    </w:p>
    <w:p w14:paraId="05DF6DA4" w14:textId="77777777" w:rsidR="00BE23AB" w:rsidRDefault="00BE23AB" w:rsidP="00BE23AB">
      <w:r w:rsidRPr="00AF40B8">
        <w:t xml:space="preserve">A list of </w:t>
      </w:r>
      <w:r>
        <w:t>these ‘</w:t>
      </w:r>
      <w:r w:rsidRPr="00AF40B8">
        <w:t>relevant organisations</w:t>
      </w:r>
      <w:r>
        <w:t>’</w:t>
      </w:r>
      <w:r w:rsidRPr="00AF40B8">
        <w:t xml:space="preserve"> are </w:t>
      </w:r>
      <w:r>
        <w:t>provided</w:t>
      </w:r>
      <w:r w:rsidRPr="00AF40B8">
        <w:t xml:space="preserve"> in Schedule 1 of the </w:t>
      </w:r>
      <w:r w:rsidRPr="00AF40B8">
        <w:rPr>
          <w:i/>
          <w:iCs/>
        </w:rPr>
        <w:t>Health Insurance Regulations 2018</w:t>
      </w:r>
      <w:r w:rsidRPr="00AF40B8">
        <w:t>. Therefore, the list of ‘relevant organisations’ are taken to be the ‘specialist colleges’ referred to for the purposes of the Authorised Prescriber scheme.</w:t>
      </w:r>
      <w:r>
        <w:t xml:space="preserve"> Medical practitioners may only obtain specialist college endorsement from one of the ‘relevant </w:t>
      </w:r>
      <w:proofErr w:type="gramStart"/>
      <w:r>
        <w:t>organisations’</w:t>
      </w:r>
      <w:proofErr w:type="gramEnd"/>
      <w:r>
        <w:t xml:space="preserve">. </w:t>
      </w:r>
    </w:p>
    <w:p w14:paraId="677DE55F" w14:textId="77777777" w:rsidR="00BE23AB" w:rsidRPr="00AF40B8" w:rsidRDefault="00BE23AB" w:rsidP="00BE23AB">
      <w:r>
        <w:t xml:space="preserve">Endorsement from a specialist society or other expert body </w:t>
      </w:r>
      <w:r w:rsidRPr="004D095F">
        <w:rPr>
          <w:b/>
        </w:rPr>
        <w:t>cannot</w:t>
      </w:r>
      <w:r>
        <w:t xml:space="preserve"> be accepted by the TGA. </w:t>
      </w:r>
      <w:r w:rsidRPr="00523318">
        <w:t xml:space="preserve">However, specialist colleges </w:t>
      </w:r>
      <w:r>
        <w:t>may</w:t>
      </w:r>
      <w:r w:rsidRPr="00523318">
        <w:t xml:space="preserve"> </w:t>
      </w:r>
      <w:r>
        <w:t xml:space="preserve">choose </w:t>
      </w:r>
      <w:r w:rsidRPr="00523318">
        <w:t xml:space="preserve">seek advice from an expert body or specialist society </w:t>
      </w:r>
      <w:r w:rsidRPr="002B5719">
        <w:t>when providing endor</w:t>
      </w:r>
      <w:r>
        <w:t>s</w:t>
      </w:r>
      <w:r w:rsidRPr="002B5719">
        <w:t>ement.</w:t>
      </w:r>
    </w:p>
    <w:p w14:paraId="63D56193" w14:textId="77777777" w:rsidR="00BE23AB" w:rsidRDefault="00BE23AB" w:rsidP="00BE23AB">
      <w:pPr>
        <w:pStyle w:val="Heading3"/>
      </w:pPr>
      <w:bookmarkStart w:id="40" w:name="_Applying_for_HREC_1"/>
      <w:bookmarkStart w:id="41" w:name="_Toc87540018"/>
      <w:bookmarkStart w:id="42" w:name="_Toc121127832"/>
      <w:bookmarkEnd w:id="40"/>
      <w:r>
        <w:t>Applying for HREC approval or specialist college endorsement</w:t>
      </w:r>
      <w:bookmarkEnd w:id="41"/>
      <w:bookmarkEnd w:id="42"/>
      <w:r>
        <w:t xml:space="preserve"> </w:t>
      </w:r>
    </w:p>
    <w:p w14:paraId="0C0D2C1B" w14:textId="77777777" w:rsidR="00BE23AB" w:rsidRDefault="00BE23AB" w:rsidP="00BE23AB">
      <w:r>
        <w:t>The TGA does not provide a set template for HREC or specialist college applications. The medical practitioner’s application for HREC approval or specialist college endorsement (if required) must be made in writing and provide sufficient evidence to justify the use of the ‘unapproved’ product. An application for HREC or specialist college approval or endorsement must contain details of the:</w:t>
      </w:r>
    </w:p>
    <w:p w14:paraId="7061CA44" w14:textId="77777777" w:rsidR="00BE23AB" w:rsidRDefault="00BE23AB" w:rsidP="00BE23AB">
      <w:pPr>
        <w:pStyle w:val="ListBullet"/>
        <w:numPr>
          <w:ilvl w:val="0"/>
          <w:numId w:val="3"/>
        </w:numPr>
      </w:pPr>
      <w:r>
        <w:t xml:space="preserve">medical practitioner applying for Authorised Prescriber </w:t>
      </w:r>
      <w:proofErr w:type="gramStart"/>
      <w:r>
        <w:t>status</w:t>
      </w:r>
      <w:proofErr w:type="gramEnd"/>
    </w:p>
    <w:p w14:paraId="72999753" w14:textId="77777777" w:rsidR="00BE23AB" w:rsidRDefault="00BE23AB" w:rsidP="00BE23AB">
      <w:pPr>
        <w:pStyle w:val="ListBullet"/>
        <w:numPr>
          <w:ilvl w:val="0"/>
          <w:numId w:val="3"/>
        </w:numPr>
      </w:pPr>
      <w:r>
        <w:t>‘unapproved’ good</w:t>
      </w:r>
    </w:p>
    <w:p w14:paraId="094F387A" w14:textId="77777777" w:rsidR="00BE23AB" w:rsidRDefault="00BE23AB" w:rsidP="00BE23AB">
      <w:pPr>
        <w:pStyle w:val="ListBullet"/>
        <w:numPr>
          <w:ilvl w:val="0"/>
          <w:numId w:val="3"/>
        </w:numPr>
      </w:pPr>
      <w:r>
        <w:t>clinical justification for the use of the good.</w:t>
      </w:r>
    </w:p>
    <w:p w14:paraId="3F365465" w14:textId="77777777" w:rsidR="00BE23AB" w:rsidRDefault="00BE23AB" w:rsidP="00BE23AB">
      <w:pPr>
        <w:pStyle w:val="Heading4"/>
      </w:pPr>
      <w:bookmarkStart w:id="43" w:name="_Toc87540019"/>
      <w:bookmarkStart w:id="44" w:name="_Toc121127833"/>
      <w:r>
        <w:t>Medical practitioner details</w:t>
      </w:r>
      <w:bookmarkEnd w:id="43"/>
      <w:bookmarkEnd w:id="44"/>
    </w:p>
    <w:p w14:paraId="225089C0" w14:textId="77777777" w:rsidR="00BE23AB" w:rsidRDefault="00BE23AB" w:rsidP="00BE23AB">
      <w:r>
        <w:t>The medical practitioner’s details to include are:</w:t>
      </w:r>
    </w:p>
    <w:p w14:paraId="06C1432D" w14:textId="77777777" w:rsidR="00BE23AB" w:rsidRDefault="00BE23AB" w:rsidP="00BE23AB">
      <w:pPr>
        <w:pStyle w:val="ListBullet"/>
        <w:numPr>
          <w:ilvl w:val="0"/>
          <w:numId w:val="3"/>
        </w:numPr>
      </w:pPr>
      <w:r>
        <w:t>name</w:t>
      </w:r>
    </w:p>
    <w:p w14:paraId="3F3AC035" w14:textId="77777777" w:rsidR="00BE23AB" w:rsidRDefault="00BE23AB" w:rsidP="00BE23AB">
      <w:pPr>
        <w:pStyle w:val="ListBullet"/>
        <w:numPr>
          <w:ilvl w:val="0"/>
          <w:numId w:val="3"/>
        </w:numPr>
      </w:pPr>
      <w:r>
        <w:t>contact details (postal address, phone number, fax number and email)</w:t>
      </w:r>
    </w:p>
    <w:p w14:paraId="4BEC8732" w14:textId="77777777" w:rsidR="00BE23AB" w:rsidRDefault="00BE23AB" w:rsidP="00BE23AB">
      <w:pPr>
        <w:pStyle w:val="ListBullet"/>
        <w:numPr>
          <w:ilvl w:val="0"/>
          <w:numId w:val="3"/>
        </w:numPr>
      </w:pPr>
      <w:r>
        <w:t xml:space="preserve">details of their qualifications, specialty, </w:t>
      </w:r>
      <w:proofErr w:type="gramStart"/>
      <w:r>
        <w:t>training</w:t>
      </w:r>
      <w:proofErr w:type="gramEnd"/>
      <w:r>
        <w:t xml:space="preserve"> and experience</w:t>
      </w:r>
    </w:p>
    <w:p w14:paraId="4C0B701D" w14:textId="77777777" w:rsidR="00BE23AB" w:rsidRPr="008E7E0F" w:rsidRDefault="00BE23AB" w:rsidP="00BE23AB">
      <w:pPr>
        <w:pStyle w:val="ListBullet2"/>
        <w:numPr>
          <w:ilvl w:val="1"/>
          <w:numId w:val="3"/>
        </w:numPr>
        <w:ind w:left="850" w:hanging="425"/>
      </w:pPr>
      <w:r w:rsidRPr="008E7E0F">
        <w:t>generally, applications from medical practitioners with non-practising, limited, student</w:t>
      </w:r>
      <w:r>
        <w:t xml:space="preserve">, </w:t>
      </w:r>
      <w:r w:rsidRPr="008E7E0F">
        <w:t>provisional registration (requiring supervised practice)</w:t>
      </w:r>
      <w:r>
        <w:t>, or conditions placed on their registration</w:t>
      </w:r>
      <w:r w:rsidRPr="008E7E0F">
        <w:t xml:space="preserve"> will not be considered for the Authorised Prescriber </w:t>
      </w:r>
      <w:proofErr w:type="gramStart"/>
      <w:r>
        <w:t>s</w:t>
      </w:r>
      <w:r w:rsidRPr="008E7E0F">
        <w:t>cheme</w:t>
      </w:r>
      <w:proofErr w:type="gramEnd"/>
    </w:p>
    <w:p w14:paraId="6DD8F867" w14:textId="77777777" w:rsidR="00BE23AB" w:rsidRDefault="00BE23AB" w:rsidP="00BE23AB">
      <w:pPr>
        <w:pStyle w:val="ListBullet"/>
        <w:numPr>
          <w:ilvl w:val="0"/>
          <w:numId w:val="3"/>
        </w:numPr>
      </w:pPr>
      <w:r>
        <w:t xml:space="preserve">have the training and expertise appropriate for the condition being treated and/or the proposed use of the </w:t>
      </w:r>
      <w:proofErr w:type="gramStart"/>
      <w:r>
        <w:t>product</w:t>
      </w:r>
      <w:proofErr w:type="gramEnd"/>
    </w:p>
    <w:p w14:paraId="37BE6887" w14:textId="77777777" w:rsidR="00BE23AB" w:rsidRDefault="00BE23AB" w:rsidP="00BE23AB">
      <w:pPr>
        <w:pStyle w:val="ListBullet"/>
        <w:numPr>
          <w:ilvl w:val="0"/>
          <w:numId w:val="3"/>
        </w:numPr>
      </w:pPr>
      <w:r>
        <w:t xml:space="preserve">a description of how they propose to use the </w:t>
      </w:r>
      <w:proofErr w:type="gramStart"/>
      <w:r>
        <w:t>goods</w:t>
      </w:r>
      <w:proofErr w:type="gramEnd"/>
    </w:p>
    <w:p w14:paraId="1EBCC61B" w14:textId="77777777" w:rsidR="00BE23AB" w:rsidRDefault="00BE23AB" w:rsidP="00BE23AB">
      <w:pPr>
        <w:pStyle w:val="ListBullet"/>
        <w:numPr>
          <w:ilvl w:val="0"/>
          <w:numId w:val="3"/>
        </w:numPr>
      </w:pPr>
      <w:r>
        <w:lastRenderedPageBreak/>
        <w:t xml:space="preserve">details of the site(s) at which the goods will be </w:t>
      </w:r>
      <w:proofErr w:type="gramStart"/>
      <w:r>
        <w:t>used</w:t>
      </w:r>
      <w:proofErr w:type="gramEnd"/>
    </w:p>
    <w:p w14:paraId="4B08C317" w14:textId="77777777" w:rsidR="00BE23AB" w:rsidRDefault="00BE23AB" w:rsidP="00BE23AB">
      <w:r>
        <w:t>The application should also provide evidence that the medical practitioner has:</w:t>
      </w:r>
    </w:p>
    <w:p w14:paraId="2A31158F" w14:textId="77777777" w:rsidR="00BE23AB" w:rsidRDefault="00BE23AB" w:rsidP="00BE23AB">
      <w:pPr>
        <w:pStyle w:val="ListBullet"/>
        <w:numPr>
          <w:ilvl w:val="0"/>
          <w:numId w:val="3"/>
        </w:numPr>
      </w:pPr>
      <w:r>
        <w:t xml:space="preserve">the qualifications and experience necessary to appropriately manage the medical condition and use the </w:t>
      </w:r>
      <w:proofErr w:type="gramStart"/>
      <w:r>
        <w:t>product</w:t>
      </w:r>
      <w:proofErr w:type="gramEnd"/>
    </w:p>
    <w:p w14:paraId="3814DE60" w14:textId="77777777" w:rsidR="00BE23AB" w:rsidRDefault="00BE23AB" w:rsidP="00BE23AB">
      <w:pPr>
        <w:pStyle w:val="ListBullet"/>
        <w:numPr>
          <w:ilvl w:val="0"/>
          <w:numId w:val="3"/>
        </w:numPr>
      </w:pPr>
      <w:r>
        <w:t>access to the facilities needed to appropriately administer and monitor treatment.</w:t>
      </w:r>
    </w:p>
    <w:p w14:paraId="13A3D109" w14:textId="77777777" w:rsidR="00BE23AB" w:rsidRDefault="00BE23AB" w:rsidP="00BE23AB">
      <w:r>
        <w:t>Generally, medical practitioners will have to demonstrate a higher level of experience and training to be approved as Authorised Prescribers of therapeutic goods that:</w:t>
      </w:r>
    </w:p>
    <w:p w14:paraId="0E96F6AD" w14:textId="77777777" w:rsidR="00BE23AB" w:rsidRDefault="00BE23AB" w:rsidP="00BE23AB">
      <w:pPr>
        <w:pStyle w:val="ListBullet"/>
        <w:numPr>
          <w:ilvl w:val="0"/>
          <w:numId w:val="3"/>
        </w:numPr>
      </w:pPr>
      <w:r>
        <w:t xml:space="preserve">are indicated for highly specialised medical </w:t>
      </w:r>
      <w:proofErr w:type="gramStart"/>
      <w:r>
        <w:t>conditions</w:t>
      </w:r>
      <w:proofErr w:type="gramEnd"/>
    </w:p>
    <w:p w14:paraId="50820B5C" w14:textId="77777777" w:rsidR="00BE23AB" w:rsidRDefault="00BE23AB" w:rsidP="00BE23AB">
      <w:pPr>
        <w:pStyle w:val="ListBullet"/>
        <w:numPr>
          <w:ilvl w:val="0"/>
          <w:numId w:val="3"/>
        </w:numPr>
      </w:pPr>
      <w:r>
        <w:t xml:space="preserve">have significant safety </w:t>
      </w:r>
      <w:proofErr w:type="gramStart"/>
      <w:r>
        <w:t>risks</w:t>
      </w:r>
      <w:proofErr w:type="gramEnd"/>
    </w:p>
    <w:p w14:paraId="27FAB153" w14:textId="77777777" w:rsidR="00BE23AB" w:rsidRDefault="00BE23AB" w:rsidP="00BE23AB">
      <w:pPr>
        <w:pStyle w:val="ListBullet"/>
        <w:numPr>
          <w:ilvl w:val="0"/>
          <w:numId w:val="3"/>
        </w:numPr>
      </w:pPr>
      <w:r>
        <w:t xml:space="preserve">require specialised </w:t>
      </w:r>
      <w:proofErr w:type="gramStart"/>
      <w:r>
        <w:t>monitoring</w:t>
      </w:r>
      <w:proofErr w:type="gramEnd"/>
    </w:p>
    <w:p w14:paraId="57717C04" w14:textId="77777777" w:rsidR="00BE23AB" w:rsidRDefault="00BE23AB" w:rsidP="00BE23AB">
      <w:pPr>
        <w:pStyle w:val="ListBullet"/>
        <w:numPr>
          <w:ilvl w:val="0"/>
          <w:numId w:val="3"/>
        </w:numPr>
      </w:pPr>
      <w:r>
        <w:t xml:space="preserve">require specialised administration or </w:t>
      </w:r>
      <w:proofErr w:type="gramStart"/>
      <w:r>
        <w:t>handling</w:t>
      </w:r>
      <w:proofErr w:type="gramEnd"/>
    </w:p>
    <w:p w14:paraId="37AF8E81" w14:textId="77777777" w:rsidR="00BE23AB" w:rsidRDefault="00BE23AB" w:rsidP="00BE23AB">
      <w:pPr>
        <w:pStyle w:val="Heading4"/>
      </w:pPr>
      <w:bookmarkStart w:id="45" w:name="_Toc46934120"/>
      <w:bookmarkStart w:id="46" w:name="_Toc46934411"/>
      <w:bookmarkStart w:id="47" w:name="_Toc87540020"/>
      <w:bookmarkStart w:id="48" w:name="_Toc121127834"/>
      <w:r>
        <w:t>‘Unapproved’ therapeutic good</w:t>
      </w:r>
      <w:bookmarkEnd w:id="45"/>
      <w:bookmarkEnd w:id="46"/>
      <w:r>
        <w:t xml:space="preserve"> description and evidence</w:t>
      </w:r>
      <w:bookmarkEnd w:id="47"/>
      <w:bookmarkEnd w:id="48"/>
    </w:p>
    <w:p w14:paraId="64FAB7AA" w14:textId="77777777" w:rsidR="00BE23AB" w:rsidRDefault="00BE23AB" w:rsidP="00BE23AB">
      <w:r>
        <w:t xml:space="preserve">The application should contain evidence of the ‘unapproved’ therapeutic good’s suitability for the intended indication that supports the clinical justification the medical practitioner has provided. </w:t>
      </w:r>
    </w:p>
    <w:p w14:paraId="0164D592" w14:textId="77777777" w:rsidR="00BE23AB" w:rsidRDefault="00BE23AB" w:rsidP="00BE23AB">
      <w:r>
        <w:t>The application should include the following details of the ‘unapproved’ good.</w:t>
      </w:r>
    </w:p>
    <w:p w14:paraId="1461E93B" w14:textId="77777777" w:rsidR="00BE23AB" w:rsidRDefault="00BE23AB" w:rsidP="00BE23AB">
      <w:pPr>
        <w:pStyle w:val="Heading5"/>
      </w:pPr>
      <w:r>
        <w:t>Description</w:t>
      </w:r>
    </w:p>
    <w:p w14:paraId="0B3D2FD7" w14:textId="77777777" w:rsidR="00BE23AB" w:rsidRDefault="00BE23AB" w:rsidP="00BE23AB">
      <w:r>
        <w:t xml:space="preserve">For ‘unapproved’ </w:t>
      </w:r>
      <w:r w:rsidRPr="000A23EC">
        <w:rPr>
          <w:b/>
        </w:rPr>
        <w:t>medicines</w:t>
      </w:r>
      <w:r>
        <w:t>:</w:t>
      </w:r>
    </w:p>
    <w:p w14:paraId="4560FAF2" w14:textId="77777777" w:rsidR="00BE23AB" w:rsidRDefault="00BE23AB" w:rsidP="00BE23AB">
      <w:pPr>
        <w:pStyle w:val="ListBullet"/>
        <w:numPr>
          <w:ilvl w:val="0"/>
          <w:numId w:val="3"/>
        </w:numPr>
      </w:pPr>
      <w:r>
        <w:t>active ingredient</w:t>
      </w:r>
    </w:p>
    <w:p w14:paraId="34880213" w14:textId="77777777" w:rsidR="00BE23AB" w:rsidRDefault="00BE23AB" w:rsidP="00BE23AB">
      <w:pPr>
        <w:pStyle w:val="ListBullet"/>
        <w:numPr>
          <w:ilvl w:val="0"/>
          <w:numId w:val="3"/>
        </w:numPr>
      </w:pPr>
      <w:r>
        <w:t>strength/concentration</w:t>
      </w:r>
    </w:p>
    <w:p w14:paraId="60C46120" w14:textId="77777777" w:rsidR="00BE23AB" w:rsidRDefault="00BE23AB" w:rsidP="00BE23AB">
      <w:pPr>
        <w:pStyle w:val="ListBullet"/>
        <w:numPr>
          <w:ilvl w:val="0"/>
          <w:numId w:val="3"/>
        </w:numPr>
      </w:pPr>
      <w:r>
        <w:t>dosage form</w:t>
      </w:r>
    </w:p>
    <w:p w14:paraId="68CEFABD" w14:textId="77777777" w:rsidR="00BE23AB" w:rsidRDefault="00BE23AB" w:rsidP="00BE23AB">
      <w:pPr>
        <w:pStyle w:val="ListBullet"/>
        <w:numPr>
          <w:ilvl w:val="0"/>
          <w:numId w:val="3"/>
        </w:numPr>
      </w:pPr>
      <w:r>
        <w:t>sponsor</w:t>
      </w:r>
    </w:p>
    <w:p w14:paraId="67761700" w14:textId="77777777" w:rsidR="00BE23AB" w:rsidRDefault="00BE23AB" w:rsidP="00BE23AB">
      <w:pPr>
        <w:pStyle w:val="ListBullet"/>
        <w:numPr>
          <w:ilvl w:val="0"/>
          <w:numId w:val="3"/>
        </w:numPr>
      </w:pPr>
      <w:r>
        <w:t>whether the good is approved for the indication by an overseas regulatory body</w:t>
      </w:r>
    </w:p>
    <w:p w14:paraId="385D3BE2" w14:textId="77777777" w:rsidR="00BE23AB" w:rsidRDefault="00BE23AB" w:rsidP="00BE23AB">
      <w:r>
        <w:t xml:space="preserve">For ‘unapproved’ </w:t>
      </w:r>
      <w:r w:rsidRPr="000A23EC">
        <w:rPr>
          <w:b/>
        </w:rPr>
        <w:t>biologicals</w:t>
      </w:r>
      <w:r>
        <w:t>:</w:t>
      </w:r>
    </w:p>
    <w:p w14:paraId="6BCF219E" w14:textId="77777777" w:rsidR="00BE23AB" w:rsidRDefault="00BE23AB" w:rsidP="00BE23AB">
      <w:pPr>
        <w:pStyle w:val="ListBullet"/>
        <w:numPr>
          <w:ilvl w:val="0"/>
          <w:numId w:val="3"/>
        </w:numPr>
      </w:pPr>
      <w:r>
        <w:t>name of biological</w:t>
      </w:r>
    </w:p>
    <w:p w14:paraId="0449A669" w14:textId="77777777" w:rsidR="00BE23AB" w:rsidRDefault="00BE23AB" w:rsidP="00BE23AB">
      <w:pPr>
        <w:pStyle w:val="ListBullet"/>
        <w:numPr>
          <w:ilvl w:val="0"/>
          <w:numId w:val="3"/>
        </w:numPr>
      </w:pPr>
      <w:r>
        <w:t>sponsor</w:t>
      </w:r>
    </w:p>
    <w:p w14:paraId="1881AEF0" w14:textId="77777777" w:rsidR="00BE23AB" w:rsidRDefault="00BE23AB" w:rsidP="00BE23AB">
      <w:pPr>
        <w:pStyle w:val="ListBullet"/>
        <w:numPr>
          <w:ilvl w:val="0"/>
          <w:numId w:val="3"/>
        </w:numPr>
      </w:pPr>
      <w:r>
        <w:t>whether the good is approved for the indication by an overseas regulatory body</w:t>
      </w:r>
    </w:p>
    <w:p w14:paraId="4220E7C8" w14:textId="77777777" w:rsidR="00BE23AB" w:rsidRDefault="00BE23AB" w:rsidP="00BE23AB">
      <w:r>
        <w:t xml:space="preserve">For ‘unapproved’ </w:t>
      </w:r>
      <w:r w:rsidRPr="000A23EC">
        <w:rPr>
          <w:b/>
        </w:rPr>
        <w:t>medical devices</w:t>
      </w:r>
      <w:r>
        <w:t>:</w:t>
      </w:r>
    </w:p>
    <w:p w14:paraId="0368BF26" w14:textId="77777777" w:rsidR="00BE23AB" w:rsidRDefault="00BE23AB" w:rsidP="00BE23AB">
      <w:pPr>
        <w:pStyle w:val="ListBullet"/>
        <w:numPr>
          <w:ilvl w:val="0"/>
          <w:numId w:val="3"/>
        </w:numPr>
      </w:pPr>
      <w:r>
        <w:t>name of the medical device</w:t>
      </w:r>
    </w:p>
    <w:p w14:paraId="6479BFF6" w14:textId="77777777" w:rsidR="00BE23AB" w:rsidRDefault="00BE23AB" w:rsidP="00BE23AB">
      <w:pPr>
        <w:pStyle w:val="ListBullet"/>
        <w:numPr>
          <w:ilvl w:val="0"/>
          <w:numId w:val="3"/>
        </w:numPr>
      </w:pPr>
      <w:r>
        <w:t>sponsor</w:t>
      </w:r>
    </w:p>
    <w:p w14:paraId="2DC6322F" w14:textId="77777777" w:rsidR="00BE23AB" w:rsidRDefault="00BE23AB" w:rsidP="00BE23AB">
      <w:pPr>
        <w:pStyle w:val="ListBullet"/>
        <w:numPr>
          <w:ilvl w:val="0"/>
          <w:numId w:val="3"/>
        </w:numPr>
      </w:pPr>
      <w:r>
        <w:t>whether the good is approved for this indication by an overseas regulatory body</w:t>
      </w:r>
    </w:p>
    <w:p w14:paraId="27800B8B" w14:textId="77777777" w:rsidR="00BE23AB" w:rsidRDefault="00BE23AB" w:rsidP="00BE23AB">
      <w:pPr>
        <w:pStyle w:val="Heading5"/>
      </w:pPr>
      <w:r>
        <w:t xml:space="preserve">Use and </w:t>
      </w:r>
      <w:proofErr w:type="gramStart"/>
      <w:r>
        <w:t>monitoring</w:t>
      </w:r>
      <w:proofErr w:type="gramEnd"/>
    </w:p>
    <w:p w14:paraId="76479E7F" w14:textId="77777777" w:rsidR="00BE23AB" w:rsidRDefault="00BE23AB" w:rsidP="00BE23AB">
      <w:r>
        <w:t>The application should detail:</w:t>
      </w:r>
    </w:p>
    <w:p w14:paraId="34986786" w14:textId="77777777" w:rsidR="00BE23AB" w:rsidRDefault="00BE23AB" w:rsidP="00BE23AB">
      <w:pPr>
        <w:pStyle w:val="ListBullet"/>
        <w:numPr>
          <w:ilvl w:val="0"/>
          <w:numId w:val="3"/>
        </w:numPr>
      </w:pPr>
      <w:r>
        <w:t>the dosage range (where applicable)</w:t>
      </w:r>
    </w:p>
    <w:p w14:paraId="55C83D0C" w14:textId="77777777" w:rsidR="00BE23AB" w:rsidRDefault="00BE23AB" w:rsidP="00BE23AB">
      <w:pPr>
        <w:pStyle w:val="ListBullet"/>
        <w:numPr>
          <w:ilvl w:val="0"/>
          <w:numId w:val="3"/>
        </w:numPr>
      </w:pPr>
      <w:r>
        <w:lastRenderedPageBreak/>
        <w:t>the route of administration or type of sample for IVDs</w:t>
      </w:r>
    </w:p>
    <w:p w14:paraId="7DDAC621" w14:textId="77777777" w:rsidR="00BE23AB" w:rsidRDefault="00BE23AB" w:rsidP="00BE23AB">
      <w:pPr>
        <w:pStyle w:val="ListBullet"/>
        <w:numPr>
          <w:ilvl w:val="0"/>
          <w:numId w:val="3"/>
        </w:numPr>
      </w:pPr>
      <w:r>
        <w:t>the duration of treatment</w:t>
      </w:r>
    </w:p>
    <w:p w14:paraId="4CEFD8D9" w14:textId="77777777" w:rsidR="00BE23AB" w:rsidRDefault="00BE23AB" w:rsidP="00BE23AB">
      <w:pPr>
        <w:pStyle w:val="ListBullet"/>
        <w:numPr>
          <w:ilvl w:val="0"/>
          <w:numId w:val="3"/>
        </w:numPr>
      </w:pPr>
      <w:r>
        <w:t xml:space="preserve">how the medical practitioner will determine if the use is </w:t>
      </w:r>
      <w:proofErr w:type="gramStart"/>
      <w:r>
        <w:t>effective</w:t>
      </w:r>
      <w:proofErr w:type="gramEnd"/>
    </w:p>
    <w:p w14:paraId="285ED639" w14:textId="77777777" w:rsidR="00BE23AB" w:rsidRDefault="00BE23AB" w:rsidP="00BE23AB">
      <w:pPr>
        <w:pStyle w:val="ListBullet"/>
        <w:numPr>
          <w:ilvl w:val="0"/>
          <w:numId w:val="3"/>
        </w:numPr>
      </w:pPr>
      <w:r>
        <w:t xml:space="preserve">how the medical practitioner will determine whether an adverse event has </w:t>
      </w:r>
      <w:proofErr w:type="gramStart"/>
      <w:r>
        <w:t>occurred</w:t>
      </w:r>
      <w:proofErr w:type="gramEnd"/>
    </w:p>
    <w:p w14:paraId="594D16EE" w14:textId="77777777" w:rsidR="00BE23AB" w:rsidRDefault="00BE23AB" w:rsidP="00BE23AB">
      <w:pPr>
        <w:pStyle w:val="ListBullet"/>
        <w:numPr>
          <w:ilvl w:val="0"/>
          <w:numId w:val="3"/>
        </w:numPr>
      </w:pPr>
      <w:r>
        <w:t xml:space="preserve">what monitoring is required, how it will be done, and the interval and duration of </w:t>
      </w:r>
      <w:proofErr w:type="gramStart"/>
      <w:r>
        <w:t>monitoring</w:t>
      </w:r>
      <w:proofErr w:type="gramEnd"/>
    </w:p>
    <w:p w14:paraId="7D759A93" w14:textId="77777777" w:rsidR="00BE23AB" w:rsidRDefault="00BE23AB" w:rsidP="00BE23AB">
      <w:pPr>
        <w:pStyle w:val="Heading5"/>
      </w:pPr>
      <w:r>
        <w:t>Efficacy and safety</w:t>
      </w:r>
    </w:p>
    <w:p w14:paraId="23B7EBBF" w14:textId="77777777" w:rsidR="00BE23AB" w:rsidRDefault="00BE23AB" w:rsidP="00BE23AB">
      <w:r>
        <w:t>The application must contain information on:</w:t>
      </w:r>
    </w:p>
    <w:p w14:paraId="61DBB90E" w14:textId="77777777" w:rsidR="00BE23AB" w:rsidRDefault="00BE23AB" w:rsidP="00BE23AB">
      <w:pPr>
        <w:pStyle w:val="ListBullet"/>
        <w:numPr>
          <w:ilvl w:val="0"/>
          <w:numId w:val="3"/>
        </w:numPr>
      </w:pPr>
      <w:r>
        <w:t xml:space="preserve">the ‘unapproved’ good’s efficacy and expected </w:t>
      </w:r>
      <w:proofErr w:type="gramStart"/>
      <w:r>
        <w:t>benefits</w:t>
      </w:r>
      <w:proofErr w:type="gramEnd"/>
    </w:p>
    <w:p w14:paraId="4557308B" w14:textId="77777777" w:rsidR="00BE23AB" w:rsidRDefault="00BE23AB" w:rsidP="00BE23AB">
      <w:pPr>
        <w:pStyle w:val="ListBullet"/>
        <w:numPr>
          <w:ilvl w:val="0"/>
          <w:numId w:val="3"/>
        </w:numPr>
      </w:pPr>
      <w:r>
        <w:t xml:space="preserve">any known/expected adverse effects, risks and safety </w:t>
      </w:r>
      <w:proofErr w:type="gramStart"/>
      <w:r>
        <w:t>issues</w:t>
      </w:r>
      <w:proofErr w:type="gramEnd"/>
    </w:p>
    <w:p w14:paraId="3CEE11E6" w14:textId="77777777" w:rsidR="00BE23AB" w:rsidRDefault="00BE23AB" w:rsidP="00BE23AB">
      <w:pPr>
        <w:pStyle w:val="ListBullet"/>
        <w:numPr>
          <w:ilvl w:val="0"/>
          <w:numId w:val="3"/>
        </w:numPr>
      </w:pPr>
      <w:r>
        <w:t>related toxicology</w:t>
      </w:r>
    </w:p>
    <w:p w14:paraId="14317063" w14:textId="77777777" w:rsidR="00BE23AB" w:rsidRDefault="00BE23AB" w:rsidP="00BE23AB">
      <w:pPr>
        <w:pStyle w:val="Heading5"/>
      </w:pPr>
      <w:r>
        <w:t>Evidence</w:t>
      </w:r>
    </w:p>
    <w:p w14:paraId="47B1328C" w14:textId="77777777" w:rsidR="00BE23AB" w:rsidRDefault="00BE23AB" w:rsidP="00BE23AB">
      <w:pPr>
        <w:keepNext/>
      </w:pPr>
      <w:r>
        <w:t>The application should contain appropriate sources of evidence to support the use of the ‘unapproved’ good. The sources of evidence for data, with the highest level of significance first, in decreasing order are:</w:t>
      </w:r>
    </w:p>
    <w:p w14:paraId="73ED019E" w14:textId="77777777" w:rsidR="00BE23AB" w:rsidRDefault="00BE23AB" w:rsidP="00BE23AB">
      <w:pPr>
        <w:pStyle w:val="ListBullet"/>
        <w:numPr>
          <w:ilvl w:val="0"/>
          <w:numId w:val="3"/>
        </w:numPr>
      </w:pPr>
      <w:r>
        <w:t>product information documents (of equivalent) (if the good is approved by an overseas regulator)</w:t>
      </w:r>
    </w:p>
    <w:p w14:paraId="666405A7" w14:textId="77777777" w:rsidR="00BE23AB" w:rsidRDefault="00BE23AB" w:rsidP="00BE23AB">
      <w:pPr>
        <w:pStyle w:val="ListBullet"/>
        <w:numPr>
          <w:ilvl w:val="0"/>
          <w:numId w:val="3"/>
        </w:numPr>
      </w:pPr>
      <w:r>
        <w:t xml:space="preserve">randomised controlled </w:t>
      </w:r>
      <w:proofErr w:type="gramStart"/>
      <w:r>
        <w:t>trials</w:t>
      </w:r>
      <w:proofErr w:type="gramEnd"/>
    </w:p>
    <w:p w14:paraId="2639D03B" w14:textId="77777777" w:rsidR="00BE23AB" w:rsidRDefault="00BE23AB" w:rsidP="00BE23AB">
      <w:pPr>
        <w:pStyle w:val="ListBullet"/>
        <w:numPr>
          <w:ilvl w:val="0"/>
          <w:numId w:val="3"/>
        </w:numPr>
      </w:pPr>
      <w:r>
        <w:t>non-randomised controlled trials</w:t>
      </w:r>
    </w:p>
    <w:p w14:paraId="12F624E1" w14:textId="77777777" w:rsidR="00BE23AB" w:rsidRDefault="00BE23AB" w:rsidP="00BE23AB">
      <w:pPr>
        <w:pStyle w:val="ListBullet"/>
        <w:numPr>
          <w:ilvl w:val="0"/>
          <w:numId w:val="3"/>
        </w:numPr>
      </w:pPr>
      <w:r>
        <w:t>individual case studies</w:t>
      </w:r>
    </w:p>
    <w:p w14:paraId="07F17D1F" w14:textId="77777777" w:rsidR="00BE23AB" w:rsidRDefault="00BE23AB" w:rsidP="00BE23AB">
      <w:pPr>
        <w:pStyle w:val="ListBullet"/>
        <w:numPr>
          <w:ilvl w:val="0"/>
          <w:numId w:val="3"/>
        </w:numPr>
      </w:pPr>
      <w:r>
        <w:t>consensus opinion of specialist colleges and societies</w:t>
      </w:r>
    </w:p>
    <w:p w14:paraId="5659B646" w14:textId="77777777" w:rsidR="00BE23AB" w:rsidRDefault="00BE23AB" w:rsidP="00BE23AB">
      <w:r>
        <w:t>Less serious conditions require stronger evidence than more serious medical conditions:</w:t>
      </w:r>
    </w:p>
    <w:p w14:paraId="4AB2751E" w14:textId="77777777" w:rsidR="00BE23AB" w:rsidRDefault="00BE23AB" w:rsidP="00BE23AB">
      <w:pPr>
        <w:pStyle w:val="Figuretitle"/>
      </w:pPr>
      <w:r>
        <w:t>Figure 2: Evidence requirements and the seriousness of the medical condition</w:t>
      </w:r>
    </w:p>
    <w:p w14:paraId="3B43E9FF" w14:textId="77777777" w:rsidR="00BE23AB" w:rsidRDefault="00BE23AB" w:rsidP="00BE23AB">
      <w:r>
        <w:rPr>
          <w:noProof/>
          <w:color w:val="2B579A"/>
          <w:shd w:val="clear" w:color="auto" w:fill="E6E6E6"/>
          <w:lang w:eastAsia="en-AU"/>
        </w:rPr>
        <w:drawing>
          <wp:inline distT="0" distB="0" distL="0" distR="0" wp14:anchorId="3D7DA5ED" wp14:editId="185354C9">
            <wp:extent cx="4397375" cy="2458070"/>
            <wp:effectExtent l="0" t="0" r="3175" b="0"/>
            <wp:docPr id="6" name="Picture 6" descr="Low evidence required for high clinical need&#10;High evidence required for low clinical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authorised-prescribers-scheme-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397375" cy="2458070"/>
                    </a:xfrm>
                    <a:prstGeom prst="rect">
                      <a:avLst/>
                    </a:prstGeom>
                  </pic:spPr>
                </pic:pic>
              </a:graphicData>
            </a:graphic>
          </wp:inline>
        </w:drawing>
      </w:r>
    </w:p>
    <w:p w14:paraId="3774BD45" w14:textId="77777777" w:rsidR="00BE23AB" w:rsidRDefault="00BE23AB" w:rsidP="00BE23AB">
      <w:pPr>
        <w:pStyle w:val="Heading5"/>
      </w:pPr>
      <w:r>
        <w:lastRenderedPageBreak/>
        <w:t>Global regulatory status</w:t>
      </w:r>
    </w:p>
    <w:p w14:paraId="148DCD8C" w14:textId="77777777" w:rsidR="00BE23AB" w:rsidRDefault="00BE23AB" w:rsidP="00BE23AB">
      <w:r>
        <w:t>The global regulatory status of the ‘unapproved’ good may affect the level of evidence required in the application.</w:t>
      </w:r>
    </w:p>
    <w:p w14:paraId="1F13204B" w14:textId="77777777" w:rsidR="00BE23AB" w:rsidRDefault="00BE23AB" w:rsidP="00BE23AB">
      <w:r>
        <w:t>This table describes differences in global regulatory status and the effect that status may have on the level of evidence required.</w:t>
      </w:r>
    </w:p>
    <w:p w14:paraId="3BCAAC12" w14:textId="77777777" w:rsidR="00BE23AB" w:rsidRDefault="00BE23AB" w:rsidP="00BE23AB">
      <w:r>
        <w:t>The information in Figure 3 is provided as a guide only.</w:t>
      </w:r>
    </w:p>
    <w:p w14:paraId="69380BAC" w14:textId="77777777" w:rsidR="00BE23AB" w:rsidRDefault="00BE23AB" w:rsidP="00BE23AB">
      <w:pPr>
        <w:pStyle w:val="Tabletitle"/>
      </w:pPr>
      <w:r>
        <w:t>Figure 3: Effect of global regulatory status</w:t>
      </w:r>
    </w:p>
    <w:tbl>
      <w:tblPr>
        <w:tblStyle w:val="TableTGAblue"/>
        <w:tblW w:w="0" w:type="auto"/>
        <w:tblLook w:val="04A0" w:firstRow="1" w:lastRow="0" w:firstColumn="1" w:lastColumn="0" w:noHBand="0" w:noVBand="1"/>
      </w:tblPr>
      <w:tblGrid>
        <w:gridCol w:w="4525"/>
        <w:gridCol w:w="4525"/>
      </w:tblGrid>
      <w:tr w:rsidR="00BE23AB" w14:paraId="2FE1F66B" w14:textId="77777777" w:rsidTr="00387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2624BD39" w14:textId="77777777" w:rsidR="00BE23AB" w:rsidRDefault="00BE23AB" w:rsidP="00387ACE">
            <w:r>
              <w:t>Regulatory status</w:t>
            </w:r>
          </w:p>
        </w:tc>
        <w:tc>
          <w:tcPr>
            <w:tcW w:w="4525" w:type="dxa"/>
          </w:tcPr>
          <w:p w14:paraId="6A7BF139" w14:textId="77777777" w:rsidR="00BE23AB" w:rsidRDefault="00BE23AB" w:rsidP="00387ACE">
            <w:pPr>
              <w:jc w:val="center"/>
              <w:cnfStyle w:val="100000000000" w:firstRow="1" w:lastRow="0" w:firstColumn="0" w:lastColumn="0" w:oddVBand="0" w:evenVBand="0" w:oddHBand="0" w:evenHBand="0" w:firstRowFirstColumn="0" w:firstRowLastColumn="0" w:lastRowFirstColumn="0" w:lastRowLastColumn="0"/>
            </w:pPr>
            <w:r>
              <w:t>Possible effect on the level of extra evidence required to be submitted to a HREC or specialist college</w:t>
            </w:r>
          </w:p>
        </w:tc>
      </w:tr>
      <w:tr w:rsidR="00BE23AB" w14:paraId="4710B084"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0AB73121" w14:textId="77777777" w:rsidR="00BE23AB" w:rsidRDefault="00BE23AB" w:rsidP="00387ACE">
            <w:r>
              <w:t>Goods which are not approved in Australia, but are approved for the indication and the conditions of use in countries with a regulatory standard comparable to Australia</w:t>
            </w:r>
          </w:p>
        </w:tc>
        <w:tc>
          <w:tcPr>
            <w:tcW w:w="4525" w:type="dxa"/>
            <w:vAlign w:val="center"/>
          </w:tcPr>
          <w:p w14:paraId="30E472B1"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Decreased</w:t>
            </w:r>
          </w:p>
        </w:tc>
      </w:tr>
      <w:tr w:rsidR="00BE23AB" w14:paraId="3B2628F5"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665084FA" w14:textId="77777777" w:rsidR="00BE23AB" w:rsidRDefault="00BE23AB" w:rsidP="00387ACE">
            <w:r>
              <w:t>Goods previously approved by the TGA which have been withdrawn for non-safety reasons</w:t>
            </w:r>
          </w:p>
        </w:tc>
        <w:tc>
          <w:tcPr>
            <w:tcW w:w="4525" w:type="dxa"/>
            <w:vAlign w:val="center"/>
          </w:tcPr>
          <w:p w14:paraId="3A0A6089"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Decreased</w:t>
            </w:r>
          </w:p>
        </w:tc>
      </w:tr>
      <w:tr w:rsidR="00BE23AB" w14:paraId="07AF50F1"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41FE19E4" w14:textId="77777777" w:rsidR="00BE23AB" w:rsidRDefault="00BE23AB" w:rsidP="00387ACE">
            <w:r>
              <w:t>Goods which are not approved in Australia, but are approved in countries with regulatory standards that are not comparable to Australia</w:t>
            </w:r>
          </w:p>
        </w:tc>
        <w:tc>
          <w:tcPr>
            <w:tcW w:w="4525" w:type="dxa"/>
            <w:vAlign w:val="center"/>
          </w:tcPr>
          <w:p w14:paraId="4C342654"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Increased</w:t>
            </w:r>
          </w:p>
        </w:tc>
      </w:tr>
      <w:tr w:rsidR="00BE23AB" w14:paraId="403F3DBD"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6BC0DAA8" w14:textId="77777777" w:rsidR="00BE23AB" w:rsidRDefault="00BE23AB" w:rsidP="00387ACE">
            <w:r>
              <w:t>Goods that have not been approved anywhere for the indication and are still undergoing clinical trials</w:t>
            </w:r>
          </w:p>
        </w:tc>
        <w:tc>
          <w:tcPr>
            <w:tcW w:w="4525" w:type="dxa"/>
            <w:vAlign w:val="center"/>
          </w:tcPr>
          <w:p w14:paraId="60914635"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Increased</w:t>
            </w:r>
          </w:p>
        </w:tc>
      </w:tr>
      <w:tr w:rsidR="00BE23AB" w14:paraId="774785A3"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5530575F" w14:textId="77777777" w:rsidR="00BE23AB" w:rsidRDefault="00BE23AB" w:rsidP="00387ACE">
            <w:r>
              <w:t>Goods previously approved by the TGA which have been withdrawn for safety reasons</w:t>
            </w:r>
          </w:p>
        </w:tc>
        <w:tc>
          <w:tcPr>
            <w:tcW w:w="4525" w:type="dxa"/>
            <w:vAlign w:val="center"/>
          </w:tcPr>
          <w:p w14:paraId="3A94BDF0"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Increased</w:t>
            </w:r>
          </w:p>
        </w:tc>
      </w:tr>
      <w:tr w:rsidR="00BE23AB" w14:paraId="68E48509" w14:textId="77777777" w:rsidTr="00387ACE">
        <w:tc>
          <w:tcPr>
            <w:cnfStyle w:val="001000000000" w:firstRow="0" w:lastRow="0" w:firstColumn="1" w:lastColumn="0" w:oddVBand="0" w:evenVBand="0" w:oddHBand="0" w:evenHBand="0" w:firstRowFirstColumn="0" w:firstRowLastColumn="0" w:lastRowFirstColumn="0" w:lastRowLastColumn="0"/>
            <w:tcW w:w="4525" w:type="dxa"/>
          </w:tcPr>
          <w:p w14:paraId="0DDEBC2C" w14:textId="77777777" w:rsidR="00BE23AB" w:rsidRDefault="00BE23AB" w:rsidP="00387ACE">
            <w:r>
              <w:t>Goods that have not been granted registration in Australian for safety reasons</w:t>
            </w:r>
          </w:p>
        </w:tc>
        <w:tc>
          <w:tcPr>
            <w:tcW w:w="4525" w:type="dxa"/>
            <w:vAlign w:val="center"/>
          </w:tcPr>
          <w:p w14:paraId="34E5A480" w14:textId="77777777" w:rsidR="00BE23AB" w:rsidRDefault="00BE23AB" w:rsidP="00387ACE">
            <w:pPr>
              <w:jc w:val="center"/>
              <w:cnfStyle w:val="000000000000" w:firstRow="0" w:lastRow="0" w:firstColumn="0" w:lastColumn="0" w:oddVBand="0" w:evenVBand="0" w:oddHBand="0" w:evenHBand="0" w:firstRowFirstColumn="0" w:firstRowLastColumn="0" w:lastRowFirstColumn="0" w:lastRowLastColumn="0"/>
            </w:pPr>
            <w:r>
              <w:t>Increased</w:t>
            </w:r>
          </w:p>
        </w:tc>
      </w:tr>
    </w:tbl>
    <w:p w14:paraId="21D08F80" w14:textId="77777777" w:rsidR="00BE23AB" w:rsidRDefault="00BE23AB" w:rsidP="00BE23AB"/>
    <w:tbl>
      <w:tblPr>
        <w:tblW w:w="9038" w:type="dxa"/>
        <w:tblLayout w:type="fixed"/>
        <w:tblCellMar>
          <w:left w:w="0" w:type="dxa"/>
          <w:right w:w="0" w:type="dxa"/>
        </w:tblCellMar>
        <w:tblLook w:val="04A0" w:firstRow="1" w:lastRow="0" w:firstColumn="1" w:lastColumn="0" w:noHBand="0" w:noVBand="1"/>
      </w:tblPr>
      <w:tblGrid>
        <w:gridCol w:w="1276"/>
        <w:gridCol w:w="7762"/>
      </w:tblGrid>
      <w:tr w:rsidR="00BE23AB" w:rsidRPr="00215D48" w14:paraId="6A89EB4D" w14:textId="77777777" w:rsidTr="00946A02">
        <w:trPr>
          <w:trHeight w:val="538"/>
        </w:trPr>
        <w:tc>
          <w:tcPr>
            <w:tcW w:w="1276" w:type="dxa"/>
            <w:vAlign w:val="center"/>
          </w:tcPr>
          <w:p w14:paraId="591DE42F" w14:textId="77777777" w:rsidR="00BE23AB" w:rsidRPr="00215D48" w:rsidRDefault="00BE23AB" w:rsidP="00387ACE">
            <w:pPr>
              <w:spacing w:before="0"/>
              <w:rPr>
                <w:sz w:val="20"/>
              </w:rPr>
            </w:pPr>
            <w:r w:rsidRPr="00215D48">
              <w:rPr>
                <w:noProof/>
                <w:color w:val="2B579A"/>
                <w:sz w:val="20"/>
                <w:shd w:val="clear" w:color="auto" w:fill="E6E6E6"/>
                <w:lang w:eastAsia="en-AU"/>
              </w:rPr>
              <w:drawing>
                <wp:inline distT="0" distB="0" distL="0" distR="0" wp14:anchorId="4FE854C5" wp14:editId="1F08FAC9">
                  <wp:extent cx="487681" cy="487681"/>
                  <wp:effectExtent l="19050" t="0" r="7619" b="0"/>
                  <wp:docPr id="8" name="Picture 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AC7D23D" w14:textId="77777777" w:rsidR="00BE23AB" w:rsidRDefault="00BE23AB" w:rsidP="00387ACE">
            <w:pPr>
              <w:spacing w:after="120" w:line="240" w:lineRule="auto"/>
            </w:pPr>
            <w:r>
              <w:t>When an HREC or specialist college assesses your application, they should consider the following factors to determine what level of evidence is required:</w:t>
            </w:r>
          </w:p>
          <w:p w14:paraId="0ED94EF9" w14:textId="77777777" w:rsidR="00BE23AB" w:rsidRDefault="00BE23AB" w:rsidP="00BE23AB">
            <w:pPr>
              <w:pStyle w:val="ListBullet"/>
              <w:numPr>
                <w:ilvl w:val="0"/>
                <w:numId w:val="3"/>
              </w:numPr>
              <w:spacing w:after="120" w:line="240" w:lineRule="auto"/>
              <w:ind w:left="357" w:hanging="357"/>
            </w:pPr>
            <w:r>
              <w:t>whether other treatments registered on the ARTG are available and suitable for the intended class of patients</w:t>
            </w:r>
          </w:p>
          <w:p w14:paraId="41B74DA5" w14:textId="77777777" w:rsidR="00BE23AB" w:rsidRDefault="00BE23AB" w:rsidP="00BE23AB">
            <w:pPr>
              <w:pStyle w:val="ListBullet"/>
              <w:numPr>
                <w:ilvl w:val="0"/>
                <w:numId w:val="3"/>
              </w:numPr>
              <w:spacing w:after="120" w:line="240" w:lineRule="auto"/>
              <w:ind w:left="357" w:hanging="357"/>
            </w:pPr>
            <w:r>
              <w:t>the seriousness of the medical condition</w:t>
            </w:r>
          </w:p>
          <w:p w14:paraId="302A8CB5" w14:textId="77777777" w:rsidR="00BE23AB" w:rsidRDefault="00BE23AB" w:rsidP="00BE23AB">
            <w:pPr>
              <w:pStyle w:val="ListBullet"/>
              <w:numPr>
                <w:ilvl w:val="0"/>
                <w:numId w:val="3"/>
              </w:numPr>
              <w:spacing w:after="120" w:line="240" w:lineRule="auto"/>
              <w:ind w:left="357" w:hanging="357"/>
            </w:pPr>
            <w:r>
              <w:t>the global regulatory status of the therapeutic good</w:t>
            </w:r>
          </w:p>
          <w:p w14:paraId="6B64C675" w14:textId="77777777" w:rsidR="00BE23AB" w:rsidRDefault="00BE23AB" w:rsidP="00BE23AB">
            <w:pPr>
              <w:pStyle w:val="ListBullet"/>
              <w:numPr>
                <w:ilvl w:val="0"/>
                <w:numId w:val="3"/>
              </w:numPr>
              <w:spacing w:after="120" w:line="240" w:lineRule="auto"/>
              <w:ind w:left="357" w:hanging="357"/>
            </w:pPr>
            <w:r>
              <w:t>the relevant experience and qualifications of the applicant</w:t>
            </w:r>
          </w:p>
          <w:p w14:paraId="141E5404" w14:textId="77777777" w:rsidR="00BE23AB" w:rsidRPr="00215D48" w:rsidRDefault="00BE23AB" w:rsidP="00387ACE">
            <w:r>
              <w:lastRenderedPageBreak/>
              <w:t>You may wish to contact the HREC or specialist college before you submit your application to ensure you submit the necessary evidence.</w:t>
            </w:r>
          </w:p>
        </w:tc>
      </w:tr>
    </w:tbl>
    <w:p w14:paraId="4814DE9C" w14:textId="77777777" w:rsidR="00BE23AB" w:rsidRPr="00ED7554" w:rsidRDefault="00BE23AB" w:rsidP="00BE23AB">
      <w:pPr>
        <w:pStyle w:val="Heading3"/>
        <w:pageBreakBefore/>
      </w:pPr>
      <w:bookmarkStart w:id="49" w:name="_Clinical_justification_for_1"/>
      <w:bookmarkStart w:id="50" w:name="_Toc46934121"/>
      <w:bookmarkStart w:id="51" w:name="_Toc46934412"/>
      <w:bookmarkStart w:id="52" w:name="_Toc87540021"/>
      <w:bookmarkStart w:id="53" w:name="_Toc121127835"/>
      <w:bookmarkEnd w:id="49"/>
      <w:r w:rsidRPr="00ED7554">
        <w:lastRenderedPageBreak/>
        <w:t>Clinical justification for the use of the goods</w:t>
      </w:r>
      <w:bookmarkEnd w:id="50"/>
      <w:bookmarkEnd w:id="51"/>
      <w:bookmarkEnd w:id="52"/>
      <w:bookmarkEnd w:id="53"/>
    </w:p>
    <w:p w14:paraId="63ACE741" w14:textId="77777777" w:rsidR="00BE23AB" w:rsidRDefault="00BE23AB" w:rsidP="00BE23AB">
      <w:r>
        <w:t xml:space="preserve">The TGA encourages the use of approved therapeutic goods as these have been assessed for safety, </w:t>
      </w:r>
      <w:proofErr w:type="gramStart"/>
      <w:r>
        <w:t>quality</w:t>
      </w:r>
      <w:proofErr w:type="gramEnd"/>
      <w:r>
        <w:t xml:space="preserve"> and efficacy. The clinical justification for use of an ‘unapproved’ good should provide sufficient evidence to demonstrate that this use is appropriate, considering the availability of any approved goods that may be suitable alternatives.</w:t>
      </w:r>
    </w:p>
    <w:p w14:paraId="7B30879E" w14:textId="77777777" w:rsidR="00BE23AB" w:rsidRDefault="00BE23AB" w:rsidP="00BE23AB">
      <w:r>
        <w:t>The clinical justification should contain information on the:</w:t>
      </w:r>
    </w:p>
    <w:p w14:paraId="0FCFC4E4" w14:textId="77777777" w:rsidR="00BE23AB" w:rsidRDefault="00BE23AB" w:rsidP="00BE23AB">
      <w:pPr>
        <w:pStyle w:val="ListBullet"/>
        <w:numPr>
          <w:ilvl w:val="0"/>
          <w:numId w:val="3"/>
        </w:numPr>
      </w:pPr>
      <w:r>
        <w:t xml:space="preserve">indication for which the good will be </w:t>
      </w:r>
      <w:proofErr w:type="gramStart"/>
      <w:r>
        <w:t>used</w:t>
      </w:r>
      <w:proofErr w:type="gramEnd"/>
    </w:p>
    <w:p w14:paraId="30C1287C" w14:textId="77777777" w:rsidR="00BE23AB" w:rsidRDefault="00BE23AB" w:rsidP="00BE23AB">
      <w:pPr>
        <w:pStyle w:val="ListBullet"/>
        <w:numPr>
          <w:ilvl w:val="0"/>
          <w:numId w:val="3"/>
        </w:numPr>
      </w:pPr>
      <w:r>
        <w:t>seriousness of the condition</w:t>
      </w:r>
    </w:p>
    <w:p w14:paraId="7D3AE5B9" w14:textId="77777777" w:rsidR="00BE23AB" w:rsidRDefault="00BE23AB" w:rsidP="00BE23AB">
      <w:pPr>
        <w:pStyle w:val="ListBullet"/>
        <w:numPr>
          <w:ilvl w:val="0"/>
          <w:numId w:val="3"/>
        </w:numPr>
      </w:pPr>
      <w:r>
        <w:t>expected benefits of the proposed treatment versus its potential risks.</w:t>
      </w:r>
    </w:p>
    <w:p w14:paraId="578BF1C0" w14:textId="77777777" w:rsidR="00BE23AB" w:rsidRDefault="00BE23AB" w:rsidP="00BE23AB">
      <w:r>
        <w:t>It should also address the circumstances where there are approved treatments for the same indication, specifically:</w:t>
      </w:r>
    </w:p>
    <w:p w14:paraId="2EC64338" w14:textId="77777777" w:rsidR="00BE23AB" w:rsidRDefault="00BE23AB" w:rsidP="00BE23AB">
      <w:pPr>
        <w:pStyle w:val="ListBullet"/>
        <w:numPr>
          <w:ilvl w:val="0"/>
          <w:numId w:val="3"/>
        </w:numPr>
      </w:pPr>
      <w:r>
        <w:t>have they been attempted or used?</w:t>
      </w:r>
    </w:p>
    <w:p w14:paraId="070D877A" w14:textId="77777777" w:rsidR="00BE23AB" w:rsidRDefault="00BE23AB" w:rsidP="00BE23AB">
      <w:pPr>
        <w:pStyle w:val="ListBullet"/>
        <w:numPr>
          <w:ilvl w:val="0"/>
          <w:numId w:val="3"/>
        </w:numPr>
      </w:pPr>
      <w:r>
        <w:t>will they be attempted prior to supplying the ‘unapproved’ good?</w:t>
      </w:r>
    </w:p>
    <w:p w14:paraId="2D12F56A" w14:textId="77777777" w:rsidR="00BE23AB" w:rsidRDefault="00BE23AB" w:rsidP="00BE23AB">
      <w:pPr>
        <w:pStyle w:val="ListBullet"/>
        <w:numPr>
          <w:ilvl w:val="0"/>
          <w:numId w:val="3"/>
        </w:numPr>
      </w:pPr>
      <w:r>
        <w:t>why are they inappropriate?</w:t>
      </w:r>
    </w:p>
    <w:p w14:paraId="4B5DAFC9" w14:textId="77777777" w:rsidR="00BE23AB" w:rsidRDefault="00BE23AB" w:rsidP="00BE23AB">
      <w:pPr>
        <w:pStyle w:val="ListBullet"/>
        <w:numPr>
          <w:ilvl w:val="0"/>
          <w:numId w:val="3"/>
        </w:numPr>
      </w:pPr>
      <w:r>
        <w:t>why is the proposed ‘unapproved’ good a more appropriate option than any approved available alternative?</w:t>
      </w:r>
    </w:p>
    <w:p w14:paraId="642D8869" w14:textId="77777777" w:rsidR="00BE23AB" w:rsidRDefault="00BE23AB" w:rsidP="00BE23AB">
      <w:pPr>
        <w:pStyle w:val="ListBullet"/>
        <w:numPr>
          <w:ilvl w:val="0"/>
          <w:numId w:val="3"/>
        </w:numPr>
      </w:pPr>
      <w:r>
        <w:t>how the risk associated with the use of an ‘unapproved’ good will be managed</w:t>
      </w:r>
    </w:p>
    <w:p w14:paraId="41D70E8B" w14:textId="77777777" w:rsidR="00BE23AB" w:rsidRDefault="00BE23AB" w:rsidP="00BE23AB">
      <w:pPr>
        <w:pStyle w:val="ListBullet2"/>
        <w:numPr>
          <w:ilvl w:val="1"/>
          <w:numId w:val="3"/>
        </w:numPr>
        <w:ind w:left="850" w:hanging="425"/>
      </w:pPr>
      <w:r>
        <w:t>the monitoring that will be undertaken</w:t>
      </w:r>
    </w:p>
    <w:p w14:paraId="7255C1A3" w14:textId="77777777" w:rsidR="00BE23AB" w:rsidRDefault="00BE23AB" w:rsidP="00BE23AB">
      <w:pPr>
        <w:pStyle w:val="ListBullet2"/>
        <w:numPr>
          <w:ilvl w:val="1"/>
          <w:numId w:val="3"/>
        </w:numPr>
        <w:ind w:left="850" w:hanging="425"/>
      </w:pPr>
      <w:r>
        <w:t>the process of investigating and reporting adverse events</w:t>
      </w:r>
    </w:p>
    <w:p w14:paraId="5EF26D91" w14:textId="77777777" w:rsidR="00BE23AB" w:rsidRDefault="00BE23AB" w:rsidP="00BE23AB">
      <w:r>
        <w:t xml:space="preserve">The following are </w:t>
      </w:r>
      <w:r w:rsidRPr="00041EBA">
        <w:rPr>
          <w:b/>
        </w:rPr>
        <w:t>not acceptable justifications</w:t>
      </w:r>
      <w:r>
        <w:t xml:space="preserve"> for the use of an ‘unapproved’ good: </w:t>
      </w:r>
    </w:p>
    <w:p w14:paraId="15624E7C" w14:textId="77777777" w:rsidR="00BE23AB" w:rsidRDefault="00BE23AB" w:rsidP="00BE23AB">
      <w:pPr>
        <w:pStyle w:val="ListBullet"/>
        <w:numPr>
          <w:ilvl w:val="0"/>
          <w:numId w:val="3"/>
        </w:numPr>
      </w:pPr>
      <w:r>
        <w:t>that the ‘unapproved’ good is less expensive than any suitable approved treatment</w:t>
      </w:r>
    </w:p>
    <w:p w14:paraId="7769B9B8" w14:textId="77777777" w:rsidR="00BE23AB" w:rsidRDefault="00BE23AB" w:rsidP="00BE23AB">
      <w:pPr>
        <w:pStyle w:val="ListBullet"/>
        <w:numPr>
          <w:ilvl w:val="0"/>
          <w:numId w:val="3"/>
        </w:numPr>
      </w:pPr>
      <w:r>
        <w:t>personal preference for an ‘unapproved’ good</w:t>
      </w:r>
    </w:p>
    <w:p w14:paraId="2E06BD68" w14:textId="77777777" w:rsidR="00BE23AB" w:rsidRDefault="00BE23AB" w:rsidP="00BE23AB">
      <w:pPr>
        <w:pStyle w:val="Heading3"/>
      </w:pPr>
      <w:bookmarkStart w:id="54" w:name="_Informed_consent"/>
      <w:bookmarkStart w:id="55" w:name="_Applying_to_TGA"/>
      <w:bookmarkStart w:id="56" w:name="_Toc87540022"/>
      <w:bookmarkStart w:id="57" w:name="_Toc121127836"/>
      <w:bookmarkEnd w:id="54"/>
      <w:bookmarkEnd w:id="55"/>
      <w:r>
        <w:t>TGA decision</w:t>
      </w:r>
      <w:bookmarkEnd w:id="56"/>
      <w:bookmarkEnd w:id="57"/>
    </w:p>
    <w:p w14:paraId="539D1878" w14:textId="77777777" w:rsidR="00BE23AB" w:rsidRDefault="00BE23AB" w:rsidP="00BE23AB">
      <w:pPr>
        <w:pStyle w:val="Heading4"/>
      </w:pPr>
      <w:bookmarkStart w:id="58" w:name="_Toc46934125"/>
      <w:bookmarkStart w:id="59" w:name="_Toc46934416"/>
      <w:bookmarkStart w:id="60" w:name="_Toc87540023"/>
      <w:bookmarkStart w:id="61" w:name="_Toc121127837"/>
      <w:r>
        <w:t xml:space="preserve">Applications that we </w:t>
      </w:r>
      <w:proofErr w:type="gramStart"/>
      <w:r>
        <w:t>authorise</w:t>
      </w:r>
      <w:bookmarkEnd w:id="58"/>
      <w:bookmarkEnd w:id="59"/>
      <w:bookmarkEnd w:id="60"/>
      <w:bookmarkEnd w:id="61"/>
      <w:proofErr w:type="gramEnd"/>
    </w:p>
    <w:p w14:paraId="4CC09DB1" w14:textId="77777777" w:rsidR="00BE23AB" w:rsidRDefault="00BE23AB" w:rsidP="00BE23AB">
      <w:r>
        <w:t>If we approve your application, we will send you an approval letter. The letter will state the:</w:t>
      </w:r>
    </w:p>
    <w:p w14:paraId="146E70EF" w14:textId="77777777" w:rsidR="00BE23AB" w:rsidRDefault="00BE23AB" w:rsidP="00BE23AB">
      <w:pPr>
        <w:pStyle w:val="ListBullet"/>
        <w:numPr>
          <w:ilvl w:val="0"/>
          <w:numId w:val="3"/>
        </w:numPr>
      </w:pPr>
      <w:r>
        <w:t>approved goods and dosage form</w:t>
      </w:r>
    </w:p>
    <w:p w14:paraId="6BEF4E4C" w14:textId="77777777" w:rsidR="00BE23AB" w:rsidRDefault="00BE23AB" w:rsidP="00BE23AB">
      <w:pPr>
        <w:pStyle w:val="ListBullet"/>
        <w:numPr>
          <w:ilvl w:val="0"/>
          <w:numId w:val="3"/>
        </w:numPr>
      </w:pPr>
      <w:r>
        <w:t>approved class of patients for a particular indication</w:t>
      </w:r>
    </w:p>
    <w:p w14:paraId="569BB2C4" w14:textId="77777777" w:rsidR="00BE23AB" w:rsidRDefault="00BE23AB" w:rsidP="00BE23AB">
      <w:pPr>
        <w:pStyle w:val="ListBullet"/>
        <w:numPr>
          <w:ilvl w:val="0"/>
          <w:numId w:val="3"/>
        </w:numPr>
      </w:pPr>
      <w:r>
        <w:t>requirements for reporting</w:t>
      </w:r>
    </w:p>
    <w:p w14:paraId="2E25FE78" w14:textId="77777777" w:rsidR="00BE23AB" w:rsidRDefault="00BE23AB" w:rsidP="00BE23AB">
      <w:pPr>
        <w:pStyle w:val="ListBullet"/>
        <w:numPr>
          <w:ilvl w:val="0"/>
          <w:numId w:val="3"/>
        </w:numPr>
      </w:pPr>
      <w:r>
        <w:t xml:space="preserve">any conditions applied to the </w:t>
      </w:r>
      <w:proofErr w:type="gramStart"/>
      <w:r>
        <w:t>approval</w:t>
      </w:r>
      <w:proofErr w:type="gramEnd"/>
    </w:p>
    <w:p w14:paraId="029FFF57" w14:textId="77777777" w:rsidR="00BE23AB" w:rsidRDefault="00BE23AB" w:rsidP="00BE23AB">
      <w:pPr>
        <w:pStyle w:val="ListBullet"/>
        <w:numPr>
          <w:ilvl w:val="0"/>
          <w:numId w:val="3"/>
        </w:numPr>
      </w:pPr>
      <w:r>
        <w:t>the duration of approval</w:t>
      </w:r>
    </w:p>
    <w:p w14:paraId="4F13537E" w14:textId="77777777" w:rsidR="00BE23AB" w:rsidRDefault="00BE23AB" w:rsidP="00BE23AB">
      <w:r>
        <w:t>All approvals are subject to general conditions. The TGA may also apply specific conditions on a case-by-case basis. You must meet these conditions to retain your approval. The approving HREC or endorsing specialist college may also apply conditions to your approval.</w:t>
      </w:r>
    </w:p>
    <w:p w14:paraId="3376ED08" w14:textId="77777777" w:rsidR="00BE23AB" w:rsidRDefault="00BE23AB" w:rsidP="00BE23AB">
      <w:r>
        <w:lastRenderedPageBreak/>
        <w:t xml:space="preserve">Once you have been authorised to be an Authorised Prescriber of an ‘unapproved’ good, you may prescribe that good to patients in your care. </w:t>
      </w:r>
    </w:p>
    <w:p w14:paraId="747017BB" w14:textId="77777777" w:rsidR="00BE23AB" w:rsidRDefault="00BE23AB" w:rsidP="00BE23AB">
      <w:pPr>
        <w:pStyle w:val="Heading4"/>
      </w:pPr>
      <w:bookmarkStart w:id="62" w:name="_Toc46934126"/>
      <w:bookmarkStart w:id="63" w:name="_Toc46934417"/>
      <w:bookmarkStart w:id="64" w:name="_Toc87540024"/>
      <w:bookmarkStart w:id="65" w:name="_Toc121127838"/>
      <w:r>
        <w:t xml:space="preserve">Applications that we do not </w:t>
      </w:r>
      <w:proofErr w:type="gramStart"/>
      <w:r>
        <w:t>authorise</w:t>
      </w:r>
      <w:bookmarkEnd w:id="62"/>
      <w:bookmarkEnd w:id="63"/>
      <w:bookmarkEnd w:id="64"/>
      <w:bookmarkEnd w:id="65"/>
      <w:proofErr w:type="gramEnd"/>
    </w:p>
    <w:p w14:paraId="0B4B5A3F" w14:textId="77777777" w:rsidR="00BE23AB" w:rsidRDefault="00BE23AB" w:rsidP="00BE23AB">
      <w:r>
        <w:t>If we do not authorise your application, we will send you a letter stating:</w:t>
      </w:r>
    </w:p>
    <w:p w14:paraId="64D1D95C" w14:textId="77777777" w:rsidR="00BE23AB" w:rsidRDefault="00BE23AB" w:rsidP="00BE23AB">
      <w:pPr>
        <w:pStyle w:val="ListBullet"/>
        <w:numPr>
          <w:ilvl w:val="0"/>
          <w:numId w:val="3"/>
        </w:numPr>
      </w:pPr>
      <w:r>
        <w:t>that an authorisation has not been granted</w:t>
      </w:r>
    </w:p>
    <w:p w14:paraId="618C7A48" w14:textId="77777777" w:rsidR="00BE23AB" w:rsidRDefault="00BE23AB" w:rsidP="00BE23AB">
      <w:pPr>
        <w:pStyle w:val="ListBullet"/>
        <w:numPr>
          <w:ilvl w:val="0"/>
          <w:numId w:val="3"/>
        </w:numPr>
      </w:pPr>
      <w:r>
        <w:t>the reasons for the decision</w:t>
      </w:r>
    </w:p>
    <w:p w14:paraId="653C1085" w14:textId="77777777" w:rsidR="00BE23AB" w:rsidRDefault="00BE23AB" w:rsidP="00BE23AB">
      <w:pPr>
        <w:pStyle w:val="ListBullet"/>
        <w:numPr>
          <w:ilvl w:val="0"/>
          <w:numId w:val="3"/>
        </w:numPr>
      </w:pPr>
      <w:r>
        <w:t xml:space="preserve">the contact details of the delegate who made the decision, if you wish to discuss the </w:t>
      </w:r>
      <w:proofErr w:type="gramStart"/>
      <w:r>
        <w:t>decision</w:t>
      </w:r>
      <w:proofErr w:type="gramEnd"/>
    </w:p>
    <w:p w14:paraId="4C529B87" w14:textId="77777777" w:rsidR="00BE23AB" w:rsidRDefault="00BE23AB" w:rsidP="00BE23AB">
      <w:pPr>
        <w:pStyle w:val="ListBullet"/>
        <w:numPr>
          <w:ilvl w:val="0"/>
          <w:numId w:val="3"/>
        </w:numPr>
      </w:pPr>
      <w:r>
        <w:t xml:space="preserve">the process if you want to appeal the </w:t>
      </w:r>
      <w:proofErr w:type="gramStart"/>
      <w:r>
        <w:t>decision</w:t>
      </w:r>
      <w:proofErr w:type="gramEnd"/>
    </w:p>
    <w:p w14:paraId="18256263" w14:textId="77777777" w:rsidR="00BE23AB" w:rsidRDefault="00BE23AB" w:rsidP="00BE23AB">
      <w:r>
        <w:t>You should inform the HREC or specialist college (if applicable) which approved or endorsed your application of our response and provide them with a copy of the decision letter.</w:t>
      </w:r>
    </w:p>
    <w:p w14:paraId="6D3C295C" w14:textId="77777777" w:rsidR="00BE23AB" w:rsidRDefault="00BE23AB" w:rsidP="00BE23AB">
      <w:r>
        <w:t>If we do not authorise your application to become an Authorised Prescriber, you may submit a new application addressing the reasons for rejection.</w:t>
      </w:r>
    </w:p>
    <w:p w14:paraId="380B8D82" w14:textId="77777777" w:rsidR="00BE23AB" w:rsidRDefault="00BE23AB" w:rsidP="003F4153">
      <w:pPr>
        <w:pStyle w:val="Heading3"/>
        <w:spacing w:before="360"/>
      </w:pPr>
      <w:bookmarkStart w:id="66" w:name="_Toc87540025"/>
      <w:bookmarkStart w:id="67" w:name="_Toc121127839"/>
      <w:r>
        <w:t xml:space="preserve">Appeals </w:t>
      </w:r>
      <w:proofErr w:type="gramStart"/>
      <w:r>
        <w:t>mechanisms</w:t>
      </w:r>
      <w:bookmarkEnd w:id="66"/>
      <w:bookmarkEnd w:id="67"/>
      <w:proofErr w:type="gramEnd"/>
    </w:p>
    <w:p w14:paraId="2E407B09" w14:textId="77777777" w:rsidR="00BE23AB" w:rsidRDefault="00BE23AB" w:rsidP="00BE23AB">
      <w:pPr>
        <w:pStyle w:val="Heading4"/>
      </w:pPr>
      <w:bookmarkStart w:id="68" w:name="_Toc46934128"/>
      <w:bookmarkStart w:id="69" w:name="_Toc46934419"/>
      <w:bookmarkStart w:id="70" w:name="_Toc87540026"/>
      <w:bookmarkStart w:id="71" w:name="_Toc121127840"/>
      <w:r>
        <w:t>Informal appeals</w:t>
      </w:r>
      <w:bookmarkEnd w:id="68"/>
      <w:bookmarkEnd w:id="69"/>
      <w:bookmarkEnd w:id="70"/>
      <w:bookmarkEnd w:id="71"/>
    </w:p>
    <w:p w14:paraId="7ABCD4B1" w14:textId="77777777" w:rsidR="00BE23AB" w:rsidRDefault="00BE23AB" w:rsidP="00BE23AB">
      <w:r>
        <w:t>If you wish to appeal a TGA decision, and before you make a formal appeal, you should contact the delegate who evaluated your submission to discuss the matter informally.</w:t>
      </w:r>
    </w:p>
    <w:p w14:paraId="393894FE" w14:textId="77777777" w:rsidR="00BE23AB" w:rsidRDefault="00BE23AB" w:rsidP="00BE23AB">
      <w:pPr>
        <w:pStyle w:val="Heading4"/>
      </w:pPr>
      <w:bookmarkStart w:id="72" w:name="_Toc46934129"/>
      <w:bookmarkStart w:id="73" w:name="_Toc46934420"/>
      <w:bookmarkStart w:id="74" w:name="_Toc87540027"/>
      <w:bookmarkStart w:id="75" w:name="_Toc121127841"/>
      <w:r>
        <w:t>Formal appeals</w:t>
      </w:r>
      <w:bookmarkEnd w:id="72"/>
      <w:bookmarkEnd w:id="73"/>
      <w:bookmarkEnd w:id="74"/>
      <w:bookmarkEnd w:id="75"/>
    </w:p>
    <w:p w14:paraId="4AB8B681" w14:textId="77777777" w:rsidR="00BE23AB" w:rsidRDefault="00BE23AB" w:rsidP="00BE23AB">
      <w:r>
        <w:t>If you disagree with the outcome of an informal appeal, you can make a formal appeal:</w:t>
      </w:r>
    </w:p>
    <w:p w14:paraId="2B3E51B9" w14:textId="77777777" w:rsidR="00BE23AB" w:rsidRDefault="00000000" w:rsidP="00BE23AB">
      <w:pPr>
        <w:pStyle w:val="ListBullet"/>
        <w:numPr>
          <w:ilvl w:val="0"/>
          <w:numId w:val="3"/>
        </w:numPr>
      </w:pPr>
      <w:hyperlink r:id="rId35" w:history="1">
        <w:r w:rsidR="00BE23AB" w:rsidRPr="00D93D16">
          <w:rPr>
            <w:rStyle w:val="Hyperlink"/>
          </w:rPr>
          <w:t xml:space="preserve">under section 60 of the </w:t>
        </w:r>
        <w:r w:rsidR="00BE23AB" w:rsidRPr="00D93D16">
          <w:rPr>
            <w:rStyle w:val="Hyperlink"/>
            <w:i/>
          </w:rPr>
          <w:t>Therapeutic Goods Act 1989</w:t>
        </w:r>
      </w:hyperlink>
    </w:p>
    <w:p w14:paraId="10D1FE67" w14:textId="77777777" w:rsidR="00BE23AB" w:rsidRDefault="00000000" w:rsidP="00BE23AB">
      <w:pPr>
        <w:pStyle w:val="ListBullet"/>
        <w:numPr>
          <w:ilvl w:val="0"/>
          <w:numId w:val="3"/>
        </w:numPr>
      </w:pPr>
      <w:hyperlink r:id="rId36" w:history="1">
        <w:r w:rsidR="00BE23AB" w:rsidRPr="00D93D16">
          <w:rPr>
            <w:rStyle w:val="Hyperlink"/>
          </w:rPr>
          <w:t>to the Administrative Appeals Tribunal (AAT)</w:t>
        </w:r>
      </w:hyperlink>
    </w:p>
    <w:p w14:paraId="631960E0" w14:textId="77777777" w:rsidR="00BE23AB" w:rsidRDefault="00BE23AB" w:rsidP="00BE23AB">
      <w:r>
        <w:t xml:space="preserve">You must have attempted to appeal a decision under section 60 of the </w:t>
      </w:r>
      <w:r w:rsidRPr="00DA0A29">
        <w:rPr>
          <w:i/>
        </w:rPr>
        <w:t>Therapeutic Goods Act 1989</w:t>
      </w:r>
      <w:r>
        <w:t xml:space="preserve"> before lodging an appeal with the AAT.</w:t>
      </w:r>
    </w:p>
    <w:p w14:paraId="5FA658B3" w14:textId="77777777" w:rsidR="00BE23AB" w:rsidRDefault="00BE23AB" w:rsidP="00BE23AB">
      <w:pPr>
        <w:pStyle w:val="Heading2"/>
      </w:pPr>
      <w:bookmarkStart w:id="76" w:name="_Toc87540028"/>
      <w:bookmarkStart w:id="77" w:name="_Toc121127842"/>
      <w:r w:rsidRPr="002B73BD">
        <w:t>Information for Medical Practitioners</w:t>
      </w:r>
      <w:bookmarkEnd w:id="76"/>
      <w:bookmarkEnd w:id="77"/>
    </w:p>
    <w:p w14:paraId="0BA5B761" w14:textId="77777777" w:rsidR="00BE23AB" w:rsidRDefault="00BE23AB" w:rsidP="00BE23AB">
      <w:pPr>
        <w:pStyle w:val="Heading3"/>
      </w:pPr>
      <w:bookmarkStart w:id="78" w:name="_Informed_consent_1"/>
      <w:bookmarkStart w:id="79" w:name="_Toc87540029"/>
      <w:bookmarkStart w:id="80" w:name="_Toc121127843"/>
      <w:bookmarkEnd w:id="78"/>
      <w:r w:rsidRPr="00740124">
        <w:t>Informed consent</w:t>
      </w:r>
      <w:bookmarkEnd w:id="79"/>
      <w:bookmarkEnd w:id="80"/>
    </w:p>
    <w:p w14:paraId="6F78AA60" w14:textId="77777777" w:rsidR="00BE23AB" w:rsidRDefault="00BE23AB" w:rsidP="00BE23AB">
      <w:r>
        <w:t>The use of ‘unapproved’ goods is considered experimental. The Authorised Prescriber must obtain the informed consent of each patient for whom they prescribe the ‘unapproved’ good.</w:t>
      </w:r>
    </w:p>
    <w:p w14:paraId="032D102D" w14:textId="77777777" w:rsidR="00BE23AB" w:rsidRDefault="00BE23AB" w:rsidP="00BE23AB">
      <w:r>
        <w:t>The Authorised Prescriber must advise patients:</w:t>
      </w:r>
    </w:p>
    <w:p w14:paraId="72D24604" w14:textId="77777777" w:rsidR="00BE23AB" w:rsidRDefault="00BE23AB" w:rsidP="00BE23AB">
      <w:pPr>
        <w:pStyle w:val="ListBullet"/>
        <w:numPr>
          <w:ilvl w:val="0"/>
          <w:numId w:val="3"/>
        </w:numPr>
      </w:pPr>
      <w:r>
        <w:t xml:space="preserve">that the TGA has not evaluated the ‘unapproved’ good’s safety, quality and </w:t>
      </w:r>
      <w:proofErr w:type="gramStart"/>
      <w:r>
        <w:t>efficacy</w:t>
      </w:r>
      <w:proofErr w:type="gramEnd"/>
    </w:p>
    <w:p w14:paraId="07D50617" w14:textId="77777777" w:rsidR="00BE23AB" w:rsidRDefault="00BE23AB" w:rsidP="00BE23AB">
      <w:pPr>
        <w:pStyle w:val="ListBullet"/>
        <w:numPr>
          <w:ilvl w:val="0"/>
          <w:numId w:val="3"/>
        </w:numPr>
      </w:pPr>
      <w:r>
        <w:t>of the possible benefits and risks of its use</w:t>
      </w:r>
    </w:p>
    <w:p w14:paraId="12574380" w14:textId="77777777" w:rsidR="00BE23AB" w:rsidRDefault="00BE23AB" w:rsidP="00BE23AB">
      <w:pPr>
        <w:pStyle w:val="ListBullet"/>
        <w:numPr>
          <w:ilvl w:val="0"/>
          <w:numId w:val="3"/>
        </w:numPr>
      </w:pPr>
      <w:r>
        <w:t>of the possibility that there may be unknown side effects</w:t>
      </w:r>
    </w:p>
    <w:p w14:paraId="38C5403F" w14:textId="77777777" w:rsidR="00BE23AB" w:rsidRDefault="00BE23AB" w:rsidP="00BE23AB">
      <w:pPr>
        <w:pStyle w:val="ListBullet"/>
        <w:numPr>
          <w:ilvl w:val="0"/>
          <w:numId w:val="3"/>
        </w:numPr>
      </w:pPr>
      <w:r>
        <w:t>of any alternative approved goods</w:t>
      </w:r>
    </w:p>
    <w:p w14:paraId="023E73F4" w14:textId="77777777" w:rsidR="00BE23AB" w:rsidRDefault="00BE23AB" w:rsidP="005C2EEB">
      <w:pPr>
        <w:pStyle w:val="ListBullet"/>
        <w:pageBreakBefore/>
        <w:numPr>
          <w:ilvl w:val="0"/>
          <w:numId w:val="0"/>
        </w:numPr>
      </w:pPr>
      <w:r>
        <w:lastRenderedPageBreak/>
        <w:t>It is best practice to:</w:t>
      </w:r>
    </w:p>
    <w:p w14:paraId="30F2FA8F" w14:textId="77777777" w:rsidR="00BE23AB" w:rsidRDefault="00BE23AB" w:rsidP="00BE23AB">
      <w:pPr>
        <w:pStyle w:val="ListBullet"/>
        <w:numPr>
          <w:ilvl w:val="0"/>
          <w:numId w:val="3"/>
        </w:numPr>
      </w:pPr>
      <w:r>
        <w:t xml:space="preserve">obtain informed consent in </w:t>
      </w:r>
      <w:proofErr w:type="gramStart"/>
      <w:r>
        <w:t>writing</w:t>
      </w:r>
      <w:proofErr w:type="gramEnd"/>
      <w:r>
        <w:t xml:space="preserve"> </w:t>
      </w:r>
    </w:p>
    <w:p w14:paraId="74830C27" w14:textId="77777777" w:rsidR="00BE23AB" w:rsidRDefault="00BE23AB" w:rsidP="00BE23AB">
      <w:pPr>
        <w:pStyle w:val="ListBullet"/>
        <w:numPr>
          <w:ilvl w:val="0"/>
          <w:numId w:val="3"/>
        </w:numPr>
      </w:pPr>
      <w:r>
        <w:t xml:space="preserve">provide a copy of your informed consent form template to the HREC or specialist </w:t>
      </w:r>
      <w:proofErr w:type="gramStart"/>
      <w:r>
        <w:t>college</w:t>
      </w:r>
      <w:proofErr w:type="gramEnd"/>
    </w:p>
    <w:p w14:paraId="62761A98" w14:textId="77777777" w:rsidR="00BE23AB" w:rsidRDefault="00BE23AB" w:rsidP="00BE23AB">
      <w:pPr>
        <w:pStyle w:val="ListBullet"/>
        <w:numPr>
          <w:ilvl w:val="0"/>
          <w:numId w:val="3"/>
        </w:numPr>
      </w:pPr>
      <w:r>
        <w:t xml:space="preserve">keep the signed informed consent form on the patient’s </w:t>
      </w:r>
      <w:proofErr w:type="gramStart"/>
      <w:r>
        <w:t>file</w:t>
      </w:r>
      <w:proofErr w:type="gramEnd"/>
    </w:p>
    <w:p w14:paraId="67E71EBF" w14:textId="77777777" w:rsidR="00BE23AB" w:rsidRDefault="00BE23AB" w:rsidP="00BE23AB">
      <w:r>
        <w:t xml:space="preserve">Informed consent forms should </w:t>
      </w:r>
      <w:r w:rsidRPr="00041EBA">
        <w:rPr>
          <w:b/>
        </w:rPr>
        <w:t xml:space="preserve">not </w:t>
      </w:r>
      <w:r>
        <w:t xml:space="preserve">be submitted to the TGA. </w:t>
      </w:r>
    </w:p>
    <w:p w14:paraId="289363F3" w14:textId="77777777" w:rsidR="00BE23AB" w:rsidRDefault="00BE23AB" w:rsidP="00BE23AB">
      <w:pPr>
        <w:pStyle w:val="Heading3"/>
        <w:spacing w:before="360"/>
      </w:pPr>
      <w:bookmarkStart w:id="81" w:name="_Toc87540030"/>
      <w:bookmarkStart w:id="82" w:name="_Toc121127844"/>
      <w:r>
        <w:t>Prescribing and using the ‘unapproved’ good</w:t>
      </w:r>
      <w:bookmarkEnd w:id="81"/>
      <w:bookmarkEnd w:id="82"/>
    </w:p>
    <w:p w14:paraId="396E1D98" w14:textId="62F494D8" w:rsidR="00BE23AB" w:rsidRDefault="00BE23AB" w:rsidP="00BE23AB">
      <w:r>
        <w:t>In prescribing the ‘unapproved’ good for a patient, you are responsible for considering the benefits and risks that apply for the patient. As ‘unapproved’ goods have not been evaluated by the TGA, you should remain informed of changes to the benefits and risks as they arise.</w:t>
      </w:r>
      <w:r w:rsidR="00357677">
        <w:t xml:space="preserve"> You should also prescribe the goods in accordance with the leg</w:t>
      </w:r>
      <w:r w:rsidR="00C63551">
        <w:t>islative requirements relevant to your state or territory.</w:t>
      </w:r>
    </w:p>
    <w:p w14:paraId="50723286" w14:textId="2B8045ED" w:rsidR="00BE23AB" w:rsidRDefault="00BE23AB" w:rsidP="00BE23AB">
      <w:pPr>
        <w:pStyle w:val="Heading3"/>
        <w:spacing w:before="360"/>
      </w:pPr>
      <w:bookmarkStart w:id="83" w:name="_Obtaining_unapproved_goods"/>
      <w:bookmarkStart w:id="84" w:name="_Obtaining_the_‘unapproved’"/>
      <w:bookmarkStart w:id="85" w:name="_Territory._Obtaining_the"/>
      <w:bookmarkStart w:id="86" w:name="_Toc87540031"/>
      <w:bookmarkStart w:id="87" w:name="_Toc121127845"/>
      <w:bookmarkEnd w:id="83"/>
      <w:bookmarkEnd w:id="84"/>
      <w:bookmarkEnd w:id="85"/>
      <w:r>
        <w:t>Obtaining the ‘unapproved’ goods</w:t>
      </w:r>
      <w:bookmarkEnd w:id="86"/>
      <w:bookmarkEnd w:id="87"/>
    </w:p>
    <w:p w14:paraId="48092482" w14:textId="77777777" w:rsidR="00BE23AB" w:rsidRDefault="00BE23AB" w:rsidP="00BE23AB">
      <w:pPr>
        <w:spacing w:after="120"/>
      </w:pPr>
      <w:r>
        <w:t xml:space="preserve">As an Authorised Prescriber, you are responsible for obtaining the ‘unapproved’ good. You can do this by contacting the sponsor of the good to arrange supply; however, the sponsor is not legally obligated to supply the good. You can also ask a pharmacy or supplier to arrange supply of the ‘unapproved’ good. </w:t>
      </w:r>
    </w:p>
    <w:p w14:paraId="21CA634C" w14:textId="77777777" w:rsidR="00BE23AB" w:rsidRDefault="00BE23AB" w:rsidP="00BE23AB">
      <w:pPr>
        <w:spacing w:after="120"/>
      </w:pPr>
      <w:r>
        <w:t>You must give the sponsor a copy of your TGA approval letter. This authorises them to legally supply the good for use.</w:t>
      </w:r>
    </w:p>
    <w:p w14:paraId="6C502CCE" w14:textId="77777777" w:rsidR="00BE23AB" w:rsidRDefault="00BE23AB" w:rsidP="00BE23AB">
      <w:pPr>
        <w:spacing w:after="120"/>
      </w:pPr>
      <w:r>
        <w:t xml:space="preserve">You must also consider whether the good is controlled under the </w:t>
      </w:r>
      <w:r w:rsidRPr="00D93D16">
        <w:rPr>
          <w:i/>
        </w:rPr>
        <w:t>Customs (Prohibited Import) Regulations 1956</w:t>
      </w:r>
      <w:r>
        <w:t xml:space="preserve"> and the </w:t>
      </w:r>
      <w:r w:rsidRPr="00D93D16">
        <w:rPr>
          <w:i/>
        </w:rPr>
        <w:t>Customs (Prohibited Export) Regulations 1958</w:t>
      </w:r>
      <w:r>
        <w:t xml:space="preserve">, and, if the good is controlled, obtain a permit to import it from the </w:t>
      </w:r>
      <w:hyperlink r:id="rId37" w:history="1">
        <w:r w:rsidRPr="00D93D16">
          <w:rPr>
            <w:rStyle w:val="Hyperlink"/>
          </w:rPr>
          <w:t>Office of Drug Control</w:t>
        </w:r>
      </w:hyperlink>
      <w:r>
        <w:t>.</w:t>
      </w:r>
    </w:p>
    <w:p w14:paraId="5AD3BEA4" w14:textId="77777777" w:rsidR="00BE23AB" w:rsidRDefault="00BE23AB" w:rsidP="00BE23AB">
      <w:pPr>
        <w:spacing w:after="120"/>
      </w:pPr>
      <w:r>
        <w:t xml:space="preserve">Access to medicinal cannabis may have additional requirements. For further information, refer to the TGA web page discussing </w:t>
      </w:r>
      <w:hyperlink r:id="rId38" w:history="1">
        <w:r w:rsidRPr="00D93D16">
          <w:rPr>
            <w:rStyle w:val="Hyperlink"/>
          </w:rPr>
          <w:t>Access to medicinal cannabis products: steps to using access scheme</w:t>
        </w:r>
      </w:hyperlink>
      <w:r>
        <w:t>.</w:t>
      </w:r>
    </w:p>
    <w:p w14:paraId="08457153" w14:textId="77777777" w:rsidR="00BE23AB" w:rsidRDefault="00BE23AB" w:rsidP="00BE23AB">
      <w:pPr>
        <w:spacing w:after="120"/>
      </w:pPr>
      <w:r>
        <w:t>If you are supplying the goods in a hospital, you might need any hospital drugs and therapeutics committees to approve the use and funding of these goods within the institution.</w:t>
      </w:r>
    </w:p>
    <w:p w14:paraId="6B192529" w14:textId="77777777" w:rsidR="00BE23AB" w:rsidRDefault="00BE23AB" w:rsidP="00BE23AB">
      <w:pPr>
        <w:spacing w:after="120"/>
      </w:pPr>
      <w:r>
        <w:t>Unapproved therapeutic goods are not subsidised under the Pharmaceutical Benefits Scheme (PBS), so you should consider the cost that will be incurred.</w:t>
      </w:r>
    </w:p>
    <w:p w14:paraId="3EB395F3" w14:textId="77777777" w:rsidR="00BE23AB" w:rsidRDefault="00BE23AB" w:rsidP="00BE23AB">
      <w:pPr>
        <w:pStyle w:val="Heading3"/>
        <w:spacing w:before="360"/>
      </w:pPr>
      <w:bookmarkStart w:id="88" w:name="_Periodic_reporting"/>
      <w:bookmarkStart w:id="89" w:name="_Six_monthly_reporting"/>
      <w:bookmarkStart w:id="90" w:name="_Toc87540032"/>
      <w:bookmarkStart w:id="91" w:name="_Toc121127846"/>
      <w:bookmarkEnd w:id="88"/>
      <w:bookmarkEnd w:id="89"/>
      <w:r>
        <w:t>Six monthly reporting</w:t>
      </w:r>
      <w:bookmarkEnd w:id="90"/>
      <w:bookmarkEnd w:id="91"/>
    </w:p>
    <w:p w14:paraId="0A8C4F17" w14:textId="39CD6904" w:rsidR="00BE23AB" w:rsidRDefault="00BE23AB" w:rsidP="484027AB">
      <w:pPr>
        <w:rPr>
          <w:rFonts w:cstheme="minorBidi"/>
        </w:rPr>
      </w:pPr>
      <w:r w:rsidRPr="484027AB">
        <w:rPr>
          <w:rFonts w:cstheme="minorBidi"/>
        </w:rPr>
        <w:t xml:space="preserve">It is a condition of the Authorised Prescriber scheme that medical practitioners provide supply reports on the number of patients treated for each of their Authorised Prescriber approvals </w:t>
      </w:r>
      <w:r>
        <w:t>for the periods</w:t>
      </w:r>
      <w:r w:rsidRPr="484027AB">
        <w:rPr>
          <w:lang w:val="en"/>
        </w:rPr>
        <w:t xml:space="preserve"> </w:t>
      </w:r>
      <w:r w:rsidRPr="006C76F8">
        <w:rPr>
          <w:b/>
          <w:bCs/>
          <w:color w:val="2B579A"/>
          <w:shd w:val="clear" w:color="auto" w:fill="E6E6E6"/>
          <w:lang w:val="en"/>
        </w:rPr>
        <w:t>1 January to 30 June</w:t>
      </w:r>
      <w:r w:rsidRPr="484027AB">
        <w:rPr>
          <w:lang w:val="en"/>
        </w:rPr>
        <w:t xml:space="preserve"> and </w:t>
      </w:r>
      <w:r w:rsidRPr="006C76F8">
        <w:rPr>
          <w:b/>
          <w:bCs/>
          <w:color w:val="2B579A"/>
          <w:shd w:val="clear" w:color="auto" w:fill="E6E6E6"/>
          <w:lang w:val="en"/>
        </w:rPr>
        <w:t>1 July to 31 December</w:t>
      </w:r>
      <w:r w:rsidRPr="484027AB">
        <w:rPr>
          <w:rFonts w:cstheme="minorBidi"/>
        </w:rPr>
        <w:t xml:space="preserve">. We must receive these reports within one month of the reporting period ending. </w:t>
      </w:r>
    </w:p>
    <w:p w14:paraId="43C2E798" w14:textId="77777777" w:rsidR="00BE23AB" w:rsidRDefault="00BE23AB" w:rsidP="00BE23AB">
      <w:pPr>
        <w:rPr>
          <w:rFonts w:cstheme="minorHAnsi"/>
        </w:rPr>
      </w:pPr>
      <w:r>
        <w:rPr>
          <w:rFonts w:cstheme="minorHAnsi"/>
        </w:rPr>
        <w:t>T</w:t>
      </w:r>
      <w:r w:rsidRPr="00A23154">
        <w:rPr>
          <w:rFonts w:cstheme="minorHAnsi"/>
        </w:rPr>
        <w:t>here are two categories to report</w:t>
      </w:r>
      <w:r>
        <w:rPr>
          <w:rFonts w:cstheme="minorHAnsi"/>
        </w:rPr>
        <w:t>:</w:t>
      </w:r>
    </w:p>
    <w:p w14:paraId="273B7B93" w14:textId="77777777" w:rsidR="00BE23AB" w:rsidRPr="00740124" w:rsidRDefault="00BE23AB" w:rsidP="00BE23AB">
      <w:pPr>
        <w:pStyle w:val="ListBullet"/>
        <w:numPr>
          <w:ilvl w:val="0"/>
          <w:numId w:val="3"/>
        </w:numPr>
        <w:rPr>
          <w:rFonts w:cstheme="minorHAnsi"/>
        </w:rPr>
      </w:pPr>
      <w:r>
        <w:t xml:space="preserve">Number of new patients commenced on treatment or number of devices </w:t>
      </w:r>
      <w:proofErr w:type="gramStart"/>
      <w:r>
        <w:t>supplied</w:t>
      </w:r>
      <w:proofErr w:type="gramEnd"/>
    </w:p>
    <w:p w14:paraId="30008993" w14:textId="77777777" w:rsidR="00BE23AB" w:rsidRPr="00DB28E0" w:rsidRDefault="00BE23AB" w:rsidP="00BE23AB">
      <w:pPr>
        <w:pStyle w:val="ListBullet"/>
        <w:numPr>
          <w:ilvl w:val="0"/>
          <w:numId w:val="3"/>
        </w:numPr>
        <w:rPr>
          <w:rFonts w:cstheme="minorHAnsi"/>
        </w:rPr>
      </w:pPr>
      <w:r>
        <w:t xml:space="preserve">Number of total patients treated during this </w:t>
      </w:r>
      <w:proofErr w:type="gramStart"/>
      <w:r>
        <w:t>period</w:t>
      </w:r>
      <w:proofErr w:type="gramEnd"/>
      <w:r w:rsidRPr="00DB28E0">
        <w:rPr>
          <w:rFonts w:cstheme="minorHAnsi"/>
        </w:rPr>
        <w:t xml:space="preserve"> </w:t>
      </w:r>
    </w:p>
    <w:p w14:paraId="1FAA97B5" w14:textId="12D32E47" w:rsidR="00BE23AB" w:rsidRDefault="00BE23AB" w:rsidP="00BE23AB">
      <w:pPr>
        <w:rPr>
          <w:rFonts w:cstheme="minorHAnsi"/>
        </w:rPr>
      </w:pPr>
      <w:r w:rsidRPr="00A23154">
        <w:rPr>
          <w:rFonts w:cstheme="minorHAnsi"/>
        </w:rPr>
        <w:t>Failure to comply with conditions of authorisation may result in the revocation of the Authorised Prescriber's status.</w:t>
      </w:r>
    </w:p>
    <w:p w14:paraId="6E8AC348" w14:textId="4A051305" w:rsidR="00BE23AB" w:rsidRPr="00290F51" w:rsidRDefault="00712896" w:rsidP="00BE23AB">
      <w:pPr>
        <w:autoSpaceDE w:val="0"/>
        <w:autoSpaceDN w:val="0"/>
        <w:adjustRightInd w:val="0"/>
        <w:rPr>
          <w:rFonts w:eastAsia="Calibri"/>
          <w:noProof/>
        </w:rPr>
      </w:pPr>
      <w:r>
        <w:rPr>
          <w:color w:val="000000"/>
        </w:rPr>
        <w:t>Authorised Prescriber six monthly reports should be submitted</w:t>
      </w:r>
      <w:r w:rsidR="00BE23AB">
        <w:rPr>
          <w:color w:val="000000"/>
        </w:rPr>
        <w:t xml:space="preserve"> through the </w:t>
      </w:r>
      <w:hyperlink r:id="rId39" w:history="1">
        <w:r w:rsidR="00BE23AB">
          <w:rPr>
            <w:rStyle w:val="Hyperlink"/>
          </w:rPr>
          <w:t>SAS &amp; Authorised Prescriber Online System</w:t>
        </w:r>
      </w:hyperlink>
      <w:r w:rsidR="00BE23AB">
        <w:t xml:space="preserve">. </w:t>
      </w:r>
    </w:p>
    <w:p w14:paraId="5C729AC3" w14:textId="3FB7720B" w:rsidR="00BE23AB" w:rsidRDefault="00BE23AB" w:rsidP="00BE23AB">
      <w:r>
        <w:lastRenderedPageBreak/>
        <w:t xml:space="preserve">Information on using the online system to submit six monthly reports is found in the </w:t>
      </w:r>
      <w:hyperlink r:id="rId40" w:history="1">
        <w:r w:rsidR="00C5687C" w:rsidRPr="00087FC4">
          <w:rPr>
            <w:rStyle w:val="Hyperlink"/>
          </w:rPr>
          <w:t>Special Access Scheme &amp; Authorised Prescriber Scheme Online system guidance document.</w:t>
        </w:r>
      </w:hyperlink>
    </w:p>
    <w:p w14:paraId="5243A0C3" w14:textId="1362FCBA" w:rsidR="00724320" w:rsidRPr="00104D81" w:rsidRDefault="00C659C1" w:rsidP="00D12FFB">
      <w:pPr>
        <w:pStyle w:val="ListBullet"/>
        <w:numPr>
          <w:ilvl w:val="0"/>
          <w:numId w:val="0"/>
        </w:numPr>
      </w:pPr>
      <w:r w:rsidRPr="484027AB">
        <w:rPr>
          <w:rFonts w:cstheme="minorBidi"/>
        </w:rPr>
        <w:t>If no patients have been treated in the relevant period, this must also be reported.</w:t>
      </w:r>
      <w:r>
        <w:rPr>
          <w:rFonts w:cstheme="minorBidi"/>
        </w:rPr>
        <w:t xml:space="preserve"> </w:t>
      </w:r>
      <w:r w:rsidR="00724320" w:rsidRPr="01680E0F">
        <w:t xml:space="preserve">The online system will not allow you to submit your report if any of the </w:t>
      </w:r>
      <w:r w:rsidR="00724320">
        <w:t>fields</w:t>
      </w:r>
      <w:r w:rsidR="00724320" w:rsidRPr="01680E0F">
        <w:t xml:space="preserve"> are left blank. If you have not prescribed </w:t>
      </w:r>
      <w:r w:rsidR="00724320">
        <w:t>for</w:t>
      </w:r>
      <w:r w:rsidR="00724320" w:rsidRPr="01680E0F">
        <w:t xml:space="preserve"> any patients using your approval during the reporting period, you must enter zero for new and total patients </w:t>
      </w:r>
      <w:proofErr w:type="gramStart"/>
      <w:r w:rsidR="00724320" w:rsidRPr="01680E0F">
        <w:t>in order for</w:t>
      </w:r>
      <w:proofErr w:type="gramEnd"/>
      <w:r w:rsidR="00724320" w:rsidRPr="01680E0F">
        <w:t xml:space="preserve"> the report to be submitted. </w:t>
      </w:r>
    </w:p>
    <w:p w14:paraId="33A8238D" w14:textId="77777777" w:rsidR="00BE23AB" w:rsidRDefault="00BE23AB" w:rsidP="00BE23AB">
      <w:r>
        <w:t>Reporting adverse events and product defects</w:t>
      </w:r>
    </w:p>
    <w:p w14:paraId="5468A399" w14:textId="77777777" w:rsidR="00BE23AB" w:rsidRDefault="00BE23AB" w:rsidP="00BE23AB">
      <w:r>
        <w:t>‘Unapproved’ therapeutic goods generally have not been evaluated for safety, quality and efficacy and could pose unknown risks. Authorised Prescribers are</w:t>
      </w:r>
      <w:r w:rsidRPr="009E0B03">
        <w:t xml:space="preserve"> responsible for reporting adverse events or defects arising from the use of ‘unapproved’ therapeutic goods accessed under the Authorised Prescriber scheme. </w:t>
      </w:r>
    </w:p>
    <w:p w14:paraId="4D591A72" w14:textId="77777777" w:rsidR="00BE23AB" w:rsidRDefault="00BE23AB" w:rsidP="00BE23AB">
      <w:pPr>
        <w:rPr>
          <w:i/>
          <w:iCs/>
        </w:rPr>
      </w:pPr>
      <w:r>
        <w:t xml:space="preserve">If you become an Authorised Prescriber, you </w:t>
      </w:r>
      <w:r w:rsidRPr="00D779C5">
        <w:rPr>
          <w:b/>
        </w:rPr>
        <w:t>must</w:t>
      </w:r>
      <w:r>
        <w:t xml:space="preserve"> report any suspected adverse events or product defects related to the ‘unapproved’ good to us within 15 calendar days of learning of it.</w:t>
      </w:r>
      <w:r w:rsidRPr="009E0B03">
        <w:rPr>
          <w:i/>
          <w:iCs/>
        </w:rPr>
        <w:t xml:space="preserve"> </w:t>
      </w:r>
    </w:p>
    <w:p w14:paraId="6E585689" w14:textId="77777777" w:rsidR="00BE23AB" w:rsidRDefault="00BE23AB" w:rsidP="00BE23AB">
      <w:r w:rsidRPr="009E0B03">
        <w:rPr>
          <w:iCs/>
        </w:rPr>
        <w:t xml:space="preserve">You are also required to report any fatal or </w:t>
      </w:r>
      <w:proofErr w:type="gramStart"/>
      <w:r w:rsidRPr="009E0B03">
        <w:rPr>
          <w:iCs/>
        </w:rPr>
        <w:t>life threatening</w:t>
      </w:r>
      <w:proofErr w:type="gramEnd"/>
      <w:r w:rsidRPr="009E0B03">
        <w:rPr>
          <w:iCs/>
        </w:rPr>
        <w:t xml:space="preserve"> adverse drug reactions to the TGA within 7 calendar days after becoming aware of the information and follow up with a complete report if necessary within 8 additional calendar days.</w:t>
      </w:r>
    </w:p>
    <w:p w14:paraId="4DFCBEC7" w14:textId="77777777" w:rsidR="00BE23AB" w:rsidRDefault="00BE23AB" w:rsidP="00BE23AB">
      <w:r>
        <w:t>The HREC, specialist college and the good’s sponsor may also require you to provide them with adverse event reports.</w:t>
      </w:r>
    </w:p>
    <w:p w14:paraId="742FBF9E" w14:textId="77777777" w:rsidR="00BE23AB" w:rsidRDefault="00BE23AB" w:rsidP="00BE23AB">
      <w:r>
        <w:t xml:space="preserve">There are various ways to report adverse events and product defects, which can be found on our website at </w:t>
      </w:r>
      <w:hyperlink r:id="rId41" w:history="1">
        <w:r w:rsidRPr="00D83FB3">
          <w:rPr>
            <w:rStyle w:val="Hyperlink"/>
          </w:rPr>
          <w:t>Reporting adverse events</w:t>
        </w:r>
      </w:hyperlink>
      <w:r>
        <w:t>.</w:t>
      </w:r>
    </w:p>
    <w:p w14:paraId="66D6FCBE" w14:textId="77777777" w:rsidR="00BE23AB" w:rsidRDefault="00BE23AB" w:rsidP="00BE23AB">
      <w:pPr>
        <w:pStyle w:val="Heading3"/>
      </w:pPr>
      <w:bookmarkStart w:id="92" w:name="_Toc87540033"/>
      <w:bookmarkStart w:id="93" w:name="_Toc121127847"/>
      <w:r>
        <w:t>Revoking authorisation</w:t>
      </w:r>
      <w:bookmarkEnd w:id="92"/>
      <w:bookmarkEnd w:id="93"/>
    </w:p>
    <w:p w14:paraId="60AAF809" w14:textId="77777777" w:rsidR="00BE23AB" w:rsidRDefault="00BE23AB" w:rsidP="00BE23AB">
      <w:r>
        <w:t>TGA can revoke your Authorised Prescriber status if:</w:t>
      </w:r>
    </w:p>
    <w:p w14:paraId="19FA6A82" w14:textId="77777777" w:rsidR="00BE23AB" w:rsidRDefault="00BE23AB" w:rsidP="00BE23AB">
      <w:pPr>
        <w:pStyle w:val="ListBullet"/>
        <w:numPr>
          <w:ilvl w:val="0"/>
          <w:numId w:val="3"/>
        </w:numPr>
      </w:pPr>
      <w:r>
        <w:t xml:space="preserve">the HREC or specialist college withdraws their approval or endorsement of your </w:t>
      </w:r>
      <w:proofErr w:type="gramStart"/>
      <w:r>
        <w:t>status</w:t>
      </w:r>
      <w:proofErr w:type="gramEnd"/>
    </w:p>
    <w:p w14:paraId="36D4ACA8" w14:textId="77777777" w:rsidR="00BE23AB" w:rsidRDefault="00BE23AB" w:rsidP="00BE23AB">
      <w:pPr>
        <w:pStyle w:val="ListBullet"/>
        <w:numPr>
          <w:ilvl w:val="0"/>
          <w:numId w:val="3"/>
        </w:numPr>
      </w:pPr>
      <w:r>
        <w:t xml:space="preserve">you do not meet the conditions we apply to your </w:t>
      </w:r>
      <w:proofErr w:type="gramStart"/>
      <w:r>
        <w:t>approval</w:t>
      </w:r>
      <w:proofErr w:type="gramEnd"/>
    </w:p>
    <w:p w14:paraId="17F0820D" w14:textId="77777777" w:rsidR="00BE23AB" w:rsidRDefault="00BE23AB" w:rsidP="00BE23AB">
      <w:pPr>
        <w:pStyle w:val="ListBullet"/>
        <w:numPr>
          <w:ilvl w:val="0"/>
          <w:numId w:val="3"/>
        </w:numPr>
      </w:pPr>
      <w:r>
        <w:t xml:space="preserve">a suitable alternative good becomes available and is entered on the </w:t>
      </w:r>
      <w:proofErr w:type="gramStart"/>
      <w:r>
        <w:t>ARTG</w:t>
      </w:r>
      <w:proofErr w:type="gramEnd"/>
    </w:p>
    <w:p w14:paraId="00B9D81C" w14:textId="77777777" w:rsidR="00BE23AB" w:rsidRDefault="00BE23AB" w:rsidP="00BE23AB">
      <w:pPr>
        <w:pStyle w:val="ListBullet"/>
        <w:numPr>
          <w:ilvl w:val="0"/>
          <w:numId w:val="3"/>
        </w:numPr>
      </w:pPr>
      <w:r>
        <w:t xml:space="preserve">we become aware of any significant concerns about a good’s </w:t>
      </w:r>
      <w:proofErr w:type="gramStart"/>
      <w:r>
        <w:t>safety</w:t>
      </w:r>
      <w:proofErr w:type="gramEnd"/>
    </w:p>
    <w:p w14:paraId="74A4642A" w14:textId="77777777" w:rsidR="00BE23AB" w:rsidRDefault="00BE23AB" w:rsidP="00BE23AB">
      <w:pPr>
        <w:pStyle w:val="Heading3"/>
      </w:pPr>
      <w:bookmarkStart w:id="94" w:name="_Toc87540034"/>
      <w:bookmarkStart w:id="95" w:name="_Toc121127848"/>
      <w:r>
        <w:t>If a suitable alternative good is available in the ARTG</w:t>
      </w:r>
      <w:bookmarkEnd w:id="94"/>
      <w:bookmarkEnd w:id="95"/>
    </w:p>
    <w:p w14:paraId="61A38FBA" w14:textId="77777777" w:rsidR="00BE23AB" w:rsidRDefault="00BE23AB" w:rsidP="00BE23AB">
      <w:r>
        <w:t xml:space="preserve">If a suitable alternative good becomes available in the ARTG, you should stop using the ‘unapproved’ good. </w:t>
      </w:r>
    </w:p>
    <w:p w14:paraId="5ACDAA4F" w14:textId="77777777" w:rsidR="00BE23AB" w:rsidRDefault="00BE23AB" w:rsidP="00BE23AB">
      <w:r>
        <w:t xml:space="preserve">If you want to continue using the ‘unapproved’ </w:t>
      </w:r>
      <w:proofErr w:type="gramStart"/>
      <w:r>
        <w:t>good</w:t>
      </w:r>
      <w:proofErr w:type="gramEnd"/>
      <w:r>
        <w:t xml:space="preserve"> you must submit a new Authorised Prescriber application to the TGA.  </w:t>
      </w:r>
    </w:p>
    <w:p w14:paraId="1F0B8D71" w14:textId="77777777" w:rsidR="00BE23AB" w:rsidRDefault="00BE23AB" w:rsidP="00BE23AB">
      <w:r>
        <w:t xml:space="preserve">If applicable, you will need to submit a clinical justification to your evaluating HREC or specialist college to explain why you want to use the ‘unapproved’ good instead of the now approved good. The HREC or specialist college will consider this and decide whether continued approval or endorsement is appropriate </w:t>
      </w:r>
      <w:proofErr w:type="gramStart"/>
      <w:r>
        <w:t>in light of</w:t>
      </w:r>
      <w:proofErr w:type="gramEnd"/>
      <w:r>
        <w:t xml:space="preserve"> any available approved good (that has been thoroughly evaluated for safety, quality and efficacy). You must then resubmit this approval or endorsement to the TGA in a new application to become an Authorised Prescriber.</w:t>
      </w:r>
    </w:p>
    <w:p w14:paraId="193DDB61" w14:textId="77777777" w:rsidR="00BE23AB" w:rsidRPr="005F19BB" w:rsidRDefault="00BE23AB" w:rsidP="00BE23AB">
      <w:pPr>
        <w:pStyle w:val="Heading3"/>
      </w:pPr>
      <w:bookmarkStart w:id="96" w:name="_Toc87540035"/>
      <w:bookmarkStart w:id="97" w:name="_Toc121127849"/>
      <w:r>
        <w:lastRenderedPageBreak/>
        <w:t>Review</w:t>
      </w:r>
      <w:r w:rsidRPr="005F19BB">
        <w:t xml:space="preserve"> of medicines with an established history of use</w:t>
      </w:r>
      <w:bookmarkEnd w:id="96"/>
      <w:bookmarkEnd w:id="97"/>
    </w:p>
    <w:p w14:paraId="7515DBF8" w14:textId="77777777" w:rsidR="00BE23AB" w:rsidRDefault="00BE23AB" w:rsidP="00BE23AB">
      <w:r w:rsidRPr="004327CF">
        <w:t>The TGA will periodically review the ‘unapproved’ therapeutic goods included in subregulation</w:t>
      </w:r>
      <w:r>
        <w:t>s</w:t>
      </w:r>
      <w:r w:rsidRPr="004327CF">
        <w:t xml:space="preserve"> 12B(1B)</w:t>
      </w:r>
      <w:r>
        <w:t xml:space="preserve"> and 12B(1C)</w:t>
      </w:r>
      <w:r w:rsidRPr="004327CF">
        <w:t xml:space="preserve"> of the </w:t>
      </w:r>
      <w:r w:rsidRPr="004327CF">
        <w:rPr>
          <w:i/>
        </w:rPr>
        <w:t>Therapeutic Goods Regulations 1990</w:t>
      </w:r>
      <w:r w:rsidRPr="004327CF">
        <w:t xml:space="preserve"> to</w:t>
      </w:r>
      <w:r w:rsidRPr="00434BE6">
        <w:t xml:space="preserve"> determine if additional </w:t>
      </w:r>
      <w:r w:rsidRPr="002903A4">
        <w:t xml:space="preserve">therapeutic goods or indications need to be added. </w:t>
      </w:r>
    </w:p>
    <w:p w14:paraId="62A4C116" w14:textId="77777777" w:rsidR="00BE23AB" w:rsidRPr="004327CF" w:rsidRDefault="00BE23AB" w:rsidP="00BE23AB">
      <w:r w:rsidRPr="002903A4">
        <w:t>We will also remove certain therapeutic goods or indications from the list where necessary, for example, this may be where the products become</w:t>
      </w:r>
      <w:r w:rsidRPr="005F19BB">
        <w:t xml:space="preserve"> registered in Australia or </w:t>
      </w:r>
      <w:r w:rsidRPr="004327CF">
        <w:t>if a safety concern arises. These may be administrative or clinical decisions based on the ongoing monitoring of the scheme.</w:t>
      </w:r>
    </w:p>
    <w:p w14:paraId="65905CE7" w14:textId="77777777" w:rsidR="00BE23AB" w:rsidRDefault="00BE23AB" w:rsidP="00BE23AB">
      <w:r w:rsidRPr="00434BE6">
        <w:t xml:space="preserve">Sponsors and health practitioners </w:t>
      </w:r>
      <w:r w:rsidRPr="00A67FA2">
        <w:rPr>
          <w:b/>
        </w:rPr>
        <w:t>cannot</w:t>
      </w:r>
      <w:r w:rsidRPr="00434BE6">
        <w:t xml:space="preserve"> apply to </w:t>
      </w:r>
      <w:r>
        <w:t xml:space="preserve">the </w:t>
      </w:r>
      <w:r w:rsidRPr="00434BE6">
        <w:t>TGA to have goods included or removed from the list</w:t>
      </w:r>
      <w:r w:rsidRPr="002903A4">
        <w:t>. At this time, only medicines have been included in the list.</w:t>
      </w:r>
      <w:bookmarkStart w:id="98" w:name="_Information_for_HRECs"/>
      <w:bookmarkEnd w:id="98"/>
    </w:p>
    <w:p w14:paraId="6E490A0B" w14:textId="77777777" w:rsidR="00BE23AB" w:rsidRDefault="00BE23AB" w:rsidP="00BE23AB">
      <w:pPr>
        <w:pStyle w:val="Heading2"/>
      </w:pPr>
      <w:bookmarkStart w:id="99" w:name="_Toc87540036"/>
      <w:bookmarkStart w:id="100" w:name="_Toc121127850"/>
      <w:r>
        <w:t>Information for HRECs and specialist colleges</w:t>
      </w:r>
      <w:bookmarkEnd w:id="99"/>
      <w:bookmarkEnd w:id="100"/>
    </w:p>
    <w:p w14:paraId="03133911" w14:textId="77777777" w:rsidR="00BE23AB" w:rsidRDefault="00BE23AB" w:rsidP="00BE23AB">
      <w:r>
        <w:t xml:space="preserve">HRECs and specialist colleges provide the initial assessment of a medical practitioner’s application to become an Authorised Prescriber for products not included in </w:t>
      </w:r>
      <w:r w:rsidRPr="00601267">
        <w:t>subregulation 12B(1B)</w:t>
      </w:r>
      <w:r>
        <w:t xml:space="preserve"> or 12B(1C)</w:t>
      </w:r>
      <w:r w:rsidRPr="00601267">
        <w:t xml:space="preserve"> of the </w:t>
      </w:r>
      <w:r w:rsidRPr="004E1888">
        <w:rPr>
          <w:i/>
        </w:rPr>
        <w:t>Therapeutic Goods Regulations 1990</w:t>
      </w:r>
      <w:r>
        <w:t xml:space="preserve">. </w:t>
      </w:r>
    </w:p>
    <w:p w14:paraId="1380F867" w14:textId="77777777" w:rsidR="00BE23AB" w:rsidRDefault="00BE23AB" w:rsidP="00BE23AB">
      <w:r>
        <w:t xml:space="preserve">Details of what should be reviewed are outlined in </w:t>
      </w:r>
      <w:hyperlink w:anchor="_Applying_for_HREC_1" w:history="1">
        <w:r w:rsidRPr="005C5D59">
          <w:rPr>
            <w:rStyle w:val="Hyperlink"/>
          </w:rPr>
          <w:t>Applying for HREC or specialist college approval or endorsement</w:t>
        </w:r>
      </w:hyperlink>
      <w:r>
        <w:t>. By undertaking this assessment, you are determining that the use of the product is suitable for the proposed indication and that the medical practitioner has the appropriate expertise or qualifications for the proposed use of the product. The medical practitioner is ultimately responsible for determining whether it is appropriate to prescribe the ‘unapproved’ goods for each patient that they treat.</w:t>
      </w:r>
    </w:p>
    <w:p w14:paraId="55C635E0" w14:textId="77777777" w:rsidR="00BE23AB" w:rsidRDefault="00BE23AB" w:rsidP="00BE23AB">
      <w:r>
        <w:t xml:space="preserve">HRECs and specialist colleges can approve or endorse a medical practitioner’s application for Authorised Prescriber status. As an HREC or specialist college, you need to determine what level of evidence is appropriate to support an application based on </w:t>
      </w:r>
      <w:proofErr w:type="gramStart"/>
      <w:r>
        <w:t>a number of</w:t>
      </w:r>
      <w:proofErr w:type="gramEnd"/>
      <w:r>
        <w:t xml:space="preserve"> factors, including those described below under Clinical justification for the use of the goods.</w:t>
      </w:r>
    </w:p>
    <w:p w14:paraId="300DB488" w14:textId="77777777" w:rsidR="00BE23AB" w:rsidRDefault="00BE23AB" w:rsidP="00BE23AB">
      <w:r>
        <w:t>Specialist colleges may decide to develop a protocol by which they will evaluate a medical practitioner’s submission. Potential protocols include:</w:t>
      </w:r>
    </w:p>
    <w:p w14:paraId="18D39D4D" w14:textId="77777777" w:rsidR="00BE23AB" w:rsidRDefault="00BE23AB" w:rsidP="00BE23AB">
      <w:pPr>
        <w:pStyle w:val="ListBullet"/>
        <w:numPr>
          <w:ilvl w:val="0"/>
          <w:numId w:val="3"/>
        </w:numPr>
      </w:pPr>
      <w:r>
        <w:t xml:space="preserve">establishing clinical justification through the use of a clinical practice guideline, which you will require the medical practitioner to </w:t>
      </w:r>
      <w:proofErr w:type="gramStart"/>
      <w:r>
        <w:t>follow</w:t>
      </w:r>
      <w:proofErr w:type="gramEnd"/>
    </w:p>
    <w:p w14:paraId="094648ED" w14:textId="77777777" w:rsidR="00BE23AB" w:rsidRDefault="00BE23AB" w:rsidP="00BE23AB">
      <w:pPr>
        <w:pStyle w:val="ListBullet"/>
        <w:numPr>
          <w:ilvl w:val="0"/>
          <w:numId w:val="3"/>
        </w:numPr>
      </w:pPr>
      <w:r>
        <w:t xml:space="preserve">seeking advice from a specialist society which you will consider in your </w:t>
      </w:r>
      <w:proofErr w:type="gramStart"/>
      <w:r>
        <w:t>assessment</w:t>
      </w:r>
      <w:proofErr w:type="gramEnd"/>
    </w:p>
    <w:p w14:paraId="6868572E" w14:textId="77777777" w:rsidR="00BE23AB" w:rsidRDefault="00BE23AB" w:rsidP="00BE23AB">
      <w:r>
        <w:t>The medical practitioner may want to discuss their application with you before they submit it, to determine what level of evidence you will require.</w:t>
      </w:r>
    </w:p>
    <w:p w14:paraId="05E56A90" w14:textId="77777777" w:rsidR="00BE23AB" w:rsidRDefault="00BE23AB" w:rsidP="00BE23AB">
      <w:pPr>
        <w:pStyle w:val="Heading3"/>
      </w:pPr>
      <w:bookmarkStart w:id="101" w:name="_Clinical_justification_for"/>
      <w:bookmarkStart w:id="102" w:name="_Toc87540037"/>
      <w:bookmarkStart w:id="103" w:name="_Toc121127851"/>
      <w:bookmarkEnd w:id="101"/>
      <w:r>
        <w:t>Clinical justification for the use of the goods</w:t>
      </w:r>
      <w:bookmarkEnd w:id="102"/>
      <w:bookmarkEnd w:id="103"/>
    </w:p>
    <w:p w14:paraId="4D35CA89" w14:textId="77777777" w:rsidR="00BE23AB" w:rsidRDefault="00BE23AB" w:rsidP="00BE23AB">
      <w:r>
        <w:t xml:space="preserve">The TGA encourages the use of approved therapeutic goods that have been assessed for safety, </w:t>
      </w:r>
      <w:proofErr w:type="gramStart"/>
      <w:r>
        <w:t>quality</w:t>
      </w:r>
      <w:proofErr w:type="gramEnd"/>
      <w:r>
        <w:t xml:space="preserve"> and efficacy. You need to evaluate the clinical justification the medical practitioner provides to determine whether the use of the ‘unapproved’ good is appropriate, considering the availability of any approved goods.</w:t>
      </w:r>
    </w:p>
    <w:p w14:paraId="23A7DAC3" w14:textId="77777777" w:rsidR="00BE23AB" w:rsidRDefault="00BE23AB" w:rsidP="00BE23AB">
      <w:r>
        <w:t>The medical practitioner must provide:</w:t>
      </w:r>
    </w:p>
    <w:p w14:paraId="79804161" w14:textId="77777777" w:rsidR="00BE23AB" w:rsidRDefault="00BE23AB" w:rsidP="00BE23AB">
      <w:pPr>
        <w:pStyle w:val="ListBullet"/>
        <w:numPr>
          <w:ilvl w:val="0"/>
          <w:numId w:val="3"/>
        </w:numPr>
      </w:pPr>
      <w:r>
        <w:t xml:space="preserve">details of the indication for which the good will be </w:t>
      </w:r>
      <w:proofErr w:type="gramStart"/>
      <w:r>
        <w:t>used</w:t>
      </w:r>
      <w:proofErr w:type="gramEnd"/>
    </w:p>
    <w:p w14:paraId="48591E93" w14:textId="77777777" w:rsidR="00BE23AB" w:rsidRDefault="00BE23AB" w:rsidP="00BE23AB">
      <w:pPr>
        <w:pStyle w:val="ListBullet"/>
        <w:numPr>
          <w:ilvl w:val="0"/>
          <w:numId w:val="3"/>
        </w:numPr>
      </w:pPr>
      <w:r>
        <w:t>a clinical justification for its use</w:t>
      </w:r>
    </w:p>
    <w:p w14:paraId="1FC6CE41" w14:textId="77777777" w:rsidR="00B071D3" w:rsidRDefault="00B071D3" w:rsidP="00BE23AB"/>
    <w:p w14:paraId="1DF6BC74" w14:textId="581103AC" w:rsidR="00BE23AB" w:rsidRDefault="00BE23AB" w:rsidP="00BE23AB">
      <w:r>
        <w:lastRenderedPageBreak/>
        <w:t xml:space="preserve">You should consider whether the clinical justification is appropriate, </w:t>
      </w:r>
      <w:proofErr w:type="gramStart"/>
      <w:r>
        <w:t>with regard to</w:t>
      </w:r>
      <w:proofErr w:type="gramEnd"/>
      <w:r>
        <w:t>:</w:t>
      </w:r>
    </w:p>
    <w:p w14:paraId="1DA879D2" w14:textId="77777777" w:rsidR="00BE23AB" w:rsidRDefault="00BE23AB" w:rsidP="00BE23AB">
      <w:pPr>
        <w:pStyle w:val="ListBullet"/>
        <w:numPr>
          <w:ilvl w:val="0"/>
          <w:numId w:val="3"/>
        </w:numPr>
      </w:pPr>
      <w:r>
        <w:t>the seriousness of the condition</w:t>
      </w:r>
    </w:p>
    <w:p w14:paraId="6356324C" w14:textId="77777777" w:rsidR="00BE23AB" w:rsidRDefault="00BE23AB" w:rsidP="00BE23AB">
      <w:pPr>
        <w:pStyle w:val="ListBullet"/>
        <w:numPr>
          <w:ilvl w:val="0"/>
          <w:numId w:val="3"/>
        </w:numPr>
      </w:pPr>
      <w:r>
        <w:t>expected benefits of the proposed treatment versus the potential risks</w:t>
      </w:r>
    </w:p>
    <w:p w14:paraId="7CD4729C" w14:textId="77777777" w:rsidR="00BE23AB" w:rsidRDefault="00BE23AB" w:rsidP="00BE23AB">
      <w:pPr>
        <w:pStyle w:val="ListBullet"/>
        <w:numPr>
          <w:ilvl w:val="0"/>
          <w:numId w:val="3"/>
        </w:numPr>
      </w:pPr>
      <w:r>
        <w:t>approved treatments for the same indication:</w:t>
      </w:r>
    </w:p>
    <w:p w14:paraId="7D3DC52D" w14:textId="77777777" w:rsidR="00BE23AB" w:rsidRDefault="00BE23AB" w:rsidP="00BE23AB">
      <w:pPr>
        <w:pStyle w:val="ListBullet2"/>
        <w:numPr>
          <w:ilvl w:val="1"/>
          <w:numId w:val="3"/>
        </w:numPr>
        <w:ind w:left="850" w:hanging="425"/>
      </w:pPr>
      <w:r>
        <w:t>have they been attempted or used?</w:t>
      </w:r>
    </w:p>
    <w:p w14:paraId="45C24EF3" w14:textId="77777777" w:rsidR="00BE23AB" w:rsidRDefault="00BE23AB" w:rsidP="00BE23AB">
      <w:pPr>
        <w:pStyle w:val="ListBullet2"/>
        <w:numPr>
          <w:ilvl w:val="1"/>
          <w:numId w:val="3"/>
        </w:numPr>
        <w:ind w:left="850" w:hanging="425"/>
      </w:pPr>
      <w:r>
        <w:t>why are they inappropriate?</w:t>
      </w:r>
    </w:p>
    <w:p w14:paraId="4A5BA701" w14:textId="77777777" w:rsidR="00BE23AB" w:rsidRDefault="00BE23AB" w:rsidP="00BE23AB">
      <w:pPr>
        <w:pStyle w:val="ListBullet2"/>
        <w:numPr>
          <w:ilvl w:val="1"/>
          <w:numId w:val="3"/>
        </w:numPr>
        <w:ind w:left="850" w:hanging="425"/>
      </w:pPr>
      <w:r>
        <w:t>will they be attempted prior to prescribing the ‘unapproved’ good?</w:t>
      </w:r>
    </w:p>
    <w:p w14:paraId="3922AC54" w14:textId="77777777" w:rsidR="00BE23AB" w:rsidRDefault="00BE23AB" w:rsidP="00BE23AB">
      <w:pPr>
        <w:pStyle w:val="ListBullet2"/>
        <w:numPr>
          <w:ilvl w:val="1"/>
          <w:numId w:val="3"/>
        </w:numPr>
        <w:ind w:left="850" w:hanging="425"/>
      </w:pPr>
      <w:r>
        <w:t>why is the proposed ‘unapproved’ good a more appropriate treatment?</w:t>
      </w:r>
    </w:p>
    <w:p w14:paraId="0239D9A0" w14:textId="77777777" w:rsidR="00BE23AB" w:rsidRDefault="00BE23AB" w:rsidP="00BE23AB">
      <w:pPr>
        <w:pStyle w:val="ListBullet"/>
        <w:numPr>
          <w:ilvl w:val="0"/>
          <w:numId w:val="3"/>
        </w:numPr>
      </w:pPr>
      <w:r>
        <w:t>how the risk associated with the use of an ‘unapproved’ good will be managed</w:t>
      </w:r>
    </w:p>
    <w:p w14:paraId="005E9111" w14:textId="77777777" w:rsidR="00BE23AB" w:rsidRDefault="00BE23AB" w:rsidP="00BE23AB">
      <w:pPr>
        <w:pStyle w:val="ListBullet2"/>
        <w:numPr>
          <w:ilvl w:val="1"/>
          <w:numId w:val="3"/>
        </w:numPr>
        <w:ind w:left="850" w:hanging="425"/>
      </w:pPr>
      <w:r>
        <w:t>the monitoring that will be undertaken</w:t>
      </w:r>
    </w:p>
    <w:p w14:paraId="46EFE6A9" w14:textId="77777777" w:rsidR="00BE23AB" w:rsidRDefault="00BE23AB" w:rsidP="00BE23AB">
      <w:pPr>
        <w:pStyle w:val="ListBullet2"/>
        <w:numPr>
          <w:ilvl w:val="1"/>
          <w:numId w:val="3"/>
        </w:numPr>
        <w:ind w:left="850" w:hanging="425"/>
      </w:pPr>
      <w:r>
        <w:t>the process of investigating and reporting adverse events</w:t>
      </w:r>
    </w:p>
    <w:p w14:paraId="7C70B5AE" w14:textId="77777777" w:rsidR="00BE23AB" w:rsidRDefault="00BE23AB" w:rsidP="00BE23AB">
      <w:r>
        <w:t xml:space="preserve">The following are </w:t>
      </w:r>
      <w:r w:rsidRPr="006E0A4A">
        <w:rPr>
          <w:b/>
        </w:rPr>
        <w:t>not</w:t>
      </w:r>
      <w:r>
        <w:t xml:space="preserve"> justifications for the use of an ‘unapproved’ good: </w:t>
      </w:r>
    </w:p>
    <w:p w14:paraId="0AF6D16B" w14:textId="77777777" w:rsidR="00BE23AB" w:rsidRDefault="00BE23AB" w:rsidP="00BE23AB">
      <w:pPr>
        <w:pStyle w:val="ListBullet"/>
        <w:numPr>
          <w:ilvl w:val="0"/>
          <w:numId w:val="3"/>
        </w:numPr>
      </w:pPr>
      <w:r>
        <w:t>that the ‘unapproved’ good is less expensive than any approved treatment</w:t>
      </w:r>
    </w:p>
    <w:p w14:paraId="39CCBD6E" w14:textId="77777777" w:rsidR="00BE23AB" w:rsidRDefault="00BE23AB" w:rsidP="00BE23AB">
      <w:pPr>
        <w:pStyle w:val="ListBullet"/>
        <w:numPr>
          <w:ilvl w:val="0"/>
          <w:numId w:val="3"/>
        </w:numPr>
      </w:pPr>
      <w:r>
        <w:t>personal preference for an ‘unapproved’ good</w:t>
      </w:r>
    </w:p>
    <w:p w14:paraId="7E8BEA57" w14:textId="77777777" w:rsidR="00BE23AB" w:rsidRDefault="00BE23AB" w:rsidP="00BE23AB">
      <w:pPr>
        <w:pStyle w:val="Heading3"/>
        <w:spacing w:before="360"/>
      </w:pPr>
      <w:bookmarkStart w:id="104" w:name="_Providing_approval_or"/>
      <w:bookmarkStart w:id="105" w:name="_Toc87540038"/>
      <w:bookmarkStart w:id="106" w:name="_Toc121127852"/>
      <w:bookmarkEnd w:id="104"/>
      <w:r>
        <w:t>Providing approval or endorsement</w:t>
      </w:r>
      <w:bookmarkEnd w:id="105"/>
      <w:bookmarkEnd w:id="106"/>
    </w:p>
    <w:p w14:paraId="58AA1373" w14:textId="77777777" w:rsidR="00BE23AB" w:rsidRDefault="00BE23AB" w:rsidP="00BE23AB">
      <w:r>
        <w:t>If you support the medical practitioner’s application, provide the medical practitioner with an approval letter if you are a HREC or a letter of endorsement if you are a specialist college. This letter must declare that you have reviewed all the necessary documentation.</w:t>
      </w:r>
    </w:p>
    <w:p w14:paraId="0FB908C2" w14:textId="77777777" w:rsidR="00BE23AB" w:rsidRDefault="00BE23AB" w:rsidP="00BE23AB">
      <w:r>
        <w:t>You may apply conditions to the approval or endorsement. If the medical practitioner does not meet these conditions, you may revoke your approval or endorsement. Past conditions have included requirements to:</w:t>
      </w:r>
    </w:p>
    <w:p w14:paraId="4891B61F" w14:textId="77777777" w:rsidR="00BE23AB" w:rsidRDefault="00BE23AB" w:rsidP="00BE23AB">
      <w:pPr>
        <w:pStyle w:val="ListBullet"/>
        <w:numPr>
          <w:ilvl w:val="0"/>
          <w:numId w:val="3"/>
        </w:numPr>
      </w:pPr>
      <w:r>
        <w:t xml:space="preserve">provide regular reports on how the ‘unapproved’ good is used, such as the periodic report the medical practitioner submits to the TGA, which outlines the number of patients that have been treated in a </w:t>
      </w:r>
      <w:proofErr w:type="gramStart"/>
      <w:r>
        <w:t>6 month</w:t>
      </w:r>
      <w:proofErr w:type="gramEnd"/>
      <w:r>
        <w:t xml:space="preserve"> period</w:t>
      </w:r>
    </w:p>
    <w:p w14:paraId="19048D38" w14:textId="77777777" w:rsidR="00BE23AB" w:rsidRDefault="00BE23AB" w:rsidP="00BE23AB">
      <w:pPr>
        <w:pStyle w:val="ListBullet"/>
        <w:numPr>
          <w:ilvl w:val="0"/>
          <w:numId w:val="3"/>
        </w:numPr>
      </w:pPr>
      <w:r>
        <w:t xml:space="preserve">report suspected adverse events to you within a specified </w:t>
      </w:r>
      <w:proofErr w:type="gramStart"/>
      <w:r>
        <w:t>timeframe</w:t>
      </w:r>
      <w:proofErr w:type="gramEnd"/>
    </w:p>
    <w:p w14:paraId="5EAA5B88" w14:textId="77777777" w:rsidR="00BE23AB" w:rsidRDefault="00BE23AB" w:rsidP="00BE23AB">
      <w:r>
        <w:t>The medical practitioner must provide the TGA with a copy of the letter of approval or endorsement (where required) so we can determine if it is appropriate to approve them as an Authorised Prescriber. They will also supply these documents to the ‘unapproved’ good’s sponsor, thereby authorising them to supply the goods.</w:t>
      </w:r>
    </w:p>
    <w:p w14:paraId="48866778" w14:textId="77777777" w:rsidR="00BE23AB" w:rsidRPr="005011CC" w:rsidRDefault="00BE23AB" w:rsidP="00BE23AB">
      <w:r w:rsidRPr="005011CC">
        <w:t>The letter of endorsement or approval should include the following details, which must match the information provided on the application form:</w:t>
      </w:r>
    </w:p>
    <w:p w14:paraId="673C321F" w14:textId="77777777" w:rsidR="00BE23AB" w:rsidRPr="005011CC" w:rsidRDefault="00BE23AB" w:rsidP="00BE23AB">
      <w:pPr>
        <w:pStyle w:val="ListBullet"/>
        <w:numPr>
          <w:ilvl w:val="0"/>
          <w:numId w:val="3"/>
        </w:numPr>
      </w:pPr>
      <w:r w:rsidRPr="005011CC">
        <w:t xml:space="preserve">a clear statement that approval or endorsement is being given for the purpose of the medical practitioner becoming an authorised </w:t>
      </w:r>
      <w:proofErr w:type="gramStart"/>
      <w:r w:rsidRPr="005011CC">
        <w:t>prescriber</w:t>
      </w:r>
      <w:proofErr w:type="gramEnd"/>
    </w:p>
    <w:p w14:paraId="0B5BACB3" w14:textId="77777777" w:rsidR="00BE23AB" w:rsidRPr="005011CC" w:rsidRDefault="00BE23AB" w:rsidP="00BE23AB">
      <w:pPr>
        <w:pStyle w:val="ListBullet"/>
        <w:numPr>
          <w:ilvl w:val="0"/>
          <w:numId w:val="3"/>
        </w:numPr>
      </w:pPr>
      <w:r w:rsidRPr="005011CC">
        <w:t xml:space="preserve">the name of the medical practitioner who has gained approval or </w:t>
      </w:r>
      <w:proofErr w:type="gramStart"/>
      <w:r w:rsidRPr="005011CC">
        <w:t>endorsement</w:t>
      </w:r>
      <w:proofErr w:type="gramEnd"/>
    </w:p>
    <w:p w14:paraId="56FD15E9" w14:textId="77777777" w:rsidR="00BE23AB" w:rsidRDefault="00BE23AB" w:rsidP="00BE23AB">
      <w:pPr>
        <w:pStyle w:val="ListBullet"/>
        <w:numPr>
          <w:ilvl w:val="0"/>
          <w:numId w:val="3"/>
        </w:numPr>
      </w:pPr>
      <w:r w:rsidRPr="005011CC">
        <w:t xml:space="preserve">the unapproved therapeutic goods for which approval or endorsement has been </w:t>
      </w:r>
      <w:proofErr w:type="gramStart"/>
      <w:r w:rsidRPr="005011CC">
        <w:t>given</w:t>
      </w:r>
      <w:proofErr w:type="gramEnd"/>
    </w:p>
    <w:p w14:paraId="463E5F0A" w14:textId="77777777" w:rsidR="00BE23AB" w:rsidRDefault="00BE23AB" w:rsidP="00BE23AB">
      <w:pPr>
        <w:pStyle w:val="ListBullet2"/>
        <w:numPr>
          <w:ilvl w:val="1"/>
          <w:numId w:val="3"/>
        </w:numPr>
        <w:ind w:left="850" w:hanging="425"/>
      </w:pPr>
      <w:r>
        <w:t>Note, medicinal cannabis products are accepted under the following categories:</w:t>
      </w:r>
    </w:p>
    <w:p w14:paraId="61D0E2D7" w14:textId="77777777" w:rsidR="00BE23AB" w:rsidRDefault="00BE23AB" w:rsidP="00BE23AB">
      <w:pPr>
        <w:pStyle w:val="ListBullet2"/>
        <w:numPr>
          <w:ilvl w:val="2"/>
          <w:numId w:val="3"/>
        </w:numPr>
      </w:pPr>
      <w:r>
        <w:t>Schedule 4 medicinal cannabis products</w:t>
      </w:r>
    </w:p>
    <w:p w14:paraId="259B34A3" w14:textId="77777777" w:rsidR="00BE23AB" w:rsidRDefault="00BE23AB" w:rsidP="00BE23AB">
      <w:pPr>
        <w:pStyle w:val="ListBullet2"/>
        <w:numPr>
          <w:ilvl w:val="2"/>
          <w:numId w:val="3"/>
        </w:numPr>
      </w:pPr>
      <w:r>
        <w:lastRenderedPageBreak/>
        <w:t>Schedule 8 medicinal cannabis products</w:t>
      </w:r>
    </w:p>
    <w:p w14:paraId="4E3F2595" w14:textId="77777777" w:rsidR="00BE23AB" w:rsidRDefault="00BE23AB" w:rsidP="00BE23AB">
      <w:pPr>
        <w:ind w:left="720"/>
        <w:rPr>
          <w:rFonts w:cstheme="minorHAnsi"/>
          <w:color w:val="000000"/>
        </w:rPr>
      </w:pPr>
      <w:r>
        <w:rPr>
          <w:rFonts w:cstheme="minorHAnsi"/>
          <w:color w:val="000000"/>
        </w:rPr>
        <w:t xml:space="preserve">the letter must specify the dosage form, route of administration, indication and class of patient for endorsement. </w:t>
      </w:r>
    </w:p>
    <w:p w14:paraId="6791B332" w14:textId="77777777" w:rsidR="00BE23AB" w:rsidRDefault="00BE23AB" w:rsidP="00BE23AB">
      <w:pPr>
        <w:ind w:left="720"/>
      </w:pPr>
      <w:r>
        <w:rPr>
          <w:rFonts w:cstheme="minorHAnsi"/>
          <w:color w:val="000000"/>
        </w:rPr>
        <w:t xml:space="preserve">An acceptable format for a category based HREC approval would be as follows: </w:t>
      </w:r>
    </w:p>
    <w:tbl>
      <w:tblPr>
        <w:tblStyle w:val="TableGrid"/>
        <w:tblpPr w:leftFromText="180" w:rightFromText="180" w:vertAnchor="text" w:horzAnchor="margin" w:tblpY="59"/>
        <w:tblW w:w="9449" w:type="dxa"/>
        <w:tblLook w:val="04A0" w:firstRow="1" w:lastRow="0" w:firstColumn="1" w:lastColumn="0" w:noHBand="0" w:noVBand="1"/>
      </w:tblPr>
      <w:tblGrid>
        <w:gridCol w:w="1809"/>
        <w:gridCol w:w="1345"/>
        <w:gridCol w:w="1343"/>
        <w:gridCol w:w="1325"/>
        <w:gridCol w:w="1325"/>
        <w:gridCol w:w="1151"/>
        <w:gridCol w:w="1151"/>
      </w:tblGrid>
      <w:tr w:rsidR="00BE23AB" w:rsidRPr="00784D38" w14:paraId="5DD004F2" w14:textId="77777777" w:rsidTr="00387ACE">
        <w:trPr>
          <w:trHeight w:val="66"/>
        </w:trPr>
        <w:tc>
          <w:tcPr>
            <w:tcW w:w="0" w:type="auto"/>
            <w:gridSpan w:val="7"/>
          </w:tcPr>
          <w:p w14:paraId="5B947ED9" w14:textId="77777777" w:rsidR="00BE23AB" w:rsidRPr="00784D38" w:rsidRDefault="00BE23AB" w:rsidP="00387ACE">
            <w:pPr>
              <w:spacing w:before="0" w:after="0"/>
              <w:rPr>
                <w:b/>
                <w:bCs/>
                <w:sz w:val="20"/>
                <w:szCs w:val="20"/>
              </w:rPr>
            </w:pPr>
          </w:p>
          <w:p w14:paraId="6AD32412" w14:textId="77777777" w:rsidR="00BE23AB" w:rsidRPr="00A04C3B" w:rsidRDefault="00BE23AB" w:rsidP="00387ACE">
            <w:pPr>
              <w:spacing w:before="0" w:after="0"/>
              <w:rPr>
                <w:b/>
                <w:bCs/>
                <w:sz w:val="24"/>
                <w:szCs w:val="24"/>
              </w:rPr>
            </w:pPr>
            <w:r w:rsidRPr="00A04C3B">
              <w:rPr>
                <w:b/>
                <w:bCs/>
                <w:sz w:val="24"/>
                <w:szCs w:val="24"/>
              </w:rPr>
              <w:t>Schedule 4 medicinal cannabis products:</w:t>
            </w:r>
          </w:p>
          <w:p w14:paraId="411BAD31" w14:textId="77777777" w:rsidR="00BE23AB" w:rsidRPr="00784D38" w:rsidRDefault="00BE23AB" w:rsidP="00387ACE">
            <w:pPr>
              <w:spacing w:before="0" w:after="0"/>
              <w:rPr>
                <w:b/>
                <w:bCs/>
                <w:sz w:val="20"/>
                <w:szCs w:val="20"/>
              </w:rPr>
            </w:pPr>
          </w:p>
        </w:tc>
      </w:tr>
      <w:tr w:rsidR="00BE23AB" w:rsidRPr="00784D38" w14:paraId="26D870B7" w14:textId="77777777" w:rsidTr="00387ACE">
        <w:trPr>
          <w:trHeight w:val="137"/>
        </w:trPr>
        <w:tc>
          <w:tcPr>
            <w:tcW w:w="0" w:type="auto"/>
          </w:tcPr>
          <w:p w14:paraId="105A9115" w14:textId="77777777" w:rsidR="00BE23AB" w:rsidRPr="00784D38" w:rsidRDefault="00BE23AB" w:rsidP="00387ACE">
            <w:pPr>
              <w:spacing w:before="0" w:after="0"/>
              <w:rPr>
                <w:b/>
                <w:bCs/>
                <w:sz w:val="20"/>
                <w:szCs w:val="20"/>
              </w:rPr>
            </w:pPr>
            <w:r w:rsidRPr="00784D38">
              <w:rPr>
                <w:b/>
                <w:bCs/>
                <w:sz w:val="20"/>
                <w:szCs w:val="20"/>
              </w:rPr>
              <w:t>Dosage Form:</w:t>
            </w:r>
          </w:p>
        </w:tc>
        <w:tc>
          <w:tcPr>
            <w:tcW w:w="0" w:type="auto"/>
          </w:tcPr>
          <w:p w14:paraId="7D7C8BF2" w14:textId="77777777" w:rsidR="00BE23AB" w:rsidRPr="00784D38" w:rsidRDefault="00BE23AB" w:rsidP="00387ACE">
            <w:pPr>
              <w:spacing w:before="0" w:after="0"/>
              <w:rPr>
                <w:sz w:val="20"/>
                <w:szCs w:val="20"/>
              </w:rPr>
            </w:pPr>
            <w:r w:rsidRPr="00784D38">
              <w:rPr>
                <w:sz w:val="20"/>
                <w:szCs w:val="20"/>
              </w:rPr>
              <w:t>Oral Liquid</w:t>
            </w:r>
          </w:p>
        </w:tc>
        <w:tc>
          <w:tcPr>
            <w:tcW w:w="0" w:type="auto"/>
          </w:tcPr>
          <w:p w14:paraId="2E11C165" w14:textId="77777777" w:rsidR="00BE23AB" w:rsidRPr="00784D38" w:rsidRDefault="00BE23AB" w:rsidP="00387ACE">
            <w:pPr>
              <w:spacing w:before="0" w:after="0"/>
              <w:rPr>
                <w:sz w:val="20"/>
                <w:szCs w:val="20"/>
              </w:rPr>
            </w:pPr>
            <w:r w:rsidRPr="00784D38">
              <w:rPr>
                <w:sz w:val="20"/>
                <w:szCs w:val="20"/>
              </w:rPr>
              <w:t xml:space="preserve">Oils  </w:t>
            </w:r>
          </w:p>
        </w:tc>
        <w:tc>
          <w:tcPr>
            <w:tcW w:w="0" w:type="auto"/>
          </w:tcPr>
          <w:p w14:paraId="7A350A8B" w14:textId="77777777" w:rsidR="00BE23AB" w:rsidRPr="00784D38" w:rsidRDefault="00BE23AB" w:rsidP="00387ACE">
            <w:pPr>
              <w:spacing w:before="0" w:after="0"/>
              <w:rPr>
                <w:sz w:val="20"/>
                <w:szCs w:val="20"/>
              </w:rPr>
            </w:pPr>
            <w:r w:rsidRPr="00784D38">
              <w:rPr>
                <w:sz w:val="20"/>
                <w:szCs w:val="20"/>
              </w:rPr>
              <w:t>Extracts</w:t>
            </w:r>
          </w:p>
        </w:tc>
        <w:tc>
          <w:tcPr>
            <w:tcW w:w="0" w:type="auto"/>
          </w:tcPr>
          <w:p w14:paraId="5FE261F1" w14:textId="77777777" w:rsidR="00BE23AB" w:rsidRPr="00784D38" w:rsidRDefault="00BE23AB" w:rsidP="00387ACE">
            <w:pPr>
              <w:spacing w:before="0" w:after="0"/>
              <w:rPr>
                <w:sz w:val="20"/>
                <w:szCs w:val="20"/>
              </w:rPr>
            </w:pPr>
            <w:r w:rsidRPr="00784D38">
              <w:rPr>
                <w:sz w:val="20"/>
                <w:szCs w:val="20"/>
              </w:rPr>
              <w:t>Tinctures</w:t>
            </w:r>
          </w:p>
        </w:tc>
        <w:tc>
          <w:tcPr>
            <w:tcW w:w="0" w:type="auto"/>
          </w:tcPr>
          <w:p w14:paraId="0AD446AD" w14:textId="77777777" w:rsidR="00BE23AB" w:rsidRPr="00784D38" w:rsidRDefault="00BE23AB" w:rsidP="00387ACE">
            <w:pPr>
              <w:spacing w:before="0" w:after="0"/>
              <w:rPr>
                <w:sz w:val="20"/>
                <w:szCs w:val="20"/>
              </w:rPr>
            </w:pPr>
            <w:r w:rsidRPr="00784D38">
              <w:rPr>
                <w:sz w:val="20"/>
                <w:szCs w:val="20"/>
              </w:rPr>
              <w:t>Wafers</w:t>
            </w:r>
          </w:p>
        </w:tc>
        <w:tc>
          <w:tcPr>
            <w:tcW w:w="0" w:type="auto"/>
          </w:tcPr>
          <w:p w14:paraId="0CA81273" w14:textId="77777777" w:rsidR="00BE23AB" w:rsidRPr="00784D38" w:rsidRDefault="00BE23AB" w:rsidP="00387ACE">
            <w:pPr>
              <w:spacing w:before="0" w:after="0"/>
              <w:rPr>
                <w:sz w:val="20"/>
                <w:szCs w:val="20"/>
              </w:rPr>
            </w:pPr>
            <w:r w:rsidRPr="00784D38">
              <w:rPr>
                <w:sz w:val="20"/>
                <w:szCs w:val="20"/>
              </w:rPr>
              <w:t xml:space="preserve">Lozenges </w:t>
            </w:r>
          </w:p>
        </w:tc>
      </w:tr>
      <w:tr w:rsidR="00BE23AB" w:rsidRPr="00784D38" w14:paraId="43C07D42" w14:textId="77777777" w:rsidTr="00387ACE">
        <w:trPr>
          <w:trHeight w:val="392"/>
        </w:trPr>
        <w:tc>
          <w:tcPr>
            <w:tcW w:w="0" w:type="auto"/>
          </w:tcPr>
          <w:p w14:paraId="5868D307" w14:textId="77777777" w:rsidR="00BE23AB" w:rsidRPr="00784D38" w:rsidRDefault="00BE23AB" w:rsidP="00387ACE">
            <w:pPr>
              <w:spacing w:before="0" w:after="0"/>
              <w:rPr>
                <w:b/>
                <w:bCs/>
                <w:sz w:val="20"/>
                <w:szCs w:val="20"/>
              </w:rPr>
            </w:pPr>
            <w:r w:rsidRPr="00784D38">
              <w:rPr>
                <w:b/>
                <w:bCs/>
                <w:sz w:val="20"/>
                <w:szCs w:val="20"/>
              </w:rPr>
              <w:t>Route of Administration:</w:t>
            </w:r>
          </w:p>
          <w:p w14:paraId="48749660" w14:textId="77777777" w:rsidR="00BE23AB" w:rsidRPr="00784D38" w:rsidRDefault="00BE23AB" w:rsidP="00387ACE">
            <w:pPr>
              <w:spacing w:before="0" w:after="0"/>
              <w:rPr>
                <w:b/>
                <w:bCs/>
                <w:sz w:val="20"/>
                <w:szCs w:val="20"/>
              </w:rPr>
            </w:pPr>
          </w:p>
        </w:tc>
        <w:tc>
          <w:tcPr>
            <w:tcW w:w="0" w:type="auto"/>
          </w:tcPr>
          <w:p w14:paraId="3BB9AAC1" w14:textId="77777777" w:rsidR="00BE23AB" w:rsidRPr="00784D38" w:rsidRDefault="00BE23AB" w:rsidP="00387ACE">
            <w:pPr>
              <w:spacing w:before="0" w:after="0"/>
              <w:rPr>
                <w:sz w:val="20"/>
                <w:szCs w:val="20"/>
              </w:rPr>
            </w:pPr>
            <w:r w:rsidRPr="00784D38">
              <w:rPr>
                <w:sz w:val="20"/>
                <w:szCs w:val="20"/>
              </w:rPr>
              <w:t xml:space="preserve">Oral </w:t>
            </w:r>
          </w:p>
        </w:tc>
        <w:tc>
          <w:tcPr>
            <w:tcW w:w="0" w:type="auto"/>
          </w:tcPr>
          <w:p w14:paraId="5CD88BB3" w14:textId="77777777" w:rsidR="00BE23AB" w:rsidRPr="00784D38" w:rsidRDefault="00BE23AB" w:rsidP="00387ACE">
            <w:pPr>
              <w:spacing w:before="0" w:after="0"/>
              <w:rPr>
                <w:sz w:val="20"/>
                <w:szCs w:val="20"/>
              </w:rPr>
            </w:pPr>
            <w:r w:rsidRPr="00784D38">
              <w:rPr>
                <w:sz w:val="20"/>
                <w:szCs w:val="20"/>
              </w:rPr>
              <w:t xml:space="preserve">Oral and/or Sublingual </w:t>
            </w:r>
          </w:p>
        </w:tc>
        <w:tc>
          <w:tcPr>
            <w:tcW w:w="0" w:type="auto"/>
          </w:tcPr>
          <w:p w14:paraId="7A7426D8" w14:textId="77777777" w:rsidR="00BE23AB" w:rsidRPr="00784D38" w:rsidRDefault="00BE23AB" w:rsidP="00387ACE">
            <w:pPr>
              <w:spacing w:before="0" w:after="0"/>
              <w:rPr>
                <w:sz w:val="20"/>
                <w:szCs w:val="20"/>
              </w:rPr>
            </w:pPr>
            <w:r w:rsidRPr="00784D38">
              <w:rPr>
                <w:sz w:val="20"/>
                <w:szCs w:val="20"/>
              </w:rPr>
              <w:t xml:space="preserve">Oral </w:t>
            </w:r>
          </w:p>
        </w:tc>
        <w:tc>
          <w:tcPr>
            <w:tcW w:w="0" w:type="auto"/>
          </w:tcPr>
          <w:p w14:paraId="55031DFC" w14:textId="77777777" w:rsidR="00BE23AB" w:rsidRPr="00784D38" w:rsidRDefault="00BE23AB" w:rsidP="00387ACE">
            <w:pPr>
              <w:spacing w:before="0" w:after="0"/>
              <w:rPr>
                <w:sz w:val="20"/>
                <w:szCs w:val="20"/>
              </w:rPr>
            </w:pPr>
            <w:r w:rsidRPr="00784D38">
              <w:rPr>
                <w:sz w:val="20"/>
                <w:szCs w:val="20"/>
              </w:rPr>
              <w:t>Oral</w:t>
            </w:r>
          </w:p>
        </w:tc>
        <w:tc>
          <w:tcPr>
            <w:tcW w:w="0" w:type="auto"/>
          </w:tcPr>
          <w:p w14:paraId="73A22D94" w14:textId="77777777" w:rsidR="00BE23AB" w:rsidRPr="00784D38" w:rsidRDefault="00BE23AB" w:rsidP="00387ACE">
            <w:pPr>
              <w:spacing w:before="0" w:after="0"/>
              <w:rPr>
                <w:sz w:val="20"/>
                <w:szCs w:val="20"/>
              </w:rPr>
            </w:pPr>
            <w:r w:rsidRPr="00784D38">
              <w:rPr>
                <w:sz w:val="20"/>
                <w:szCs w:val="20"/>
              </w:rPr>
              <w:t xml:space="preserve">Sublingual </w:t>
            </w:r>
          </w:p>
        </w:tc>
        <w:tc>
          <w:tcPr>
            <w:tcW w:w="0" w:type="auto"/>
          </w:tcPr>
          <w:p w14:paraId="2FBB6939" w14:textId="77777777" w:rsidR="00BE23AB" w:rsidRPr="00784D38" w:rsidRDefault="00BE23AB" w:rsidP="00387ACE">
            <w:pPr>
              <w:spacing w:before="0" w:after="0"/>
              <w:rPr>
                <w:sz w:val="20"/>
                <w:szCs w:val="20"/>
              </w:rPr>
            </w:pPr>
            <w:r w:rsidRPr="00784D38">
              <w:rPr>
                <w:sz w:val="20"/>
                <w:szCs w:val="20"/>
              </w:rPr>
              <w:t>Sublingual</w:t>
            </w:r>
          </w:p>
        </w:tc>
      </w:tr>
      <w:tr w:rsidR="00BE23AB" w:rsidRPr="00784D38" w14:paraId="33345DA1" w14:textId="77777777" w:rsidTr="00387ACE">
        <w:trPr>
          <w:trHeight w:val="333"/>
        </w:trPr>
        <w:tc>
          <w:tcPr>
            <w:tcW w:w="0" w:type="auto"/>
          </w:tcPr>
          <w:p w14:paraId="4A9226BE" w14:textId="77777777" w:rsidR="00BE23AB" w:rsidRPr="00784D38" w:rsidRDefault="00BE23AB" w:rsidP="00387ACE">
            <w:pPr>
              <w:spacing w:before="0" w:after="0"/>
              <w:rPr>
                <w:b/>
                <w:bCs/>
                <w:sz w:val="20"/>
                <w:szCs w:val="20"/>
              </w:rPr>
            </w:pPr>
            <w:r w:rsidRPr="00784D38">
              <w:rPr>
                <w:b/>
                <w:bCs/>
                <w:sz w:val="20"/>
                <w:szCs w:val="20"/>
              </w:rPr>
              <w:t xml:space="preserve">Indication/s: </w:t>
            </w:r>
          </w:p>
          <w:p w14:paraId="63E511BA" w14:textId="77777777" w:rsidR="00BE23AB" w:rsidRPr="00784D38" w:rsidRDefault="00BE23AB" w:rsidP="00387ACE">
            <w:pPr>
              <w:spacing w:before="0" w:after="0"/>
              <w:rPr>
                <w:sz w:val="20"/>
                <w:szCs w:val="20"/>
              </w:rPr>
            </w:pPr>
            <w:r w:rsidRPr="00784D38">
              <w:rPr>
                <w:color w:val="FF0000"/>
                <w:sz w:val="16"/>
                <w:szCs w:val="16"/>
              </w:rPr>
              <w:t>(NB: Only list indications appropriate to that dosage form, route of administering and schedule of product)</w:t>
            </w:r>
          </w:p>
        </w:tc>
        <w:tc>
          <w:tcPr>
            <w:tcW w:w="0" w:type="auto"/>
          </w:tcPr>
          <w:p w14:paraId="65E5EA14" w14:textId="77777777" w:rsidR="00BE23AB" w:rsidRPr="00784D38" w:rsidRDefault="00BE23AB" w:rsidP="00387ACE">
            <w:pPr>
              <w:spacing w:before="0" w:after="0"/>
              <w:rPr>
                <w:sz w:val="20"/>
                <w:szCs w:val="20"/>
              </w:rPr>
            </w:pPr>
            <w:r w:rsidRPr="00784D38">
              <w:rPr>
                <w:sz w:val="20"/>
                <w:szCs w:val="20"/>
              </w:rPr>
              <w:t xml:space="preserve">1. </w:t>
            </w:r>
            <w:proofErr w:type="gramStart"/>
            <w:r w:rsidRPr="00784D38">
              <w:rPr>
                <w:sz w:val="20"/>
                <w:szCs w:val="20"/>
              </w:rPr>
              <w:t>e.g.</w:t>
            </w:r>
            <w:proofErr w:type="gramEnd"/>
            <w:r w:rsidRPr="00784D38">
              <w:rPr>
                <w:sz w:val="20"/>
                <w:szCs w:val="20"/>
              </w:rPr>
              <w:t xml:space="preserve"> Chronic Pain</w:t>
            </w:r>
          </w:p>
          <w:p w14:paraId="4051F57B" w14:textId="77777777" w:rsidR="00BE23AB" w:rsidRPr="00784D38" w:rsidRDefault="00BE23AB" w:rsidP="00387ACE">
            <w:pPr>
              <w:spacing w:before="0" w:after="0"/>
              <w:rPr>
                <w:sz w:val="20"/>
                <w:szCs w:val="20"/>
              </w:rPr>
            </w:pPr>
            <w:r w:rsidRPr="00784D38">
              <w:rPr>
                <w:sz w:val="20"/>
                <w:szCs w:val="20"/>
              </w:rPr>
              <w:t xml:space="preserve">2.  </w:t>
            </w:r>
            <w:proofErr w:type="gramStart"/>
            <w:r w:rsidRPr="00784D38">
              <w:rPr>
                <w:sz w:val="20"/>
                <w:szCs w:val="20"/>
              </w:rPr>
              <w:t>e.g.</w:t>
            </w:r>
            <w:proofErr w:type="gramEnd"/>
            <w:r w:rsidRPr="00784D38">
              <w:rPr>
                <w:sz w:val="20"/>
                <w:szCs w:val="20"/>
              </w:rPr>
              <w:t xml:space="preserve"> Anxiety </w:t>
            </w:r>
          </w:p>
          <w:p w14:paraId="23433EF6"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65D31D96" w14:textId="77777777" w:rsidR="00BE23AB" w:rsidRPr="00784D38" w:rsidRDefault="00BE23AB" w:rsidP="00387ACE">
            <w:pPr>
              <w:spacing w:before="0" w:after="0"/>
              <w:rPr>
                <w:color w:val="002C47" w:themeColor="text1"/>
                <w:sz w:val="20"/>
                <w:szCs w:val="20"/>
              </w:rPr>
            </w:pPr>
            <w:r w:rsidRPr="00784D38">
              <w:rPr>
                <w:color w:val="002C47" w:themeColor="text1"/>
                <w:sz w:val="20"/>
                <w:szCs w:val="20"/>
              </w:rPr>
              <w:t>4.…….</w:t>
            </w:r>
          </w:p>
          <w:p w14:paraId="6F22E280" w14:textId="77777777" w:rsidR="00BE23AB" w:rsidRPr="00784D38" w:rsidRDefault="00BE23AB" w:rsidP="00387ACE">
            <w:pPr>
              <w:spacing w:before="0" w:after="0"/>
              <w:rPr>
                <w:sz w:val="20"/>
                <w:szCs w:val="20"/>
              </w:rPr>
            </w:pPr>
            <w:r w:rsidRPr="00784D38">
              <w:rPr>
                <w:sz w:val="20"/>
                <w:szCs w:val="20"/>
              </w:rPr>
              <w:t xml:space="preserve">Etc. </w:t>
            </w:r>
          </w:p>
        </w:tc>
        <w:tc>
          <w:tcPr>
            <w:tcW w:w="0" w:type="auto"/>
          </w:tcPr>
          <w:p w14:paraId="28582EA1"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5A01A024"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0B697420" w14:textId="77777777" w:rsidR="00BE23AB" w:rsidRPr="00784D38" w:rsidRDefault="00BE23AB" w:rsidP="00387ACE">
            <w:pPr>
              <w:spacing w:before="0" w:after="0"/>
              <w:rPr>
                <w:sz w:val="20"/>
                <w:szCs w:val="20"/>
              </w:rPr>
            </w:pPr>
          </w:p>
          <w:p w14:paraId="6798AA71" w14:textId="77777777" w:rsidR="00BE23AB" w:rsidRPr="00784D38" w:rsidRDefault="00BE23AB" w:rsidP="00387ACE">
            <w:pPr>
              <w:spacing w:before="0" w:after="0"/>
              <w:rPr>
                <w:sz w:val="20"/>
                <w:szCs w:val="20"/>
              </w:rPr>
            </w:pPr>
          </w:p>
          <w:p w14:paraId="66CFA171" w14:textId="77777777" w:rsidR="00BE23AB" w:rsidRPr="00784D38" w:rsidRDefault="00BE23AB" w:rsidP="00387ACE">
            <w:pPr>
              <w:spacing w:before="0" w:after="0"/>
              <w:rPr>
                <w:sz w:val="20"/>
                <w:szCs w:val="20"/>
              </w:rPr>
            </w:pPr>
          </w:p>
          <w:p w14:paraId="46715793" w14:textId="77777777" w:rsidR="00BE23AB" w:rsidRDefault="00BE23AB" w:rsidP="00387ACE">
            <w:pPr>
              <w:spacing w:before="0" w:after="0"/>
              <w:rPr>
                <w:sz w:val="20"/>
                <w:szCs w:val="20"/>
              </w:rPr>
            </w:pPr>
          </w:p>
          <w:p w14:paraId="05396EFC" w14:textId="77777777" w:rsidR="00BE23AB" w:rsidRPr="00784D38" w:rsidRDefault="00BE23AB" w:rsidP="00387ACE">
            <w:pPr>
              <w:spacing w:before="0" w:after="0"/>
              <w:rPr>
                <w:sz w:val="20"/>
                <w:szCs w:val="20"/>
              </w:rPr>
            </w:pPr>
            <w:r w:rsidRPr="00784D38">
              <w:rPr>
                <w:sz w:val="20"/>
                <w:szCs w:val="20"/>
              </w:rPr>
              <w:t>Etc.</w:t>
            </w:r>
          </w:p>
        </w:tc>
        <w:tc>
          <w:tcPr>
            <w:tcW w:w="0" w:type="auto"/>
          </w:tcPr>
          <w:p w14:paraId="07635F17"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A43A8E9"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60B3A4EB"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66CAC700"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0C413FF7" w14:textId="77777777" w:rsidR="00BE23AB" w:rsidRPr="00784D38" w:rsidRDefault="00BE23AB" w:rsidP="00387ACE">
            <w:pPr>
              <w:spacing w:before="0" w:after="0"/>
              <w:rPr>
                <w:sz w:val="20"/>
                <w:szCs w:val="20"/>
              </w:rPr>
            </w:pPr>
          </w:p>
          <w:p w14:paraId="3E3FAEF6" w14:textId="77777777" w:rsidR="00BE23AB" w:rsidRDefault="00BE23AB" w:rsidP="00387ACE">
            <w:pPr>
              <w:spacing w:before="0" w:after="0"/>
              <w:rPr>
                <w:sz w:val="20"/>
                <w:szCs w:val="20"/>
              </w:rPr>
            </w:pPr>
          </w:p>
          <w:p w14:paraId="2C27F11B" w14:textId="77777777" w:rsidR="00BE23AB" w:rsidRPr="00784D38" w:rsidRDefault="00BE23AB" w:rsidP="00387ACE">
            <w:pPr>
              <w:spacing w:before="0" w:after="0"/>
              <w:rPr>
                <w:sz w:val="20"/>
                <w:szCs w:val="20"/>
              </w:rPr>
            </w:pPr>
            <w:r w:rsidRPr="00784D38">
              <w:rPr>
                <w:sz w:val="20"/>
                <w:szCs w:val="20"/>
              </w:rPr>
              <w:t>Etc.</w:t>
            </w:r>
          </w:p>
        </w:tc>
        <w:tc>
          <w:tcPr>
            <w:tcW w:w="0" w:type="auto"/>
          </w:tcPr>
          <w:p w14:paraId="13595534"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65266ECD" w14:textId="77777777" w:rsidR="00BE23AB" w:rsidRPr="00784D38" w:rsidRDefault="00BE23AB" w:rsidP="00387ACE">
            <w:pPr>
              <w:spacing w:before="0" w:after="0"/>
              <w:rPr>
                <w:sz w:val="20"/>
                <w:szCs w:val="20"/>
              </w:rPr>
            </w:pPr>
          </w:p>
          <w:p w14:paraId="0E75902F" w14:textId="77777777" w:rsidR="00BE23AB" w:rsidRPr="00784D38" w:rsidRDefault="00BE23AB" w:rsidP="00387ACE">
            <w:pPr>
              <w:spacing w:before="0" w:after="0"/>
              <w:rPr>
                <w:sz w:val="20"/>
                <w:szCs w:val="20"/>
              </w:rPr>
            </w:pPr>
          </w:p>
          <w:p w14:paraId="4F290928" w14:textId="77777777" w:rsidR="00BE23AB" w:rsidRPr="00784D38" w:rsidRDefault="00BE23AB" w:rsidP="00387ACE">
            <w:pPr>
              <w:spacing w:before="0" w:after="0"/>
              <w:rPr>
                <w:sz w:val="20"/>
                <w:szCs w:val="20"/>
              </w:rPr>
            </w:pPr>
          </w:p>
          <w:p w14:paraId="74511234" w14:textId="77777777" w:rsidR="00BE23AB" w:rsidRPr="00784D38" w:rsidRDefault="00BE23AB" w:rsidP="00387ACE">
            <w:pPr>
              <w:spacing w:before="0" w:after="0"/>
              <w:rPr>
                <w:sz w:val="20"/>
                <w:szCs w:val="20"/>
              </w:rPr>
            </w:pPr>
          </w:p>
          <w:p w14:paraId="65344A74" w14:textId="77777777" w:rsidR="00BE23AB" w:rsidRDefault="00BE23AB" w:rsidP="00387ACE">
            <w:pPr>
              <w:spacing w:before="0" w:after="0"/>
              <w:rPr>
                <w:sz w:val="20"/>
                <w:szCs w:val="20"/>
              </w:rPr>
            </w:pPr>
          </w:p>
          <w:p w14:paraId="22191DD5" w14:textId="77777777" w:rsidR="00BE23AB" w:rsidRPr="00784D38" w:rsidRDefault="00BE23AB" w:rsidP="00387ACE">
            <w:pPr>
              <w:spacing w:before="0" w:after="0"/>
              <w:rPr>
                <w:sz w:val="20"/>
                <w:szCs w:val="20"/>
              </w:rPr>
            </w:pPr>
            <w:r w:rsidRPr="00784D38">
              <w:rPr>
                <w:sz w:val="20"/>
                <w:szCs w:val="20"/>
              </w:rPr>
              <w:t>Etc.</w:t>
            </w:r>
          </w:p>
        </w:tc>
        <w:tc>
          <w:tcPr>
            <w:tcW w:w="0" w:type="auto"/>
          </w:tcPr>
          <w:p w14:paraId="389A381D"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F67922C" w14:textId="77777777" w:rsidR="00BE23AB" w:rsidRPr="00784D38" w:rsidRDefault="00BE23AB" w:rsidP="00387ACE">
            <w:pPr>
              <w:spacing w:before="0" w:after="0"/>
              <w:rPr>
                <w:sz w:val="20"/>
                <w:szCs w:val="20"/>
              </w:rPr>
            </w:pPr>
            <w:r w:rsidRPr="00784D38">
              <w:rPr>
                <w:sz w:val="20"/>
                <w:szCs w:val="20"/>
              </w:rPr>
              <w:t xml:space="preserve"> </w:t>
            </w:r>
          </w:p>
          <w:p w14:paraId="135F491A" w14:textId="77777777" w:rsidR="00BE23AB" w:rsidRPr="00784D38" w:rsidRDefault="00BE23AB" w:rsidP="00387ACE">
            <w:pPr>
              <w:spacing w:before="0" w:after="0"/>
              <w:rPr>
                <w:sz w:val="20"/>
                <w:szCs w:val="20"/>
              </w:rPr>
            </w:pPr>
          </w:p>
          <w:p w14:paraId="498416E1" w14:textId="77777777" w:rsidR="00BE23AB" w:rsidRPr="00784D38" w:rsidRDefault="00BE23AB" w:rsidP="00387ACE">
            <w:pPr>
              <w:spacing w:before="0" w:after="0"/>
              <w:rPr>
                <w:sz w:val="20"/>
                <w:szCs w:val="20"/>
              </w:rPr>
            </w:pPr>
          </w:p>
          <w:p w14:paraId="6B6E848F" w14:textId="77777777" w:rsidR="00BE23AB" w:rsidRPr="00784D38" w:rsidRDefault="00BE23AB" w:rsidP="00387ACE">
            <w:pPr>
              <w:spacing w:before="0" w:after="0"/>
              <w:rPr>
                <w:sz w:val="20"/>
                <w:szCs w:val="20"/>
              </w:rPr>
            </w:pPr>
          </w:p>
          <w:p w14:paraId="09E06574" w14:textId="77777777" w:rsidR="00BE23AB" w:rsidRDefault="00BE23AB" w:rsidP="00387ACE">
            <w:pPr>
              <w:spacing w:before="0" w:after="0"/>
              <w:rPr>
                <w:sz w:val="20"/>
                <w:szCs w:val="20"/>
              </w:rPr>
            </w:pPr>
          </w:p>
          <w:p w14:paraId="00A0BE3B" w14:textId="77777777" w:rsidR="00BE23AB" w:rsidRPr="00784D38" w:rsidRDefault="00BE23AB" w:rsidP="00387ACE">
            <w:pPr>
              <w:spacing w:before="0" w:after="0"/>
              <w:rPr>
                <w:sz w:val="20"/>
                <w:szCs w:val="20"/>
              </w:rPr>
            </w:pPr>
            <w:r w:rsidRPr="00784D38">
              <w:rPr>
                <w:sz w:val="20"/>
                <w:szCs w:val="20"/>
              </w:rPr>
              <w:t>Etc.</w:t>
            </w:r>
          </w:p>
        </w:tc>
        <w:tc>
          <w:tcPr>
            <w:tcW w:w="0" w:type="auto"/>
          </w:tcPr>
          <w:p w14:paraId="31AE7B8E"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DC6D12E"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1F53817B"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619B0A82"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13EF15FA" w14:textId="77777777" w:rsidR="00BE23AB" w:rsidRPr="00784D38" w:rsidRDefault="00BE23AB" w:rsidP="00387ACE">
            <w:pPr>
              <w:spacing w:before="0" w:after="0"/>
              <w:rPr>
                <w:sz w:val="20"/>
                <w:szCs w:val="20"/>
              </w:rPr>
            </w:pPr>
          </w:p>
          <w:p w14:paraId="562AD376" w14:textId="77777777" w:rsidR="00BE23AB" w:rsidRDefault="00BE23AB" w:rsidP="00387ACE">
            <w:pPr>
              <w:spacing w:before="0" w:after="0"/>
              <w:rPr>
                <w:sz w:val="20"/>
                <w:szCs w:val="20"/>
              </w:rPr>
            </w:pPr>
          </w:p>
          <w:p w14:paraId="43FF462F" w14:textId="77777777" w:rsidR="00BE23AB" w:rsidRPr="00784D38" w:rsidRDefault="00BE23AB" w:rsidP="00387ACE">
            <w:pPr>
              <w:spacing w:before="0" w:after="0"/>
              <w:rPr>
                <w:sz w:val="20"/>
                <w:szCs w:val="20"/>
              </w:rPr>
            </w:pPr>
            <w:r w:rsidRPr="00784D38">
              <w:rPr>
                <w:sz w:val="20"/>
                <w:szCs w:val="20"/>
              </w:rPr>
              <w:t>Etc.</w:t>
            </w:r>
          </w:p>
        </w:tc>
      </w:tr>
      <w:tr w:rsidR="00BE23AB" w:rsidRPr="00784D38" w14:paraId="71807380" w14:textId="77777777" w:rsidTr="00387ACE">
        <w:trPr>
          <w:trHeight w:val="98"/>
        </w:trPr>
        <w:tc>
          <w:tcPr>
            <w:tcW w:w="0" w:type="auto"/>
            <w:gridSpan w:val="7"/>
          </w:tcPr>
          <w:p w14:paraId="7AF8BA2F" w14:textId="77777777" w:rsidR="00BE23AB" w:rsidRPr="00A04C3B" w:rsidRDefault="00BE23AB" w:rsidP="00387ACE">
            <w:pPr>
              <w:spacing w:before="0" w:after="0"/>
              <w:rPr>
                <w:b/>
                <w:bCs/>
                <w:sz w:val="24"/>
                <w:szCs w:val="24"/>
              </w:rPr>
            </w:pPr>
          </w:p>
          <w:p w14:paraId="330B8EF7" w14:textId="77777777" w:rsidR="00BE23AB" w:rsidRPr="00A04C3B" w:rsidRDefault="00BE23AB" w:rsidP="00387ACE">
            <w:pPr>
              <w:spacing w:before="0" w:after="0"/>
              <w:rPr>
                <w:b/>
                <w:bCs/>
                <w:sz w:val="24"/>
                <w:szCs w:val="24"/>
              </w:rPr>
            </w:pPr>
            <w:r w:rsidRPr="00A04C3B">
              <w:rPr>
                <w:b/>
                <w:bCs/>
                <w:sz w:val="24"/>
                <w:szCs w:val="24"/>
              </w:rPr>
              <w:t>Schedule 8 medicinal cannabis products:</w:t>
            </w:r>
          </w:p>
          <w:p w14:paraId="5D78772A" w14:textId="77777777" w:rsidR="00BE23AB" w:rsidRPr="00784D38" w:rsidRDefault="00BE23AB" w:rsidP="00387ACE">
            <w:pPr>
              <w:spacing w:before="0" w:after="0"/>
              <w:rPr>
                <w:sz w:val="20"/>
                <w:szCs w:val="20"/>
              </w:rPr>
            </w:pPr>
          </w:p>
        </w:tc>
      </w:tr>
      <w:tr w:rsidR="00BE23AB" w:rsidRPr="00784D38" w14:paraId="0E2B5DE0" w14:textId="77777777" w:rsidTr="00387ACE">
        <w:trPr>
          <w:trHeight w:val="86"/>
        </w:trPr>
        <w:tc>
          <w:tcPr>
            <w:tcW w:w="0" w:type="auto"/>
          </w:tcPr>
          <w:p w14:paraId="67DBEF42" w14:textId="77777777" w:rsidR="00BE23AB" w:rsidRPr="00784D38" w:rsidRDefault="00BE23AB" w:rsidP="00387ACE">
            <w:pPr>
              <w:spacing w:before="0" w:after="0"/>
              <w:rPr>
                <w:b/>
                <w:bCs/>
                <w:sz w:val="20"/>
                <w:szCs w:val="20"/>
              </w:rPr>
            </w:pPr>
            <w:r w:rsidRPr="00784D38">
              <w:rPr>
                <w:b/>
                <w:bCs/>
                <w:sz w:val="20"/>
                <w:szCs w:val="20"/>
              </w:rPr>
              <w:t>Dosage Form:</w:t>
            </w:r>
          </w:p>
        </w:tc>
        <w:tc>
          <w:tcPr>
            <w:tcW w:w="0" w:type="auto"/>
          </w:tcPr>
          <w:p w14:paraId="7B769742" w14:textId="77777777" w:rsidR="00BE23AB" w:rsidRPr="00784D38" w:rsidRDefault="00BE23AB" w:rsidP="00387ACE">
            <w:pPr>
              <w:spacing w:before="0" w:after="0"/>
              <w:rPr>
                <w:sz w:val="20"/>
                <w:szCs w:val="20"/>
              </w:rPr>
            </w:pPr>
            <w:r w:rsidRPr="00784D38">
              <w:rPr>
                <w:sz w:val="20"/>
                <w:szCs w:val="20"/>
              </w:rPr>
              <w:t>Oral Liquid</w:t>
            </w:r>
          </w:p>
        </w:tc>
        <w:tc>
          <w:tcPr>
            <w:tcW w:w="0" w:type="auto"/>
          </w:tcPr>
          <w:p w14:paraId="0F95A87B" w14:textId="77777777" w:rsidR="00BE23AB" w:rsidRPr="00784D38" w:rsidRDefault="00BE23AB" w:rsidP="00387ACE">
            <w:pPr>
              <w:spacing w:before="0" w:after="0"/>
              <w:rPr>
                <w:sz w:val="20"/>
                <w:szCs w:val="20"/>
              </w:rPr>
            </w:pPr>
            <w:r w:rsidRPr="00784D38">
              <w:rPr>
                <w:sz w:val="20"/>
                <w:szCs w:val="20"/>
              </w:rPr>
              <w:t xml:space="preserve">Oils  </w:t>
            </w:r>
          </w:p>
        </w:tc>
        <w:tc>
          <w:tcPr>
            <w:tcW w:w="0" w:type="auto"/>
          </w:tcPr>
          <w:p w14:paraId="7B6D2091" w14:textId="77777777" w:rsidR="00BE23AB" w:rsidRPr="00784D38" w:rsidRDefault="00BE23AB" w:rsidP="00387ACE">
            <w:pPr>
              <w:spacing w:before="0" w:after="0"/>
              <w:rPr>
                <w:sz w:val="20"/>
                <w:szCs w:val="20"/>
              </w:rPr>
            </w:pPr>
            <w:r w:rsidRPr="00784D38">
              <w:rPr>
                <w:sz w:val="20"/>
                <w:szCs w:val="20"/>
              </w:rPr>
              <w:t>Extracts</w:t>
            </w:r>
          </w:p>
        </w:tc>
        <w:tc>
          <w:tcPr>
            <w:tcW w:w="0" w:type="auto"/>
          </w:tcPr>
          <w:p w14:paraId="2487491F" w14:textId="77777777" w:rsidR="00BE23AB" w:rsidRPr="00784D38" w:rsidRDefault="00BE23AB" w:rsidP="00387ACE">
            <w:pPr>
              <w:spacing w:before="0" w:after="0"/>
              <w:rPr>
                <w:sz w:val="20"/>
                <w:szCs w:val="20"/>
              </w:rPr>
            </w:pPr>
            <w:r w:rsidRPr="00784D38">
              <w:rPr>
                <w:sz w:val="20"/>
                <w:szCs w:val="20"/>
              </w:rPr>
              <w:t>Tinctures</w:t>
            </w:r>
          </w:p>
        </w:tc>
        <w:tc>
          <w:tcPr>
            <w:tcW w:w="0" w:type="auto"/>
          </w:tcPr>
          <w:p w14:paraId="750CFA35" w14:textId="77777777" w:rsidR="00BE23AB" w:rsidRPr="00784D38" w:rsidRDefault="00BE23AB" w:rsidP="00387ACE">
            <w:pPr>
              <w:spacing w:before="0" w:after="0"/>
              <w:rPr>
                <w:sz w:val="20"/>
                <w:szCs w:val="20"/>
              </w:rPr>
            </w:pPr>
            <w:r w:rsidRPr="00784D38">
              <w:rPr>
                <w:sz w:val="20"/>
                <w:szCs w:val="20"/>
              </w:rPr>
              <w:t>Wafers</w:t>
            </w:r>
          </w:p>
        </w:tc>
        <w:tc>
          <w:tcPr>
            <w:tcW w:w="0" w:type="auto"/>
          </w:tcPr>
          <w:p w14:paraId="0DE7BC31" w14:textId="77777777" w:rsidR="00BE23AB" w:rsidRPr="00784D38" w:rsidRDefault="00BE23AB" w:rsidP="00387ACE">
            <w:pPr>
              <w:spacing w:before="0" w:after="0"/>
              <w:rPr>
                <w:sz w:val="20"/>
                <w:szCs w:val="20"/>
              </w:rPr>
            </w:pPr>
            <w:r w:rsidRPr="00784D38">
              <w:rPr>
                <w:sz w:val="20"/>
                <w:szCs w:val="20"/>
              </w:rPr>
              <w:t xml:space="preserve">Lozenges </w:t>
            </w:r>
          </w:p>
        </w:tc>
      </w:tr>
      <w:tr w:rsidR="00BE23AB" w:rsidRPr="00784D38" w14:paraId="2CF5642E" w14:textId="77777777" w:rsidTr="00387ACE">
        <w:trPr>
          <w:trHeight w:val="158"/>
        </w:trPr>
        <w:tc>
          <w:tcPr>
            <w:tcW w:w="0" w:type="auto"/>
          </w:tcPr>
          <w:p w14:paraId="30BD0516" w14:textId="77777777" w:rsidR="00BE23AB" w:rsidRPr="00784D38" w:rsidRDefault="00BE23AB" w:rsidP="00387ACE">
            <w:pPr>
              <w:spacing w:before="0" w:after="0"/>
              <w:rPr>
                <w:b/>
                <w:bCs/>
                <w:sz w:val="20"/>
                <w:szCs w:val="20"/>
              </w:rPr>
            </w:pPr>
            <w:r w:rsidRPr="00784D38">
              <w:rPr>
                <w:b/>
                <w:bCs/>
                <w:sz w:val="20"/>
                <w:szCs w:val="20"/>
              </w:rPr>
              <w:t>Route of Administration:</w:t>
            </w:r>
          </w:p>
          <w:p w14:paraId="5E78E4FF" w14:textId="77777777" w:rsidR="00BE23AB" w:rsidRPr="00784D38" w:rsidRDefault="00BE23AB" w:rsidP="00387ACE">
            <w:pPr>
              <w:spacing w:before="0" w:after="0"/>
              <w:rPr>
                <w:b/>
                <w:bCs/>
                <w:sz w:val="20"/>
                <w:szCs w:val="20"/>
              </w:rPr>
            </w:pPr>
          </w:p>
        </w:tc>
        <w:tc>
          <w:tcPr>
            <w:tcW w:w="0" w:type="auto"/>
          </w:tcPr>
          <w:p w14:paraId="5EF5F9D4" w14:textId="77777777" w:rsidR="00BE23AB" w:rsidRPr="00784D38" w:rsidRDefault="00BE23AB" w:rsidP="00387ACE">
            <w:pPr>
              <w:spacing w:before="0" w:after="0"/>
              <w:rPr>
                <w:sz w:val="20"/>
                <w:szCs w:val="20"/>
              </w:rPr>
            </w:pPr>
            <w:r w:rsidRPr="00784D38">
              <w:rPr>
                <w:sz w:val="20"/>
                <w:szCs w:val="20"/>
              </w:rPr>
              <w:t>Oral and/or vaporisation and/or inhalation</w:t>
            </w:r>
          </w:p>
        </w:tc>
        <w:tc>
          <w:tcPr>
            <w:tcW w:w="0" w:type="auto"/>
          </w:tcPr>
          <w:p w14:paraId="1D7E2923" w14:textId="77777777" w:rsidR="00BE23AB" w:rsidRPr="00784D38" w:rsidRDefault="00BE23AB" w:rsidP="00387ACE">
            <w:pPr>
              <w:spacing w:before="0" w:after="0"/>
              <w:rPr>
                <w:sz w:val="20"/>
                <w:szCs w:val="20"/>
              </w:rPr>
            </w:pPr>
            <w:r w:rsidRPr="00784D38">
              <w:rPr>
                <w:sz w:val="20"/>
                <w:szCs w:val="20"/>
              </w:rPr>
              <w:t>Oral and/or Sublingual and/or Inhalation</w:t>
            </w:r>
          </w:p>
        </w:tc>
        <w:tc>
          <w:tcPr>
            <w:tcW w:w="0" w:type="auto"/>
          </w:tcPr>
          <w:p w14:paraId="0BFCE581" w14:textId="77777777" w:rsidR="00BE23AB" w:rsidRPr="00784D38" w:rsidRDefault="00BE23AB" w:rsidP="00387ACE">
            <w:pPr>
              <w:spacing w:before="0" w:after="0"/>
              <w:rPr>
                <w:sz w:val="20"/>
                <w:szCs w:val="20"/>
              </w:rPr>
            </w:pPr>
            <w:r w:rsidRPr="00784D38">
              <w:rPr>
                <w:sz w:val="20"/>
                <w:szCs w:val="20"/>
              </w:rPr>
              <w:t>Oral</w:t>
            </w:r>
          </w:p>
        </w:tc>
        <w:tc>
          <w:tcPr>
            <w:tcW w:w="0" w:type="auto"/>
          </w:tcPr>
          <w:p w14:paraId="7FFD4BC5" w14:textId="77777777" w:rsidR="00BE23AB" w:rsidRPr="00784D38" w:rsidRDefault="00BE23AB" w:rsidP="00387ACE">
            <w:pPr>
              <w:spacing w:before="0" w:after="0"/>
              <w:rPr>
                <w:sz w:val="20"/>
                <w:szCs w:val="20"/>
              </w:rPr>
            </w:pPr>
            <w:r w:rsidRPr="00784D38">
              <w:rPr>
                <w:sz w:val="20"/>
                <w:szCs w:val="20"/>
              </w:rPr>
              <w:t>Oral</w:t>
            </w:r>
          </w:p>
        </w:tc>
        <w:tc>
          <w:tcPr>
            <w:tcW w:w="0" w:type="auto"/>
          </w:tcPr>
          <w:p w14:paraId="3350B077" w14:textId="77777777" w:rsidR="00BE23AB" w:rsidRPr="00784D38" w:rsidRDefault="00BE23AB" w:rsidP="00387ACE">
            <w:pPr>
              <w:spacing w:before="0" w:after="0"/>
              <w:rPr>
                <w:sz w:val="20"/>
                <w:szCs w:val="20"/>
              </w:rPr>
            </w:pPr>
            <w:r w:rsidRPr="00784D38">
              <w:rPr>
                <w:sz w:val="20"/>
                <w:szCs w:val="20"/>
              </w:rPr>
              <w:t>Sublingual</w:t>
            </w:r>
          </w:p>
        </w:tc>
        <w:tc>
          <w:tcPr>
            <w:tcW w:w="0" w:type="auto"/>
          </w:tcPr>
          <w:p w14:paraId="398E8E49" w14:textId="77777777" w:rsidR="00BE23AB" w:rsidRPr="00784D38" w:rsidRDefault="00BE23AB" w:rsidP="00387ACE">
            <w:pPr>
              <w:spacing w:before="0" w:after="0"/>
              <w:rPr>
                <w:sz w:val="20"/>
                <w:szCs w:val="20"/>
              </w:rPr>
            </w:pPr>
            <w:r w:rsidRPr="00784D38">
              <w:rPr>
                <w:sz w:val="20"/>
                <w:szCs w:val="20"/>
              </w:rPr>
              <w:t>Sublingual</w:t>
            </w:r>
          </w:p>
        </w:tc>
      </w:tr>
      <w:tr w:rsidR="00BE23AB" w:rsidRPr="00784D38" w14:paraId="5AFB6400" w14:textId="77777777" w:rsidTr="00387ACE">
        <w:trPr>
          <w:trHeight w:val="333"/>
        </w:trPr>
        <w:tc>
          <w:tcPr>
            <w:tcW w:w="0" w:type="auto"/>
          </w:tcPr>
          <w:p w14:paraId="5D11147F" w14:textId="77777777" w:rsidR="00BE23AB" w:rsidRPr="00784D38" w:rsidRDefault="00BE23AB" w:rsidP="00387ACE">
            <w:pPr>
              <w:spacing w:before="0" w:after="0"/>
              <w:rPr>
                <w:b/>
                <w:bCs/>
                <w:sz w:val="20"/>
                <w:szCs w:val="20"/>
              </w:rPr>
            </w:pPr>
            <w:r w:rsidRPr="00784D38">
              <w:rPr>
                <w:b/>
                <w:bCs/>
                <w:sz w:val="20"/>
                <w:szCs w:val="20"/>
              </w:rPr>
              <w:t>Indication/s:</w:t>
            </w:r>
          </w:p>
        </w:tc>
        <w:tc>
          <w:tcPr>
            <w:tcW w:w="0" w:type="auto"/>
          </w:tcPr>
          <w:p w14:paraId="734C3987"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4E47F7BD"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39F7E5B4"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7633EE46"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4148E300" w14:textId="77777777" w:rsidR="00BE23AB" w:rsidRPr="00784D38" w:rsidRDefault="00BE23AB" w:rsidP="00387ACE">
            <w:pPr>
              <w:spacing w:before="0" w:after="0"/>
              <w:rPr>
                <w:sz w:val="20"/>
                <w:szCs w:val="20"/>
              </w:rPr>
            </w:pPr>
            <w:r w:rsidRPr="00784D38">
              <w:rPr>
                <w:sz w:val="20"/>
                <w:szCs w:val="20"/>
              </w:rPr>
              <w:t>Etc.</w:t>
            </w:r>
          </w:p>
        </w:tc>
        <w:tc>
          <w:tcPr>
            <w:tcW w:w="0" w:type="auto"/>
          </w:tcPr>
          <w:p w14:paraId="24393C50"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42CB7D36"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138F6AA5"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7FFAF03D"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58DF4C1F" w14:textId="77777777" w:rsidR="00BE23AB" w:rsidRPr="00784D38" w:rsidRDefault="00BE23AB" w:rsidP="00387ACE">
            <w:pPr>
              <w:spacing w:before="0" w:after="0"/>
              <w:rPr>
                <w:sz w:val="20"/>
                <w:szCs w:val="20"/>
              </w:rPr>
            </w:pPr>
            <w:r w:rsidRPr="00784D38">
              <w:rPr>
                <w:sz w:val="20"/>
                <w:szCs w:val="20"/>
              </w:rPr>
              <w:t>Etc.</w:t>
            </w:r>
          </w:p>
        </w:tc>
        <w:tc>
          <w:tcPr>
            <w:tcW w:w="0" w:type="auto"/>
          </w:tcPr>
          <w:p w14:paraId="097813C3"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5E9AD2CA"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74957D00" w14:textId="77777777" w:rsidR="00BE23AB" w:rsidRPr="00784D38" w:rsidRDefault="00BE23AB" w:rsidP="00387ACE">
            <w:pPr>
              <w:spacing w:before="0" w:after="0"/>
              <w:rPr>
                <w:sz w:val="20"/>
                <w:szCs w:val="20"/>
              </w:rPr>
            </w:pPr>
          </w:p>
          <w:p w14:paraId="25E95F3D" w14:textId="77777777" w:rsidR="00BE23AB" w:rsidRPr="00784D38" w:rsidRDefault="00BE23AB" w:rsidP="00387ACE">
            <w:pPr>
              <w:spacing w:before="0" w:after="0"/>
              <w:rPr>
                <w:sz w:val="20"/>
                <w:szCs w:val="20"/>
              </w:rPr>
            </w:pPr>
          </w:p>
          <w:p w14:paraId="04F772EB" w14:textId="77777777" w:rsidR="00BE23AB" w:rsidRPr="00784D38" w:rsidRDefault="00BE23AB" w:rsidP="00387ACE">
            <w:pPr>
              <w:spacing w:before="0" w:after="0"/>
              <w:rPr>
                <w:sz w:val="20"/>
                <w:szCs w:val="20"/>
              </w:rPr>
            </w:pPr>
            <w:r w:rsidRPr="00784D38">
              <w:rPr>
                <w:sz w:val="20"/>
                <w:szCs w:val="20"/>
              </w:rPr>
              <w:t>Etc.</w:t>
            </w:r>
          </w:p>
        </w:tc>
        <w:tc>
          <w:tcPr>
            <w:tcW w:w="0" w:type="auto"/>
          </w:tcPr>
          <w:p w14:paraId="240046FD"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39B0126E"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32BFDA7B" w14:textId="77777777" w:rsidR="00BE23AB" w:rsidRPr="00784D38" w:rsidRDefault="00BE23AB" w:rsidP="00387ACE">
            <w:pPr>
              <w:spacing w:before="0" w:after="0"/>
              <w:rPr>
                <w:sz w:val="20"/>
                <w:szCs w:val="20"/>
              </w:rPr>
            </w:pPr>
          </w:p>
          <w:p w14:paraId="052D7655" w14:textId="77777777" w:rsidR="00BE23AB" w:rsidRPr="00784D38" w:rsidRDefault="00BE23AB" w:rsidP="00387ACE">
            <w:pPr>
              <w:spacing w:before="0" w:after="0"/>
              <w:rPr>
                <w:sz w:val="20"/>
                <w:szCs w:val="20"/>
              </w:rPr>
            </w:pPr>
          </w:p>
          <w:p w14:paraId="3C213F98" w14:textId="77777777" w:rsidR="00BE23AB" w:rsidRPr="00784D38" w:rsidRDefault="00BE23AB" w:rsidP="00387ACE">
            <w:pPr>
              <w:spacing w:before="0" w:after="0"/>
              <w:rPr>
                <w:sz w:val="20"/>
                <w:szCs w:val="20"/>
              </w:rPr>
            </w:pPr>
            <w:r w:rsidRPr="00784D38">
              <w:rPr>
                <w:sz w:val="20"/>
                <w:szCs w:val="20"/>
              </w:rPr>
              <w:t>Etc.</w:t>
            </w:r>
          </w:p>
        </w:tc>
        <w:tc>
          <w:tcPr>
            <w:tcW w:w="0" w:type="auto"/>
          </w:tcPr>
          <w:p w14:paraId="62918435"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389C4DE" w14:textId="77777777" w:rsidR="00BE23AB" w:rsidRPr="00784D38" w:rsidRDefault="00BE23AB" w:rsidP="00387ACE">
            <w:pPr>
              <w:spacing w:before="0" w:after="0"/>
              <w:rPr>
                <w:sz w:val="20"/>
                <w:szCs w:val="20"/>
              </w:rPr>
            </w:pPr>
          </w:p>
          <w:p w14:paraId="5752236E" w14:textId="77777777" w:rsidR="00BE23AB" w:rsidRPr="00784D38" w:rsidRDefault="00BE23AB" w:rsidP="00387ACE">
            <w:pPr>
              <w:spacing w:before="0" w:after="0"/>
              <w:rPr>
                <w:sz w:val="20"/>
                <w:szCs w:val="20"/>
              </w:rPr>
            </w:pPr>
          </w:p>
          <w:p w14:paraId="0526284D" w14:textId="77777777" w:rsidR="00BE23AB" w:rsidRPr="00784D38" w:rsidRDefault="00BE23AB" w:rsidP="00387ACE">
            <w:pPr>
              <w:spacing w:before="0" w:after="0"/>
              <w:rPr>
                <w:sz w:val="20"/>
                <w:szCs w:val="20"/>
              </w:rPr>
            </w:pPr>
          </w:p>
          <w:p w14:paraId="23E4D6AF" w14:textId="77777777" w:rsidR="00BE23AB" w:rsidRPr="00784D38" w:rsidRDefault="00BE23AB" w:rsidP="00387ACE">
            <w:pPr>
              <w:spacing w:before="0" w:after="0"/>
              <w:rPr>
                <w:sz w:val="20"/>
                <w:szCs w:val="20"/>
              </w:rPr>
            </w:pPr>
            <w:r w:rsidRPr="00784D38">
              <w:rPr>
                <w:sz w:val="20"/>
                <w:szCs w:val="20"/>
              </w:rPr>
              <w:t>Etc.</w:t>
            </w:r>
          </w:p>
        </w:tc>
        <w:tc>
          <w:tcPr>
            <w:tcW w:w="0" w:type="auto"/>
          </w:tcPr>
          <w:p w14:paraId="1D0CC0B5"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D499E06" w14:textId="77777777" w:rsidR="00BE23AB" w:rsidRPr="00784D38" w:rsidRDefault="00BE23AB" w:rsidP="00387ACE">
            <w:pPr>
              <w:spacing w:before="0" w:after="0"/>
              <w:rPr>
                <w:sz w:val="20"/>
                <w:szCs w:val="20"/>
              </w:rPr>
            </w:pPr>
          </w:p>
          <w:p w14:paraId="5C3FFD7B" w14:textId="77777777" w:rsidR="00BE23AB" w:rsidRPr="00784D38" w:rsidRDefault="00BE23AB" w:rsidP="00387ACE">
            <w:pPr>
              <w:spacing w:before="0" w:after="0"/>
              <w:rPr>
                <w:sz w:val="20"/>
                <w:szCs w:val="20"/>
              </w:rPr>
            </w:pPr>
          </w:p>
          <w:p w14:paraId="1DEC4575" w14:textId="77777777" w:rsidR="00BE23AB" w:rsidRPr="00784D38" w:rsidRDefault="00BE23AB" w:rsidP="00387ACE">
            <w:pPr>
              <w:spacing w:before="0" w:after="0"/>
              <w:rPr>
                <w:sz w:val="20"/>
                <w:szCs w:val="20"/>
              </w:rPr>
            </w:pPr>
          </w:p>
          <w:p w14:paraId="0C3150F4" w14:textId="77777777" w:rsidR="00BE23AB" w:rsidRPr="00784D38" w:rsidRDefault="00BE23AB" w:rsidP="00387ACE">
            <w:pPr>
              <w:spacing w:before="0" w:after="0"/>
              <w:rPr>
                <w:sz w:val="20"/>
                <w:szCs w:val="20"/>
              </w:rPr>
            </w:pPr>
            <w:r w:rsidRPr="00784D38">
              <w:rPr>
                <w:sz w:val="20"/>
                <w:szCs w:val="20"/>
              </w:rPr>
              <w:t>Etc.</w:t>
            </w:r>
          </w:p>
        </w:tc>
      </w:tr>
      <w:tr w:rsidR="00BE23AB" w:rsidRPr="00784D38" w14:paraId="6651475C" w14:textId="77777777" w:rsidTr="00387ACE">
        <w:trPr>
          <w:trHeight w:val="120"/>
        </w:trPr>
        <w:tc>
          <w:tcPr>
            <w:tcW w:w="0" w:type="auto"/>
            <w:gridSpan w:val="7"/>
          </w:tcPr>
          <w:p w14:paraId="79383926" w14:textId="77777777" w:rsidR="00BE23AB" w:rsidRPr="00784D38" w:rsidRDefault="00BE23AB" w:rsidP="00387ACE">
            <w:pPr>
              <w:spacing w:before="0" w:after="0"/>
              <w:rPr>
                <w:b/>
                <w:bCs/>
                <w:sz w:val="20"/>
                <w:szCs w:val="20"/>
              </w:rPr>
            </w:pPr>
          </w:p>
          <w:p w14:paraId="7CF56F3F" w14:textId="77777777" w:rsidR="00BE23AB" w:rsidRPr="00A04C3B" w:rsidRDefault="00BE23AB" w:rsidP="00387ACE">
            <w:pPr>
              <w:spacing w:before="0" w:after="0"/>
              <w:rPr>
                <w:b/>
                <w:bCs/>
                <w:sz w:val="24"/>
                <w:szCs w:val="24"/>
              </w:rPr>
            </w:pPr>
            <w:r w:rsidRPr="00A04C3B">
              <w:rPr>
                <w:b/>
                <w:bCs/>
                <w:sz w:val="24"/>
                <w:szCs w:val="24"/>
              </w:rPr>
              <w:t>Schedule 8 medicinal cannabis products:</w:t>
            </w:r>
          </w:p>
          <w:p w14:paraId="6EB9BB3F" w14:textId="77777777" w:rsidR="00BE23AB" w:rsidRPr="00784D38" w:rsidRDefault="00BE23AB" w:rsidP="00387ACE">
            <w:pPr>
              <w:spacing w:before="0" w:after="0"/>
              <w:rPr>
                <w:sz w:val="20"/>
                <w:szCs w:val="20"/>
              </w:rPr>
            </w:pPr>
          </w:p>
        </w:tc>
      </w:tr>
      <w:tr w:rsidR="00BE23AB" w:rsidRPr="00784D38" w14:paraId="252C38D2" w14:textId="77777777" w:rsidTr="00387ACE">
        <w:trPr>
          <w:trHeight w:val="95"/>
        </w:trPr>
        <w:tc>
          <w:tcPr>
            <w:tcW w:w="0" w:type="auto"/>
          </w:tcPr>
          <w:p w14:paraId="572B8EC7" w14:textId="77777777" w:rsidR="00BE23AB" w:rsidRPr="00784D38" w:rsidRDefault="00BE23AB" w:rsidP="00387ACE">
            <w:pPr>
              <w:spacing w:before="0" w:after="0"/>
              <w:rPr>
                <w:b/>
                <w:bCs/>
                <w:sz w:val="20"/>
                <w:szCs w:val="20"/>
              </w:rPr>
            </w:pPr>
            <w:r w:rsidRPr="00784D38">
              <w:rPr>
                <w:b/>
                <w:bCs/>
                <w:sz w:val="20"/>
                <w:szCs w:val="20"/>
              </w:rPr>
              <w:t>Dosage Form:</w:t>
            </w:r>
          </w:p>
        </w:tc>
        <w:tc>
          <w:tcPr>
            <w:tcW w:w="0" w:type="auto"/>
          </w:tcPr>
          <w:p w14:paraId="3D1159E2" w14:textId="77777777" w:rsidR="00BE23AB" w:rsidRPr="00784D38" w:rsidRDefault="00BE23AB" w:rsidP="00387ACE">
            <w:pPr>
              <w:spacing w:before="0" w:after="0"/>
              <w:rPr>
                <w:sz w:val="20"/>
                <w:szCs w:val="20"/>
              </w:rPr>
            </w:pPr>
            <w:r w:rsidRPr="00784D38">
              <w:rPr>
                <w:sz w:val="20"/>
                <w:szCs w:val="20"/>
              </w:rPr>
              <w:t>Resins</w:t>
            </w:r>
          </w:p>
        </w:tc>
        <w:tc>
          <w:tcPr>
            <w:tcW w:w="0" w:type="auto"/>
          </w:tcPr>
          <w:p w14:paraId="5DB21B07" w14:textId="77777777" w:rsidR="00BE23AB" w:rsidRPr="00784D38" w:rsidRDefault="00BE23AB" w:rsidP="00387ACE">
            <w:pPr>
              <w:spacing w:before="0" w:after="0"/>
              <w:rPr>
                <w:sz w:val="20"/>
                <w:szCs w:val="20"/>
              </w:rPr>
            </w:pPr>
            <w:r w:rsidRPr="00784D38">
              <w:rPr>
                <w:sz w:val="20"/>
                <w:szCs w:val="20"/>
              </w:rPr>
              <w:t>Dried Flowers</w:t>
            </w:r>
          </w:p>
        </w:tc>
        <w:tc>
          <w:tcPr>
            <w:tcW w:w="0" w:type="auto"/>
          </w:tcPr>
          <w:p w14:paraId="14C3B2EA" w14:textId="77777777" w:rsidR="00BE23AB" w:rsidRPr="00784D38" w:rsidRDefault="00BE23AB" w:rsidP="00387ACE">
            <w:pPr>
              <w:spacing w:before="0" w:after="0"/>
              <w:rPr>
                <w:sz w:val="20"/>
                <w:szCs w:val="20"/>
              </w:rPr>
            </w:pPr>
            <w:r w:rsidRPr="00784D38">
              <w:rPr>
                <w:sz w:val="20"/>
                <w:szCs w:val="20"/>
              </w:rPr>
              <w:t>Dried</w:t>
            </w:r>
          </w:p>
          <w:p w14:paraId="32B3668B" w14:textId="77777777" w:rsidR="00BE23AB" w:rsidRPr="00784D38" w:rsidRDefault="00BE23AB" w:rsidP="00387ACE">
            <w:pPr>
              <w:spacing w:before="0" w:after="0"/>
              <w:rPr>
                <w:sz w:val="20"/>
                <w:szCs w:val="20"/>
              </w:rPr>
            </w:pPr>
            <w:r w:rsidRPr="00784D38">
              <w:rPr>
                <w:sz w:val="20"/>
                <w:szCs w:val="20"/>
              </w:rPr>
              <w:t xml:space="preserve">Herbs </w:t>
            </w:r>
          </w:p>
        </w:tc>
        <w:tc>
          <w:tcPr>
            <w:tcW w:w="0" w:type="auto"/>
            <w:tcBorders>
              <w:right w:val="single" w:sz="4" w:space="0" w:color="auto"/>
            </w:tcBorders>
          </w:tcPr>
          <w:p w14:paraId="2771AA6E" w14:textId="77777777" w:rsidR="00BE23AB" w:rsidRPr="00784D38" w:rsidRDefault="00BE23AB" w:rsidP="00387ACE">
            <w:pPr>
              <w:spacing w:before="0" w:after="0"/>
              <w:rPr>
                <w:sz w:val="20"/>
                <w:szCs w:val="20"/>
              </w:rPr>
            </w:pPr>
            <w:r w:rsidRPr="00784D38">
              <w:rPr>
                <w:sz w:val="20"/>
                <w:szCs w:val="20"/>
              </w:rPr>
              <w:t>Crystals</w:t>
            </w:r>
          </w:p>
        </w:tc>
        <w:tc>
          <w:tcPr>
            <w:tcW w:w="0" w:type="auto"/>
            <w:tcBorders>
              <w:top w:val="single" w:sz="4" w:space="0" w:color="auto"/>
              <w:left w:val="single" w:sz="4" w:space="0" w:color="auto"/>
              <w:bottom w:val="nil"/>
              <w:right w:val="nil"/>
            </w:tcBorders>
            <w:shd w:val="clear" w:color="auto" w:fill="D9D9D9" w:themeFill="background1" w:themeFillShade="D9"/>
          </w:tcPr>
          <w:p w14:paraId="4EA3FFD3" w14:textId="77777777" w:rsidR="00BE23AB" w:rsidRPr="00784D38" w:rsidRDefault="00BE23AB" w:rsidP="00387ACE">
            <w:pPr>
              <w:spacing w:before="0" w:after="0"/>
              <w:rPr>
                <w:sz w:val="20"/>
                <w:szCs w:val="20"/>
              </w:rPr>
            </w:pPr>
          </w:p>
        </w:tc>
        <w:tc>
          <w:tcPr>
            <w:tcW w:w="0" w:type="auto"/>
            <w:tcBorders>
              <w:top w:val="single" w:sz="4" w:space="0" w:color="auto"/>
              <w:left w:val="nil"/>
              <w:bottom w:val="nil"/>
              <w:right w:val="single" w:sz="4" w:space="0" w:color="auto"/>
            </w:tcBorders>
            <w:shd w:val="clear" w:color="auto" w:fill="D9D9D9" w:themeFill="background1" w:themeFillShade="D9"/>
          </w:tcPr>
          <w:p w14:paraId="049A0E88" w14:textId="77777777" w:rsidR="00BE23AB" w:rsidRPr="00784D38" w:rsidRDefault="00BE23AB" w:rsidP="00387ACE">
            <w:pPr>
              <w:spacing w:before="0" w:after="0"/>
              <w:rPr>
                <w:sz w:val="20"/>
                <w:szCs w:val="20"/>
              </w:rPr>
            </w:pPr>
          </w:p>
        </w:tc>
      </w:tr>
      <w:tr w:rsidR="00BE23AB" w:rsidRPr="00784D38" w14:paraId="6F13C531" w14:textId="77777777" w:rsidTr="00387ACE">
        <w:trPr>
          <w:trHeight w:val="333"/>
        </w:trPr>
        <w:tc>
          <w:tcPr>
            <w:tcW w:w="0" w:type="auto"/>
          </w:tcPr>
          <w:p w14:paraId="2C8C99B8" w14:textId="77777777" w:rsidR="00BE23AB" w:rsidRPr="00784D38" w:rsidRDefault="00BE23AB" w:rsidP="00387ACE">
            <w:pPr>
              <w:spacing w:before="0" w:after="0"/>
              <w:rPr>
                <w:b/>
                <w:bCs/>
                <w:sz w:val="20"/>
                <w:szCs w:val="20"/>
              </w:rPr>
            </w:pPr>
            <w:r w:rsidRPr="00784D38">
              <w:rPr>
                <w:b/>
                <w:bCs/>
                <w:sz w:val="20"/>
                <w:szCs w:val="20"/>
              </w:rPr>
              <w:t xml:space="preserve">Route of Administration: </w:t>
            </w:r>
          </w:p>
          <w:p w14:paraId="28F201FC" w14:textId="77777777" w:rsidR="00BE23AB" w:rsidRPr="00784D38" w:rsidRDefault="00BE23AB" w:rsidP="00387ACE">
            <w:pPr>
              <w:spacing w:before="0" w:after="0"/>
              <w:rPr>
                <w:b/>
                <w:bCs/>
                <w:sz w:val="20"/>
                <w:szCs w:val="20"/>
              </w:rPr>
            </w:pPr>
          </w:p>
        </w:tc>
        <w:tc>
          <w:tcPr>
            <w:tcW w:w="0" w:type="auto"/>
          </w:tcPr>
          <w:p w14:paraId="6742E7BA" w14:textId="77777777" w:rsidR="00BE23AB" w:rsidRPr="00784D38" w:rsidRDefault="00BE23AB" w:rsidP="00387ACE">
            <w:pPr>
              <w:spacing w:before="0" w:after="0"/>
              <w:rPr>
                <w:sz w:val="20"/>
                <w:szCs w:val="20"/>
              </w:rPr>
            </w:pPr>
            <w:r w:rsidRPr="00784D38">
              <w:rPr>
                <w:sz w:val="20"/>
                <w:szCs w:val="20"/>
              </w:rPr>
              <w:t>Inhalation</w:t>
            </w:r>
          </w:p>
        </w:tc>
        <w:tc>
          <w:tcPr>
            <w:tcW w:w="0" w:type="auto"/>
          </w:tcPr>
          <w:p w14:paraId="0CC0B9D8" w14:textId="77777777" w:rsidR="00BE23AB" w:rsidRPr="00784D38" w:rsidRDefault="00BE23AB" w:rsidP="00387ACE">
            <w:pPr>
              <w:spacing w:before="0" w:after="0"/>
              <w:rPr>
                <w:sz w:val="20"/>
                <w:szCs w:val="20"/>
              </w:rPr>
            </w:pPr>
            <w:r w:rsidRPr="00784D38">
              <w:rPr>
                <w:sz w:val="20"/>
                <w:szCs w:val="20"/>
              </w:rPr>
              <w:t xml:space="preserve">Inhalation and/or vaporisation </w:t>
            </w:r>
          </w:p>
        </w:tc>
        <w:tc>
          <w:tcPr>
            <w:tcW w:w="0" w:type="auto"/>
          </w:tcPr>
          <w:p w14:paraId="58A63CD4" w14:textId="77777777" w:rsidR="00BE23AB" w:rsidRPr="00784D38" w:rsidRDefault="00BE23AB" w:rsidP="00387ACE">
            <w:pPr>
              <w:spacing w:before="0" w:after="0"/>
              <w:rPr>
                <w:sz w:val="20"/>
                <w:szCs w:val="20"/>
              </w:rPr>
            </w:pPr>
            <w:r w:rsidRPr="00784D38">
              <w:rPr>
                <w:sz w:val="20"/>
                <w:szCs w:val="20"/>
              </w:rPr>
              <w:t xml:space="preserve">Inhalation and/or vaporisation </w:t>
            </w:r>
          </w:p>
        </w:tc>
        <w:tc>
          <w:tcPr>
            <w:tcW w:w="0" w:type="auto"/>
            <w:tcBorders>
              <w:right w:val="single" w:sz="4" w:space="0" w:color="auto"/>
            </w:tcBorders>
          </w:tcPr>
          <w:p w14:paraId="7C78750B" w14:textId="77777777" w:rsidR="00BE23AB" w:rsidRPr="00784D38" w:rsidRDefault="00BE23AB" w:rsidP="00387ACE">
            <w:pPr>
              <w:spacing w:before="0" w:after="0"/>
              <w:rPr>
                <w:sz w:val="20"/>
                <w:szCs w:val="20"/>
              </w:rPr>
            </w:pPr>
            <w:r w:rsidRPr="00784D38">
              <w:rPr>
                <w:sz w:val="20"/>
                <w:szCs w:val="20"/>
              </w:rPr>
              <w:t xml:space="preserve">Inhalation and/or vaporisation </w:t>
            </w:r>
          </w:p>
        </w:tc>
        <w:tc>
          <w:tcPr>
            <w:tcW w:w="0" w:type="auto"/>
            <w:tcBorders>
              <w:top w:val="nil"/>
              <w:left w:val="single" w:sz="4" w:space="0" w:color="auto"/>
              <w:bottom w:val="nil"/>
              <w:right w:val="nil"/>
            </w:tcBorders>
            <w:shd w:val="clear" w:color="auto" w:fill="D9D9D9" w:themeFill="background1" w:themeFillShade="D9"/>
          </w:tcPr>
          <w:p w14:paraId="342F13A5" w14:textId="77777777" w:rsidR="00BE23AB" w:rsidRPr="00784D38" w:rsidRDefault="00BE23AB" w:rsidP="00387ACE">
            <w:pPr>
              <w:spacing w:before="0" w:after="0"/>
              <w:rPr>
                <w:sz w:val="20"/>
                <w:szCs w:val="20"/>
              </w:rPr>
            </w:pPr>
          </w:p>
        </w:tc>
        <w:tc>
          <w:tcPr>
            <w:tcW w:w="0" w:type="auto"/>
            <w:tcBorders>
              <w:top w:val="nil"/>
              <w:left w:val="nil"/>
              <w:bottom w:val="nil"/>
              <w:right w:val="single" w:sz="4" w:space="0" w:color="auto"/>
            </w:tcBorders>
            <w:shd w:val="clear" w:color="auto" w:fill="D9D9D9" w:themeFill="background1" w:themeFillShade="D9"/>
          </w:tcPr>
          <w:p w14:paraId="0D11631B" w14:textId="77777777" w:rsidR="00BE23AB" w:rsidRPr="00784D38" w:rsidRDefault="00BE23AB" w:rsidP="00387ACE">
            <w:pPr>
              <w:spacing w:before="0" w:after="0"/>
              <w:rPr>
                <w:sz w:val="20"/>
                <w:szCs w:val="20"/>
              </w:rPr>
            </w:pPr>
          </w:p>
        </w:tc>
      </w:tr>
      <w:tr w:rsidR="00BE23AB" w:rsidRPr="00784D38" w14:paraId="1C8DDF62" w14:textId="77777777" w:rsidTr="00387ACE">
        <w:trPr>
          <w:trHeight w:val="821"/>
        </w:trPr>
        <w:tc>
          <w:tcPr>
            <w:tcW w:w="0" w:type="auto"/>
          </w:tcPr>
          <w:p w14:paraId="6480E674" w14:textId="77777777" w:rsidR="00BE23AB" w:rsidRPr="00784D38" w:rsidRDefault="00BE23AB" w:rsidP="00387ACE">
            <w:pPr>
              <w:spacing w:before="0" w:after="0"/>
              <w:rPr>
                <w:b/>
                <w:bCs/>
                <w:sz w:val="20"/>
                <w:szCs w:val="20"/>
              </w:rPr>
            </w:pPr>
            <w:r w:rsidRPr="00784D38">
              <w:rPr>
                <w:b/>
                <w:bCs/>
                <w:sz w:val="20"/>
                <w:szCs w:val="20"/>
              </w:rPr>
              <w:t>Indication/s:</w:t>
            </w:r>
          </w:p>
        </w:tc>
        <w:tc>
          <w:tcPr>
            <w:tcW w:w="0" w:type="auto"/>
          </w:tcPr>
          <w:p w14:paraId="4015E182"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22790B40"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18B1539E"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65E1A52B"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1C8A5B7C" w14:textId="77777777" w:rsidR="00BE23AB" w:rsidRPr="00784D38" w:rsidRDefault="00BE23AB" w:rsidP="00387ACE">
            <w:pPr>
              <w:spacing w:before="0" w:after="0"/>
              <w:rPr>
                <w:sz w:val="20"/>
                <w:szCs w:val="20"/>
              </w:rPr>
            </w:pPr>
            <w:r w:rsidRPr="00784D38">
              <w:rPr>
                <w:sz w:val="20"/>
                <w:szCs w:val="20"/>
              </w:rPr>
              <w:t>Etc.</w:t>
            </w:r>
          </w:p>
        </w:tc>
        <w:tc>
          <w:tcPr>
            <w:tcW w:w="0" w:type="auto"/>
          </w:tcPr>
          <w:p w14:paraId="02E45701"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0CEA6243"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16C84DDB" w14:textId="77777777" w:rsidR="00BE23AB" w:rsidRPr="00784D38" w:rsidRDefault="00BE23AB" w:rsidP="00387ACE">
            <w:pPr>
              <w:spacing w:before="0" w:after="0"/>
              <w:rPr>
                <w:sz w:val="20"/>
                <w:szCs w:val="20"/>
              </w:rPr>
            </w:pPr>
          </w:p>
          <w:p w14:paraId="1D5F86CB" w14:textId="77777777" w:rsidR="00BE23AB" w:rsidRPr="00784D38" w:rsidRDefault="00BE23AB" w:rsidP="00387ACE">
            <w:pPr>
              <w:spacing w:before="0" w:after="0"/>
              <w:rPr>
                <w:sz w:val="20"/>
                <w:szCs w:val="20"/>
              </w:rPr>
            </w:pPr>
          </w:p>
          <w:p w14:paraId="74C2E5D5" w14:textId="77777777" w:rsidR="00BE23AB" w:rsidRPr="00784D38" w:rsidRDefault="00BE23AB" w:rsidP="00387ACE">
            <w:pPr>
              <w:spacing w:before="0" w:after="0"/>
              <w:rPr>
                <w:sz w:val="20"/>
                <w:szCs w:val="20"/>
              </w:rPr>
            </w:pPr>
            <w:r w:rsidRPr="00784D38">
              <w:rPr>
                <w:sz w:val="20"/>
                <w:szCs w:val="20"/>
              </w:rPr>
              <w:t>Etc.</w:t>
            </w:r>
          </w:p>
        </w:tc>
        <w:tc>
          <w:tcPr>
            <w:tcW w:w="0" w:type="auto"/>
          </w:tcPr>
          <w:p w14:paraId="73F81AE4"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102CA4D4"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1BBC0035"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1660A4A8" w14:textId="77777777" w:rsidR="00BE23AB" w:rsidRPr="00784D38" w:rsidRDefault="00BE23AB" w:rsidP="00387ACE">
            <w:pPr>
              <w:spacing w:before="0" w:after="0"/>
              <w:rPr>
                <w:sz w:val="20"/>
                <w:szCs w:val="20"/>
              </w:rPr>
            </w:pPr>
          </w:p>
          <w:p w14:paraId="14998BBD" w14:textId="77777777" w:rsidR="00BE23AB" w:rsidRPr="00784D38" w:rsidRDefault="00BE23AB" w:rsidP="00387ACE">
            <w:pPr>
              <w:spacing w:before="0" w:after="0"/>
              <w:rPr>
                <w:sz w:val="20"/>
                <w:szCs w:val="20"/>
              </w:rPr>
            </w:pPr>
            <w:r w:rsidRPr="00784D38">
              <w:rPr>
                <w:sz w:val="20"/>
                <w:szCs w:val="20"/>
              </w:rPr>
              <w:t>Etc.</w:t>
            </w:r>
          </w:p>
        </w:tc>
        <w:tc>
          <w:tcPr>
            <w:tcW w:w="0" w:type="auto"/>
            <w:tcBorders>
              <w:right w:val="single" w:sz="4" w:space="0" w:color="auto"/>
            </w:tcBorders>
          </w:tcPr>
          <w:p w14:paraId="619288CE" w14:textId="77777777" w:rsidR="00BE23AB" w:rsidRPr="00784D38" w:rsidRDefault="00BE23AB" w:rsidP="00387ACE">
            <w:pPr>
              <w:spacing w:before="0" w:after="0"/>
              <w:rPr>
                <w:sz w:val="20"/>
                <w:szCs w:val="20"/>
              </w:rPr>
            </w:pPr>
            <w:r w:rsidRPr="00784D38">
              <w:rPr>
                <w:sz w:val="20"/>
                <w:szCs w:val="20"/>
              </w:rPr>
              <w:t>1.</w:t>
            </w:r>
            <w:r w:rsidRPr="00784D38">
              <w:rPr>
                <w:color w:val="002C47" w:themeColor="text1"/>
                <w:sz w:val="20"/>
                <w:szCs w:val="20"/>
              </w:rPr>
              <w:t>…….</w:t>
            </w:r>
          </w:p>
          <w:p w14:paraId="4D973B0D" w14:textId="77777777" w:rsidR="00BE23AB" w:rsidRPr="00784D38" w:rsidRDefault="00BE23AB" w:rsidP="00387ACE">
            <w:pPr>
              <w:spacing w:before="0" w:after="0"/>
              <w:rPr>
                <w:sz w:val="20"/>
                <w:szCs w:val="20"/>
              </w:rPr>
            </w:pPr>
            <w:r w:rsidRPr="00784D38">
              <w:rPr>
                <w:sz w:val="20"/>
                <w:szCs w:val="20"/>
              </w:rPr>
              <w:t>2.</w:t>
            </w:r>
            <w:r w:rsidRPr="00784D38">
              <w:rPr>
                <w:color w:val="002C47" w:themeColor="text1"/>
                <w:sz w:val="20"/>
                <w:szCs w:val="20"/>
              </w:rPr>
              <w:t>…….</w:t>
            </w:r>
          </w:p>
          <w:p w14:paraId="3DC130FF" w14:textId="77777777" w:rsidR="00BE23AB" w:rsidRPr="00784D38" w:rsidRDefault="00BE23AB" w:rsidP="00387ACE">
            <w:pPr>
              <w:spacing w:before="0" w:after="0"/>
              <w:rPr>
                <w:sz w:val="20"/>
                <w:szCs w:val="20"/>
              </w:rPr>
            </w:pPr>
            <w:r w:rsidRPr="00784D38">
              <w:rPr>
                <w:sz w:val="20"/>
                <w:szCs w:val="20"/>
              </w:rPr>
              <w:t>3.</w:t>
            </w:r>
            <w:r w:rsidRPr="00784D38">
              <w:rPr>
                <w:color w:val="002C47" w:themeColor="text1"/>
                <w:sz w:val="20"/>
                <w:szCs w:val="20"/>
              </w:rPr>
              <w:t>…….</w:t>
            </w:r>
          </w:p>
          <w:p w14:paraId="37818738" w14:textId="77777777" w:rsidR="00BE23AB" w:rsidRPr="00784D38" w:rsidRDefault="00BE23AB" w:rsidP="00387ACE">
            <w:pPr>
              <w:spacing w:before="0" w:after="0"/>
              <w:rPr>
                <w:sz w:val="20"/>
                <w:szCs w:val="20"/>
              </w:rPr>
            </w:pPr>
            <w:r w:rsidRPr="00784D38">
              <w:rPr>
                <w:sz w:val="20"/>
                <w:szCs w:val="20"/>
              </w:rPr>
              <w:t>4.</w:t>
            </w:r>
            <w:r w:rsidRPr="00784D38">
              <w:rPr>
                <w:color w:val="002C47" w:themeColor="text1"/>
                <w:sz w:val="20"/>
                <w:szCs w:val="20"/>
              </w:rPr>
              <w:t>…….</w:t>
            </w:r>
          </w:p>
          <w:p w14:paraId="7F2D4E59" w14:textId="77777777" w:rsidR="00BE23AB" w:rsidRPr="00784D38" w:rsidRDefault="00BE23AB" w:rsidP="00387ACE">
            <w:pPr>
              <w:spacing w:before="0" w:after="0"/>
              <w:rPr>
                <w:sz w:val="20"/>
                <w:szCs w:val="20"/>
              </w:rPr>
            </w:pPr>
            <w:r w:rsidRPr="00784D38">
              <w:rPr>
                <w:sz w:val="20"/>
                <w:szCs w:val="20"/>
              </w:rPr>
              <w:t>Etc.</w:t>
            </w:r>
          </w:p>
        </w:tc>
        <w:tc>
          <w:tcPr>
            <w:tcW w:w="0" w:type="auto"/>
            <w:tcBorders>
              <w:top w:val="nil"/>
              <w:left w:val="single" w:sz="4" w:space="0" w:color="auto"/>
              <w:bottom w:val="single" w:sz="4" w:space="0" w:color="auto"/>
              <w:right w:val="nil"/>
            </w:tcBorders>
            <w:shd w:val="clear" w:color="auto" w:fill="D9D9D9" w:themeFill="background1" w:themeFillShade="D9"/>
          </w:tcPr>
          <w:p w14:paraId="0823B8D4" w14:textId="77777777" w:rsidR="00BE23AB" w:rsidRPr="00784D38" w:rsidRDefault="00BE23AB" w:rsidP="00387ACE">
            <w:pPr>
              <w:spacing w:before="0" w:after="0"/>
              <w:rPr>
                <w:sz w:val="20"/>
                <w:szCs w:val="20"/>
              </w:rPr>
            </w:pPr>
          </w:p>
        </w:tc>
        <w:tc>
          <w:tcPr>
            <w:tcW w:w="0" w:type="auto"/>
            <w:tcBorders>
              <w:top w:val="nil"/>
              <w:left w:val="nil"/>
              <w:bottom w:val="single" w:sz="4" w:space="0" w:color="auto"/>
              <w:right w:val="single" w:sz="4" w:space="0" w:color="auto"/>
            </w:tcBorders>
            <w:shd w:val="clear" w:color="auto" w:fill="D9D9D9" w:themeFill="background1" w:themeFillShade="D9"/>
          </w:tcPr>
          <w:p w14:paraId="5D76404E" w14:textId="77777777" w:rsidR="00BE23AB" w:rsidRPr="00784D38" w:rsidRDefault="00BE23AB" w:rsidP="00387ACE">
            <w:pPr>
              <w:spacing w:before="0" w:after="0"/>
              <w:rPr>
                <w:sz w:val="20"/>
                <w:szCs w:val="20"/>
              </w:rPr>
            </w:pPr>
          </w:p>
        </w:tc>
      </w:tr>
    </w:tbl>
    <w:p w14:paraId="09BF6D6D" w14:textId="77777777" w:rsidR="00BE23AB" w:rsidRPr="005011CC" w:rsidRDefault="00BE23AB" w:rsidP="00BE23AB">
      <w:pPr>
        <w:pStyle w:val="ListBullet"/>
        <w:numPr>
          <w:ilvl w:val="0"/>
          <w:numId w:val="3"/>
        </w:numPr>
      </w:pPr>
      <w:r w:rsidRPr="005011CC">
        <w:t xml:space="preserve">the sites at which use is covered by the approval or </w:t>
      </w:r>
      <w:proofErr w:type="gramStart"/>
      <w:r w:rsidRPr="005011CC">
        <w:t>endorsement</w:t>
      </w:r>
      <w:proofErr w:type="gramEnd"/>
    </w:p>
    <w:p w14:paraId="0FD59244" w14:textId="77777777" w:rsidR="00BE23AB" w:rsidRPr="005011CC" w:rsidRDefault="00BE23AB" w:rsidP="00BE23AB">
      <w:pPr>
        <w:pStyle w:val="ListBullet"/>
        <w:numPr>
          <w:ilvl w:val="0"/>
          <w:numId w:val="3"/>
        </w:numPr>
      </w:pPr>
      <w:r w:rsidRPr="005011CC">
        <w:t xml:space="preserve">any conditions that have been applied to the approval or </w:t>
      </w:r>
      <w:proofErr w:type="gramStart"/>
      <w:r w:rsidRPr="005011CC">
        <w:t>endorsement</w:t>
      </w:r>
      <w:proofErr w:type="gramEnd"/>
    </w:p>
    <w:p w14:paraId="0F58FFDE" w14:textId="77777777" w:rsidR="00BE23AB" w:rsidRPr="005011CC" w:rsidRDefault="00BE23AB" w:rsidP="00BE23AB">
      <w:pPr>
        <w:pStyle w:val="ListBullet"/>
        <w:numPr>
          <w:ilvl w:val="0"/>
          <w:numId w:val="3"/>
        </w:numPr>
      </w:pPr>
      <w:r w:rsidRPr="005011CC">
        <w:t>a declaration that all necessary documentation has been reviewed.</w:t>
      </w:r>
    </w:p>
    <w:p w14:paraId="645C8DDC" w14:textId="77777777" w:rsidR="00BE23AB" w:rsidRPr="005011CC" w:rsidRDefault="00BE23AB" w:rsidP="00BE23AB">
      <w:pPr>
        <w:pStyle w:val="ListBullet"/>
        <w:numPr>
          <w:ilvl w:val="0"/>
          <w:numId w:val="3"/>
        </w:numPr>
      </w:pPr>
      <w:r w:rsidRPr="005011CC">
        <w:t>The declaration that all necessary documentation has been reviewed may be either included in the letter or approval or endorsement, or as a separate document.</w:t>
      </w:r>
    </w:p>
    <w:p w14:paraId="4DBB2330" w14:textId="77777777" w:rsidR="00BE23AB" w:rsidRDefault="00BE23AB" w:rsidP="00BE23AB">
      <w:r w:rsidRPr="005011CC">
        <w:lastRenderedPageBreak/>
        <w:t>This letter should be signed by the chair of the approving ethics committee or an appropriate representative of the endorsing specialist college.</w:t>
      </w:r>
    </w:p>
    <w:p w14:paraId="1F41C25B" w14:textId="77777777" w:rsidR="00BE23AB" w:rsidRDefault="00BE23AB" w:rsidP="00BE23AB">
      <w:pPr>
        <w:pStyle w:val="Heading3"/>
        <w:spacing w:before="360"/>
      </w:pPr>
      <w:bookmarkStart w:id="107" w:name="_Toc87540039"/>
      <w:bookmarkStart w:id="108" w:name="_Toc121127853"/>
      <w:r>
        <w:t xml:space="preserve">Applications not approved or </w:t>
      </w:r>
      <w:proofErr w:type="gramStart"/>
      <w:r>
        <w:t>endorsed</w:t>
      </w:r>
      <w:bookmarkEnd w:id="107"/>
      <w:bookmarkEnd w:id="108"/>
      <w:proofErr w:type="gramEnd"/>
    </w:p>
    <w:p w14:paraId="38C9CF56" w14:textId="77777777" w:rsidR="00BE23AB" w:rsidRDefault="00BE23AB" w:rsidP="00BE23AB">
      <w:r>
        <w:t>If you do not approve or endorse an application, provide the medical practitioner with the reason for your decision in writing.</w:t>
      </w:r>
    </w:p>
    <w:p w14:paraId="3123EB83" w14:textId="77777777" w:rsidR="00BE23AB" w:rsidRDefault="00BE23AB" w:rsidP="00BE23AB">
      <w:pPr>
        <w:pStyle w:val="Heading3"/>
        <w:spacing w:before="360"/>
      </w:pPr>
      <w:bookmarkStart w:id="109" w:name="_Toc87540040"/>
      <w:bookmarkStart w:id="110" w:name="_Toc121127854"/>
      <w:r>
        <w:t>Withdrawal of approval or endorsement</w:t>
      </w:r>
      <w:bookmarkEnd w:id="109"/>
      <w:bookmarkEnd w:id="110"/>
    </w:p>
    <w:p w14:paraId="4A0ECF30" w14:textId="77777777" w:rsidR="00BE23AB" w:rsidRDefault="00BE23AB" w:rsidP="00BE23AB">
      <w:r>
        <w:t xml:space="preserve">You may withdraw your approval or endorsement of a medical practitioner if it is no longer appropriate. </w:t>
      </w:r>
    </w:p>
    <w:p w14:paraId="352F5308" w14:textId="77777777" w:rsidR="00BE23AB" w:rsidRDefault="00BE23AB" w:rsidP="00BE23AB">
      <w:r>
        <w:t>This could include circumstances where:</w:t>
      </w:r>
    </w:p>
    <w:p w14:paraId="739137A4" w14:textId="77777777" w:rsidR="00BE23AB" w:rsidRDefault="00BE23AB" w:rsidP="00BE23AB">
      <w:pPr>
        <w:pStyle w:val="ListBullet"/>
        <w:numPr>
          <w:ilvl w:val="0"/>
          <w:numId w:val="3"/>
        </w:numPr>
      </w:pPr>
      <w:r>
        <w:t xml:space="preserve">the medical practitioner has not met the conditions that you have applied to their approval or </w:t>
      </w:r>
      <w:proofErr w:type="gramStart"/>
      <w:r>
        <w:t>endorsement</w:t>
      </w:r>
      <w:proofErr w:type="gramEnd"/>
    </w:p>
    <w:p w14:paraId="25107156" w14:textId="77777777" w:rsidR="00BE23AB" w:rsidRDefault="00BE23AB" w:rsidP="00BE23AB">
      <w:pPr>
        <w:pStyle w:val="ListBullet"/>
        <w:numPr>
          <w:ilvl w:val="0"/>
          <w:numId w:val="3"/>
        </w:numPr>
      </w:pPr>
      <w:r>
        <w:t xml:space="preserve">you become aware that the medical practitioner is using the ‘unapproved’ good </w:t>
      </w:r>
      <w:proofErr w:type="gramStart"/>
      <w:r>
        <w:t>inappropriately</w:t>
      </w:r>
      <w:proofErr w:type="gramEnd"/>
    </w:p>
    <w:p w14:paraId="02D8B34F" w14:textId="77777777" w:rsidR="00BE23AB" w:rsidRDefault="00BE23AB" w:rsidP="00BE23AB">
      <w:pPr>
        <w:pStyle w:val="ListBullet"/>
        <w:numPr>
          <w:ilvl w:val="0"/>
          <w:numId w:val="3"/>
        </w:numPr>
      </w:pPr>
      <w:r>
        <w:t xml:space="preserve">a suitable alternative good becomes available in the ARTG and authorised for supply in </w:t>
      </w:r>
      <w:proofErr w:type="gramStart"/>
      <w:r>
        <w:t>Australia</w:t>
      </w:r>
      <w:proofErr w:type="gramEnd"/>
    </w:p>
    <w:p w14:paraId="4E63809E" w14:textId="77777777" w:rsidR="00BE23AB" w:rsidRDefault="00BE23AB" w:rsidP="00BE23AB">
      <w:pPr>
        <w:pStyle w:val="ListBullet"/>
        <w:numPr>
          <w:ilvl w:val="0"/>
          <w:numId w:val="3"/>
        </w:numPr>
      </w:pPr>
      <w:r>
        <w:t xml:space="preserve">you become aware of significant concerns about the good’s </w:t>
      </w:r>
      <w:proofErr w:type="gramStart"/>
      <w:r>
        <w:t>safety</w:t>
      </w:r>
      <w:proofErr w:type="gramEnd"/>
    </w:p>
    <w:p w14:paraId="5A49F99A" w14:textId="77777777" w:rsidR="00BE23AB" w:rsidRDefault="00BE23AB" w:rsidP="00BE23AB">
      <w:r>
        <w:t xml:space="preserve">If you withdraw your approval or endorsement of a medical practitioner, </w:t>
      </w:r>
      <w:r w:rsidRPr="00766AE2">
        <w:t xml:space="preserve">inform </w:t>
      </w:r>
      <w:r>
        <w:t>the TGA of this decision.</w:t>
      </w:r>
    </w:p>
    <w:p w14:paraId="62F96F5F" w14:textId="77777777" w:rsidR="00BE23AB" w:rsidRDefault="00BE23AB" w:rsidP="00BE23AB">
      <w:pPr>
        <w:pStyle w:val="Heading2"/>
      </w:pPr>
      <w:bookmarkStart w:id="111" w:name="_Toc87540041"/>
      <w:bookmarkStart w:id="112" w:name="_Toc121127855"/>
      <w:r>
        <w:t>Information for sponsors</w:t>
      </w:r>
      <w:bookmarkEnd w:id="111"/>
      <w:bookmarkEnd w:id="112"/>
    </w:p>
    <w:p w14:paraId="163274F8" w14:textId="77777777" w:rsidR="00BE23AB" w:rsidRDefault="00BE23AB" w:rsidP="00BE23AB">
      <w:pPr>
        <w:pStyle w:val="Heading3"/>
      </w:pPr>
      <w:bookmarkStart w:id="113" w:name="_Toc87540042"/>
      <w:bookmarkStart w:id="114" w:name="_Toc121127856"/>
      <w:r>
        <w:t>Releasing ‘unapproved’ goods to medical practitioners</w:t>
      </w:r>
      <w:bookmarkEnd w:id="113"/>
      <w:bookmarkEnd w:id="114"/>
    </w:p>
    <w:p w14:paraId="28BDFF53" w14:textId="77777777" w:rsidR="00BE23AB" w:rsidRDefault="00BE23AB" w:rsidP="00BE23AB">
      <w:r>
        <w:t>A sponsor should be satisfied that the prescriber holds a valid TGA approval letter before the release of an ‘unapproved’ good.</w:t>
      </w:r>
    </w:p>
    <w:p w14:paraId="1BF8D398" w14:textId="77777777" w:rsidR="00BE23AB" w:rsidRPr="003B3F43" w:rsidRDefault="00BE23AB" w:rsidP="00BE23AB">
      <w:pPr>
        <w:pStyle w:val="Heading4"/>
      </w:pPr>
      <w:bookmarkStart w:id="115" w:name="_Toc121127857"/>
      <w:r w:rsidRPr="003B3F43">
        <w:t>Reporting requirements</w:t>
      </w:r>
      <w:bookmarkEnd w:id="115"/>
    </w:p>
    <w:p w14:paraId="33DA29CA" w14:textId="77777777" w:rsidR="00BE23AB" w:rsidRPr="00BE23AB" w:rsidRDefault="00BE23AB" w:rsidP="00BE23AB">
      <w:pPr>
        <w:rPr>
          <w:rFonts w:asciiTheme="majorHAnsi" w:hAnsiTheme="majorHAnsi" w:cstheme="majorHAnsi"/>
          <w:b/>
          <w:bCs/>
        </w:rPr>
      </w:pPr>
      <w:r w:rsidRPr="00BE23AB">
        <w:rPr>
          <w:rFonts w:asciiTheme="majorHAnsi" w:hAnsiTheme="majorHAnsi" w:cstheme="majorHAnsi"/>
          <w:b/>
          <w:bCs/>
        </w:rPr>
        <w:t xml:space="preserve">Sponsor reporting obligations under the </w:t>
      </w:r>
      <w:hyperlink r:id="rId42" w:history="1">
        <w:r w:rsidRPr="00BE23AB">
          <w:rPr>
            <w:rStyle w:val="Hyperlink"/>
            <w:rFonts w:asciiTheme="majorHAnsi" w:hAnsiTheme="majorHAnsi" w:cstheme="majorHAnsi"/>
            <w:b/>
            <w:bCs/>
            <w:i/>
            <w:iCs/>
          </w:rPr>
          <w:t>Therapeutic Goods Regulations 1990</w:t>
        </w:r>
        <w:r w:rsidRPr="00BE23AB">
          <w:rPr>
            <w:rStyle w:val="Hyperlink"/>
            <w:rFonts w:asciiTheme="majorHAnsi" w:hAnsiTheme="majorHAnsi" w:cstheme="majorHAnsi"/>
            <w:b/>
            <w:bCs/>
          </w:rPr>
          <w:t xml:space="preserve"> (Regulation 47B).</w:t>
        </w:r>
      </w:hyperlink>
    </w:p>
    <w:p w14:paraId="5381ED5E" w14:textId="480A2596" w:rsidR="00BE23AB" w:rsidRPr="00BE23AB" w:rsidRDefault="00BE23AB" w:rsidP="00BE23AB">
      <w:pPr>
        <w:rPr>
          <w:rFonts w:asciiTheme="majorHAnsi" w:hAnsiTheme="majorHAnsi" w:cstheme="majorHAnsi"/>
          <w:b/>
          <w:bCs/>
        </w:rPr>
      </w:pPr>
      <w:r w:rsidRPr="00BE23AB">
        <w:rPr>
          <w:rFonts w:asciiTheme="majorHAnsi" w:hAnsiTheme="majorHAnsi" w:cstheme="majorHAnsi"/>
        </w:rPr>
        <w:t>Sponsors are reminded that they must report to the TGA every six months in relation to unapproved therapeutic goods supplied under the SAS and Authorised Prescriber schemes.</w:t>
      </w:r>
    </w:p>
    <w:p w14:paraId="3A7C17D3" w14:textId="77777777" w:rsidR="00BE23AB" w:rsidRPr="00BE23AB" w:rsidRDefault="00BE23AB" w:rsidP="00BE23AB">
      <w:pPr>
        <w:rPr>
          <w:rFonts w:asciiTheme="majorHAnsi" w:eastAsia="Times New Roman" w:hAnsiTheme="majorHAnsi" w:cstheme="majorHAnsi"/>
          <w:lang w:eastAsia="en-AU"/>
        </w:rPr>
      </w:pPr>
      <w:r w:rsidRPr="00BE23AB">
        <w:rPr>
          <w:rFonts w:asciiTheme="majorHAnsi" w:eastAsia="Times New Roman" w:hAnsiTheme="majorHAnsi" w:cstheme="majorHAnsi"/>
          <w:lang w:eastAsia="en-AU"/>
        </w:rPr>
        <w:t xml:space="preserve">Regulation 47B of the </w:t>
      </w:r>
      <w:r w:rsidRPr="00BE23AB">
        <w:rPr>
          <w:rFonts w:asciiTheme="majorHAnsi" w:eastAsia="Times New Roman" w:hAnsiTheme="majorHAnsi" w:cstheme="majorHAnsi"/>
          <w:i/>
          <w:iCs/>
          <w:lang w:eastAsia="en-AU"/>
        </w:rPr>
        <w:t>Therapeutic Goods Regulations 1990</w:t>
      </w:r>
      <w:r w:rsidRPr="00BE23AB">
        <w:rPr>
          <w:rFonts w:asciiTheme="majorHAnsi" w:eastAsia="Times New Roman" w:hAnsiTheme="majorHAnsi" w:cstheme="majorHAnsi"/>
          <w:lang w:eastAsia="en-AU"/>
        </w:rPr>
        <w:t xml:space="preserve"> outlines the requirement for the sponsor (importer) to submit six-monthly supply reports to the TGA listing the product (trade name) details and quantities supplied in Australia in the relevant period. Reporting periods are 1 January - 30 June (inclusive) and 1 July - 31 December (inclusive). Reports must be submitted within 1 month of the end of the relevant reporting period.</w:t>
      </w:r>
    </w:p>
    <w:p w14:paraId="45AAC9FA" w14:textId="77777777" w:rsidR="00BE23AB" w:rsidRPr="00BE23AB" w:rsidRDefault="00BE23AB" w:rsidP="00BE23AB">
      <w:pPr>
        <w:rPr>
          <w:rFonts w:asciiTheme="majorHAnsi" w:hAnsiTheme="majorHAnsi" w:cstheme="majorHAnsi"/>
        </w:rPr>
      </w:pPr>
      <w:r w:rsidRPr="00BE23AB">
        <w:rPr>
          <w:rFonts w:asciiTheme="majorHAnsi" w:hAnsiTheme="majorHAnsi" w:cstheme="majorHAnsi"/>
        </w:rPr>
        <w:t xml:space="preserve">Sponsor six monthly reporting data for medicinal cannabis products are used to publish </w:t>
      </w:r>
      <w:hyperlink r:id="rId43" w:history="1">
        <w:r w:rsidRPr="00BE23AB">
          <w:rPr>
            <w:rStyle w:val="Hyperlink"/>
            <w:rFonts w:asciiTheme="majorHAnsi" w:hAnsiTheme="majorHAnsi" w:cstheme="majorHAnsi"/>
            <w:szCs w:val="22"/>
          </w:rPr>
          <w:t>medicinal cannabis product details by active ingredient category</w:t>
        </w:r>
      </w:hyperlink>
      <w:r w:rsidRPr="00BE23AB">
        <w:rPr>
          <w:rFonts w:asciiTheme="majorHAnsi" w:hAnsiTheme="majorHAnsi" w:cstheme="majorHAnsi"/>
        </w:rPr>
        <w:t xml:space="preserve">. </w:t>
      </w:r>
      <w:bookmarkStart w:id="116" w:name="_Six_monthly_report"/>
      <w:bookmarkEnd w:id="116"/>
      <w:r w:rsidRPr="00BE23AB">
        <w:rPr>
          <w:rFonts w:asciiTheme="majorHAnsi" w:hAnsiTheme="majorHAnsi" w:cstheme="majorHAnsi"/>
        </w:rPr>
        <w:t xml:space="preserve">This list aims to support health care professionals in prescribing and supplying medicinal cannabis products therefore timely submission of </w:t>
      </w:r>
      <w:proofErr w:type="gramStart"/>
      <w:r w:rsidRPr="00BE23AB">
        <w:rPr>
          <w:rFonts w:asciiTheme="majorHAnsi" w:hAnsiTheme="majorHAnsi" w:cstheme="majorHAnsi"/>
        </w:rPr>
        <w:t>six monthly</w:t>
      </w:r>
      <w:proofErr w:type="gramEnd"/>
      <w:r w:rsidRPr="00BE23AB">
        <w:rPr>
          <w:rFonts w:asciiTheme="majorHAnsi" w:hAnsiTheme="majorHAnsi" w:cstheme="majorHAnsi"/>
        </w:rPr>
        <w:t xml:space="preserve"> reports is essential.</w:t>
      </w:r>
    </w:p>
    <w:p w14:paraId="373A85D0" w14:textId="12C2C5CD" w:rsidR="00BE23AB" w:rsidRDefault="00BE23AB" w:rsidP="00BE23AB">
      <w:pPr>
        <w:rPr>
          <w:rFonts w:asciiTheme="majorHAnsi" w:hAnsiTheme="majorHAnsi" w:cstheme="majorHAnsi"/>
          <w:color w:val="002C47" w:themeColor="text1"/>
        </w:rPr>
      </w:pPr>
      <w:r w:rsidRPr="00BE23AB">
        <w:rPr>
          <w:rFonts w:asciiTheme="majorHAnsi" w:hAnsiTheme="majorHAnsi" w:cstheme="majorHAnsi"/>
        </w:rPr>
        <w:lastRenderedPageBreak/>
        <w:t xml:space="preserve">Please complete the below template and </w:t>
      </w:r>
      <w:r w:rsidRPr="00BE23AB">
        <w:rPr>
          <w:rFonts w:asciiTheme="majorHAnsi" w:hAnsiTheme="majorHAnsi" w:cstheme="majorHAnsi"/>
          <w:color w:val="002C47" w:themeColor="text1"/>
        </w:rPr>
        <w:t>email the report to</w:t>
      </w:r>
      <w:r>
        <w:rPr>
          <w:rFonts w:asciiTheme="majorHAnsi" w:hAnsiTheme="majorHAnsi" w:cstheme="majorHAnsi"/>
          <w:color w:val="002C47" w:themeColor="text1"/>
        </w:rPr>
        <w:t>:</w:t>
      </w:r>
    </w:p>
    <w:p w14:paraId="70FD2E42" w14:textId="21C1F775" w:rsidR="00BE23AB" w:rsidRPr="00BE23AB" w:rsidRDefault="00000000" w:rsidP="00BE23AB">
      <w:pPr>
        <w:pStyle w:val="ListBullet"/>
      </w:pPr>
      <w:hyperlink r:id="rId44" w:history="1">
        <w:r w:rsidR="00BE23AB" w:rsidRPr="00AA57BA">
          <w:rPr>
            <w:rStyle w:val="Hyperlink"/>
          </w:rPr>
          <w:t>SAS@health.gov.au</w:t>
        </w:r>
      </w:hyperlink>
      <w:r w:rsidR="00BE23AB" w:rsidRPr="00BE23AB">
        <w:t xml:space="preserve"> - general therapeutic goods</w:t>
      </w:r>
    </w:p>
    <w:p w14:paraId="552B0903" w14:textId="2CCAC3DE" w:rsidR="00BE23AB" w:rsidRDefault="00000000" w:rsidP="00BE23AB">
      <w:pPr>
        <w:pStyle w:val="ListBullet"/>
      </w:pPr>
      <w:hyperlink r:id="rId45" w:history="1">
        <w:r w:rsidR="00BE23AB" w:rsidRPr="00AA57BA">
          <w:rPr>
            <w:rStyle w:val="Hyperlink"/>
          </w:rPr>
          <w:t>medicinal.cannabis@health.gov.au</w:t>
        </w:r>
      </w:hyperlink>
      <w:r w:rsidR="00BE23AB">
        <w:t xml:space="preserve"> </w:t>
      </w:r>
      <w:r w:rsidR="00BE23AB" w:rsidRPr="00BE23AB">
        <w:t>- medicinal cannabis products</w:t>
      </w:r>
    </w:p>
    <w:p w14:paraId="481287DF" w14:textId="4EA4C6B1" w:rsidR="00BE23AB" w:rsidRDefault="00BE23AB" w:rsidP="00BE23AB">
      <w:pPr>
        <w:rPr>
          <w:b/>
          <w:bCs/>
        </w:rPr>
      </w:pPr>
      <w:bookmarkStart w:id="117" w:name="_Reporting_adverse_events"/>
      <w:bookmarkStart w:id="118" w:name="_Toc87540043"/>
      <w:bookmarkEnd w:id="117"/>
      <w:r w:rsidRPr="00BE23AB">
        <w:t xml:space="preserve">The approved </w:t>
      </w:r>
      <w:hyperlink r:id="rId46" w:history="1">
        <w:r w:rsidRPr="00BE23AB">
          <w:rPr>
            <w:rStyle w:val="Hyperlink"/>
          </w:rPr>
          <w:t>reporting form is available on the TGA website</w:t>
        </w:r>
      </w:hyperlink>
      <w:r>
        <w:t>.</w:t>
      </w:r>
    </w:p>
    <w:p w14:paraId="3DBC034F" w14:textId="4FAD57EA" w:rsidR="00BE23AB" w:rsidRDefault="00BE23AB" w:rsidP="00DF28BB">
      <w:pPr>
        <w:pStyle w:val="Heading3"/>
      </w:pPr>
      <w:bookmarkStart w:id="119" w:name="_Toc121127858"/>
      <w:r>
        <w:t>Reporting adverse events and product defects</w:t>
      </w:r>
      <w:bookmarkEnd w:id="118"/>
      <w:bookmarkEnd w:id="119"/>
    </w:p>
    <w:p w14:paraId="70D7D2B3" w14:textId="77777777" w:rsidR="00BE23AB" w:rsidRDefault="00BE23AB" w:rsidP="00BE23AB">
      <w:r>
        <w:t>We encourage sponsors to report all adverse events and product defects to us. This helps us to monitor the safety of all therapeutic goods.</w:t>
      </w:r>
    </w:p>
    <w:p w14:paraId="22BB178A" w14:textId="77777777" w:rsidR="00BE23AB" w:rsidRDefault="00BE23AB" w:rsidP="00BE23AB">
      <w:r>
        <w:t>However, sponsors are expected to report:</w:t>
      </w:r>
    </w:p>
    <w:p w14:paraId="7E82BC01" w14:textId="77777777" w:rsidR="00BE23AB" w:rsidRDefault="00BE23AB" w:rsidP="00BE23AB">
      <w:pPr>
        <w:pStyle w:val="ListBullet"/>
        <w:numPr>
          <w:ilvl w:val="0"/>
          <w:numId w:val="3"/>
        </w:numPr>
      </w:pPr>
      <w:r>
        <w:t xml:space="preserve">fatal or life-threatening adverse reactions to us early - ideally within seven calendar days of becoming aware of them and then follow up with a more complete report within the next eight calendar </w:t>
      </w:r>
      <w:proofErr w:type="gramStart"/>
      <w:r>
        <w:t>days</w:t>
      </w:r>
      <w:proofErr w:type="gramEnd"/>
    </w:p>
    <w:p w14:paraId="78737F60" w14:textId="77777777" w:rsidR="00BE23AB" w:rsidRDefault="00BE23AB" w:rsidP="00BE23AB">
      <w:pPr>
        <w:pStyle w:val="ListBullet"/>
        <w:numPr>
          <w:ilvl w:val="0"/>
          <w:numId w:val="3"/>
        </w:numPr>
      </w:pPr>
      <w:r>
        <w:t xml:space="preserve">other serious and unexpected adverse reactions - within 15 calendar days and advise the TGA if you think any of these may have already been reported to </w:t>
      </w:r>
      <w:proofErr w:type="gramStart"/>
      <w:r>
        <w:t>us</w:t>
      </w:r>
      <w:proofErr w:type="gramEnd"/>
    </w:p>
    <w:p w14:paraId="01EA8063" w14:textId="77777777" w:rsidR="00BE23AB" w:rsidRDefault="00BE23AB" w:rsidP="00BE23AB">
      <w:r>
        <w:t>Advise the TGA as soon as possible of any information that could affect the risk-benefit assessment of the product or situations in which the product should be used.</w:t>
      </w:r>
    </w:p>
    <w:p w14:paraId="1C4C08D8" w14:textId="77777777" w:rsidR="00BE23AB" w:rsidRDefault="00BE23AB" w:rsidP="00BE23AB">
      <w:r>
        <w:t xml:space="preserve">There are various ways to report adverse events and product defects, which can be found on our website at </w:t>
      </w:r>
      <w:hyperlink r:id="rId47" w:history="1">
        <w:r>
          <w:rPr>
            <w:rStyle w:val="Hyperlink"/>
          </w:rPr>
          <w:t>Report a problem or side effect</w:t>
        </w:r>
      </w:hyperlink>
      <w:r>
        <w:t>.</w:t>
      </w:r>
    </w:p>
    <w:p w14:paraId="2BFC06C3" w14:textId="77777777" w:rsidR="00BE23AB" w:rsidRDefault="00BE23AB" w:rsidP="00BE23AB">
      <w:pPr>
        <w:pStyle w:val="Heading2"/>
      </w:pPr>
      <w:bookmarkStart w:id="120" w:name="_Toc87540044"/>
      <w:bookmarkStart w:id="121" w:name="_Toc121127859"/>
      <w:r>
        <w:t>Legal basis of the scheme</w:t>
      </w:r>
      <w:bookmarkEnd w:id="120"/>
      <w:bookmarkEnd w:id="121"/>
    </w:p>
    <w:p w14:paraId="7E9C2B78" w14:textId="77777777" w:rsidR="00BE23AB" w:rsidRDefault="00BE23AB" w:rsidP="00BE23AB">
      <w:r>
        <w:t xml:space="preserve">Therapeutic goods in Australia are regulated under the </w:t>
      </w:r>
      <w:hyperlink r:id="rId48" w:history="1">
        <w:r w:rsidRPr="005C5D59">
          <w:rPr>
            <w:rStyle w:val="Hyperlink"/>
            <w:i/>
          </w:rPr>
          <w:t>Therapeutic Goods Act 1989</w:t>
        </w:r>
      </w:hyperlink>
      <w:r>
        <w:t xml:space="preserve"> (the Act), the </w:t>
      </w:r>
      <w:hyperlink r:id="rId49" w:history="1">
        <w:r w:rsidRPr="005C5D59">
          <w:rPr>
            <w:rStyle w:val="Hyperlink"/>
            <w:i/>
          </w:rPr>
          <w:t>Therapeutic Goods Regulations 1990</w:t>
        </w:r>
      </w:hyperlink>
      <w:r>
        <w:t xml:space="preserve"> (the Regulations) and the </w:t>
      </w:r>
      <w:hyperlink r:id="rId50" w:history="1">
        <w:r w:rsidRPr="005C5D59">
          <w:rPr>
            <w:rStyle w:val="Hyperlink"/>
            <w:i/>
          </w:rPr>
          <w:t>Therapeutic Goods (Medical Devices) Regulations 2002</w:t>
        </w:r>
      </w:hyperlink>
      <w:r>
        <w:t xml:space="preserve"> (the Medical Devices Regulations). Under the Act, only goods entered in the ARTG can be legally supplied in Australia.</w:t>
      </w:r>
    </w:p>
    <w:p w14:paraId="483CA97B" w14:textId="77777777" w:rsidR="00BE23AB" w:rsidRDefault="00BE23AB" w:rsidP="00BE23AB">
      <w:r>
        <w:t>Under section 19 of the Act, some medicines are exempt from inclusion in the ARTG. Similarly, some biologicals and medical devices are also exempt under subsection 32CM and chapter 4, parts 4–7 of the Act, respectively. These provisions allow for the Authorised Prescriber scheme.</w:t>
      </w:r>
    </w:p>
    <w:p w14:paraId="5A3EBC82" w14:textId="77777777" w:rsidR="00BE23AB" w:rsidRDefault="00BE23AB" w:rsidP="00BE23AB">
      <w:pPr>
        <w:pStyle w:val="Heading3"/>
      </w:pPr>
      <w:bookmarkStart w:id="122" w:name="_Toc87540045"/>
      <w:bookmarkStart w:id="123" w:name="_Toc121127860"/>
      <w:r>
        <w:t>Medicines</w:t>
      </w:r>
      <w:bookmarkEnd w:id="122"/>
      <w:bookmarkEnd w:id="123"/>
    </w:p>
    <w:p w14:paraId="33D2A57D" w14:textId="77777777" w:rsidR="00BE23AB" w:rsidRDefault="00BE23AB" w:rsidP="00BE23AB">
      <w:r>
        <w:t>The following clauses relate to the Authorised Prescriber Scheme and access to ‘unapproved’ medicines:</w:t>
      </w:r>
    </w:p>
    <w:p w14:paraId="33237338" w14:textId="77777777" w:rsidR="00BE23AB" w:rsidRDefault="00BE23AB" w:rsidP="00BE23AB">
      <w:pPr>
        <w:pStyle w:val="ListBullet"/>
        <w:numPr>
          <w:ilvl w:val="0"/>
          <w:numId w:val="3"/>
        </w:numPr>
      </w:pPr>
      <w:r>
        <w:t xml:space="preserve">subsection 19(5) of the Act provides that a specific medical practitioner may be authorised to supply a medicine to a specified class or classes of </w:t>
      </w:r>
      <w:proofErr w:type="gramStart"/>
      <w:r>
        <w:t>patient</w:t>
      </w:r>
      <w:proofErr w:type="gramEnd"/>
    </w:p>
    <w:p w14:paraId="7207F7C5" w14:textId="77777777" w:rsidR="00BE23AB" w:rsidRDefault="00BE23AB" w:rsidP="00BE23AB">
      <w:pPr>
        <w:pStyle w:val="ListBullet"/>
        <w:numPr>
          <w:ilvl w:val="0"/>
          <w:numId w:val="3"/>
        </w:numPr>
      </w:pPr>
      <w:r>
        <w:t>regulation 12B of the Regulations relate to medicines and provide that:</w:t>
      </w:r>
    </w:p>
    <w:p w14:paraId="36B924E5" w14:textId="77777777" w:rsidR="00BE23AB" w:rsidRDefault="00BE23AB" w:rsidP="00BE23AB">
      <w:pPr>
        <w:pStyle w:val="ListBullet2"/>
        <w:numPr>
          <w:ilvl w:val="1"/>
          <w:numId w:val="3"/>
        </w:numPr>
        <w:ind w:left="850" w:hanging="425"/>
      </w:pPr>
      <w:r>
        <w:t>you must be a medical practitioner and have approval from an appropriate ethics committee to become an Authorised Prescriber</w:t>
      </w:r>
    </w:p>
    <w:p w14:paraId="77C9476B" w14:textId="77777777" w:rsidR="00BE23AB" w:rsidRDefault="00BE23AB" w:rsidP="00BE23AB">
      <w:pPr>
        <w:pStyle w:val="ListBullet2"/>
        <w:numPr>
          <w:ilvl w:val="1"/>
          <w:numId w:val="3"/>
        </w:numPr>
        <w:ind w:left="850" w:hanging="425"/>
      </w:pPr>
      <w:r>
        <w:t xml:space="preserve">if the medical practitioner does not have access to an appropriate ethics committee, they may seek endorsement from a specialist college with relevant </w:t>
      </w:r>
      <w:proofErr w:type="gramStart"/>
      <w:r>
        <w:t>expertise</w:t>
      </w:r>
      <w:proofErr w:type="gramEnd"/>
    </w:p>
    <w:p w14:paraId="7FC5D917" w14:textId="77777777" w:rsidR="00BE23AB" w:rsidRDefault="00BE23AB" w:rsidP="00BE23AB">
      <w:pPr>
        <w:pStyle w:val="ListBullet2"/>
        <w:numPr>
          <w:ilvl w:val="1"/>
          <w:numId w:val="3"/>
        </w:numPr>
        <w:ind w:left="850" w:hanging="425"/>
      </w:pPr>
      <w:r>
        <w:lastRenderedPageBreak/>
        <w:t xml:space="preserve">if the medical practitioner wishes to apply for a medicine that is included in subregulation 12B(1B) or 12B(1C) of the Regulations, then ethics committee approval or specialist college endorsement is not required to be submitted to the </w:t>
      </w:r>
      <w:proofErr w:type="gramStart"/>
      <w:r>
        <w:t>TGA</w:t>
      </w:r>
      <w:proofErr w:type="gramEnd"/>
    </w:p>
    <w:p w14:paraId="6426460F" w14:textId="77777777" w:rsidR="00BE23AB" w:rsidRDefault="00BE23AB" w:rsidP="00BE23AB">
      <w:pPr>
        <w:pStyle w:val="ListBullet2"/>
        <w:numPr>
          <w:ilvl w:val="1"/>
          <w:numId w:val="3"/>
        </w:numPr>
        <w:ind w:left="850" w:hanging="425"/>
      </w:pPr>
      <w:r>
        <w:t xml:space="preserve">the medical practitioner may prescribe an ‘unapproved’ therapeutic good only for patients with a life-threatening or otherwise serious illness or </w:t>
      </w:r>
      <w:proofErr w:type="gramStart"/>
      <w:r>
        <w:t>condition</w:t>
      </w:r>
      <w:proofErr w:type="gramEnd"/>
    </w:p>
    <w:p w14:paraId="2B5A8D49" w14:textId="77777777" w:rsidR="00BE23AB" w:rsidRDefault="00BE23AB" w:rsidP="00BE23AB">
      <w:pPr>
        <w:pStyle w:val="ListBullet2"/>
        <w:numPr>
          <w:ilvl w:val="1"/>
          <w:numId w:val="3"/>
        </w:numPr>
        <w:ind w:left="850" w:hanging="425"/>
      </w:pPr>
      <w:r>
        <w:t>the medical practitioner must meet any conditions applied to their approval as an Authorised Prescriber.</w:t>
      </w:r>
    </w:p>
    <w:p w14:paraId="4BEAE935" w14:textId="77777777" w:rsidR="00BE23AB" w:rsidRDefault="00BE23AB" w:rsidP="00BE23AB">
      <w:pPr>
        <w:pStyle w:val="ListBullet"/>
        <w:numPr>
          <w:ilvl w:val="0"/>
          <w:numId w:val="3"/>
        </w:numPr>
      </w:pPr>
      <w:r>
        <w:t>subsection 31</w:t>
      </w:r>
      <w:proofErr w:type="gramStart"/>
      <w:r>
        <w:t>B(</w:t>
      </w:r>
      <w:proofErr w:type="gramEnd"/>
      <w:r>
        <w:t>3) of the Act provides that a medical practitioner who has been approved under subsection 19(5) may be notified in writing that they must provide information on matters including the:</w:t>
      </w:r>
    </w:p>
    <w:p w14:paraId="0E017F3B" w14:textId="77777777" w:rsidR="00BE23AB" w:rsidRDefault="00BE23AB" w:rsidP="00BE23AB">
      <w:pPr>
        <w:pStyle w:val="ListBullet2"/>
        <w:numPr>
          <w:ilvl w:val="1"/>
          <w:numId w:val="3"/>
        </w:numPr>
        <w:ind w:left="850" w:hanging="425"/>
      </w:pPr>
      <w:r>
        <w:t>supply of the goods</w:t>
      </w:r>
    </w:p>
    <w:p w14:paraId="6A7AC044" w14:textId="77777777" w:rsidR="00BE23AB" w:rsidRDefault="00BE23AB" w:rsidP="00BE23AB">
      <w:pPr>
        <w:pStyle w:val="ListBullet2"/>
        <w:numPr>
          <w:ilvl w:val="1"/>
          <w:numId w:val="3"/>
        </w:numPr>
        <w:ind w:left="850" w:hanging="425"/>
      </w:pPr>
      <w:r>
        <w:t>handling of the goods</w:t>
      </w:r>
    </w:p>
    <w:p w14:paraId="022ED5A3" w14:textId="77777777" w:rsidR="00BE23AB" w:rsidRDefault="00BE23AB" w:rsidP="00BE23AB">
      <w:pPr>
        <w:pStyle w:val="ListBullet2"/>
        <w:numPr>
          <w:ilvl w:val="1"/>
          <w:numId w:val="3"/>
        </w:numPr>
        <w:ind w:left="850" w:hanging="425"/>
      </w:pPr>
      <w:r>
        <w:t>monitoring of the supply of the goods</w:t>
      </w:r>
    </w:p>
    <w:p w14:paraId="59C67507" w14:textId="77777777" w:rsidR="00BE23AB" w:rsidRDefault="00BE23AB" w:rsidP="00BE23AB">
      <w:pPr>
        <w:pStyle w:val="ListBullet2"/>
        <w:numPr>
          <w:ilvl w:val="1"/>
          <w:numId w:val="3"/>
        </w:numPr>
        <w:ind w:left="850" w:hanging="425"/>
      </w:pPr>
      <w:r>
        <w:t>results of the supply of the goods.</w:t>
      </w:r>
    </w:p>
    <w:p w14:paraId="2D846AD5" w14:textId="77777777" w:rsidR="00BE23AB" w:rsidRDefault="00BE23AB" w:rsidP="00BE23AB">
      <w:pPr>
        <w:pStyle w:val="Heading3"/>
      </w:pPr>
      <w:bookmarkStart w:id="124" w:name="_Toc87540046"/>
      <w:bookmarkStart w:id="125" w:name="_Toc121127861"/>
      <w:r>
        <w:t>Biologicals</w:t>
      </w:r>
      <w:bookmarkEnd w:id="124"/>
      <w:bookmarkEnd w:id="125"/>
    </w:p>
    <w:p w14:paraId="4C033D54" w14:textId="77777777" w:rsidR="00BE23AB" w:rsidRDefault="00BE23AB" w:rsidP="00BE23AB">
      <w:r>
        <w:t>The following clauses relate to the Authorised Prescriber Scheme and access to ‘unapproved’ biologicals:</w:t>
      </w:r>
    </w:p>
    <w:p w14:paraId="33549216" w14:textId="77777777" w:rsidR="00BE23AB" w:rsidRDefault="00BE23AB" w:rsidP="00BE23AB">
      <w:pPr>
        <w:pStyle w:val="ListBullet"/>
        <w:numPr>
          <w:ilvl w:val="0"/>
          <w:numId w:val="3"/>
        </w:numPr>
      </w:pPr>
      <w:r>
        <w:t>subsection 32</w:t>
      </w:r>
      <w:proofErr w:type="gramStart"/>
      <w:r>
        <w:t>CM(</w:t>
      </w:r>
      <w:proofErr w:type="gramEnd"/>
      <w:r>
        <w:t>1) of the Act provides that a specific medical practitioner may be authorised to supply a biological to a specified class or classes of patients</w:t>
      </w:r>
    </w:p>
    <w:p w14:paraId="4E753646" w14:textId="77777777" w:rsidR="00BE23AB" w:rsidRDefault="00BE23AB" w:rsidP="00BE23AB">
      <w:pPr>
        <w:pStyle w:val="ListBullet"/>
        <w:numPr>
          <w:ilvl w:val="0"/>
          <w:numId w:val="3"/>
        </w:numPr>
      </w:pPr>
      <w:r>
        <w:t>regulation 12C of the Regulations relate to biologicals and provides that:</w:t>
      </w:r>
    </w:p>
    <w:p w14:paraId="01B004EF" w14:textId="77777777" w:rsidR="00BE23AB" w:rsidRDefault="00BE23AB" w:rsidP="00BE23AB">
      <w:pPr>
        <w:pStyle w:val="ListBullet2"/>
        <w:numPr>
          <w:ilvl w:val="1"/>
          <w:numId w:val="3"/>
        </w:numPr>
        <w:ind w:left="850" w:hanging="425"/>
      </w:pPr>
      <w:r>
        <w:t>you must be a medical practitioner and have approval from an appropriate ethics committee to become an Authorised Prescriber</w:t>
      </w:r>
    </w:p>
    <w:p w14:paraId="58B9EEB5" w14:textId="77777777" w:rsidR="00BE23AB" w:rsidRDefault="00BE23AB" w:rsidP="00BE23AB">
      <w:pPr>
        <w:pStyle w:val="ListBullet2"/>
        <w:numPr>
          <w:ilvl w:val="1"/>
          <w:numId w:val="3"/>
        </w:numPr>
        <w:ind w:left="850" w:hanging="425"/>
      </w:pPr>
      <w:r>
        <w:t xml:space="preserve">if the medical practitioner does not have access to an appropriate ethics committee, they may seek endorsement from a specialist college with relevant </w:t>
      </w:r>
      <w:proofErr w:type="gramStart"/>
      <w:r>
        <w:t>expertise</w:t>
      </w:r>
      <w:proofErr w:type="gramEnd"/>
    </w:p>
    <w:p w14:paraId="70078433" w14:textId="77777777" w:rsidR="00BE23AB" w:rsidRDefault="00BE23AB" w:rsidP="00BE23AB">
      <w:pPr>
        <w:pStyle w:val="ListBullet2"/>
        <w:numPr>
          <w:ilvl w:val="1"/>
          <w:numId w:val="3"/>
        </w:numPr>
        <w:ind w:left="850" w:hanging="425"/>
      </w:pPr>
      <w:r>
        <w:t xml:space="preserve">the medical practitioner may prescribe an ‘unapproved’ therapeutic good only for patients with a life-threatening or serious </w:t>
      </w:r>
      <w:proofErr w:type="gramStart"/>
      <w:r>
        <w:t>illness</w:t>
      </w:r>
      <w:proofErr w:type="gramEnd"/>
    </w:p>
    <w:p w14:paraId="6B677F54" w14:textId="77777777" w:rsidR="00BE23AB" w:rsidRDefault="00BE23AB" w:rsidP="00BE23AB">
      <w:pPr>
        <w:pStyle w:val="ListBullet2"/>
        <w:numPr>
          <w:ilvl w:val="1"/>
          <w:numId w:val="3"/>
        </w:numPr>
        <w:ind w:left="850" w:hanging="425"/>
      </w:pPr>
      <w:r>
        <w:t>the medical practitioner must meet any conditions applied to their approval as an Authorised Prescriber</w:t>
      </w:r>
    </w:p>
    <w:p w14:paraId="7C8C9B72" w14:textId="77777777" w:rsidR="00BE23AB" w:rsidRDefault="00BE23AB" w:rsidP="00BE23AB">
      <w:pPr>
        <w:pStyle w:val="ListBullet"/>
        <w:numPr>
          <w:ilvl w:val="0"/>
          <w:numId w:val="3"/>
        </w:numPr>
      </w:pPr>
      <w:r>
        <w:t>subsection 32</w:t>
      </w:r>
      <w:proofErr w:type="gramStart"/>
      <w:r>
        <w:t>JG(</w:t>
      </w:r>
      <w:proofErr w:type="gramEnd"/>
      <w:r>
        <w:t>3) of the Act provides that a medical practitioner who has been approved under subsection 32CM(1) may be notified in writing that they must provide information on matters including the:</w:t>
      </w:r>
    </w:p>
    <w:p w14:paraId="39344DD7" w14:textId="77777777" w:rsidR="00BE23AB" w:rsidRDefault="00BE23AB" w:rsidP="00BE23AB">
      <w:pPr>
        <w:pStyle w:val="ListBullet2"/>
        <w:numPr>
          <w:ilvl w:val="1"/>
          <w:numId w:val="3"/>
        </w:numPr>
        <w:ind w:left="850" w:hanging="425"/>
      </w:pPr>
      <w:r>
        <w:t>supply of the biological</w:t>
      </w:r>
    </w:p>
    <w:p w14:paraId="269AFA76" w14:textId="77777777" w:rsidR="00BE23AB" w:rsidRDefault="00BE23AB" w:rsidP="00BE23AB">
      <w:pPr>
        <w:pStyle w:val="ListBullet2"/>
        <w:numPr>
          <w:ilvl w:val="1"/>
          <w:numId w:val="3"/>
        </w:numPr>
        <w:ind w:left="850" w:hanging="425"/>
      </w:pPr>
      <w:r>
        <w:t>handling of the biological</w:t>
      </w:r>
    </w:p>
    <w:p w14:paraId="2287540A" w14:textId="77777777" w:rsidR="00BE23AB" w:rsidRDefault="00BE23AB" w:rsidP="00BE23AB">
      <w:pPr>
        <w:pStyle w:val="ListBullet2"/>
        <w:numPr>
          <w:ilvl w:val="1"/>
          <w:numId w:val="3"/>
        </w:numPr>
        <w:ind w:left="850" w:hanging="425"/>
      </w:pPr>
      <w:r>
        <w:t>monitoring and supply of the biological</w:t>
      </w:r>
    </w:p>
    <w:p w14:paraId="3CAFCEF0" w14:textId="77777777" w:rsidR="00BE23AB" w:rsidRDefault="00BE23AB" w:rsidP="00BE23AB">
      <w:pPr>
        <w:pStyle w:val="ListBullet2"/>
        <w:numPr>
          <w:ilvl w:val="1"/>
          <w:numId w:val="3"/>
        </w:numPr>
        <w:ind w:left="850" w:hanging="425"/>
      </w:pPr>
      <w:r>
        <w:t>results of the supply of the biological</w:t>
      </w:r>
    </w:p>
    <w:p w14:paraId="3FA295B8" w14:textId="77777777" w:rsidR="00BE23AB" w:rsidRDefault="00BE23AB" w:rsidP="00BE23AB">
      <w:pPr>
        <w:pStyle w:val="Heading3"/>
      </w:pPr>
      <w:bookmarkStart w:id="126" w:name="_Toc87540047"/>
      <w:bookmarkStart w:id="127" w:name="_Toc121127862"/>
      <w:r>
        <w:lastRenderedPageBreak/>
        <w:t>Medical devices</w:t>
      </w:r>
      <w:bookmarkEnd w:id="126"/>
      <w:bookmarkEnd w:id="127"/>
    </w:p>
    <w:p w14:paraId="5B568716" w14:textId="77777777" w:rsidR="00BE23AB" w:rsidRDefault="00BE23AB" w:rsidP="00BE23AB">
      <w:r>
        <w:t>The following clauses relate to access to ‘unapproved’ medical devices and the Authorised Prescriber Scheme:</w:t>
      </w:r>
    </w:p>
    <w:p w14:paraId="21894FA1" w14:textId="77777777" w:rsidR="00BE23AB" w:rsidRDefault="00BE23AB" w:rsidP="00BE23AB">
      <w:pPr>
        <w:pStyle w:val="ListBullet"/>
        <w:numPr>
          <w:ilvl w:val="0"/>
          <w:numId w:val="3"/>
        </w:numPr>
      </w:pPr>
      <w:r>
        <w:t xml:space="preserve">subsection 41HC of the Act states that, subject to the requirements of the Medical Devices Regulations, a specific medical practitioner may be authorised to supply specific kinds of medical devices to a specified class of patient. Conditions may be applied to this </w:t>
      </w:r>
      <w:proofErr w:type="gramStart"/>
      <w:r>
        <w:t>authority</w:t>
      </w:r>
      <w:proofErr w:type="gramEnd"/>
    </w:p>
    <w:p w14:paraId="2BC097E6" w14:textId="77777777" w:rsidR="00BE23AB" w:rsidRDefault="00BE23AB" w:rsidP="00BE23AB">
      <w:pPr>
        <w:pStyle w:val="ListBullet"/>
        <w:numPr>
          <w:ilvl w:val="0"/>
          <w:numId w:val="3"/>
        </w:numPr>
      </w:pPr>
      <w:r>
        <w:t>regulation 7.6 of the Medical Device Regulations states:</w:t>
      </w:r>
    </w:p>
    <w:p w14:paraId="1690262D" w14:textId="77777777" w:rsidR="00BE23AB" w:rsidRDefault="00BE23AB" w:rsidP="00BE23AB">
      <w:pPr>
        <w:pStyle w:val="ListBullet2"/>
        <w:numPr>
          <w:ilvl w:val="1"/>
          <w:numId w:val="3"/>
        </w:numPr>
        <w:ind w:left="850" w:hanging="425"/>
      </w:pPr>
      <w:r>
        <w:t>you must be a medical practitioner approved by an appropriate ethics committee to become an Authorised Prescriber</w:t>
      </w:r>
    </w:p>
    <w:p w14:paraId="33155B19" w14:textId="77777777" w:rsidR="00BE23AB" w:rsidRDefault="00BE23AB" w:rsidP="00BE23AB">
      <w:pPr>
        <w:pStyle w:val="ListBullet2"/>
        <w:numPr>
          <w:ilvl w:val="1"/>
          <w:numId w:val="3"/>
        </w:numPr>
        <w:ind w:left="850" w:hanging="425"/>
      </w:pPr>
      <w:r>
        <w:t xml:space="preserve">if the medical practitioner does not have access to an appropriate ethics committee, they may seek endorsement from a specialist college with relevant </w:t>
      </w:r>
      <w:proofErr w:type="gramStart"/>
      <w:r>
        <w:t>expertise</w:t>
      </w:r>
      <w:proofErr w:type="gramEnd"/>
    </w:p>
    <w:p w14:paraId="5554A440" w14:textId="77777777" w:rsidR="00BE23AB" w:rsidRDefault="00BE23AB" w:rsidP="00BE23AB">
      <w:pPr>
        <w:pStyle w:val="ListBullet2"/>
        <w:numPr>
          <w:ilvl w:val="1"/>
          <w:numId w:val="3"/>
        </w:numPr>
        <w:ind w:left="850" w:hanging="425"/>
      </w:pPr>
      <w:r>
        <w:t xml:space="preserve">the class of patients for which the medical practitioner may prescribe an ‘unapproved’ therapeutic good must have a life-threatening or serious illness or </w:t>
      </w:r>
      <w:proofErr w:type="gramStart"/>
      <w:r>
        <w:t>condition</w:t>
      </w:r>
      <w:proofErr w:type="gramEnd"/>
    </w:p>
    <w:p w14:paraId="2B2E00BF" w14:textId="77777777" w:rsidR="00BE23AB" w:rsidRDefault="00BE23AB" w:rsidP="00BE23AB">
      <w:pPr>
        <w:pStyle w:val="ListBullet"/>
        <w:numPr>
          <w:ilvl w:val="0"/>
          <w:numId w:val="3"/>
        </w:numPr>
      </w:pPr>
      <w:r>
        <w:t>regulation 7.7 of the Medical Device Regulations states the medical practitioner must meet any conditions applied to your approval as an Authorised Prescriber</w:t>
      </w:r>
    </w:p>
    <w:p w14:paraId="1EDF5C88" w14:textId="77777777" w:rsidR="00BE23AB" w:rsidRDefault="00BE23AB" w:rsidP="00BE23AB">
      <w:pPr>
        <w:pStyle w:val="ListBullet"/>
        <w:numPr>
          <w:ilvl w:val="0"/>
          <w:numId w:val="3"/>
        </w:numPr>
      </w:pPr>
      <w:r>
        <w:t>subsection 41</w:t>
      </w:r>
      <w:proofErr w:type="gramStart"/>
      <w:r>
        <w:t>JF(</w:t>
      </w:r>
      <w:proofErr w:type="gramEnd"/>
      <w:r>
        <w:t>1) of the Act provides that a medical practitioner who has been approved under subsection 41HC may be notified in writing that they must provide information on matters including the:</w:t>
      </w:r>
    </w:p>
    <w:p w14:paraId="79ED8945" w14:textId="77777777" w:rsidR="00BE23AB" w:rsidRDefault="00BE23AB" w:rsidP="00BE23AB">
      <w:pPr>
        <w:pStyle w:val="ListBullet2"/>
        <w:numPr>
          <w:ilvl w:val="1"/>
          <w:numId w:val="3"/>
        </w:numPr>
        <w:ind w:left="850" w:hanging="425"/>
      </w:pPr>
      <w:r>
        <w:t>supply of devices of those kinds</w:t>
      </w:r>
    </w:p>
    <w:p w14:paraId="28B8214A" w14:textId="77777777" w:rsidR="00BE23AB" w:rsidRDefault="00BE23AB" w:rsidP="00BE23AB">
      <w:pPr>
        <w:pStyle w:val="ListBullet2"/>
        <w:numPr>
          <w:ilvl w:val="1"/>
          <w:numId w:val="3"/>
        </w:numPr>
        <w:ind w:left="850" w:hanging="425"/>
      </w:pPr>
      <w:r>
        <w:t>handling of devices of those kinds</w:t>
      </w:r>
    </w:p>
    <w:p w14:paraId="3AE1EC39" w14:textId="77777777" w:rsidR="00BE23AB" w:rsidRDefault="00BE23AB" w:rsidP="00BE23AB">
      <w:pPr>
        <w:pStyle w:val="ListBullet2"/>
        <w:numPr>
          <w:ilvl w:val="1"/>
          <w:numId w:val="3"/>
        </w:numPr>
        <w:ind w:left="850" w:hanging="425"/>
      </w:pPr>
      <w:r>
        <w:t>monitoring of the supply of devices of those kinds</w:t>
      </w:r>
    </w:p>
    <w:p w14:paraId="08302678" w14:textId="77777777" w:rsidR="00BE23AB" w:rsidRDefault="00BE23AB" w:rsidP="00BE23AB">
      <w:pPr>
        <w:pStyle w:val="ListBullet2"/>
        <w:numPr>
          <w:ilvl w:val="1"/>
          <w:numId w:val="3"/>
        </w:numPr>
        <w:ind w:left="850" w:hanging="425"/>
      </w:pPr>
      <w:r>
        <w:t>results of the supply of devices of those kinds</w:t>
      </w:r>
    </w:p>
    <w:p w14:paraId="3A408251" w14:textId="77777777" w:rsidR="00BE23AB" w:rsidRDefault="00BE23AB" w:rsidP="00BE23AB">
      <w:pPr>
        <w:pStyle w:val="Heading3"/>
      </w:pPr>
      <w:bookmarkStart w:id="128" w:name="_Toc87540048"/>
      <w:bookmarkStart w:id="129" w:name="_Toc121127863"/>
      <w:r>
        <w:t>Prohibition of promoting ‘unapproved’ therapeutic goods</w:t>
      </w:r>
      <w:bookmarkEnd w:id="128"/>
      <w:bookmarkEnd w:id="129"/>
    </w:p>
    <w:p w14:paraId="57D42428" w14:textId="77777777" w:rsidR="00BE23AB" w:rsidRDefault="00BE23AB" w:rsidP="00BE23AB">
      <w:r>
        <w:t>The Act provides (at Section 22(6) for medicines and biologicals and section 41MM for medical devices) that a person must not publicly claim they can supply ‘unapproved’ therapeutic goods.</w:t>
      </w:r>
    </w:p>
    <w:p w14:paraId="007BFE5B" w14:textId="77777777" w:rsidR="00BE23AB" w:rsidRDefault="00BE23AB" w:rsidP="00BE23AB">
      <w:pPr>
        <w:pStyle w:val="Heading3"/>
      </w:pPr>
      <w:bookmarkStart w:id="130" w:name="_Toc87540049"/>
      <w:bookmarkStart w:id="131" w:name="_Toc121127864"/>
      <w:r>
        <w:t>Information and privacy</w:t>
      </w:r>
      <w:bookmarkEnd w:id="130"/>
      <w:bookmarkEnd w:id="131"/>
    </w:p>
    <w:p w14:paraId="2FD9AB26" w14:textId="77777777" w:rsidR="00BE23AB" w:rsidRDefault="00BE23AB" w:rsidP="00BE23AB">
      <w:r>
        <w:t xml:space="preserve">The TGA meets our privacy requirements under the </w:t>
      </w:r>
      <w:hyperlink r:id="rId51" w:history="1">
        <w:r w:rsidRPr="005C5D59">
          <w:rPr>
            <w:rStyle w:val="Hyperlink"/>
          </w:rPr>
          <w:t>Department of Health’s Privacy Policy</w:t>
        </w:r>
      </w:hyperlink>
      <w:r>
        <w:t xml:space="preserve">, the </w:t>
      </w:r>
      <w:hyperlink r:id="rId52" w:history="1">
        <w:r w:rsidRPr="005C5D59">
          <w:rPr>
            <w:rStyle w:val="Hyperlink"/>
            <w:i/>
          </w:rPr>
          <w:t>Privacy Act 1988</w:t>
        </w:r>
      </w:hyperlink>
      <w:r>
        <w:t xml:space="preserve"> and the </w:t>
      </w:r>
      <w:hyperlink r:id="rId53" w:history="1">
        <w:r w:rsidRPr="005C5D59">
          <w:rPr>
            <w:rStyle w:val="Hyperlink"/>
            <w:i/>
          </w:rPr>
          <w:t>Freedom of Information Act 1982</w:t>
        </w:r>
      </w:hyperlink>
      <w:r>
        <w:t>.</w:t>
      </w:r>
    </w:p>
    <w:p w14:paraId="30A351ED"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DF28BB" w:rsidRPr="00DF28BB" w14:paraId="368E19FB"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48ABA28" w14:textId="77777777" w:rsidR="001A3190" w:rsidRPr="00DF28BB" w:rsidRDefault="001A3190" w:rsidP="00B33C56">
            <w:pPr>
              <w:rPr>
                <w:color w:val="FFFFFF" w:themeColor="background1"/>
              </w:rPr>
            </w:pPr>
            <w:bookmarkStart w:id="132" w:name="ColumnTitle_4"/>
            <w:r w:rsidRPr="00DF28BB">
              <w:rPr>
                <w:color w:val="FFFFFF" w:themeColor="background1"/>
              </w:rPr>
              <w:t>Version</w:t>
            </w:r>
          </w:p>
        </w:tc>
        <w:tc>
          <w:tcPr>
            <w:tcW w:w="3242" w:type="dxa"/>
          </w:tcPr>
          <w:p w14:paraId="591447D4" w14:textId="77777777" w:rsidR="001A3190" w:rsidRPr="00DF28B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F28BB">
              <w:rPr>
                <w:color w:val="FFFFFF" w:themeColor="background1"/>
              </w:rPr>
              <w:t>Description of change</w:t>
            </w:r>
          </w:p>
        </w:tc>
        <w:tc>
          <w:tcPr>
            <w:tcW w:w="2712" w:type="dxa"/>
          </w:tcPr>
          <w:p w14:paraId="7A146BCD" w14:textId="77777777" w:rsidR="001A3190" w:rsidRPr="00DF28B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F28BB">
              <w:rPr>
                <w:color w:val="FFFFFF" w:themeColor="background1"/>
              </w:rPr>
              <w:t>Author</w:t>
            </w:r>
          </w:p>
        </w:tc>
        <w:tc>
          <w:tcPr>
            <w:tcW w:w="1808" w:type="dxa"/>
          </w:tcPr>
          <w:p w14:paraId="7C7884DD" w14:textId="77777777" w:rsidR="001A3190" w:rsidRPr="00DF28BB"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F28BB">
              <w:rPr>
                <w:color w:val="FFFFFF" w:themeColor="background1"/>
              </w:rPr>
              <w:t>Effective date</w:t>
            </w:r>
          </w:p>
        </w:tc>
      </w:tr>
      <w:bookmarkEnd w:id="132"/>
      <w:tr w:rsidR="001A3190" w:rsidRPr="00215D48" w14:paraId="50FFD8BD"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878A3A" w14:textId="740F4723" w:rsidR="001A3190" w:rsidRPr="00215D48" w:rsidRDefault="00DF28BB" w:rsidP="00B33C56">
            <w:r w:rsidRPr="00215D48">
              <w:t>V</w:t>
            </w:r>
            <w:r>
              <w:t>2</w:t>
            </w:r>
            <w:r w:rsidRPr="00215D48">
              <w:t>.0</w:t>
            </w:r>
          </w:p>
        </w:tc>
        <w:tc>
          <w:tcPr>
            <w:tcW w:w="3242" w:type="dxa"/>
          </w:tcPr>
          <w:p w14:paraId="5ECE96F4" w14:textId="67B37562" w:rsidR="001A3190" w:rsidRPr="00215D48" w:rsidRDefault="00DF28BB" w:rsidP="00B33C56">
            <w:pPr>
              <w:cnfStyle w:val="000000000000" w:firstRow="0" w:lastRow="0" w:firstColumn="0" w:lastColumn="0" w:oddVBand="0" w:evenVBand="0" w:oddHBand="0" w:evenHBand="0" w:firstRowFirstColumn="0" w:firstRowLastColumn="0" w:lastRowFirstColumn="0" w:lastRowLastColumn="0"/>
            </w:pPr>
            <w:r w:rsidRPr="005C5D59">
              <w:t>Access to</w:t>
            </w:r>
            <w:r>
              <w:t xml:space="preserve"> ‘unapproved’ </w:t>
            </w:r>
            <w:r w:rsidRPr="005C5D59">
              <w:t>Therapeutic Goods (Authorised Prescriber Scheme)</w:t>
            </w:r>
          </w:p>
        </w:tc>
        <w:tc>
          <w:tcPr>
            <w:tcW w:w="2712" w:type="dxa"/>
          </w:tcPr>
          <w:p w14:paraId="3681FE36" w14:textId="49034FF3" w:rsidR="001A3190" w:rsidRPr="00215D48" w:rsidRDefault="00DF28BB" w:rsidP="00B33C56">
            <w:pPr>
              <w:cnfStyle w:val="000000000000" w:firstRow="0" w:lastRow="0" w:firstColumn="0" w:lastColumn="0" w:oddVBand="0" w:evenVBand="0" w:oddHBand="0" w:evenHBand="0" w:firstRowFirstColumn="0" w:firstRowLastColumn="0" w:lastRowFirstColumn="0" w:lastRowLastColumn="0"/>
            </w:pPr>
            <w:r>
              <w:t>TGA</w:t>
            </w:r>
          </w:p>
        </w:tc>
        <w:tc>
          <w:tcPr>
            <w:tcW w:w="1808" w:type="dxa"/>
          </w:tcPr>
          <w:p w14:paraId="340222DA" w14:textId="3FA9D44B" w:rsidR="001A3190" w:rsidRPr="00215D48" w:rsidRDefault="00DF28BB" w:rsidP="00926B0E">
            <w:pPr>
              <w:cnfStyle w:val="000000000000" w:firstRow="0" w:lastRow="0" w:firstColumn="0" w:lastColumn="0" w:oddVBand="0" w:evenVBand="0" w:oddHBand="0" w:evenHBand="0" w:firstRowFirstColumn="0" w:firstRowLastColumn="0" w:lastRowFirstColumn="0" w:lastRowLastColumn="0"/>
            </w:pPr>
            <w:r>
              <w:t>October 2004</w:t>
            </w:r>
          </w:p>
        </w:tc>
      </w:tr>
      <w:tr w:rsidR="00DF28BB" w:rsidRPr="00215D48" w14:paraId="50F8A573"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30CA17B" w14:textId="62832B68" w:rsidR="00DF28BB" w:rsidRPr="00215D48" w:rsidRDefault="00DF28BB" w:rsidP="00B33C56">
            <w:r>
              <w:t>V3.0</w:t>
            </w:r>
          </w:p>
        </w:tc>
        <w:tc>
          <w:tcPr>
            <w:tcW w:w="3242" w:type="dxa"/>
          </w:tcPr>
          <w:p w14:paraId="21AFF511" w14:textId="77777777" w:rsidR="00DF28BB" w:rsidRDefault="00DF28BB" w:rsidP="00DF28BB">
            <w:pPr>
              <w:cnfStyle w:val="000000000000" w:firstRow="0" w:lastRow="0" w:firstColumn="0" w:lastColumn="0" w:oddVBand="0" w:evenVBand="0" w:oddHBand="0" w:evenHBand="0" w:firstRowFirstColumn="0" w:firstRowLastColumn="0" w:lastRowFirstColumn="0" w:lastRowLastColumn="0"/>
            </w:pPr>
            <w:r>
              <w:t>New title</w:t>
            </w:r>
          </w:p>
          <w:p w14:paraId="76595B66" w14:textId="77777777" w:rsidR="00DF28BB" w:rsidRDefault="00DF28BB" w:rsidP="00DF28BB">
            <w:pPr>
              <w:cnfStyle w:val="000000000000" w:firstRow="0" w:lastRow="0" w:firstColumn="0" w:lastColumn="0" w:oddVBand="0" w:evenVBand="0" w:oddHBand="0" w:evenHBand="0" w:firstRowFirstColumn="0" w:firstRowLastColumn="0" w:lastRowFirstColumn="0" w:lastRowLastColumn="0"/>
            </w:pPr>
            <w:r>
              <w:t xml:space="preserve">New material aligned with MMDR Review </w:t>
            </w:r>
            <w:proofErr w:type="gramStart"/>
            <w:r>
              <w:t>recommendations</w:t>
            </w:r>
            <w:proofErr w:type="gramEnd"/>
          </w:p>
          <w:p w14:paraId="169B986B" w14:textId="5D144A2B" w:rsidR="00DF28BB" w:rsidRPr="005C5D59" w:rsidRDefault="00DF28BB" w:rsidP="00DF28BB">
            <w:pPr>
              <w:cnfStyle w:val="000000000000" w:firstRow="0" w:lastRow="0" w:firstColumn="0" w:lastColumn="0" w:oddVBand="0" w:evenVBand="0" w:oddHBand="0" w:evenHBand="0" w:firstRowFirstColumn="0" w:firstRowLastColumn="0" w:lastRowFirstColumn="0" w:lastRowLastColumn="0"/>
            </w:pPr>
            <w:r>
              <w:t>Restructured</w:t>
            </w:r>
          </w:p>
        </w:tc>
        <w:tc>
          <w:tcPr>
            <w:tcW w:w="2712" w:type="dxa"/>
          </w:tcPr>
          <w:p w14:paraId="6A330535" w14:textId="04C7150F" w:rsidR="00DF28BB" w:rsidRDefault="00DF28BB" w:rsidP="00B33C56">
            <w:pPr>
              <w:cnfStyle w:val="000000000000" w:firstRow="0" w:lastRow="0" w:firstColumn="0" w:lastColumn="0" w:oddVBand="0" w:evenVBand="0" w:oddHBand="0" w:evenHBand="0" w:firstRowFirstColumn="0" w:firstRowLastColumn="0" w:lastRowFirstColumn="0" w:lastRowLastColumn="0"/>
            </w:pPr>
            <w:r w:rsidRPr="005C5D59">
              <w:t>Pharmacovigilance and Special Access Branch and Regulatory Guidance Team</w:t>
            </w:r>
          </w:p>
        </w:tc>
        <w:tc>
          <w:tcPr>
            <w:tcW w:w="1808" w:type="dxa"/>
          </w:tcPr>
          <w:p w14:paraId="425BA5E9" w14:textId="2A6DF534" w:rsidR="00DF28BB" w:rsidRDefault="00DF28BB" w:rsidP="00926B0E">
            <w:pPr>
              <w:cnfStyle w:val="000000000000" w:firstRow="0" w:lastRow="0" w:firstColumn="0" w:lastColumn="0" w:oddVBand="0" w:evenVBand="0" w:oddHBand="0" w:evenHBand="0" w:firstRowFirstColumn="0" w:firstRowLastColumn="0" w:lastRowFirstColumn="0" w:lastRowLastColumn="0"/>
            </w:pPr>
            <w:r w:rsidRPr="005C5D59">
              <w:t>July 2017</w:t>
            </w:r>
          </w:p>
        </w:tc>
      </w:tr>
      <w:tr w:rsidR="00DF28BB" w:rsidRPr="00215D48" w14:paraId="215FE28D"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1974447" w14:textId="416AACD4" w:rsidR="00DF28BB" w:rsidRPr="00215D48" w:rsidRDefault="00DF28BB" w:rsidP="00B33C56">
            <w:r>
              <w:t>V4.0</w:t>
            </w:r>
          </w:p>
        </w:tc>
        <w:tc>
          <w:tcPr>
            <w:tcW w:w="3242" w:type="dxa"/>
          </w:tcPr>
          <w:p w14:paraId="11F495A6" w14:textId="77777777" w:rsidR="00DF28BB" w:rsidRDefault="00DF28BB" w:rsidP="00DF28BB">
            <w:pPr>
              <w:cnfStyle w:val="000000000000" w:firstRow="0" w:lastRow="0" w:firstColumn="0" w:lastColumn="0" w:oddVBand="0" w:evenVBand="0" w:oddHBand="0" w:evenHBand="0" w:firstRowFirstColumn="0" w:firstRowLastColumn="0" w:lastRowFirstColumn="0" w:lastRowLastColumn="0"/>
            </w:pPr>
            <w:r>
              <w:t xml:space="preserve">Updated to include guidance on regulatory amendment and application </w:t>
            </w:r>
            <w:proofErr w:type="gramStart"/>
            <w:r>
              <w:t>pathways</w:t>
            </w:r>
            <w:proofErr w:type="gramEnd"/>
          </w:p>
          <w:p w14:paraId="1323312F" w14:textId="6F1DB06F" w:rsidR="00DF28BB" w:rsidRPr="005C5D59" w:rsidRDefault="00DF28BB" w:rsidP="00DF28BB">
            <w:pPr>
              <w:cnfStyle w:val="000000000000" w:firstRow="0" w:lastRow="0" w:firstColumn="0" w:lastColumn="0" w:oddVBand="0" w:evenVBand="0" w:oddHBand="0" w:evenHBand="0" w:firstRowFirstColumn="0" w:firstRowLastColumn="0" w:lastRowFirstColumn="0" w:lastRowLastColumn="0"/>
            </w:pPr>
            <w:r>
              <w:t>Other minor updates to clarify list of HRECs, types of medical practitioners, specialist college definition, adverse event terminology, six monthly reporting</w:t>
            </w:r>
          </w:p>
        </w:tc>
        <w:tc>
          <w:tcPr>
            <w:tcW w:w="2712" w:type="dxa"/>
          </w:tcPr>
          <w:p w14:paraId="4822A64D" w14:textId="75F670C0" w:rsidR="00DF28BB" w:rsidRDefault="00DF28BB" w:rsidP="00B33C56">
            <w:pPr>
              <w:cnfStyle w:val="000000000000" w:firstRow="0" w:lastRow="0" w:firstColumn="0" w:lastColumn="0" w:oddVBand="0" w:evenVBand="0" w:oddHBand="0" w:evenHBand="0" w:firstRowFirstColumn="0" w:firstRowLastColumn="0" w:lastRowFirstColumn="0" w:lastRowLastColumn="0"/>
            </w:pPr>
            <w:r w:rsidRPr="005C5D59">
              <w:t>Pharmacovigilance and Special Access Branch and Regulatory Guidance Team</w:t>
            </w:r>
          </w:p>
        </w:tc>
        <w:tc>
          <w:tcPr>
            <w:tcW w:w="1808" w:type="dxa"/>
          </w:tcPr>
          <w:p w14:paraId="7452A3B9" w14:textId="5D7A84A6" w:rsidR="00DF28BB" w:rsidRDefault="00DF28BB" w:rsidP="00926B0E">
            <w:pPr>
              <w:cnfStyle w:val="000000000000" w:firstRow="0" w:lastRow="0" w:firstColumn="0" w:lastColumn="0" w:oddVBand="0" w:evenVBand="0" w:oddHBand="0" w:evenHBand="0" w:firstRowFirstColumn="0" w:firstRowLastColumn="0" w:lastRowFirstColumn="0" w:lastRowLastColumn="0"/>
            </w:pPr>
            <w:r>
              <w:t>October 2020</w:t>
            </w:r>
          </w:p>
        </w:tc>
      </w:tr>
      <w:tr w:rsidR="00DF28BB" w:rsidRPr="00215D48" w14:paraId="0D534F72"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8B2A89E" w14:textId="45C897BD" w:rsidR="00DF28BB" w:rsidRPr="00215D48" w:rsidRDefault="00DF28BB" w:rsidP="00B33C56">
            <w:r>
              <w:t>V5.0</w:t>
            </w:r>
          </w:p>
        </w:tc>
        <w:tc>
          <w:tcPr>
            <w:tcW w:w="3242" w:type="dxa"/>
          </w:tcPr>
          <w:p w14:paraId="58FBA0D8" w14:textId="1B181EF2" w:rsidR="00DF28BB" w:rsidRPr="005C5D59" w:rsidRDefault="00DF28BB" w:rsidP="00B33C56">
            <w:pPr>
              <w:cnfStyle w:val="000000000000" w:firstRow="0" w:lastRow="0" w:firstColumn="0" w:lastColumn="0" w:oddVBand="0" w:evenVBand="0" w:oddHBand="0" w:evenHBand="0" w:firstRowFirstColumn="0" w:firstRowLastColumn="0" w:lastRowFirstColumn="0" w:lastRowLastColumn="0"/>
            </w:pPr>
            <w:r>
              <w:t>Review and addition of information relating to subregulation 12B(1C), six monthly reporting and use of the online portal</w:t>
            </w:r>
          </w:p>
        </w:tc>
        <w:tc>
          <w:tcPr>
            <w:tcW w:w="2712" w:type="dxa"/>
          </w:tcPr>
          <w:p w14:paraId="48566A71" w14:textId="4FBE20EB" w:rsidR="00DF28BB" w:rsidRDefault="00DF28BB" w:rsidP="00B33C56">
            <w:pPr>
              <w:cnfStyle w:val="000000000000" w:firstRow="0" w:lastRow="0" w:firstColumn="0" w:lastColumn="0" w:oddVBand="0" w:evenVBand="0" w:oddHBand="0" w:evenHBand="0" w:firstRowFirstColumn="0" w:firstRowLastColumn="0" w:lastRowFirstColumn="0" w:lastRowLastColumn="0"/>
            </w:pPr>
            <w:r>
              <w:t>Experimental Products Section - International Regulatory Branch</w:t>
            </w:r>
          </w:p>
        </w:tc>
        <w:tc>
          <w:tcPr>
            <w:tcW w:w="1808" w:type="dxa"/>
          </w:tcPr>
          <w:p w14:paraId="363E4113" w14:textId="7A74FEC0" w:rsidR="00DF28BB" w:rsidRDefault="00DF28BB" w:rsidP="00926B0E">
            <w:pPr>
              <w:cnfStyle w:val="000000000000" w:firstRow="0" w:lastRow="0" w:firstColumn="0" w:lastColumn="0" w:oddVBand="0" w:evenVBand="0" w:oddHBand="0" w:evenHBand="0" w:firstRowFirstColumn="0" w:firstRowLastColumn="0" w:lastRowFirstColumn="0" w:lastRowLastColumn="0"/>
            </w:pPr>
            <w:r>
              <w:t>November 2021</w:t>
            </w:r>
          </w:p>
        </w:tc>
      </w:tr>
      <w:tr w:rsidR="00DF28BB" w:rsidRPr="00215D48" w14:paraId="276586BA"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14DC6F" w14:textId="42AB1148" w:rsidR="00DF28BB" w:rsidRPr="00215D48" w:rsidRDefault="00DF28BB" w:rsidP="00B33C56">
            <w:r>
              <w:t>V5.1</w:t>
            </w:r>
          </w:p>
        </w:tc>
        <w:tc>
          <w:tcPr>
            <w:tcW w:w="3242" w:type="dxa"/>
          </w:tcPr>
          <w:p w14:paraId="296E9887" w14:textId="77777777" w:rsidR="00DF28BB" w:rsidRDefault="00DF28BB" w:rsidP="00DF28BB">
            <w:pPr>
              <w:cnfStyle w:val="000000000000" w:firstRow="0" w:lastRow="0" w:firstColumn="0" w:lastColumn="0" w:oddVBand="0" w:evenVBand="0" w:oddHBand="0" w:evenHBand="0" w:firstRowFirstColumn="0" w:firstRowLastColumn="0" w:lastRowFirstColumn="0" w:lastRowLastColumn="0"/>
            </w:pPr>
            <w:r>
              <w:t>Minor updates under reporting requirements in section 22.</w:t>
            </w:r>
          </w:p>
          <w:p w14:paraId="495980AA" w14:textId="12DE374E" w:rsidR="00DF28BB" w:rsidRPr="005C5D59" w:rsidRDefault="00DF28BB" w:rsidP="00DF28BB">
            <w:pPr>
              <w:cnfStyle w:val="000000000000" w:firstRow="0" w:lastRow="0" w:firstColumn="0" w:lastColumn="0" w:oddVBand="0" w:evenVBand="0" w:oddHBand="0" w:evenHBand="0" w:firstRowFirstColumn="0" w:firstRowLastColumn="0" w:lastRowFirstColumn="0" w:lastRowLastColumn="0"/>
            </w:pPr>
            <w:r>
              <w:t>Link and email updates for sponsor reporting.</w:t>
            </w:r>
          </w:p>
        </w:tc>
        <w:tc>
          <w:tcPr>
            <w:tcW w:w="2712" w:type="dxa"/>
          </w:tcPr>
          <w:p w14:paraId="09A9DAA5" w14:textId="0E843095" w:rsidR="00DF28BB" w:rsidRDefault="00DF28BB" w:rsidP="00B33C56">
            <w:pPr>
              <w:cnfStyle w:val="000000000000" w:firstRow="0" w:lastRow="0" w:firstColumn="0" w:lastColumn="0" w:oddVBand="0" w:evenVBand="0" w:oddHBand="0" w:evenHBand="0" w:firstRowFirstColumn="0" w:firstRowLastColumn="0" w:lastRowFirstColumn="0" w:lastRowLastColumn="0"/>
            </w:pPr>
            <w:r>
              <w:t>Experimental Products Section - International Regulatory Branch</w:t>
            </w:r>
          </w:p>
        </w:tc>
        <w:tc>
          <w:tcPr>
            <w:tcW w:w="1808" w:type="dxa"/>
          </w:tcPr>
          <w:p w14:paraId="54359A19" w14:textId="51818596" w:rsidR="00DF28BB" w:rsidRDefault="00DF28BB" w:rsidP="00926B0E">
            <w:pPr>
              <w:cnfStyle w:val="000000000000" w:firstRow="0" w:lastRow="0" w:firstColumn="0" w:lastColumn="0" w:oddVBand="0" w:evenVBand="0" w:oddHBand="0" w:evenHBand="0" w:firstRowFirstColumn="0" w:firstRowLastColumn="0" w:lastRowFirstColumn="0" w:lastRowLastColumn="0"/>
            </w:pPr>
            <w:r>
              <w:t>February 2022</w:t>
            </w:r>
          </w:p>
        </w:tc>
      </w:tr>
      <w:tr w:rsidR="00DF28BB" w:rsidRPr="00215D48" w14:paraId="1A3B0F37"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92B1C7A" w14:textId="003A5D27" w:rsidR="00DF28BB" w:rsidRDefault="00DF28BB" w:rsidP="00B33C56">
            <w:r>
              <w:t>V5.2</w:t>
            </w:r>
          </w:p>
        </w:tc>
        <w:tc>
          <w:tcPr>
            <w:tcW w:w="3242" w:type="dxa"/>
          </w:tcPr>
          <w:p w14:paraId="409F11FE" w14:textId="77777777" w:rsidR="00DF28BB" w:rsidRDefault="00DF28BB" w:rsidP="00DF28BB">
            <w:pPr>
              <w:cnfStyle w:val="000000000000" w:firstRow="0" w:lastRow="0" w:firstColumn="0" w:lastColumn="0" w:oddVBand="0" w:evenVBand="0" w:oddHBand="0" w:evenHBand="0" w:firstRowFirstColumn="0" w:firstRowLastColumn="0" w:lastRowFirstColumn="0" w:lastRowLastColumn="0"/>
            </w:pPr>
            <w:r>
              <w:t>Minor updates under reporting requirements.</w:t>
            </w:r>
          </w:p>
          <w:p w14:paraId="15F03E34" w14:textId="3B5669A7" w:rsidR="00DF28BB" w:rsidRDefault="00DF28BB" w:rsidP="00DF28BB">
            <w:pPr>
              <w:cnfStyle w:val="000000000000" w:firstRow="0" w:lastRow="0" w:firstColumn="0" w:lastColumn="0" w:oddVBand="0" w:evenVBand="0" w:oddHBand="0" w:evenHBand="0" w:firstRowFirstColumn="0" w:firstRowLastColumn="0" w:lastRowFirstColumn="0" w:lastRowLastColumn="0"/>
            </w:pPr>
            <w:r>
              <w:t>Link and email updates for sponsor reporting.</w:t>
            </w:r>
          </w:p>
        </w:tc>
        <w:tc>
          <w:tcPr>
            <w:tcW w:w="2712" w:type="dxa"/>
          </w:tcPr>
          <w:p w14:paraId="3C8F081D" w14:textId="502630D0" w:rsidR="00DF28BB" w:rsidRDefault="00DF28BB" w:rsidP="00DF28BB">
            <w:pPr>
              <w:cnfStyle w:val="000000000000" w:firstRow="0" w:lastRow="0" w:firstColumn="0" w:lastColumn="0" w:oddVBand="0" w:evenVBand="0" w:oddHBand="0" w:evenHBand="0" w:firstRowFirstColumn="0" w:firstRowLastColumn="0" w:lastRowFirstColumn="0" w:lastRowLastColumn="0"/>
            </w:pPr>
            <w:r>
              <w:t>Special Access Section - International Regulatory Branch</w:t>
            </w:r>
          </w:p>
        </w:tc>
        <w:tc>
          <w:tcPr>
            <w:tcW w:w="1808" w:type="dxa"/>
          </w:tcPr>
          <w:p w14:paraId="5637155A" w14:textId="18D29CE7" w:rsidR="00DF28BB" w:rsidRDefault="00DF28BB" w:rsidP="00926B0E">
            <w:pPr>
              <w:cnfStyle w:val="000000000000" w:firstRow="0" w:lastRow="0" w:firstColumn="0" w:lastColumn="0" w:oddVBand="0" w:evenVBand="0" w:oddHBand="0" w:evenHBand="0" w:firstRowFirstColumn="0" w:firstRowLastColumn="0" w:lastRowFirstColumn="0" w:lastRowLastColumn="0"/>
            </w:pPr>
            <w:r>
              <w:t>December 2022</w:t>
            </w:r>
          </w:p>
        </w:tc>
      </w:tr>
      <w:tr w:rsidR="005629B1" w:rsidRPr="00215D48" w14:paraId="20D37B18"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8C416DF" w14:textId="2E29998B" w:rsidR="005629B1" w:rsidRDefault="005629B1" w:rsidP="00B33C56">
            <w:r>
              <w:t>V5.3</w:t>
            </w:r>
          </w:p>
        </w:tc>
        <w:tc>
          <w:tcPr>
            <w:tcW w:w="3242" w:type="dxa"/>
          </w:tcPr>
          <w:p w14:paraId="25AE4939" w14:textId="081E8F60" w:rsidR="005629B1" w:rsidRDefault="005629B1" w:rsidP="00DF28BB">
            <w:pPr>
              <w:cnfStyle w:val="000000000000" w:firstRow="0" w:lastRow="0" w:firstColumn="0" w:lastColumn="0" w:oddVBand="0" w:evenVBand="0" w:oddHBand="0" w:evenHBand="0" w:firstRowFirstColumn="0" w:firstRowLastColumn="0" w:lastRowFirstColumn="0" w:lastRowLastColumn="0"/>
            </w:pPr>
            <w:r>
              <w:t>Minor updates relating to</w:t>
            </w:r>
            <w:r w:rsidR="00F74BFF">
              <w:t xml:space="preserve"> the SAS and AP</w:t>
            </w:r>
            <w:r>
              <w:t xml:space="preserve"> </w:t>
            </w:r>
            <w:r w:rsidR="00F74BFF">
              <w:t>Online System</w:t>
            </w:r>
          </w:p>
        </w:tc>
        <w:tc>
          <w:tcPr>
            <w:tcW w:w="2712" w:type="dxa"/>
          </w:tcPr>
          <w:p w14:paraId="2A3BCBE0" w14:textId="581382D2" w:rsidR="005629B1" w:rsidRDefault="00F74BFF" w:rsidP="00DF28BB">
            <w:pPr>
              <w:cnfStyle w:val="000000000000" w:firstRow="0" w:lastRow="0" w:firstColumn="0" w:lastColumn="0" w:oddVBand="0" w:evenVBand="0" w:oddHBand="0" w:evenHBand="0" w:firstRowFirstColumn="0" w:firstRowLastColumn="0" w:lastRowFirstColumn="0" w:lastRowLastColumn="0"/>
            </w:pPr>
            <w:r>
              <w:t>Business Improvement and Compliance Section- International Regulatory Branch</w:t>
            </w:r>
          </w:p>
        </w:tc>
        <w:tc>
          <w:tcPr>
            <w:tcW w:w="1808" w:type="dxa"/>
          </w:tcPr>
          <w:p w14:paraId="530924BE" w14:textId="39CEB1A8" w:rsidR="005629B1" w:rsidRDefault="00F74BFF" w:rsidP="00926B0E">
            <w:pPr>
              <w:cnfStyle w:val="000000000000" w:firstRow="0" w:lastRow="0" w:firstColumn="0" w:lastColumn="0" w:oddVBand="0" w:evenVBand="0" w:oddHBand="0" w:evenHBand="0" w:firstRowFirstColumn="0" w:firstRowLastColumn="0" w:lastRowFirstColumn="0" w:lastRowLastColumn="0"/>
            </w:pPr>
            <w:r>
              <w:t>March 2024</w:t>
            </w:r>
          </w:p>
        </w:tc>
      </w:tr>
    </w:tbl>
    <w:p w14:paraId="059D6E58" w14:textId="77777777" w:rsidR="00F401EF" w:rsidRDefault="00F401EF" w:rsidP="00706634">
      <w:pPr>
        <w:spacing w:before="0" w:after="0" w:line="240" w:lineRule="auto"/>
        <w:rPr>
          <w:sz w:val="20"/>
        </w:rPr>
      </w:pPr>
    </w:p>
    <w:p w14:paraId="1E4DBB8C" w14:textId="77777777" w:rsidR="002F6EB2" w:rsidRDefault="002F6EB2" w:rsidP="00706634">
      <w:pPr>
        <w:spacing w:before="0" w:after="0" w:line="240" w:lineRule="auto"/>
        <w:rPr>
          <w:sz w:val="20"/>
        </w:rPr>
      </w:pPr>
    </w:p>
    <w:p w14:paraId="022AB8CF" w14:textId="0312E6F1" w:rsidR="002F6EB2" w:rsidRPr="002F6EB2" w:rsidRDefault="002F6EB2" w:rsidP="002F6EB2">
      <w:pPr>
        <w:tabs>
          <w:tab w:val="left" w:pos="2844"/>
        </w:tabs>
        <w:rPr>
          <w:sz w:val="20"/>
        </w:rPr>
        <w:sectPr w:rsidR="002F6EB2" w:rsidRPr="002F6EB2" w:rsidSect="00DF28BB">
          <w:headerReference w:type="default" r:id="rId54"/>
          <w:footerReference w:type="default" r:id="rId55"/>
          <w:pgSz w:w="11906" w:h="16838" w:code="9"/>
          <w:pgMar w:top="1134" w:right="1418" w:bottom="568"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B071D3" w:rsidRPr="00215D48" w14:paraId="4688CC3F" w14:textId="77777777" w:rsidTr="005756FC">
        <w:trPr>
          <w:trHeight w:hRule="exact" w:val="565"/>
          <w:jc w:val="center"/>
        </w:trPr>
        <w:tc>
          <w:tcPr>
            <w:tcW w:w="9145" w:type="dxa"/>
          </w:tcPr>
          <w:p w14:paraId="3B9B0E85" w14:textId="77777777" w:rsidR="00B071D3" w:rsidRPr="00215D48" w:rsidRDefault="00B071D3" w:rsidP="005756FC">
            <w:pPr>
              <w:pStyle w:val="TGASignoff"/>
            </w:pPr>
            <w:r w:rsidRPr="00215D48">
              <w:lastRenderedPageBreak/>
              <w:t>Therapeutic Goods Administration</w:t>
            </w:r>
          </w:p>
        </w:tc>
      </w:tr>
      <w:tr w:rsidR="00B071D3" w:rsidRPr="00B528AB" w14:paraId="304AB42A" w14:textId="77777777" w:rsidTr="005756FC">
        <w:trPr>
          <w:trHeight w:val="963"/>
          <w:jc w:val="center"/>
        </w:trPr>
        <w:tc>
          <w:tcPr>
            <w:tcW w:w="9145" w:type="dxa"/>
            <w:tcMar>
              <w:top w:w="28" w:type="dxa"/>
            </w:tcMar>
          </w:tcPr>
          <w:p w14:paraId="0910751E" w14:textId="77777777" w:rsidR="00B071D3" w:rsidRPr="00215D48" w:rsidRDefault="00B071D3" w:rsidP="005756FC">
            <w:pPr>
              <w:pStyle w:val="Address"/>
              <w:jc w:val="center"/>
            </w:pPr>
            <w:r w:rsidRPr="00215D48">
              <w:t>PO Box 100 Woden ACT 2606 Australia</w:t>
            </w:r>
          </w:p>
          <w:p w14:paraId="5769A669" w14:textId="77777777" w:rsidR="00B071D3" w:rsidRDefault="00B071D3" w:rsidP="005756FC">
            <w:pPr>
              <w:pStyle w:val="Address"/>
              <w:jc w:val="center"/>
            </w:pPr>
            <w:r w:rsidRPr="00215D48">
              <w:t xml:space="preserve">Email: </w:t>
            </w:r>
            <w:hyperlink r:id="rId56"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0B21F1EC" w14:textId="77777777" w:rsidR="00B071D3" w:rsidRPr="00B528AB" w:rsidRDefault="00B071D3" w:rsidP="005756FC">
            <w:pPr>
              <w:pStyle w:val="Address"/>
              <w:jc w:val="center"/>
              <w:rPr>
                <w:rStyle w:val="Hyperlink"/>
                <w:color w:val="333F48"/>
                <w:sz w:val="22"/>
                <w:szCs w:val="22"/>
              </w:rPr>
            </w:pPr>
            <w:r>
              <w:rPr>
                <w:sz w:val="22"/>
                <w:szCs w:val="22"/>
              </w:rPr>
              <w:t xml:space="preserve">Web: </w:t>
            </w:r>
            <w:hyperlink r:id="rId57" w:history="1">
              <w:r w:rsidRPr="00B528AB">
                <w:rPr>
                  <w:rStyle w:val="Hyperlink"/>
                </w:rPr>
                <w:t>tga.gov.au</w:t>
              </w:r>
            </w:hyperlink>
          </w:p>
        </w:tc>
      </w:tr>
      <w:tr w:rsidR="00B071D3" w:rsidRPr="00215D48" w14:paraId="2619D53D" w14:textId="77777777" w:rsidTr="005756FC">
        <w:trPr>
          <w:trHeight w:val="251"/>
          <w:jc w:val="center"/>
        </w:trPr>
        <w:tc>
          <w:tcPr>
            <w:tcW w:w="9145" w:type="dxa"/>
            <w:tcMar>
              <w:top w:w="28" w:type="dxa"/>
            </w:tcMar>
          </w:tcPr>
          <w:p w14:paraId="3CEE8966" w14:textId="77777777" w:rsidR="00B071D3" w:rsidRPr="00215D48" w:rsidRDefault="00B071D3" w:rsidP="005756FC">
            <w:pPr>
              <w:pStyle w:val="Address"/>
              <w:jc w:val="center"/>
            </w:pPr>
            <w:r w:rsidRPr="00215D48">
              <w:t>Reference/Publication #</w:t>
            </w:r>
          </w:p>
        </w:tc>
      </w:tr>
    </w:tbl>
    <w:p w14:paraId="2079113F" w14:textId="77777777" w:rsidR="00706634" w:rsidRPr="00215D48" w:rsidRDefault="00706634" w:rsidP="004A3084">
      <w:pPr>
        <w:rPr>
          <w:sz w:val="20"/>
        </w:rPr>
      </w:pPr>
    </w:p>
    <w:sectPr w:rsidR="00706634" w:rsidRPr="00215D48" w:rsidSect="00AE7C6A">
      <w:headerReference w:type="first" r:id="rId58"/>
      <w:footerReference w:type="first" r:id="rId5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4C5C" w14:textId="77777777" w:rsidR="006E2A8A" w:rsidRDefault="006E2A8A" w:rsidP="00C40A36">
      <w:pPr>
        <w:spacing w:after="0"/>
      </w:pPr>
      <w:r>
        <w:separator/>
      </w:r>
    </w:p>
  </w:endnote>
  <w:endnote w:type="continuationSeparator" w:id="0">
    <w:p w14:paraId="6574DD34" w14:textId="77777777" w:rsidR="006E2A8A" w:rsidRDefault="006E2A8A" w:rsidP="00C40A36">
      <w:pPr>
        <w:spacing w:after="0"/>
      </w:pPr>
      <w:r>
        <w:continuationSeparator/>
      </w:r>
    </w:p>
  </w:endnote>
  <w:endnote w:type="continuationNotice" w:id="1">
    <w:p w14:paraId="55104EEC" w14:textId="77777777" w:rsidR="006E2A8A" w:rsidRDefault="006E2A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0954D413" w14:textId="77777777" w:rsidTr="000B30E5">
      <w:trPr>
        <w:trHeight w:val="423"/>
      </w:trPr>
      <w:tc>
        <w:tcPr>
          <w:tcW w:w="4360" w:type="dxa"/>
          <w:tcBorders>
            <w:top w:val="single" w:sz="4" w:space="0" w:color="auto"/>
          </w:tcBorders>
        </w:tcPr>
        <w:p w14:paraId="6E368764" w14:textId="77777777" w:rsidR="00A77452" w:rsidRDefault="00A77452" w:rsidP="000B30E5">
          <w:pPr>
            <w:pStyle w:val="Footer"/>
          </w:pPr>
        </w:p>
        <w:p w14:paraId="3CF50AD4" w14:textId="77777777" w:rsidR="00A77452" w:rsidRPr="00257138" w:rsidRDefault="00A77452" w:rsidP="00406DB9">
          <w:pPr>
            <w:pStyle w:val="Footer"/>
          </w:pPr>
          <w:r w:rsidRPr="00257138">
            <w:t>Document title</w:t>
          </w:r>
        </w:p>
      </w:tc>
      <w:tc>
        <w:tcPr>
          <w:tcW w:w="4360" w:type="dxa"/>
          <w:tcBorders>
            <w:top w:val="single" w:sz="4" w:space="0" w:color="auto"/>
          </w:tcBorders>
        </w:tcPr>
        <w:sdt>
          <w:sdtPr>
            <w:rPr>
              <w:color w:val="2B579A"/>
              <w:shd w:val="clear" w:color="auto" w:fill="E6E6E6"/>
            </w:rPr>
            <w:id w:val="1087729233"/>
            <w:docPartObj>
              <w:docPartGallery w:val="Page Numbers (Top of Page)"/>
              <w:docPartUnique/>
            </w:docPartObj>
          </w:sdtPr>
          <w:sdtEndPr>
            <w:rPr>
              <w:color w:val="333F4A"/>
              <w:shd w:val="clear" w:color="auto" w:fill="auto"/>
            </w:rPr>
          </w:sdtEndPr>
          <w:sdtContent>
            <w:p w14:paraId="1FAD3877" w14:textId="77777777" w:rsidR="00A77452" w:rsidRDefault="00A77452" w:rsidP="000B30E5">
              <w:pPr>
                <w:pStyle w:val="Footer"/>
                <w:jc w:val="right"/>
              </w:pPr>
            </w:p>
            <w:p w14:paraId="535BF1B7" w14:textId="77777777" w:rsidR="00A77452" w:rsidRPr="00257138" w:rsidRDefault="00A77452" w:rsidP="000B30E5">
              <w:pPr>
                <w:pStyle w:val="Footer"/>
                <w:jc w:val="right"/>
              </w:pPr>
              <w:r w:rsidRPr="00257138">
                <w:t xml:space="preserve">Page </w:t>
              </w:r>
              <w:r w:rsidR="003361D1">
                <w:rPr>
                  <w:color w:val="2B579A"/>
                  <w:shd w:val="clear" w:color="auto" w:fill="E6E6E6"/>
                </w:rPr>
                <w:fldChar w:fldCharType="begin"/>
              </w:r>
              <w:r w:rsidR="003361D1">
                <w:instrText xml:space="preserve"> PAGE </w:instrText>
              </w:r>
              <w:r w:rsidR="003361D1">
                <w:rPr>
                  <w:color w:val="2B579A"/>
                  <w:shd w:val="clear" w:color="auto" w:fill="E6E6E6"/>
                </w:rPr>
                <w:fldChar w:fldCharType="separate"/>
              </w:r>
              <w:r w:rsidR="00F401EF">
                <w:rPr>
                  <w:noProof/>
                </w:rPr>
                <w:t>2</w:t>
              </w:r>
              <w:r w:rsidR="003361D1">
                <w:rPr>
                  <w:noProof/>
                  <w:color w:val="2B579A"/>
                  <w:shd w:val="clear" w:color="auto" w:fill="E6E6E6"/>
                </w:rPr>
                <w:fldChar w:fldCharType="end"/>
              </w:r>
              <w:r w:rsidRPr="00257138">
                <w:t xml:space="preserve"> of </w:t>
              </w:r>
              <w:r>
                <w:rPr>
                  <w:color w:val="2B579A"/>
                  <w:shd w:val="clear" w:color="auto" w:fill="E6E6E6"/>
                </w:rPr>
                <w:fldChar w:fldCharType="begin"/>
              </w:r>
              <w:r>
                <w:instrText>NUMPAGES</w:instrText>
              </w:r>
              <w:r>
                <w:rPr>
                  <w:color w:val="2B579A"/>
                  <w:shd w:val="clear" w:color="auto" w:fill="E6E6E6"/>
                </w:rPr>
                <w:fldChar w:fldCharType="separate"/>
              </w:r>
              <w:r w:rsidR="00EB6CAF">
                <w:rPr>
                  <w:noProof/>
                </w:rPr>
                <w:t>2</w:t>
              </w:r>
              <w:r>
                <w:rPr>
                  <w:color w:val="2B579A"/>
                  <w:shd w:val="clear" w:color="auto" w:fill="E6E6E6"/>
                </w:rPr>
                <w:fldChar w:fldCharType="end"/>
              </w:r>
            </w:p>
          </w:sdtContent>
        </w:sdt>
      </w:tc>
    </w:tr>
    <w:tr w:rsidR="00A77452" w:rsidRPr="00257138" w14:paraId="6F7E8E3A" w14:textId="77777777" w:rsidTr="000B30E5">
      <w:trPr>
        <w:trHeight w:val="263"/>
      </w:trPr>
      <w:tc>
        <w:tcPr>
          <w:tcW w:w="4360" w:type="dxa"/>
        </w:tcPr>
        <w:p w14:paraId="1658812C"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5C602529" w14:textId="77777777" w:rsidR="00A77452" w:rsidRPr="00257138" w:rsidRDefault="00A77452" w:rsidP="000B30E5">
          <w:pPr>
            <w:pStyle w:val="Footer"/>
            <w:jc w:val="right"/>
          </w:pPr>
        </w:p>
      </w:tc>
    </w:tr>
  </w:tbl>
  <w:p w14:paraId="65233C55"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D434"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1C8A9257" w14:textId="77777777" w:rsidTr="00030D34">
      <w:trPr>
        <w:trHeight w:val="423"/>
      </w:trPr>
      <w:tc>
        <w:tcPr>
          <w:tcW w:w="7338" w:type="dxa"/>
          <w:tcBorders>
            <w:top w:val="single" w:sz="4" w:space="0" w:color="auto"/>
          </w:tcBorders>
        </w:tcPr>
        <w:p w14:paraId="1142EDE9" w14:textId="213FC882" w:rsidR="00F74BFF" w:rsidRDefault="00BE23AB" w:rsidP="005C2EEB">
          <w:pPr>
            <w:pStyle w:val="Footer"/>
            <w:spacing w:before="60"/>
          </w:pPr>
          <w:r>
            <w:t>Authorised Prescriber Scheme</w:t>
          </w:r>
          <w:r w:rsidR="00A77452">
            <w:br/>
            <w:t>V</w:t>
          </w:r>
          <w:r>
            <w:t>5</w:t>
          </w:r>
          <w:r w:rsidR="004F1240">
            <w:t>.</w:t>
          </w:r>
          <w:r w:rsidR="00F74BFF">
            <w:t>3</w:t>
          </w:r>
          <w:r w:rsidR="00D4279D">
            <w:t xml:space="preserve"> </w:t>
          </w:r>
          <w:r w:rsidR="00F74BFF">
            <w:t>March</w:t>
          </w:r>
          <w:r>
            <w:t xml:space="preserve"> 202</w:t>
          </w:r>
          <w:r w:rsidR="00F74BFF">
            <w:t>4</w:t>
          </w:r>
        </w:p>
        <w:p w14:paraId="3C610543" w14:textId="1DE14EFC" w:rsidR="00A77452" w:rsidRPr="004A3084" w:rsidRDefault="00A77452" w:rsidP="00F54CA9">
          <w:pPr>
            <w:pStyle w:val="Footer"/>
          </w:pPr>
        </w:p>
      </w:tc>
      <w:tc>
        <w:tcPr>
          <w:tcW w:w="1734" w:type="dxa"/>
          <w:tcBorders>
            <w:top w:val="single" w:sz="4" w:space="0" w:color="auto"/>
          </w:tcBorders>
        </w:tcPr>
        <w:sdt>
          <w:sdtPr>
            <w:rPr>
              <w:color w:val="2B579A"/>
              <w:shd w:val="clear" w:color="auto" w:fill="E6E6E6"/>
            </w:rPr>
            <w:id w:val="11571659"/>
            <w:docPartObj>
              <w:docPartGallery w:val="Page Numbers (Top of Page)"/>
              <w:docPartUnique/>
            </w:docPartObj>
          </w:sdtPr>
          <w:sdtEndPr>
            <w:rPr>
              <w:color w:val="333F4A"/>
              <w:shd w:val="clear" w:color="auto" w:fill="auto"/>
            </w:rPr>
          </w:sdtEndPr>
          <w:sdtContent>
            <w:p w14:paraId="7113B819" w14:textId="77777777" w:rsidR="00A77452" w:rsidRPr="004A3084" w:rsidRDefault="00A77452" w:rsidP="00231E8D">
              <w:pPr>
                <w:pStyle w:val="Footer"/>
                <w:jc w:val="right"/>
              </w:pPr>
              <w:r w:rsidRPr="004A3084">
                <w:t xml:space="preserve">Page </w:t>
              </w:r>
              <w:r w:rsidR="003361D1">
                <w:rPr>
                  <w:color w:val="2B579A"/>
                  <w:shd w:val="clear" w:color="auto" w:fill="E6E6E6"/>
                </w:rPr>
                <w:fldChar w:fldCharType="begin"/>
              </w:r>
              <w:r w:rsidR="003361D1">
                <w:instrText xml:space="preserve"> PAGE </w:instrText>
              </w:r>
              <w:r w:rsidR="003361D1">
                <w:rPr>
                  <w:color w:val="2B579A"/>
                  <w:shd w:val="clear" w:color="auto" w:fill="E6E6E6"/>
                </w:rPr>
                <w:fldChar w:fldCharType="separate"/>
              </w:r>
              <w:r w:rsidR="00525165">
                <w:rPr>
                  <w:noProof/>
                </w:rPr>
                <w:t>6</w:t>
              </w:r>
              <w:r w:rsidR="003361D1">
                <w:rPr>
                  <w:noProof/>
                  <w:color w:val="2B579A"/>
                  <w:shd w:val="clear" w:color="auto" w:fill="E6E6E6"/>
                </w:rPr>
                <w:fldChar w:fldCharType="end"/>
              </w:r>
              <w:r w:rsidRPr="004A3084">
                <w:t xml:space="preserve"> of </w:t>
              </w:r>
              <w:r>
                <w:rPr>
                  <w:color w:val="2B579A"/>
                  <w:shd w:val="clear" w:color="auto" w:fill="E6E6E6"/>
                </w:rPr>
                <w:fldChar w:fldCharType="begin"/>
              </w:r>
              <w:r>
                <w:instrText>NUMPAGES</w:instrText>
              </w:r>
              <w:r>
                <w:rPr>
                  <w:color w:val="2B579A"/>
                  <w:shd w:val="clear" w:color="auto" w:fill="E6E6E6"/>
                </w:rPr>
                <w:fldChar w:fldCharType="separate"/>
              </w:r>
              <w:r w:rsidR="00525165">
                <w:rPr>
                  <w:noProof/>
                </w:rPr>
                <w:t>7</w:t>
              </w:r>
              <w:r>
                <w:rPr>
                  <w:color w:val="2B579A"/>
                  <w:shd w:val="clear" w:color="auto" w:fill="E6E6E6"/>
                </w:rPr>
                <w:fldChar w:fldCharType="end"/>
              </w:r>
            </w:p>
          </w:sdtContent>
        </w:sdt>
      </w:tc>
    </w:tr>
  </w:tbl>
  <w:p w14:paraId="0B1CE5CE"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1700"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2825" w14:textId="77777777" w:rsidR="006E2A8A" w:rsidRDefault="006E2A8A" w:rsidP="00C40A36">
      <w:pPr>
        <w:spacing w:after="0"/>
      </w:pPr>
      <w:r>
        <w:separator/>
      </w:r>
    </w:p>
  </w:footnote>
  <w:footnote w:type="continuationSeparator" w:id="0">
    <w:p w14:paraId="07CDDE46" w14:textId="77777777" w:rsidR="006E2A8A" w:rsidRDefault="006E2A8A" w:rsidP="00C40A36">
      <w:pPr>
        <w:spacing w:after="0"/>
      </w:pPr>
      <w:r>
        <w:continuationSeparator/>
      </w:r>
    </w:p>
  </w:footnote>
  <w:footnote w:type="continuationNotice" w:id="1">
    <w:p w14:paraId="224B3F35" w14:textId="77777777" w:rsidR="006E2A8A" w:rsidRDefault="006E2A8A">
      <w:pPr>
        <w:spacing w:before="0" w:after="0" w:line="240" w:lineRule="auto"/>
      </w:pPr>
    </w:p>
  </w:footnote>
  <w:footnote w:id="2">
    <w:p w14:paraId="3689B61B" w14:textId="77777777" w:rsidR="00BE23AB" w:rsidRPr="00BC406A" w:rsidRDefault="00BE23AB" w:rsidP="00BC40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FBC6" w14:textId="77777777" w:rsidR="00A77452" w:rsidRDefault="00000000" w:rsidP="00C3408D">
    <w:pPr>
      <w:pStyle w:val="Header"/>
    </w:pPr>
    <w:sdt>
      <w:sdtPr>
        <w:id w:val="-203553135"/>
        <w:docPartObj>
          <w:docPartGallery w:val="Watermarks"/>
          <w:docPartUnique/>
        </w:docPartObj>
      </w:sdtPr>
      <w:sdtContent>
        <w:r>
          <w:rPr>
            <w:noProof/>
            <w:color w:val="2B579A"/>
            <w:shd w:val="clear" w:color="auto" w:fill="E6E6E6"/>
          </w:rPr>
          <w:pict w14:anchorId="49F7C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8240;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72FEFC40" w14:textId="77777777" w:rsidTr="00F71E1E">
      <w:trPr>
        <w:trHeight w:hRule="exact" w:val="8845"/>
      </w:trPr>
      <w:tc>
        <w:tcPr>
          <w:tcW w:w="11964" w:type="dxa"/>
          <w:vAlign w:val="center"/>
        </w:tcPr>
        <w:p w14:paraId="713AACAA" w14:textId="77777777" w:rsidR="00A77452" w:rsidRPr="002B29B2" w:rsidRDefault="00000000" w:rsidP="006A2426">
          <w:pPr>
            <w:ind w:left="-57"/>
            <w:rPr>
              <w:noProof/>
            </w:rPr>
          </w:pPr>
          <w:sdt>
            <w:sdtPr>
              <w:rPr>
                <w:noProof/>
              </w:rPr>
              <w:id w:val="1926993388"/>
              <w:showingPlcHdr/>
              <w:picture/>
            </w:sdtPr>
            <w:sdtContent>
              <w:r w:rsidR="00A77452" w:rsidRPr="00F71E1E">
                <w:rPr>
                  <w:noProof/>
                  <w:color w:val="2B579A"/>
                  <w:shd w:val="clear" w:color="auto" w:fill="E6E6E6"/>
                  <w:lang w:eastAsia="en-AU"/>
                </w:rPr>
                <w:drawing>
                  <wp:inline distT="0" distB="0" distL="0" distR="0" wp14:anchorId="4198FCB9" wp14:editId="095CD8A2">
                    <wp:extent cx="7631430" cy="5523865"/>
                    <wp:effectExtent l="0" t="0" r="7620" b="635"/>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B202540" w14:textId="566E63D6" w:rsidR="00A77452" w:rsidRDefault="0078745C" w:rsidP="006D03E5">
    <w:pPr>
      <w:rPr>
        <w:noProof/>
      </w:rPr>
    </w:pPr>
    <w:r w:rsidRPr="002B29B2">
      <w:rPr>
        <w:noProof/>
        <w:color w:val="2B579A"/>
        <w:shd w:val="clear" w:color="auto" w:fill="E6E6E6"/>
        <w:lang w:eastAsia="en-AU"/>
      </w:rPr>
      <w:drawing>
        <wp:anchor distT="0" distB="0" distL="114300" distR="114300" simplePos="0" relativeHeight="251658241" behindDoc="0" locked="0" layoutInCell="0" allowOverlap="1" wp14:anchorId="757484C7" wp14:editId="49EF7241">
          <wp:simplePos x="0" y="0"/>
          <wp:positionH relativeFrom="page">
            <wp:align>left</wp:align>
          </wp:positionH>
          <wp:positionV relativeFrom="page">
            <wp:posOffset>3239495</wp:posOffset>
          </wp:positionV>
          <wp:extent cx="7663815" cy="4323091"/>
          <wp:effectExtent l="0" t="0" r="0" b="127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6AD1">
      <w:rPr>
        <w:noProof/>
      </w:rPr>
      <w:drawing>
        <wp:anchor distT="0" distB="0" distL="114300" distR="114300" simplePos="0" relativeHeight="251660289" behindDoc="1" locked="0" layoutInCell="1" allowOverlap="1" wp14:anchorId="63F8E820" wp14:editId="011BC70B">
          <wp:simplePos x="0" y="0"/>
          <wp:positionH relativeFrom="column">
            <wp:posOffset>0</wp:posOffset>
          </wp:positionH>
          <wp:positionV relativeFrom="paragraph">
            <wp:posOffset>0</wp:posOffset>
          </wp:positionV>
          <wp:extent cx="2245311" cy="521970"/>
          <wp:effectExtent l="0" t="0" r="3175" b="0"/>
          <wp:wrapNone/>
          <wp:docPr id="1"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Therapeutic Goods Administration "/>
                  <pic:cNvPicPr/>
                </pic:nvPicPr>
                <pic:blipFill>
                  <a:blip r:embed="rId3">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6D75"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F488" w14:textId="77777777" w:rsidR="00A77452" w:rsidRPr="002F6EB2" w:rsidRDefault="00A77452" w:rsidP="002F6EB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7DA460B"/>
    <w:multiLevelType w:val="hybridMultilevel"/>
    <w:tmpl w:val="738E8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E5A0BE4">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AC3DDD"/>
    <w:multiLevelType w:val="hybridMultilevel"/>
    <w:tmpl w:val="02A28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E93D7E"/>
    <w:multiLevelType w:val="hybridMultilevel"/>
    <w:tmpl w:val="B6A2ECD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21AA1CBC"/>
    <w:multiLevelType w:val="hybridMultilevel"/>
    <w:tmpl w:val="2DDE05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3053100A"/>
    <w:multiLevelType w:val="hybridMultilevel"/>
    <w:tmpl w:val="D31C4EE6"/>
    <w:lvl w:ilvl="0" w:tplc="ACFA890A">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151A79"/>
    <w:multiLevelType w:val="hybridMultilevel"/>
    <w:tmpl w:val="78DE3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87480E"/>
    <w:multiLevelType w:val="hybridMultilevel"/>
    <w:tmpl w:val="1A22CA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4B3D4F"/>
    <w:multiLevelType w:val="hybridMultilevel"/>
    <w:tmpl w:val="697C5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E64E15"/>
    <w:multiLevelType w:val="hybridMultilevel"/>
    <w:tmpl w:val="9BBA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786D8C"/>
    <w:multiLevelType w:val="hybridMultilevel"/>
    <w:tmpl w:val="E766D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3607A58"/>
    <w:multiLevelType w:val="hybridMultilevel"/>
    <w:tmpl w:val="CDFE4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D6727CB"/>
    <w:multiLevelType w:val="hybridMultilevel"/>
    <w:tmpl w:val="B052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8354166">
    <w:abstractNumId w:val="2"/>
  </w:num>
  <w:num w:numId="2" w16cid:durableId="521091089">
    <w:abstractNumId w:val="1"/>
  </w:num>
  <w:num w:numId="3" w16cid:durableId="1858275685">
    <w:abstractNumId w:val="5"/>
  </w:num>
  <w:num w:numId="4" w16cid:durableId="1255355253">
    <w:abstractNumId w:val="5"/>
  </w:num>
  <w:num w:numId="5" w16cid:durableId="2091845282">
    <w:abstractNumId w:val="0"/>
  </w:num>
  <w:num w:numId="6" w16cid:durableId="1434131331">
    <w:abstractNumId w:val="5"/>
  </w:num>
  <w:num w:numId="7" w16cid:durableId="2065566079">
    <w:abstractNumId w:val="5"/>
  </w:num>
  <w:num w:numId="8" w16cid:durableId="929318882">
    <w:abstractNumId w:val="3"/>
  </w:num>
  <w:num w:numId="9" w16cid:durableId="1151288429">
    <w:abstractNumId w:val="3"/>
  </w:num>
  <w:num w:numId="10" w16cid:durableId="615410924">
    <w:abstractNumId w:val="3"/>
  </w:num>
  <w:num w:numId="11" w16cid:durableId="2110006510">
    <w:abstractNumId w:val="3"/>
  </w:num>
  <w:num w:numId="12" w16cid:durableId="91050377">
    <w:abstractNumId w:val="5"/>
  </w:num>
  <w:num w:numId="13" w16cid:durableId="1984001375">
    <w:abstractNumId w:val="5"/>
  </w:num>
  <w:num w:numId="14" w16cid:durableId="188301906">
    <w:abstractNumId w:val="5"/>
  </w:num>
  <w:num w:numId="15" w16cid:durableId="2090150860">
    <w:abstractNumId w:val="3"/>
  </w:num>
  <w:num w:numId="16" w16cid:durableId="1277718173">
    <w:abstractNumId w:val="3"/>
  </w:num>
  <w:num w:numId="17" w16cid:durableId="1545290311">
    <w:abstractNumId w:val="3"/>
  </w:num>
  <w:num w:numId="18" w16cid:durableId="1224101529">
    <w:abstractNumId w:val="4"/>
  </w:num>
  <w:num w:numId="19" w16cid:durableId="647635525">
    <w:abstractNumId w:val="14"/>
  </w:num>
  <w:num w:numId="20" w16cid:durableId="1800954624">
    <w:abstractNumId w:val="10"/>
  </w:num>
  <w:num w:numId="21" w16cid:durableId="710880008">
    <w:abstractNumId w:val="13"/>
  </w:num>
  <w:num w:numId="22" w16cid:durableId="1278290192">
    <w:abstractNumId w:val="11"/>
  </w:num>
  <w:num w:numId="23" w16cid:durableId="493498453">
    <w:abstractNumId w:val="15"/>
  </w:num>
  <w:num w:numId="24" w16cid:durableId="428046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0734509">
    <w:abstractNumId w:val="9"/>
  </w:num>
  <w:num w:numId="26" w16cid:durableId="1604418996">
    <w:abstractNumId w:val="20"/>
  </w:num>
  <w:num w:numId="27" w16cid:durableId="958151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1478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4576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668705">
    <w:abstractNumId w:val="3"/>
    <w:lvlOverride w:ilvl="0">
      <w:startOverride w:val="1"/>
      <w:lvl w:ilvl="0">
        <w:start w:val="1"/>
        <w:numFmt w:val="decimal"/>
        <w:pStyle w:val="Numberbullet0"/>
        <w:lvlText w:val="%1."/>
        <w:lvlJc w:val="left"/>
        <w:pPr>
          <w:ind w:left="425" w:hanging="425"/>
        </w:pPr>
        <w:rPr>
          <w:rFonts w:ascii="Cambria" w:hAnsi="Cambria" w:hint="default"/>
          <w:bCs/>
        </w:rPr>
      </w:lvl>
    </w:lvlOverride>
    <w:lvlOverride w:ilvl="1">
      <w:startOverride w:val="1"/>
      <w:lvl w:ilvl="1">
        <w:start w:val="1"/>
        <w:numFmt w:val="decimal"/>
        <w:pStyle w:val="Numberbullet2"/>
        <w:lvlText w:val=""/>
        <w:lvlJc w:val="left"/>
      </w:lvl>
    </w:lvlOverride>
    <w:lvlOverride w:ilvl="2">
      <w:startOverride w:val="1"/>
      <w:lvl w:ilvl="2">
        <w:start w:val="1"/>
        <w:numFmt w:val="decimal"/>
        <w:lvlText w:val=""/>
        <w:lvlJc w:val="left"/>
      </w:lvl>
    </w:lvlOverride>
  </w:num>
  <w:num w:numId="31" w16cid:durableId="17527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3698784">
    <w:abstractNumId w:val="18"/>
  </w:num>
  <w:num w:numId="33" w16cid:durableId="914431785">
    <w:abstractNumId w:val="6"/>
  </w:num>
  <w:num w:numId="34" w16cid:durableId="534736825">
    <w:abstractNumId w:val="17"/>
  </w:num>
  <w:num w:numId="35" w16cid:durableId="1106656430">
    <w:abstractNumId w:val="8"/>
  </w:num>
  <w:num w:numId="36" w16cid:durableId="800922049">
    <w:abstractNumId w:val="16"/>
  </w:num>
  <w:num w:numId="37" w16cid:durableId="2012249229">
    <w:abstractNumId w:val="19"/>
  </w:num>
  <w:num w:numId="38" w16cid:durableId="1964311271">
    <w:abstractNumId w:val="12"/>
  </w:num>
  <w:num w:numId="39" w16cid:durableId="1224098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AB"/>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80D05"/>
    <w:rsid w:val="00087FC4"/>
    <w:rsid w:val="00090471"/>
    <w:rsid w:val="000934A6"/>
    <w:rsid w:val="000A18EA"/>
    <w:rsid w:val="000A3543"/>
    <w:rsid w:val="000A4371"/>
    <w:rsid w:val="000B30E5"/>
    <w:rsid w:val="000B3532"/>
    <w:rsid w:val="000B3A75"/>
    <w:rsid w:val="000B574E"/>
    <w:rsid w:val="000B5E4E"/>
    <w:rsid w:val="000B6CAE"/>
    <w:rsid w:val="000B7084"/>
    <w:rsid w:val="000C4B39"/>
    <w:rsid w:val="000D0851"/>
    <w:rsid w:val="000D157F"/>
    <w:rsid w:val="000D391B"/>
    <w:rsid w:val="000D3D6D"/>
    <w:rsid w:val="000D4FC7"/>
    <w:rsid w:val="000D70E2"/>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A50"/>
    <w:rsid w:val="00165DC3"/>
    <w:rsid w:val="001713A3"/>
    <w:rsid w:val="00172A15"/>
    <w:rsid w:val="0017693F"/>
    <w:rsid w:val="0018110E"/>
    <w:rsid w:val="00181684"/>
    <w:rsid w:val="00181727"/>
    <w:rsid w:val="001843C6"/>
    <w:rsid w:val="001850E0"/>
    <w:rsid w:val="0018660B"/>
    <w:rsid w:val="00186BDD"/>
    <w:rsid w:val="001912BD"/>
    <w:rsid w:val="00192AAA"/>
    <w:rsid w:val="001A3190"/>
    <w:rsid w:val="001A525F"/>
    <w:rsid w:val="001B09F9"/>
    <w:rsid w:val="001B1A66"/>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63B2"/>
    <w:rsid w:val="00256428"/>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B5874"/>
    <w:rsid w:val="002C376C"/>
    <w:rsid w:val="002C6E9C"/>
    <w:rsid w:val="002E193A"/>
    <w:rsid w:val="002E364F"/>
    <w:rsid w:val="002E4C9A"/>
    <w:rsid w:val="002F11F8"/>
    <w:rsid w:val="002F260A"/>
    <w:rsid w:val="002F3F56"/>
    <w:rsid w:val="002F44B5"/>
    <w:rsid w:val="002F6EB2"/>
    <w:rsid w:val="00300350"/>
    <w:rsid w:val="00301FA3"/>
    <w:rsid w:val="00311AC0"/>
    <w:rsid w:val="00323F14"/>
    <w:rsid w:val="003252DE"/>
    <w:rsid w:val="00325399"/>
    <w:rsid w:val="00331DBB"/>
    <w:rsid w:val="00335C3B"/>
    <w:rsid w:val="003361D1"/>
    <w:rsid w:val="00342BFF"/>
    <w:rsid w:val="00344548"/>
    <w:rsid w:val="00350236"/>
    <w:rsid w:val="0035146C"/>
    <w:rsid w:val="003521E8"/>
    <w:rsid w:val="00352CC9"/>
    <w:rsid w:val="00357677"/>
    <w:rsid w:val="00357700"/>
    <w:rsid w:val="00361CB8"/>
    <w:rsid w:val="0036361E"/>
    <w:rsid w:val="003664BF"/>
    <w:rsid w:val="00367F70"/>
    <w:rsid w:val="003728F3"/>
    <w:rsid w:val="00376793"/>
    <w:rsid w:val="003843F6"/>
    <w:rsid w:val="00390900"/>
    <w:rsid w:val="00393398"/>
    <w:rsid w:val="003A2DDF"/>
    <w:rsid w:val="003B362C"/>
    <w:rsid w:val="003B73DF"/>
    <w:rsid w:val="003B7E39"/>
    <w:rsid w:val="003C58DC"/>
    <w:rsid w:val="003D3B63"/>
    <w:rsid w:val="003D6B56"/>
    <w:rsid w:val="003E0A89"/>
    <w:rsid w:val="003E3208"/>
    <w:rsid w:val="003F0B04"/>
    <w:rsid w:val="003F282B"/>
    <w:rsid w:val="003F2E95"/>
    <w:rsid w:val="003F4153"/>
    <w:rsid w:val="004000ED"/>
    <w:rsid w:val="0040134E"/>
    <w:rsid w:val="00404B57"/>
    <w:rsid w:val="00406DB9"/>
    <w:rsid w:val="00416BCB"/>
    <w:rsid w:val="00422857"/>
    <w:rsid w:val="00440A2D"/>
    <w:rsid w:val="00440EDC"/>
    <w:rsid w:val="00442DA9"/>
    <w:rsid w:val="0045040C"/>
    <w:rsid w:val="004564A7"/>
    <w:rsid w:val="004617BF"/>
    <w:rsid w:val="00473864"/>
    <w:rsid w:val="00482169"/>
    <w:rsid w:val="00483D37"/>
    <w:rsid w:val="004923FF"/>
    <w:rsid w:val="004927EC"/>
    <w:rsid w:val="00494CA4"/>
    <w:rsid w:val="00494E60"/>
    <w:rsid w:val="0049734C"/>
    <w:rsid w:val="004A3084"/>
    <w:rsid w:val="004B7B76"/>
    <w:rsid w:val="004C0070"/>
    <w:rsid w:val="004C100A"/>
    <w:rsid w:val="004C323B"/>
    <w:rsid w:val="004C4096"/>
    <w:rsid w:val="004C6E9B"/>
    <w:rsid w:val="004D51A6"/>
    <w:rsid w:val="004F0F38"/>
    <w:rsid w:val="004F1240"/>
    <w:rsid w:val="004F3C8C"/>
    <w:rsid w:val="004F40D8"/>
    <w:rsid w:val="004F484B"/>
    <w:rsid w:val="00501921"/>
    <w:rsid w:val="00501B2C"/>
    <w:rsid w:val="00523FB1"/>
    <w:rsid w:val="00525165"/>
    <w:rsid w:val="00526AC0"/>
    <w:rsid w:val="00526B28"/>
    <w:rsid w:val="00530354"/>
    <w:rsid w:val="00531B69"/>
    <w:rsid w:val="00535D83"/>
    <w:rsid w:val="0054053C"/>
    <w:rsid w:val="00541FD8"/>
    <w:rsid w:val="005423EF"/>
    <w:rsid w:val="005434C6"/>
    <w:rsid w:val="00543B39"/>
    <w:rsid w:val="00550096"/>
    <w:rsid w:val="0055653F"/>
    <w:rsid w:val="00557FF9"/>
    <w:rsid w:val="00560037"/>
    <w:rsid w:val="00562079"/>
    <w:rsid w:val="005629B1"/>
    <w:rsid w:val="005640AC"/>
    <w:rsid w:val="00567A2E"/>
    <w:rsid w:val="0057564C"/>
    <w:rsid w:val="00576378"/>
    <w:rsid w:val="00577E38"/>
    <w:rsid w:val="00584285"/>
    <w:rsid w:val="00585322"/>
    <w:rsid w:val="00585E08"/>
    <w:rsid w:val="0059345B"/>
    <w:rsid w:val="00593AD1"/>
    <w:rsid w:val="005A1131"/>
    <w:rsid w:val="005B1ED9"/>
    <w:rsid w:val="005B4D5C"/>
    <w:rsid w:val="005C2EEB"/>
    <w:rsid w:val="005C5570"/>
    <w:rsid w:val="005C5FD4"/>
    <w:rsid w:val="005C79A4"/>
    <w:rsid w:val="005D1689"/>
    <w:rsid w:val="005D248B"/>
    <w:rsid w:val="005D3254"/>
    <w:rsid w:val="005D5442"/>
    <w:rsid w:val="005D55A3"/>
    <w:rsid w:val="005E3A1F"/>
    <w:rsid w:val="005E5568"/>
    <w:rsid w:val="005F458A"/>
    <w:rsid w:val="005F5830"/>
    <w:rsid w:val="00610D73"/>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C1F3B"/>
    <w:rsid w:val="006C3E2A"/>
    <w:rsid w:val="006C43B5"/>
    <w:rsid w:val="006C642F"/>
    <w:rsid w:val="006C76F8"/>
    <w:rsid w:val="006D03E5"/>
    <w:rsid w:val="006D5D3E"/>
    <w:rsid w:val="006D7AFB"/>
    <w:rsid w:val="006D7D50"/>
    <w:rsid w:val="006E08B3"/>
    <w:rsid w:val="006E2A8A"/>
    <w:rsid w:val="006E4E00"/>
    <w:rsid w:val="006F1604"/>
    <w:rsid w:val="006F3339"/>
    <w:rsid w:val="006F46EA"/>
    <w:rsid w:val="006F572E"/>
    <w:rsid w:val="006F6284"/>
    <w:rsid w:val="006F652C"/>
    <w:rsid w:val="006F6C81"/>
    <w:rsid w:val="007046D6"/>
    <w:rsid w:val="00705DB0"/>
    <w:rsid w:val="007060CD"/>
    <w:rsid w:val="00706634"/>
    <w:rsid w:val="00706AFE"/>
    <w:rsid w:val="00712896"/>
    <w:rsid w:val="00723BF8"/>
    <w:rsid w:val="00723D14"/>
    <w:rsid w:val="00724320"/>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0642"/>
    <w:rsid w:val="00771329"/>
    <w:rsid w:val="00773EF7"/>
    <w:rsid w:val="00774E1D"/>
    <w:rsid w:val="0077675A"/>
    <w:rsid w:val="00780355"/>
    <w:rsid w:val="00782E55"/>
    <w:rsid w:val="00785721"/>
    <w:rsid w:val="00785E35"/>
    <w:rsid w:val="0078745C"/>
    <w:rsid w:val="00793A59"/>
    <w:rsid w:val="00795DC5"/>
    <w:rsid w:val="007A2162"/>
    <w:rsid w:val="007B3C16"/>
    <w:rsid w:val="007C0F3D"/>
    <w:rsid w:val="007C1AF7"/>
    <w:rsid w:val="007C1B58"/>
    <w:rsid w:val="007D2AAF"/>
    <w:rsid w:val="007E175B"/>
    <w:rsid w:val="007F17AF"/>
    <w:rsid w:val="007F2054"/>
    <w:rsid w:val="00816164"/>
    <w:rsid w:val="00821776"/>
    <w:rsid w:val="00826007"/>
    <w:rsid w:val="00826B95"/>
    <w:rsid w:val="008320C3"/>
    <w:rsid w:val="008321F5"/>
    <w:rsid w:val="00832369"/>
    <w:rsid w:val="00834660"/>
    <w:rsid w:val="008367B8"/>
    <w:rsid w:val="00836BC2"/>
    <w:rsid w:val="0085641B"/>
    <w:rsid w:val="00857136"/>
    <w:rsid w:val="00873D47"/>
    <w:rsid w:val="00896018"/>
    <w:rsid w:val="008A2B9D"/>
    <w:rsid w:val="008A5E0B"/>
    <w:rsid w:val="008A6D59"/>
    <w:rsid w:val="008A7095"/>
    <w:rsid w:val="008B1A25"/>
    <w:rsid w:val="008B4B03"/>
    <w:rsid w:val="008B553E"/>
    <w:rsid w:val="008B596F"/>
    <w:rsid w:val="008C159F"/>
    <w:rsid w:val="008C1623"/>
    <w:rsid w:val="008C1970"/>
    <w:rsid w:val="008C51A9"/>
    <w:rsid w:val="008C607A"/>
    <w:rsid w:val="008C63C5"/>
    <w:rsid w:val="008C7541"/>
    <w:rsid w:val="008E3C43"/>
    <w:rsid w:val="008E3FF2"/>
    <w:rsid w:val="008F1CCC"/>
    <w:rsid w:val="008F2967"/>
    <w:rsid w:val="008F6749"/>
    <w:rsid w:val="008F6EF7"/>
    <w:rsid w:val="009074DB"/>
    <w:rsid w:val="0091717B"/>
    <w:rsid w:val="00920330"/>
    <w:rsid w:val="00920FF4"/>
    <w:rsid w:val="009219D7"/>
    <w:rsid w:val="00922D53"/>
    <w:rsid w:val="00923B70"/>
    <w:rsid w:val="0092600B"/>
    <w:rsid w:val="00926B0E"/>
    <w:rsid w:val="00930237"/>
    <w:rsid w:val="00930E4B"/>
    <w:rsid w:val="00932BBB"/>
    <w:rsid w:val="00935A73"/>
    <w:rsid w:val="00946A02"/>
    <w:rsid w:val="00947BE9"/>
    <w:rsid w:val="00953399"/>
    <w:rsid w:val="0096319D"/>
    <w:rsid w:val="00963C08"/>
    <w:rsid w:val="00964F68"/>
    <w:rsid w:val="009707B8"/>
    <w:rsid w:val="00974DBB"/>
    <w:rsid w:val="0099110E"/>
    <w:rsid w:val="00994189"/>
    <w:rsid w:val="009A346E"/>
    <w:rsid w:val="009A4CED"/>
    <w:rsid w:val="009A5BC7"/>
    <w:rsid w:val="009B1D12"/>
    <w:rsid w:val="009B3475"/>
    <w:rsid w:val="009B416B"/>
    <w:rsid w:val="009B4C0C"/>
    <w:rsid w:val="009B68A6"/>
    <w:rsid w:val="009C4BD5"/>
    <w:rsid w:val="009D059A"/>
    <w:rsid w:val="009D2E04"/>
    <w:rsid w:val="009D7B77"/>
    <w:rsid w:val="009E0BB0"/>
    <w:rsid w:val="009E3FBB"/>
    <w:rsid w:val="009E45E7"/>
    <w:rsid w:val="009E641D"/>
    <w:rsid w:val="009F018D"/>
    <w:rsid w:val="009F0B33"/>
    <w:rsid w:val="00A04EAF"/>
    <w:rsid w:val="00A1235B"/>
    <w:rsid w:val="00A14DF7"/>
    <w:rsid w:val="00A16AD1"/>
    <w:rsid w:val="00A26E24"/>
    <w:rsid w:val="00A3246D"/>
    <w:rsid w:val="00A36FA7"/>
    <w:rsid w:val="00A4235C"/>
    <w:rsid w:val="00A47459"/>
    <w:rsid w:val="00A475B7"/>
    <w:rsid w:val="00A47AF7"/>
    <w:rsid w:val="00A47C3E"/>
    <w:rsid w:val="00A50226"/>
    <w:rsid w:val="00A56241"/>
    <w:rsid w:val="00A60BAD"/>
    <w:rsid w:val="00A644D1"/>
    <w:rsid w:val="00A65643"/>
    <w:rsid w:val="00A73A8D"/>
    <w:rsid w:val="00A77452"/>
    <w:rsid w:val="00A83651"/>
    <w:rsid w:val="00A87334"/>
    <w:rsid w:val="00AA28FA"/>
    <w:rsid w:val="00AA3EB9"/>
    <w:rsid w:val="00AC2B40"/>
    <w:rsid w:val="00AC2BB2"/>
    <w:rsid w:val="00AC2C3C"/>
    <w:rsid w:val="00AC3BD9"/>
    <w:rsid w:val="00AC3D45"/>
    <w:rsid w:val="00AD5831"/>
    <w:rsid w:val="00AE5AB2"/>
    <w:rsid w:val="00AE65EB"/>
    <w:rsid w:val="00AE7BF8"/>
    <w:rsid w:val="00AE7C6A"/>
    <w:rsid w:val="00AF1D94"/>
    <w:rsid w:val="00AF60C5"/>
    <w:rsid w:val="00AF69CB"/>
    <w:rsid w:val="00B009C6"/>
    <w:rsid w:val="00B00ACB"/>
    <w:rsid w:val="00B01548"/>
    <w:rsid w:val="00B01551"/>
    <w:rsid w:val="00B0586C"/>
    <w:rsid w:val="00B071D3"/>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364C"/>
    <w:rsid w:val="00BA7B8F"/>
    <w:rsid w:val="00BA7BA5"/>
    <w:rsid w:val="00BC1CAB"/>
    <w:rsid w:val="00BC406A"/>
    <w:rsid w:val="00BC622A"/>
    <w:rsid w:val="00BD0B28"/>
    <w:rsid w:val="00BD3A2F"/>
    <w:rsid w:val="00BE0A78"/>
    <w:rsid w:val="00BE23AB"/>
    <w:rsid w:val="00BE243C"/>
    <w:rsid w:val="00BE64BE"/>
    <w:rsid w:val="00BE79F0"/>
    <w:rsid w:val="00BF046D"/>
    <w:rsid w:val="00BF43F2"/>
    <w:rsid w:val="00BF5D04"/>
    <w:rsid w:val="00BF6F7B"/>
    <w:rsid w:val="00C13563"/>
    <w:rsid w:val="00C14835"/>
    <w:rsid w:val="00C1617C"/>
    <w:rsid w:val="00C23477"/>
    <w:rsid w:val="00C24FC6"/>
    <w:rsid w:val="00C3408D"/>
    <w:rsid w:val="00C404A6"/>
    <w:rsid w:val="00C40A36"/>
    <w:rsid w:val="00C44419"/>
    <w:rsid w:val="00C45E7B"/>
    <w:rsid w:val="00C471B1"/>
    <w:rsid w:val="00C4743E"/>
    <w:rsid w:val="00C50E5C"/>
    <w:rsid w:val="00C5687C"/>
    <w:rsid w:val="00C61E66"/>
    <w:rsid w:val="00C6316B"/>
    <w:rsid w:val="00C634A9"/>
    <w:rsid w:val="00C63551"/>
    <w:rsid w:val="00C63E31"/>
    <w:rsid w:val="00C659C1"/>
    <w:rsid w:val="00C71313"/>
    <w:rsid w:val="00C7475B"/>
    <w:rsid w:val="00C76805"/>
    <w:rsid w:val="00C772FF"/>
    <w:rsid w:val="00C801AF"/>
    <w:rsid w:val="00C80256"/>
    <w:rsid w:val="00C83BB9"/>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0678A"/>
    <w:rsid w:val="00D11F5C"/>
    <w:rsid w:val="00D12FFB"/>
    <w:rsid w:val="00D153B1"/>
    <w:rsid w:val="00D20C54"/>
    <w:rsid w:val="00D224FE"/>
    <w:rsid w:val="00D229BA"/>
    <w:rsid w:val="00D25F22"/>
    <w:rsid w:val="00D27857"/>
    <w:rsid w:val="00D30526"/>
    <w:rsid w:val="00D333B3"/>
    <w:rsid w:val="00D3646E"/>
    <w:rsid w:val="00D4279D"/>
    <w:rsid w:val="00D44B09"/>
    <w:rsid w:val="00D55652"/>
    <w:rsid w:val="00D5588E"/>
    <w:rsid w:val="00D55F73"/>
    <w:rsid w:val="00D5646A"/>
    <w:rsid w:val="00D64401"/>
    <w:rsid w:val="00D6493E"/>
    <w:rsid w:val="00D744BD"/>
    <w:rsid w:val="00D82992"/>
    <w:rsid w:val="00D85417"/>
    <w:rsid w:val="00D900BD"/>
    <w:rsid w:val="00D9141E"/>
    <w:rsid w:val="00D92115"/>
    <w:rsid w:val="00D963F2"/>
    <w:rsid w:val="00DA1124"/>
    <w:rsid w:val="00DA24C7"/>
    <w:rsid w:val="00DA381C"/>
    <w:rsid w:val="00DA4CD9"/>
    <w:rsid w:val="00DB7E62"/>
    <w:rsid w:val="00DD75A3"/>
    <w:rsid w:val="00DD76DE"/>
    <w:rsid w:val="00DE02AE"/>
    <w:rsid w:val="00DE6A0C"/>
    <w:rsid w:val="00DE6C04"/>
    <w:rsid w:val="00DF1D7F"/>
    <w:rsid w:val="00DF28BB"/>
    <w:rsid w:val="00DF45B9"/>
    <w:rsid w:val="00DF5D9A"/>
    <w:rsid w:val="00DF6BE8"/>
    <w:rsid w:val="00DF7663"/>
    <w:rsid w:val="00E02FB4"/>
    <w:rsid w:val="00E06075"/>
    <w:rsid w:val="00E1198B"/>
    <w:rsid w:val="00E11E4D"/>
    <w:rsid w:val="00E1340C"/>
    <w:rsid w:val="00E177F4"/>
    <w:rsid w:val="00E2018F"/>
    <w:rsid w:val="00E20571"/>
    <w:rsid w:val="00E21651"/>
    <w:rsid w:val="00E22953"/>
    <w:rsid w:val="00E235F7"/>
    <w:rsid w:val="00E239D4"/>
    <w:rsid w:val="00E30C88"/>
    <w:rsid w:val="00E32A5C"/>
    <w:rsid w:val="00E40B22"/>
    <w:rsid w:val="00E4588F"/>
    <w:rsid w:val="00E4610C"/>
    <w:rsid w:val="00E46DA3"/>
    <w:rsid w:val="00E47660"/>
    <w:rsid w:val="00E506E9"/>
    <w:rsid w:val="00E67774"/>
    <w:rsid w:val="00E91025"/>
    <w:rsid w:val="00E94ACD"/>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EF7943"/>
    <w:rsid w:val="00F033EC"/>
    <w:rsid w:val="00F04F68"/>
    <w:rsid w:val="00F0622D"/>
    <w:rsid w:val="00F12670"/>
    <w:rsid w:val="00F1405D"/>
    <w:rsid w:val="00F14B27"/>
    <w:rsid w:val="00F2301F"/>
    <w:rsid w:val="00F27030"/>
    <w:rsid w:val="00F274A2"/>
    <w:rsid w:val="00F31011"/>
    <w:rsid w:val="00F3148D"/>
    <w:rsid w:val="00F35298"/>
    <w:rsid w:val="00F3529E"/>
    <w:rsid w:val="00F401EF"/>
    <w:rsid w:val="00F42639"/>
    <w:rsid w:val="00F427F0"/>
    <w:rsid w:val="00F47E37"/>
    <w:rsid w:val="00F53452"/>
    <w:rsid w:val="00F54CA9"/>
    <w:rsid w:val="00F555ED"/>
    <w:rsid w:val="00F55EB2"/>
    <w:rsid w:val="00F56B9D"/>
    <w:rsid w:val="00F640B6"/>
    <w:rsid w:val="00F71E1E"/>
    <w:rsid w:val="00F74BFF"/>
    <w:rsid w:val="00F80E40"/>
    <w:rsid w:val="00F859D2"/>
    <w:rsid w:val="00F8709D"/>
    <w:rsid w:val="00F9022D"/>
    <w:rsid w:val="00FA2B8E"/>
    <w:rsid w:val="00FA43E5"/>
    <w:rsid w:val="00FA5B82"/>
    <w:rsid w:val="00FA639E"/>
    <w:rsid w:val="00FA7C37"/>
    <w:rsid w:val="00FC03C8"/>
    <w:rsid w:val="00FC1750"/>
    <w:rsid w:val="00FC25E4"/>
    <w:rsid w:val="00FC38BC"/>
    <w:rsid w:val="00FC4EF7"/>
    <w:rsid w:val="00FE1DEE"/>
    <w:rsid w:val="00FE206C"/>
    <w:rsid w:val="00FE501F"/>
    <w:rsid w:val="00FE6716"/>
    <w:rsid w:val="00FF2126"/>
    <w:rsid w:val="00FF2993"/>
    <w:rsid w:val="00FF45B2"/>
    <w:rsid w:val="00FF69BE"/>
    <w:rsid w:val="00FF7B93"/>
    <w:rsid w:val="01680E0F"/>
    <w:rsid w:val="03F7B1A1"/>
    <w:rsid w:val="057FEE1E"/>
    <w:rsid w:val="07F38545"/>
    <w:rsid w:val="09598F51"/>
    <w:rsid w:val="1FDF11B9"/>
    <w:rsid w:val="2092DE12"/>
    <w:rsid w:val="29286C69"/>
    <w:rsid w:val="2ACC0166"/>
    <w:rsid w:val="319520E8"/>
    <w:rsid w:val="33C443BE"/>
    <w:rsid w:val="4260A14F"/>
    <w:rsid w:val="484027AB"/>
    <w:rsid w:val="4BCDB6AC"/>
    <w:rsid w:val="4E2226C8"/>
    <w:rsid w:val="52AFD61C"/>
    <w:rsid w:val="52B39139"/>
    <w:rsid w:val="55E85C74"/>
    <w:rsid w:val="57752C2C"/>
    <w:rsid w:val="5B41091D"/>
    <w:rsid w:val="5C3E086A"/>
    <w:rsid w:val="5F2D4906"/>
    <w:rsid w:val="6089F340"/>
    <w:rsid w:val="64EDD82C"/>
    <w:rsid w:val="6853DEFA"/>
    <w:rsid w:val="79C168B1"/>
    <w:rsid w:val="7A3E0E78"/>
    <w:rsid w:val="7C966EE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409A62D6"/>
  <w15:docId w15:val="{C74EF426-1ACB-43EF-B7F8-EE62F279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Yu Mincho" w:hAnsi="Yu Mincho"/>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Yu Mincho" w:hAnsi="Yu Mincho"/>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Yu Mincho" w:hAnsi="Yu Mincho"/>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character" w:styleId="EndnoteReference">
    <w:name w:val="endnote reference"/>
    <w:basedOn w:val="DefaultParagraphFont"/>
    <w:uiPriority w:val="99"/>
    <w:semiHidden/>
    <w:unhideWhenUsed/>
    <w:rsid w:val="00BE23AB"/>
    <w:rPr>
      <w:vertAlign w:val="superscript"/>
    </w:rPr>
  </w:style>
  <w:style w:type="paragraph" w:styleId="ListParagraph">
    <w:name w:val="List Paragraph"/>
    <w:basedOn w:val="Normal"/>
    <w:uiPriority w:val="34"/>
    <w:qFormat/>
    <w:rsid w:val="00BE23AB"/>
    <w:pPr>
      <w:ind w:left="720"/>
      <w:contextualSpacing/>
    </w:pPr>
    <w:rPr>
      <w:rFonts w:ascii="Cambria" w:hAnsi="Cambria"/>
      <w:color w:val="auto"/>
    </w:rPr>
  </w:style>
  <w:style w:type="paragraph" w:customStyle="1" w:styleId="Email">
    <w:name w:val="Email"/>
    <w:basedOn w:val="Normal"/>
    <w:link w:val="EmailChar"/>
    <w:uiPriority w:val="1"/>
    <w:qFormat/>
    <w:rsid w:val="00BE23AB"/>
    <w:pPr>
      <w:spacing w:before="0" w:after="0"/>
    </w:pPr>
    <w:rPr>
      <w:rFonts w:ascii="Calibri" w:hAnsi="Calibri" w:cs="Calibri"/>
      <w:color w:val="auto"/>
      <w:szCs w:val="22"/>
    </w:rPr>
  </w:style>
  <w:style w:type="character" w:customStyle="1" w:styleId="EmailChar">
    <w:name w:val="Email Char"/>
    <w:basedOn w:val="DefaultParagraphFont"/>
    <w:link w:val="Email"/>
    <w:uiPriority w:val="1"/>
    <w:locked/>
    <w:rsid w:val="00BE23AB"/>
    <w:rPr>
      <w:rFonts w:ascii="Calibri" w:hAnsi="Calibri" w:cs="Calibri"/>
      <w:sz w:val="22"/>
      <w:szCs w:val="22"/>
      <w:lang w:eastAsia="en-US"/>
    </w:rPr>
  </w:style>
  <w:style w:type="character" w:customStyle="1" w:styleId="null1">
    <w:name w:val="null1"/>
    <w:basedOn w:val="DefaultParagraphFont"/>
    <w:rsid w:val="00BE23AB"/>
  </w:style>
  <w:style w:type="paragraph" w:styleId="NormalWeb">
    <w:name w:val="Normal (Web)"/>
    <w:basedOn w:val="Normal"/>
    <w:uiPriority w:val="99"/>
    <w:unhideWhenUsed/>
    <w:rsid w:val="00BE23AB"/>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HTMLCite">
    <w:name w:val="HTML Cite"/>
    <w:basedOn w:val="DefaultParagraphFont"/>
    <w:uiPriority w:val="99"/>
    <w:semiHidden/>
    <w:unhideWhenUsed/>
    <w:rsid w:val="00BE23AB"/>
    <w:rPr>
      <w:i/>
      <w:iCs/>
    </w:rPr>
  </w:style>
  <w:style w:type="paragraph" w:customStyle="1" w:styleId="tablea">
    <w:name w:val="tablea"/>
    <w:basedOn w:val="Normal"/>
    <w:rsid w:val="00BE23AB"/>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null">
    <w:name w:val="null"/>
    <w:basedOn w:val="Normal"/>
    <w:rsid w:val="00BE23AB"/>
    <w:pPr>
      <w:spacing w:before="100" w:beforeAutospacing="1" w:after="100" w:afterAutospacing="1" w:line="240" w:lineRule="auto"/>
    </w:pPr>
    <w:rPr>
      <w:rFonts w:ascii="Calibri" w:eastAsiaTheme="minorHAnsi" w:hAnsi="Calibri" w:cs="Calibri"/>
      <w:color w:val="auto"/>
      <w:szCs w:val="22"/>
      <w:lang w:eastAsia="en-AU"/>
    </w:rPr>
  </w:style>
  <w:style w:type="character" w:styleId="UnresolvedMention">
    <w:name w:val="Unresolved Mention"/>
    <w:basedOn w:val="DefaultParagraphFont"/>
    <w:uiPriority w:val="99"/>
    <w:semiHidden/>
    <w:unhideWhenUsed/>
    <w:rsid w:val="00BE23AB"/>
    <w:rPr>
      <w:color w:val="605E5C"/>
      <w:shd w:val="clear" w:color="auto" w:fill="E1DFDD"/>
    </w:rPr>
  </w:style>
  <w:style w:type="paragraph" w:styleId="Revision">
    <w:name w:val="Revision"/>
    <w:hidden/>
    <w:uiPriority w:val="99"/>
    <w:semiHidden/>
    <w:rsid w:val="00FF45B2"/>
    <w:rPr>
      <w:rFonts w:ascii="Arial" w:hAnsi="Arial"/>
      <w:color w:val="333F48"/>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185">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20442658">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51825674">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ga.gov.au/industry/artg.htm" TargetMode="External"/><Relationship Id="rId26" Type="http://schemas.openxmlformats.org/officeDocument/2006/relationships/hyperlink" Target="https://www.tga.gov.au/form/authorised-prescribers" TargetMode="External"/><Relationship Id="rId39" Type="http://schemas.openxmlformats.org/officeDocument/2006/relationships/hyperlink" Target="https://compliance.health.gov.au/sas/" TargetMode="External"/><Relationship Id="rId21" Type="http://schemas.openxmlformats.org/officeDocument/2006/relationships/hyperlink" Target="https://www.tga.gov.au/special-access-scheme-rules" TargetMode="External"/><Relationship Id="rId34" Type="http://schemas.openxmlformats.org/officeDocument/2006/relationships/image" Target="media/image5.png"/><Relationship Id="rId42" Type="http://schemas.openxmlformats.org/officeDocument/2006/relationships/hyperlink" Target="https://www.legislation.gov.au/Details/F2021C00400" TargetMode="External"/><Relationship Id="rId47" Type="http://schemas.openxmlformats.org/officeDocument/2006/relationships/hyperlink" Target="https://www.tga.gov.au/reporting-problems" TargetMode="External"/><Relationship Id="rId50" Type="http://schemas.openxmlformats.org/officeDocument/2006/relationships/hyperlink" Target="https://www.legislation.gov.au/Series/F2002B00237"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Series/F1996B00406" TargetMode="External"/><Relationship Id="rId20" Type="http://schemas.openxmlformats.org/officeDocument/2006/relationships/hyperlink" Target="https://www.tga.gov.au/form/authorised-prescribers" TargetMode="External"/><Relationship Id="rId29" Type="http://schemas.openxmlformats.org/officeDocument/2006/relationships/hyperlink" Target="https://www.tga.gov.au/sites/default/files/authorised-prescriber-scheme-online-system-guidance.pdf" TargetMode="External"/><Relationship Id="rId41" Type="http://schemas.openxmlformats.org/officeDocument/2006/relationships/hyperlink" Target="https://www.tga.gov.au/reporting-adverse-events" TargetMode="External"/><Relationship Id="rId54" Type="http://schemas.openxmlformats.org/officeDocument/2006/relationships/header" Target="header3.xm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form/special-access-scheme" TargetMode="External"/><Relationship Id="rId32" Type="http://schemas.openxmlformats.org/officeDocument/2006/relationships/hyperlink" Target="https://www.nhmrc.gov.au/" TargetMode="External"/><Relationship Id="rId37" Type="http://schemas.openxmlformats.org/officeDocument/2006/relationships/hyperlink" Target="https://www.odc.gov.au/" TargetMode="External"/><Relationship Id="rId40" Type="http://schemas.openxmlformats.org/officeDocument/2006/relationships/hyperlink" Target="https://www.tga.gov.au/sites/default/files/authorised-prescriber-scheme-online-system-guidance.pdf" TargetMode="External"/><Relationship Id="rId45" Type="http://schemas.openxmlformats.org/officeDocument/2006/relationships/hyperlink" Target="mailto:medicinal.cannabis@health.gov.au" TargetMode="External"/><Relationship Id="rId53" Type="http://schemas.openxmlformats.org/officeDocument/2006/relationships/hyperlink" Target="https://www.legislation.gov.au/Series/C2004A02562" TargetMode="External"/><Relationship Id="rId58"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yperlink" Target="https://www.ahpra.gov.au/Registration/Registers-of-Practitioners.aspx" TargetMode="External"/><Relationship Id="rId28" Type="http://schemas.openxmlformats.org/officeDocument/2006/relationships/hyperlink" Target="https://www.tga.gov.au/special-access-scheme-and-authorised-prescriber-online-system" TargetMode="External"/><Relationship Id="rId36" Type="http://schemas.openxmlformats.org/officeDocument/2006/relationships/hyperlink" Target="https://www.tga.gov.au/book-page/administrative-appeals-tribunal" TargetMode="External"/><Relationship Id="rId49" Type="http://schemas.openxmlformats.org/officeDocument/2006/relationships/hyperlink" Target="https://www.legislation.gov.au/Series/F1996B00406" TargetMode="External"/><Relationship Id="rId57" Type="http://schemas.openxmlformats.org/officeDocument/2006/relationships/hyperlink" Target="https://www.tga.gov.au"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Series/F1996B00406" TargetMode="External"/><Relationship Id="rId31" Type="http://schemas.openxmlformats.org/officeDocument/2006/relationships/hyperlink" Target="https://www.tga.gov.au/sites/default/files/authorised-prescriber-scheme-online-system-guidance.pdf" TargetMode="External"/><Relationship Id="rId44" Type="http://schemas.openxmlformats.org/officeDocument/2006/relationships/hyperlink" Target="mailto:SAS@health.gov.au" TargetMode="External"/><Relationship Id="rId52" Type="http://schemas.openxmlformats.org/officeDocument/2006/relationships/hyperlink" Target="https://www.legislation.gov.au/Series/C2004A03712"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au/Series/C2004A03952" TargetMode="External"/><Relationship Id="rId27" Type="http://schemas.openxmlformats.org/officeDocument/2006/relationships/hyperlink" Target="https://www.tga.gov.au/form/authorised-prescribers" TargetMode="External"/><Relationship Id="rId30" Type="http://schemas.openxmlformats.org/officeDocument/2006/relationships/hyperlink" Target="https://www.tga.gov.au/special-access-scheme-and-authorised-prescriber-online-system" TargetMode="External"/><Relationship Id="rId35" Type="http://schemas.openxmlformats.org/officeDocument/2006/relationships/hyperlink" Target="https://www.tga.gov.au/publication/guidance-requesting-reconsideration-initial-decision" TargetMode="External"/><Relationship Id="rId43" Type="http://schemas.openxmlformats.org/officeDocument/2006/relationships/hyperlink" Target="https://www.tga.gov.au/medicinal-cannabis-information-health-professionals" TargetMode="External"/><Relationship Id="rId48" Type="http://schemas.openxmlformats.org/officeDocument/2006/relationships/hyperlink" Target="https://www.legislation.gov.au/Series/C2004A03952" TargetMode="External"/><Relationship Id="rId56" Type="http://schemas.openxmlformats.org/officeDocument/2006/relationships/hyperlink" Target="mailto:info@tga.gov.au" TargetMode="External"/><Relationship Id="rId8" Type="http://schemas.openxmlformats.org/officeDocument/2006/relationships/webSettings" Target="webSettings.xml"/><Relationship Id="rId51" Type="http://schemas.openxmlformats.org/officeDocument/2006/relationships/hyperlink" Target="https://www.health.gov.au/using-our-websites/privacy"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tga.gov.au/acronyms-glossary" TargetMode="External"/><Relationship Id="rId33" Type="http://schemas.openxmlformats.org/officeDocument/2006/relationships/hyperlink" Target="https://nhmrc.gov.au/research-policy/ethics/national-certification-scheme-ethics-review-multi-centre-research" TargetMode="External"/><Relationship Id="rId38" Type="http://schemas.openxmlformats.org/officeDocument/2006/relationships/hyperlink" Target="https://www.tga.gov.au/access-medicinal-cannabis-products-steps-using-access-schemes" TargetMode="External"/><Relationship Id="rId46" Type="http://schemas.openxmlformats.org/officeDocument/2006/relationships/hyperlink" Target="https://www.tga.gov.au/resources/resource/forms/sponsor-six-monthly-reporting-form" TargetMode="External"/><Relationship Id="rId59"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16" ma:contentTypeDescription="Create a new document." ma:contentTypeScope="" ma:versionID="0433089fb09eae6bb4f2ec18e1495c66">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e392aac05a690f7c26f754e524a27f7f"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4d2a73-6e3f-44eb-9dab-11d2e6c98989}"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AC2C1-8F99-46B1-9C8A-851F085B49F2}">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2.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customXml/itemProps3.xml><?xml version="1.0" encoding="utf-8"?>
<ds:datastoreItem xmlns:ds="http://schemas.openxmlformats.org/officeDocument/2006/customXml" ds:itemID="{8938349F-31E4-40A0-BC91-4CC209483B42}">
  <ds:schemaRefs>
    <ds:schemaRef ds:uri="http://schemas.microsoft.com/sharepoint/v3/contenttype/forms"/>
  </ds:schemaRefs>
</ds:datastoreItem>
</file>

<file path=customXml/itemProps4.xml><?xml version="1.0" encoding="utf-8"?>
<ds:datastoreItem xmlns:ds="http://schemas.openxmlformats.org/officeDocument/2006/customXml" ds:itemID="{94A0834C-62D3-416F-B2C4-36871DF5F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28</Pages>
  <Words>8448</Words>
  <Characters>47821</Characters>
  <Application>Microsoft Office Word</Application>
  <DocSecurity>0</DocSecurity>
  <Lines>1195</Lines>
  <Paragraphs>815</Paragraphs>
  <ScaleCrop>false</ScaleCrop>
  <HeadingPairs>
    <vt:vector size="2" baseType="variant">
      <vt:variant>
        <vt:lpstr>Title</vt:lpstr>
      </vt:variant>
      <vt:variant>
        <vt:i4>1</vt:i4>
      </vt:variant>
    </vt:vector>
  </HeadingPairs>
  <TitlesOfParts>
    <vt:vector size="1" baseType="lpstr">
      <vt:lpstr>Authorised Prescriber Scheme: Guidance for medical practitioners, Human Research Ethics Committees, specialist colleges and sponsors</vt:lpstr>
    </vt:vector>
  </TitlesOfParts>
  <Company>Department of Health and Aged Care</Company>
  <LinksUpToDate>false</LinksUpToDate>
  <CharactersWithSpaces>55454</CharactersWithSpaces>
  <SharedDoc>false</SharedDoc>
  <HLinks>
    <vt:vector size="582" baseType="variant">
      <vt:variant>
        <vt:i4>3473445</vt:i4>
      </vt:variant>
      <vt:variant>
        <vt:i4>432</vt:i4>
      </vt:variant>
      <vt:variant>
        <vt:i4>0</vt:i4>
      </vt:variant>
      <vt:variant>
        <vt:i4>5</vt:i4>
      </vt:variant>
      <vt:variant>
        <vt:lpwstr>https://www.tga.gov.au/</vt:lpwstr>
      </vt:variant>
      <vt:variant>
        <vt:lpwstr/>
      </vt:variant>
      <vt:variant>
        <vt:i4>5242926</vt:i4>
      </vt:variant>
      <vt:variant>
        <vt:i4>429</vt:i4>
      </vt:variant>
      <vt:variant>
        <vt:i4>0</vt:i4>
      </vt:variant>
      <vt:variant>
        <vt:i4>5</vt:i4>
      </vt:variant>
      <vt:variant>
        <vt:lpwstr>mailto:info@tga.gov.au</vt:lpwstr>
      </vt:variant>
      <vt:variant>
        <vt:lpwstr/>
      </vt:variant>
      <vt:variant>
        <vt:i4>327708</vt:i4>
      </vt:variant>
      <vt:variant>
        <vt:i4>426</vt:i4>
      </vt:variant>
      <vt:variant>
        <vt:i4>0</vt:i4>
      </vt:variant>
      <vt:variant>
        <vt:i4>5</vt:i4>
      </vt:variant>
      <vt:variant>
        <vt:lpwstr>https://www.legislation.gov.au/Series/C2004A02562</vt:lpwstr>
      </vt:variant>
      <vt:variant>
        <vt:lpwstr/>
      </vt:variant>
      <vt:variant>
        <vt:i4>196638</vt:i4>
      </vt:variant>
      <vt:variant>
        <vt:i4>423</vt:i4>
      </vt:variant>
      <vt:variant>
        <vt:i4>0</vt:i4>
      </vt:variant>
      <vt:variant>
        <vt:i4>5</vt:i4>
      </vt:variant>
      <vt:variant>
        <vt:lpwstr>https://www.legislation.gov.au/Series/C2004A03712</vt:lpwstr>
      </vt:variant>
      <vt:variant>
        <vt:lpwstr/>
      </vt:variant>
      <vt:variant>
        <vt:i4>917520</vt:i4>
      </vt:variant>
      <vt:variant>
        <vt:i4>420</vt:i4>
      </vt:variant>
      <vt:variant>
        <vt:i4>0</vt:i4>
      </vt:variant>
      <vt:variant>
        <vt:i4>5</vt:i4>
      </vt:variant>
      <vt:variant>
        <vt:lpwstr>https://www.health.gov.au/using-our-websites/privacy</vt:lpwstr>
      </vt:variant>
      <vt:variant>
        <vt:lpwstr/>
      </vt:variant>
      <vt:variant>
        <vt:i4>65560</vt:i4>
      </vt:variant>
      <vt:variant>
        <vt:i4>417</vt:i4>
      </vt:variant>
      <vt:variant>
        <vt:i4>0</vt:i4>
      </vt:variant>
      <vt:variant>
        <vt:i4>5</vt:i4>
      </vt:variant>
      <vt:variant>
        <vt:lpwstr>https://www.legislation.gov.au/Series/F2002B00237</vt:lpwstr>
      </vt:variant>
      <vt:variant>
        <vt:lpwstr/>
      </vt:variant>
      <vt:variant>
        <vt:i4>524307</vt:i4>
      </vt:variant>
      <vt:variant>
        <vt:i4>414</vt:i4>
      </vt:variant>
      <vt:variant>
        <vt:i4>0</vt:i4>
      </vt:variant>
      <vt:variant>
        <vt:i4>5</vt:i4>
      </vt:variant>
      <vt:variant>
        <vt:lpwstr>https://www.legislation.gov.au/Series/F1996B00406</vt:lpwstr>
      </vt:variant>
      <vt:variant>
        <vt:lpwstr/>
      </vt:variant>
      <vt:variant>
        <vt:i4>458768</vt:i4>
      </vt:variant>
      <vt:variant>
        <vt:i4>411</vt:i4>
      </vt:variant>
      <vt:variant>
        <vt:i4>0</vt:i4>
      </vt:variant>
      <vt:variant>
        <vt:i4>5</vt:i4>
      </vt:variant>
      <vt:variant>
        <vt:lpwstr>https://www.legislation.gov.au/Series/C2004A03952</vt:lpwstr>
      </vt:variant>
      <vt:variant>
        <vt:lpwstr/>
      </vt:variant>
      <vt:variant>
        <vt:i4>5570626</vt:i4>
      </vt:variant>
      <vt:variant>
        <vt:i4>408</vt:i4>
      </vt:variant>
      <vt:variant>
        <vt:i4>0</vt:i4>
      </vt:variant>
      <vt:variant>
        <vt:i4>5</vt:i4>
      </vt:variant>
      <vt:variant>
        <vt:lpwstr>https://www.tga.gov.au/reporting-problems</vt:lpwstr>
      </vt:variant>
      <vt:variant>
        <vt:lpwstr/>
      </vt:variant>
      <vt:variant>
        <vt:i4>3735596</vt:i4>
      </vt:variant>
      <vt:variant>
        <vt:i4>405</vt:i4>
      </vt:variant>
      <vt:variant>
        <vt:i4>0</vt:i4>
      </vt:variant>
      <vt:variant>
        <vt:i4>5</vt:i4>
      </vt:variant>
      <vt:variant>
        <vt:lpwstr>https://www.tga.gov.au/resources/resource/forms/sponsor-six-monthly-reporting-form</vt:lpwstr>
      </vt:variant>
      <vt:variant>
        <vt:lpwstr/>
      </vt:variant>
      <vt:variant>
        <vt:i4>6160492</vt:i4>
      </vt:variant>
      <vt:variant>
        <vt:i4>402</vt:i4>
      </vt:variant>
      <vt:variant>
        <vt:i4>0</vt:i4>
      </vt:variant>
      <vt:variant>
        <vt:i4>5</vt:i4>
      </vt:variant>
      <vt:variant>
        <vt:lpwstr>mailto:medicinal.cannabis@health.gov.au</vt:lpwstr>
      </vt:variant>
      <vt:variant>
        <vt:lpwstr/>
      </vt:variant>
      <vt:variant>
        <vt:i4>327802</vt:i4>
      </vt:variant>
      <vt:variant>
        <vt:i4>399</vt:i4>
      </vt:variant>
      <vt:variant>
        <vt:i4>0</vt:i4>
      </vt:variant>
      <vt:variant>
        <vt:i4>5</vt:i4>
      </vt:variant>
      <vt:variant>
        <vt:lpwstr>mailto:SAS@health.gov.au</vt:lpwstr>
      </vt:variant>
      <vt:variant>
        <vt:lpwstr/>
      </vt:variant>
      <vt:variant>
        <vt:i4>3801210</vt:i4>
      </vt:variant>
      <vt:variant>
        <vt:i4>396</vt:i4>
      </vt:variant>
      <vt:variant>
        <vt:i4>0</vt:i4>
      </vt:variant>
      <vt:variant>
        <vt:i4>5</vt:i4>
      </vt:variant>
      <vt:variant>
        <vt:lpwstr>https://www.tga.gov.au/medicinal-cannabis-information-health-professionals</vt:lpwstr>
      </vt:variant>
      <vt:variant>
        <vt:lpwstr/>
      </vt:variant>
      <vt:variant>
        <vt:i4>7340069</vt:i4>
      </vt:variant>
      <vt:variant>
        <vt:i4>393</vt:i4>
      </vt:variant>
      <vt:variant>
        <vt:i4>0</vt:i4>
      </vt:variant>
      <vt:variant>
        <vt:i4>5</vt:i4>
      </vt:variant>
      <vt:variant>
        <vt:lpwstr>https://www.legislation.gov.au/Details/F2021C00400</vt:lpwstr>
      </vt:variant>
      <vt:variant>
        <vt:lpwstr/>
      </vt:variant>
      <vt:variant>
        <vt:i4>4784139</vt:i4>
      </vt:variant>
      <vt:variant>
        <vt:i4>390</vt:i4>
      </vt:variant>
      <vt:variant>
        <vt:i4>0</vt:i4>
      </vt:variant>
      <vt:variant>
        <vt:i4>5</vt:i4>
      </vt:variant>
      <vt:variant>
        <vt:lpwstr/>
      </vt:variant>
      <vt:variant>
        <vt:lpwstr>_Applying_for_HREC_1</vt:lpwstr>
      </vt:variant>
      <vt:variant>
        <vt:i4>4128880</vt:i4>
      </vt:variant>
      <vt:variant>
        <vt:i4>387</vt:i4>
      </vt:variant>
      <vt:variant>
        <vt:i4>0</vt:i4>
      </vt:variant>
      <vt:variant>
        <vt:i4>5</vt:i4>
      </vt:variant>
      <vt:variant>
        <vt:lpwstr>https://www.tga.gov.au/reporting-adverse-events</vt:lpwstr>
      </vt:variant>
      <vt:variant>
        <vt:lpwstr/>
      </vt:variant>
      <vt:variant>
        <vt:i4>8257639</vt:i4>
      </vt:variant>
      <vt:variant>
        <vt:i4>384</vt:i4>
      </vt:variant>
      <vt:variant>
        <vt:i4>0</vt:i4>
      </vt:variant>
      <vt:variant>
        <vt:i4>5</vt:i4>
      </vt:variant>
      <vt:variant>
        <vt:lpwstr>https://www.tga.gov.au/sites/default/files/authorised-prescriber-scheme-online-system-guidance.pdf</vt:lpwstr>
      </vt:variant>
      <vt:variant>
        <vt:lpwstr/>
      </vt:variant>
      <vt:variant>
        <vt:i4>720977</vt:i4>
      </vt:variant>
      <vt:variant>
        <vt:i4>381</vt:i4>
      </vt:variant>
      <vt:variant>
        <vt:i4>0</vt:i4>
      </vt:variant>
      <vt:variant>
        <vt:i4>5</vt:i4>
      </vt:variant>
      <vt:variant>
        <vt:lpwstr>https://compliance.health.gov.au/sas/</vt:lpwstr>
      </vt:variant>
      <vt:variant>
        <vt:lpwstr/>
      </vt:variant>
      <vt:variant>
        <vt:i4>262168</vt:i4>
      </vt:variant>
      <vt:variant>
        <vt:i4>378</vt:i4>
      </vt:variant>
      <vt:variant>
        <vt:i4>0</vt:i4>
      </vt:variant>
      <vt:variant>
        <vt:i4>5</vt:i4>
      </vt:variant>
      <vt:variant>
        <vt:lpwstr>https://www.tga.gov.au/access-medicinal-cannabis-products-steps-using-access-schemes</vt:lpwstr>
      </vt:variant>
      <vt:variant>
        <vt:lpwstr/>
      </vt:variant>
      <vt:variant>
        <vt:i4>3539004</vt:i4>
      </vt:variant>
      <vt:variant>
        <vt:i4>375</vt:i4>
      </vt:variant>
      <vt:variant>
        <vt:i4>0</vt:i4>
      </vt:variant>
      <vt:variant>
        <vt:i4>5</vt:i4>
      </vt:variant>
      <vt:variant>
        <vt:lpwstr>https://www.odc.gov.au/</vt:lpwstr>
      </vt:variant>
      <vt:variant>
        <vt:lpwstr/>
      </vt:variant>
      <vt:variant>
        <vt:i4>1769537</vt:i4>
      </vt:variant>
      <vt:variant>
        <vt:i4>372</vt:i4>
      </vt:variant>
      <vt:variant>
        <vt:i4>0</vt:i4>
      </vt:variant>
      <vt:variant>
        <vt:i4>5</vt:i4>
      </vt:variant>
      <vt:variant>
        <vt:lpwstr>https://www.tga.gov.au/book-page/administrative-appeals-tribunal</vt:lpwstr>
      </vt:variant>
      <vt:variant>
        <vt:lpwstr/>
      </vt:variant>
      <vt:variant>
        <vt:i4>7274597</vt:i4>
      </vt:variant>
      <vt:variant>
        <vt:i4>369</vt:i4>
      </vt:variant>
      <vt:variant>
        <vt:i4>0</vt:i4>
      </vt:variant>
      <vt:variant>
        <vt:i4>5</vt:i4>
      </vt:variant>
      <vt:variant>
        <vt:lpwstr>https://www.tga.gov.au/publication/guidance-requesting-reconsideration-initial-decision</vt:lpwstr>
      </vt:variant>
      <vt:variant>
        <vt:lpwstr/>
      </vt:variant>
      <vt:variant>
        <vt:i4>6160467</vt:i4>
      </vt:variant>
      <vt:variant>
        <vt:i4>366</vt:i4>
      </vt:variant>
      <vt:variant>
        <vt:i4>0</vt:i4>
      </vt:variant>
      <vt:variant>
        <vt:i4>5</vt:i4>
      </vt:variant>
      <vt:variant>
        <vt:lpwstr>https://nhmrc.gov.au/research-policy/ethics/national-certification-scheme-ethics-review-multi-centre-research</vt:lpwstr>
      </vt:variant>
      <vt:variant>
        <vt:lpwstr/>
      </vt:variant>
      <vt:variant>
        <vt:i4>4718672</vt:i4>
      </vt:variant>
      <vt:variant>
        <vt:i4>363</vt:i4>
      </vt:variant>
      <vt:variant>
        <vt:i4>0</vt:i4>
      </vt:variant>
      <vt:variant>
        <vt:i4>5</vt:i4>
      </vt:variant>
      <vt:variant>
        <vt:lpwstr>https://www.nhmrc.gov.au/</vt:lpwstr>
      </vt:variant>
      <vt:variant>
        <vt:lpwstr/>
      </vt:variant>
      <vt:variant>
        <vt:i4>8257639</vt:i4>
      </vt:variant>
      <vt:variant>
        <vt:i4>357</vt:i4>
      </vt:variant>
      <vt:variant>
        <vt:i4>0</vt:i4>
      </vt:variant>
      <vt:variant>
        <vt:i4>5</vt:i4>
      </vt:variant>
      <vt:variant>
        <vt:lpwstr>https://www.tga.gov.au/sites/default/files/authorised-prescriber-scheme-online-system-guidance.pdf</vt:lpwstr>
      </vt:variant>
      <vt:variant>
        <vt:lpwstr/>
      </vt:variant>
      <vt:variant>
        <vt:i4>262160</vt:i4>
      </vt:variant>
      <vt:variant>
        <vt:i4>354</vt:i4>
      </vt:variant>
      <vt:variant>
        <vt:i4>0</vt:i4>
      </vt:variant>
      <vt:variant>
        <vt:i4>5</vt:i4>
      </vt:variant>
      <vt:variant>
        <vt:lpwstr>https://www.tga.gov.au/special-access-scheme-and-authorised-prescriber-online-system</vt:lpwstr>
      </vt:variant>
      <vt:variant>
        <vt:lpwstr/>
      </vt:variant>
      <vt:variant>
        <vt:i4>4784139</vt:i4>
      </vt:variant>
      <vt:variant>
        <vt:i4>351</vt:i4>
      </vt:variant>
      <vt:variant>
        <vt:i4>0</vt:i4>
      </vt:variant>
      <vt:variant>
        <vt:i4>5</vt:i4>
      </vt:variant>
      <vt:variant>
        <vt:lpwstr/>
      </vt:variant>
      <vt:variant>
        <vt:lpwstr>_Applying_for_HREC_1</vt:lpwstr>
      </vt:variant>
      <vt:variant>
        <vt:i4>8257639</vt:i4>
      </vt:variant>
      <vt:variant>
        <vt:i4>345</vt:i4>
      </vt:variant>
      <vt:variant>
        <vt:i4>0</vt:i4>
      </vt:variant>
      <vt:variant>
        <vt:i4>5</vt:i4>
      </vt:variant>
      <vt:variant>
        <vt:lpwstr>https://www.tga.gov.au/sites/default/files/authorised-prescriber-scheme-online-system-guidance.pdf</vt:lpwstr>
      </vt:variant>
      <vt:variant>
        <vt:lpwstr/>
      </vt:variant>
      <vt:variant>
        <vt:i4>262160</vt:i4>
      </vt:variant>
      <vt:variant>
        <vt:i4>342</vt:i4>
      </vt:variant>
      <vt:variant>
        <vt:i4>0</vt:i4>
      </vt:variant>
      <vt:variant>
        <vt:i4>5</vt:i4>
      </vt:variant>
      <vt:variant>
        <vt:lpwstr>https://www.tga.gov.au/special-access-scheme-and-authorised-prescriber-online-system</vt:lpwstr>
      </vt:variant>
      <vt:variant>
        <vt:lpwstr/>
      </vt:variant>
      <vt:variant>
        <vt:i4>7864404</vt:i4>
      </vt:variant>
      <vt:variant>
        <vt:i4>339</vt:i4>
      </vt:variant>
      <vt:variant>
        <vt:i4>0</vt:i4>
      </vt:variant>
      <vt:variant>
        <vt:i4>5</vt:i4>
      </vt:variant>
      <vt:variant>
        <vt:lpwstr/>
      </vt:variant>
      <vt:variant>
        <vt:lpwstr>_Applying_for_HREC</vt:lpwstr>
      </vt:variant>
      <vt:variant>
        <vt:i4>8323120</vt:i4>
      </vt:variant>
      <vt:variant>
        <vt:i4>336</vt:i4>
      </vt:variant>
      <vt:variant>
        <vt:i4>0</vt:i4>
      </vt:variant>
      <vt:variant>
        <vt:i4>5</vt:i4>
      </vt:variant>
      <vt:variant>
        <vt:lpwstr>https://www.tga.gov.au/form/authorised-prescribers</vt:lpwstr>
      </vt:variant>
      <vt:variant>
        <vt:lpwstr/>
      </vt:variant>
      <vt:variant>
        <vt:i4>8323120</vt:i4>
      </vt:variant>
      <vt:variant>
        <vt:i4>333</vt:i4>
      </vt:variant>
      <vt:variant>
        <vt:i4>0</vt:i4>
      </vt:variant>
      <vt:variant>
        <vt:i4>5</vt:i4>
      </vt:variant>
      <vt:variant>
        <vt:lpwstr>https://www.tga.gov.au/form/authorised-prescribers</vt:lpwstr>
      </vt:variant>
      <vt:variant>
        <vt:lpwstr/>
      </vt:variant>
      <vt:variant>
        <vt:i4>4128793</vt:i4>
      </vt:variant>
      <vt:variant>
        <vt:i4>330</vt:i4>
      </vt:variant>
      <vt:variant>
        <vt:i4>0</vt:i4>
      </vt:variant>
      <vt:variant>
        <vt:i4>5</vt:i4>
      </vt:variant>
      <vt:variant>
        <vt:lpwstr/>
      </vt:variant>
      <vt:variant>
        <vt:lpwstr>_Reporting_of_sponsor</vt:lpwstr>
      </vt:variant>
      <vt:variant>
        <vt:i4>655397</vt:i4>
      </vt:variant>
      <vt:variant>
        <vt:i4>327</vt:i4>
      </vt:variant>
      <vt:variant>
        <vt:i4>0</vt:i4>
      </vt:variant>
      <vt:variant>
        <vt:i4>5</vt:i4>
      </vt:variant>
      <vt:variant>
        <vt:lpwstr/>
      </vt:variant>
      <vt:variant>
        <vt:lpwstr>_Reporting_adverse_events</vt:lpwstr>
      </vt:variant>
      <vt:variant>
        <vt:i4>6488065</vt:i4>
      </vt:variant>
      <vt:variant>
        <vt:i4>324</vt:i4>
      </vt:variant>
      <vt:variant>
        <vt:i4>0</vt:i4>
      </vt:variant>
      <vt:variant>
        <vt:i4>5</vt:i4>
      </vt:variant>
      <vt:variant>
        <vt:lpwstr>https://www.tga.gov.au/acronyms-glossary</vt:lpwstr>
      </vt:variant>
      <vt:variant>
        <vt:lpwstr>id_1291</vt:lpwstr>
      </vt:variant>
      <vt:variant>
        <vt:i4>4849785</vt:i4>
      </vt:variant>
      <vt:variant>
        <vt:i4>321</vt:i4>
      </vt:variant>
      <vt:variant>
        <vt:i4>0</vt:i4>
      </vt:variant>
      <vt:variant>
        <vt:i4>5</vt:i4>
      </vt:variant>
      <vt:variant>
        <vt:lpwstr/>
      </vt:variant>
      <vt:variant>
        <vt:lpwstr>_Providing_approval_or</vt:lpwstr>
      </vt:variant>
      <vt:variant>
        <vt:i4>7471179</vt:i4>
      </vt:variant>
      <vt:variant>
        <vt:i4>318</vt:i4>
      </vt:variant>
      <vt:variant>
        <vt:i4>0</vt:i4>
      </vt:variant>
      <vt:variant>
        <vt:i4>5</vt:i4>
      </vt:variant>
      <vt:variant>
        <vt:lpwstr/>
      </vt:variant>
      <vt:variant>
        <vt:lpwstr>_Clinical_justification_for</vt:lpwstr>
      </vt:variant>
      <vt:variant>
        <vt:i4>655397</vt:i4>
      </vt:variant>
      <vt:variant>
        <vt:i4>315</vt:i4>
      </vt:variant>
      <vt:variant>
        <vt:i4>0</vt:i4>
      </vt:variant>
      <vt:variant>
        <vt:i4>5</vt:i4>
      </vt:variant>
      <vt:variant>
        <vt:lpwstr/>
      </vt:variant>
      <vt:variant>
        <vt:lpwstr>_Reporting_adverse_events</vt:lpwstr>
      </vt:variant>
      <vt:variant>
        <vt:i4>4915277</vt:i4>
      </vt:variant>
      <vt:variant>
        <vt:i4>312</vt:i4>
      </vt:variant>
      <vt:variant>
        <vt:i4>0</vt:i4>
      </vt:variant>
      <vt:variant>
        <vt:i4>5</vt:i4>
      </vt:variant>
      <vt:variant>
        <vt:lpwstr/>
      </vt:variant>
      <vt:variant>
        <vt:lpwstr>_Periodic_reporting</vt:lpwstr>
      </vt:variant>
      <vt:variant>
        <vt:i4>1179752</vt:i4>
      </vt:variant>
      <vt:variant>
        <vt:i4>309</vt:i4>
      </vt:variant>
      <vt:variant>
        <vt:i4>0</vt:i4>
      </vt:variant>
      <vt:variant>
        <vt:i4>5</vt:i4>
      </vt:variant>
      <vt:variant>
        <vt:lpwstr/>
      </vt:variant>
      <vt:variant>
        <vt:lpwstr>_Territory._Obtaining_the</vt:lpwstr>
      </vt:variant>
      <vt:variant>
        <vt:i4>6946891</vt:i4>
      </vt:variant>
      <vt:variant>
        <vt:i4>306</vt:i4>
      </vt:variant>
      <vt:variant>
        <vt:i4>0</vt:i4>
      </vt:variant>
      <vt:variant>
        <vt:i4>5</vt:i4>
      </vt:variant>
      <vt:variant>
        <vt:lpwstr/>
      </vt:variant>
      <vt:variant>
        <vt:lpwstr>_Informed_consent_1</vt:lpwstr>
      </vt:variant>
      <vt:variant>
        <vt:i4>5374017</vt:i4>
      </vt:variant>
      <vt:variant>
        <vt:i4>303</vt:i4>
      </vt:variant>
      <vt:variant>
        <vt:i4>0</vt:i4>
      </vt:variant>
      <vt:variant>
        <vt:i4>5</vt:i4>
      </vt:variant>
      <vt:variant>
        <vt:lpwstr>https://www.tga.gov.au/form/special-access-scheme</vt:lpwstr>
      </vt:variant>
      <vt:variant>
        <vt:lpwstr/>
      </vt:variant>
      <vt:variant>
        <vt:i4>5242899</vt:i4>
      </vt:variant>
      <vt:variant>
        <vt:i4>300</vt:i4>
      </vt:variant>
      <vt:variant>
        <vt:i4>0</vt:i4>
      </vt:variant>
      <vt:variant>
        <vt:i4>5</vt:i4>
      </vt:variant>
      <vt:variant>
        <vt:lpwstr>https://www.ahpra.gov.au/Registration/Registers-of-Practitioners.aspx</vt:lpwstr>
      </vt:variant>
      <vt:variant>
        <vt:lpwstr/>
      </vt:variant>
      <vt:variant>
        <vt:i4>458768</vt:i4>
      </vt:variant>
      <vt:variant>
        <vt:i4>297</vt:i4>
      </vt:variant>
      <vt:variant>
        <vt:i4>0</vt:i4>
      </vt:variant>
      <vt:variant>
        <vt:i4>5</vt:i4>
      </vt:variant>
      <vt:variant>
        <vt:lpwstr>https://www.legislation.gov.au/Series/C2004A03952</vt:lpwstr>
      </vt:variant>
      <vt:variant>
        <vt:lpwstr/>
      </vt:variant>
      <vt:variant>
        <vt:i4>7602283</vt:i4>
      </vt:variant>
      <vt:variant>
        <vt:i4>294</vt:i4>
      </vt:variant>
      <vt:variant>
        <vt:i4>0</vt:i4>
      </vt:variant>
      <vt:variant>
        <vt:i4>5</vt:i4>
      </vt:variant>
      <vt:variant>
        <vt:lpwstr>https://www.tga.gov.au/special-access-scheme-rules</vt:lpwstr>
      </vt:variant>
      <vt:variant>
        <vt:lpwstr/>
      </vt:variant>
      <vt:variant>
        <vt:i4>8323120</vt:i4>
      </vt:variant>
      <vt:variant>
        <vt:i4>291</vt:i4>
      </vt:variant>
      <vt:variant>
        <vt:i4>0</vt:i4>
      </vt:variant>
      <vt:variant>
        <vt:i4>5</vt:i4>
      </vt:variant>
      <vt:variant>
        <vt:lpwstr>https://www.tga.gov.au/form/authorised-prescribers</vt:lpwstr>
      </vt:variant>
      <vt:variant>
        <vt:lpwstr/>
      </vt:variant>
      <vt:variant>
        <vt:i4>524307</vt:i4>
      </vt:variant>
      <vt:variant>
        <vt:i4>288</vt:i4>
      </vt:variant>
      <vt:variant>
        <vt:i4>0</vt:i4>
      </vt:variant>
      <vt:variant>
        <vt:i4>5</vt:i4>
      </vt:variant>
      <vt:variant>
        <vt:lpwstr>https://www.legislation.gov.au/Series/F1996B00406</vt:lpwstr>
      </vt:variant>
      <vt:variant>
        <vt:lpwstr/>
      </vt:variant>
      <vt:variant>
        <vt:i4>3670131</vt:i4>
      </vt:variant>
      <vt:variant>
        <vt:i4>285</vt:i4>
      </vt:variant>
      <vt:variant>
        <vt:i4>0</vt:i4>
      </vt:variant>
      <vt:variant>
        <vt:i4>5</vt:i4>
      </vt:variant>
      <vt:variant>
        <vt:lpwstr>http://www.tga.gov.au/industry/artg.htm</vt:lpwstr>
      </vt:variant>
      <vt:variant>
        <vt:lpwstr/>
      </vt:variant>
      <vt:variant>
        <vt:i4>524307</vt:i4>
      </vt:variant>
      <vt:variant>
        <vt:i4>282</vt:i4>
      </vt:variant>
      <vt:variant>
        <vt:i4>0</vt:i4>
      </vt:variant>
      <vt:variant>
        <vt:i4>5</vt:i4>
      </vt:variant>
      <vt:variant>
        <vt:lpwstr>https://www.legislation.gov.au/Series/F1996B00406</vt:lpwstr>
      </vt:variant>
      <vt:variant>
        <vt:lpwstr/>
      </vt:variant>
      <vt:variant>
        <vt:i4>1376314</vt:i4>
      </vt:variant>
      <vt:variant>
        <vt:i4>275</vt:i4>
      </vt:variant>
      <vt:variant>
        <vt:i4>0</vt:i4>
      </vt:variant>
      <vt:variant>
        <vt:i4>5</vt:i4>
      </vt:variant>
      <vt:variant>
        <vt:lpwstr/>
      </vt:variant>
      <vt:variant>
        <vt:lpwstr>_Toc121127864</vt:lpwstr>
      </vt:variant>
      <vt:variant>
        <vt:i4>1376314</vt:i4>
      </vt:variant>
      <vt:variant>
        <vt:i4>269</vt:i4>
      </vt:variant>
      <vt:variant>
        <vt:i4>0</vt:i4>
      </vt:variant>
      <vt:variant>
        <vt:i4>5</vt:i4>
      </vt:variant>
      <vt:variant>
        <vt:lpwstr/>
      </vt:variant>
      <vt:variant>
        <vt:lpwstr>_Toc121127863</vt:lpwstr>
      </vt:variant>
      <vt:variant>
        <vt:i4>1376314</vt:i4>
      </vt:variant>
      <vt:variant>
        <vt:i4>263</vt:i4>
      </vt:variant>
      <vt:variant>
        <vt:i4>0</vt:i4>
      </vt:variant>
      <vt:variant>
        <vt:i4>5</vt:i4>
      </vt:variant>
      <vt:variant>
        <vt:lpwstr/>
      </vt:variant>
      <vt:variant>
        <vt:lpwstr>_Toc121127862</vt:lpwstr>
      </vt:variant>
      <vt:variant>
        <vt:i4>1376314</vt:i4>
      </vt:variant>
      <vt:variant>
        <vt:i4>257</vt:i4>
      </vt:variant>
      <vt:variant>
        <vt:i4>0</vt:i4>
      </vt:variant>
      <vt:variant>
        <vt:i4>5</vt:i4>
      </vt:variant>
      <vt:variant>
        <vt:lpwstr/>
      </vt:variant>
      <vt:variant>
        <vt:lpwstr>_Toc121127861</vt:lpwstr>
      </vt:variant>
      <vt:variant>
        <vt:i4>1376314</vt:i4>
      </vt:variant>
      <vt:variant>
        <vt:i4>251</vt:i4>
      </vt:variant>
      <vt:variant>
        <vt:i4>0</vt:i4>
      </vt:variant>
      <vt:variant>
        <vt:i4>5</vt:i4>
      </vt:variant>
      <vt:variant>
        <vt:lpwstr/>
      </vt:variant>
      <vt:variant>
        <vt:lpwstr>_Toc121127860</vt:lpwstr>
      </vt:variant>
      <vt:variant>
        <vt:i4>1441850</vt:i4>
      </vt:variant>
      <vt:variant>
        <vt:i4>245</vt:i4>
      </vt:variant>
      <vt:variant>
        <vt:i4>0</vt:i4>
      </vt:variant>
      <vt:variant>
        <vt:i4>5</vt:i4>
      </vt:variant>
      <vt:variant>
        <vt:lpwstr/>
      </vt:variant>
      <vt:variant>
        <vt:lpwstr>_Toc121127859</vt:lpwstr>
      </vt:variant>
      <vt:variant>
        <vt:i4>1441850</vt:i4>
      </vt:variant>
      <vt:variant>
        <vt:i4>239</vt:i4>
      </vt:variant>
      <vt:variant>
        <vt:i4>0</vt:i4>
      </vt:variant>
      <vt:variant>
        <vt:i4>5</vt:i4>
      </vt:variant>
      <vt:variant>
        <vt:lpwstr/>
      </vt:variant>
      <vt:variant>
        <vt:lpwstr>_Toc121127858</vt:lpwstr>
      </vt:variant>
      <vt:variant>
        <vt:i4>1441850</vt:i4>
      </vt:variant>
      <vt:variant>
        <vt:i4>233</vt:i4>
      </vt:variant>
      <vt:variant>
        <vt:i4>0</vt:i4>
      </vt:variant>
      <vt:variant>
        <vt:i4>5</vt:i4>
      </vt:variant>
      <vt:variant>
        <vt:lpwstr/>
      </vt:variant>
      <vt:variant>
        <vt:lpwstr>_Toc121127857</vt:lpwstr>
      </vt:variant>
      <vt:variant>
        <vt:i4>1441850</vt:i4>
      </vt:variant>
      <vt:variant>
        <vt:i4>227</vt:i4>
      </vt:variant>
      <vt:variant>
        <vt:i4>0</vt:i4>
      </vt:variant>
      <vt:variant>
        <vt:i4>5</vt:i4>
      </vt:variant>
      <vt:variant>
        <vt:lpwstr/>
      </vt:variant>
      <vt:variant>
        <vt:lpwstr>_Toc121127856</vt:lpwstr>
      </vt:variant>
      <vt:variant>
        <vt:i4>1441850</vt:i4>
      </vt:variant>
      <vt:variant>
        <vt:i4>221</vt:i4>
      </vt:variant>
      <vt:variant>
        <vt:i4>0</vt:i4>
      </vt:variant>
      <vt:variant>
        <vt:i4>5</vt:i4>
      </vt:variant>
      <vt:variant>
        <vt:lpwstr/>
      </vt:variant>
      <vt:variant>
        <vt:lpwstr>_Toc121127855</vt:lpwstr>
      </vt:variant>
      <vt:variant>
        <vt:i4>1441850</vt:i4>
      </vt:variant>
      <vt:variant>
        <vt:i4>215</vt:i4>
      </vt:variant>
      <vt:variant>
        <vt:i4>0</vt:i4>
      </vt:variant>
      <vt:variant>
        <vt:i4>5</vt:i4>
      </vt:variant>
      <vt:variant>
        <vt:lpwstr/>
      </vt:variant>
      <vt:variant>
        <vt:lpwstr>_Toc121127854</vt:lpwstr>
      </vt:variant>
      <vt:variant>
        <vt:i4>1441850</vt:i4>
      </vt:variant>
      <vt:variant>
        <vt:i4>209</vt:i4>
      </vt:variant>
      <vt:variant>
        <vt:i4>0</vt:i4>
      </vt:variant>
      <vt:variant>
        <vt:i4>5</vt:i4>
      </vt:variant>
      <vt:variant>
        <vt:lpwstr/>
      </vt:variant>
      <vt:variant>
        <vt:lpwstr>_Toc121127853</vt:lpwstr>
      </vt:variant>
      <vt:variant>
        <vt:i4>1441850</vt:i4>
      </vt:variant>
      <vt:variant>
        <vt:i4>203</vt:i4>
      </vt:variant>
      <vt:variant>
        <vt:i4>0</vt:i4>
      </vt:variant>
      <vt:variant>
        <vt:i4>5</vt:i4>
      </vt:variant>
      <vt:variant>
        <vt:lpwstr/>
      </vt:variant>
      <vt:variant>
        <vt:lpwstr>_Toc121127852</vt:lpwstr>
      </vt:variant>
      <vt:variant>
        <vt:i4>1441850</vt:i4>
      </vt:variant>
      <vt:variant>
        <vt:i4>197</vt:i4>
      </vt:variant>
      <vt:variant>
        <vt:i4>0</vt:i4>
      </vt:variant>
      <vt:variant>
        <vt:i4>5</vt:i4>
      </vt:variant>
      <vt:variant>
        <vt:lpwstr/>
      </vt:variant>
      <vt:variant>
        <vt:lpwstr>_Toc121127851</vt:lpwstr>
      </vt:variant>
      <vt:variant>
        <vt:i4>1441850</vt:i4>
      </vt:variant>
      <vt:variant>
        <vt:i4>191</vt:i4>
      </vt:variant>
      <vt:variant>
        <vt:i4>0</vt:i4>
      </vt:variant>
      <vt:variant>
        <vt:i4>5</vt:i4>
      </vt:variant>
      <vt:variant>
        <vt:lpwstr/>
      </vt:variant>
      <vt:variant>
        <vt:lpwstr>_Toc121127850</vt:lpwstr>
      </vt:variant>
      <vt:variant>
        <vt:i4>1507386</vt:i4>
      </vt:variant>
      <vt:variant>
        <vt:i4>185</vt:i4>
      </vt:variant>
      <vt:variant>
        <vt:i4>0</vt:i4>
      </vt:variant>
      <vt:variant>
        <vt:i4>5</vt:i4>
      </vt:variant>
      <vt:variant>
        <vt:lpwstr/>
      </vt:variant>
      <vt:variant>
        <vt:lpwstr>_Toc121127849</vt:lpwstr>
      </vt:variant>
      <vt:variant>
        <vt:i4>1507386</vt:i4>
      </vt:variant>
      <vt:variant>
        <vt:i4>179</vt:i4>
      </vt:variant>
      <vt:variant>
        <vt:i4>0</vt:i4>
      </vt:variant>
      <vt:variant>
        <vt:i4>5</vt:i4>
      </vt:variant>
      <vt:variant>
        <vt:lpwstr/>
      </vt:variant>
      <vt:variant>
        <vt:lpwstr>_Toc121127848</vt:lpwstr>
      </vt:variant>
      <vt:variant>
        <vt:i4>1507386</vt:i4>
      </vt:variant>
      <vt:variant>
        <vt:i4>173</vt:i4>
      </vt:variant>
      <vt:variant>
        <vt:i4>0</vt:i4>
      </vt:variant>
      <vt:variant>
        <vt:i4>5</vt:i4>
      </vt:variant>
      <vt:variant>
        <vt:lpwstr/>
      </vt:variant>
      <vt:variant>
        <vt:lpwstr>_Toc121127847</vt:lpwstr>
      </vt:variant>
      <vt:variant>
        <vt:i4>1507386</vt:i4>
      </vt:variant>
      <vt:variant>
        <vt:i4>167</vt:i4>
      </vt:variant>
      <vt:variant>
        <vt:i4>0</vt:i4>
      </vt:variant>
      <vt:variant>
        <vt:i4>5</vt:i4>
      </vt:variant>
      <vt:variant>
        <vt:lpwstr/>
      </vt:variant>
      <vt:variant>
        <vt:lpwstr>_Toc121127846</vt:lpwstr>
      </vt:variant>
      <vt:variant>
        <vt:i4>1507386</vt:i4>
      </vt:variant>
      <vt:variant>
        <vt:i4>161</vt:i4>
      </vt:variant>
      <vt:variant>
        <vt:i4>0</vt:i4>
      </vt:variant>
      <vt:variant>
        <vt:i4>5</vt:i4>
      </vt:variant>
      <vt:variant>
        <vt:lpwstr/>
      </vt:variant>
      <vt:variant>
        <vt:lpwstr>_Toc121127845</vt:lpwstr>
      </vt:variant>
      <vt:variant>
        <vt:i4>1507386</vt:i4>
      </vt:variant>
      <vt:variant>
        <vt:i4>155</vt:i4>
      </vt:variant>
      <vt:variant>
        <vt:i4>0</vt:i4>
      </vt:variant>
      <vt:variant>
        <vt:i4>5</vt:i4>
      </vt:variant>
      <vt:variant>
        <vt:lpwstr/>
      </vt:variant>
      <vt:variant>
        <vt:lpwstr>_Toc121127844</vt:lpwstr>
      </vt:variant>
      <vt:variant>
        <vt:i4>1507386</vt:i4>
      </vt:variant>
      <vt:variant>
        <vt:i4>149</vt:i4>
      </vt:variant>
      <vt:variant>
        <vt:i4>0</vt:i4>
      </vt:variant>
      <vt:variant>
        <vt:i4>5</vt:i4>
      </vt:variant>
      <vt:variant>
        <vt:lpwstr/>
      </vt:variant>
      <vt:variant>
        <vt:lpwstr>_Toc121127843</vt:lpwstr>
      </vt:variant>
      <vt:variant>
        <vt:i4>1507386</vt:i4>
      </vt:variant>
      <vt:variant>
        <vt:i4>143</vt:i4>
      </vt:variant>
      <vt:variant>
        <vt:i4>0</vt:i4>
      </vt:variant>
      <vt:variant>
        <vt:i4>5</vt:i4>
      </vt:variant>
      <vt:variant>
        <vt:lpwstr/>
      </vt:variant>
      <vt:variant>
        <vt:lpwstr>_Toc121127842</vt:lpwstr>
      </vt:variant>
      <vt:variant>
        <vt:i4>1507386</vt:i4>
      </vt:variant>
      <vt:variant>
        <vt:i4>137</vt:i4>
      </vt:variant>
      <vt:variant>
        <vt:i4>0</vt:i4>
      </vt:variant>
      <vt:variant>
        <vt:i4>5</vt:i4>
      </vt:variant>
      <vt:variant>
        <vt:lpwstr/>
      </vt:variant>
      <vt:variant>
        <vt:lpwstr>_Toc121127841</vt:lpwstr>
      </vt:variant>
      <vt:variant>
        <vt:i4>1507386</vt:i4>
      </vt:variant>
      <vt:variant>
        <vt:i4>131</vt:i4>
      </vt:variant>
      <vt:variant>
        <vt:i4>0</vt:i4>
      </vt:variant>
      <vt:variant>
        <vt:i4>5</vt:i4>
      </vt:variant>
      <vt:variant>
        <vt:lpwstr/>
      </vt:variant>
      <vt:variant>
        <vt:lpwstr>_Toc121127840</vt:lpwstr>
      </vt:variant>
      <vt:variant>
        <vt:i4>1048634</vt:i4>
      </vt:variant>
      <vt:variant>
        <vt:i4>125</vt:i4>
      </vt:variant>
      <vt:variant>
        <vt:i4>0</vt:i4>
      </vt:variant>
      <vt:variant>
        <vt:i4>5</vt:i4>
      </vt:variant>
      <vt:variant>
        <vt:lpwstr/>
      </vt:variant>
      <vt:variant>
        <vt:lpwstr>_Toc121127839</vt:lpwstr>
      </vt:variant>
      <vt:variant>
        <vt:i4>1048634</vt:i4>
      </vt:variant>
      <vt:variant>
        <vt:i4>119</vt:i4>
      </vt:variant>
      <vt:variant>
        <vt:i4>0</vt:i4>
      </vt:variant>
      <vt:variant>
        <vt:i4>5</vt:i4>
      </vt:variant>
      <vt:variant>
        <vt:lpwstr/>
      </vt:variant>
      <vt:variant>
        <vt:lpwstr>_Toc121127838</vt:lpwstr>
      </vt:variant>
      <vt:variant>
        <vt:i4>1048634</vt:i4>
      </vt:variant>
      <vt:variant>
        <vt:i4>113</vt:i4>
      </vt:variant>
      <vt:variant>
        <vt:i4>0</vt:i4>
      </vt:variant>
      <vt:variant>
        <vt:i4>5</vt:i4>
      </vt:variant>
      <vt:variant>
        <vt:lpwstr/>
      </vt:variant>
      <vt:variant>
        <vt:lpwstr>_Toc121127837</vt:lpwstr>
      </vt:variant>
      <vt:variant>
        <vt:i4>1048634</vt:i4>
      </vt:variant>
      <vt:variant>
        <vt:i4>107</vt:i4>
      </vt:variant>
      <vt:variant>
        <vt:i4>0</vt:i4>
      </vt:variant>
      <vt:variant>
        <vt:i4>5</vt:i4>
      </vt:variant>
      <vt:variant>
        <vt:lpwstr/>
      </vt:variant>
      <vt:variant>
        <vt:lpwstr>_Toc121127836</vt:lpwstr>
      </vt:variant>
      <vt:variant>
        <vt:i4>1048634</vt:i4>
      </vt:variant>
      <vt:variant>
        <vt:i4>101</vt:i4>
      </vt:variant>
      <vt:variant>
        <vt:i4>0</vt:i4>
      </vt:variant>
      <vt:variant>
        <vt:i4>5</vt:i4>
      </vt:variant>
      <vt:variant>
        <vt:lpwstr/>
      </vt:variant>
      <vt:variant>
        <vt:lpwstr>_Toc121127835</vt:lpwstr>
      </vt:variant>
      <vt:variant>
        <vt:i4>1048634</vt:i4>
      </vt:variant>
      <vt:variant>
        <vt:i4>95</vt:i4>
      </vt:variant>
      <vt:variant>
        <vt:i4>0</vt:i4>
      </vt:variant>
      <vt:variant>
        <vt:i4>5</vt:i4>
      </vt:variant>
      <vt:variant>
        <vt:lpwstr/>
      </vt:variant>
      <vt:variant>
        <vt:lpwstr>_Toc121127834</vt:lpwstr>
      </vt:variant>
      <vt:variant>
        <vt:i4>1048634</vt:i4>
      </vt:variant>
      <vt:variant>
        <vt:i4>89</vt:i4>
      </vt:variant>
      <vt:variant>
        <vt:i4>0</vt:i4>
      </vt:variant>
      <vt:variant>
        <vt:i4>5</vt:i4>
      </vt:variant>
      <vt:variant>
        <vt:lpwstr/>
      </vt:variant>
      <vt:variant>
        <vt:lpwstr>_Toc121127833</vt:lpwstr>
      </vt:variant>
      <vt:variant>
        <vt:i4>1048634</vt:i4>
      </vt:variant>
      <vt:variant>
        <vt:i4>83</vt:i4>
      </vt:variant>
      <vt:variant>
        <vt:i4>0</vt:i4>
      </vt:variant>
      <vt:variant>
        <vt:i4>5</vt:i4>
      </vt:variant>
      <vt:variant>
        <vt:lpwstr/>
      </vt:variant>
      <vt:variant>
        <vt:lpwstr>_Toc121127832</vt:lpwstr>
      </vt:variant>
      <vt:variant>
        <vt:i4>1048634</vt:i4>
      </vt:variant>
      <vt:variant>
        <vt:i4>77</vt:i4>
      </vt:variant>
      <vt:variant>
        <vt:i4>0</vt:i4>
      </vt:variant>
      <vt:variant>
        <vt:i4>5</vt:i4>
      </vt:variant>
      <vt:variant>
        <vt:lpwstr/>
      </vt:variant>
      <vt:variant>
        <vt:lpwstr>_Toc121127831</vt:lpwstr>
      </vt:variant>
      <vt:variant>
        <vt:i4>1048634</vt:i4>
      </vt:variant>
      <vt:variant>
        <vt:i4>71</vt:i4>
      </vt:variant>
      <vt:variant>
        <vt:i4>0</vt:i4>
      </vt:variant>
      <vt:variant>
        <vt:i4>5</vt:i4>
      </vt:variant>
      <vt:variant>
        <vt:lpwstr/>
      </vt:variant>
      <vt:variant>
        <vt:lpwstr>_Toc121127830</vt:lpwstr>
      </vt:variant>
      <vt:variant>
        <vt:i4>1114170</vt:i4>
      </vt:variant>
      <vt:variant>
        <vt:i4>65</vt:i4>
      </vt:variant>
      <vt:variant>
        <vt:i4>0</vt:i4>
      </vt:variant>
      <vt:variant>
        <vt:i4>5</vt:i4>
      </vt:variant>
      <vt:variant>
        <vt:lpwstr/>
      </vt:variant>
      <vt:variant>
        <vt:lpwstr>_Toc121127829</vt:lpwstr>
      </vt:variant>
      <vt:variant>
        <vt:i4>1114170</vt:i4>
      </vt:variant>
      <vt:variant>
        <vt:i4>59</vt:i4>
      </vt:variant>
      <vt:variant>
        <vt:i4>0</vt:i4>
      </vt:variant>
      <vt:variant>
        <vt:i4>5</vt:i4>
      </vt:variant>
      <vt:variant>
        <vt:lpwstr/>
      </vt:variant>
      <vt:variant>
        <vt:lpwstr>_Toc121127828</vt:lpwstr>
      </vt:variant>
      <vt:variant>
        <vt:i4>1114170</vt:i4>
      </vt:variant>
      <vt:variant>
        <vt:i4>53</vt:i4>
      </vt:variant>
      <vt:variant>
        <vt:i4>0</vt:i4>
      </vt:variant>
      <vt:variant>
        <vt:i4>5</vt:i4>
      </vt:variant>
      <vt:variant>
        <vt:lpwstr/>
      </vt:variant>
      <vt:variant>
        <vt:lpwstr>_Toc121127827</vt:lpwstr>
      </vt:variant>
      <vt:variant>
        <vt:i4>1114170</vt:i4>
      </vt:variant>
      <vt:variant>
        <vt:i4>47</vt:i4>
      </vt:variant>
      <vt:variant>
        <vt:i4>0</vt:i4>
      </vt:variant>
      <vt:variant>
        <vt:i4>5</vt:i4>
      </vt:variant>
      <vt:variant>
        <vt:lpwstr/>
      </vt:variant>
      <vt:variant>
        <vt:lpwstr>_Toc121127826</vt:lpwstr>
      </vt:variant>
      <vt:variant>
        <vt:i4>1114170</vt:i4>
      </vt:variant>
      <vt:variant>
        <vt:i4>41</vt:i4>
      </vt:variant>
      <vt:variant>
        <vt:i4>0</vt:i4>
      </vt:variant>
      <vt:variant>
        <vt:i4>5</vt:i4>
      </vt:variant>
      <vt:variant>
        <vt:lpwstr/>
      </vt:variant>
      <vt:variant>
        <vt:lpwstr>_Toc121127825</vt:lpwstr>
      </vt:variant>
      <vt:variant>
        <vt:i4>1114170</vt:i4>
      </vt:variant>
      <vt:variant>
        <vt:i4>35</vt:i4>
      </vt:variant>
      <vt:variant>
        <vt:i4>0</vt:i4>
      </vt:variant>
      <vt:variant>
        <vt:i4>5</vt:i4>
      </vt:variant>
      <vt:variant>
        <vt:lpwstr/>
      </vt:variant>
      <vt:variant>
        <vt:lpwstr>_Toc121127824</vt:lpwstr>
      </vt:variant>
      <vt:variant>
        <vt:i4>1114170</vt:i4>
      </vt:variant>
      <vt:variant>
        <vt:i4>29</vt:i4>
      </vt:variant>
      <vt:variant>
        <vt:i4>0</vt:i4>
      </vt:variant>
      <vt:variant>
        <vt:i4>5</vt:i4>
      </vt:variant>
      <vt:variant>
        <vt:lpwstr/>
      </vt:variant>
      <vt:variant>
        <vt:lpwstr>_Toc121127823</vt:lpwstr>
      </vt:variant>
      <vt:variant>
        <vt:i4>1114170</vt:i4>
      </vt:variant>
      <vt:variant>
        <vt:i4>23</vt:i4>
      </vt:variant>
      <vt:variant>
        <vt:i4>0</vt:i4>
      </vt:variant>
      <vt:variant>
        <vt:i4>5</vt:i4>
      </vt:variant>
      <vt:variant>
        <vt:lpwstr/>
      </vt:variant>
      <vt:variant>
        <vt:lpwstr>_Toc121127822</vt:lpwstr>
      </vt:variant>
      <vt:variant>
        <vt:i4>1114170</vt:i4>
      </vt:variant>
      <vt:variant>
        <vt:i4>17</vt:i4>
      </vt:variant>
      <vt:variant>
        <vt:i4>0</vt:i4>
      </vt:variant>
      <vt:variant>
        <vt:i4>5</vt:i4>
      </vt:variant>
      <vt:variant>
        <vt:lpwstr/>
      </vt:variant>
      <vt:variant>
        <vt:lpwstr>_Toc121127821</vt:lpwstr>
      </vt:variant>
      <vt:variant>
        <vt:i4>1114170</vt:i4>
      </vt:variant>
      <vt:variant>
        <vt:i4>11</vt:i4>
      </vt:variant>
      <vt:variant>
        <vt:i4>0</vt:i4>
      </vt:variant>
      <vt:variant>
        <vt:i4>5</vt:i4>
      </vt:variant>
      <vt:variant>
        <vt:lpwstr/>
      </vt:variant>
      <vt:variant>
        <vt:lpwstr>_Toc121127820</vt:lpwstr>
      </vt:variant>
      <vt:variant>
        <vt:i4>1179706</vt:i4>
      </vt:variant>
      <vt:variant>
        <vt:i4>5</vt:i4>
      </vt:variant>
      <vt:variant>
        <vt:i4>0</vt:i4>
      </vt:variant>
      <vt:variant>
        <vt:i4>5</vt:i4>
      </vt:variant>
      <vt:variant>
        <vt:lpwstr/>
      </vt:variant>
      <vt:variant>
        <vt:lpwstr>_Toc121127819</vt:lpwstr>
      </vt:variant>
      <vt:variant>
        <vt:i4>6291548</vt:i4>
      </vt:variant>
      <vt:variant>
        <vt:i4>0</vt:i4>
      </vt:variant>
      <vt:variant>
        <vt:i4>0</vt:i4>
      </vt:variant>
      <vt:variant>
        <vt:i4>5</vt:i4>
      </vt:variant>
      <vt:variant>
        <vt:lpwstr>mailto:tga.copyright@tga.gov.au</vt:lpwstr>
      </vt:variant>
      <vt:variant>
        <vt:lpwstr/>
      </vt:variant>
      <vt:variant>
        <vt:i4>3997743</vt:i4>
      </vt:variant>
      <vt:variant>
        <vt:i4>0</vt:i4>
      </vt:variant>
      <vt:variant>
        <vt:i4>0</vt:i4>
      </vt:variant>
      <vt:variant>
        <vt:i4>5</vt:i4>
      </vt:variant>
      <vt:variant>
        <vt:lpwstr>https://www.tga.gov.au/resources/resource/guidance/authorised-prescriber-scheme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Authorised Prescriber Scheme: Guidance for medical practitioners, Human Research Ethics Committees, specialist colleges and sponsors</dc:title>
  <dc:creator>Therapeutic Goods Administration</dc:creator>
  <cp:lastModifiedBy>MCMAHON, Emily</cp:lastModifiedBy>
  <cp:revision>4</cp:revision>
  <cp:lastPrinted>2010-12-20T22:59:00Z</cp:lastPrinted>
  <dcterms:created xsi:type="dcterms:W3CDTF">2024-03-27T04:45:00Z</dcterms:created>
  <dcterms:modified xsi:type="dcterms:W3CDTF">2024-03-27T04:56:00Z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MediaServiceImageTags">
    <vt:lpwstr/>
  </property>
</Properties>
</file>