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376F5" w14:textId="13271F68" w:rsidR="002F5236" w:rsidRDefault="002F5236" w:rsidP="00DF0BBA">
      <w:pPr>
        <w:pStyle w:val="CLDNormal"/>
        <w:jc w:val="left"/>
        <w:rPr>
          <w:rFonts w:eastAsiaTheme="minorHAnsi"/>
          <w:lang w:val="en-AU"/>
        </w:rPr>
      </w:pPr>
      <w:r w:rsidRPr="002F5236">
        <w:rPr>
          <w:rFonts w:asciiTheme="minorHAnsi" w:eastAsiaTheme="minorHAnsi" w:hAnsiTheme="minorHAnsi"/>
          <w:noProof/>
          <w:lang w:val="en-AU" w:eastAsia="en-AU"/>
        </w:rPr>
        <mc:AlternateContent>
          <mc:Choice Requires="wps">
            <w:drawing>
              <wp:inline distT="0" distB="0" distL="0" distR="0" wp14:anchorId="154C0BFC" wp14:editId="2174854F">
                <wp:extent cx="252095" cy="25209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5FFB6" w14:textId="77777777" w:rsidR="002F5236" w:rsidRPr="00BE2A26" w:rsidRDefault="002F5236" w:rsidP="002F5236">
                            <w:pPr>
                              <w:rPr>
                                <w:rFonts w:ascii="Wingdings 3" w:hAnsi="Wingdings 3" w:hint="eastAsia"/>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154C0BFC" id="_x0000_t202" coordsize="21600,21600" o:spt="202" path="m,l,21600r21600,l21600,xe">
                <v:stroke joinstyle="miter"/>
                <v:path gradientshapeok="t" o:connecttype="rect"/>
              </v:shapetype>
              <v:shape id="Text Box 4"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7125FFB6" w14:textId="77777777" w:rsidR="002F5236" w:rsidRPr="00BE2A26" w:rsidRDefault="002F5236" w:rsidP="002F5236">
                      <w:pPr>
                        <w:rPr>
                          <w:rFonts w:ascii="Wingdings 3" w:hAnsi="Wingdings 3" w:hint="eastAsia"/>
                        </w:rPr>
                      </w:pPr>
                      <w:r w:rsidRPr="00BE2A26">
                        <w:rPr>
                          <w:rFonts w:ascii="SimSun" w:eastAsia="SimSun" w:hAnsi="SimSun" w:cs="Arial" w:hint="eastAsia"/>
                          <w:sz w:val="40"/>
                        </w:rPr>
                        <w:t>▼</w:t>
                      </w:r>
                    </w:p>
                  </w:txbxContent>
                </v:textbox>
                <w10:anchorlock/>
              </v:shape>
            </w:pict>
          </mc:Fallback>
        </mc:AlternateContent>
      </w:r>
      <w:r w:rsidRPr="002F5236">
        <w:rPr>
          <w:rFonts w:eastAsiaTheme="minorHAnsi"/>
          <w:lang w:val="en-AU"/>
        </w:rPr>
        <w:t xml:space="preserve">This medicinal </w:t>
      </w:r>
      <w:r w:rsidRPr="00F72801">
        <w:t>product</w:t>
      </w:r>
      <w:r w:rsidRPr="002F5236">
        <w:rPr>
          <w:rFonts w:eastAsiaTheme="minorHAnsi"/>
          <w:lang w:val="en-AU"/>
        </w:rPr>
        <w:t xml:space="preserve"> is subject to additional monitoring in Australia. This will allow quick identification of new safety information. Healthcare professionals are asked to report any suspected adverse events at </w:t>
      </w:r>
      <w:hyperlink r:id="rId12" w:history="1">
        <w:r w:rsidRPr="002F5236">
          <w:rPr>
            <w:rFonts w:eastAsiaTheme="minorHAnsi"/>
            <w:color w:val="0000FF" w:themeColor="hyperlink"/>
            <w:u w:val="single"/>
            <w:lang w:val="en-AU"/>
          </w:rPr>
          <w:t>www.tga.gov.au/reporting-problems</w:t>
        </w:r>
      </w:hyperlink>
      <w:r w:rsidRPr="002F5236">
        <w:rPr>
          <w:rFonts w:eastAsiaTheme="minorHAnsi"/>
          <w:lang w:val="en-AU"/>
        </w:rPr>
        <w:t>.</w:t>
      </w:r>
    </w:p>
    <w:p w14:paraId="18679B5A" w14:textId="1D6EC7DE" w:rsidR="005F0573" w:rsidRPr="00D01328" w:rsidRDefault="003B255D" w:rsidP="00DF0BBA">
      <w:pPr>
        <w:pStyle w:val="CLDTITLE"/>
        <w:jc w:val="center"/>
        <w:rPr>
          <w:color w:val="FF0000"/>
        </w:rPr>
      </w:pPr>
      <w:r w:rsidRPr="00623905">
        <w:t>AUSTRALIAN</w:t>
      </w:r>
      <w:r w:rsidRPr="00D01328">
        <w:t xml:space="preserve"> PRODUCT INFORMATION –</w:t>
      </w:r>
      <w:r w:rsidR="000777EA">
        <w:t xml:space="preserve"> </w:t>
      </w:r>
      <w:r w:rsidR="00346FC4">
        <w:t>NURTEC</w:t>
      </w:r>
      <w:r w:rsidR="000804CE" w:rsidRPr="00D01328">
        <w:rPr>
          <w:vertAlign w:val="superscript"/>
        </w:rPr>
        <w:t>®</w:t>
      </w:r>
      <w:r w:rsidRPr="00D01328">
        <w:t xml:space="preserve"> </w:t>
      </w:r>
      <w:r w:rsidR="00C74655">
        <w:t xml:space="preserve">ODT </w:t>
      </w:r>
      <w:r w:rsidRPr="00D01328">
        <w:t>(</w:t>
      </w:r>
      <w:r w:rsidR="009C2781">
        <w:t>RIMEGEPANT</w:t>
      </w:r>
      <w:r w:rsidRPr="00D01328">
        <w:t>)</w:t>
      </w:r>
    </w:p>
    <w:p w14:paraId="59BF9965" w14:textId="2A623593" w:rsidR="00EB4D43" w:rsidRPr="001A0577" w:rsidRDefault="00971272" w:rsidP="00DF0BBA">
      <w:pPr>
        <w:pStyle w:val="CLDHeading1"/>
        <w:jc w:val="left"/>
      </w:pPr>
      <w:r w:rsidRPr="001A0577">
        <w:t>1.</w:t>
      </w:r>
      <w:r w:rsidR="00294A15" w:rsidRPr="001A0577">
        <w:tab/>
      </w:r>
      <w:r w:rsidR="00E60520" w:rsidRPr="001A0577">
        <w:t>NAME</w:t>
      </w:r>
      <w:r w:rsidR="003B255D" w:rsidRPr="001A0577">
        <w:t xml:space="preserve"> OF THE MEDICINE</w:t>
      </w:r>
      <w:r w:rsidR="00315AB0" w:rsidRPr="001A0577">
        <w:t xml:space="preserve"> </w:t>
      </w:r>
    </w:p>
    <w:p w14:paraId="266C9F65" w14:textId="1991F27B" w:rsidR="00636841" w:rsidRPr="00605028" w:rsidRDefault="00C070DF" w:rsidP="00DF0BBA">
      <w:pPr>
        <w:pStyle w:val="CLDNormal"/>
        <w:jc w:val="left"/>
      </w:pPr>
      <w:r>
        <w:t>Rimegepant</w:t>
      </w:r>
    </w:p>
    <w:p w14:paraId="2CC079FF" w14:textId="4AE3B5DD" w:rsidR="00EB4D43" w:rsidRPr="001A0577" w:rsidRDefault="00971272" w:rsidP="00DF0BBA">
      <w:pPr>
        <w:pStyle w:val="CLDHeading1"/>
        <w:jc w:val="left"/>
      </w:pPr>
      <w:r w:rsidRPr="001A0577">
        <w:t>2.</w:t>
      </w:r>
      <w:r w:rsidR="00294A15" w:rsidRPr="001A0577">
        <w:tab/>
      </w:r>
      <w:r w:rsidR="0018348D" w:rsidRPr="001A0577">
        <w:t>QUALITATIVE AND QUANTITATIVE COMPOSITION</w:t>
      </w:r>
    </w:p>
    <w:p w14:paraId="6F14E99A" w14:textId="09D46291" w:rsidR="00315AB0" w:rsidRPr="00E66FC8" w:rsidRDefault="0004702D" w:rsidP="00DF0BBA">
      <w:pPr>
        <w:pStyle w:val="CLDNormal"/>
        <w:jc w:val="left"/>
      </w:pPr>
      <w:r>
        <w:t xml:space="preserve">Each </w:t>
      </w:r>
      <w:r w:rsidR="00E3488A">
        <w:t>orally disintegrating</w:t>
      </w:r>
      <w:r>
        <w:t xml:space="preserve"> tablet </w:t>
      </w:r>
      <w:r w:rsidR="00035995">
        <w:t xml:space="preserve">(ODT) </w:t>
      </w:r>
      <w:r>
        <w:t>contains rimegepant sulfate, equivalent to 75 mg rimegepant.</w:t>
      </w:r>
    </w:p>
    <w:p w14:paraId="4015C2F0" w14:textId="4CCFC1D7" w:rsidR="007F1D7C" w:rsidRPr="009B7FE5" w:rsidRDefault="007F1D7C" w:rsidP="00DF0BBA">
      <w:pPr>
        <w:pStyle w:val="CLDHeading3"/>
        <w:numPr>
          <w:ilvl w:val="0"/>
          <w:numId w:val="0"/>
        </w:numPr>
        <w:rPr>
          <w:rFonts w:eastAsia="TimesNewRoman"/>
        </w:rPr>
      </w:pPr>
      <w:r w:rsidRPr="009B7FE5">
        <w:rPr>
          <w:rFonts w:eastAsia="TimesNewRoman"/>
        </w:rPr>
        <w:t>Excipients with known effect</w:t>
      </w:r>
    </w:p>
    <w:p w14:paraId="3DDAAE67" w14:textId="788CDA57" w:rsidR="00916F9D" w:rsidRPr="00605028" w:rsidRDefault="00BD4E9C" w:rsidP="00DF0BBA">
      <w:pPr>
        <w:pStyle w:val="CLDNormal"/>
        <w:jc w:val="left"/>
      </w:pPr>
      <w:r w:rsidRPr="00605028">
        <w:t xml:space="preserve">Sucralose, </w:t>
      </w:r>
      <w:r w:rsidR="006C0E4E" w:rsidRPr="00605028">
        <w:t>mannitol.</w:t>
      </w:r>
    </w:p>
    <w:p w14:paraId="28C30629" w14:textId="4EA134B0" w:rsidR="00675710" w:rsidRPr="000E6F74" w:rsidRDefault="00675710" w:rsidP="00DF0BBA">
      <w:pPr>
        <w:pStyle w:val="CLDNormal"/>
        <w:jc w:val="left"/>
      </w:pPr>
      <w:r w:rsidRPr="00605028">
        <w:t>For the full list</w:t>
      </w:r>
      <w:r w:rsidR="001421CE" w:rsidRPr="00605028">
        <w:t xml:space="preserve"> of excipients, see </w:t>
      </w:r>
      <w:r w:rsidR="00AC60D5" w:rsidRPr="00605028">
        <w:t>s</w:t>
      </w:r>
      <w:r w:rsidR="000E6F74" w:rsidRPr="00605028">
        <w:t>ection 6.1</w:t>
      </w:r>
      <w:r w:rsidR="001421CE" w:rsidRPr="00605028">
        <w:t xml:space="preserve"> List of excipients</w:t>
      </w:r>
      <w:r w:rsidR="00123321" w:rsidRPr="00605028">
        <w:t>.</w:t>
      </w:r>
    </w:p>
    <w:p w14:paraId="5CD02670" w14:textId="021AA97F" w:rsidR="0034484A" w:rsidRPr="001A0577" w:rsidRDefault="00971272" w:rsidP="00DF0BBA">
      <w:pPr>
        <w:pStyle w:val="CLDHeading1"/>
        <w:jc w:val="left"/>
      </w:pPr>
      <w:r w:rsidRPr="001A0577">
        <w:t>3.</w:t>
      </w:r>
      <w:r w:rsidR="00932B9D" w:rsidRPr="001A0577">
        <w:tab/>
      </w:r>
      <w:r w:rsidR="0018348D" w:rsidRPr="001A0577">
        <w:t>PHARMACEUTICAL FORM</w:t>
      </w:r>
    </w:p>
    <w:p w14:paraId="3C7F79C6" w14:textId="05036D91" w:rsidR="00CE069B" w:rsidRDefault="00CE069B" w:rsidP="00DF0BBA">
      <w:pPr>
        <w:pStyle w:val="CLDNormal"/>
        <w:jc w:val="left"/>
      </w:pPr>
      <w:r>
        <w:t>Oral</w:t>
      </w:r>
      <w:r w:rsidR="00821C6D">
        <w:t>ly</w:t>
      </w:r>
      <w:r>
        <w:t xml:space="preserve"> disintegrating tablet.</w:t>
      </w:r>
    </w:p>
    <w:p w14:paraId="385F84D5" w14:textId="196F3229" w:rsidR="00156E48" w:rsidRPr="00622920" w:rsidRDefault="00CE069B" w:rsidP="00DF0BBA">
      <w:pPr>
        <w:pStyle w:val="CLDNormal"/>
        <w:jc w:val="left"/>
      </w:pPr>
      <w:r>
        <w:t>W</w:t>
      </w:r>
      <w:r w:rsidR="00D14DC0">
        <w:t xml:space="preserve">hite to off-white, circular, diameter 14 mm and debossed with the symbol </w:t>
      </w:r>
      <w:r w:rsidR="00D14DC0" w:rsidRPr="00622920">
        <w:rPr>
          <w:noProof/>
        </w:rPr>
        <w:drawing>
          <wp:inline distT="0" distB="0" distL="0" distR="0" wp14:anchorId="4299AE9C" wp14:editId="1CCC717D">
            <wp:extent cx="114300"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905"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4300" cy="142875"/>
                    </a:xfrm>
                    <a:prstGeom prst="rect">
                      <a:avLst/>
                    </a:prstGeom>
                    <a:noFill/>
                    <a:ln>
                      <a:noFill/>
                    </a:ln>
                  </pic:spPr>
                </pic:pic>
              </a:graphicData>
            </a:graphic>
          </wp:inline>
        </w:drawing>
      </w:r>
      <w:r w:rsidR="00D14DC0">
        <w:t>.</w:t>
      </w:r>
    </w:p>
    <w:p w14:paraId="1101CD31" w14:textId="0A39749E" w:rsidR="00E4558F" w:rsidRPr="001A0577" w:rsidRDefault="00971272" w:rsidP="00DF0BBA">
      <w:pPr>
        <w:pStyle w:val="CLDHeading1"/>
        <w:jc w:val="left"/>
      </w:pPr>
      <w:r w:rsidRPr="001A0577">
        <w:t>4.</w:t>
      </w:r>
      <w:r w:rsidR="00932B9D" w:rsidRPr="001A0577">
        <w:tab/>
      </w:r>
      <w:r w:rsidR="0018348D" w:rsidRPr="001A0577">
        <w:t>CLINICAL PARTICULARS</w:t>
      </w:r>
    </w:p>
    <w:p w14:paraId="189E5838" w14:textId="77777777" w:rsidR="00D73EEA" w:rsidRPr="001A0577" w:rsidRDefault="00D73EEA" w:rsidP="00DF0BBA">
      <w:pPr>
        <w:pStyle w:val="CLDHeading2"/>
      </w:pPr>
      <w:r w:rsidRPr="001A0577">
        <w:t>4.1</w:t>
      </w:r>
      <w:r w:rsidRPr="001A0577">
        <w:tab/>
        <w:t>Therapeutic indications</w:t>
      </w:r>
    </w:p>
    <w:p w14:paraId="0B4A274C" w14:textId="302F8F58" w:rsidR="004D14FD" w:rsidRPr="00DD3FB6" w:rsidRDefault="004D14FD" w:rsidP="00DF0BBA">
      <w:pPr>
        <w:pStyle w:val="CLDNormal"/>
        <w:jc w:val="left"/>
      </w:pPr>
      <w:r w:rsidRPr="00DD3FB6">
        <w:t>NURTEC</w:t>
      </w:r>
      <w:r w:rsidR="00141894">
        <w:t xml:space="preserve"> ODT</w:t>
      </w:r>
      <w:r w:rsidRPr="00DD3FB6">
        <w:t xml:space="preserve"> is indicated for:</w:t>
      </w:r>
    </w:p>
    <w:p w14:paraId="5F32BD8F" w14:textId="1D572473" w:rsidR="00826DAC" w:rsidRPr="00F72801" w:rsidRDefault="00092CD5" w:rsidP="00DF0BBA">
      <w:pPr>
        <w:pStyle w:val="CLDBulletList"/>
        <w:jc w:val="left"/>
        <w:rPr>
          <w:color w:val="auto"/>
        </w:rPr>
      </w:pPr>
      <w:r w:rsidRPr="00F72801">
        <w:rPr>
          <w:color w:val="auto"/>
        </w:rPr>
        <w:t>a</w:t>
      </w:r>
      <w:r w:rsidR="00826DAC" w:rsidRPr="00F72801">
        <w:rPr>
          <w:color w:val="auto"/>
        </w:rPr>
        <w:t>cute treatment of migraine with or without aura in adults;</w:t>
      </w:r>
    </w:p>
    <w:p w14:paraId="45961FA4" w14:textId="7AE4A2BF" w:rsidR="005146FA" w:rsidRPr="00F72801" w:rsidRDefault="00035995" w:rsidP="00DF0BBA">
      <w:pPr>
        <w:pStyle w:val="CLDBulletList"/>
        <w:jc w:val="left"/>
        <w:rPr>
          <w:color w:val="auto"/>
        </w:rPr>
      </w:pPr>
      <w:r>
        <w:rPr>
          <w:color w:val="auto"/>
        </w:rPr>
        <w:t>prophyla</w:t>
      </w:r>
      <w:r w:rsidR="00246A3C">
        <w:rPr>
          <w:color w:val="auto"/>
        </w:rPr>
        <w:t>ctic</w:t>
      </w:r>
      <w:r w:rsidRPr="00F72801">
        <w:rPr>
          <w:color w:val="auto"/>
        </w:rPr>
        <w:t xml:space="preserve"> </w:t>
      </w:r>
      <w:r w:rsidR="004A716D" w:rsidRPr="00F72801">
        <w:rPr>
          <w:color w:val="auto"/>
        </w:rPr>
        <w:t>treatment of episodic migraine in adults who have at least 4 migraine attacks per month.</w:t>
      </w:r>
    </w:p>
    <w:p w14:paraId="2B48B48A" w14:textId="64BC1DC5" w:rsidR="00E60520" w:rsidRPr="001A0577" w:rsidRDefault="00D73EEA" w:rsidP="00DF0BBA">
      <w:pPr>
        <w:pStyle w:val="CLDHeading2"/>
      </w:pPr>
      <w:r w:rsidRPr="001A0577">
        <w:t>4.2</w:t>
      </w:r>
      <w:r w:rsidRPr="001A0577">
        <w:tab/>
        <w:t>Dose and method of administration</w:t>
      </w:r>
    </w:p>
    <w:p w14:paraId="1F42E36F" w14:textId="16C3FE24" w:rsidR="00112B3F" w:rsidRPr="00605028" w:rsidRDefault="00112B3F" w:rsidP="00DF0BBA">
      <w:pPr>
        <w:pStyle w:val="CLDHeading3"/>
        <w:numPr>
          <w:ilvl w:val="0"/>
          <w:numId w:val="0"/>
        </w:numPr>
        <w:rPr>
          <w:rFonts w:eastAsia="TimesNewRoman"/>
        </w:rPr>
      </w:pPr>
      <w:bookmarkStart w:id="0" w:name="_Hlk138155106"/>
      <w:r w:rsidRPr="00605028">
        <w:rPr>
          <w:rFonts w:eastAsia="TimesNewRoman"/>
        </w:rPr>
        <w:t>Dos</w:t>
      </w:r>
      <w:r w:rsidR="00837C3E" w:rsidRPr="00605028">
        <w:rPr>
          <w:rFonts w:eastAsia="TimesNewRoman"/>
        </w:rPr>
        <w:t>age</w:t>
      </w:r>
      <w:r w:rsidR="00A15CBC" w:rsidRPr="00605028">
        <w:rPr>
          <w:rFonts w:eastAsia="TimesNewRoman"/>
        </w:rPr>
        <w:t xml:space="preserve"> </w:t>
      </w:r>
    </w:p>
    <w:p w14:paraId="5EA6082D" w14:textId="77777777" w:rsidR="00D37704" w:rsidRPr="00A815A1" w:rsidRDefault="00D37704" w:rsidP="00DF0BBA">
      <w:pPr>
        <w:pStyle w:val="CLDHeading4"/>
      </w:pPr>
      <w:r w:rsidRPr="00A815A1">
        <w:t>Acute treatment of migraine</w:t>
      </w:r>
    </w:p>
    <w:p w14:paraId="3B0BBDCC" w14:textId="14B100CB" w:rsidR="00C25D7C" w:rsidRDefault="00D37704" w:rsidP="00DF0BBA">
      <w:pPr>
        <w:pStyle w:val="CLDNormal"/>
        <w:jc w:val="left"/>
      </w:pPr>
      <w:r>
        <w:t>The recommended dose is</w:t>
      </w:r>
      <w:r w:rsidR="00A2261D">
        <w:t xml:space="preserve"> </w:t>
      </w:r>
      <w:r>
        <w:t>75 mg rimeg</w:t>
      </w:r>
      <w:r w:rsidR="00DE731C">
        <w:t>epant</w:t>
      </w:r>
      <w:r w:rsidR="00A2261D">
        <w:t xml:space="preserve"> </w:t>
      </w:r>
      <w:r w:rsidR="00952447">
        <w:t xml:space="preserve">orally disintegrating </w:t>
      </w:r>
      <w:r w:rsidR="00A2261D">
        <w:t>tablet</w:t>
      </w:r>
      <w:r w:rsidR="00DE731C">
        <w:t>, as needed</w:t>
      </w:r>
      <w:r w:rsidR="00035995">
        <w:t>.  The maximum dose in a 24</w:t>
      </w:r>
      <w:r w:rsidR="00EE12BD">
        <w:t>-</w:t>
      </w:r>
      <w:r w:rsidR="00035995">
        <w:t>hour period is 75 mg.</w:t>
      </w:r>
    </w:p>
    <w:p w14:paraId="63725428" w14:textId="1D09A585" w:rsidR="00DE731C" w:rsidRPr="00A815A1" w:rsidRDefault="00DE731C" w:rsidP="00DF0BBA">
      <w:pPr>
        <w:pStyle w:val="CLDHeading4"/>
      </w:pPr>
      <w:r w:rsidRPr="00A815A1">
        <w:lastRenderedPageBreak/>
        <w:t>Prophylaxis of migraine</w:t>
      </w:r>
    </w:p>
    <w:p w14:paraId="58A9E255" w14:textId="3E0654BA" w:rsidR="00DE731C" w:rsidRDefault="00DE731C" w:rsidP="00DF0BBA">
      <w:pPr>
        <w:pStyle w:val="CLDNormal"/>
        <w:jc w:val="left"/>
      </w:pPr>
      <w:r w:rsidRPr="007166D6">
        <w:t>The recommended dose is 75 mg rimegepant every other day.</w:t>
      </w:r>
      <w:r w:rsidR="002C2457">
        <w:t xml:space="preserve">  </w:t>
      </w:r>
      <w:r w:rsidR="0034115B" w:rsidRPr="00035297">
        <w:rPr>
          <w:lang w:val="en-AU" w:eastAsia="en-AU"/>
        </w:rPr>
        <w:t xml:space="preserve">If </w:t>
      </w:r>
      <w:r w:rsidR="00300574">
        <w:rPr>
          <w:lang w:val="en-AU" w:eastAsia="en-AU"/>
        </w:rPr>
        <w:t xml:space="preserve">also </w:t>
      </w:r>
      <w:r w:rsidR="0034115B" w:rsidRPr="00C25D7C">
        <w:t>requiring</w:t>
      </w:r>
      <w:r w:rsidR="0034115B" w:rsidRPr="00035297">
        <w:rPr>
          <w:lang w:val="en-AU" w:eastAsia="en-AU"/>
        </w:rPr>
        <w:t xml:space="preserve"> rimegepant </w:t>
      </w:r>
      <w:r w:rsidR="00882A6E">
        <w:rPr>
          <w:lang w:val="en-AU" w:eastAsia="en-AU"/>
        </w:rPr>
        <w:t xml:space="preserve">for the </w:t>
      </w:r>
      <w:r w:rsidR="0034115B" w:rsidRPr="00035297">
        <w:rPr>
          <w:lang w:val="en-AU" w:eastAsia="en-AU"/>
        </w:rPr>
        <w:t xml:space="preserve">acute </w:t>
      </w:r>
      <w:r w:rsidR="00216B31">
        <w:rPr>
          <w:lang w:val="en-AU" w:eastAsia="en-AU"/>
        </w:rPr>
        <w:t xml:space="preserve">treatment of </w:t>
      </w:r>
      <w:r w:rsidR="0034115B" w:rsidRPr="00035297">
        <w:rPr>
          <w:lang w:val="en-AU" w:eastAsia="en-AU"/>
        </w:rPr>
        <w:t xml:space="preserve">migraine, </w:t>
      </w:r>
      <w:r w:rsidR="00ED6974">
        <w:rPr>
          <w:lang w:val="en-AU" w:eastAsia="en-AU"/>
        </w:rPr>
        <w:t>do not exceed a total</w:t>
      </w:r>
      <w:r w:rsidR="0034115B" w:rsidRPr="00035297">
        <w:rPr>
          <w:lang w:val="en-AU" w:eastAsia="en-AU"/>
        </w:rPr>
        <w:t xml:space="preserve"> dose </w:t>
      </w:r>
      <w:r w:rsidR="00ED6974">
        <w:rPr>
          <w:lang w:val="en-AU" w:eastAsia="en-AU"/>
        </w:rPr>
        <w:t xml:space="preserve">of 75 mg rimegepant </w:t>
      </w:r>
      <w:r w:rsidR="0034115B" w:rsidRPr="00035297">
        <w:rPr>
          <w:lang w:val="en-AU" w:eastAsia="en-AU"/>
        </w:rPr>
        <w:t>in a 24 hour period</w:t>
      </w:r>
      <w:r w:rsidR="0034115B">
        <w:rPr>
          <w:lang w:val="en-AU" w:eastAsia="en-AU"/>
        </w:rPr>
        <w:t>.</w:t>
      </w:r>
    </w:p>
    <w:bookmarkEnd w:id="0"/>
    <w:p w14:paraId="3E9B10F9" w14:textId="2280BB90" w:rsidR="00035995" w:rsidRDefault="00DE731C" w:rsidP="00DF0BBA">
      <w:pPr>
        <w:pStyle w:val="CLDNormal"/>
        <w:spacing w:after="120"/>
        <w:jc w:val="left"/>
      </w:pPr>
      <w:r w:rsidRPr="007166D6">
        <w:t xml:space="preserve">NURTEC </w:t>
      </w:r>
      <w:r w:rsidR="00141894">
        <w:t xml:space="preserve">ODT </w:t>
      </w:r>
      <w:r w:rsidRPr="007166D6">
        <w:t>can be taken with or without meals.</w:t>
      </w:r>
    </w:p>
    <w:p w14:paraId="6D15A858" w14:textId="179B55A6" w:rsidR="00837C3E" w:rsidRDefault="00243A31" w:rsidP="00DF0BBA">
      <w:pPr>
        <w:pStyle w:val="CLDHeading3"/>
        <w:numPr>
          <w:ilvl w:val="0"/>
          <w:numId w:val="0"/>
        </w:numPr>
        <w:spacing w:before="120"/>
      </w:pPr>
      <w:r>
        <w:t>Method of a</w:t>
      </w:r>
      <w:r w:rsidR="00837C3E">
        <w:t>dministration</w:t>
      </w:r>
      <w:r w:rsidR="00A15CBC" w:rsidRPr="00F72801">
        <w:t xml:space="preserve"> </w:t>
      </w:r>
    </w:p>
    <w:p w14:paraId="72E83BEA" w14:textId="5E34B7C2" w:rsidR="00837C3E" w:rsidRDefault="00F9059E" w:rsidP="00DF0BBA">
      <w:pPr>
        <w:pStyle w:val="CLDNormal"/>
        <w:spacing w:after="120"/>
        <w:jc w:val="left"/>
      </w:pPr>
      <w:r>
        <w:t xml:space="preserve">NURTEC </w:t>
      </w:r>
      <w:r w:rsidR="00141894">
        <w:t xml:space="preserve">ODT </w:t>
      </w:r>
      <w:r>
        <w:t>is for oral use.</w:t>
      </w:r>
    </w:p>
    <w:p w14:paraId="16DA51C2" w14:textId="04B67FA5" w:rsidR="00F9059E" w:rsidRDefault="00F9059E" w:rsidP="00DF0BBA">
      <w:pPr>
        <w:pStyle w:val="CLDNormal"/>
        <w:spacing w:after="0"/>
        <w:jc w:val="left"/>
      </w:pPr>
      <w:r>
        <w:t xml:space="preserve">The </w:t>
      </w:r>
      <w:r w:rsidR="00A01AD8">
        <w:t>orally disintegrating</w:t>
      </w:r>
      <w:r>
        <w:t xml:space="preserve"> tablet should be placed on the tongue or under the tongue. </w:t>
      </w:r>
      <w:r w:rsidR="007103A1">
        <w:t xml:space="preserve"> </w:t>
      </w:r>
      <w:r>
        <w:t>It will disintegrate in the mouth</w:t>
      </w:r>
      <w:r w:rsidR="000F615A">
        <w:t xml:space="preserve"> and can be taken without liquid.</w:t>
      </w:r>
    </w:p>
    <w:p w14:paraId="524F7B44" w14:textId="39488149" w:rsidR="00837C3E" w:rsidRPr="00734D33" w:rsidRDefault="000F615A" w:rsidP="00DF0BBA">
      <w:pPr>
        <w:pStyle w:val="CLDNormal"/>
        <w:jc w:val="left"/>
      </w:pPr>
      <w:r>
        <w:t>Patients should be advised to use dry hands when opening the blister</w:t>
      </w:r>
      <w:r w:rsidR="00B51EAC">
        <w:t xml:space="preserve"> and refer to the Consumer Medicines Information for complete instructions</w:t>
      </w:r>
      <w:r>
        <w:t>.</w:t>
      </w:r>
    </w:p>
    <w:p w14:paraId="4E38B1E6" w14:textId="73CF87EB" w:rsidR="00932B9D" w:rsidRDefault="00932B9D" w:rsidP="00DF0BBA">
      <w:pPr>
        <w:pStyle w:val="CLDHeading3"/>
        <w:numPr>
          <w:ilvl w:val="0"/>
          <w:numId w:val="0"/>
        </w:numPr>
      </w:pPr>
      <w:r>
        <w:t>Dos</w:t>
      </w:r>
      <w:r w:rsidR="00837C3E">
        <w:t>age</w:t>
      </w:r>
      <w:r w:rsidR="00243A31">
        <w:t xml:space="preserve"> a</w:t>
      </w:r>
      <w:r>
        <w:t>djustment</w:t>
      </w:r>
      <w:r w:rsidR="00A15CBC">
        <w:t xml:space="preserve"> </w:t>
      </w:r>
    </w:p>
    <w:p w14:paraId="700DA85B" w14:textId="7A9579C9" w:rsidR="00932B9D" w:rsidRPr="00E341CF" w:rsidRDefault="00537085" w:rsidP="00DF0BBA">
      <w:pPr>
        <w:pStyle w:val="CLDHeading4"/>
      </w:pPr>
      <w:r w:rsidRPr="00E341CF">
        <w:t>Elderly (aged 65 and over)</w:t>
      </w:r>
    </w:p>
    <w:p w14:paraId="536E0E3A" w14:textId="71692585" w:rsidR="00537085" w:rsidRPr="007166D6" w:rsidRDefault="002B5272" w:rsidP="00DF0BBA">
      <w:pPr>
        <w:pStyle w:val="CLDNormal"/>
        <w:jc w:val="left"/>
      </w:pPr>
      <w:r w:rsidRPr="007166D6">
        <w:t>There is limited experience with rimegepant in patients aged 65</w:t>
      </w:r>
      <w:r w:rsidR="007166D6">
        <w:t xml:space="preserve"> </w:t>
      </w:r>
      <w:r w:rsidRPr="007166D6">
        <w:t xml:space="preserve">years or older. </w:t>
      </w:r>
      <w:r w:rsidR="007103A1" w:rsidRPr="007166D6">
        <w:t xml:space="preserve"> </w:t>
      </w:r>
      <w:r w:rsidRPr="007166D6">
        <w:t>No dose adjustment is required as the pharmacokinetics of rimegepant are not affected by age (see</w:t>
      </w:r>
      <w:r w:rsidR="00F84462">
        <w:t> </w:t>
      </w:r>
      <w:r w:rsidR="00AC60D5" w:rsidRPr="007166D6">
        <w:t>s</w:t>
      </w:r>
      <w:r w:rsidRPr="007166D6">
        <w:t>ection</w:t>
      </w:r>
      <w:r w:rsidR="007166D6">
        <w:t xml:space="preserve"> </w:t>
      </w:r>
      <w:r w:rsidRPr="007166D6">
        <w:t>5.2</w:t>
      </w:r>
      <w:r w:rsidR="007C34EB" w:rsidRPr="007166D6">
        <w:t xml:space="preserve"> Pharmacokinetic properties</w:t>
      </w:r>
      <w:r w:rsidRPr="007166D6">
        <w:t>).</w:t>
      </w:r>
    </w:p>
    <w:p w14:paraId="53FEC35E" w14:textId="77B54F29" w:rsidR="00E341CF" w:rsidRPr="005A13DD" w:rsidRDefault="00116D2B" w:rsidP="00DF0BBA">
      <w:pPr>
        <w:pStyle w:val="CLDHeading4"/>
      </w:pPr>
      <w:r w:rsidRPr="005A13DD">
        <w:t>Renal impairment</w:t>
      </w:r>
    </w:p>
    <w:p w14:paraId="0522E273" w14:textId="6937527A" w:rsidR="005A13DD" w:rsidRPr="005A13DD" w:rsidRDefault="005A13DD" w:rsidP="00DF0BBA">
      <w:pPr>
        <w:pStyle w:val="CLDNormal"/>
        <w:jc w:val="left"/>
        <w:rPr>
          <w:i/>
        </w:rPr>
      </w:pPr>
      <w:r w:rsidRPr="005A13DD">
        <w:t xml:space="preserve">No dose adjustment is required in patients with mild, moderate, or severe renal impairment. </w:t>
      </w:r>
      <w:r w:rsidR="007103A1">
        <w:t xml:space="preserve"> </w:t>
      </w:r>
      <w:r w:rsidRPr="005A13DD">
        <w:t xml:space="preserve">Severe renal impairment resulted in a &gt;2-fold increase in unbound AUC but less than a 50% increase in total AUC (see </w:t>
      </w:r>
      <w:r w:rsidR="00AC60D5">
        <w:t>s</w:t>
      </w:r>
      <w:r w:rsidRPr="002B5272">
        <w:t>ection 5.2</w:t>
      </w:r>
      <w:r>
        <w:t xml:space="preserve"> Pharmacokinetic properties</w:t>
      </w:r>
      <w:r w:rsidRPr="005A13DD">
        <w:t xml:space="preserve">). </w:t>
      </w:r>
      <w:r w:rsidR="00CE069B">
        <w:t xml:space="preserve"> </w:t>
      </w:r>
      <w:r w:rsidRPr="005A13DD">
        <w:t xml:space="preserve">Rimegepant has not been studied in patients with end-stage renal disease and in patients on dialysis. </w:t>
      </w:r>
      <w:r w:rsidR="00CE069B">
        <w:t xml:space="preserve"> </w:t>
      </w:r>
      <w:r w:rsidRPr="005A13DD">
        <w:t>Use of rimegepant in patients with end-stage renal disease (CLcr &lt;15 m</w:t>
      </w:r>
      <w:r w:rsidR="00A504F5">
        <w:t>L</w:t>
      </w:r>
      <w:r w:rsidRPr="005A13DD">
        <w:t>/min) should be avoided.</w:t>
      </w:r>
    </w:p>
    <w:p w14:paraId="4D1B3AE1" w14:textId="11A725F8" w:rsidR="005A13DD" w:rsidRPr="005A13DD" w:rsidRDefault="005A13DD" w:rsidP="00DF0BBA">
      <w:pPr>
        <w:pStyle w:val="CLDHeading4"/>
      </w:pPr>
      <w:r w:rsidRPr="005A13DD">
        <w:t>Hepatic impairment</w:t>
      </w:r>
    </w:p>
    <w:p w14:paraId="28AEB57D" w14:textId="5A30F820" w:rsidR="005A13DD" w:rsidRPr="005A13DD" w:rsidRDefault="005A13DD" w:rsidP="00DF0BBA">
      <w:pPr>
        <w:pStyle w:val="CLDNormal"/>
        <w:jc w:val="left"/>
      </w:pPr>
      <w:r w:rsidRPr="005A13DD">
        <w:t>No dose adjustment is required in patients with mild (Child-Pugh A) or moderate (Child</w:t>
      </w:r>
      <w:r w:rsidR="00CE069B">
        <w:noBreakHyphen/>
      </w:r>
      <w:r w:rsidRPr="005A13DD">
        <w:t xml:space="preserve">Pugh B) hepatic impairment. </w:t>
      </w:r>
      <w:r w:rsidR="00CE069B">
        <w:t xml:space="preserve"> </w:t>
      </w:r>
      <w:r w:rsidRPr="005A13DD">
        <w:t>Plasma concentrations (unbound AUC) of rimegepant were significantly higher in subjects with severe (Child-Pugh C) hepatic impairment (</w:t>
      </w:r>
      <w:r w:rsidR="00271FE3" w:rsidRPr="002B5272">
        <w:t>see</w:t>
      </w:r>
      <w:r w:rsidR="007103A1">
        <w:t> </w:t>
      </w:r>
      <w:r w:rsidR="00AC60D5">
        <w:t>s</w:t>
      </w:r>
      <w:r w:rsidR="00271FE3" w:rsidRPr="002B5272">
        <w:t>ection 5.2</w:t>
      </w:r>
      <w:r w:rsidR="00271FE3">
        <w:t xml:space="preserve"> Pharmacokinetic properties</w:t>
      </w:r>
      <w:r w:rsidRPr="005A13DD">
        <w:t xml:space="preserve">). </w:t>
      </w:r>
      <w:r w:rsidR="00CE069B">
        <w:t xml:space="preserve"> </w:t>
      </w:r>
      <w:r w:rsidRPr="005A13DD">
        <w:t>The use of rimegepant in patients with severe hepatic impairment should be avoided.</w:t>
      </w:r>
    </w:p>
    <w:p w14:paraId="18E01BF3" w14:textId="401405CB" w:rsidR="005A13DD" w:rsidRPr="005A13DD" w:rsidRDefault="005A13DD" w:rsidP="00DF0BBA">
      <w:pPr>
        <w:pStyle w:val="CLDHeading4"/>
      </w:pPr>
      <w:r w:rsidRPr="005A13DD">
        <w:t>Paediatric population</w:t>
      </w:r>
    </w:p>
    <w:p w14:paraId="689CEDF3" w14:textId="5A3AA2E6" w:rsidR="005A13DD" w:rsidRDefault="005A13DD" w:rsidP="00DF0BBA">
      <w:pPr>
        <w:pStyle w:val="CLDNormal"/>
        <w:jc w:val="left"/>
      </w:pPr>
      <w:r w:rsidRPr="005A13DD">
        <w:t xml:space="preserve">The safety and efficacy of </w:t>
      </w:r>
      <w:r w:rsidR="006D35C0">
        <w:t>NURTEC</w:t>
      </w:r>
      <w:r w:rsidRPr="005A13DD">
        <w:t xml:space="preserve"> </w:t>
      </w:r>
      <w:r w:rsidR="00141894">
        <w:t xml:space="preserve">ODT </w:t>
      </w:r>
      <w:r w:rsidRPr="005A13DD">
        <w:t xml:space="preserve">in paediatric patients (&lt;18 years of age) have not been established. </w:t>
      </w:r>
      <w:r w:rsidR="00CE069B">
        <w:t xml:space="preserve"> </w:t>
      </w:r>
      <w:r w:rsidRPr="005A13DD">
        <w:t>No data are available.</w:t>
      </w:r>
    </w:p>
    <w:p w14:paraId="693C1962" w14:textId="77777777" w:rsidR="00C4263E" w:rsidRPr="00B51EAC" w:rsidRDefault="00C4263E" w:rsidP="00DF0BBA">
      <w:pPr>
        <w:pStyle w:val="CLDHeading4"/>
        <w:rPr>
          <w:rFonts w:eastAsia="Times New Roman"/>
          <w:lang w:val="en-GB"/>
        </w:rPr>
      </w:pPr>
      <w:r w:rsidRPr="00B51EAC">
        <w:rPr>
          <w:rFonts w:eastAsia="Times New Roman"/>
          <w:lang w:val="en-GB"/>
        </w:rPr>
        <w:t xml:space="preserve">Concomitant medicinal products </w:t>
      </w:r>
    </w:p>
    <w:p w14:paraId="41A6C6C1" w14:textId="6A6E1506" w:rsidR="00C4263E" w:rsidRDefault="00C4263E" w:rsidP="00DF0BBA">
      <w:pPr>
        <w:pStyle w:val="CLDNormal"/>
        <w:jc w:val="left"/>
        <w:rPr>
          <w:rFonts w:eastAsia="Times New Roman"/>
          <w:lang w:val="en-GB"/>
        </w:rPr>
      </w:pPr>
      <w:r w:rsidRPr="00B51EAC">
        <w:rPr>
          <w:rFonts w:eastAsia="Times New Roman"/>
          <w:lang w:val="en-GB"/>
        </w:rPr>
        <w:t xml:space="preserve">Another dose of rimegepant should be avoided within 48 hours when it is concomitantly administered with moderate inhibitors of CYP3A4 </w:t>
      </w:r>
      <w:r w:rsidRPr="00A4278C">
        <w:rPr>
          <w:rFonts w:eastAsia="Times New Roman"/>
          <w:lang w:val="en-GB"/>
        </w:rPr>
        <w:t xml:space="preserve">or with </w:t>
      </w:r>
      <w:r>
        <w:rPr>
          <w:rFonts w:eastAsia="Times New Roman"/>
          <w:lang w:val="en-GB"/>
        </w:rPr>
        <w:t xml:space="preserve">strong </w:t>
      </w:r>
      <w:r w:rsidRPr="00A4278C">
        <w:rPr>
          <w:rFonts w:eastAsia="Times New Roman"/>
          <w:lang w:val="en-GB"/>
        </w:rPr>
        <w:t>inhibitors of P-gp</w:t>
      </w:r>
      <w:r>
        <w:rPr>
          <w:rFonts w:eastAsia="Times New Roman"/>
          <w:lang w:val="en-GB"/>
        </w:rPr>
        <w:t>.</w:t>
      </w:r>
      <w:r w:rsidRPr="00A4278C">
        <w:rPr>
          <w:rFonts w:eastAsia="Times New Roman"/>
          <w:lang w:val="en-GB"/>
        </w:rPr>
        <w:t xml:space="preserve"> </w:t>
      </w:r>
    </w:p>
    <w:p w14:paraId="3623A125" w14:textId="3430F8A9" w:rsidR="00C4263E" w:rsidRPr="007166D6" w:rsidRDefault="00C4263E" w:rsidP="00DF0BBA">
      <w:pPr>
        <w:pStyle w:val="CLDNormal"/>
        <w:jc w:val="left"/>
      </w:pPr>
      <w:r>
        <w:t xml:space="preserve">Avoid concomitant administration of NURTEC ODT with </w:t>
      </w:r>
      <w:r w:rsidRPr="0062526B">
        <w:t>strong inhibitors of CYP3A</w:t>
      </w:r>
      <w:r w:rsidR="00ED6974">
        <w:t>4</w:t>
      </w:r>
      <w:r w:rsidRPr="0062526B">
        <w:t xml:space="preserve">, </w:t>
      </w:r>
      <w:r>
        <w:t>strong or moderate inducers of CYP3A</w:t>
      </w:r>
      <w:r w:rsidR="00ED6974">
        <w:t>4</w:t>
      </w:r>
      <w:r>
        <w:t>.</w:t>
      </w:r>
    </w:p>
    <w:p w14:paraId="16882E52" w14:textId="6D875A8B" w:rsidR="00C4263E" w:rsidRPr="00172A0F" w:rsidRDefault="00C4263E" w:rsidP="00DF0BBA">
      <w:pPr>
        <w:pStyle w:val="CLDNormal"/>
        <w:jc w:val="left"/>
        <w:rPr>
          <w:rFonts w:eastAsia="Times New Roman"/>
          <w:lang w:val="en-GB"/>
        </w:rPr>
      </w:pPr>
      <w:r>
        <w:rPr>
          <w:rFonts w:eastAsia="Times New Roman"/>
          <w:lang w:val="en-GB"/>
        </w:rPr>
        <w:t>S</w:t>
      </w:r>
      <w:r w:rsidRPr="00B51EAC">
        <w:rPr>
          <w:rFonts w:eastAsia="Times New Roman"/>
          <w:lang w:val="en-GB"/>
        </w:rPr>
        <w:t>ee section 4.5 Interactions with other medicines and other forms of interactions.</w:t>
      </w:r>
    </w:p>
    <w:p w14:paraId="512218A8" w14:textId="7CB68058" w:rsidR="0062454C" w:rsidRPr="001A0577" w:rsidRDefault="00787D1C" w:rsidP="00DF0BBA">
      <w:pPr>
        <w:pStyle w:val="CLDHeading2"/>
      </w:pPr>
      <w:r w:rsidRPr="001A0577">
        <w:lastRenderedPageBreak/>
        <w:t>4.3</w:t>
      </w:r>
      <w:r w:rsidRPr="001A0577">
        <w:tab/>
      </w:r>
      <w:r w:rsidR="00520868" w:rsidRPr="001A0577">
        <w:t>Contraindications</w:t>
      </w:r>
    </w:p>
    <w:p w14:paraId="2418D31A" w14:textId="4400BCC2" w:rsidR="00156E48" w:rsidRPr="00315AB0" w:rsidRDefault="002703E9" w:rsidP="00DF0BBA">
      <w:pPr>
        <w:pStyle w:val="CLDNormal"/>
        <w:jc w:val="left"/>
      </w:pPr>
      <w:r>
        <w:t xml:space="preserve">Hypersensitivity to </w:t>
      </w:r>
      <w:r w:rsidR="003B7668">
        <w:t>rimegepant</w:t>
      </w:r>
      <w:r>
        <w:t xml:space="preserve"> or to any of the excipients listed in </w:t>
      </w:r>
      <w:r w:rsidR="007D2C71">
        <w:t>S</w:t>
      </w:r>
      <w:r>
        <w:t>ection 6.1</w:t>
      </w:r>
      <w:r w:rsidR="00CE069B">
        <w:t xml:space="preserve"> List of excipients</w:t>
      </w:r>
      <w:r>
        <w:t>.</w:t>
      </w:r>
    </w:p>
    <w:p w14:paraId="2010C4B4" w14:textId="0FA4F56A" w:rsidR="0062454C" w:rsidRPr="00F72801" w:rsidRDefault="00787D1C" w:rsidP="00DF0BBA">
      <w:pPr>
        <w:pStyle w:val="CLDHeading2"/>
      </w:pPr>
      <w:r w:rsidRPr="001A0577">
        <w:t>4.4</w:t>
      </w:r>
      <w:r w:rsidRPr="001A0577">
        <w:tab/>
      </w:r>
      <w:r w:rsidR="00CD7E76" w:rsidRPr="001A0577">
        <w:t>Special w</w:t>
      </w:r>
      <w:r w:rsidR="0062454C" w:rsidRPr="001A0577">
        <w:t xml:space="preserve">arnings and </w:t>
      </w:r>
      <w:r w:rsidR="00CD7E76" w:rsidRPr="001A0577">
        <w:t>p</w:t>
      </w:r>
      <w:r w:rsidR="0062454C" w:rsidRPr="001A0577">
        <w:t>recautions</w:t>
      </w:r>
      <w:r w:rsidR="00315AB0" w:rsidRPr="001A0577">
        <w:t xml:space="preserve"> </w:t>
      </w:r>
      <w:r w:rsidR="00CD7E76" w:rsidRPr="001A0577">
        <w:t>for u</w:t>
      </w:r>
      <w:r w:rsidR="00683128" w:rsidRPr="001A0577">
        <w:t>se</w:t>
      </w:r>
    </w:p>
    <w:p w14:paraId="09124172" w14:textId="5D523162" w:rsidR="00D87270" w:rsidRDefault="004464C5" w:rsidP="00DF0BBA">
      <w:pPr>
        <w:pStyle w:val="CLDNormal"/>
        <w:jc w:val="left"/>
      </w:pPr>
      <w:r w:rsidRPr="004464C5">
        <w:t>Hypersensitivity reactions, including dyspnoea and rash, have occurred in less than 1% of patients treated with rimegepant in clinical studies (see section 4.8</w:t>
      </w:r>
      <w:r w:rsidR="006E590B">
        <w:t xml:space="preserve"> Adverse </w:t>
      </w:r>
      <w:r w:rsidR="00AC60D5">
        <w:t>effects (undesirable effects)</w:t>
      </w:r>
      <w:r w:rsidRPr="004464C5">
        <w:t>).</w:t>
      </w:r>
      <w:r w:rsidR="00CE069B">
        <w:t xml:space="preserve"> </w:t>
      </w:r>
      <w:r w:rsidRPr="004464C5">
        <w:t xml:space="preserve"> Hypersensitivity reactions, including serious hypersensitivity, can occur days after administration. </w:t>
      </w:r>
      <w:r w:rsidR="00CE069B">
        <w:t xml:space="preserve"> </w:t>
      </w:r>
      <w:r w:rsidRPr="004464C5">
        <w:t>If a hypersensitivity reaction occurs, rimegepant should be discontinued and appropriate therapy should be initiated.</w:t>
      </w:r>
    </w:p>
    <w:p w14:paraId="46CD60DC" w14:textId="77777777" w:rsidR="00CA6102" w:rsidRPr="00366678" w:rsidRDefault="00CA6102" w:rsidP="00DF0BBA">
      <w:pPr>
        <w:pStyle w:val="CLDNormal"/>
        <w:jc w:val="left"/>
        <w:rPr>
          <w:lang w:val="en-AU" w:eastAsia="en-AU"/>
        </w:rPr>
      </w:pPr>
      <w:r w:rsidRPr="00366678">
        <w:rPr>
          <w:lang w:val="en-AU" w:eastAsia="en-AU"/>
        </w:rPr>
        <w:t>There are limited data</w:t>
      </w:r>
      <w:r>
        <w:rPr>
          <w:lang w:val="en-AU" w:eastAsia="en-AU"/>
        </w:rPr>
        <w:t xml:space="preserve"> supporting</w:t>
      </w:r>
      <w:r w:rsidRPr="00366678">
        <w:rPr>
          <w:lang w:val="en-AU" w:eastAsia="en-AU"/>
        </w:rPr>
        <w:t xml:space="preserve"> the efficacy and safety of</w:t>
      </w:r>
      <w:r>
        <w:rPr>
          <w:lang w:val="en-AU" w:eastAsia="en-AU"/>
        </w:rPr>
        <w:t>:</w:t>
      </w:r>
    </w:p>
    <w:p w14:paraId="5009AA6B" w14:textId="776300BC" w:rsidR="00CA6102" w:rsidRPr="00366678" w:rsidRDefault="00CA6102" w:rsidP="00DF0BBA">
      <w:pPr>
        <w:pStyle w:val="CLDNormal"/>
        <w:numPr>
          <w:ilvl w:val="0"/>
          <w:numId w:val="22"/>
        </w:numPr>
        <w:jc w:val="left"/>
        <w:rPr>
          <w:lang w:val="en-AU" w:eastAsia="en-AU"/>
        </w:rPr>
      </w:pPr>
      <w:r>
        <w:rPr>
          <w:lang w:val="en-AU" w:eastAsia="en-AU"/>
        </w:rPr>
        <w:t>A</w:t>
      </w:r>
      <w:r w:rsidRPr="00366678">
        <w:rPr>
          <w:lang w:val="en-AU" w:eastAsia="en-AU"/>
        </w:rPr>
        <w:t xml:space="preserve">dditional daily doses of rimegepant for </w:t>
      </w:r>
      <w:r>
        <w:rPr>
          <w:lang w:val="en-AU" w:eastAsia="en-AU"/>
        </w:rPr>
        <w:t xml:space="preserve">acute treatment of </w:t>
      </w:r>
      <w:r w:rsidRPr="00366678">
        <w:rPr>
          <w:lang w:val="en-AU" w:eastAsia="en-AU"/>
        </w:rPr>
        <w:t>the same migraine attack</w:t>
      </w:r>
      <w:r w:rsidR="00A16007">
        <w:rPr>
          <w:lang w:val="en-AU" w:eastAsia="en-AU"/>
        </w:rPr>
        <w:t>.</w:t>
      </w:r>
      <w:r w:rsidRPr="00366678">
        <w:rPr>
          <w:lang w:val="en-AU" w:eastAsia="en-AU"/>
        </w:rPr>
        <w:t xml:space="preserve"> </w:t>
      </w:r>
    </w:p>
    <w:p w14:paraId="1DDBA430" w14:textId="77777777" w:rsidR="00CA6102" w:rsidRPr="009A4CA8" w:rsidRDefault="00CA6102" w:rsidP="00DF0BBA">
      <w:pPr>
        <w:pStyle w:val="CLDNormal"/>
        <w:numPr>
          <w:ilvl w:val="0"/>
          <w:numId w:val="22"/>
        </w:numPr>
        <w:jc w:val="left"/>
      </w:pPr>
      <w:r>
        <w:rPr>
          <w:lang w:val="en-AU" w:eastAsia="en-AU"/>
        </w:rPr>
        <w:t>Rimegepant for the acute treatment of migraine attacks occurring whilst taking a CGRP blocking monoclonal antibody as prophylaxis.</w:t>
      </w:r>
    </w:p>
    <w:p w14:paraId="0E368CB3" w14:textId="3AC9F9AE" w:rsidR="00CA6102" w:rsidRPr="00AB3CC1" w:rsidRDefault="00CA6102" w:rsidP="00DF0BBA">
      <w:pPr>
        <w:pStyle w:val="CLDNormal"/>
        <w:jc w:val="left"/>
      </w:pPr>
      <w:r>
        <w:t>There are limited data supporting the efficacy of rimegepant for the acute treatment of migraine attacks occurring whilst using rimegepant as prophylaxis</w:t>
      </w:r>
      <w:r w:rsidR="00A16007">
        <w:t>.</w:t>
      </w:r>
    </w:p>
    <w:p w14:paraId="5DC05889" w14:textId="77777777" w:rsidR="00CA6102" w:rsidRPr="00366678" w:rsidRDefault="00CA6102" w:rsidP="00DF0BBA">
      <w:pPr>
        <w:pStyle w:val="CLDNormal"/>
        <w:jc w:val="left"/>
        <w:rPr>
          <w:lang w:val="en-AU" w:eastAsia="en-AU"/>
        </w:rPr>
      </w:pPr>
      <w:r w:rsidRPr="00366678">
        <w:rPr>
          <w:lang w:val="en-AU" w:eastAsia="en-AU"/>
        </w:rPr>
        <w:t>The benefit and the safety of using ≥18 doses of rimegepant per month is not established</w:t>
      </w:r>
      <w:r>
        <w:rPr>
          <w:lang w:val="en-AU" w:eastAsia="en-AU"/>
        </w:rPr>
        <w:t>.</w:t>
      </w:r>
    </w:p>
    <w:p w14:paraId="371171BD" w14:textId="0CE6EE06" w:rsidR="00CA6102" w:rsidRPr="00366678" w:rsidRDefault="00CA6102" w:rsidP="00DF0BBA">
      <w:pPr>
        <w:pStyle w:val="CLDNormal"/>
        <w:jc w:val="left"/>
        <w:rPr>
          <w:lang w:val="en-AU" w:eastAsia="en-AU"/>
        </w:rPr>
      </w:pPr>
      <w:r>
        <w:rPr>
          <w:lang w:val="en-AU" w:eastAsia="en-AU"/>
        </w:rPr>
        <w:t>Rimegepant</w:t>
      </w:r>
      <w:r w:rsidRPr="00366678">
        <w:rPr>
          <w:lang w:val="en-AU" w:eastAsia="en-AU"/>
        </w:rPr>
        <w:t xml:space="preserve"> clinical trials generally excluded </w:t>
      </w:r>
      <w:r>
        <w:rPr>
          <w:lang w:val="en-AU" w:eastAsia="en-AU"/>
        </w:rPr>
        <w:t>participants</w:t>
      </w:r>
      <w:r w:rsidRPr="00366678">
        <w:rPr>
          <w:lang w:val="en-AU" w:eastAsia="en-AU"/>
        </w:rPr>
        <w:t xml:space="preserve"> with new or unstable cardiovascular disease, uncontrolled hypertension and uncontrolled diabetes </w:t>
      </w:r>
      <w:r>
        <w:rPr>
          <w:lang w:val="en-AU" w:eastAsia="en-AU"/>
        </w:rPr>
        <w:t>(See Section</w:t>
      </w:r>
      <w:r w:rsidRPr="00366678">
        <w:rPr>
          <w:lang w:val="en-AU" w:eastAsia="en-AU"/>
        </w:rPr>
        <w:t xml:space="preserve"> 5.1 Clinical Trials</w:t>
      </w:r>
      <w:r>
        <w:rPr>
          <w:lang w:val="en-AU" w:eastAsia="en-AU"/>
        </w:rPr>
        <w:t>)</w:t>
      </w:r>
      <w:r w:rsidRPr="00366678">
        <w:rPr>
          <w:lang w:val="en-AU" w:eastAsia="en-AU"/>
        </w:rPr>
        <w:t>.</w:t>
      </w:r>
    </w:p>
    <w:p w14:paraId="33451DB4" w14:textId="77777777" w:rsidR="00CA6102" w:rsidRPr="0047292B" w:rsidRDefault="00CA6102" w:rsidP="00DF0BBA">
      <w:pPr>
        <w:pStyle w:val="CLDHeading3"/>
        <w:numPr>
          <w:ilvl w:val="0"/>
          <w:numId w:val="0"/>
        </w:numPr>
        <w:rPr>
          <w:noProof/>
        </w:rPr>
      </w:pPr>
      <w:r w:rsidRPr="0047292B">
        <w:rPr>
          <w:noProof/>
        </w:rPr>
        <w:t xml:space="preserve">Medication overuse </w:t>
      </w:r>
      <w:r w:rsidRPr="0034115B">
        <w:t>headache</w:t>
      </w:r>
      <w:r w:rsidRPr="0047292B">
        <w:rPr>
          <w:noProof/>
        </w:rPr>
        <w:t xml:space="preserve"> (MOH)</w:t>
      </w:r>
    </w:p>
    <w:p w14:paraId="7D914526" w14:textId="40D12E19" w:rsidR="00CA6102" w:rsidRDefault="00CA6102" w:rsidP="00DF0BBA">
      <w:pPr>
        <w:pStyle w:val="CLDNormal"/>
        <w:jc w:val="left"/>
        <w:rPr>
          <w:lang w:val="en-AU" w:eastAsia="en-AU"/>
        </w:rPr>
      </w:pPr>
      <w:r w:rsidRPr="00366678">
        <w:rPr>
          <w:lang w:val="en-AU" w:eastAsia="en-AU"/>
        </w:rPr>
        <w:t xml:space="preserve">Overuse of </w:t>
      </w:r>
      <w:r w:rsidRPr="0047292B">
        <w:rPr>
          <w:lang w:val="en-AU" w:eastAsia="en-AU"/>
        </w:rPr>
        <w:t>many</w:t>
      </w:r>
      <w:r w:rsidRPr="00366678">
        <w:rPr>
          <w:lang w:val="en-AU" w:eastAsia="en-AU"/>
        </w:rPr>
        <w:t xml:space="preserve"> medicinal products for headaches can make them worse. </w:t>
      </w:r>
      <w:r w:rsidR="003E39F1">
        <w:rPr>
          <w:lang w:val="en-AU" w:eastAsia="en-AU"/>
        </w:rPr>
        <w:t xml:space="preserve"> </w:t>
      </w:r>
      <w:r w:rsidRPr="0047292B">
        <w:rPr>
          <w:lang w:val="en-AU" w:eastAsia="en-AU"/>
        </w:rPr>
        <w:t>Although there is no evidence that use of rimegepant up to once daily can lead to MOH, the diagnosis of MOH should be suspected in patients who have frequent or daily headaches despite (or because of) the regular use of medicinal products for acute headache.</w:t>
      </w:r>
      <w:r w:rsidRPr="00512D09">
        <w:rPr>
          <w:lang w:val="en-AU" w:eastAsia="en-AU"/>
        </w:rPr>
        <w:t xml:space="preserve">  </w:t>
      </w:r>
      <w:r w:rsidRPr="00366678">
        <w:rPr>
          <w:lang w:val="en-AU" w:eastAsia="en-AU"/>
        </w:rPr>
        <w:t>If this situation is experienced or suspected, medical advice should be obtained, and treatment should be discontinued.</w:t>
      </w:r>
    </w:p>
    <w:p w14:paraId="1128543D" w14:textId="25380E3E" w:rsidR="00C40E91" w:rsidRPr="00F72801" w:rsidRDefault="00C40E91" w:rsidP="00DF0BBA">
      <w:pPr>
        <w:pStyle w:val="CLDHeading3"/>
        <w:numPr>
          <w:ilvl w:val="0"/>
          <w:numId w:val="0"/>
        </w:numPr>
      </w:pPr>
      <w:r>
        <w:t>Use in hepatic impairment</w:t>
      </w:r>
      <w:r w:rsidRPr="00F72801">
        <w:t xml:space="preserve"> </w:t>
      </w:r>
    </w:p>
    <w:p w14:paraId="533457AA" w14:textId="4D1D548F" w:rsidR="00E11F1D" w:rsidRPr="00C035A6" w:rsidRDefault="00C4263E" w:rsidP="00DF0BBA">
      <w:pPr>
        <w:pStyle w:val="CLDNormal"/>
        <w:jc w:val="left"/>
        <w:rPr>
          <w:i/>
          <w:iCs/>
          <w:color w:val="FF0000"/>
        </w:rPr>
      </w:pPr>
      <w:r>
        <w:rPr>
          <w:rFonts w:eastAsia="Arial Unicode MS"/>
        </w:rPr>
        <w:t>NURTEC</w:t>
      </w:r>
      <w:r w:rsidRPr="004464C5">
        <w:t xml:space="preserve"> </w:t>
      </w:r>
      <w:r>
        <w:t xml:space="preserve">ODT </w:t>
      </w:r>
      <w:r w:rsidRPr="004464C5">
        <w:t>is not recommended</w:t>
      </w:r>
      <w:r>
        <w:t xml:space="preserve"> </w:t>
      </w:r>
      <w:r w:rsidRPr="00F72801">
        <w:t>in patients with severe hepatic impairment</w:t>
      </w:r>
      <w:r>
        <w:t>.</w:t>
      </w:r>
      <w:r w:rsidRPr="00F72801">
        <w:t xml:space="preserve"> </w:t>
      </w:r>
      <w:r>
        <w:t xml:space="preserve"> S</w:t>
      </w:r>
      <w:r w:rsidR="00DB203C" w:rsidRPr="00973535">
        <w:t>ee section 4.2 Dose and method of administration</w:t>
      </w:r>
      <w:r w:rsidR="00DB203C">
        <w:t>.</w:t>
      </w:r>
    </w:p>
    <w:p w14:paraId="1A13F4BE" w14:textId="2EB9AC80" w:rsidR="00C40E91" w:rsidRPr="00F72801" w:rsidRDefault="00C40E91" w:rsidP="00DF0BBA">
      <w:pPr>
        <w:pStyle w:val="CLDHeading3"/>
        <w:numPr>
          <w:ilvl w:val="0"/>
          <w:numId w:val="0"/>
        </w:numPr>
      </w:pPr>
      <w:r>
        <w:t>Use in renal impairment</w:t>
      </w:r>
      <w:r w:rsidRPr="00F72801">
        <w:t xml:space="preserve"> </w:t>
      </w:r>
    </w:p>
    <w:p w14:paraId="0AA0EAA7" w14:textId="45941848" w:rsidR="00E11F1D" w:rsidRDefault="00C4263E" w:rsidP="00DF0BBA">
      <w:pPr>
        <w:pStyle w:val="CLDNormal"/>
        <w:jc w:val="left"/>
      </w:pPr>
      <w:r>
        <w:rPr>
          <w:rFonts w:eastAsia="Arial Unicode MS"/>
        </w:rPr>
        <w:t>NURTEC</w:t>
      </w:r>
      <w:r w:rsidRPr="004464C5">
        <w:t xml:space="preserve"> </w:t>
      </w:r>
      <w:r>
        <w:t xml:space="preserve">ODT </w:t>
      </w:r>
      <w:r w:rsidRPr="004464C5">
        <w:t>is not recommended</w:t>
      </w:r>
      <w:r>
        <w:t xml:space="preserve"> </w:t>
      </w:r>
      <w:r w:rsidRPr="00F72801">
        <w:t>in patients with end-stage renal disease (CLcr &lt;15 mL/min)</w:t>
      </w:r>
      <w:r>
        <w:t xml:space="preserve">.  </w:t>
      </w:r>
      <w:r w:rsidR="00DB203C">
        <w:t>S</w:t>
      </w:r>
      <w:r w:rsidR="00DB203C" w:rsidRPr="00973535">
        <w:t>ee section 4.2 Dose and method of administration</w:t>
      </w:r>
      <w:r w:rsidR="00DB203C">
        <w:t>.</w:t>
      </w:r>
    </w:p>
    <w:p w14:paraId="5D744BBC" w14:textId="38A9D02E" w:rsidR="00C4263E" w:rsidRPr="00037411" w:rsidRDefault="00C4263E" w:rsidP="00DF0BBA">
      <w:pPr>
        <w:pStyle w:val="CLDHeading3"/>
        <w:numPr>
          <w:ilvl w:val="0"/>
          <w:numId w:val="0"/>
        </w:numPr>
      </w:pPr>
      <w:r w:rsidRPr="00037411">
        <w:t>Use with strong inhibitors of CYP3A4</w:t>
      </w:r>
    </w:p>
    <w:p w14:paraId="40C47893" w14:textId="5CE22EC2" w:rsidR="00172A0F" w:rsidRPr="00F72801" w:rsidRDefault="00C4263E" w:rsidP="00DF0BBA">
      <w:pPr>
        <w:pStyle w:val="CLDNormal"/>
        <w:jc w:val="left"/>
      </w:pPr>
      <w:r>
        <w:rPr>
          <w:rFonts w:eastAsia="Arial Unicode MS"/>
        </w:rPr>
        <w:t>NURTEC</w:t>
      </w:r>
      <w:r w:rsidRPr="004464C5">
        <w:t xml:space="preserve"> </w:t>
      </w:r>
      <w:r>
        <w:t xml:space="preserve">ODT </w:t>
      </w:r>
      <w:r w:rsidRPr="004464C5">
        <w:t>is not recommended</w:t>
      </w:r>
      <w:r>
        <w:t xml:space="preserve"> </w:t>
      </w:r>
      <w:r w:rsidRPr="00F72801">
        <w:t>for concomitant use with strong inhibitors of CYP3A4</w:t>
      </w:r>
      <w:r>
        <w:t>.  S</w:t>
      </w:r>
      <w:r w:rsidRPr="00F72801">
        <w:t>ee section 4.5 Interactions with other medicines and other forms of interactions</w:t>
      </w:r>
      <w:r>
        <w:t>.</w:t>
      </w:r>
    </w:p>
    <w:p w14:paraId="65A433E0" w14:textId="7B7C7C15" w:rsidR="00C4263E" w:rsidRPr="00037411" w:rsidRDefault="00C4263E" w:rsidP="00DF0BBA">
      <w:pPr>
        <w:pStyle w:val="CLDHeading3"/>
        <w:numPr>
          <w:ilvl w:val="2"/>
          <w:numId w:val="0"/>
        </w:numPr>
      </w:pPr>
      <w:r w:rsidRPr="00037411">
        <w:lastRenderedPageBreak/>
        <w:t xml:space="preserve">Use with moderate and strong </w:t>
      </w:r>
      <w:r w:rsidR="712BDDF7">
        <w:t>inducers</w:t>
      </w:r>
      <w:r w:rsidRPr="00037411">
        <w:t xml:space="preserve"> of CYP3A4</w:t>
      </w:r>
    </w:p>
    <w:p w14:paraId="5BCED489" w14:textId="58B82775" w:rsidR="00C4263E" w:rsidRDefault="00C4263E" w:rsidP="00DF0BBA">
      <w:pPr>
        <w:pStyle w:val="CLDNormal"/>
        <w:jc w:val="left"/>
      </w:pPr>
      <w:r>
        <w:rPr>
          <w:rFonts w:eastAsia="Arial Unicode MS"/>
        </w:rPr>
        <w:t>NURTEC</w:t>
      </w:r>
      <w:r w:rsidRPr="004464C5">
        <w:t xml:space="preserve"> </w:t>
      </w:r>
      <w:r>
        <w:t xml:space="preserve">ODT </w:t>
      </w:r>
      <w:r w:rsidRPr="004464C5">
        <w:t>is not recommended</w:t>
      </w:r>
      <w:r>
        <w:t xml:space="preserve"> </w:t>
      </w:r>
      <w:r w:rsidRPr="00F72801">
        <w:t>for concomitant use with strong or moderate inducers of CYP3A4</w:t>
      </w:r>
      <w:r>
        <w:t>.  S</w:t>
      </w:r>
      <w:r w:rsidRPr="00F72801">
        <w:t>ee section 4.5 Interactions with other medicines and other forms of interactions.</w:t>
      </w:r>
    </w:p>
    <w:p w14:paraId="5A56C309" w14:textId="7C3A83A0" w:rsidR="00C40E91" w:rsidRPr="00095635" w:rsidRDefault="00E11F1D" w:rsidP="00DF0BBA">
      <w:pPr>
        <w:pStyle w:val="CLDHeading3"/>
        <w:numPr>
          <w:ilvl w:val="0"/>
          <w:numId w:val="0"/>
        </w:numPr>
        <w:rPr>
          <w:bCs/>
        </w:rPr>
      </w:pPr>
      <w:r>
        <w:t>Use in the elderly</w:t>
      </w:r>
    </w:p>
    <w:p w14:paraId="3E10595A" w14:textId="77777777" w:rsidR="00AB3CC1" w:rsidRPr="007166D6" w:rsidRDefault="00AB3CC1" w:rsidP="00DF0BBA">
      <w:pPr>
        <w:pStyle w:val="CLDNormal"/>
        <w:jc w:val="left"/>
      </w:pPr>
      <w:r w:rsidRPr="007166D6">
        <w:t>There is limited experience with rimegepant in patients aged 65</w:t>
      </w:r>
      <w:r>
        <w:t xml:space="preserve"> </w:t>
      </w:r>
      <w:r w:rsidRPr="007166D6">
        <w:t>years or older.  No dose adjustment is required as the pharmacokinetics of rimegepant are not affected by age (see</w:t>
      </w:r>
      <w:r>
        <w:t> </w:t>
      </w:r>
      <w:r w:rsidRPr="007166D6">
        <w:t>section</w:t>
      </w:r>
      <w:r>
        <w:t xml:space="preserve"> </w:t>
      </w:r>
      <w:r w:rsidRPr="007166D6">
        <w:t>5.2 Pharmacokinetic properties).</w:t>
      </w:r>
    </w:p>
    <w:p w14:paraId="6DD78611" w14:textId="27A78220" w:rsidR="00E11F1D" w:rsidRPr="00FD6E1D" w:rsidRDefault="00C40E91" w:rsidP="00DF0BBA">
      <w:pPr>
        <w:pStyle w:val="CLDHeading3"/>
        <w:numPr>
          <w:ilvl w:val="0"/>
          <w:numId w:val="0"/>
        </w:numPr>
      </w:pPr>
      <w:r>
        <w:t>Paediatric use</w:t>
      </w:r>
    </w:p>
    <w:p w14:paraId="4D9A7007" w14:textId="77777777" w:rsidR="00AB3CC1" w:rsidRDefault="00AB3CC1" w:rsidP="00DF0BBA">
      <w:pPr>
        <w:pStyle w:val="CLDNormal"/>
        <w:jc w:val="left"/>
      </w:pPr>
      <w:r w:rsidRPr="005A13DD">
        <w:t xml:space="preserve">The safety and efficacy of </w:t>
      </w:r>
      <w:r>
        <w:t>NURTEC</w:t>
      </w:r>
      <w:r w:rsidRPr="005A13DD">
        <w:t xml:space="preserve"> </w:t>
      </w:r>
      <w:r>
        <w:t xml:space="preserve">ODT </w:t>
      </w:r>
      <w:r w:rsidRPr="005A13DD">
        <w:t xml:space="preserve">in paediatric patients (&lt;18 years of age) have not been established. </w:t>
      </w:r>
      <w:r>
        <w:t xml:space="preserve"> </w:t>
      </w:r>
      <w:r w:rsidRPr="005A13DD">
        <w:t>No data are available.</w:t>
      </w:r>
    </w:p>
    <w:p w14:paraId="5B444821" w14:textId="1424A5E0" w:rsidR="00C40E91" w:rsidRDefault="00C40E91" w:rsidP="00DF0BBA">
      <w:pPr>
        <w:pStyle w:val="CLDHeading3"/>
        <w:numPr>
          <w:ilvl w:val="0"/>
          <w:numId w:val="0"/>
        </w:numPr>
      </w:pPr>
      <w:r>
        <w:t>Effects on laboratory tests</w:t>
      </w:r>
    </w:p>
    <w:p w14:paraId="4F38C7B0" w14:textId="64AEADE6" w:rsidR="00FD6E1D" w:rsidRPr="00FD6E1D" w:rsidRDefault="00FD6E1D" w:rsidP="00DF0BBA">
      <w:pPr>
        <w:pStyle w:val="CLDNormal"/>
        <w:jc w:val="left"/>
      </w:pPr>
      <w:r>
        <w:t>No data available</w:t>
      </w:r>
      <w:r w:rsidR="00CD5719">
        <w:t>.</w:t>
      </w:r>
    </w:p>
    <w:p w14:paraId="50517A23" w14:textId="6012DDED" w:rsidR="00EC2C85" w:rsidRPr="00694787" w:rsidRDefault="00787D1C" w:rsidP="00DF0BBA">
      <w:pPr>
        <w:pStyle w:val="CLDHeading2"/>
      </w:pPr>
      <w:r w:rsidRPr="001A0577">
        <w:t>4.5</w:t>
      </w:r>
      <w:r w:rsidRPr="001A0577">
        <w:tab/>
      </w:r>
      <w:r w:rsidR="00112E5B" w:rsidRPr="001A0577">
        <w:t>Interaction</w:t>
      </w:r>
      <w:r w:rsidR="00CD7E76" w:rsidRPr="001A0577">
        <w:t>s with other m</w:t>
      </w:r>
      <w:r w:rsidR="00112E5B" w:rsidRPr="001A0577">
        <w:t>ed</w:t>
      </w:r>
      <w:r w:rsidR="00591258" w:rsidRPr="001A0577">
        <w:t>i</w:t>
      </w:r>
      <w:r w:rsidR="00112E5B" w:rsidRPr="001A0577">
        <w:t>cines</w:t>
      </w:r>
      <w:r w:rsidR="00CD7E76" w:rsidRPr="001A0577">
        <w:t xml:space="preserve"> and other forms of i</w:t>
      </w:r>
      <w:r w:rsidR="004A5EA8" w:rsidRPr="00694787">
        <w:t>nteraction</w:t>
      </w:r>
      <w:r w:rsidR="00C40E91" w:rsidRPr="00694787">
        <w:t>s</w:t>
      </w:r>
    </w:p>
    <w:p w14:paraId="41FDCFA3" w14:textId="0D79468D" w:rsidR="00465FD6" w:rsidRDefault="00465FD6" w:rsidP="00DF0BBA">
      <w:pPr>
        <w:pStyle w:val="CLDHeading3"/>
        <w:numPr>
          <w:ilvl w:val="0"/>
          <w:numId w:val="0"/>
        </w:numPr>
      </w:pPr>
      <w:r w:rsidRPr="003E39F1">
        <w:rPr>
          <w:i/>
          <w:iCs w:val="0"/>
        </w:rPr>
        <w:t>In vitro</w:t>
      </w:r>
      <w:r>
        <w:t xml:space="preserve"> assessment of drug interactions</w:t>
      </w:r>
    </w:p>
    <w:p w14:paraId="77606848" w14:textId="1DA1FA8B" w:rsidR="00465FD6" w:rsidRDefault="00465FD6" w:rsidP="00DF0BBA">
      <w:pPr>
        <w:pStyle w:val="CLDNormal"/>
        <w:jc w:val="left"/>
      </w:pPr>
      <w:r w:rsidRPr="0082717E" w:rsidDel="00A0313F">
        <w:t xml:space="preserve">Based on </w:t>
      </w:r>
      <w:r w:rsidRPr="0082717E" w:rsidDel="00A0313F">
        <w:rPr>
          <w:i/>
        </w:rPr>
        <w:t>in vitro</w:t>
      </w:r>
      <w:r w:rsidRPr="0082717E" w:rsidDel="00A0313F">
        <w:t xml:space="preserve"> studies, </w:t>
      </w:r>
      <w:r w:rsidR="00B022B6">
        <w:t>r</w:t>
      </w:r>
      <w:r w:rsidR="004D73F2" w:rsidRPr="004D73F2">
        <w:t>imegepant is a substrate of CYP3A4</w:t>
      </w:r>
      <w:r w:rsidR="00B022B6">
        <w:t xml:space="preserve"> and CY2C9.</w:t>
      </w:r>
      <w:r w:rsidR="00B22CA5">
        <w:t xml:space="preserve"> </w:t>
      </w:r>
      <w:r w:rsidR="00A95082">
        <w:t xml:space="preserve"> </w:t>
      </w:r>
      <w:r w:rsidR="00B022B6">
        <w:t>R</w:t>
      </w:r>
      <w:r w:rsidRPr="0082717E" w:rsidDel="00A0313F">
        <w:t xml:space="preserve">imegepant is not an inhibitor of CYP1A2, 2B6, </w:t>
      </w:r>
      <w:r w:rsidR="000E16DA">
        <w:t xml:space="preserve">2C8, </w:t>
      </w:r>
      <w:r w:rsidRPr="0082717E" w:rsidDel="00A0313F">
        <w:t xml:space="preserve">2C9, 2C19, 2D6, or UGT1A1 at clinically relevant concentrations. </w:t>
      </w:r>
      <w:r w:rsidDel="00A0313F">
        <w:t xml:space="preserve"> </w:t>
      </w:r>
      <w:r w:rsidRPr="0082717E" w:rsidDel="00A0313F">
        <w:t xml:space="preserve">However, rimegepant is a weak inhibitor of CYP3A4 with time-dependent inhibition. </w:t>
      </w:r>
      <w:r w:rsidDel="00A0313F">
        <w:t xml:space="preserve"> </w:t>
      </w:r>
      <w:r w:rsidRPr="0082717E" w:rsidDel="00A0313F">
        <w:t>Rimegepant is not an inducer of CYP1A2, CYP2B6, or CYP3A4 at clinically relevant concentrations.</w:t>
      </w:r>
    </w:p>
    <w:p w14:paraId="289E6E23" w14:textId="08BEF3BE" w:rsidR="00AA3522" w:rsidRDefault="00465FD6" w:rsidP="00DF0BBA">
      <w:pPr>
        <w:pStyle w:val="CLDNormal"/>
        <w:jc w:val="left"/>
      </w:pPr>
      <w:r w:rsidRPr="00FB67EA">
        <w:rPr>
          <w:i/>
        </w:rPr>
        <w:t>In vitro</w:t>
      </w:r>
      <w:r w:rsidRPr="00FB67EA">
        <w:t>, rimegepant is a substrate of P</w:t>
      </w:r>
      <w:r w:rsidRPr="00FB67EA">
        <w:noBreakHyphen/>
        <w:t xml:space="preserve">gp and BCRP efflux transporters. </w:t>
      </w:r>
      <w:r>
        <w:t xml:space="preserve"> </w:t>
      </w:r>
      <w:r w:rsidR="00DA0D70">
        <w:t xml:space="preserve">Rimegepant </w:t>
      </w:r>
      <w:r w:rsidR="00AA3522">
        <w:t>is not a substrate of OATP1B1 or OATP1B3.  Considering its low renal clearance, rimegepant was not evaluated as a substrate of the OAT1, OAT3, OCT2, MATE1, or MATE2</w:t>
      </w:r>
      <w:r w:rsidR="000E16DA">
        <w:t>-</w:t>
      </w:r>
      <w:r w:rsidR="00AA3522">
        <w:t>K.</w:t>
      </w:r>
      <w:r w:rsidR="0043201C">
        <w:t xml:space="preserve"> </w:t>
      </w:r>
    </w:p>
    <w:p w14:paraId="0CF7D336" w14:textId="6005D36A" w:rsidR="00465FD6" w:rsidRPr="003C69EC" w:rsidRDefault="00AA3522" w:rsidP="00DF0BBA">
      <w:pPr>
        <w:pStyle w:val="CLDNormal"/>
        <w:jc w:val="left"/>
      </w:pPr>
      <w:r>
        <w:t>Rimegepant is not an inhibitor of P</w:t>
      </w:r>
      <w:r w:rsidR="007B1612">
        <w:t>-</w:t>
      </w:r>
      <w:r>
        <w:t xml:space="preserve">gp, </w:t>
      </w:r>
      <w:r w:rsidR="000E16DA">
        <w:t xml:space="preserve">systemic </w:t>
      </w:r>
      <w:r>
        <w:t>BCRP, OAT1, or MATE2-K at clinically relevant concentrations.  It is a weak inhibitor of OATP1B1</w:t>
      </w:r>
      <w:r w:rsidR="000E16DA">
        <w:t>, intestinal BCRP</w:t>
      </w:r>
      <w:r>
        <w:t xml:space="preserve"> and OAT3.</w:t>
      </w:r>
      <w:r w:rsidR="0043201C">
        <w:t xml:space="preserve"> </w:t>
      </w:r>
      <w:r w:rsidR="00B22CA5">
        <w:t xml:space="preserve"> </w:t>
      </w:r>
      <w:r>
        <w:t xml:space="preserve">Rimegepant is an inhibitor of OATP1B3, OCT2, and MATE1.  </w:t>
      </w:r>
    </w:p>
    <w:p w14:paraId="15E0CE02" w14:textId="7E11FE45" w:rsidR="004362E1" w:rsidRDefault="004362E1" w:rsidP="00DF0BBA">
      <w:pPr>
        <w:pStyle w:val="CLDHeading3"/>
        <w:numPr>
          <w:ilvl w:val="0"/>
          <w:numId w:val="0"/>
        </w:numPr>
      </w:pPr>
      <w:r w:rsidRPr="004362E1">
        <w:t xml:space="preserve">In </w:t>
      </w:r>
      <w:r>
        <w:t>v</w:t>
      </w:r>
      <w:r w:rsidRPr="004362E1">
        <w:t xml:space="preserve">ivo </w:t>
      </w:r>
      <w:r>
        <w:t>s</w:t>
      </w:r>
      <w:r w:rsidRPr="004362E1">
        <w:t>tudies</w:t>
      </w:r>
    </w:p>
    <w:p w14:paraId="4EAB171C" w14:textId="6A493771" w:rsidR="00194B9A" w:rsidRPr="00B51EAC" w:rsidRDefault="00194B9A" w:rsidP="00DF0BBA">
      <w:pPr>
        <w:pStyle w:val="CLDHeading4"/>
      </w:pPr>
      <w:r w:rsidRPr="00B51EAC">
        <w:t>Enzymes</w:t>
      </w:r>
    </w:p>
    <w:p w14:paraId="6E50EC93" w14:textId="77777777" w:rsidR="00EE5BD8" w:rsidRPr="00BE5932" w:rsidRDefault="00465FD6" w:rsidP="00DF0BBA">
      <w:pPr>
        <w:pStyle w:val="CLDNormal"/>
        <w:jc w:val="left"/>
        <w:rPr>
          <w:u w:val="single"/>
        </w:rPr>
      </w:pPr>
      <w:r w:rsidRPr="000E16DA">
        <w:rPr>
          <w:u w:val="single"/>
        </w:rPr>
        <w:t>Effect of CYP3A4 inhibitors on rimegepant</w:t>
      </w:r>
    </w:p>
    <w:p w14:paraId="77B81C5F" w14:textId="57F5FA93" w:rsidR="00D87270" w:rsidRDefault="00E55459" w:rsidP="00DF0BBA">
      <w:pPr>
        <w:pStyle w:val="CLDNormal"/>
        <w:jc w:val="left"/>
      </w:pPr>
      <w:r w:rsidRPr="00E55459">
        <w:t xml:space="preserve">Inhibitors of CYP3A4 increase plasma concentrations of rimegepant. </w:t>
      </w:r>
      <w:r w:rsidR="00CE069B">
        <w:t xml:space="preserve"> </w:t>
      </w:r>
      <w:r w:rsidRPr="00E55459">
        <w:t>Concomitant administration of rimegepant with strong CYP3A4 inhibitors (e.g. clarithromycin, itraconazole, ritonavir) is not recommended (see section 4.4</w:t>
      </w:r>
      <w:r w:rsidR="00B11153">
        <w:t xml:space="preserve"> Special warnings and precautions for use</w:t>
      </w:r>
      <w:r w:rsidRPr="00E55459">
        <w:t>).</w:t>
      </w:r>
      <w:r w:rsidR="00CE069B">
        <w:t xml:space="preserve"> </w:t>
      </w:r>
      <w:r w:rsidRPr="00E55459">
        <w:t xml:space="preserve"> Concomitant administration of rimegepant with itraconazole resulted in a significant increase in rimegepant exposure (AUC by 4-fold and C</w:t>
      </w:r>
      <w:r w:rsidRPr="003B3A4E">
        <w:rPr>
          <w:vertAlign w:val="subscript"/>
        </w:rPr>
        <w:t>max</w:t>
      </w:r>
      <w:r w:rsidRPr="00E55459">
        <w:t xml:space="preserve"> </w:t>
      </w:r>
      <w:r w:rsidR="004C6FDE">
        <w:t xml:space="preserve">by </w:t>
      </w:r>
      <w:r w:rsidRPr="00E55459">
        <w:t>1.5-fold).</w:t>
      </w:r>
    </w:p>
    <w:p w14:paraId="6D254F76" w14:textId="1CA0513F" w:rsidR="00D87270" w:rsidRDefault="00E55459" w:rsidP="00DF0BBA">
      <w:pPr>
        <w:pStyle w:val="CLDNormal"/>
        <w:jc w:val="left"/>
      </w:pPr>
      <w:r w:rsidRPr="00E55459">
        <w:t xml:space="preserve">Concomitant administration of </w:t>
      </w:r>
      <w:r w:rsidRPr="00E55459">
        <w:rPr>
          <w:rFonts w:eastAsia="Arial Unicode MS"/>
        </w:rPr>
        <w:t xml:space="preserve">rimegepant </w:t>
      </w:r>
      <w:r w:rsidRPr="00E55459">
        <w:t xml:space="preserve">with medicinal products that moderately inhibit CYP3A4 (e.g. </w:t>
      </w:r>
      <w:bookmarkStart w:id="1" w:name="_Hlk101533090"/>
      <w:r w:rsidRPr="00E55459">
        <w:t>diltiazem</w:t>
      </w:r>
      <w:bookmarkEnd w:id="1"/>
      <w:r w:rsidRPr="00E55459">
        <w:t xml:space="preserve">, erythromycin, fluconazole) may increase exposure to rimegepant. </w:t>
      </w:r>
      <w:r w:rsidR="00CE069B">
        <w:t xml:space="preserve"> </w:t>
      </w:r>
      <w:r w:rsidRPr="00E55459">
        <w:t>Concomitant administration of rimegepant with fluconazole resulted in increased exposures of rimegepant (AUC by 1.8-fold) with no relevant effect on C</w:t>
      </w:r>
      <w:r w:rsidRPr="00D05EEC">
        <w:rPr>
          <w:vertAlign w:val="subscript"/>
        </w:rPr>
        <w:t>max</w:t>
      </w:r>
      <w:r w:rsidRPr="00E55459">
        <w:t xml:space="preserve">. </w:t>
      </w:r>
      <w:r w:rsidR="00CE069B">
        <w:t xml:space="preserve"> </w:t>
      </w:r>
      <w:r w:rsidRPr="00E55459">
        <w:t xml:space="preserve">Another dose of </w:t>
      </w:r>
      <w:r w:rsidRPr="00E55459">
        <w:lastRenderedPageBreak/>
        <w:t>rimegepant within 48 hours should be avoided when it is concomitantly administered with moderate inhibitors of CYP3A4 (e.g. fluconazole) (see section 4.2</w:t>
      </w:r>
      <w:r w:rsidR="00D05EEC">
        <w:t xml:space="preserve"> Dose and method of administration</w:t>
      </w:r>
      <w:r w:rsidRPr="00E55459">
        <w:t>).</w:t>
      </w:r>
    </w:p>
    <w:p w14:paraId="42DAE7EB" w14:textId="77777777" w:rsidR="00EE5BD8" w:rsidRPr="00BE5932" w:rsidRDefault="00465FD6" w:rsidP="00DF0BBA">
      <w:pPr>
        <w:pStyle w:val="CLDNormal"/>
        <w:jc w:val="left"/>
        <w:rPr>
          <w:u w:val="single"/>
        </w:rPr>
      </w:pPr>
      <w:r w:rsidRPr="00BE5932">
        <w:rPr>
          <w:u w:val="single"/>
        </w:rPr>
        <w:t xml:space="preserve">Effect of CYP3A4 inducers on rimegepant </w:t>
      </w:r>
    </w:p>
    <w:p w14:paraId="4B6651E2" w14:textId="7E8217AC" w:rsidR="00D87270" w:rsidRDefault="00E55459" w:rsidP="00DF0BBA">
      <w:pPr>
        <w:pStyle w:val="CLDNormal"/>
        <w:jc w:val="left"/>
      </w:pPr>
      <w:r w:rsidRPr="00E55459">
        <w:t xml:space="preserve">Inducers of CYP3A4 decrease plasma concentrations of rimegepant. </w:t>
      </w:r>
      <w:r w:rsidR="00CE069B">
        <w:t xml:space="preserve"> </w:t>
      </w:r>
      <w:r w:rsidRPr="00E55459">
        <w:t xml:space="preserve">Concomitant administration of </w:t>
      </w:r>
      <w:r w:rsidR="00F028B4">
        <w:rPr>
          <w:rFonts w:eastAsia="Arial Unicode MS"/>
        </w:rPr>
        <w:t>NURTEC</w:t>
      </w:r>
      <w:r w:rsidRPr="00E55459">
        <w:t xml:space="preserve"> </w:t>
      </w:r>
      <w:r w:rsidR="00141894">
        <w:t xml:space="preserve">ODT </w:t>
      </w:r>
      <w:r w:rsidRPr="00E55459">
        <w:t>with strong CYP3A4 inducers (e.g. phenobarbital, rifampicin, St</w:t>
      </w:r>
      <w:r w:rsidR="00CE069B">
        <w:t> </w:t>
      </w:r>
      <w:r w:rsidRPr="00E55459">
        <w:t>John’s wort (</w:t>
      </w:r>
      <w:r w:rsidRPr="00905F64">
        <w:rPr>
          <w:i/>
          <w:iCs/>
        </w:rPr>
        <w:t>Hypericum perforatum</w:t>
      </w:r>
      <w:r w:rsidRPr="00E55459">
        <w:t>)) or moderate CYP3A4 inducers (e.g.</w:t>
      </w:r>
      <w:r w:rsidR="009944C3">
        <w:t> </w:t>
      </w:r>
      <w:r w:rsidRPr="00E55459">
        <w:t>bosentan, efavirenz, modafinil) is not recommended (see section 4.4</w:t>
      </w:r>
      <w:r w:rsidR="00905F64">
        <w:t xml:space="preserve"> Special warnings and precautions for use</w:t>
      </w:r>
      <w:r w:rsidRPr="00E55459">
        <w:t xml:space="preserve">). </w:t>
      </w:r>
      <w:r w:rsidR="00CE069B">
        <w:t xml:space="preserve"> </w:t>
      </w:r>
      <w:r w:rsidRPr="00E55459">
        <w:t xml:space="preserve">The effect of CYP3A4 induction may last for up to 2 weeks after discontinuation of the strong or moderate CYP3A4 inducer. </w:t>
      </w:r>
      <w:r w:rsidR="00CE069B">
        <w:t xml:space="preserve"> </w:t>
      </w:r>
      <w:r w:rsidRPr="00E55459">
        <w:t>Concomitant administration of rimegepant with rifampicin resulted in a significant decrease (AUC reduced by 80% and C</w:t>
      </w:r>
      <w:r w:rsidRPr="00FA28DA">
        <w:rPr>
          <w:vertAlign w:val="subscript"/>
        </w:rPr>
        <w:t>max</w:t>
      </w:r>
      <w:r w:rsidRPr="00E55459">
        <w:t xml:space="preserve"> by 64%) in rimegepant exposure, which may lead to loss of efficacy.</w:t>
      </w:r>
    </w:p>
    <w:p w14:paraId="49582F17" w14:textId="2A5B7E82" w:rsidR="00194B9A" w:rsidRDefault="00194B9A" w:rsidP="00DF0BBA">
      <w:pPr>
        <w:pStyle w:val="CLDHeading4"/>
      </w:pPr>
      <w:r w:rsidRPr="00B51EAC">
        <w:t>Transporters</w:t>
      </w:r>
    </w:p>
    <w:p w14:paraId="16E5D009" w14:textId="73425C2D" w:rsidR="00FB4314" w:rsidRPr="00DC39D9" w:rsidRDefault="00FB4314" w:rsidP="00DF0BBA">
      <w:pPr>
        <w:pStyle w:val="CLDNormal"/>
        <w:jc w:val="left"/>
        <w:rPr>
          <w:u w:val="single"/>
        </w:rPr>
      </w:pPr>
      <w:r w:rsidRPr="00DC39D9">
        <w:rPr>
          <w:u w:val="single"/>
        </w:rPr>
        <w:t>Effect of P-gp and BCRP inhibitors on rimegepant</w:t>
      </w:r>
    </w:p>
    <w:p w14:paraId="096AA0B8" w14:textId="77777777" w:rsidR="00FB4314" w:rsidRDefault="00FB4314" w:rsidP="00DF0BBA">
      <w:pPr>
        <w:pStyle w:val="CLDNormal"/>
        <w:jc w:val="left"/>
      </w:pPr>
      <w:r w:rsidRPr="00E55459">
        <w:t>Inhibitors of P</w:t>
      </w:r>
      <w:r w:rsidRPr="00E55459">
        <w:noBreakHyphen/>
        <w:t xml:space="preserve">gp and BCRP efflux transporters may increase plasma concentrations of rimegepant. </w:t>
      </w:r>
      <w:r>
        <w:t xml:space="preserve"> </w:t>
      </w:r>
      <w:r w:rsidRPr="00E55459">
        <w:t xml:space="preserve">Another dose of </w:t>
      </w:r>
      <w:r>
        <w:rPr>
          <w:rFonts w:eastAsia="Arial Unicode MS"/>
        </w:rPr>
        <w:t>NURTEC</w:t>
      </w:r>
      <w:r w:rsidRPr="00E55459">
        <w:t xml:space="preserve"> </w:t>
      </w:r>
      <w:r>
        <w:t xml:space="preserve">ODT </w:t>
      </w:r>
      <w:r w:rsidRPr="00E55459">
        <w:t>within 48 hours should be avoided when it is concomitantly administered with strong inhibitors of P</w:t>
      </w:r>
      <w:r w:rsidRPr="00E55459">
        <w:noBreakHyphen/>
        <w:t xml:space="preserve">gp (e.g. </w:t>
      </w:r>
      <w:r>
        <w:t>ciclosporin</w:t>
      </w:r>
      <w:r w:rsidRPr="00E55459">
        <w:t xml:space="preserve">, verapamil, quinidine). </w:t>
      </w:r>
      <w:r>
        <w:t xml:space="preserve"> </w:t>
      </w:r>
      <w:r w:rsidRPr="00E55459">
        <w:t xml:space="preserve">Concomitant administration of rimegepant with </w:t>
      </w:r>
      <w:r>
        <w:t xml:space="preserve">ciclosporin </w:t>
      </w:r>
      <w:r w:rsidRPr="00E55459">
        <w:t>(a potent P</w:t>
      </w:r>
      <w:r w:rsidRPr="00E55459">
        <w:noBreakHyphen/>
        <w:t>gp and BCRP inhibitor) or with quinidine (a selective P</w:t>
      </w:r>
      <w:r w:rsidRPr="00E55459">
        <w:noBreakHyphen/>
        <w:t>gp inhibitor) resulted in a significant increase of similar magnitude in rimegepant exposure (AUC and C</w:t>
      </w:r>
      <w:r w:rsidRPr="00FA28DA">
        <w:rPr>
          <w:vertAlign w:val="subscript"/>
        </w:rPr>
        <w:t>max</w:t>
      </w:r>
      <w:r w:rsidRPr="00E55459">
        <w:t xml:space="preserve"> by &gt;50%, but less than two-fold).</w:t>
      </w:r>
      <w:r>
        <w:t xml:space="preserve">  </w:t>
      </w:r>
      <w:r w:rsidRPr="00341F7D">
        <w:t xml:space="preserve">Therefore, concomitant administration of </w:t>
      </w:r>
      <w:r>
        <w:t>rimegepant</w:t>
      </w:r>
      <w:r w:rsidRPr="00341F7D">
        <w:t xml:space="preserve"> with BCRP inhibitors is not expected to have a clinically significant impact on rimegepant exposures.</w:t>
      </w:r>
    </w:p>
    <w:p w14:paraId="5426C464" w14:textId="5F7551E7" w:rsidR="00194B9A" w:rsidRDefault="00194B9A" w:rsidP="00DF0BBA">
      <w:pPr>
        <w:pStyle w:val="CLDNormal"/>
        <w:jc w:val="left"/>
        <w:rPr>
          <w:b/>
          <w:bCs/>
        </w:rPr>
      </w:pPr>
      <w:r w:rsidRPr="00FB67EA">
        <w:t>Concomitant administration of rimegepant with metformin, a MATE1 transporter substrate, resulted in no clinically significant impact on either metformin pharmacokinetics or on glucose utili</w:t>
      </w:r>
      <w:r>
        <w:t>s</w:t>
      </w:r>
      <w:r w:rsidRPr="00FB67EA">
        <w:t xml:space="preserve">ation. </w:t>
      </w:r>
      <w:r>
        <w:t xml:space="preserve"> </w:t>
      </w:r>
      <w:r w:rsidRPr="00FB67EA">
        <w:t>No clinical drug interactions are expected for rimegepant with OATP1B3 or OCT2, at clinically relevant concentrations.</w:t>
      </w:r>
    </w:p>
    <w:p w14:paraId="086EE6C1" w14:textId="6FC441FC" w:rsidR="009C1EBE" w:rsidRPr="00B22CA5" w:rsidRDefault="009C1EBE" w:rsidP="00DF0BBA">
      <w:pPr>
        <w:pStyle w:val="CLDHeading3"/>
        <w:numPr>
          <w:ilvl w:val="0"/>
          <w:numId w:val="0"/>
        </w:numPr>
      </w:pPr>
      <w:r w:rsidRPr="00B22CA5">
        <w:t>Other medicinal products</w:t>
      </w:r>
    </w:p>
    <w:p w14:paraId="21971E9B" w14:textId="24BACC2A" w:rsidR="009C1EBE" w:rsidRPr="00322ABF" w:rsidRDefault="009C1EBE" w:rsidP="00DF0BBA">
      <w:pPr>
        <w:pStyle w:val="CLDNormal"/>
        <w:jc w:val="left"/>
        <w:rPr>
          <w:rFonts w:eastAsia="Arial"/>
        </w:rPr>
      </w:pPr>
      <w:r w:rsidRPr="00322ABF">
        <w:t xml:space="preserve">No significant pharmacokinetic interactions were observed when </w:t>
      </w:r>
      <w:r w:rsidR="002537D3">
        <w:t>NURTEC ODT</w:t>
      </w:r>
      <w:r w:rsidRPr="00322ABF">
        <w:t xml:space="preserve"> was concomitantly administered with oral contraceptives (norelgestromin, ethinyl estradiol), midazolam (a sensitive CYP3A4 substrate), or sumatriptan.</w:t>
      </w:r>
      <w:r w:rsidRPr="00322ABF">
        <w:rPr>
          <w:rFonts w:eastAsia="Arial"/>
        </w:rPr>
        <w:t xml:space="preserve"> </w:t>
      </w:r>
    </w:p>
    <w:p w14:paraId="21D6194D" w14:textId="4A6FCF9A" w:rsidR="009C1EBE" w:rsidRPr="0084657C" w:rsidRDefault="009C1EBE" w:rsidP="00DF0BBA">
      <w:pPr>
        <w:pStyle w:val="CLDNormal"/>
        <w:jc w:val="left"/>
      </w:pPr>
      <w:r w:rsidRPr="00322ABF">
        <w:t>No clinically relevant differences in resting blood pressure were observed when rimegepant was concomitantly administered with sumatriptan (12 mg subcutaneous, given as two 6 mg doses separated by one hour) compared with sumatriptan alone to healthy volunteers.</w:t>
      </w:r>
    </w:p>
    <w:p w14:paraId="76764FC3" w14:textId="02A8C3A7" w:rsidR="00112E5B" w:rsidRPr="001A0577" w:rsidRDefault="00787D1C" w:rsidP="00DF0BBA">
      <w:pPr>
        <w:pStyle w:val="CLDHeading2"/>
      </w:pPr>
      <w:r w:rsidRPr="001A0577">
        <w:t>4.6</w:t>
      </w:r>
      <w:r w:rsidRPr="001A0577">
        <w:tab/>
      </w:r>
      <w:r w:rsidR="00CD7E76" w:rsidRPr="001A0577">
        <w:t>Fertility, pregnancy and l</w:t>
      </w:r>
      <w:r w:rsidR="00112E5B" w:rsidRPr="001A0577">
        <w:t>actation</w:t>
      </w:r>
    </w:p>
    <w:p w14:paraId="33DEE886" w14:textId="1E2C857E" w:rsidR="00807A52" w:rsidRDefault="00C40E91" w:rsidP="00DF0BBA">
      <w:pPr>
        <w:pStyle w:val="CLDHeading3"/>
        <w:numPr>
          <w:ilvl w:val="2"/>
          <w:numId w:val="0"/>
        </w:numPr>
      </w:pPr>
      <w:r>
        <w:t>Effects on f</w:t>
      </w:r>
      <w:r w:rsidR="00807A52">
        <w:t>ertility</w:t>
      </w:r>
    </w:p>
    <w:p w14:paraId="77FEB648" w14:textId="7B82E48F" w:rsidR="00095635" w:rsidRPr="00601048" w:rsidRDefault="00DF4B62" w:rsidP="00DF0BBA">
      <w:pPr>
        <w:pStyle w:val="CLDNormal"/>
        <w:jc w:val="left"/>
        <w:rPr>
          <w:i/>
          <w:iCs/>
          <w:color w:val="FF0000"/>
        </w:rPr>
      </w:pPr>
      <w:r w:rsidRPr="00DF4B62">
        <w:t>Animal studies showed no clinically relevant impact on female and male fertility</w:t>
      </w:r>
      <w:r>
        <w:t>.</w:t>
      </w:r>
      <w:r w:rsidR="0021419B">
        <w:t xml:space="preserve">  </w:t>
      </w:r>
      <w:r w:rsidR="0021419B" w:rsidRPr="00D04124">
        <w:t>In a</w:t>
      </w:r>
      <w:r w:rsidR="000E16DA">
        <w:t>n oral</w:t>
      </w:r>
      <w:r w:rsidR="0021419B" w:rsidRPr="00D04124">
        <w:t xml:space="preserve"> fertility study in rats, rimegepant-related effects were noted only at the high dose of 150 mg/kg/day (decreased fertility and increased pre-implantation loss) that produced maternal toxicity and </w:t>
      </w:r>
      <w:r w:rsidR="0021419B">
        <w:t xml:space="preserve">estimated </w:t>
      </w:r>
      <w:r w:rsidR="0021419B" w:rsidRPr="00D04124">
        <w:t xml:space="preserve">systemic exposures </w:t>
      </w:r>
      <w:r w:rsidR="000E16DA">
        <w:t>&gt;80</w:t>
      </w:r>
      <w:r w:rsidR="0021419B">
        <w:t>x</w:t>
      </w:r>
      <w:r w:rsidR="0021419B" w:rsidRPr="00D04124">
        <w:t xml:space="preserve"> </w:t>
      </w:r>
      <w:r w:rsidR="0021419B" w:rsidRPr="001911DF">
        <w:t>the human AUC at 75</w:t>
      </w:r>
      <w:r w:rsidR="0021419B">
        <w:t> </w:t>
      </w:r>
      <w:r w:rsidR="0021419B" w:rsidRPr="001911DF">
        <w:t>mg/day</w:t>
      </w:r>
      <w:r w:rsidR="0021419B" w:rsidRPr="00D04124">
        <w:t xml:space="preserve">.  </w:t>
      </w:r>
      <w:r w:rsidR="0021419B" w:rsidRPr="001911DF">
        <w:t xml:space="preserve">There was no impact on either male or female fertility with rimegepant doses up to </w:t>
      </w:r>
      <w:r w:rsidR="0021419B" w:rsidRPr="001911DF">
        <w:lastRenderedPageBreak/>
        <w:t>60</w:t>
      </w:r>
      <w:r w:rsidR="0021419B">
        <w:t> </w:t>
      </w:r>
      <w:r w:rsidR="0021419B" w:rsidRPr="001911DF">
        <w:t xml:space="preserve">mg/kg/day (estimated exposures </w:t>
      </w:r>
      <w:r w:rsidR="00F747A7">
        <w:t xml:space="preserve">approximately </w:t>
      </w:r>
      <w:r w:rsidR="000E16DA">
        <w:t xml:space="preserve">43x (males) and 71x (females) </w:t>
      </w:r>
      <w:r w:rsidR="0021419B" w:rsidRPr="001911DF">
        <w:t>the human AUC at 75</w:t>
      </w:r>
      <w:r w:rsidR="0021419B">
        <w:t> </w:t>
      </w:r>
      <w:r w:rsidR="0021419B" w:rsidRPr="001911DF">
        <w:t>mg/day)</w:t>
      </w:r>
      <w:r w:rsidR="0021419B">
        <w:t>.</w:t>
      </w:r>
    </w:p>
    <w:p w14:paraId="01A3E657" w14:textId="2C76082D" w:rsidR="00112E5B" w:rsidRDefault="00C40E91" w:rsidP="00DF0BBA">
      <w:pPr>
        <w:pStyle w:val="CLDHeading3"/>
        <w:numPr>
          <w:ilvl w:val="0"/>
          <w:numId w:val="0"/>
        </w:numPr>
      </w:pPr>
      <w:r>
        <w:t>Use in p</w:t>
      </w:r>
      <w:r w:rsidR="00112E5B">
        <w:t>regnancy</w:t>
      </w:r>
      <w:r w:rsidR="0047572F">
        <w:t xml:space="preserve"> – Pregnancy Category B</w:t>
      </w:r>
      <w:r w:rsidR="000E16DA">
        <w:t>1</w:t>
      </w:r>
    </w:p>
    <w:p w14:paraId="07C84697" w14:textId="6C70922E" w:rsidR="00112E5B" w:rsidRPr="00F72801" w:rsidRDefault="009F6687" w:rsidP="00DF0BBA">
      <w:pPr>
        <w:pStyle w:val="CLDNormal"/>
        <w:jc w:val="left"/>
      </w:pPr>
      <w:r w:rsidRPr="00694787">
        <w:t xml:space="preserve">There are limited data from the use of rimegepant in pregnant women. </w:t>
      </w:r>
      <w:r w:rsidR="0047572F" w:rsidRPr="00694787">
        <w:t xml:space="preserve"> </w:t>
      </w:r>
      <w:r w:rsidR="00F4791D" w:rsidRPr="00F72801">
        <w:t>Animal studies demonstrate that rimegepant does not result in embryofetal death or fetal malformations at clinically relevant exposures.</w:t>
      </w:r>
      <w:r w:rsidR="00F4791D" w:rsidRPr="00694787">
        <w:t xml:space="preserve">  There were no developmental effects in rats at</w:t>
      </w:r>
      <w:r w:rsidR="00F4791D" w:rsidRPr="00623905">
        <w:t xml:space="preserve"> </w:t>
      </w:r>
      <w:r w:rsidR="000E16DA">
        <w:t xml:space="preserve">oral </w:t>
      </w:r>
      <w:r w:rsidR="00F4791D" w:rsidRPr="00623905">
        <w:t>doses up to 60</w:t>
      </w:r>
      <w:r w:rsidR="00CC40E0" w:rsidRPr="001A0577">
        <w:t> </w:t>
      </w:r>
      <w:r w:rsidR="00F4791D" w:rsidRPr="001A0577">
        <w:t>mg/kg/day (exposures 4</w:t>
      </w:r>
      <w:r w:rsidR="000E16DA">
        <w:t>0</w:t>
      </w:r>
      <w:r w:rsidR="00CC40E0" w:rsidRPr="001A0577">
        <w:t xml:space="preserve">x </w:t>
      </w:r>
      <w:r w:rsidR="00F4791D" w:rsidRPr="001A0577">
        <w:t xml:space="preserve">the human AUC at 75 mg/day) or in rabbits at up to the highest </w:t>
      </w:r>
      <w:r w:rsidR="000E16DA">
        <w:t xml:space="preserve">oral </w:t>
      </w:r>
      <w:r w:rsidR="00F4791D" w:rsidRPr="001A0577">
        <w:t xml:space="preserve">dose tested of 50 mg/kg/day (exposures </w:t>
      </w:r>
      <w:r w:rsidR="000E16DA">
        <w:t>8</w:t>
      </w:r>
      <w:r w:rsidR="00CC40E0" w:rsidRPr="001A0577">
        <w:t>x</w:t>
      </w:r>
      <w:r w:rsidR="00F4791D" w:rsidRPr="001A0577">
        <w:t xml:space="preserve"> the human AUC at 75 mg/day).</w:t>
      </w:r>
      <w:r w:rsidRPr="001A0577">
        <w:t xml:space="preserve"> </w:t>
      </w:r>
      <w:r w:rsidR="0047572F" w:rsidRPr="001A0577">
        <w:t xml:space="preserve"> </w:t>
      </w:r>
      <w:r w:rsidRPr="001A0577">
        <w:t xml:space="preserve">As a precautionary measure, it is preferable to avoid the use of NURTEC </w:t>
      </w:r>
      <w:r w:rsidR="00141894">
        <w:t xml:space="preserve">ODT </w:t>
      </w:r>
      <w:r w:rsidRPr="001A0577">
        <w:t>during pregnancy.</w:t>
      </w:r>
    </w:p>
    <w:p w14:paraId="487BDC40" w14:textId="561C2811" w:rsidR="00EC2C85" w:rsidRPr="00EC2C85" w:rsidRDefault="00C40E91" w:rsidP="00DF0BBA">
      <w:pPr>
        <w:pStyle w:val="CLDHeading3"/>
        <w:numPr>
          <w:ilvl w:val="0"/>
          <w:numId w:val="0"/>
        </w:numPr>
      </w:pPr>
      <w:r>
        <w:t>Use in l</w:t>
      </w:r>
      <w:r w:rsidR="00807A52">
        <w:t>actation</w:t>
      </w:r>
    </w:p>
    <w:p w14:paraId="588BC0B6" w14:textId="74144065" w:rsidR="0065199A" w:rsidRDefault="00684188" w:rsidP="00DF0BBA">
      <w:pPr>
        <w:pStyle w:val="CLDNormal"/>
        <w:jc w:val="left"/>
      </w:pPr>
      <w:r>
        <w:t>A lactation</w:t>
      </w:r>
      <w:r w:rsidR="003C2545" w:rsidRPr="003C2545">
        <w:t xml:space="preserve"> study </w:t>
      </w:r>
      <w:r w:rsidR="000A3C99">
        <w:t>was conducted in</w:t>
      </w:r>
      <w:r w:rsidR="003C2545" w:rsidRPr="003C2545">
        <w:t xml:space="preserve"> 12 breast-feeding women</w:t>
      </w:r>
      <w:r>
        <w:t xml:space="preserve"> who were between 2 weeks and 6 months post-partum</w:t>
      </w:r>
      <w:r w:rsidR="003C2545" w:rsidRPr="003C2545">
        <w:t xml:space="preserve"> </w:t>
      </w:r>
      <w:r w:rsidR="000A3C99">
        <w:t>and were administered</w:t>
      </w:r>
      <w:r w:rsidR="003C2545" w:rsidRPr="003C2545">
        <w:t xml:space="preserve"> a single dose of rimegepant 75 mg</w:t>
      </w:r>
      <w:r w:rsidR="000A3C99">
        <w:t>.</w:t>
      </w:r>
      <w:r w:rsidR="001078E3">
        <w:t xml:space="preserve">  </w:t>
      </w:r>
      <w:r w:rsidR="000A3C99">
        <w:t xml:space="preserve">The results have established an average milk-to-plasma ratio of 0.20 and a relative infant dose of </w:t>
      </w:r>
      <w:r w:rsidR="003C2545" w:rsidRPr="003C2545">
        <w:t>less than 1%</w:t>
      </w:r>
      <w:r w:rsidR="000A3C99">
        <w:t xml:space="preserve"> of the maternal weight-adjusted dose</w:t>
      </w:r>
      <w:r w:rsidR="003C2545" w:rsidRPr="003C2545">
        <w:t xml:space="preserve">. </w:t>
      </w:r>
      <w:r w:rsidR="0047572F">
        <w:t xml:space="preserve"> </w:t>
      </w:r>
      <w:r w:rsidR="000A3C99">
        <w:t xml:space="preserve">These data support that transfer of rimegepant into breastmilk is low.  </w:t>
      </w:r>
      <w:r w:rsidR="003C2545" w:rsidRPr="003C2545">
        <w:t>There are no data on the effects</w:t>
      </w:r>
      <w:r w:rsidR="000A3C99">
        <w:t xml:space="preserve"> of rimegepant on a breastfed infant or</w:t>
      </w:r>
      <w:r w:rsidR="003C2545" w:rsidRPr="003C2545">
        <w:t xml:space="preserve"> on milk production. </w:t>
      </w:r>
      <w:r w:rsidR="0047572F">
        <w:t xml:space="preserve"> </w:t>
      </w:r>
    </w:p>
    <w:p w14:paraId="545597A6" w14:textId="1A51D596" w:rsidR="00095635" w:rsidRPr="003C2545" w:rsidRDefault="003C2545" w:rsidP="00DF0BBA">
      <w:pPr>
        <w:pStyle w:val="CLDNormal"/>
        <w:jc w:val="left"/>
      </w:pPr>
      <w:r w:rsidRPr="003C2545">
        <w:t xml:space="preserve">The developmental and health benefits of breast-feeding should be considered along with the mother’s clinical need for </w:t>
      </w:r>
      <w:r>
        <w:t>NURTEC</w:t>
      </w:r>
      <w:r w:rsidRPr="003C2545">
        <w:t xml:space="preserve"> </w:t>
      </w:r>
      <w:r w:rsidR="00141894">
        <w:t xml:space="preserve">ODT </w:t>
      </w:r>
      <w:r w:rsidRPr="003C2545">
        <w:t>and any potential adverse reactions on the breastfed infant from rimegepant or from the underlying maternal condition.</w:t>
      </w:r>
    </w:p>
    <w:p w14:paraId="72A792F8" w14:textId="356156ED" w:rsidR="00EC2C85" w:rsidRPr="00F72801" w:rsidRDefault="002F6F96" w:rsidP="00DF0BBA">
      <w:pPr>
        <w:pStyle w:val="CLDHeading2"/>
      </w:pPr>
      <w:r w:rsidRPr="001A0577">
        <w:t>4.7</w:t>
      </w:r>
      <w:r w:rsidRPr="001A0577">
        <w:tab/>
      </w:r>
      <w:r w:rsidR="00A52C16" w:rsidRPr="001A0577">
        <w:t xml:space="preserve">Effects on </w:t>
      </w:r>
      <w:r w:rsidR="00003485" w:rsidRPr="001A0577">
        <w:t>ability to d</w:t>
      </w:r>
      <w:r w:rsidR="009021BA" w:rsidRPr="001A0577">
        <w:t xml:space="preserve">rive </w:t>
      </w:r>
      <w:r w:rsidR="00003485" w:rsidRPr="001A0577">
        <w:t>and u</w:t>
      </w:r>
      <w:r w:rsidR="00A52C16" w:rsidRPr="001A0577">
        <w:t>se</w:t>
      </w:r>
      <w:r w:rsidR="00003485" w:rsidRPr="001A0577">
        <w:t xml:space="preserve"> m</w:t>
      </w:r>
      <w:r w:rsidR="00C40E91" w:rsidRPr="001A0577">
        <w:t>achin</w:t>
      </w:r>
      <w:r w:rsidR="00551A0E" w:rsidRPr="00694787">
        <w:t>es</w:t>
      </w:r>
    </w:p>
    <w:p w14:paraId="3920A141" w14:textId="54ABC913" w:rsidR="00F018B4" w:rsidRPr="0032056A" w:rsidRDefault="00F018B4" w:rsidP="00DF0BBA">
      <w:pPr>
        <w:pStyle w:val="CLDNormal"/>
        <w:jc w:val="left"/>
        <w:rPr>
          <w:lang w:val="en-AU" w:eastAsia="en-AU"/>
        </w:rPr>
      </w:pPr>
      <w:r w:rsidRPr="0032056A">
        <w:rPr>
          <w:lang w:val="en-AU" w:eastAsia="en-AU"/>
        </w:rPr>
        <w:t xml:space="preserve">Drowsiness following rimegepant has been infrequently reported and at a similar incidence as placebo. </w:t>
      </w:r>
      <w:r w:rsidR="000464F1">
        <w:rPr>
          <w:lang w:val="en-AU" w:eastAsia="en-AU"/>
        </w:rPr>
        <w:t xml:space="preserve"> </w:t>
      </w:r>
      <w:r w:rsidRPr="0032056A">
        <w:rPr>
          <w:lang w:val="en-AU" w:eastAsia="en-AU"/>
        </w:rPr>
        <w:t xml:space="preserve">However, migraine may cause drowsiness in some patients. </w:t>
      </w:r>
      <w:r w:rsidR="000464F1">
        <w:rPr>
          <w:lang w:val="en-AU" w:eastAsia="en-AU"/>
        </w:rPr>
        <w:t xml:space="preserve"> </w:t>
      </w:r>
      <w:r w:rsidRPr="0032056A">
        <w:rPr>
          <w:lang w:val="en-AU" w:eastAsia="en-AU"/>
        </w:rPr>
        <w:t>Therefore, caution is recommended in patients driving or using machines during a migraine attack</w:t>
      </w:r>
      <w:r w:rsidRPr="0032056A">
        <w:rPr>
          <w:bCs/>
          <w:lang w:val="en-AU" w:eastAsia="en-AU"/>
        </w:rPr>
        <w:t>, including following treatment.</w:t>
      </w:r>
    </w:p>
    <w:p w14:paraId="14DEBBC0" w14:textId="15ACF271" w:rsidR="0062454C" w:rsidRPr="001A0577" w:rsidRDefault="002F6F96" w:rsidP="00DF0BBA">
      <w:pPr>
        <w:pStyle w:val="CLDHeading2"/>
      </w:pPr>
      <w:r w:rsidRPr="001A0577">
        <w:t>4.8</w:t>
      </w:r>
      <w:r w:rsidRPr="001A0577">
        <w:tab/>
      </w:r>
      <w:r w:rsidR="00003485" w:rsidRPr="001A0577">
        <w:t>Adverse effects (undesirable e</w:t>
      </w:r>
      <w:r w:rsidR="0062454C" w:rsidRPr="001A0577">
        <w:t>ffects</w:t>
      </w:r>
      <w:r w:rsidR="00C40E91" w:rsidRPr="001A0577">
        <w:t>)</w:t>
      </w:r>
    </w:p>
    <w:p w14:paraId="42879964" w14:textId="3ACBF3F9" w:rsidR="00791A07" w:rsidRDefault="00973259" w:rsidP="00DF0BBA">
      <w:pPr>
        <w:pStyle w:val="CLDNormal"/>
        <w:jc w:val="left"/>
      </w:pPr>
      <w:r w:rsidRPr="00075A73">
        <w:t xml:space="preserve">The efficacy of </w:t>
      </w:r>
      <w:r>
        <w:rPr>
          <w:rFonts w:eastAsia="Arial Unicode MS"/>
          <w:lang w:eastAsia="zh-TW"/>
        </w:rPr>
        <w:t>NURTEC ODT</w:t>
      </w:r>
      <w:r w:rsidRPr="00075A73">
        <w:t xml:space="preserve"> for the acute treatment of migraine with and without aura in adults was studied in </w:t>
      </w:r>
      <w:r>
        <w:t>three</w:t>
      </w:r>
      <w:r w:rsidRPr="00075A73">
        <w:t xml:space="preserve"> randomi</w:t>
      </w:r>
      <w:r>
        <w:t>s</w:t>
      </w:r>
      <w:r w:rsidRPr="00075A73">
        <w:t>ed, double-blind, placebo-controlled trial</w:t>
      </w:r>
      <w:r>
        <w:t>s (Studies 1-3)</w:t>
      </w:r>
      <w:r w:rsidRPr="00ED7A83">
        <w:t>.</w:t>
      </w:r>
      <w:r w:rsidRPr="00075A73">
        <w:t xml:space="preserve"> </w:t>
      </w:r>
      <w:r w:rsidR="00791A07">
        <w:t xml:space="preserve"> </w:t>
      </w:r>
      <w:r w:rsidR="00671AF0">
        <w:t xml:space="preserve">In these studies, </w:t>
      </w:r>
      <w:r w:rsidR="00E15AC9">
        <w:t>3</w:t>
      </w:r>
      <w:r w:rsidR="00791A07">
        <w:t>,</w:t>
      </w:r>
      <w:r w:rsidR="004764B2">
        <w:t>551 unique</w:t>
      </w:r>
      <w:r w:rsidR="00E15AC9">
        <w:t xml:space="preserve"> </w:t>
      </w:r>
      <w:r w:rsidR="00180633">
        <w:t xml:space="preserve">patients </w:t>
      </w:r>
      <w:r w:rsidR="00A82BD6">
        <w:t xml:space="preserve">received a single dose of rimegepant 75 mg </w:t>
      </w:r>
      <w:r w:rsidR="006D65BA">
        <w:t>(</w:t>
      </w:r>
      <w:r w:rsidR="00037E92">
        <w:t>N=</w:t>
      </w:r>
      <w:r w:rsidR="006D65BA">
        <w:t>1</w:t>
      </w:r>
      <w:r w:rsidR="00791A07">
        <w:t>,</w:t>
      </w:r>
      <w:r w:rsidR="006D65BA">
        <w:t xml:space="preserve">771) </w:t>
      </w:r>
      <w:r w:rsidR="002060FA">
        <w:t>or placebo (</w:t>
      </w:r>
      <w:r w:rsidR="00A86BE5">
        <w:t>N=</w:t>
      </w:r>
      <w:r w:rsidR="00AA3DD4">
        <w:t>1</w:t>
      </w:r>
      <w:r w:rsidR="00791A07">
        <w:t>,</w:t>
      </w:r>
      <w:r w:rsidR="00AA3DD4">
        <w:t>782).</w:t>
      </w:r>
      <w:r>
        <w:t xml:space="preserve"> </w:t>
      </w:r>
      <w:r w:rsidR="00791A07">
        <w:t xml:space="preserve"> </w:t>
      </w:r>
    </w:p>
    <w:p w14:paraId="6A014F4B" w14:textId="4A8E542F" w:rsidR="009D53CC" w:rsidRDefault="00973259" w:rsidP="00DF0BBA">
      <w:pPr>
        <w:pStyle w:val="CLDNormal"/>
        <w:jc w:val="left"/>
      </w:pPr>
      <w:r w:rsidRPr="00E667BA">
        <w:t xml:space="preserve">The efficacy of rimegepant was evaluated as a prophylactic treatment </w:t>
      </w:r>
      <w:r w:rsidR="00F662D8">
        <w:t>for</w:t>
      </w:r>
      <w:r w:rsidRPr="00E667BA">
        <w:t xml:space="preserve"> migraine in a randomi</w:t>
      </w:r>
      <w:r>
        <w:t>s</w:t>
      </w:r>
      <w:r w:rsidRPr="00E667BA">
        <w:t>ed, double-blind, placebo-controlled study (Study 4).</w:t>
      </w:r>
      <w:r w:rsidR="00BC101F">
        <w:t xml:space="preserve">  In this study</w:t>
      </w:r>
      <w:r w:rsidR="006475DD">
        <w:t xml:space="preserve">, 741 patients </w:t>
      </w:r>
      <w:r w:rsidR="00C149EC">
        <w:t xml:space="preserve">received </w:t>
      </w:r>
      <w:r w:rsidR="00217C09">
        <w:t>rimegepant (</w:t>
      </w:r>
      <w:r w:rsidR="00C806C6">
        <w:t xml:space="preserve">N=370) or placebo (N=371) </w:t>
      </w:r>
      <w:r w:rsidR="00E81B6C">
        <w:t xml:space="preserve">every other day </w:t>
      </w:r>
      <w:r w:rsidR="00434D2C">
        <w:t xml:space="preserve">during the </w:t>
      </w:r>
      <w:r w:rsidR="0093702F">
        <w:t xml:space="preserve">12-week </w:t>
      </w:r>
      <w:r w:rsidR="00434D2C">
        <w:t>double</w:t>
      </w:r>
      <w:r w:rsidR="00791A07">
        <w:noBreakHyphen/>
      </w:r>
      <w:r w:rsidR="00434D2C">
        <w:t xml:space="preserve">blind treatment </w:t>
      </w:r>
      <w:r w:rsidR="00900B0F">
        <w:t>period</w:t>
      </w:r>
      <w:r w:rsidR="0093702F">
        <w:t xml:space="preserve"> </w:t>
      </w:r>
      <w:r w:rsidR="00A8781C">
        <w:t xml:space="preserve">of the study. </w:t>
      </w:r>
      <w:r w:rsidR="00791A07">
        <w:t xml:space="preserve"> </w:t>
      </w:r>
      <w:r w:rsidR="008E56C6">
        <w:t xml:space="preserve">During </w:t>
      </w:r>
      <w:r w:rsidR="00A157DA">
        <w:t xml:space="preserve">double-blind </w:t>
      </w:r>
      <w:r w:rsidR="00CE608B">
        <w:t>treatment period of the study</w:t>
      </w:r>
      <w:r w:rsidR="00FA20E3">
        <w:t>,</w:t>
      </w:r>
      <w:r w:rsidR="00CE608B">
        <w:t xml:space="preserve"> patients </w:t>
      </w:r>
      <w:r w:rsidR="00CD6516">
        <w:t xml:space="preserve">treated with rimegepant or placebo </w:t>
      </w:r>
      <w:r w:rsidR="0051570E">
        <w:t xml:space="preserve">received a </w:t>
      </w:r>
      <w:r w:rsidR="00473C3F">
        <w:t xml:space="preserve">mean </w:t>
      </w:r>
      <w:r w:rsidR="00513CC1">
        <w:t>(</w:t>
      </w:r>
      <w:r w:rsidR="00B176CB">
        <w:t>SD</w:t>
      </w:r>
      <w:r w:rsidR="00513CC1">
        <w:t>)</w:t>
      </w:r>
      <w:r w:rsidR="00B852BD">
        <w:t xml:space="preserve"> / median</w:t>
      </w:r>
      <w:r w:rsidR="00513CC1">
        <w:t xml:space="preserve"> </w:t>
      </w:r>
      <w:r w:rsidR="005E4152">
        <w:t xml:space="preserve">of </w:t>
      </w:r>
      <w:r w:rsidR="00513CC1">
        <w:t>13.8 (</w:t>
      </w:r>
      <w:r w:rsidR="00E92A5B">
        <w:t>1.55)</w:t>
      </w:r>
      <w:r w:rsidR="00B852BD">
        <w:t xml:space="preserve"> / </w:t>
      </w:r>
      <w:r w:rsidR="009F185E">
        <w:t>14.2</w:t>
      </w:r>
      <w:r w:rsidR="00E92A5B">
        <w:t xml:space="preserve"> and </w:t>
      </w:r>
      <w:r w:rsidR="00587BAF">
        <w:t>13.9 (</w:t>
      </w:r>
      <w:r w:rsidR="001975C2">
        <w:t>1.</w:t>
      </w:r>
      <w:r w:rsidR="00863179">
        <w:t>79</w:t>
      </w:r>
      <w:r w:rsidR="001975C2">
        <w:t xml:space="preserve">) / </w:t>
      </w:r>
      <w:r w:rsidR="008645ED">
        <w:t>14.2</w:t>
      </w:r>
      <w:r w:rsidR="008E5942">
        <w:t xml:space="preserve"> tablets </w:t>
      </w:r>
      <w:r w:rsidR="00DA0ED6">
        <w:t>per month</w:t>
      </w:r>
      <w:r w:rsidR="00CD6516">
        <w:t>, respectively</w:t>
      </w:r>
      <w:r w:rsidR="002A7916">
        <w:t xml:space="preserve">. </w:t>
      </w:r>
      <w:r w:rsidR="00026425">
        <w:t xml:space="preserve"> </w:t>
      </w:r>
    </w:p>
    <w:p w14:paraId="27243737" w14:textId="51406D1C" w:rsidR="00973259" w:rsidRDefault="00FE3257" w:rsidP="00DF0BBA">
      <w:pPr>
        <w:pStyle w:val="CLDNormal"/>
        <w:jc w:val="left"/>
      </w:pPr>
      <w:r>
        <w:t>In patients (N=</w:t>
      </w:r>
      <w:r w:rsidR="00B60CCF">
        <w:t>671)</w:t>
      </w:r>
      <w:r>
        <w:t xml:space="preserve"> from this study who </w:t>
      </w:r>
      <w:r w:rsidR="003574CD">
        <w:t xml:space="preserve">entered the </w:t>
      </w:r>
      <w:r w:rsidR="00A34A65">
        <w:t xml:space="preserve">52 week </w:t>
      </w:r>
      <w:r w:rsidR="00517309">
        <w:t xml:space="preserve">open-label extension </w:t>
      </w:r>
      <w:r w:rsidR="00C44B13">
        <w:t xml:space="preserve">period of the study and </w:t>
      </w:r>
      <w:r>
        <w:t xml:space="preserve">received at least 1 dose of </w:t>
      </w:r>
      <w:r w:rsidR="00B60CCF">
        <w:t xml:space="preserve">rimegepant </w:t>
      </w:r>
      <w:r w:rsidR="00F7729B">
        <w:t>during the double-blind treatment or open</w:t>
      </w:r>
      <w:r w:rsidR="009D53CC">
        <w:noBreakHyphen/>
      </w:r>
      <w:r w:rsidR="00F7729B">
        <w:t xml:space="preserve">label </w:t>
      </w:r>
      <w:r w:rsidR="006848CF">
        <w:t>extension of the s</w:t>
      </w:r>
      <w:r w:rsidR="00A0580C">
        <w:t>tudy</w:t>
      </w:r>
      <w:r w:rsidR="00A73E11">
        <w:t>, patients</w:t>
      </w:r>
      <w:r w:rsidR="00C13317">
        <w:t xml:space="preserve"> </w:t>
      </w:r>
      <w:r w:rsidR="009F2466">
        <w:t>we</w:t>
      </w:r>
      <w:r w:rsidR="00CF05FB">
        <w:t>r</w:t>
      </w:r>
      <w:r w:rsidR="009F2466">
        <w:t xml:space="preserve">e on </w:t>
      </w:r>
      <w:r w:rsidR="00F20A90">
        <w:t>rimegepant</w:t>
      </w:r>
      <w:r w:rsidR="00486A77">
        <w:t xml:space="preserve"> for </w:t>
      </w:r>
      <w:r w:rsidR="00CF05FB">
        <w:t>a mean (</w:t>
      </w:r>
      <w:r w:rsidR="00B176CB">
        <w:t>SD</w:t>
      </w:r>
      <w:r w:rsidR="00CF05FB">
        <w:t xml:space="preserve">) </w:t>
      </w:r>
      <w:r w:rsidR="009231E4">
        <w:t xml:space="preserve">/ median of </w:t>
      </w:r>
      <w:r w:rsidR="00C2013D">
        <w:lastRenderedPageBreak/>
        <w:t>44.6</w:t>
      </w:r>
      <w:r w:rsidR="00451FF6">
        <w:t xml:space="preserve"> (</w:t>
      </w:r>
      <w:r w:rsidR="00710FBC">
        <w:t>20.51</w:t>
      </w:r>
      <w:r w:rsidR="00451FF6">
        <w:t xml:space="preserve">) / </w:t>
      </w:r>
      <w:r w:rsidR="00710FBC">
        <w:t>51.6</w:t>
      </w:r>
      <w:r w:rsidR="00C024E5">
        <w:t xml:space="preserve"> weeks.  The </w:t>
      </w:r>
      <w:r w:rsidR="00BC6EDA">
        <w:t xml:space="preserve">mean (SD) / median number of tablets </w:t>
      </w:r>
      <w:r w:rsidR="007242C2">
        <w:t xml:space="preserve">of rimegepant </w:t>
      </w:r>
      <w:r w:rsidR="00364B78">
        <w:t xml:space="preserve">received by these patients per month was </w:t>
      </w:r>
      <w:r w:rsidR="00D25926">
        <w:t>14.3 (2.1</w:t>
      </w:r>
      <w:r w:rsidR="00FB042B">
        <w:t>0</w:t>
      </w:r>
      <w:r w:rsidR="00D25926">
        <w:t>) / 14.2</w:t>
      </w:r>
      <w:r w:rsidR="0014495F">
        <w:t>.</w:t>
      </w:r>
    </w:p>
    <w:p w14:paraId="2F603A39" w14:textId="68003B50" w:rsidR="00D87270" w:rsidRDefault="004F73E5" w:rsidP="00DF0BBA">
      <w:pPr>
        <w:pStyle w:val="CLDNormal"/>
        <w:jc w:val="left"/>
      </w:pPr>
      <w:r>
        <w:t xml:space="preserve">The most common adverse reaction was nausea for acute treatment (1.2%) and for migraine prophylaxis (1.4%). </w:t>
      </w:r>
      <w:r w:rsidR="0047572F">
        <w:t xml:space="preserve"> </w:t>
      </w:r>
      <w:r>
        <w:t>Most of the reactions were mild or moderate in severity.</w:t>
      </w:r>
    </w:p>
    <w:p w14:paraId="19A65E7F" w14:textId="3A5E8027" w:rsidR="00D87270" w:rsidRDefault="004F73E5" w:rsidP="00DF0BBA">
      <w:pPr>
        <w:pStyle w:val="CLDNormal"/>
        <w:jc w:val="left"/>
      </w:pPr>
      <w:r w:rsidRPr="004F73E5">
        <w:t>Hypersensitivity, including dyspnoea and severe rash, occurred in less than 1% of patients treated.</w:t>
      </w:r>
    </w:p>
    <w:p w14:paraId="1E83F40C" w14:textId="0645F6A2" w:rsidR="00D87270" w:rsidRDefault="006E3F33" w:rsidP="00DF0BBA">
      <w:pPr>
        <w:pStyle w:val="CLDNormal"/>
        <w:jc w:val="left"/>
      </w:pPr>
      <w:r>
        <w:t>A tabulated summar</w:t>
      </w:r>
      <w:r w:rsidR="0017645E">
        <w:t>y</w:t>
      </w:r>
      <w:r>
        <w:t xml:space="preserve"> of </w:t>
      </w:r>
      <w:r w:rsidR="00A43B41">
        <w:t xml:space="preserve">on </w:t>
      </w:r>
      <w:r w:rsidR="00F43A30">
        <w:t xml:space="preserve">treatment </w:t>
      </w:r>
      <w:r>
        <w:t>adverse events</w:t>
      </w:r>
      <w:r w:rsidR="000D5457">
        <w:t xml:space="preserve"> </w:t>
      </w:r>
      <w:r w:rsidR="000D599A">
        <w:t>occurring in ≥</w:t>
      </w:r>
      <w:r w:rsidR="00363281">
        <w:t>1% of patients</w:t>
      </w:r>
      <w:r w:rsidR="00F25A92">
        <w:t xml:space="preserve"> treated with</w:t>
      </w:r>
      <w:r w:rsidR="00175656">
        <w:t xml:space="preserve"> rimegepant</w:t>
      </w:r>
      <w:r w:rsidR="00013785">
        <w:t xml:space="preserve"> for acute treatment</w:t>
      </w:r>
      <w:r w:rsidR="00E25884">
        <w:t xml:space="preserve"> </w:t>
      </w:r>
      <w:r w:rsidR="6441B59A">
        <w:t xml:space="preserve">during double blind treatment </w:t>
      </w:r>
      <w:r w:rsidR="00E25884">
        <w:t xml:space="preserve">is provided in Table </w:t>
      </w:r>
      <w:r w:rsidR="00DC278E">
        <w:t>1.</w:t>
      </w:r>
    </w:p>
    <w:p w14:paraId="0E351514" w14:textId="342C798A" w:rsidR="00E31D33" w:rsidRPr="005E594B" w:rsidRDefault="00E31D33" w:rsidP="00DF0BBA">
      <w:pPr>
        <w:keepNext/>
        <w:rPr>
          <w:b/>
          <w:bCs/>
          <w:sz w:val="22"/>
          <w:szCs w:val="22"/>
        </w:rPr>
      </w:pPr>
      <w:r w:rsidRPr="7BB8B2CC">
        <w:rPr>
          <w:b/>
          <w:bCs/>
          <w:sz w:val="22"/>
          <w:szCs w:val="22"/>
        </w:rPr>
        <w:t>Table 1</w:t>
      </w:r>
      <w:r>
        <w:tab/>
      </w:r>
      <w:r>
        <w:tab/>
      </w:r>
      <w:r w:rsidRPr="7BB8B2CC">
        <w:rPr>
          <w:b/>
          <w:bCs/>
          <w:sz w:val="22"/>
          <w:szCs w:val="22"/>
        </w:rPr>
        <w:t xml:space="preserve">Number (%) of Patients with </w:t>
      </w:r>
      <w:r w:rsidR="006137B0" w:rsidRPr="7BB8B2CC">
        <w:rPr>
          <w:b/>
          <w:bCs/>
          <w:sz w:val="22"/>
          <w:szCs w:val="22"/>
        </w:rPr>
        <w:t>on treatment</w:t>
      </w:r>
      <w:r w:rsidR="007E2157">
        <w:rPr>
          <w:b/>
          <w:bCs/>
          <w:sz w:val="22"/>
          <w:szCs w:val="22"/>
        </w:rPr>
        <w:t>^</w:t>
      </w:r>
      <w:r w:rsidRPr="7BB8B2CC">
        <w:rPr>
          <w:b/>
          <w:bCs/>
          <w:sz w:val="22"/>
          <w:szCs w:val="22"/>
        </w:rPr>
        <w:t xml:space="preserve"> Adverse Events </w:t>
      </w:r>
      <w:r w:rsidR="5242456E" w:rsidRPr="7BB8B2CC">
        <w:rPr>
          <w:b/>
          <w:bCs/>
          <w:sz w:val="22"/>
          <w:szCs w:val="22"/>
        </w:rPr>
        <w:t>Occurring</w:t>
      </w:r>
      <w:r w:rsidRPr="7BB8B2CC">
        <w:rPr>
          <w:b/>
          <w:bCs/>
          <w:sz w:val="22"/>
          <w:szCs w:val="22"/>
        </w:rPr>
        <w:t xml:space="preserve"> with a Frequency of </w:t>
      </w:r>
      <w:r w:rsidR="00EC3D77" w:rsidRPr="7BB8B2CC">
        <w:rPr>
          <w:b/>
          <w:bCs/>
          <w:sz w:val="22"/>
          <w:szCs w:val="22"/>
        </w:rPr>
        <w:t>≥ 1%</w:t>
      </w:r>
      <w:r w:rsidR="004205C4" w:rsidRPr="7BB8B2CC">
        <w:rPr>
          <w:b/>
          <w:bCs/>
          <w:sz w:val="22"/>
          <w:szCs w:val="22"/>
        </w:rPr>
        <w:t xml:space="preserve"> in acute treatment</w:t>
      </w:r>
    </w:p>
    <w:tbl>
      <w:tblPr>
        <w:tblStyle w:val="TableGrid11"/>
        <w:tblW w:w="9061" w:type="dxa"/>
        <w:tblInd w:w="0" w:type="dxa"/>
        <w:tblLayout w:type="fixed"/>
        <w:tblLook w:val="04A0" w:firstRow="1" w:lastRow="0" w:firstColumn="1" w:lastColumn="0" w:noHBand="0" w:noVBand="1"/>
      </w:tblPr>
      <w:tblGrid>
        <w:gridCol w:w="4786"/>
        <w:gridCol w:w="2126"/>
        <w:gridCol w:w="2149"/>
      </w:tblGrid>
      <w:tr w:rsidR="0095379D" w:rsidRPr="005E594B" w14:paraId="525A6A08" w14:textId="77777777" w:rsidTr="00C74655">
        <w:trPr>
          <w:tblHeader/>
        </w:trPr>
        <w:tc>
          <w:tcPr>
            <w:tcW w:w="4786" w:type="dxa"/>
            <w:vMerge w:val="restart"/>
            <w:tcBorders>
              <w:top w:val="single" w:sz="4" w:space="0" w:color="auto"/>
              <w:left w:val="single" w:sz="4" w:space="0" w:color="auto"/>
              <w:right w:val="single" w:sz="4" w:space="0" w:color="auto"/>
            </w:tcBorders>
          </w:tcPr>
          <w:p w14:paraId="3DFC8110" w14:textId="77777777" w:rsidR="0095379D" w:rsidRDefault="0095379D" w:rsidP="00DF0BBA">
            <w:pPr>
              <w:keepNext/>
              <w:rPr>
                <w:rFonts w:ascii="Times New Roman" w:hAnsi="Times New Roman"/>
                <w:b/>
                <w:sz w:val="22"/>
              </w:rPr>
            </w:pPr>
          </w:p>
          <w:p w14:paraId="5010C4F3" w14:textId="1F6A5B2A" w:rsidR="0095379D" w:rsidRPr="005E594B" w:rsidRDefault="0095379D" w:rsidP="00DF0BBA">
            <w:pPr>
              <w:keepNext/>
              <w:ind w:left="425"/>
              <w:rPr>
                <w:b/>
                <w:sz w:val="22"/>
              </w:rPr>
            </w:pPr>
            <w:r>
              <w:rPr>
                <w:rFonts w:ascii="Times New Roman" w:hAnsi="Times New Roman"/>
                <w:b/>
                <w:sz w:val="22"/>
              </w:rPr>
              <w:t>Preferred Term</w:t>
            </w:r>
            <w:r w:rsidRPr="0035061C">
              <w:rPr>
                <w:b/>
                <w:sz w:val="22"/>
                <w:vertAlign w:val="superscript"/>
              </w:rPr>
              <w:t>1</w:t>
            </w:r>
            <w:r>
              <w:rPr>
                <w:rFonts w:ascii="Times New Roman" w:hAnsi="Times New Roman"/>
                <w:b/>
                <w:sz w:val="22"/>
              </w:rPr>
              <w:t>: n (%)</w:t>
            </w:r>
          </w:p>
        </w:tc>
        <w:tc>
          <w:tcPr>
            <w:tcW w:w="4275" w:type="dxa"/>
            <w:gridSpan w:val="2"/>
            <w:tcBorders>
              <w:top w:val="single" w:sz="4" w:space="0" w:color="auto"/>
              <w:left w:val="single" w:sz="4" w:space="0" w:color="auto"/>
              <w:bottom w:val="single" w:sz="4" w:space="0" w:color="auto"/>
              <w:right w:val="single" w:sz="4" w:space="0" w:color="auto"/>
            </w:tcBorders>
          </w:tcPr>
          <w:p w14:paraId="441E1D64" w14:textId="46826A89" w:rsidR="0095379D" w:rsidRPr="0035061C" w:rsidRDefault="0095379D" w:rsidP="00DF0BBA">
            <w:pPr>
              <w:keepNext/>
              <w:rPr>
                <w:rFonts w:ascii="Times New Roman" w:hAnsi="Times New Roman"/>
                <w:b/>
                <w:sz w:val="22"/>
              </w:rPr>
            </w:pPr>
            <w:r w:rsidRPr="0035061C">
              <w:rPr>
                <w:rFonts w:ascii="Times New Roman" w:hAnsi="Times New Roman"/>
                <w:b/>
                <w:sz w:val="22"/>
              </w:rPr>
              <w:t>Overall</w:t>
            </w:r>
          </w:p>
        </w:tc>
      </w:tr>
      <w:tr w:rsidR="0095379D" w:rsidRPr="005E594B" w14:paraId="2E37711C" w14:textId="77777777" w:rsidTr="00C74655">
        <w:trPr>
          <w:tblHeader/>
        </w:trPr>
        <w:tc>
          <w:tcPr>
            <w:tcW w:w="4786" w:type="dxa"/>
            <w:vMerge/>
            <w:tcBorders>
              <w:left w:val="single" w:sz="4" w:space="0" w:color="auto"/>
              <w:bottom w:val="single" w:sz="4" w:space="0" w:color="auto"/>
              <w:right w:val="single" w:sz="4" w:space="0" w:color="auto"/>
            </w:tcBorders>
            <w:hideMark/>
          </w:tcPr>
          <w:p w14:paraId="0765AF54" w14:textId="1C2C70F9" w:rsidR="0095379D" w:rsidRPr="00147E5D" w:rsidRDefault="0095379D" w:rsidP="00DF0BBA">
            <w:pPr>
              <w:keepNext/>
              <w:ind w:left="425"/>
              <w:rPr>
                <w:rFonts w:ascii="Times New Roman" w:hAnsi="Times New Roman"/>
                <w:b/>
                <w:sz w:val="22"/>
              </w:rPr>
            </w:pPr>
          </w:p>
        </w:tc>
        <w:tc>
          <w:tcPr>
            <w:tcW w:w="2126" w:type="dxa"/>
            <w:tcBorders>
              <w:top w:val="single" w:sz="4" w:space="0" w:color="auto"/>
              <w:left w:val="single" w:sz="4" w:space="0" w:color="auto"/>
              <w:bottom w:val="single" w:sz="4" w:space="0" w:color="auto"/>
              <w:right w:val="single" w:sz="4" w:space="0" w:color="auto"/>
            </w:tcBorders>
            <w:hideMark/>
          </w:tcPr>
          <w:p w14:paraId="5BC2E8FA" w14:textId="77777777" w:rsidR="0095379D" w:rsidRDefault="0095379D" w:rsidP="00DF0BBA">
            <w:pPr>
              <w:keepNext/>
              <w:rPr>
                <w:rFonts w:ascii="Times New Roman" w:hAnsi="Times New Roman"/>
                <w:b/>
                <w:sz w:val="22"/>
              </w:rPr>
            </w:pPr>
            <w:r>
              <w:rPr>
                <w:rFonts w:ascii="Times New Roman" w:hAnsi="Times New Roman"/>
                <w:b/>
                <w:sz w:val="22"/>
              </w:rPr>
              <w:t>Rimegepant 75 mg</w:t>
            </w:r>
          </w:p>
          <w:p w14:paraId="6303D01A" w14:textId="7D5F3B4D" w:rsidR="0095379D" w:rsidRPr="005E594B" w:rsidRDefault="0095379D" w:rsidP="00DF0BBA">
            <w:pPr>
              <w:keepNext/>
              <w:rPr>
                <w:rFonts w:ascii="Times New Roman" w:hAnsi="Times New Roman"/>
                <w:b/>
                <w:sz w:val="22"/>
              </w:rPr>
            </w:pPr>
            <w:r>
              <w:rPr>
                <w:rFonts w:ascii="Times New Roman" w:hAnsi="Times New Roman"/>
                <w:b/>
                <w:sz w:val="22"/>
              </w:rPr>
              <w:t>(n=1771)</w:t>
            </w:r>
          </w:p>
        </w:tc>
        <w:tc>
          <w:tcPr>
            <w:tcW w:w="2149" w:type="dxa"/>
            <w:tcBorders>
              <w:top w:val="single" w:sz="4" w:space="0" w:color="auto"/>
              <w:left w:val="single" w:sz="4" w:space="0" w:color="auto"/>
              <w:bottom w:val="single" w:sz="4" w:space="0" w:color="auto"/>
              <w:right w:val="single" w:sz="4" w:space="0" w:color="auto"/>
            </w:tcBorders>
            <w:hideMark/>
          </w:tcPr>
          <w:p w14:paraId="6CC0A6EE" w14:textId="77777777" w:rsidR="0095379D" w:rsidRDefault="0095379D" w:rsidP="00DF0BBA">
            <w:pPr>
              <w:keepNext/>
              <w:rPr>
                <w:rFonts w:ascii="Times New Roman" w:hAnsi="Times New Roman"/>
                <w:b/>
                <w:sz w:val="22"/>
              </w:rPr>
            </w:pPr>
            <w:r>
              <w:rPr>
                <w:rFonts w:ascii="Times New Roman" w:hAnsi="Times New Roman"/>
                <w:b/>
                <w:sz w:val="22"/>
              </w:rPr>
              <w:t>Placebo</w:t>
            </w:r>
          </w:p>
          <w:p w14:paraId="24536431" w14:textId="6909A3B4" w:rsidR="0095379D" w:rsidRPr="005E594B" w:rsidRDefault="0095379D" w:rsidP="00DF0BBA">
            <w:pPr>
              <w:keepNext/>
              <w:rPr>
                <w:rFonts w:ascii="Times New Roman" w:hAnsi="Times New Roman"/>
                <w:b/>
                <w:sz w:val="22"/>
              </w:rPr>
            </w:pPr>
            <w:r>
              <w:rPr>
                <w:rFonts w:ascii="Times New Roman" w:hAnsi="Times New Roman"/>
                <w:b/>
                <w:sz w:val="22"/>
              </w:rPr>
              <w:t>(n=1782)</w:t>
            </w:r>
          </w:p>
        </w:tc>
      </w:tr>
      <w:tr w:rsidR="002371C7" w:rsidRPr="005E594B" w14:paraId="7F153898" w14:textId="77777777" w:rsidTr="00C74655">
        <w:tc>
          <w:tcPr>
            <w:tcW w:w="906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FB19B0" w14:textId="77777777" w:rsidR="002371C7" w:rsidRPr="005E594B" w:rsidRDefault="002371C7" w:rsidP="00DF0BBA">
            <w:pPr>
              <w:keepNext/>
              <w:rPr>
                <w:rFonts w:ascii="Times New Roman" w:hAnsi="Times New Roman"/>
                <w:b/>
                <w:sz w:val="22"/>
              </w:rPr>
            </w:pPr>
            <w:r w:rsidRPr="005E594B">
              <w:rPr>
                <w:rFonts w:ascii="Times New Roman" w:hAnsi="Times New Roman"/>
                <w:b/>
                <w:sz w:val="22"/>
              </w:rPr>
              <w:t xml:space="preserve">Acute Treatment </w:t>
            </w:r>
          </w:p>
        </w:tc>
      </w:tr>
      <w:tr w:rsidR="000E068A" w:rsidRPr="005E594B" w14:paraId="5CDD1587" w14:textId="77777777" w:rsidTr="00C74655">
        <w:tc>
          <w:tcPr>
            <w:tcW w:w="4786" w:type="dxa"/>
            <w:tcBorders>
              <w:top w:val="single" w:sz="4" w:space="0" w:color="auto"/>
              <w:left w:val="single" w:sz="4" w:space="0" w:color="auto"/>
              <w:bottom w:val="single" w:sz="4" w:space="0" w:color="auto"/>
              <w:right w:val="single" w:sz="4" w:space="0" w:color="auto"/>
            </w:tcBorders>
            <w:hideMark/>
          </w:tcPr>
          <w:p w14:paraId="7AD3C0B0" w14:textId="068BA1E4" w:rsidR="000E068A" w:rsidRPr="005E594B" w:rsidRDefault="000E068A" w:rsidP="00DF0BBA">
            <w:pPr>
              <w:ind w:left="425"/>
              <w:rPr>
                <w:rFonts w:ascii="Times New Roman" w:hAnsi="Times New Roman"/>
                <w:sz w:val="22"/>
              </w:rPr>
            </w:pPr>
            <w:r>
              <w:rPr>
                <w:rFonts w:ascii="Times New Roman" w:hAnsi="Times New Roman"/>
                <w:sz w:val="22"/>
              </w:rPr>
              <w:t>Nausea</w:t>
            </w:r>
          </w:p>
        </w:tc>
        <w:tc>
          <w:tcPr>
            <w:tcW w:w="2126" w:type="dxa"/>
            <w:tcBorders>
              <w:top w:val="single" w:sz="4" w:space="0" w:color="auto"/>
              <w:left w:val="single" w:sz="4" w:space="0" w:color="auto"/>
              <w:bottom w:val="single" w:sz="4" w:space="0" w:color="auto"/>
              <w:right w:val="single" w:sz="4" w:space="0" w:color="auto"/>
            </w:tcBorders>
          </w:tcPr>
          <w:p w14:paraId="2894071E" w14:textId="09AB8F9A" w:rsidR="000E068A" w:rsidRPr="005E594B" w:rsidRDefault="000E068A" w:rsidP="00DF0BBA">
            <w:pPr>
              <w:rPr>
                <w:rFonts w:ascii="Times New Roman" w:hAnsi="Times New Roman"/>
                <w:sz w:val="22"/>
              </w:rPr>
            </w:pPr>
            <w:r>
              <w:rPr>
                <w:rFonts w:ascii="Times New Roman" w:hAnsi="Times New Roman"/>
                <w:sz w:val="22"/>
              </w:rPr>
              <w:t>26 (1.5)</w:t>
            </w:r>
          </w:p>
        </w:tc>
        <w:tc>
          <w:tcPr>
            <w:tcW w:w="2149" w:type="dxa"/>
            <w:tcBorders>
              <w:top w:val="single" w:sz="4" w:space="0" w:color="auto"/>
              <w:left w:val="single" w:sz="4" w:space="0" w:color="auto"/>
              <w:bottom w:val="single" w:sz="4" w:space="0" w:color="auto"/>
              <w:right w:val="single" w:sz="4" w:space="0" w:color="auto"/>
            </w:tcBorders>
            <w:hideMark/>
          </w:tcPr>
          <w:p w14:paraId="51E1C205" w14:textId="6724FA7C" w:rsidR="000E068A" w:rsidRPr="005E594B" w:rsidRDefault="000E068A" w:rsidP="00DF0BBA">
            <w:pPr>
              <w:rPr>
                <w:rFonts w:ascii="Times New Roman" w:hAnsi="Times New Roman"/>
                <w:sz w:val="22"/>
              </w:rPr>
            </w:pPr>
            <w:r>
              <w:rPr>
                <w:rFonts w:ascii="Times New Roman" w:hAnsi="Times New Roman"/>
                <w:sz w:val="22"/>
              </w:rPr>
              <w:t>14 (0.8)</w:t>
            </w:r>
          </w:p>
        </w:tc>
      </w:tr>
    </w:tbl>
    <w:p w14:paraId="17D67EF7" w14:textId="7A08F81D" w:rsidR="00D87270" w:rsidRDefault="00E85F6D" w:rsidP="00DF0BBA">
      <w:pPr>
        <w:rPr>
          <w:sz w:val="22"/>
          <w:szCs w:val="22"/>
        </w:rPr>
      </w:pPr>
      <w:r w:rsidRPr="003E20B1">
        <w:rPr>
          <w:sz w:val="22"/>
          <w:szCs w:val="22"/>
          <w:vertAlign w:val="superscript"/>
        </w:rPr>
        <w:t>1</w:t>
      </w:r>
      <w:r>
        <w:rPr>
          <w:sz w:val="22"/>
          <w:szCs w:val="22"/>
        </w:rPr>
        <w:t xml:space="preserve"> </w:t>
      </w:r>
      <w:r w:rsidR="006D3EAF">
        <w:rPr>
          <w:sz w:val="22"/>
          <w:szCs w:val="22"/>
        </w:rPr>
        <w:t>AEs are coded using M</w:t>
      </w:r>
      <w:r w:rsidR="00AC5423">
        <w:rPr>
          <w:sz w:val="22"/>
          <w:szCs w:val="22"/>
        </w:rPr>
        <w:t>edDRA</w:t>
      </w:r>
    </w:p>
    <w:p w14:paraId="44FCADF7" w14:textId="15FDEE8C" w:rsidR="007E2157" w:rsidRPr="007E2157" w:rsidRDefault="007E2157" w:rsidP="00DF0BBA">
      <w:pPr>
        <w:rPr>
          <w:sz w:val="22"/>
          <w:szCs w:val="22"/>
        </w:rPr>
      </w:pPr>
      <w:r w:rsidRPr="007E2157">
        <w:rPr>
          <w:sz w:val="22"/>
          <w:szCs w:val="22"/>
        </w:rPr>
        <w:t>^ AEs beginning on or after the date study drug was taken through 7 days after study drug was taken</w:t>
      </w:r>
    </w:p>
    <w:p w14:paraId="30B6A337" w14:textId="77777777" w:rsidR="00D87270" w:rsidRPr="00F72801" w:rsidRDefault="00D87270" w:rsidP="00DF0BBA">
      <w:pPr>
        <w:rPr>
          <w:sz w:val="22"/>
          <w:szCs w:val="22"/>
        </w:rPr>
      </w:pPr>
    </w:p>
    <w:p w14:paraId="05BE5B40" w14:textId="16CFC7CD" w:rsidR="00D87270" w:rsidRDefault="00FB4747" w:rsidP="00DF0BBA">
      <w:pPr>
        <w:pStyle w:val="CLDNormal"/>
        <w:jc w:val="left"/>
      </w:pPr>
      <w:r>
        <w:t xml:space="preserve">A tabulated summary of </w:t>
      </w:r>
      <w:r w:rsidR="00156F55">
        <w:t xml:space="preserve">on treatment </w:t>
      </w:r>
      <w:r>
        <w:t xml:space="preserve">adverse events occurring in ≥2% of patients treated with rimegepant for migraine prophylaxis </w:t>
      </w:r>
      <w:r w:rsidR="5EFF631A">
        <w:t xml:space="preserve">during double blind treatment </w:t>
      </w:r>
      <w:r>
        <w:t>is provided in Table 2.</w:t>
      </w:r>
    </w:p>
    <w:p w14:paraId="06A41E6B" w14:textId="4E0C99EE" w:rsidR="00013785" w:rsidRPr="005E594B" w:rsidRDefault="00013785" w:rsidP="00DF0BBA">
      <w:pPr>
        <w:keepNext/>
        <w:rPr>
          <w:b/>
          <w:sz w:val="22"/>
          <w:szCs w:val="22"/>
        </w:rPr>
      </w:pPr>
      <w:r w:rsidRPr="005E594B">
        <w:rPr>
          <w:b/>
          <w:sz w:val="22"/>
          <w:szCs w:val="22"/>
        </w:rPr>
        <w:t>Table </w:t>
      </w:r>
      <w:r>
        <w:rPr>
          <w:b/>
          <w:sz w:val="22"/>
          <w:szCs w:val="22"/>
        </w:rPr>
        <w:t>2</w:t>
      </w:r>
      <w:r>
        <w:tab/>
      </w:r>
      <w:r>
        <w:tab/>
      </w:r>
      <w:r>
        <w:rPr>
          <w:b/>
          <w:sz w:val="22"/>
          <w:szCs w:val="22"/>
        </w:rPr>
        <w:t xml:space="preserve">Number (%) of Patients with </w:t>
      </w:r>
      <w:r w:rsidR="006137B0">
        <w:rPr>
          <w:b/>
          <w:sz w:val="22"/>
          <w:szCs w:val="22"/>
        </w:rPr>
        <w:t>on treatment</w:t>
      </w:r>
      <w:r w:rsidR="005564DD">
        <w:rPr>
          <w:b/>
          <w:sz w:val="22"/>
          <w:szCs w:val="22"/>
        </w:rPr>
        <w:t>^</w:t>
      </w:r>
      <w:r>
        <w:rPr>
          <w:b/>
          <w:sz w:val="22"/>
          <w:szCs w:val="22"/>
        </w:rPr>
        <w:t xml:space="preserve"> Adverse Events </w:t>
      </w:r>
      <w:r w:rsidR="6F36BA6A" w:rsidRPr="22E87DB7">
        <w:rPr>
          <w:b/>
          <w:bCs/>
          <w:sz w:val="22"/>
          <w:szCs w:val="22"/>
        </w:rPr>
        <w:t>Occurring</w:t>
      </w:r>
      <w:r>
        <w:rPr>
          <w:b/>
          <w:sz w:val="22"/>
          <w:szCs w:val="22"/>
        </w:rPr>
        <w:t xml:space="preserve"> with a Frequency of ≥ </w:t>
      </w:r>
      <w:r w:rsidR="00FB4747">
        <w:rPr>
          <w:b/>
          <w:sz w:val="22"/>
          <w:szCs w:val="22"/>
        </w:rPr>
        <w:t>2</w:t>
      </w:r>
      <w:r>
        <w:rPr>
          <w:b/>
          <w:sz w:val="22"/>
          <w:szCs w:val="22"/>
        </w:rPr>
        <w:t>%</w:t>
      </w:r>
      <w:r w:rsidR="007A56BC">
        <w:rPr>
          <w:b/>
          <w:sz w:val="22"/>
          <w:szCs w:val="22"/>
        </w:rPr>
        <w:t xml:space="preserve"> in migraine</w:t>
      </w:r>
      <w:r w:rsidR="004205C4">
        <w:rPr>
          <w:b/>
          <w:sz w:val="22"/>
          <w:szCs w:val="22"/>
        </w:rPr>
        <w:t xml:space="preserve"> prophylaxis</w:t>
      </w:r>
    </w:p>
    <w:tbl>
      <w:tblPr>
        <w:tblStyle w:val="TableGrid11"/>
        <w:tblW w:w="9061" w:type="dxa"/>
        <w:tblInd w:w="0" w:type="dxa"/>
        <w:tblLayout w:type="fixed"/>
        <w:tblLook w:val="04A0" w:firstRow="1" w:lastRow="0" w:firstColumn="1" w:lastColumn="0" w:noHBand="0" w:noVBand="1"/>
      </w:tblPr>
      <w:tblGrid>
        <w:gridCol w:w="4786"/>
        <w:gridCol w:w="2126"/>
        <w:gridCol w:w="2149"/>
      </w:tblGrid>
      <w:tr w:rsidR="00013785" w:rsidRPr="005E594B" w14:paraId="12720625" w14:textId="77777777" w:rsidTr="00C74655">
        <w:trPr>
          <w:tblHeader/>
        </w:trPr>
        <w:tc>
          <w:tcPr>
            <w:tcW w:w="4786" w:type="dxa"/>
            <w:vMerge w:val="restart"/>
            <w:tcBorders>
              <w:top w:val="single" w:sz="4" w:space="0" w:color="auto"/>
              <w:left w:val="single" w:sz="4" w:space="0" w:color="auto"/>
              <w:right w:val="single" w:sz="4" w:space="0" w:color="auto"/>
            </w:tcBorders>
          </w:tcPr>
          <w:p w14:paraId="612F9A07" w14:textId="77777777" w:rsidR="00013785" w:rsidRDefault="00013785" w:rsidP="00DF0BBA">
            <w:pPr>
              <w:keepNext/>
              <w:rPr>
                <w:rFonts w:ascii="Times New Roman" w:hAnsi="Times New Roman"/>
                <w:b/>
                <w:sz w:val="22"/>
              </w:rPr>
            </w:pPr>
          </w:p>
          <w:p w14:paraId="5BF5CFE3" w14:textId="77777777" w:rsidR="00013785" w:rsidRPr="005E594B" w:rsidRDefault="00013785" w:rsidP="00DF0BBA">
            <w:pPr>
              <w:keepNext/>
              <w:ind w:left="425"/>
              <w:rPr>
                <w:b/>
                <w:sz w:val="22"/>
              </w:rPr>
            </w:pPr>
            <w:r>
              <w:rPr>
                <w:rFonts w:ascii="Times New Roman" w:hAnsi="Times New Roman"/>
                <w:b/>
                <w:sz w:val="22"/>
              </w:rPr>
              <w:t>Preferred Term</w:t>
            </w:r>
            <w:r w:rsidRPr="0035061C">
              <w:rPr>
                <w:b/>
                <w:sz w:val="22"/>
                <w:vertAlign w:val="superscript"/>
              </w:rPr>
              <w:t>1</w:t>
            </w:r>
            <w:r>
              <w:rPr>
                <w:rFonts w:ascii="Times New Roman" w:hAnsi="Times New Roman"/>
                <w:b/>
                <w:sz w:val="22"/>
              </w:rPr>
              <w:t>: n (%)</w:t>
            </w:r>
          </w:p>
        </w:tc>
        <w:tc>
          <w:tcPr>
            <w:tcW w:w="4275" w:type="dxa"/>
            <w:gridSpan w:val="2"/>
            <w:tcBorders>
              <w:top w:val="single" w:sz="4" w:space="0" w:color="auto"/>
              <w:left w:val="single" w:sz="4" w:space="0" w:color="auto"/>
              <w:bottom w:val="single" w:sz="4" w:space="0" w:color="auto"/>
              <w:right w:val="single" w:sz="4" w:space="0" w:color="auto"/>
            </w:tcBorders>
          </w:tcPr>
          <w:p w14:paraId="003528FC" w14:textId="77777777" w:rsidR="00013785" w:rsidRPr="0035061C" w:rsidRDefault="00013785" w:rsidP="00DF0BBA">
            <w:pPr>
              <w:keepNext/>
              <w:rPr>
                <w:rFonts w:ascii="Times New Roman" w:hAnsi="Times New Roman"/>
                <w:b/>
                <w:sz w:val="22"/>
              </w:rPr>
            </w:pPr>
            <w:r w:rsidRPr="0035061C">
              <w:rPr>
                <w:rFonts w:ascii="Times New Roman" w:hAnsi="Times New Roman"/>
                <w:b/>
                <w:sz w:val="22"/>
              </w:rPr>
              <w:t>Overall</w:t>
            </w:r>
          </w:p>
        </w:tc>
      </w:tr>
      <w:tr w:rsidR="00013785" w:rsidRPr="005E594B" w14:paraId="62CA636E" w14:textId="77777777" w:rsidTr="00C74655">
        <w:trPr>
          <w:tblHeader/>
        </w:trPr>
        <w:tc>
          <w:tcPr>
            <w:tcW w:w="4786" w:type="dxa"/>
            <w:vMerge/>
            <w:hideMark/>
          </w:tcPr>
          <w:p w14:paraId="3B626E91" w14:textId="77777777" w:rsidR="00013785" w:rsidRPr="00147E5D" w:rsidRDefault="00013785" w:rsidP="00DF0BBA">
            <w:pPr>
              <w:keepNext/>
              <w:ind w:left="425"/>
              <w:rPr>
                <w:rFonts w:ascii="Times New Roman" w:hAnsi="Times New Roman"/>
                <w:b/>
                <w:sz w:val="22"/>
              </w:rPr>
            </w:pPr>
          </w:p>
        </w:tc>
        <w:tc>
          <w:tcPr>
            <w:tcW w:w="2126" w:type="dxa"/>
            <w:tcBorders>
              <w:top w:val="single" w:sz="4" w:space="0" w:color="auto"/>
              <w:left w:val="single" w:sz="4" w:space="0" w:color="auto"/>
              <w:bottom w:val="single" w:sz="4" w:space="0" w:color="auto"/>
              <w:right w:val="single" w:sz="4" w:space="0" w:color="auto"/>
            </w:tcBorders>
            <w:hideMark/>
          </w:tcPr>
          <w:p w14:paraId="4A389091" w14:textId="77777777" w:rsidR="00013785" w:rsidRDefault="00013785" w:rsidP="00DF0BBA">
            <w:pPr>
              <w:keepNext/>
              <w:rPr>
                <w:rFonts w:ascii="Times New Roman" w:hAnsi="Times New Roman"/>
                <w:b/>
                <w:sz w:val="22"/>
              </w:rPr>
            </w:pPr>
            <w:r>
              <w:rPr>
                <w:rFonts w:ascii="Times New Roman" w:hAnsi="Times New Roman"/>
                <w:b/>
                <w:sz w:val="22"/>
              </w:rPr>
              <w:t>Rimegepant 75 mg</w:t>
            </w:r>
          </w:p>
          <w:p w14:paraId="770ED933" w14:textId="47FE7702" w:rsidR="00013785" w:rsidRPr="005E594B" w:rsidRDefault="00013785" w:rsidP="00DF0BBA">
            <w:pPr>
              <w:keepNext/>
              <w:rPr>
                <w:rFonts w:ascii="Times New Roman" w:hAnsi="Times New Roman"/>
                <w:b/>
                <w:sz w:val="22"/>
              </w:rPr>
            </w:pPr>
            <w:r>
              <w:rPr>
                <w:rFonts w:ascii="Times New Roman" w:hAnsi="Times New Roman"/>
                <w:b/>
                <w:sz w:val="22"/>
              </w:rPr>
              <w:t>(n=</w:t>
            </w:r>
            <w:r w:rsidR="00FB4747">
              <w:rPr>
                <w:rFonts w:ascii="Times New Roman" w:hAnsi="Times New Roman"/>
                <w:b/>
                <w:sz w:val="22"/>
              </w:rPr>
              <w:t>370</w:t>
            </w:r>
            <w:r>
              <w:rPr>
                <w:rFonts w:ascii="Times New Roman" w:hAnsi="Times New Roman"/>
                <w:b/>
                <w:sz w:val="22"/>
              </w:rPr>
              <w:t>)</w:t>
            </w:r>
          </w:p>
        </w:tc>
        <w:tc>
          <w:tcPr>
            <w:tcW w:w="2149" w:type="dxa"/>
            <w:tcBorders>
              <w:top w:val="single" w:sz="4" w:space="0" w:color="auto"/>
              <w:left w:val="single" w:sz="4" w:space="0" w:color="auto"/>
              <w:bottom w:val="single" w:sz="4" w:space="0" w:color="auto"/>
              <w:right w:val="single" w:sz="4" w:space="0" w:color="auto"/>
            </w:tcBorders>
            <w:hideMark/>
          </w:tcPr>
          <w:p w14:paraId="0FAF6128" w14:textId="77777777" w:rsidR="00013785" w:rsidRDefault="00013785" w:rsidP="00DF0BBA">
            <w:pPr>
              <w:keepNext/>
              <w:rPr>
                <w:rFonts w:ascii="Times New Roman" w:hAnsi="Times New Roman"/>
                <w:b/>
                <w:sz w:val="22"/>
              </w:rPr>
            </w:pPr>
            <w:r>
              <w:rPr>
                <w:rFonts w:ascii="Times New Roman" w:hAnsi="Times New Roman"/>
                <w:b/>
                <w:sz w:val="22"/>
              </w:rPr>
              <w:t>Placebo</w:t>
            </w:r>
          </w:p>
          <w:p w14:paraId="562EF719" w14:textId="0DB9D8C3" w:rsidR="00013785" w:rsidRPr="005E594B" w:rsidRDefault="00013785" w:rsidP="00DF0BBA">
            <w:pPr>
              <w:keepNext/>
              <w:rPr>
                <w:rFonts w:ascii="Times New Roman" w:hAnsi="Times New Roman"/>
                <w:b/>
                <w:sz w:val="22"/>
              </w:rPr>
            </w:pPr>
            <w:r>
              <w:rPr>
                <w:rFonts w:ascii="Times New Roman" w:hAnsi="Times New Roman"/>
                <w:b/>
                <w:sz w:val="22"/>
              </w:rPr>
              <w:t>(n=</w:t>
            </w:r>
            <w:r w:rsidR="00FB4747">
              <w:rPr>
                <w:rFonts w:ascii="Times New Roman" w:hAnsi="Times New Roman"/>
                <w:b/>
                <w:sz w:val="22"/>
              </w:rPr>
              <w:t>371</w:t>
            </w:r>
            <w:r>
              <w:rPr>
                <w:rFonts w:ascii="Times New Roman" w:hAnsi="Times New Roman"/>
                <w:b/>
                <w:sz w:val="22"/>
              </w:rPr>
              <w:t>)</w:t>
            </w:r>
          </w:p>
        </w:tc>
      </w:tr>
      <w:tr w:rsidR="00013785" w:rsidRPr="005E594B" w14:paraId="2AA94C8A" w14:textId="77777777" w:rsidTr="00C74655">
        <w:tc>
          <w:tcPr>
            <w:tcW w:w="906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555BA4" w14:textId="4C4AD1F7" w:rsidR="00013785" w:rsidRPr="005E594B" w:rsidRDefault="00FB4747" w:rsidP="00DF0BBA">
            <w:pPr>
              <w:keepNext/>
              <w:rPr>
                <w:rFonts w:ascii="Times New Roman" w:hAnsi="Times New Roman"/>
                <w:b/>
                <w:sz w:val="22"/>
              </w:rPr>
            </w:pPr>
            <w:r>
              <w:rPr>
                <w:rFonts w:ascii="Times New Roman" w:hAnsi="Times New Roman"/>
                <w:b/>
                <w:sz w:val="22"/>
              </w:rPr>
              <w:t>Prophylaxis</w:t>
            </w:r>
            <w:r w:rsidR="00013785" w:rsidRPr="005E594B">
              <w:rPr>
                <w:rFonts w:ascii="Times New Roman" w:hAnsi="Times New Roman"/>
                <w:b/>
                <w:sz w:val="22"/>
              </w:rPr>
              <w:t xml:space="preserve"> Treatment </w:t>
            </w:r>
          </w:p>
        </w:tc>
      </w:tr>
      <w:tr w:rsidR="00FB4747" w:rsidRPr="005E594B" w14:paraId="05EDB230" w14:textId="77777777" w:rsidTr="00C74655">
        <w:tc>
          <w:tcPr>
            <w:tcW w:w="4786" w:type="dxa"/>
            <w:tcBorders>
              <w:top w:val="single" w:sz="4" w:space="0" w:color="auto"/>
              <w:left w:val="single" w:sz="4" w:space="0" w:color="auto"/>
              <w:bottom w:val="single" w:sz="4" w:space="0" w:color="auto"/>
              <w:right w:val="single" w:sz="4" w:space="0" w:color="auto"/>
            </w:tcBorders>
          </w:tcPr>
          <w:p w14:paraId="1492641D" w14:textId="77777777" w:rsidR="00FB4747" w:rsidRDefault="00FB4747" w:rsidP="00DF0BBA">
            <w:pPr>
              <w:ind w:left="425"/>
              <w:rPr>
                <w:rFonts w:ascii="Times New Roman" w:hAnsi="Times New Roman"/>
                <w:sz w:val="22"/>
              </w:rPr>
            </w:pPr>
            <w:r w:rsidRPr="7BB8B2CC">
              <w:rPr>
                <w:rFonts w:ascii="Times New Roman" w:hAnsi="Times New Roman"/>
                <w:sz w:val="22"/>
                <w:szCs w:val="22"/>
              </w:rPr>
              <w:t>Nasopharyngitis</w:t>
            </w:r>
          </w:p>
          <w:p w14:paraId="400D79EF" w14:textId="3FC26D05" w:rsidR="2C2055DA" w:rsidRDefault="2C2055DA" w:rsidP="00DF0BBA">
            <w:pPr>
              <w:ind w:left="425"/>
              <w:rPr>
                <w:rFonts w:ascii="Times New Roman" w:hAnsi="Times New Roman"/>
                <w:sz w:val="22"/>
                <w:szCs w:val="22"/>
              </w:rPr>
            </w:pPr>
            <w:r w:rsidRPr="7BB8B2CC">
              <w:rPr>
                <w:rFonts w:ascii="Times New Roman" w:hAnsi="Times New Roman"/>
                <w:sz w:val="22"/>
                <w:szCs w:val="22"/>
              </w:rPr>
              <w:t>Nausea</w:t>
            </w:r>
          </w:p>
          <w:p w14:paraId="20DD3D4C" w14:textId="653DAA3F" w:rsidR="007878E1" w:rsidRDefault="007878E1" w:rsidP="00DF0BBA">
            <w:pPr>
              <w:ind w:left="425"/>
              <w:rPr>
                <w:rFonts w:ascii="Times New Roman" w:hAnsi="Times New Roman"/>
                <w:sz w:val="22"/>
                <w:szCs w:val="22"/>
              </w:rPr>
            </w:pPr>
            <w:r>
              <w:rPr>
                <w:rFonts w:ascii="Times New Roman" w:hAnsi="Times New Roman"/>
                <w:sz w:val="22"/>
                <w:szCs w:val="22"/>
              </w:rPr>
              <w:t>Abdominal pain/dyspepsia</w:t>
            </w:r>
            <w:r w:rsidR="001B3194" w:rsidRPr="005E5122">
              <w:rPr>
                <w:rFonts w:ascii="Times New Roman" w:hAnsi="Times New Roman"/>
                <w:sz w:val="22"/>
                <w:szCs w:val="22"/>
                <w:vertAlign w:val="superscript"/>
              </w:rPr>
              <w:t>2</w:t>
            </w:r>
          </w:p>
          <w:p w14:paraId="101AF571" w14:textId="77777777" w:rsidR="00FB4747" w:rsidRDefault="00FB4747" w:rsidP="00DF0BBA">
            <w:pPr>
              <w:ind w:left="425"/>
              <w:rPr>
                <w:rFonts w:ascii="Times New Roman" w:hAnsi="Times New Roman"/>
                <w:sz w:val="22"/>
              </w:rPr>
            </w:pPr>
            <w:r>
              <w:rPr>
                <w:rFonts w:ascii="Times New Roman" w:hAnsi="Times New Roman"/>
                <w:sz w:val="22"/>
              </w:rPr>
              <w:t>Urinary tract infection</w:t>
            </w:r>
          </w:p>
          <w:p w14:paraId="68A860F4" w14:textId="77777777" w:rsidR="00FB4747" w:rsidRDefault="00FB4747" w:rsidP="00DF0BBA">
            <w:pPr>
              <w:ind w:left="425"/>
              <w:rPr>
                <w:rFonts w:ascii="Times New Roman" w:hAnsi="Times New Roman"/>
                <w:sz w:val="22"/>
              </w:rPr>
            </w:pPr>
            <w:r>
              <w:rPr>
                <w:rFonts w:ascii="Times New Roman" w:hAnsi="Times New Roman"/>
                <w:sz w:val="22"/>
              </w:rPr>
              <w:t>Upper respiratory tract infection</w:t>
            </w:r>
          </w:p>
          <w:p w14:paraId="3256B31E" w14:textId="372A46BF" w:rsidR="00FB4747" w:rsidRDefault="00FB4747" w:rsidP="00DF0BBA">
            <w:pPr>
              <w:ind w:left="425"/>
              <w:rPr>
                <w:sz w:val="22"/>
              </w:rPr>
            </w:pPr>
            <w:r>
              <w:rPr>
                <w:rFonts w:ascii="Times New Roman" w:hAnsi="Times New Roman"/>
                <w:sz w:val="22"/>
              </w:rPr>
              <w:t>Sinusit</w:t>
            </w:r>
            <w:r w:rsidR="006855C4">
              <w:rPr>
                <w:rFonts w:ascii="Times New Roman" w:hAnsi="Times New Roman"/>
                <w:sz w:val="22"/>
              </w:rPr>
              <w:t>i</w:t>
            </w:r>
            <w:r>
              <w:rPr>
                <w:rFonts w:ascii="Times New Roman" w:hAnsi="Times New Roman"/>
                <w:sz w:val="22"/>
              </w:rPr>
              <w:t>s</w:t>
            </w:r>
          </w:p>
        </w:tc>
        <w:tc>
          <w:tcPr>
            <w:tcW w:w="2126" w:type="dxa"/>
            <w:tcBorders>
              <w:top w:val="single" w:sz="4" w:space="0" w:color="auto"/>
              <w:left w:val="single" w:sz="4" w:space="0" w:color="auto"/>
              <w:bottom w:val="single" w:sz="4" w:space="0" w:color="auto"/>
              <w:right w:val="single" w:sz="4" w:space="0" w:color="auto"/>
            </w:tcBorders>
          </w:tcPr>
          <w:p w14:paraId="3A1D2594" w14:textId="77777777" w:rsidR="00FB4747" w:rsidRDefault="00FB4747" w:rsidP="00DF0BBA">
            <w:pPr>
              <w:rPr>
                <w:rFonts w:ascii="Times New Roman" w:hAnsi="Times New Roman"/>
                <w:sz w:val="22"/>
              </w:rPr>
            </w:pPr>
            <w:r w:rsidRPr="7BB8B2CC">
              <w:rPr>
                <w:rFonts w:ascii="Times New Roman" w:hAnsi="Times New Roman"/>
                <w:sz w:val="22"/>
                <w:szCs w:val="22"/>
              </w:rPr>
              <w:t>13 (3.5)</w:t>
            </w:r>
          </w:p>
          <w:p w14:paraId="236DD976" w14:textId="335ABDFC" w:rsidR="76769451" w:rsidRDefault="76769451" w:rsidP="00DF0BBA">
            <w:pPr>
              <w:rPr>
                <w:rFonts w:ascii="Times New Roman" w:hAnsi="Times New Roman"/>
                <w:sz w:val="22"/>
                <w:szCs w:val="22"/>
              </w:rPr>
            </w:pPr>
            <w:r w:rsidRPr="7BB8B2CC">
              <w:rPr>
                <w:rFonts w:ascii="Times New Roman" w:hAnsi="Times New Roman"/>
                <w:sz w:val="22"/>
                <w:szCs w:val="22"/>
              </w:rPr>
              <w:t>10 (2.7)</w:t>
            </w:r>
          </w:p>
          <w:p w14:paraId="3B373095" w14:textId="33DF8B37" w:rsidR="007878E1" w:rsidRDefault="007878E1" w:rsidP="00DF0BBA">
            <w:pPr>
              <w:rPr>
                <w:rFonts w:ascii="Times New Roman" w:hAnsi="Times New Roman"/>
                <w:sz w:val="22"/>
                <w:szCs w:val="22"/>
              </w:rPr>
            </w:pPr>
            <w:r>
              <w:rPr>
                <w:rFonts w:ascii="Times New Roman" w:hAnsi="Times New Roman"/>
                <w:sz w:val="22"/>
                <w:szCs w:val="22"/>
              </w:rPr>
              <w:t>9 (2.4)</w:t>
            </w:r>
          </w:p>
          <w:p w14:paraId="620178B6" w14:textId="77777777" w:rsidR="00FB4747" w:rsidRDefault="00FB4747" w:rsidP="00DF0BBA">
            <w:pPr>
              <w:rPr>
                <w:rFonts w:ascii="Times New Roman" w:hAnsi="Times New Roman"/>
                <w:sz w:val="22"/>
              </w:rPr>
            </w:pPr>
            <w:r>
              <w:rPr>
                <w:rFonts w:ascii="Times New Roman" w:hAnsi="Times New Roman"/>
                <w:sz w:val="22"/>
              </w:rPr>
              <w:t>9 (2.4)</w:t>
            </w:r>
          </w:p>
          <w:p w14:paraId="7569D921" w14:textId="77777777" w:rsidR="00FB4747" w:rsidRDefault="00FB4747" w:rsidP="00DF0BBA">
            <w:pPr>
              <w:rPr>
                <w:rFonts w:ascii="Times New Roman" w:hAnsi="Times New Roman"/>
                <w:sz w:val="22"/>
              </w:rPr>
            </w:pPr>
            <w:r>
              <w:rPr>
                <w:rFonts w:ascii="Times New Roman" w:hAnsi="Times New Roman"/>
                <w:sz w:val="22"/>
              </w:rPr>
              <w:t>8 (2.2)</w:t>
            </w:r>
          </w:p>
          <w:p w14:paraId="432252C6" w14:textId="0802D7D2" w:rsidR="00FB4747" w:rsidRDefault="00FB4747" w:rsidP="00DF0BBA">
            <w:pPr>
              <w:rPr>
                <w:sz w:val="22"/>
              </w:rPr>
            </w:pPr>
            <w:r>
              <w:rPr>
                <w:rFonts w:ascii="Times New Roman" w:hAnsi="Times New Roman"/>
                <w:sz w:val="22"/>
              </w:rPr>
              <w:t>4 (1.1)</w:t>
            </w:r>
          </w:p>
        </w:tc>
        <w:tc>
          <w:tcPr>
            <w:tcW w:w="2149" w:type="dxa"/>
            <w:tcBorders>
              <w:top w:val="single" w:sz="4" w:space="0" w:color="auto"/>
              <w:left w:val="single" w:sz="4" w:space="0" w:color="auto"/>
              <w:bottom w:val="single" w:sz="4" w:space="0" w:color="auto"/>
              <w:right w:val="single" w:sz="4" w:space="0" w:color="auto"/>
            </w:tcBorders>
          </w:tcPr>
          <w:p w14:paraId="2DBB93AA" w14:textId="77777777" w:rsidR="00FB4747" w:rsidRDefault="00FB4747" w:rsidP="00DF0BBA">
            <w:pPr>
              <w:rPr>
                <w:rFonts w:ascii="Times New Roman" w:hAnsi="Times New Roman"/>
                <w:sz w:val="22"/>
              </w:rPr>
            </w:pPr>
            <w:r w:rsidRPr="7BB8B2CC">
              <w:rPr>
                <w:rFonts w:ascii="Times New Roman" w:hAnsi="Times New Roman"/>
                <w:sz w:val="22"/>
                <w:szCs w:val="22"/>
              </w:rPr>
              <w:t>9 (2.4)</w:t>
            </w:r>
          </w:p>
          <w:p w14:paraId="029C53D3" w14:textId="6A41EB0A" w:rsidR="098025B3" w:rsidRDefault="098025B3" w:rsidP="00DF0BBA">
            <w:pPr>
              <w:rPr>
                <w:rFonts w:ascii="Times New Roman" w:hAnsi="Times New Roman"/>
                <w:sz w:val="22"/>
                <w:szCs w:val="22"/>
              </w:rPr>
            </w:pPr>
            <w:r w:rsidRPr="7BB8B2CC">
              <w:rPr>
                <w:rFonts w:ascii="Times New Roman" w:hAnsi="Times New Roman"/>
                <w:sz w:val="22"/>
                <w:szCs w:val="22"/>
              </w:rPr>
              <w:t>3 (0.8)</w:t>
            </w:r>
          </w:p>
          <w:p w14:paraId="7DE2CFD9" w14:textId="12682FEE" w:rsidR="007878E1" w:rsidRDefault="007878E1" w:rsidP="00DF0BBA">
            <w:pPr>
              <w:rPr>
                <w:rFonts w:ascii="Times New Roman" w:hAnsi="Times New Roman"/>
                <w:sz w:val="22"/>
                <w:szCs w:val="22"/>
              </w:rPr>
            </w:pPr>
            <w:r>
              <w:rPr>
                <w:rFonts w:ascii="Times New Roman" w:hAnsi="Times New Roman"/>
                <w:sz w:val="22"/>
                <w:szCs w:val="22"/>
              </w:rPr>
              <w:t>3 (0.8)</w:t>
            </w:r>
          </w:p>
          <w:p w14:paraId="786E1C2D" w14:textId="77777777" w:rsidR="00FB4747" w:rsidRDefault="00FB4747" w:rsidP="00DF0BBA">
            <w:pPr>
              <w:rPr>
                <w:rFonts w:ascii="Times New Roman" w:hAnsi="Times New Roman"/>
                <w:sz w:val="22"/>
              </w:rPr>
            </w:pPr>
            <w:r>
              <w:rPr>
                <w:rFonts w:ascii="Times New Roman" w:hAnsi="Times New Roman"/>
                <w:sz w:val="22"/>
              </w:rPr>
              <w:t>9 (2.4)</w:t>
            </w:r>
          </w:p>
          <w:p w14:paraId="611BC3F0" w14:textId="20DB8359" w:rsidR="00FB4747" w:rsidRDefault="00FB4747" w:rsidP="00DF0BBA">
            <w:pPr>
              <w:rPr>
                <w:rFonts w:ascii="Times New Roman" w:hAnsi="Times New Roman"/>
                <w:sz w:val="22"/>
              </w:rPr>
            </w:pPr>
            <w:r>
              <w:rPr>
                <w:rFonts w:ascii="Times New Roman" w:hAnsi="Times New Roman"/>
                <w:sz w:val="22"/>
              </w:rPr>
              <w:t>10 (2.7)</w:t>
            </w:r>
          </w:p>
          <w:p w14:paraId="16CE5DB5" w14:textId="1AE9B37B" w:rsidR="00FB4747" w:rsidRPr="00FB4747" w:rsidRDefault="00FB4747" w:rsidP="00DF0BBA">
            <w:pPr>
              <w:rPr>
                <w:rFonts w:ascii="Times New Roman" w:hAnsi="Times New Roman"/>
                <w:sz w:val="22"/>
                <w:szCs w:val="22"/>
              </w:rPr>
            </w:pPr>
            <w:r w:rsidRPr="7BB8B2CC">
              <w:rPr>
                <w:rFonts w:ascii="Times New Roman" w:hAnsi="Times New Roman"/>
                <w:sz w:val="22"/>
                <w:szCs w:val="22"/>
              </w:rPr>
              <w:t>12 (3.2</w:t>
            </w:r>
            <w:r w:rsidR="00364A62" w:rsidRPr="7BB8B2CC">
              <w:rPr>
                <w:rFonts w:ascii="Times New Roman" w:hAnsi="Times New Roman"/>
                <w:sz w:val="22"/>
                <w:szCs w:val="22"/>
              </w:rPr>
              <w:t>)</w:t>
            </w:r>
          </w:p>
        </w:tc>
      </w:tr>
    </w:tbl>
    <w:p w14:paraId="2A56ABF7" w14:textId="1FA753D1" w:rsidR="001B3194" w:rsidRDefault="00013785" w:rsidP="00DF0BBA">
      <w:pPr>
        <w:rPr>
          <w:sz w:val="22"/>
          <w:szCs w:val="22"/>
        </w:rPr>
      </w:pPr>
      <w:r w:rsidRPr="7F1CA4BF">
        <w:rPr>
          <w:sz w:val="22"/>
          <w:szCs w:val="22"/>
        </w:rPr>
        <w:t>Note: Adverse events (AEs) are listed in descending order of frequency</w:t>
      </w:r>
      <w:r>
        <w:br/>
      </w:r>
      <w:r w:rsidRPr="7F1CA4BF">
        <w:rPr>
          <w:sz w:val="22"/>
          <w:szCs w:val="22"/>
          <w:vertAlign w:val="superscript"/>
        </w:rPr>
        <w:t>1</w:t>
      </w:r>
      <w:r w:rsidRPr="7F1CA4BF">
        <w:rPr>
          <w:sz w:val="22"/>
          <w:szCs w:val="22"/>
        </w:rPr>
        <w:t xml:space="preserve"> AEs are coded using MedDRA</w:t>
      </w:r>
      <w:r>
        <w:br/>
      </w:r>
      <w:r w:rsidR="001B3194" w:rsidRPr="7F1CA4BF">
        <w:rPr>
          <w:sz w:val="22"/>
          <w:szCs w:val="22"/>
          <w:vertAlign w:val="superscript"/>
        </w:rPr>
        <w:t>2</w:t>
      </w:r>
      <w:r w:rsidR="001B3194" w:rsidRPr="7F1CA4BF">
        <w:rPr>
          <w:sz w:val="22"/>
          <w:szCs w:val="22"/>
        </w:rPr>
        <w:t xml:space="preserve"> A composite of terms including: </w:t>
      </w:r>
      <w:r w:rsidR="002F0D3F" w:rsidRPr="7F1CA4BF">
        <w:rPr>
          <w:sz w:val="22"/>
          <w:szCs w:val="22"/>
        </w:rPr>
        <w:t xml:space="preserve">dyspepsia, epigastric </w:t>
      </w:r>
      <w:r w:rsidR="00B8059C" w:rsidRPr="607FBDB0">
        <w:rPr>
          <w:sz w:val="22"/>
          <w:szCs w:val="22"/>
        </w:rPr>
        <w:t>discomfort</w:t>
      </w:r>
      <w:r w:rsidR="002F0D3F" w:rsidRPr="7F1CA4BF">
        <w:rPr>
          <w:sz w:val="22"/>
          <w:szCs w:val="22"/>
        </w:rPr>
        <w:t xml:space="preserve">, </w:t>
      </w:r>
      <w:r w:rsidR="227E9D02" w:rsidRPr="49ED6373">
        <w:rPr>
          <w:sz w:val="22"/>
          <w:szCs w:val="22"/>
        </w:rPr>
        <w:t>gastro</w:t>
      </w:r>
      <w:r w:rsidR="00367A4B">
        <w:rPr>
          <w:sz w:val="22"/>
          <w:szCs w:val="22"/>
        </w:rPr>
        <w:t>-</w:t>
      </w:r>
      <w:r w:rsidR="00833EA3">
        <w:rPr>
          <w:sz w:val="22"/>
          <w:szCs w:val="22"/>
        </w:rPr>
        <w:t>o</w:t>
      </w:r>
      <w:r w:rsidR="227E9D02" w:rsidRPr="49ED6373">
        <w:rPr>
          <w:sz w:val="22"/>
          <w:szCs w:val="22"/>
        </w:rPr>
        <w:t>esophageal</w:t>
      </w:r>
      <w:r w:rsidR="227E9D02" w:rsidRPr="7F1CA4BF">
        <w:rPr>
          <w:sz w:val="22"/>
          <w:szCs w:val="22"/>
        </w:rPr>
        <w:t xml:space="preserve"> reflux disease, </w:t>
      </w:r>
      <w:r w:rsidR="002F0D3F" w:rsidRPr="7F1CA4BF">
        <w:rPr>
          <w:sz w:val="22"/>
          <w:szCs w:val="22"/>
        </w:rPr>
        <w:t xml:space="preserve">abdominal tenderness, abdominal pain, </w:t>
      </w:r>
      <w:r w:rsidR="00A25C13">
        <w:rPr>
          <w:sz w:val="22"/>
          <w:szCs w:val="22"/>
        </w:rPr>
        <w:t xml:space="preserve">abdominal distension, </w:t>
      </w:r>
      <w:r w:rsidR="002F0D3F" w:rsidRPr="7F1CA4BF">
        <w:rPr>
          <w:sz w:val="22"/>
          <w:szCs w:val="22"/>
        </w:rPr>
        <w:t xml:space="preserve">abdominal </w:t>
      </w:r>
      <w:r w:rsidR="00265FA2">
        <w:rPr>
          <w:sz w:val="22"/>
          <w:szCs w:val="22"/>
        </w:rPr>
        <w:t xml:space="preserve">pain </w:t>
      </w:r>
      <w:r w:rsidR="00E01D6C">
        <w:rPr>
          <w:sz w:val="22"/>
          <w:szCs w:val="22"/>
        </w:rPr>
        <w:t xml:space="preserve">lower and </w:t>
      </w:r>
      <w:r w:rsidR="00EC2336">
        <w:rPr>
          <w:sz w:val="22"/>
          <w:szCs w:val="22"/>
        </w:rPr>
        <w:t xml:space="preserve">abdominal pain </w:t>
      </w:r>
      <w:r w:rsidR="00C64A31">
        <w:rPr>
          <w:sz w:val="22"/>
          <w:szCs w:val="22"/>
        </w:rPr>
        <w:t>upper</w:t>
      </w:r>
      <w:r w:rsidR="00AF2840" w:rsidRPr="7F1CA4BF">
        <w:rPr>
          <w:sz w:val="22"/>
          <w:szCs w:val="22"/>
        </w:rPr>
        <w:t>.</w:t>
      </w:r>
    </w:p>
    <w:p w14:paraId="5466CB1B" w14:textId="5EDEF480" w:rsidR="005564DD" w:rsidRDefault="005564DD" w:rsidP="00DF0BBA">
      <w:pPr>
        <w:rPr>
          <w:sz w:val="22"/>
          <w:szCs w:val="22"/>
        </w:rPr>
      </w:pPr>
      <w:r w:rsidRPr="007E2157">
        <w:rPr>
          <w:sz w:val="22"/>
          <w:szCs w:val="22"/>
        </w:rPr>
        <w:t>^ AEs beginning on or after the first date study drug was taken through 7 days after the last date study drug was taken</w:t>
      </w:r>
    </w:p>
    <w:p w14:paraId="508587EB" w14:textId="77777777" w:rsidR="005564DD" w:rsidRPr="00623905" w:rsidRDefault="005564DD" w:rsidP="00DF0BBA">
      <w:pPr>
        <w:rPr>
          <w:sz w:val="22"/>
          <w:szCs w:val="22"/>
        </w:rPr>
      </w:pPr>
    </w:p>
    <w:p w14:paraId="1D8A055A" w14:textId="728FD7F7" w:rsidR="00F01281" w:rsidRPr="00F01281" w:rsidRDefault="0047572F" w:rsidP="00DF0BBA">
      <w:pPr>
        <w:pStyle w:val="CLDNormal"/>
        <w:jc w:val="left"/>
      </w:pPr>
      <w:r w:rsidRPr="00F72801">
        <w:rPr>
          <w:noProof/>
        </w:rPr>
        <w:t>Adverse reactions are listed by MedDRA system organ class in Table </w:t>
      </w:r>
      <w:r w:rsidR="00FB4747" w:rsidRPr="00F72801">
        <w:rPr>
          <w:noProof/>
        </w:rPr>
        <w:t>3</w:t>
      </w:r>
      <w:r w:rsidRPr="00F72801">
        <w:rPr>
          <w:noProof/>
        </w:rPr>
        <w:t>.</w:t>
      </w:r>
      <w:r w:rsidRPr="00623905">
        <w:rPr>
          <w:noProof/>
          <w:sz w:val="22"/>
          <w:szCs w:val="22"/>
        </w:rPr>
        <w:t xml:space="preserve">  </w:t>
      </w:r>
      <w:r w:rsidR="00EE358E" w:rsidRPr="00866E12">
        <w:t>The corresponding frequency category for each drug reaction is based on the following: very common (≥1/10); common (≥1/100 to &lt;1/10); uncommon (≥1/1,000 to &lt;1/100); rare (≥1/10,000 to &lt;1/1,000); very rare (&lt;1/10,000).</w:t>
      </w:r>
    </w:p>
    <w:p w14:paraId="1287A157" w14:textId="135D241B" w:rsidR="00EE358E" w:rsidRPr="005E594B" w:rsidRDefault="00EE358E" w:rsidP="00DF0BBA">
      <w:pPr>
        <w:keepNext/>
        <w:rPr>
          <w:b/>
          <w:sz w:val="22"/>
          <w:szCs w:val="22"/>
        </w:rPr>
      </w:pPr>
      <w:r w:rsidRPr="005E594B">
        <w:rPr>
          <w:b/>
          <w:sz w:val="22"/>
          <w:szCs w:val="22"/>
        </w:rPr>
        <w:lastRenderedPageBreak/>
        <w:t>Table </w:t>
      </w:r>
      <w:r w:rsidR="00FB4747">
        <w:rPr>
          <w:b/>
          <w:sz w:val="22"/>
          <w:szCs w:val="22"/>
        </w:rPr>
        <w:t>3</w:t>
      </w:r>
      <w:r w:rsidRPr="005E594B">
        <w:rPr>
          <w:b/>
          <w:sz w:val="22"/>
          <w:szCs w:val="22"/>
        </w:rPr>
        <w:tab/>
      </w:r>
      <w:r w:rsidRPr="005E594B">
        <w:rPr>
          <w:b/>
          <w:sz w:val="22"/>
          <w:szCs w:val="22"/>
        </w:rPr>
        <w:tab/>
        <w:t>List of adverse reactions</w:t>
      </w:r>
    </w:p>
    <w:tbl>
      <w:tblPr>
        <w:tblStyle w:val="TableGrid11"/>
        <w:tblW w:w="0" w:type="auto"/>
        <w:tblInd w:w="0" w:type="dxa"/>
        <w:tblLayout w:type="fixed"/>
        <w:tblLook w:val="04A0" w:firstRow="1" w:lastRow="0" w:firstColumn="1" w:lastColumn="0" w:noHBand="0" w:noVBand="1"/>
      </w:tblPr>
      <w:tblGrid>
        <w:gridCol w:w="2515"/>
        <w:gridCol w:w="4860"/>
        <w:gridCol w:w="1686"/>
      </w:tblGrid>
      <w:tr w:rsidR="00EE358E" w:rsidRPr="005E594B" w14:paraId="249B2D3D" w14:textId="77777777" w:rsidTr="002C1FFA">
        <w:trPr>
          <w:tblHeader/>
        </w:trPr>
        <w:tc>
          <w:tcPr>
            <w:tcW w:w="2515" w:type="dxa"/>
            <w:tcBorders>
              <w:top w:val="single" w:sz="4" w:space="0" w:color="auto"/>
              <w:left w:val="single" w:sz="4" w:space="0" w:color="auto"/>
              <w:bottom w:val="single" w:sz="4" w:space="0" w:color="auto"/>
              <w:right w:val="single" w:sz="4" w:space="0" w:color="auto"/>
            </w:tcBorders>
            <w:hideMark/>
          </w:tcPr>
          <w:p w14:paraId="78454E89" w14:textId="77777777" w:rsidR="00EE358E" w:rsidRPr="005E594B" w:rsidRDefault="00EE358E" w:rsidP="00DF0BBA">
            <w:pPr>
              <w:keepNext/>
              <w:rPr>
                <w:rFonts w:ascii="Times New Roman" w:hAnsi="Times New Roman"/>
                <w:b/>
                <w:sz w:val="22"/>
              </w:rPr>
            </w:pPr>
            <w:r w:rsidRPr="005E594B">
              <w:rPr>
                <w:rFonts w:ascii="Times New Roman" w:hAnsi="Times New Roman"/>
                <w:b/>
                <w:sz w:val="22"/>
              </w:rPr>
              <w:t>System Organ Class</w:t>
            </w:r>
          </w:p>
        </w:tc>
        <w:tc>
          <w:tcPr>
            <w:tcW w:w="4860" w:type="dxa"/>
            <w:tcBorders>
              <w:top w:val="single" w:sz="4" w:space="0" w:color="auto"/>
              <w:left w:val="single" w:sz="4" w:space="0" w:color="auto"/>
              <w:bottom w:val="single" w:sz="4" w:space="0" w:color="auto"/>
              <w:right w:val="single" w:sz="4" w:space="0" w:color="auto"/>
            </w:tcBorders>
            <w:hideMark/>
          </w:tcPr>
          <w:p w14:paraId="15E2C5FF" w14:textId="77777777" w:rsidR="00EE358E" w:rsidRPr="005E594B" w:rsidRDefault="00EE358E" w:rsidP="00DF0BBA">
            <w:pPr>
              <w:keepNext/>
              <w:rPr>
                <w:rFonts w:ascii="Times New Roman" w:hAnsi="Times New Roman"/>
                <w:b/>
                <w:sz w:val="22"/>
              </w:rPr>
            </w:pPr>
            <w:r w:rsidRPr="005E594B">
              <w:rPr>
                <w:rFonts w:ascii="Times New Roman" w:hAnsi="Times New Roman"/>
                <w:b/>
                <w:sz w:val="22"/>
              </w:rPr>
              <w:t xml:space="preserve">Adverse reaction </w:t>
            </w:r>
          </w:p>
        </w:tc>
        <w:tc>
          <w:tcPr>
            <w:tcW w:w="1686" w:type="dxa"/>
            <w:tcBorders>
              <w:top w:val="single" w:sz="4" w:space="0" w:color="auto"/>
              <w:left w:val="single" w:sz="4" w:space="0" w:color="auto"/>
              <w:bottom w:val="single" w:sz="4" w:space="0" w:color="auto"/>
              <w:right w:val="single" w:sz="4" w:space="0" w:color="auto"/>
            </w:tcBorders>
            <w:hideMark/>
          </w:tcPr>
          <w:p w14:paraId="37D29497" w14:textId="77777777" w:rsidR="00EE358E" w:rsidRPr="005E594B" w:rsidRDefault="00EE358E" w:rsidP="00DF0BBA">
            <w:pPr>
              <w:keepNext/>
              <w:rPr>
                <w:rFonts w:ascii="Times New Roman" w:hAnsi="Times New Roman"/>
                <w:b/>
                <w:sz w:val="22"/>
              </w:rPr>
            </w:pPr>
            <w:r w:rsidRPr="005E594B">
              <w:rPr>
                <w:rFonts w:ascii="Times New Roman" w:hAnsi="Times New Roman"/>
                <w:b/>
                <w:sz w:val="22"/>
              </w:rPr>
              <w:t>Frequency</w:t>
            </w:r>
          </w:p>
        </w:tc>
      </w:tr>
      <w:tr w:rsidR="00EE358E" w:rsidRPr="005E594B" w14:paraId="13B9D01C" w14:textId="77777777" w:rsidTr="002C1FFA">
        <w:tc>
          <w:tcPr>
            <w:tcW w:w="906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234277" w14:textId="77777777" w:rsidR="00EE358E" w:rsidRPr="005E594B" w:rsidRDefault="00EE358E" w:rsidP="00DF0BBA">
            <w:pPr>
              <w:keepNext/>
              <w:rPr>
                <w:rFonts w:ascii="Times New Roman" w:hAnsi="Times New Roman"/>
                <w:b/>
                <w:sz w:val="22"/>
              </w:rPr>
            </w:pPr>
            <w:r w:rsidRPr="005E594B">
              <w:rPr>
                <w:rFonts w:ascii="Times New Roman" w:hAnsi="Times New Roman"/>
                <w:b/>
                <w:sz w:val="22"/>
              </w:rPr>
              <w:t xml:space="preserve">Acute Treatment </w:t>
            </w:r>
          </w:p>
        </w:tc>
      </w:tr>
      <w:tr w:rsidR="00EE358E" w:rsidRPr="005E594B" w14:paraId="4683E3A4" w14:textId="77777777" w:rsidTr="002C1FFA">
        <w:tc>
          <w:tcPr>
            <w:tcW w:w="2515" w:type="dxa"/>
            <w:tcBorders>
              <w:top w:val="single" w:sz="4" w:space="0" w:color="auto"/>
              <w:left w:val="single" w:sz="4" w:space="0" w:color="auto"/>
              <w:bottom w:val="single" w:sz="4" w:space="0" w:color="auto"/>
              <w:right w:val="single" w:sz="4" w:space="0" w:color="auto"/>
            </w:tcBorders>
            <w:hideMark/>
          </w:tcPr>
          <w:p w14:paraId="5A7185D5" w14:textId="77777777" w:rsidR="00EE358E" w:rsidRPr="005E594B" w:rsidRDefault="00EE358E" w:rsidP="00DF0BBA">
            <w:pPr>
              <w:rPr>
                <w:rFonts w:ascii="Times New Roman" w:hAnsi="Times New Roman"/>
                <w:sz w:val="22"/>
              </w:rPr>
            </w:pPr>
            <w:r w:rsidRPr="005E594B">
              <w:rPr>
                <w:rFonts w:ascii="Times New Roman" w:hAnsi="Times New Roman"/>
                <w:sz w:val="22"/>
              </w:rPr>
              <w:t>Immune system disorders</w:t>
            </w:r>
          </w:p>
        </w:tc>
        <w:tc>
          <w:tcPr>
            <w:tcW w:w="4860" w:type="dxa"/>
            <w:tcBorders>
              <w:top w:val="single" w:sz="4" w:space="0" w:color="auto"/>
              <w:left w:val="single" w:sz="4" w:space="0" w:color="auto"/>
              <w:bottom w:val="single" w:sz="4" w:space="0" w:color="auto"/>
              <w:right w:val="single" w:sz="4" w:space="0" w:color="auto"/>
            </w:tcBorders>
            <w:hideMark/>
          </w:tcPr>
          <w:p w14:paraId="5028170B" w14:textId="77777777" w:rsidR="00EE358E" w:rsidRPr="005E594B" w:rsidRDefault="00EE358E" w:rsidP="00DF0BBA">
            <w:pPr>
              <w:rPr>
                <w:rFonts w:ascii="Times New Roman" w:hAnsi="Times New Roman"/>
                <w:sz w:val="22"/>
              </w:rPr>
            </w:pPr>
            <w:r w:rsidRPr="005E594B">
              <w:rPr>
                <w:rFonts w:ascii="Times New Roman" w:hAnsi="Times New Roman"/>
                <w:sz w:val="22"/>
              </w:rPr>
              <w:t>Hypersensitivity, including dyspnoea and severe rash</w:t>
            </w:r>
          </w:p>
        </w:tc>
        <w:tc>
          <w:tcPr>
            <w:tcW w:w="1686" w:type="dxa"/>
            <w:tcBorders>
              <w:top w:val="single" w:sz="4" w:space="0" w:color="auto"/>
              <w:left w:val="single" w:sz="4" w:space="0" w:color="auto"/>
              <w:bottom w:val="single" w:sz="4" w:space="0" w:color="auto"/>
              <w:right w:val="single" w:sz="4" w:space="0" w:color="auto"/>
            </w:tcBorders>
            <w:hideMark/>
          </w:tcPr>
          <w:p w14:paraId="2D08D298" w14:textId="77777777" w:rsidR="00EE358E" w:rsidRPr="005E594B" w:rsidRDefault="00EE358E" w:rsidP="00DF0BBA">
            <w:pPr>
              <w:rPr>
                <w:rFonts w:ascii="Times New Roman" w:hAnsi="Times New Roman"/>
                <w:sz w:val="22"/>
              </w:rPr>
            </w:pPr>
            <w:r w:rsidRPr="005E594B">
              <w:rPr>
                <w:rFonts w:ascii="Times New Roman" w:hAnsi="Times New Roman"/>
                <w:sz w:val="22"/>
              </w:rPr>
              <w:t>Uncommon</w:t>
            </w:r>
          </w:p>
        </w:tc>
      </w:tr>
      <w:tr w:rsidR="00EE358E" w:rsidRPr="005E594B" w14:paraId="06C6F56B" w14:textId="77777777" w:rsidTr="002C1FFA">
        <w:tc>
          <w:tcPr>
            <w:tcW w:w="2515" w:type="dxa"/>
            <w:tcBorders>
              <w:top w:val="single" w:sz="4" w:space="0" w:color="auto"/>
              <w:left w:val="single" w:sz="4" w:space="0" w:color="auto"/>
              <w:bottom w:val="single" w:sz="4" w:space="0" w:color="auto"/>
              <w:right w:val="single" w:sz="4" w:space="0" w:color="auto"/>
            </w:tcBorders>
            <w:hideMark/>
          </w:tcPr>
          <w:p w14:paraId="4CC0DCED" w14:textId="77777777" w:rsidR="00EE358E" w:rsidRPr="005E594B" w:rsidRDefault="00EE358E" w:rsidP="00DF0BBA">
            <w:pPr>
              <w:rPr>
                <w:rFonts w:ascii="Times New Roman" w:hAnsi="Times New Roman"/>
                <w:sz w:val="22"/>
              </w:rPr>
            </w:pPr>
            <w:r w:rsidRPr="005E594B">
              <w:rPr>
                <w:rFonts w:ascii="Times New Roman" w:hAnsi="Times New Roman"/>
                <w:sz w:val="22"/>
              </w:rPr>
              <w:t>Gastrointestinal disorders</w:t>
            </w:r>
          </w:p>
        </w:tc>
        <w:tc>
          <w:tcPr>
            <w:tcW w:w="4860" w:type="dxa"/>
            <w:tcBorders>
              <w:top w:val="single" w:sz="4" w:space="0" w:color="auto"/>
              <w:left w:val="single" w:sz="4" w:space="0" w:color="auto"/>
              <w:bottom w:val="single" w:sz="4" w:space="0" w:color="auto"/>
              <w:right w:val="single" w:sz="4" w:space="0" w:color="auto"/>
            </w:tcBorders>
            <w:hideMark/>
          </w:tcPr>
          <w:p w14:paraId="1DE83B7A" w14:textId="77777777" w:rsidR="00EE358E" w:rsidRPr="005E594B" w:rsidRDefault="00EE358E" w:rsidP="00DF0BBA">
            <w:pPr>
              <w:rPr>
                <w:rFonts w:ascii="Times New Roman" w:hAnsi="Times New Roman"/>
                <w:sz w:val="22"/>
              </w:rPr>
            </w:pPr>
            <w:r w:rsidRPr="005E594B">
              <w:rPr>
                <w:rFonts w:ascii="Times New Roman" w:hAnsi="Times New Roman"/>
                <w:sz w:val="22"/>
              </w:rPr>
              <w:t>Nausea</w:t>
            </w:r>
          </w:p>
        </w:tc>
        <w:tc>
          <w:tcPr>
            <w:tcW w:w="1686" w:type="dxa"/>
            <w:tcBorders>
              <w:top w:val="single" w:sz="4" w:space="0" w:color="auto"/>
              <w:left w:val="single" w:sz="4" w:space="0" w:color="auto"/>
              <w:bottom w:val="single" w:sz="4" w:space="0" w:color="auto"/>
              <w:right w:val="single" w:sz="4" w:space="0" w:color="auto"/>
            </w:tcBorders>
            <w:hideMark/>
          </w:tcPr>
          <w:p w14:paraId="713E86D1" w14:textId="77777777" w:rsidR="00EE358E" w:rsidRPr="005E594B" w:rsidRDefault="00EE358E" w:rsidP="00DF0BBA">
            <w:pPr>
              <w:rPr>
                <w:rFonts w:ascii="Times New Roman" w:hAnsi="Times New Roman"/>
                <w:sz w:val="22"/>
              </w:rPr>
            </w:pPr>
            <w:r w:rsidRPr="005E594B">
              <w:rPr>
                <w:rFonts w:ascii="Times New Roman" w:hAnsi="Times New Roman"/>
                <w:sz w:val="22"/>
              </w:rPr>
              <w:t>Common</w:t>
            </w:r>
          </w:p>
        </w:tc>
      </w:tr>
      <w:tr w:rsidR="00EE358E" w:rsidRPr="005E594B" w14:paraId="3775DD6C" w14:textId="77777777" w:rsidTr="002C1FFA">
        <w:tc>
          <w:tcPr>
            <w:tcW w:w="906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C1B628" w14:textId="77777777" w:rsidR="00EE358E" w:rsidRPr="005E594B" w:rsidRDefault="00EE358E" w:rsidP="00DF0BBA">
            <w:pPr>
              <w:keepNext/>
              <w:rPr>
                <w:rFonts w:ascii="Times New Roman" w:hAnsi="Times New Roman"/>
                <w:sz w:val="22"/>
              </w:rPr>
            </w:pPr>
            <w:r w:rsidRPr="005E594B">
              <w:rPr>
                <w:rFonts w:ascii="Times New Roman" w:hAnsi="Times New Roman"/>
                <w:b/>
                <w:sz w:val="22"/>
              </w:rPr>
              <w:t>Prophylaxis</w:t>
            </w:r>
          </w:p>
        </w:tc>
      </w:tr>
      <w:tr w:rsidR="00EE358E" w:rsidRPr="005E594B" w14:paraId="21EA8562" w14:textId="77777777" w:rsidTr="002C1FFA">
        <w:tc>
          <w:tcPr>
            <w:tcW w:w="2515" w:type="dxa"/>
            <w:tcBorders>
              <w:top w:val="single" w:sz="4" w:space="0" w:color="auto"/>
              <w:left w:val="single" w:sz="4" w:space="0" w:color="auto"/>
              <w:bottom w:val="single" w:sz="4" w:space="0" w:color="auto"/>
              <w:right w:val="single" w:sz="4" w:space="0" w:color="auto"/>
            </w:tcBorders>
            <w:hideMark/>
          </w:tcPr>
          <w:p w14:paraId="3FBC3740" w14:textId="77777777" w:rsidR="00EE358E" w:rsidRPr="005E594B" w:rsidRDefault="00EE358E" w:rsidP="00DF0BBA">
            <w:pPr>
              <w:rPr>
                <w:rFonts w:ascii="Times New Roman" w:hAnsi="Times New Roman"/>
                <w:sz w:val="22"/>
              </w:rPr>
            </w:pPr>
            <w:r w:rsidRPr="005E594B">
              <w:rPr>
                <w:rFonts w:ascii="Times New Roman" w:hAnsi="Times New Roman"/>
                <w:sz w:val="22"/>
              </w:rPr>
              <w:t>Gastrointestinal disorders</w:t>
            </w:r>
          </w:p>
        </w:tc>
        <w:tc>
          <w:tcPr>
            <w:tcW w:w="4860" w:type="dxa"/>
            <w:tcBorders>
              <w:top w:val="single" w:sz="4" w:space="0" w:color="auto"/>
              <w:left w:val="single" w:sz="4" w:space="0" w:color="auto"/>
              <w:bottom w:val="single" w:sz="4" w:space="0" w:color="auto"/>
              <w:right w:val="single" w:sz="4" w:space="0" w:color="auto"/>
            </w:tcBorders>
            <w:hideMark/>
          </w:tcPr>
          <w:p w14:paraId="32A062E0" w14:textId="7238600E" w:rsidR="007878E1" w:rsidRPr="005E594B" w:rsidRDefault="00EE358E" w:rsidP="00DF0BBA">
            <w:pPr>
              <w:rPr>
                <w:rFonts w:ascii="Times New Roman" w:hAnsi="Times New Roman"/>
                <w:sz w:val="22"/>
              </w:rPr>
            </w:pPr>
            <w:r w:rsidRPr="005E594B">
              <w:rPr>
                <w:rFonts w:ascii="Times New Roman" w:hAnsi="Times New Roman"/>
                <w:sz w:val="22"/>
              </w:rPr>
              <w:t>Nausea</w:t>
            </w:r>
          </w:p>
        </w:tc>
        <w:tc>
          <w:tcPr>
            <w:tcW w:w="1686" w:type="dxa"/>
            <w:tcBorders>
              <w:top w:val="single" w:sz="4" w:space="0" w:color="auto"/>
              <w:left w:val="single" w:sz="4" w:space="0" w:color="auto"/>
              <w:bottom w:val="single" w:sz="4" w:space="0" w:color="auto"/>
              <w:right w:val="single" w:sz="4" w:space="0" w:color="auto"/>
            </w:tcBorders>
            <w:hideMark/>
          </w:tcPr>
          <w:p w14:paraId="4DFDEFEF" w14:textId="77C9E415" w:rsidR="007878E1" w:rsidRPr="005E594B" w:rsidRDefault="00EE358E" w:rsidP="00DF0BBA">
            <w:pPr>
              <w:rPr>
                <w:rFonts w:ascii="Times New Roman" w:hAnsi="Times New Roman"/>
                <w:b/>
                <w:sz w:val="22"/>
              </w:rPr>
            </w:pPr>
            <w:r w:rsidRPr="005E594B">
              <w:rPr>
                <w:rFonts w:ascii="Times New Roman" w:hAnsi="Times New Roman"/>
                <w:sz w:val="22"/>
              </w:rPr>
              <w:t>Common</w:t>
            </w:r>
          </w:p>
        </w:tc>
      </w:tr>
    </w:tbl>
    <w:p w14:paraId="40DF527A" w14:textId="251D0788" w:rsidR="00F01281" w:rsidRPr="006B1E07" w:rsidRDefault="00FC61D9" w:rsidP="00DF0BBA">
      <w:pPr>
        <w:pStyle w:val="CLDHeading3"/>
        <w:numPr>
          <w:ilvl w:val="0"/>
          <w:numId w:val="0"/>
        </w:numPr>
      </w:pPr>
      <w:r w:rsidRPr="00F72801">
        <w:t>Long-term safety</w:t>
      </w:r>
    </w:p>
    <w:p w14:paraId="7FDB2688" w14:textId="6F0EC278" w:rsidR="00FC61D9" w:rsidRDefault="00A34EE1" w:rsidP="00DF0BBA">
      <w:pPr>
        <w:pStyle w:val="CLDNormal"/>
        <w:jc w:val="left"/>
      </w:pPr>
      <w:r w:rsidRPr="00A34EE1">
        <w:t>Long-term safety of rimegepant was assessed in two one</w:t>
      </w:r>
      <w:r w:rsidR="393FBD3B">
        <w:t>-</w:t>
      </w:r>
      <w:r w:rsidRPr="00A34EE1">
        <w:t>year, open-label extensions; 1662</w:t>
      </w:r>
      <w:r w:rsidR="0047572F">
        <w:t> </w:t>
      </w:r>
      <w:r w:rsidRPr="00A34EE1">
        <w:t>patients received rimegepant for at least 6 months and 740 received rimegepant for 12</w:t>
      </w:r>
      <w:r w:rsidR="0047572F">
        <w:t> </w:t>
      </w:r>
      <w:r w:rsidRPr="00A34EE1">
        <w:t>months for acute or prophylactic treatment.</w:t>
      </w:r>
    </w:p>
    <w:p w14:paraId="747BA857" w14:textId="77777777" w:rsidR="0047572F" w:rsidRPr="00560297" w:rsidRDefault="0047572F" w:rsidP="00DF0BBA">
      <w:pPr>
        <w:pStyle w:val="CLDHeading3"/>
        <w:numPr>
          <w:ilvl w:val="0"/>
          <w:numId w:val="0"/>
        </w:numPr>
      </w:pPr>
      <w:r w:rsidRPr="00F72801">
        <w:t>Description of selected adverse reactions</w:t>
      </w:r>
    </w:p>
    <w:p w14:paraId="671F060A" w14:textId="77777777" w:rsidR="0047572F" w:rsidRPr="00037411" w:rsidRDefault="0047572F" w:rsidP="00DF0BBA">
      <w:pPr>
        <w:pStyle w:val="CLDHeading4"/>
        <w:rPr>
          <w:noProof/>
        </w:rPr>
      </w:pPr>
      <w:r w:rsidRPr="00037411">
        <w:rPr>
          <w:noProof/>
        </w:rPr>
        <w:t>Hypersensitivity reactions</w:t>
      </w:r>
    </w:p>
    <w:p w14:paraId="00E1E0D9" w14:textId="5E47DEFE" w:rsidR="0047572F" w:rsidRDefault="0047572F" w:rsidP="00DF0BBA">
      <w:pPr>
        <w:pStyle w:val="CLDNormal"/>
        <w:jc w:val="left"/>
        <w:rPr>
          <w:noProof/>
        </w:rPr>
      </w:pPr>
      <w:r w:rsidRPr="001D5C89">
        <w:rPr>
          <w:noProof/>
        </w:rPr>
        <w:t>Hypersensitivity, including dyspnoea and severe rash, occurred in less than 1% of patients treated in clinical studies.</w:t>
      </w:r>
      <w:r>
        <w:rPr>
          <w:noProof/>
        </w:rPr>
        <w:t xml:space="preserve"> </w:t>
      </w:r>
      <w:r w:rsidRPr="001D5C89">
        <w:rPr>
          <w:noProof/>
        </w:rPr>
        <w:t xml:space="preserve"> Hypersensitivity reactions can occur days after administration, and delayed serious hypersensitivity has occurred.</w:t>
      </w:r>
    </w:p>
    <w:p w14:paraId="064292E3" w14:textId="03E73100" w:rsidR="00890288" w:rsidRDefault="00890288" w:rsidP="00DF0BBA">
      <w:pPr>
        <w:pStyle w:val="CLDHeading3"/>
        <w:numPr>
          <w:ilvl w:val="0"/>
          <w:numId w:val="0"/>
        </w:numPr>
        <w:rPr>
          <w:noProof/>
        </w:rPr>
      </w:pPr>
      <w:r>
        <w:rPr>
          <w:noProof/>
        </w:rPr>
        <w:t>Post marketing experience</w:t>
      </w:r>
    </w:p>
    <w:p w14:paraId="0A65A3FF" w14:textId="0DB82C6A" w:rsidR="00890288" w:rsidRDefault="00DE4D0F" w:rsidP="00DF0BBA">
      <w:pPr>
        <w:pStyle w:val="CLDNormal"/>
        <w:jc w:val="left"/>
      </w:pPr>
      <w:r>
        <w:t>The limited post-marketing experience with this formulation of rimegepant is consistent with the above profile.</w:t>
      </w:r>
    </w:p>
    <w:p w14:paraId="64188315" w14:textId="1CB00B08" w:rsidR="003C4BE5" w:rsidRPr="00F72801" w:rsidRDefault="003C4BE5" w:rsidP="00DF0BBA">
      <w:pPr>
        <w:pStyle w:val="CLDHeading3"/>
        <w:numPr>
          <w:ilvl w:val="0"/>
          <w:numId w:val="0"/>
        </w:numPr>
      </w:pPr>
      <w:r>
        <w:t>Reporting suspected adverse effects</w:t>
      </w:r>
      <w:r w:rsidRPr="00F72801">
        <w:t xml:space="preserve"> </w:t>
      </w:r>
    </w:p>
    <w:p w14:paraId="3E1FDB5C" w14:textId="42D7F898" w:rsidR="00C40E91" w:rsidRPr="0061777E" w:rsidRDefault="00C40E91" w:rsidP="00DF0BBA">
      <w:pPr>
        <w:pStyle w:val="CLDNormal"/>
        <w:jc w:val="left"/>
      </w:pPr>
      <w:r w:rsidRPr="00C40E91">
        <w:t>Reporting suspected adverse reactions after registration of the medicinal product is important.</w:t>
      </w:r>
      <w:r w:rsidR="0047572F">
        <w:t xml:space="preserve"> </w:t>
      </w:r>
      <w:r w:rsidR="004C6FDE">
        <w:t xml:space="preserve"> </w:t>
      </w:r>
      <w:r w:rsidRPr="00C40E91">
        <w:t xml:space="preserve">It allows continued monitoring of the benefit-risk balance of the medicinal product. </w:t>
      </w:r>
      <w:r w:rsidR="004C6FDE">
        <w:t xml:space="preserve"> </w:t>
      </w:r>
      <w:r w:rsidRPr="00C40E91">
        <w:t xml:space="preserve">Healthcare professionals are asked to report any suspected adverse reactions at </w:t>
      </w:r>
      <w:hyperlink r:id="rId14" w:history="1">
        <w:r w:rsidR="00433191" w:rsidRPr="00891AFB">
          <w:rPr>
            <w:rStyle w:val="Hyperlink"/>
          </w:rPr>
          <w:t>www.tga.gov.au/reporting-problems</w:t>
        </w:r>
      </w:hyperlink>
      <w:r>
        <w:t>.</w:t>
      </w:r>
    </w:p>
    <w:p w14:paraId="672F29A4" w14:textId="2A788485" w:rsidR="00112E5B" w:rsidRPr="001A0577" w:rsidRDefault="00003E72" w:rsidP="00DF0BBA">
      <w:pPr>
        <w:pStyle w:val="CLDHeading2"/>
      </w:pPr>
      <w:r w:rsidRPr="001A0577">
        <w:t>4.9</w:t>
      </w:r>
      <w:r w:rsidRPr="001A0577">
        <w:tab/>
      </w:r>
      <w:r w:rsidR="00112E5B" w:rsidRPr="001A0577">
        <w:t>Overdos</w:t>
      </w:r>
      <w:r w:rsidR="0061777E" w:rsidRPr="001A0577">
        <w:t>e</w:t>
      </w:r>
    </w:p>
    <w:p w14:paraId="73163328" w14:textId="7268A8B8" w:rsidR="00D87270" w:rsidRDefault="00D84E7B" w:rsidP="00DF0BBA">
      <w:pPr>
        <w:pStyle w:val="CLDNormal"/>
        <w:jc w:val="left"/>
        <w:rPr>
          <w:i/>
          <w:iCs/>
          <w:color w:val="FF0000"/>
        </w:rPr>
      </w:pPr>
      <w:r w:rsidRPr="00D84E7B">
        <w:t>There is limited clinical experience with rimegepant overdose.</w:t>
      </w:r>
      <w:r w:rsidR="0047572F">
        <w:t xml:space="preserve"> </w:t>
      </w:r>
      <w:r w:rsidRPr="00D84E7B">
        <w:t xml:space="preserve"> No overdose symptoms have been reported. </w:t>
      </w:r>
      <w:r w:rsidR="0047572F">
        <w:t xml:space="preserve"> </w:t>
      </w:r>
      <w:r w:rsidRPr="00D84E7B">
        <w:t xml:space="preserve">Treatment of an overdose of rimegepant should consist of general supportive measures including monitoring of vital signs and observation of the clinical status of the patient. </w:t>
      </w:r>
      <w:r w:rsidR="0047572F">
        <w:t xml:space="preserve"> </w:t>
      </w:r>
      <w:r w:rsidRPr="00D84E7B">
        <w:t xml:space="preserve">No specific antidote for the treatment of rimegepant overdose is available. </w:t>
      </w:r>
      <w:r w:rsidR="004C6FDE">
        <w:t xml:space="preserve"> </w:t>
      </w:r>
      <w:r w:rsidRPr="00D84E7B">
        <w:t>Rimegepant is unlikely to be significantly removed by dialysis because of high serum protein binding.</w:t>
      </w:r>
    </w:p>
    <w:p w14:paraId="12B48D0A" w14:textId="5DB4C341" w:rsidR="00904B18" w:rsidRDefault="00904B18" w:rsidP="00DF0BBA">
      <w:pPr>
        <w:pStyle w:val="CLDNormal"/>
        <w:jc w:val="left"/>
      </w:pPr>
      <w:r w:rsidRPr="00904B18">
        <w:t>For information on the management of overdose, contact the Poisons Information Centre on 13</w:t>
      </w:r>
      <w:r w:rsidR="00F84462">
        <w:t> </w:t>
      </w:r>
      <w:r w:rsidRPr="00904B18">
        <w:t>11 26 (Australia).</w:t>
      </w:r>
    </w:p>
    <w:p w14:paraId="5ED3018E" w14:textId="6772AAE8" w:rsidR="0062454C" w:rsidRPr="001A0577" w:rsidRDefault="00003E72" w:rsidP="00DF0BBA">
      <w:pPr>
        <w:pStyle w:val="CLDHeading1"/>
        <w:jc w:val="left"/>
      </w:pPr>
      <w:r w:rsidRPr="001A0577">
        <w:lastRenderedPageBreak/>
        <w:t>5.</w:t>
      </w:r>
      <w:r w:rsidRPr="001A0577">
        <w:tab/>
      </w:r>
      <w:r w:rsidR="0018348D" w:rsidRPr="001A0577">
        <w:t>PHARMACOLOGICAL PROPERTIES</w:t>
      </w:r>
    </w:p>
    <w:p w14:paraId="5FEF932E" w14:textId="0056B8FE" w:rsidR="00112E5B" w:rsidRPr="001A0577" w:rsidRDefault="00003E72" w:rsidP="00DF0BBA">
      <w:pPr>
        <w:pStyle w:val="CLDHeading2"/>
      </w:pPr>
      <w:r w:rsidRPr="001A0577">
        <w:t>5.1</w:t>
      </w:r>
      <w:r w:rsidRPr="001A0577">
        <w:tab/>
      </w:r>
      <w:r w:rsidR="00112E5B" w:rsidRPr="001A0577">
        <w:t>Pharmacodynamic properties</w:t>
      </w:r>
    </w:p>
    <w:p w14:paraId="04EE2973" w14:textId="1549B7BB" w:rsidR="003C6DC6" w:rsidRDefault="003C6DC6" w:rsidP="00DF0BBA">
      <w:pPr>
        <w:pStyle w:val="CLDHeading3"/>
        <w:numPr>
          <w:ilvl w:val="0"/>
          <w:numId w:val="0"/>
        </w:numPr>
      </w:pPr>
      <w:r>
        <w:t>Mechanism of action</w:t>
      </w:r>
    </w:p>
    <w:p w14:paraId="35B586EF" w14:textId="7EAEDFFE" w:rsidR="00D87270" w:rsidRDefault="00562884" w:rsidP="00DF0BBA">
      <w:pPr>
        <w:pStyle w:val="CLDNormal"/>
        <w:jc w:val="left"/>
      </w:pPr>
      <w:r w:rsidRPr="00562884">
        <w:t>Rimegepant binds with high affinity to the human calcitonin gene-related peptide (CGRP) receptor and antagoni</w:t>
      </w:r>
      <w:r w:rsidR="007103A1">
        <w:t>s</w:t>
      </w:r>
      <w:r w:rsidRPr="00562884">
        <w:t>es CGRP receptor function.</w:t>
      </w:r>
    </w:p>
    <w:p w14:paraId="70CEC9BE" w14:textId="502C8FE3" w:rsidR="00240F54" w:rsidRPr="00B22CA5" w:rsidRDefault="00240F54" w:rsidP="00DF0BBA">
      <w:pPr>
        <w:pStyle w:val="CLDNormal"/>
        <w:jc w:val="left"/>
      </w:pPr>
      <w:r w:rsidRPr="00B22CA5">
        <w:t>Multiple lines of clinical evidence point to a role for CGRP in migraine pathophysiology: 1) serum levels of CGRP are elevated during migraine; 2) treatment with anti-migraine drugs returns CGRP levels to normal coincident with pain relief and 3) intravenous (IV) CGRP infusion produces lasting pain in non-migraineurs and migraineurs.</w:t>
      </w:r>
    </w:p>
    <w:p w14:paraId="36E169E6" w14:textId="2B0A8A1E" w:rsidR="005A454A" w:rsidRDefault="002A5064" w:rsidP="00DF0BBA">
      <w:pPr>
        <w:pStyle w:val="CLDHeading3"/>
        <w:numPr>
          <w:ilvl w:val="0"/>
          <w:numId w:val="0"/>
        </w:numPr>
      </w:pPr>
      <w:r>
        <w:t>Clinical trials</w:t>
      </w:r>
    </w:p>
    <w:p w14:paraId="6D7F0289" w14:textId="77777777" w:rsidR="00E21B99" w:rsidRDefault="00AB5B12" w:rsidP="00DF0BBA">
      <w:pPr>
        <w:pStyle w:val="CLDNormal"/>
        <w:jc w:val="left"/>
      </w:pPr>
      <w:r>
        <w:t xml:space="preserve">The </w:t>
      </w:r>
      <w:r w:rsidRPr="00AB5B12">
        <w:t>stud</w:t>
      </w:r>
      <w:r>
        <w:t xml:space="preserve">ies for acute and </w:t>
      </w:r>
      <w:r w:rsidR="00ED6671" w:rsidRPr="00ED6671">
        <w:t>prophylactic treatment excluded patients with evidence of uncontrolled, unstable or recently diagnosed cardiovascular disease, such as isch</w:t>
      </w:r>
      <w:r w:rsidR="0056450C">
        <w:t>a</w:t>
      </w:r>
      <w:r w:rsidR="00ED6671" w:rsidRPr="00ED6671">
        <w:t>emic heart disease, coronary artery vasospasm, and cerebral isch</w:t>
      </w:r>
      <w:r w:rsidR="0056450C">
        <w:t>a</w:t>
      </w:r>
      <w:r w:rsidR="00ED6671" w:rsidRPr="00ED6671">
        <w:t xml:space="preserve">emia. </w:t>
      </w:r>
      <w:r w:rsidR="00ED6671">
        <w:t xml:space="preserve"> </w:t>
      </w:r>
      <w:r w:rsidR="00ED6671" w:rsidRPr="00ED6671">
        <w:t xml:space="preserve">Patients with </w:t>
      </w:r>
      <w:r w:rsidR="00ED6671">
        <w:t>m</w:t>
      </w:r>
      <w:r w:rsidR="00ED6671" w:rsidRPr="00ED6671">
        <w:t xml:space="preserve">yocardial </w:t>
      </w:r>
      <w:r w:rsidR="00ED6671">
        <w:t>i</w:t>
      </w:r>
      <w:r w:rsidR="00ED6671" w:rsidRPr="00ED6671">
        <w:t xml:space="preserve">nfarction (MI), </w:t>
      </w:r>
      <w:r w:rsidR="00ED6671">
        <w:t>a</w:t>
      </w:r>
      <w:r w:rsidR="00ED6671" w:rsidRPr="00ED6671">
        <w:t xml:space="preserve">cute </w:t>
      </w:r>
      <w:r w:rsidR="00ED6671">
        <w:t>c</w:t>
      </w:r>
      <w:r w:rsidR="00ED6671" w:rsidRPr="00ED6671">
        <w:t xml:space="preserve">oronary </w:t>
      </w:r>
      <w:r w:rsidR="00ED6671">
        <w:t>s</w:t>
      </w:r>
      <w:r w:rsidR="00ED6671" w:rsidRPr="00ED6671">
        <w:t xml:space="preserve">yndrome (ACS), </w:t>
      </w:r>
      <w:r w:rsidR="00ED6671">
        <w:t>p</w:t>
      </w:r>
      <w:r w:rsidR="00ED6671" w:rsidRPr="00ED6671">
        <w:t xml:space="preserve">ercutaneous </w:t>
      </w:r>
      <w:r w:rsidR="00ED6671">
        <w:t>c</w:t>
      </w:r>
      <w:r w:rsidR="00ED6671" w:rsidRPr="00ED6671">
        <w:t xml:space="preserve">oronary </w:t>
      </w:r>
      <w:r w:rsidR="00ED6671">
        <w:t>i</w:t>
      </w:r>
      <w:r w:rsidR="00ED6671" w:rsidRPr="00ED6671">
        <w:t>ntervention (PCI), cardiac surgery, stroke or transient isch</w:t>
      </w:r>
      <w:r w:rsidR="0056450C">
        <w:t>a</w:t>
      </w:r>
      <w:r w:rsidR="00ED6671" w:rsidRPr="00ED6671">
        <w:t>emic attack (TIA) during the 6 months prior to screening were excluded</w:t>
      </w:r>
      <w:r w:rsidRPr="00AB5B12">
        <w:t>.</w:t>
      </w:r>
      <w:r w:rsidR="00E21B99">
        <w:t xml:space="preserve"> </w:t>
      </w:r>
    </w:p>
    <w:p w14:paraId="4E617844" w14:textId="482A38C9" w:rsidR="00AB5B12" w:rsidRPr="00B737DD" w:rsidRDefault="00E21B99" w:rsidP="00DF0BBA">
      <w:pPr>
        <w:pStyle w:val="CLDNormal"/>
        <w:jc w:val="left"/>
      </w:pPr>
      <w:r w:rsidRPr="00B737DD">
        <w:t>In controlled clinical trials, participants on</w:t>
      </w:r>
      <w:r w:rsidR="002329F8" w:rsidRPr="00B737DD">
        <w:t xml:space="preserve"> other </w:t>
      </w:r>
      <w:r w:rsidRPr="00B737DD">
        <w:t>CGRP antagonists</w:t>
      </w:r>
      <w:r w:rsidR="00B737DD" w:rsidRPr="00B737DD">
        <w:t xml:space="preserve"> or with </w:t>
      </w:r>
      <w:r w:rsidR="00B737DD">
        <w:t>u</w:t>
      </w:r>
      <w:r w:rsidR="00B737DD" w:rsidRPr="00B737DD">
        <w:t>ncontrolled hypertension and/or diabetes</w:t>
      </w:r>
      <w:r w:rsidRPr="00B737DD">
        <w:t xml:space="preserve"> were excluded</w:t>
      </w:r>
      <w:r w:rsidR="002329F8" w:rsidRPr="00B737DD">
        <w:t xml:space="preserve">. </w:t>
      </w:r>
      <w:r w:rsidR="00FE039A" w:rsidRPr="00B737DD">
        <w:t xml:space="preserve"> </w:t>
      </w:r>
      <w:r w:rsidR="008F6123" w:rsidRPr="00B737DD">
        <w:t xml:space="preserve">The </w:t>
      </w:r>
      <w:r w:rsidR="007D2AFB" w:rsidRPr="00B737DD">
        <w:t xml:space="preserve">concomitant </w:t>
      </w:r>
      <w:r w:rsidR="008F6123" w:rsidRPr="00B737DD">
        <w:t xml:space="preserve">use of </w:t>
      </w:r>
      <w:r w:rsidR="00B81E84" w:rsidRPr="00B737DD">
        <w:t xml:space="preserve">CGRP antibodies </w:t>
      </w:r>
      <w:r w:rsidR="5BE3568B" w:rsidRPr="00B737DD">
        <w:t>for prophylaxis</w:t>
      </w:r>
      <w:r w:rsidR="00B81E84" w:rsidRPr="00B737DD">
        <w:t xml:space="preserve"> w</w:t>
      </w:r>
      <w:r w:rsidR="00640261" w:rsidRPr="00B737DD">
        <w:t>as</w:t>
      </w:r>
      <w:r w:rsidR="00B81E84" w:rsidRPr="00B737DD">
        <w:t xml:space="preserve"> permitted in a</w:t>
      </w:r>
      <w:r w:rsidR="00BF636F" w:rsidRPr="00B737DD">
        <w:t xml:space="preserve"> cohort </w:t>
      </w:r>
      <w:r w:rsidR="00B81E84" w:rsidRPr="00B737DD">
        <w:t>of participants in the long-term safety study</w:t>
      </w:r>
      <w:r w:rsidR="00B737DD" w:rsidRPr="00B737DD">
        <w:t xml:space="preserve"> comprising of 13 subjects</w:t>
      </w:r>
      <w:r w:rsidR="00056818" w:rsidRPr="00B737DD">
        <w:t>.</w:t>
      </w:r>
    </w:p>
    <w:p w14:paraId="7B6FBA8C" w14:textId="5959E09C" w:rsidR="00A2594C" w:rsidRPr="00A2594C" w:rsidRDefault="00A2594C" w:rsidP="00DF0BBA">
      <w:pPr>
        <w:pStyle w:val="CLDHeading4"/>
      </w:pPr>
      <w:r w:rsidRPr="00A2594C">
        <w:t>Acute treatment</w:t>
      </w:r>
    </w:p>
    <w:p w14:paraId="6BE9F0DE" w14:textId="50BE4447" w:rsidR="00057E9D" w:rsidRDefault="00765B51" w:rsidP="00DF0BBA">
      <w:pPr>
        <w:pStyle w:val="CLDNormal"/>
        <w:jc w:val="left"/>
      </w:pPr>
      <w:r w:rsidRPr="00765B51">
        <w:t xml:space="preserve">The efficacy of </w:t>
      </w:r>
      <w:r>
        <w:t>NURTEC</w:t>
      </w:r>
      <w:r w:rsidRPr="00765B51">
        <w:t xml:space="preserve"> </w:t>
      </w:r>
      <w:r w:rsidR="00141894">
        <w:t xml:space="preserve">ODT </w:t>
      </w:r>
      <w:r w:rsidRPr="00765B51">
        <w:t>for the acute treatment of migraine with and without aura in adults was studied in three randomi</w:t>
      </w:r>
      <w:r w:rsidR="00890288">
        <w:t>s</w:t>
      </w:r>
      <w:r w:rsidRPr="00765B51">
        <w:t xml:space="preserve">ed, double-blind, placebo-controlled trials (Studies 1-3). </w:t>
      </w:r>
      <w:r w:rsidR="00890288">
        <w:t xml:space="preserve"> </w:t>
      </w:r>
      <w:r w:rsidRPr="00765B51">
        <w:t>Patients were instructed to treat a migraine of moderate to severe headache pain intensity.</w:t>
      </w:r>
      <w:r w:rsidR="004C6FDE">
        <w:t xml:space="preserve"> </w:t>
      </w:r>
      <w:r w:rsidR="00890288">
        <w:t xml:space="preserve"> </w:t>
      </w:r>
      <w:r w:rsidRPr="00765B51">
        <w:t>Rescue medicinal products (i.e. NSAIDs, paracetamol, and/or an antiemetic) was allowed 2 hours after the initial treatment.</w:t>
      </w:r>
      <w:r w:rsidR="00890288">
        <w:t xml:space="preserve"> </w:t>
      </w:r>
      <w:r w:rsidRPr="00765B51">
        <w:t xml:space="preserve"> Other forms of rescue medicinal products such as triptans were not allowed within 48 hours of initial treatment. </w:t>
      </w:r>
      <w:r w:rsidR="00890288">
        <w:t xml:space="preserve"> </w:t>
      </w:r>
      <w:r w:rsidRPr="00765B51">
        <w:t xml:space="preserve">Approximately 14% of patients were taking preventive medicinal products for migraine at baseline. </w:t>
      </w:r>
      <w:r w:rsidR="00890288">
        <w:t xml:space="preserve"> </w:t>
      </w:r>
      <w:r w:rsidRPr="00765B51">
        <w:t>None of the patients in Study 1 were on concomitant preventive medicinal products that act on the calcitonin gene</w:t>
      </w:r>
      <w:r w:rsidR="00890288">
        <w:noBreakHyphen/>
      </w:r>
      <w:r w:rsidRPr="00765B51">
        <w:t>related peptide pathway.</w:t>
      </w:r>
      <w:r w:rsidR="00057E9D" w:rsidRPr="00057E9D">
        <w:t xml:space="preserve"> </w:t>
      </w:r>
    </w:p>
    <w:p w14:paraId="43C5C215" w14:textId="64B2C03B" w:rsidR="00057E9D" w:rsidRDefault="00057E9D" w:rsidP="00DF0BBA">
      <w:pPr>
        <w:pStyle w:val="CLDNormal"/>
        <w:jc w:val="left"/>
      </w:pPr>
      <w:r>
        <w:t xml:space="preserve">In the 3 pivotal trials for the acute treatment of migraine, </w:t>
      </w:r>
      <w:r w:rsidRPr="001B7BD0">
        <w:t>demographic and baseline characteristics were representative of the potential treatment population.</w:t>
      </w:r>
      <w:r w:rsidR="00FE039A">
        <w:t xml:space="preserve"> </w:t>
      </w:r>
      <w:r w:rsidRPr="001B7BD0">
        <w:t xml:space="preserve"> The median age ranged from 38.9 to 41.5 years across treatment groups.</w:t>
      </w:r>
      <w:r w:rsidR="00FE039A">
        <w:t xml:space="preserve"> </w:t>
      </w:r>
      <w:r w:rsidRPr="001B7BD0">
        <w:t xml:space="preserve"> Most subjects were female (84.9% to 89.2% across treatment groups) and white (73.4% to 82.1% across treatment groups).</w:t>
      </w:r>
      <w:r w:rsidR="00FE039A">
        <w:t xml:space="preserve"> </w:t>
      </w:r>
      <w:r w:rsidRPr="001B7BD0">
        <w:t xml:space="preserve"> About 1% of subjects in all treatment groups had a CV risk contraindicating triptan use (range 0.4% to 1.2%).</w:t>
      </w:r>
      <w:r w:rsidR="00FE039A">
        <w:t xml:space="preserve"> </w:t>
      </w:r>
      <w:r w:rsidRPr="001B7BD0">
        <w:t xml:space="preserve"> Almost half of the subjects (range 41.4% to 52.7% across treatment groups) had a body mass index (BMI) ≥ 30 kg/m</w:t>
      </w:r>
      <w:r w:rsidRPr="001B7BD0">
        <w:rPr>
          <w:vertAlign w:val="superscript"/>
        </w:rPr>
        <w:t>2</w:t>
      </w:r>
      <w:r w:rsidRPr="001B7BD0">
        <w:t xml:space="preserve">. </w:t>
      </w:r>
      <w:r w:rsidR="00FE039A">
        <w:t xml:space="preserve"> </w:t>
      </w:r>
      <w:r w:rsidRPr="001B7BD0">
        <w:t xml:space="preserve">The median number of moderate or severe pain intensity migraine attacks per month was 4.0 for all treatment groups. </w:t>
      </w:r>
      <w:r w:rsidR="00FE039A">
        <w:t xml:space="preserve"> </w:t>
      </w:r>
      <w:r w:rsidRPr="001B7BD0">
        <w:t>Across treatment groups, most subjects’ primary migraine type was migraine without aura (range 65.0% to 71.7%).</w:t>
      </w:r>
    </w:p>
    <w:p w14:paraId="5CC3D79A" w14:textId="5743373E" w:rsidR="00D87270" w:rsidRDefault="00765B51" w:rsidP="00DF0BBA">
      <w:pPr>
        <w:pStyle w:val="CLDNormal"/>
        <w:jc w:val="left"/>
      </w:pPr>
      <w:r w:rsidRPr="00765B51">
        <w:lastRenderedPageBreak/>
        <w:t xml:space="preserve">The primary efficacy analyses were conducted in patients who treated a migraine with moderate to severe pain. </w:t>
      </w:r>
      <w:r w:rsidR="00890288">
        <w:t xml:space="preserve"> </w:t>
      </w:r>
      <w:r w:rsidR="00F6147A">
        <w:t xml:space="preserve">Pain freedom and MBS were the co-primary endpoints.  </w:t>
      </w:r>
      <w:r w:rsidRPr="00765B51">
        <w:t xml:space="preserve">Pain freedom was defined as a reduction of moderate or severe headache pain to no headache pain, and most bothersome symptom (MBS) freedom was defined as the absence of the self-identified MBS (i.e. photophobia, phonophobia, or nausea). </w:t>
      </w:r>
      <w:r w:rsidR="00890288">
        <w:t xml:space="preserve"> </w:t>
      </w:r>
      <w:r w:rsidRPr="00765B51">
        <w:t>Among patients who selected an MBS, the most commonly selected symptom was photophobia (54%), followed by nausea (28%), and phonophobia (15%).</w:t>
      </w:r>
    </w:p>
    <w:p w14:paraId="00A87101" w14:textId="59575ACD" w:rsidR="005A454A" w:rsidRPr="00C035A6" w:rsidRDefault="00765B51" w:rsidP="00DF0BBA">
      <w:pPr>
        <w:pStyle w:val="CLDNormal"/>
        <w:jc w:val="left"/>
        <w:rPr>
          <w:i/>
          <w:iCs/>
          <w:color w:val="FF0000"/>
        </w:rPr>
      </w:pPr>
      <w:r w:rsidRPr="00765B51">
        <w:t xml:space="preserve">In Study 1, the percentage of patients achieving headache pain freedom and MBS freedom at 2 hours after a single dose was statistically significantly greater in patients who received </w:t>
      </w:r>
      <w:r w:rsidR="00D14BBE">
        <w:t>NURTEC</w:t>
      </w:r>
      <w:r w:rsidRPr="00765B51">
        <w:t xml:space="preserve"> </w:t>
      </w:r>
      <w:r w:rsidR="00141894">
        <w:t xml:space="preserve">ODT </w:t>
      </w:r>
      <w:r w:rsidRPr="00765B51">
        <w:t>compared to those who received placebo (Table </w:t>
      </w:r>
      <w:r w:rsidR="007674EE">
        <w:t>4</w:t>
      </w:r>
      <w:r w:rsidRPr="00765B51">
        <w:t xml:space="preserve">). </w:t>
      </w:r>
      <w:r w:rsidR="00890288">
        <w:t xml:space="preserve"> </w:t>
      </w:r>
      <w:r w:rsidRPr="00765B51">
        <w:t xml:space="preserve">In addition, statistically significant effects of </w:t>
      </w:r>
      <w:r w:rsidR="00D14BBE">
        <w:t>NURTEC</w:t>
      </w:r>
      <w:r w:rsidRPr="00765B51">
        <w:t xml:space="preserve"> </w:t>
      </w:r>
      <w:r w:rsidR="00141894">
        <w:t xml:space="preserve">ODT </w:t>
      </w:r>
      <w:r w:rsidRPr="00765B51">
        <w:t>compared to placebo were demonstrated for the additional efficacy endpoints of pain relief at 2 hours, sustained pain freedom from 2 to 48 hours, use of rescue medication within 24 hours, and ability to function normally at 2 hours after dosing.</w:t>
      </w:r>
      <w:r w:rsidR="00890288">
        <w:t xml:space="preserve"> </w:t>
      </w:r>
      <w:r w:rsidR="004C6FDE">
        <w:t xml:space="preserve"> </w:t>
      </w:r>
      <w:r w:rsidRPr="00765B51">
        <w:t xml:space="preserve">Pain relief was defined as a reduction in migraine pain from moderate or severe severity to mild or none. </w:t>
      </w:r>
      <w:r w:rsidR="00890288">
        <w:t xml:space="preserve"> </w:t>
      </w:r>
      <w:r w:rsidRPr="00765B51">
        <w:t>Pivotal single attack, double-blind, placebo-controlled studies 2 &amp; 3 were conducted in patients with migraine who received one 75 mg rimegepant bioequivalent dosage form.</w:t>
      </w:r>
    </w:p>
    <w:p w14:paraId="2FED2DAA" w14:textId="6AA85A33" w:rsidR="001D5643" w:rsidRPr="001D5643" w:rsidRDefault="001D5643" w:rsidP="00DF0BBA">
      <w:pPr>
        <w:keepNext/>
        <w:keepLines/>
        <w:rPr>
          <w:b/>
          <w:sz w:val="22"/>
          <w:szCs w:val="22"/>
        </w:rPr>
      </w:pPr>
      <w:r w:rsidRPr="001D5643">
        <w:rPr>
          <w:b/>
          <w:sz w:val="22"/>
          <w:szCs w:val="22"/>
        </w:rPr>
        <w:t>Table </w:t>
      </w:r>
      <w:r w:rsidR="007674EE">
        <w:rPr>
          <w:b/>
          <w:sz w:val="22"/>
          <w:szCs w:val="22"/>
        </w:rPr>
        <w:t>4</w:t>
      </w:r>
      <w:r w:rsidRPr="001D5643">
        <w:rPr>
          <w:b/>
          <w:sz w:val="22"/>
          <w:szCs w:val="22"/>
        </w:rPr>
        <w:t>: Migraine Efficacy Endpoints for Acute Treatment Studies</w:t>
      </w:r>
    </w:p>
    <w:tbl>
      <w:tblPr>
        <w:tblStyle w:val="TableGrid1"/>
        <w:tblW w:w="9805" w:type="dxa"/>
        <w:tblLayout w:type="fixed"/>
        <w:tblLook w:val="04A0" w:firstRow="1" w:lastRow="0" w:firstColumn="1" w:lastColumn="0" w:noHBand="0" w:noVBand="1"/>
      </w:tblPr>
      <w:tblGrid>
        <w:gridCol w:w="2335"/>
        <w:gridCol w:w="1170"/>
        <w:gridCol w:w="1170"/>
        <w:gridCol w:w="1440"/>
        <w:gridCol w:w="1080"/>
        <w:gridCol w:w="1440"/>
        <w:gridCol w:w="1170"/>
      </w:tblGrid>
      <w:tr w:rsidR="001D5643" w:rsidRPr="001D5643" w14:paraId="525A84AB" w14:textId="77777777" w:rsidTr="002C1FFA">
        <w:tc>
          <w:tcPr>
            <w:tcW w:w="2335" w:type="dxa"/>
          </w:tcPr>
          <w:p w14:paraId="38FD9239" w14:textId="77777777" w:rsidR="001D5643" w:rsidRPr="001D5643" w:rsidRDefault="001D5643" w:rsidP="00DF0BBA">
            <w:pPr>
              <w:keepNext/>
              <w:rPr>
                <w:sz w:val="22"/>
                <w:szCs w:val="22"/>
              </w:rPr>
            </w:pPr>
          </w:p>
        </w:tc>
        <w:tc>
          <w:tcPr>
            <w:tcW w:w="2340" w:type="dxa"/>
            <w:gridSpan w:val="2"/>
          </w:tcPr>
          <w:p w14:paraId="72DF68C6" w14:textId="77777777" w:rsidR="001D5643" w:rsidRPr="001D5643" w:rsidRDefault="001D5643" w:rsidP="00DF0BBA">
            <w:pPr>
              <w:keepNext/>
              <w:rPr>
                <w:sz w:val="22"/>
                <w:szCs w:val="22"/>
              </w:rPr>
            </w:pPr>
            <w:r w:rsidRPr="001D5643">
              <w:rPr>
                <w:b/>
                <w:sz w:val="22"/>
                <w:szCs w:val="22"/>
              </w:rPr>
              <w:t>Study 1</w:t>
            </w:r>
          </w:p>
        </w:tc>
        <w:tc>
          <w:tcPr>
            <w:tcW w:w="2520" w:type="dxa"/>
            <w:gridSpan w:val="2"/>
          </w:tcPr>
          <w:p w14:paraId="7FC36C7C" w14:textId="77777777" w:rsidR="001D5643" w:rsidRPr="001D5643" w:rsidRDefault="001D5643" w:rsidP="00DF0BBA">
            <w:pPr>
              <w:keepNext/>
              <w:rPr>
                <w:b/>
                <w:sz w:val="22"/>
                <w:szCs w:val="22"/>
              </w:rPr>
            </w:pPr>
            <w:r w:rsidRPr="001D5643">
              <w:rPr>
                <w:b/>
                <w:sz w:val="22"/>
                <w:szCs w:val="22"/>
              </w:rPr>
              <w:t>Study 2</w:t>
            </w:r>
          </w:p>
        </w:tc>
        <w:tc>
          <w:tcPr>
            <w:tcW w:w="2610" w:type="dxa"/>
            <w:gridSpan w:val="2"/>
          </w:tcPr>
          <w:p w14:paraId="0725DB4B" w14:textId="77777777" w:rsidR="001D5643" w:rsidRPr="001D5643" w:rsidRDefault="001D5643" w:rsidP="00DF0BBA">
            <w:pPr>
              <w:keepNext/>
              <w:rPr>
                <w:b/>
                <w:sz w:val="22"/>
                <w:szCs w:val="22"/>
              </w:rPr>
            </w:pPr>
            <w:r w:rsidRPr="001D5643">
              <w:rPr>
                <w:b/>
                <w:sz w:val="22"/>
                <w:szCs w:val="22"/>
              </w:rPr>
              <w:t>Study 3</w:t>
            </w:r>
          </w:p>
        </w:tc>
      </w:tr>
      <w:tr w:rsidR="001D5643" w:rsidRPr="001D5643" w14:paraId="7A02117B" w14:textId="77777777" w:rsidTr="002C1FFA">
        <w:tc>
          <w:tcPr>
            <w:tcW w:w="2335" w:type="dxa"/>
          </w:tcPr>
          <w:p w14:paraId="75A06557" w14:textId="77777777" w:rsidR="001D5643" w:rsidRPr="001D5643" w:rsidRDefault="001D5643" w:rsidP="00DF0BBA">
            <w:pPr>
              <w:keepNext/>
              <w:rPr>
                <w:sz w:val="22"/>
                <w:szCs w:val="22"/>
              </w:rPr>
            </w:pPr>
          </w:p>
        </w:tc>
        <w:tc>
          <w:tcPr>
            <w:tcW w:w="1170" w:type="dxa"/>
          </w:tcPr>
          <w:p w14:paraId="255CB6EA" w14:textId="733A0DFD" w:rsidR="001D5643" w:rsidRPr="001D5643" w:rsidRDefault="00D14BBE" w:rsidP="00DF0BBA">
            <w:pPr>
              <w:keepNext/>
              <w:rPr>
                <w:sz w:val="22"/>
                <w:szCs w:val="22"/>
              </w:rPr>
            </w:pPr>
            <w:r>
              <w:rPr>
                <w:b/>
                <w:sz w:val="22"/>
                <w:szCs w:val="22"/>
                <w:lang w:eastAsia="zh-TW"/>
              </w:rPr>
              <w:t>NURTEC</w:t>
            </w:r>
            <w:r w:rsidR="00141894">
              <w:rPr>
                <w:b/>
                <w:sz w:val="22"/>
                <w:szCs w:val="22"/>
                <w:lang w:eastAsia="zh-TW"/>
              </w:rPr>
              <w:t xml:space="preserve"> ODT</w:t>
            </w:r>
            <w:r w:rsidR="001D5643" w:rsidRPr="001D5643">
              <w:rPr>
                <w:b/>
                <w:sz w:val="22"/>
                <w:szCs w:val="22"/>
              </w:rPr>
              <w:t xml:space="preserve"> 75 mg</w:t>
            </w:r>
          </w:p>
        </w:tc>
        <w:tc>
          <w:tcPr>
            <w:tcW w:w="1170" w:type="dxa"/>
          </w:tcPr>
          <w:p w14:paraId="70E1EFAB" w14:textId="77777777" w:rsidR="001D5643" w:rsidRPr="001D5643" w:rsidRDefault="001D5643" w:rsidP="00DF0BBA">
            <w:pPr>
              <w:keepNext/>
              <w:rPr>
                <w:sz w:val="22"/>
                <w:szCs w:val="22"/>
              </w:rPr>
            </w:pPr>
            <w:r w:rsidRPr="001D5643">
              <w:rPr>
                <w:b/>
                <w:sz w:val="22"/>
                <w:szCs w:val="22"/>
              </w:rPr>
              <w:t>Placebo</w:t>
            </w:r>
          </w:p>
        </w:tc>
        <w:tc>
          <w:tcPr>
            <w:tcW w:w="1440" w:type="dxa"/>
          </w:tcPr>
          <w:p w14:paraId="26B469F6" w14:textId="77777777" w:rsidR="001D5643" w:rsidRPr="001D5643" w:rsidRDefault="001D5643" w:rsidP="00DF0BBA">
            <w:pPr>
              <w:keepNext/>
              <w:rPr>
                <w:b/>
                <w:sz w:val="22"/>
                <w:szCs w:val="22"/>
              </w:rPr>
            </w:pPr>
            <w:r w:rsidRPr="001D5643">
              <w:rPr>
                <w:b/>
                <w:sz w:val="22"/>
                <w:szCs w:val="22"/>
              </w:rPr>
              <w:t>Rimegepant 75 mg</w:t>
            </w:r>
          </w:p>
        </w:tc>
        <w:tc>
          <w:tcPr>
            <w:tcW w:w="1080" w:type="dxa"/>
          </w:tcPr>
          <w:p w14:paraId="7251B923" w14:textId="77777777" w:rsidR="001D5643" w:rsidRPr="001D5643" w:rsidRDefault="001D5643" w:rsidP="00DF0BBA">
            <w:pPr>
              <w:keepNext/>
              <w:rPr>
                <w:b/>
                <w:sz w:val="22"/>
                <w:szCs w:val="22"/>
              </w:rPr>
            </w:pPr>
            <w:r w:rsidRPr="001D5643">
              <w:rPr>
                <w:b/>
                <w:sz w:val="22"/>
                <w:szCs w:val="22"/>
              </w:rPr>
              <w:t>Placebo</w:t>
            </w:r>
          </w:p>
        </w:tc>
        <w:tc>
          <w:tcPr>
            <w:tcW w:w="1440" w:type="dxa"/>
          </w:tcPr>
          <w:p w14:paraId="44386B73" w14:textId="77777777" w:rsidR="001D5643" w:rsidRPr="001D5643" w:rsidRDefault="001D5643" w:rsidP="00DF0BBA">
            <w:pPr>
              <w:keepNext/>
              <w:rPr>
                <w:b/>
                <w:sz w:val="22"/>
                <w:szCs w:val="22"/>
              </w:rPr>
            </w:pPr>
            <w:r w:rsidRPr="001D5643">
              <w:rPr>
                <w:b/>
                <w:sz w:val="22"/>
                <w:szCs w:val="22"/>
              </w:rPr>
              <w:t>Rimegepant 75 mg</w:t>
            </w:r>
          </w:p>
        </w:tc>
        <w:tc>
          <w:tcPr>
            <w:tcW w:w="1170" w:type="dxa"/>
          </w:tcPr>
          <w:p w14:paraId="437EFECF" w14:textId="77777777" w:rsidR="001D5643" w:rsidRPr="001D5643" w:rsidRDefault="001D5643" w:rsidP="00DF0BBA">
            <w:pPr>
              <w:keepNext/>
              <w:rPr>
                <w:b/>
                <w:sz w:val="22"/>
                <w:szCs w:val="22"/>
              </w:rPr>
            </w:pPr>
            <w:r w:rsidRPr="001D5643">
              <w:rPr>
                <w:b/>
                <w:sz w:val="22"/>
                <w:szCs w:val="22"/>
              </w:rPr>
              <w:t>Placebo</w:t>
            </w:r>
          </w:p>
        </w:tc>
      </w:tr>
      <w:tr w:rsidR="001D5643" w:rsidRPr="001D5643" w14:paraId="337CF6A3" w14:textId="77777777" w:rsidTr="002C1FFA">
        <w:trPr>
          <w:trHeight w:val="323"/>
        </w:trPr>
        <w:tc>
          <w:tcPr>
            <w:tcW w:w="2335" w:type="dxa"/>
          </w:tcPr>
          <w:p w14:paraId="3C65840F" w14:textId="77777777" w:rsidR="001D5643" w:rsidRPr="001D5643" w:rsidRDefault="001D5643" w:rsidP="00DF0BBA">
            <w:pPr>
              <w:keepNext/>
              <w:rPr>
                <w:sz w:val="22"/>
                <w:szCs w:val="22"/>
              </w:rPr>
            </w:pPr>
            <w:r w:rsidRPr="001D5643">
              <w:rPr>
                <w:b/>
                <w:sz w:val="22"/>
                <w:szCs w:val="22"/>
              </w:rPr>
              <w:t>Pain Free at 2 hours</w:t>
            </w:r>
          </w:p>
        </w:tc>
        <w:tc>
          <w:tcPr>
            <w:tcW w:w="1170" w:type="dxa"/>
          </w:tcPr>
          <w:p w14:paraId="1D880E57" w14:textId="77777777" w:rsidR="001D5643" w:rsidRPr="001D5643" w:rsidRDefault="001D5643" w:rsidP="00DF0BBA">
            <w:pPr>
              <w:keepNext/>
              <w:rPr>
                <w:sz w:val="22"/>
                <w:szCs w:val="22"/>
              </w:rPr>
            </w:pPr>
          </w:p>
        </w:tc>
        <w:tc>
          <w:tcPr>
            <w:tcW w:w="1170" w:type="dxa"/>
          </w:tcPr>
          <w:p w14:paraId="079ADFBF" w14:textId="77777777" w:rsidR="001D5643" w:rsidRPr="001D5643" w:rsidRDefault="001D5643" w:rsidP="00DF0BBA">
            <w:pPr>
              <w:keepNext/>
              <w:rPr>
                <w:sz w:val="22"/>
                <w:szCs w:val="22"/>
              </w:rPr>
            </w:pPr>
          </w:p>
        </w:tc>
        <w:tc>
          <w:tcPr>
            <w:tcW w:w="1440" w:type="dxa"/>
          </w:tcPr>
          <w:p w14:paraId="5B866871" w14:textId="77777777" w:rsidR="001D5643" w:rsidRPr="001D5643" w:rsidRDefault="001D5643" w:rsidP="00DF0BBA">
            <w:pPr>
              <w:keepNext/>
              <w:rPr>
                <w:sz w:val="22"/>
                <w:szCs w:val="22"/>
              </w:rPr>
            </w:pPr>
          </w:p>
        </w:tc>
        <w:tc>
          <w:tcPr>
            <w:tcW w:w="1080" w:type="dxa"/>
          </w:tcPr>
          <w:p w14:paraId="4E61B0E2" w14:textId="77777777" w:rsidR="001D5643" w:rsidRPr="001D5643" w:rsidRDefault="001D5643" w:rsidP="00DF0BBA">
            <w:pPr>
              <w:keepNext/>
              <w:rPr>
                <w:sz w:val="22"/>
                <w:szCs w:val="22"/>
              </w:rPr>
            </w:pPr>
          </w:p>
        </w:tc>
        <w:tc>
          <w:tcPr>
            <w:tcW w:w="1440" w:type="dxa"/>
          </w:tcPr>
          <w:p w14:paraId="14CBB548" w14:textId="77777777" w:rsidR="001D5643" w:rsidRPr="001D5643" w:rsidRDefault="001D5643" w:rsidP="00DF0BBA">
            <w:pPr>
              <w:keepNext/>
              <w:rPr>
                <w:sz w:val="22"/>
                <w:szCs w:val="22"/>
              </w:rPr>
            </w:pPr>
          </w:p>
        </w:tc>
        <w:tc>
          <w:tcPr>
            <w:tcW w:w="1170" w:type="dxa"/>
          </w:tcPr>
          <w:p w14:paraId="65F64333" w14:textId="77777777" w:rsidR="001D5643" w:rsidRPr="001D5643" w:rsidRDefault="001D5643" w:rsidP="00DF0BBA">
            <w:pPr>
              <w:keepNext/>
              <w:rPr>
                <w:sz w:val="22"/>
                <w:szCs w:val="22"/>
              </w:rPr>
            </w:pPr>
          </w:p>
        </w:tc>
      </w:tr>
      <w:tr w:rsidR="001D5643" w:rsidRPr="001D5643" w14:paraId="7460D2C6" w14:textId="77777777" w:rsidTr="002C1FFA">
        <w:tc>
          <w:tcPr>
            <w:tcW w:w="2335" w:type="dxa"/>
          </w:tcPr>
          <w:p w14:paraId="5C0E8F66" w14:textId="77777777" w:rsidR="001D5643" w:rsidRPr="001D5643" w:rsidRDefault="001D5643" w:rsidP="00DF0BBA">
            <w:pPr>
              <w:keepNext/>
              <w:rPr>
                <w:b/>
                <w:sz w:val="22"/>
                <w:szCs w:val="22"/>
              </w:rPr>
            </w:pPr>
            <w:r w:rsidRPr="001D5643">
              <w:rPr>
                <w:sz w:val="22"/>
                <w:szCs w:val="22"/>
              </w:rPr>
              <w:t>n/N*</w:t>
            </w:r>
          </w:p>
        </w:tc>
        <w:tc>
          <w:tcPr>
            <w:tcW w:w="1170" w:type="dxa"/>
          </w:tcPr>
          <w:p w14:paraId="35A02122" w14:textId="77777777" w:rsidR="001D5643" w:rsidRPr="001D5643" w:rsidRDefault="001D5643" w:rsidP="00DF0BBA">
            <w:pPr>
              <w:keepNext/>
              <w:rPr>
                <w:sz w:val="22"/>
                <w:szCs w:val="22"/>
              </w:rPr>
            </w:pPr>
            <w:r w:rsidRPr="001D5643">
              <w:rPr>
                <w:sz w:val="22"/>
                <w:szCs w:val="22"/>
              </w:rPr>
              <w:t>142/669</w:t>
            </w:r>
          </w:p>
        </w:tc>
        <w:tc>
          <w:tcPr>
            <w:tcW w:w="1170" w:type="dxa"/>
          </w:tcPr>
          <w:p w14:paraId="5B23F077" w14:textId="77777777" w:rsidR="001D5643" w:rsidRPr="001D5643" w:rsidRDefault="001D5643" w:rsidP="00DF0BBA">
            <w:pPr>
              <w:keepNext/>
              <w:rPr>
                <w:sz w:val="22"/>
                <w:szCs w:val="22"/>
              </w:rPr>
            </w:pPr>
            <w:r w:rsidRPr="001D5643">
              <w:rPr>
                <w:sz w:val="22"/>
                <w:szCs w:val="22"/>
              </w:rPr>
              <w:t>74/682</w:t>
            </w:r>
          </w:p>
        </w:tc>
        <w:tc>
          <w:tcPr>
            <w:tcW w:w="1440" w:type="dxa"/>
          </w:tcPr>
          <w:p w14:paraId="0CCCDA47" w14:textId="77777777" w:rsidR="001D5643" w:rsidRPr="001D5643" w:rsidRDefault="001D5643" w:rsidP="00DF0BBA">
            <w:pPr>
              <w:keepNext/>
              <w:rPr>
                <w:sz w:val="22"/>
                <w:szCs w:val="22"/>
              </w:rPr>
            </w:pPr>
            <w:r w:rsidRPr="001D5643">
              <w:rPr>
                <w:sz w:val="22"/>
                <w:szCs w:val="22"/>
              </w:rPr>
              <w:t>105/537</w:t>
            </w:r>
          </w:p>
        </w:tc>
        <w:tc>
          <w:tcPr>
            <w:tcW w:w="1080" w:type="dxa"/>
          </w:tcPr>
          <w:p w14:paraId="29DE8F7D" w14:textId="77777777" w:rsidR="001D5643" w:rsidRPr="001D5643" w:rsidRDefault="001D5643" w:rsidP="00DF0BBA">
            <w:pPr>
              <w:keepNext/>
              <w:rPr>
                <w:sz w:val="22"/>
                <w:szCs w:val="22"/>
              </w:rPr>
            </w:pPr>
            <w:r w:rsidRPr="001D5643">
              <w:rPr>
                <w:sz w:val="22"/>
                <w:szCs w:val="22"/>
              </w:rPr>
              <w:t>64/535</w:t>
            </w:r>
          </w:p>
        </w:tc>
        <w:tc>
          <w:tcPr>
            <w:tcW w:w="1440" w:type="dxa"/>
          </w:tcPr>
          <w:p w14:paraId="5A338301" w14:textId="77777777" w:rsidR="001D5643" w:rsidRPr="001D5643" w:rsidRDefault="001D5643" w:rsidP="00DF0BBA">
            <w:pPr>
              <w:keepNext/>
              <w:rPr>
                <w:sz w:val="22"/>
                <w:szCs w:val="22"/>
              </w:rPr>
            </w:pPr>
            <w:r w:rsidRPr="001D5643">
              <w:rPr>
                <w:sz w:val="22"/>
                <w:szCs w:val="22"/>
              </w:rPr>
              <w:t>104/543</w:t>
            </w:r>
          </w:p>
        </w:tc>
        <w:tc>
          <w:tcPr>
            <w:tcW w:w="1170" w:type="dxa"/>
          </w:tcPr>
          <w:p w14:paraId="053599FB" w14:textId="77777777" w:rsidR="001D5643" w:rsidRPr="001D5643" w:rsidRDefault="001D5643" w:rsidP="00DF0BBA">
            <w:pPr>
              <w:keepNext/>
              <w:rPr>
                <w:sz w:val="22"/>
                <w:szCs w:val="22"/>
              </w:rPr>
            </w:pPr>
            <w:r w:rsidRPr="001D5643">
              <w:rPr>
                <w:sz w:val="22"/>
                <w:szCs w:val="22"/>
              </w:rPr>
              <w:t>77/541</w:t>
            </w:r>
          </w:p>
        </w:tc>
      </w:tr>
      <w:tr w:rsidR="001D5643" w:rsidRPr="001D5643" w14:paraId="2A3A16F8" w14:textId="77777777" w:rsidTr="002C1FFA">
        <w:tc>
          <w:tcPr>
            <w:tcW w:w="2335" w:type="dxa"/>
          </w:tcPr>
          <w:p w14:paraId="4182F6A8" w14:textId="77777777" w:rsidR="001D5643" w:rsidRPr="001D5643" w:rsidRDefault="001D5643" w:rsidP="00DF0BBA">
            <w:pPr>
              <w:keepNext/>
              <w:rPr>
                <w:sz w:val="22"/>
                <w:szCs w:val="22"/>
              </w:rPr>
            </w:pPr>
            <w:r w:rsidRPr="001D5643">
              <w:rPr>
                <w:sz w:val="22"/>
                <w:szCs w:val="22"/>
              </w:rPr>
              <w:t>% Responders</w:t>
            </w:r>
          </w:p>
        </w:tc>
        <w:tc>
          <w:tcPr>
            <w:tcW w:w="1170" w:type="dxa"/>
          </w:tcPr>
          <w:p w14:paraId="583D6744" w14:textId="77777777" w:rsidR="001D5643" w:rsidRPr="001D5643" w:rsidRDefault="001D5643" w:rsidP="00DF0BBA">
            <w:pPr>
              <w:keepNext/>
              <w:rPr>
                <w:sz w:val="22"/>
                <w:szCs w:val="22"/>
              </w:rPr>
            </w:pPr>
            <w:r w:rsidRPr="001D5643">
              <w:rPr>
                <w:sz w:val="22"/>
                <w:szCs w:val="22"/>
              </w:rPr>
              <w:t>21.2</w:t>
            </w:r>
          </w:p>
        </w:tc>
        <w:tc>
          <w:tcPr>
            <w:tcW w:w="1170" w:type="dxa"/>
          </w:tcPr>
          <w:p w14:paraId="46AF8C8C" w14:textId="77777777" w:rsidR="001D5643" w:rsidRPr="001D5643" w:rsidRDefault="001D5643" w:rsidP="00DF0BBA">
            <w:pPr>
              <w:keepNext/>
              <w:rPr>
                <w:sz w:val="22"/>
                <w:szCs w:val="22"/>
              </w:rPr>
            </w:pPr>
            <w:r w:rsidRPr="001D5643">
              <w:rPr>
                <w:sz w:val="22"/>
                <w:szCs w:val="22"/>
              </w:rPr>
              <w:t>10.9</w:t>
            </w:r>
          </w:p>
        </w:tc>
        <w:tc>
          <w:tcPr>
            <w:tcW w:w="1440" w:type="dxa"/>
          </w:tcPr>
          <w:p w14:paraId="57AF9F77" w14:textId="77777777" w:rsidR="001D5643" w:rsidRPr="001D5643" w:rsidRDefault="001D5643" w:rsidP="00DF0BBA">
            <w:pPr>
              <w:keepNext/>
              <w:rPr>
                <w:sz w:val="22"/>
                <w:szCs w:val="22"/>
              </w:rPr>
            </w:pPr>
            <w:r w:rsidRPr="001D5643">
              <w:rPr>
                <w:sz w:val="22"/>
                <w:szCs w:val="22"/>
              </w:rPr>
              <w:t>19.6</w:t>
            </w:r>
          </w:p>
        </w:tc>
        <w:tc>
          <w:tcPr>
            <w:tcW w:w="1080" w:type="dxa"/>
          </w:tcPr>
          <w:p w14:paraId="07857273" w14:textId="77777777" w:rsidR="001D5643" w:rsidRPr="001D5643" w:rsidRDefault="001D5643" w:rsidP="00DF0BBA">
            <w:pPr>
              <w:keepNext/>
              <w:rPr>
                <w:sz w:val="22"/>
                <w:szCs w:val="22"/>
              </w:rPr>
            </w:pPr>
            <w:r w:rsidRPr="001D5643">
              <w:rPr>
                <w:sz w:val="22"/>
                <w:szCs w:val="22"/>
              </w:rPr>
              <w:t>12.0</w:t>
            </w:r>
          </w:p>
        </w:tc>
        <w:tc>
          <w:tcPr>
            <w:tcW w:w="1440" w:type="dxa"/>
          </w:tcPr>
          <w:p w14:paraId="25844D91" w14:textId="77777777" w:rsidR="001D5643" w:rsidRPr="001D5643" w:rsidRDefault="001D5643" w:rsidP="00DF0BBA">
            <w:pPr>
              <w:keepNext/>
              <w:rPr>
                <w:sz w:val="22"/>
                <w:szCs w:val="22"/>
              </w:rPr>
            </w:pPr>
            <w:r w:rsidRPr="001D5643">
              <w:rPr>
                <w:sz w:val="22"/>
                <w:szCs w:val="22"/>
              </w:rPr>
              <w:t>19.2</w:t>
            </w:r>
          </w:p>
        </w:tc>
        <w:tc>
          <w:tcPr>
            <w:tcW w:w="1170" w:type="dxa"/>
          </w:tcPr>
          <w:p w14:paraId="5FA07875" w14:textId="77777777" w:rsidR="001D5643" w:rsidRPr="001D5643" w:rsidRDefault="001D5643" w:rsidP="00DF0BBA">
            <w:pPr>
              <w:keepNext/>
              <w:rPr>
                <w:sz w:val="22"/>
                <w:szCs w:val="22"/>
              </w:rPr>
            </w:pPr>
            <w:r w:rsidRPr="001D5643">
              <w:rPr>
                <w:sz w:val="22"/>
                <w:szCs w:val="22"/>
              </w:rPr>
              <w:t>14.2</w:t>
            </w:r>
          </w:p>
        </w:tc>
      </w:tr>
      <w:tr w:rsidR="001D5643" w:rsidRPr="001D5643" w14:paraId="72F25C89" w14:textId="77777777" w:rsidTr="002C1FFA">
        <w:tc>
          <w:tcPr>
            <w:tcW w:w="2335" w:type="dxa"/>
          </w:tcPr>
          <w:p w14:paraId="118FE23E" w14:textId="77777777" w:rsidR="001D5643" w:rsidRPr="001D5643" w:rsidRDefault="001D5643" w:rsidP="00DF0BBA">
            <w:pPr>
              <w:keepNext/>
              <w:rPr>
                <w:sz w:val="22"/>
                <w:szCs w:val="22"/>
              </w:rPr>
            </w:pPr>
            <w:r w:rsidRPr="001D5643">
              <w:rPr>
                <w:sz w:val="22"/>
                <w:szCs w:val="22"/>
              </w:rPr>
              <w:t>Difference compared to placebo (%)</w:t>
            </w:r>
          </w:p>
        </w:tc>
        <w:tc>
          <w:tcPr>
            <w:tcW w:w="1170" w:type="dxa"/>
          </w:tcPr>
          <w:p w14:paraId="57E71633" w14:textId="77777777" w:rsidR="001D5643" w:rsidRPr="001D5643" w:rsidRDefault="001D5643" w:rsidP="00DF0BBA">
            <w:pPr>
              <w:keepNext/>
              <w:rPr>
                <w:sz w:val="22"/>
                <w:szCs w:val="22"/>
              </w:rPr>
            </w:pPr>
            <w:r w:rsidRPr="001D5643">
              <w:rPr>
                <w:sz w:val="22"/>
                <w:szCs w:val="22"/>
              </w:rPr>
              <w:t>10.3</w:t>
            </w:r>
          </w:p>
        </w:tc>
        <w:tc>
          <w:tcPr>
            <w:tcW w:w="1170" w:type="dxa"/>
          </w:tcPr>
          <w:p w14:paraId="574B8CC6" w14:textId="77777777" w:rsidR="001D5643" w:rsidRPr="001D5643" w:rsidRDefault="001D5643" w:rsidP="00DF0BBA">
            <w:pPr>
              <w:keepNext/>
              <w:rPr>
                <w:sz w:val="22"/>
                <w:szCs w:val="22"/>
              </w:rPr>
            </w:pPr>
          </w:p>
        </w:tc>
        <w:tc>
          <w:tcPr>
            <w:tcW w:w="1440" w:type="dxa"/>
          </w:tcPr>
          <w:p w14:paraId="08647780" w14:textId="77777777" w:rsidR="001D5643" w:rsidRPr="001D5643" w:rsidRDefault="001D5643" w:rsidP="00DF0BBA">
            <w:pPr>
              <w:keepNext/>
              <w:rPr>
                <w:sz w:val="22"/>
                <w:szCs w:val="22"/>
              </w:rPr>
            </w:pPr>
            <w:r w:rsidRPr="001D5643">
              <w:rPr>
                <w:sz w:val="22"/>
                <w:szCs w:val="22"/>
              </w:rPr>
              <w:t>7.6</w:t>
            </w:r>
          </w:p>
        </w:tc>
        <w:tc>
          <w:tcPr>
            <w:tcW w:w="1080" w:type="dxa"/>
          </w:tcPr>
          <w:p w14:paraId="11492EBD" w14:textId="77777777" w:rsidR="001D5643" w:rsidRPr="001D5643" w:rsidRDefault="001D5643" w:rsidP="00DF0BBA">
            <w:pPr>
              <w:keepNext/>
              <w:rPr>
                <w:sz w:val="22"/>
                <w:szCs w:val="22"/>
              </w:rPr>
            </w:pPr>
          </w:p>
        </w:tc>
        <w:tc>
          <w:tcPr>
            <w:tcW w:w="1440" w:type="dxa"/>
          </w:tcPr>
          <w:p w14:paraId="3F92B5D8" w14:textId="77777777" w:rsidR="001D5643" w:rsidRPr="001D5643" w:rsidRDefault="001D5643" w:rsidP="00DF0BBA">
            <w:pPr>
              <w:keepNext/>
              <w:rPr>
                <w:sz w:val="22"/>
                <w:szCs w:val="22"/>
              </w:rPr>
            </w:pPr>
            <w:r w:rsidRPr="001D5643">
              <w:rPr>
                <w:sz w:val="22"/>
                <w:szCs w:val="22"/>
              </w:rPr>
              <w:t>4.9</w:t>
            </w:r>
          </w:p>
        </w:tc>
        <w:tc>
          <w:tcPr>
            <w:tcW w:w="1170" w:type="dxa"/>
          </w:tcPr>
          <w:p w14:paraId="7A56E73F" w14:textId="77777777" w:rsidR="001D5643" w:rsidRPr="001D5643" w:rsidRDefault="001D5643" w:rsidP="00DF0BBA">
            <w:pPr>
              <w:keepNext/>
              <w:rPr>
                <w:sz w:val="22"/>
                <w:szCs w:val="22"/>
              </w:rPr>
            </w:pPr>
          </w:p>
        </w:tc>
      </w:tr>
      <w:tr w:rsidR="001D5643" w:rsidRPr="001D5643" w14:paraId="5B7DC69F" w14:textId="77777777" w:rsidTr="002C1FFA">
        <w:tc>
          <w:tcPr>
            <w:tcW w:w="2335" w:type="dxa"/>
          </w:tcPr>
          <w:p w14:paraId="56D4EF53" w14:textId="77777777" w:rsidR="001D5643" w:rsidRPr="001D5643" w:rsidRDefault="001D5643" w:rsidP="00DF0BBA">
            <w:pPr>
              <w:keepNext/>
              <w:rPr>
                <w:sz w:val="22"/>
                <w:szCs w:val="22"/>
              </w:rPr>
            </w:pPr>
            <w:r w:rsidRPr="001D5643">
              <w:rPr>
                <w:sz w:val="22"/>
                <w:szCs w:val="22"/>
              </w:rPr>
              <w:t>p-value</w:t>
            </w:r>
          </w:p>
        </w:tc>
        <w:tc>
          <w:tcPr>
            <w:tcW w:w="1170" w:type="dxa"/>
          </w:tcPr>
          <w:p w14:paraId="41EE3139" w14:textId="77777777" w:rsidR="001D5643" w:rsidRPr="001D5643" w:rsidRDefault="001D5643" w:rsidP="00DF0BBA">
            <w:pPr>
              <w:keepNext/>
              <w:rPr>
                <w:sz w:val="22"/>
                <w:szCs w:val="22"/>
              </w:rPr>
            </w:pPr>
          </w:p>
        </w:tc>
        <w:tc>
          <w:tcPr>
            <w:tcW w:w="1170" w:type="dxa"/>
          </w:tcPr>
          <w:p w14:paraId="69E32B06" w14:textId="77777777" w:rsidR="001D5643" w:rsidRPr="001D5643" w:rsidRDefault="001D5643" w:rsidP="00DF0BBA">
            <w:pPr>
              <w:keepNext/>
              <w:rPr>
                <w:sz w:val="22"/>
                <w:szCs w:val="22"/>
              </w:rPr>
            </w:pPr>
            <w:r w:rsidRPr="001D5643">
              <w:rPr>
                <w:sz w:val="22"/>
                <w:szCs w:val="22"/>
              </w:rPr>
              <w:t>&lt;0.0001</w:t>
            </w:r>
            <w:r w:rsidRPr="001D5643">
              <w:rPr>
                <w:sz w:val="22"/>
                <w:szCs w:val="22"/>
                <w:vertAlign w:val="superscript"/>
              </w:rPr>
              <w:t xml:space="preserve"> a</w:t>
            </w:r>
          </w:p>
        </w:tc>
        <w:tc>
          <w:tcPr>
            <w:tcW w:w="1440" w:type="dxa"/>
          </w:tcPr>
          <w:p w14:paraId="4AF684C8" w14:textId="77777777" w:rsidR="001D5643" w:rsidRPr="001D5643" w:rsidRDefault="001D5643" w:rsidP="00DF0BBA">
            <w:pPr>
              <w:keepNext/>
              <w:rPr>
                <w:sz w:val="22"/>
                <w:szCs w:val="22"/>
              </w:rPr>
            </w:pPr>
          </w:p>
        </w:tc>
        <w:tc>
          <w:tcPr>
            <w:tcW w:w="1080" w:type="dxa"/>
          </w:tcPr>
          <w:p w14:paraId="6E50D34E" w14:textId="77777777" w:rsidR="001D5643" w:rsidRPr="001D5643" w:rsidRDefault="001D5643" w:rsidP="00DF0BBA">
            <w:pPr>
              <w:keepNext/>
              <w:rPr>
                <w:sz w:val="22"/>
                <w:szCs w:val="22"/>
              </w:rPr>
            </w:pPr>
            <w:r w:rsidRPr="001D5643">
              <w:rPr>
                <w:sz w:val="22"/>
                <w:szCs w:val="22"/>
              </w:rPr>
              <w:t>0.0006</w:t>
            </w:r>
            <w:r w:rsidRPr="001D5643">
              <w:rPr>
                <w:sz w:val="22"/>
                <w:szCs w:val="22"/>
                <w:vertAlign w:val="superscript"/>
              </w:rPr>
              <w:t>a</w:t>
            </w:r>
          </w:p>
        </w:tc>
        <w:tc>
          <w:tcPr>
            <w:tcW w:w="1440" w:type="dxa"/>
          </w:tcPr>
          <w:p w14:paraId="2DC751B2" w14:textId="77777777" w:rsidR="001D5643" w:rsidRPr="001D5643" w:rsidRDefault="001D5643" w:rsidP="00DF0BBA">
            <w:pPr>
              <w:keepNext/>
              <w:rPr>
                <w:sz w:val="22"/>
                <w:szCs w:val="22"/>
              </w:rPr>
            </w:pPr>
          </w:p>
        </w:tc>
        <w:tc>
          <w:tcPr>
            <w:tcW w:w="1170" w:type="dxa"/>
          </w:tcPr>
          <w:p w14:paraId="5295E4F7" w14:textId="77777777" w:rsidR="001D5643" w:rsidRPr="001D5643" w:rsidRDefault="001D5643" w:rsidP="00DF0BBA">
            <w:pPr>
              <w:keepNext/>
              <w:rPr>
                <w:sz w:val="22"/>
                <w:szCs w:val="22"/>
              </w:rPr>
            </w:pPr>
            <w:r w:rsidRPr="001D5643">
              <w:rPr>
                <w:sz w:val="22"/>
                <w:szCs w:val="22"/>
              </w:rPr>
              <w:t>0.0298</w:t>
            </w:r>
            <w:r w:rsidRPr="001D5643">
              <w:rPr>
                <w:sz w:val="22"/>
                <w:szCs w:val="22"/>
                <w:vertAlign w:val="superscript"/>
              </w:rPr>
              <w:t xml:space="preserve"> a</w:t>
            </w:r>
          </w:p>
        </w:tc>
      </w:tr>
      <w:tr w:rsidR="001D5643" w:rsidRPr="001D5643" w14:paraId="208724B8" w14:textId="77777777" w:rsidTr="002C1FFA">
        <w:tc>
          <w:tcPr>
            <w:tcW w:w="2335" w:type="dxa"/>
          </w:tcPr>
          <w:p w14:paraId="0339BB60" w14:textId="77777777" w:rsidR="001D5643" w:rsidRPr="001D5643" w:rsidRDefault="001D5643" w:rsidP="00DF0BBA">
            <w:pPr>
              <w:keepNext/>
              <w:rPr>
                <w:sz w:val="22"/>
                <w:szCs w:val="22"/>
              </w:rPr>
            </w:pPr>
            <w:r w:rsidRPr="001D5643">
              <w:rPr>
                <w:b/>
                <w:sz w:val="22"/>
                <w:szCs w:val="22"/>
              </w:rPr>
              <w:t>MBS Free at 2 hours</w:t>
            </w:r>
          </w:p>
        </w:tc>
        <w:tc>
          <w:tcPr>
            <w:tcW w:w="1170" w:type="dxa"/>
          </w:tcPr>
          <w:p w14:paraId="58D5FDC8" w14:textId="77777777" w:rsidR="001D5643" w:rsidRPr="001D5643" w:rsidRDefault="001D5643" w:rsidP="00DF0BBA">
            <w:pPr>
              <w:keepNext/>
              <w:rPr>
                <w:sz w:val="22"/>
                <w:szCs w:val="22"/>
              </w:rPr>
            </w:pPr>
          </w:p>
        </w:tc>
        <w:tc>
          <w:tcPr>
            <w:tcW w:w="1170" w:type="dxa"/>
          </w:tcPr>
          <w:p w14:paraId="2475CC6F" w14:textId="77777777" w:rsidR="001D5643" w:rsidRPr="001D5643" w:rsidRDefault="001D5643" w:rsidP="00DF0BBA">
            <w:pPr>
              <w:keepNext/>
              <w:rPr>
                <w:sz w:val="22"/>
                <w:szCs w:val="22"/>
              </w:rPr>
            </w:pPr>
          </w:p>
        </w:tc>
        <w:tc>
          <w:tcPr>
            <w:tcW w:w="1440" w:type="dxa"/>
          </w:tcPr>
          <w:p w14:paraId="56308295" w14:textId="77777777" w:rsidR="001D5643" w:rsidRPr="001D5643" w:rsidRDefault="001D5643" w:rsidP="00DF0BBA">
            <w:pPr>
              <w:keepNext/>
              <w:rPr>
                <w:sz w:val="22"/>
                <w:szCs w:val="22"/>
              </w:rPr>
            </w:pPr>
          </w:p>
        </w:tc>
        <w:tc>
          <w:tcPr>
            <w:tcW w:w="1080" w:type="dxa"/>
          </w:tcPr>
          <w:p w14:paraId="1E0E7A2E" w14:textId="77777777" w:rsidR="001D5643" w:rsidRPr="001D5643" w:rsidRDefault="001D5643" w:rsidP="00DF0BBA">
            <w:pPr>
              <w:keepNext/>
              <w:rPr>
                <w:sz w:val="22"/>
                <w:szCs w:val="22"/>
              </w:rPr>
            </w:pPr>
          </w:p>
        </w:tc>
        <w:tc>
          <w:tcPr>
            <w:tcW w:w="1440" w:type="dxa"/>
          </w:tcPr>
          <w:p w14:paraId="2C71E757" w14:textId="77777777" w:rsidR="001D5643" w:rsidRPr="001D5643" w:rsidRDefault="001D5643" w:rsidP="00DF0BBA">
            <w:pPr>
              <w:keepNext/>
              <w:rPr>
                <w:sz w:val="22"/>
                <w:szCs w:val="22"/>
              </w:rPr>
            </w:pPr>
          </w:p>
        </w:tc>
        <w:tc>
          <w:tcPr>
            <w:tcW w:w="1170" w:type="dxa"/>
          </w:tcPr>
          <w:p w14:paraId="28C4CA07" w14:textId="77777777" w:rsidR="001D5643" w:rsidRPr="001D5643" w:rsidRDefault="001D5643" w:rsidP="00DF0BBA">
            <w:pPr>
              <w:keepNext/>
              <w:rPr>
                <w:sz w:val="22"/>
                <w:szCs w:val="22"/>
              </w:rPr>
            </w:pPr>
          </w:p>
        </w:tc>
      </w:tr>
      <w:tr w:rsidR="001D5643" w:rsidRPr="001D5643" w14:paraId="0BEEF533" w14:textId="77777777" w:rsidTr="002C1FFA">
        <w:tc>
          <w:tcPr>
            <w:tcW w:w="2335" w:type="dxa"/>
          </w:tcPr>
          <w:p w14:paraId="7B9866D4" w14:textId="77777777" w:rsidR="001D5643" w:rsidRPr="001D5643" w:rsidRDefault="001D5643" w:rsidP="00DF0BBA">
            <w:pPr>
              <w:keepNext/>
              <w:rPr>
                <w:sz w:val="22"/>
                <w:szCs w:val="22"/>
              </w:rPr>
            </w:pPr>
            <w:r w:rsidRPr="001D5643">
              <w:rPr>
                <w:sz w:val="22"/>
                <w:szCs w:val="22"/>
              </w:rPr>
              <w:t>n/N*</w:t>
            </w:r>
          </w:p>
        </w:tc>
        <w:tc>
          <w:tcPr>
            <w:tcW w:w="1170" w:type="dxa"/>
          </w:tcPr>
          <w:p w14:paraId="20ADD7DE" w14:textId="77777777" w:rsidR="001D5643" w:rsidRPr="001D5643" w:rsidRDefault="001D5643" w:rsidP="00DF0BBA">
            <w:pPr>
              <w:keepNext/>
              <w:rPr>
                <w:sz w:val="22"/>
                <w:szCs w:val="22"/>
              </w:rPr>
            </w:pPr>
            <w:r w:rsidRPr="001D5643">
              <w:rPr>
                <w:sz w:val="22"/>
                <w:szCs w:val="22"/>
              </w:rPr>
              <w:t>235/669</w:t>
            </w:r>
          </w:p>
        </w:tc>
        <w:tc>
          <w:tcPr>
            <w:tcW w:w="1170" w:type="dxa"/>
          </w:tcPr>
          <w:p w14:paraId="483F1512" w14:textId="77777777" w:rsidR="001D5643" w:rsidRPr="001D5643" w:rsidRDefault="001D5643" w:rsidP="00DF0BBA">
            <w:pPr>
              <w:keepNext/>
              <w:rPr>
                <w:sz w:val="22"/>
                <w:szCs w:val="22"/>
              </w:rPr>
            </w:pPr>
            <w:r w:rsidRPr="001D5643">
              <w:rPr>
                <w:sz w:val="22"/>
                <w:szCs w:val="22"/>
              </w:rPr>
              <w:t>183/682</w:t>
            </w:r>
          </w:p>
        </w:tc>
        <w:tc>
          <w:tcPr>
            <w:tcW w:w="1440" w:type="dxa"/>
          </w:tcPr>
          <w:p w14:paraId="371840EF" w14:textId="77777777" w:rsidR="001D5643" w:rsidRPr="001D5643" w:rsidRDefault="001D5643" w:rsidP="00DF0BBA">
            <w:pPr>
              <w:keepNext/>
              <w:rPr>
                <w:sz w:val="22"/>
                <w:szCs w:val="22"/>
              </w:rPr>
            </w:pPr>
            <w:r w:rsidRPr="001D5643">
              <w:rPr>
                <w:sz w:val="22"/>
                <w:szCs w:val="22"/>
              </w:rPr>
              <w:t>202/537</w:t>
            </w:r>
          </w:p>
        </w:tc>
        <w:tc>
          <w:tcPr>
            <w:tcW w:w="1080" w:type="dxa"/>
          </w:tcPr>
          <w:p w14:paraId="387FF228" w14:textId="77777777" w:rsidR="001D5643" w:rsidRPr="001D5643" w:rsidRDefault="001D5643" w:rsidP="00DF0BBA">
            <w:pPr>
              <w:keepNext/>
              <w:rPr>
                <w:sz w:val="22"/>
                <w:szCs w:val="22"/>
              </w:rPr>
            </w:pPr>
            <w:r w:rsidRPr="001D5643">
              <w:rPr>
                <w:sz w:val="22"/>
                <w:szCs w:val="22"/>
              </w:rPr>
              <w:t>135/535</w:t>
            </w:r>
          </w:p>
        </w:tc>
        <w:tc>
          <w:tcPr>
            <w:tcW w:w="1440" w:type="dxa"/>
          </w:tcPr>
          <w:p w14:paraId="1F79C080" w14:textId="77777777" w:rsidR="001D5643" w:rsidRPr="001D5643" w:rsidRDefault="001D5643" w:rsidP="00DF0BBA">
            <w:pPr>
              <w:keepNext/>
              <w:rPr>
                <w:sz w:val="22"/>
                <w:szCs w:val="22"/>
              </w:rPr>
            </w:pPr>
            <w:r w:rsidRPr="001D5643">
              <w:rPr>
                <w:sz w:val="22"/>
                <w:szCs w:val="22"/>
              </w:rPr>
              <w:t>199/543</w:t>
            </w:r>
          </w:p>
        </w:tc>
        <w:tc>
          <w:tcPr>
            <w:tcW w:w="1170" w:type="dxa"/>
          </w:tcPr>
          <w:p w14:paraId="1CDAAB6B" w14:textId="77777777" w:rsidR="001D5643" w:rsidRPr="001D5643" w:rsidRDefault="001D5643" w:rsidP="00DF0BBA">
            <w:pPr>
              <w:keepNext/>
              <w:rPr>
                <w:sz w:val="22"/>
                <w:szCs w:val="22"/>
              </w:rPr>
            </w:pPr>
            <w:r w:rsidRPr="001D5643">
              <w:rPr>
                <w:sz w:val="22"/>
                <w:szCs w:val="22"/>
              </w:rPr>
              <w:t>150/541</w:t>
            </w:r>
          </w:p>
        </w:tc>
      </w:tr>
      <w:tr w:rsidR="001D5643" w:rsidRPr="001D5643" w14:paraId="56787FA6" w14:textId="77777777" w:rsidTr="002C1FFA">
        <w:tc>
          <w:tcPr>
            <w:tcW w:w="2335" w:type="dxa"/>
          </w:tcPr>
          <w:p w14:paraId="69416A62" w14:textId="77777777" w:rsidR="001D5643" w:rsidRPr="001D5643" w:rsidRDefault="001D5643" w:rsidP="00DF0BBA">
            <w:pPr>
              <w:keepNext/>
              <w:rPr>
                <w:sz w:val="22"/>
                <w:szCs w:val="22"/>
              </w:rPr>
            </w:pPr>
            <w:r w:rsidRPr="001D5643">
              <w:rPr>
                <w:sz w:val="22"/>
                <w:szCs w:val="22"/>
              </w:rPr>
              <w:t>% Responders</w:t>
            </w:r>
          </w:p>
        </w:tc>
        <w:tc>
          <w:tcPr>
            <w:tcW w:w="1170" w:type="dxa"/>
          </w:tcPr>
          <w:p w14:paraId="0D9B2F09" w14:textId="77777777" w:rsidR="001D5643" w:rsidRPr="001D5643" w:rsidRDefault="001D5643" w:rsidP="00DF0BBA">
            <w:pPr>
              <w:keepNext/>
              <w:rPr>
                <w:sz w:val="22"/>
                <w:szCs w:val="22"/>
              </w:rPr>
            </w:pPr>
            <w:r w:rsidRPr="001D5643">
              <w:rPr>
                <w:sz w:val="22"/>
                <w:szCs w:val="22"/>
              </w:rPr>
              <w:t>35.1</w:t>
            </w:r>
          </w:p>
        </w:tc>
        <w:tc>
          <w:tcPr>
            <w:tcW w:w="1170" w:type="dxa"/>
          </w:tcPr>
          <w:p w14:paraId="1568224C" w14:textId="77777777" w:rsidR="001D5643" w:rsidRPr="001D5643" w:rsidRDefault="001D5643" w:rsidP="00DF0BBA">
            <w:pPr>
              <w:keepNext/>
              <w:rPr>
                <w:sz w:val="22"/>
                <w:szCs w:val="22"/>
              </w:rPr>
            </w:pPr>
            <w:r w:rsidRPr="001D5643">
              <w:rPr>
                <w:sz w:val="22"/>
                <w:szCs w:val="22"/>
              </w:rPr>
              <w:t>26.8</w:t>
            </w:r>
          </w:p>
        </w:tc>
        <w:tc>
          <w:tcPr>
            <w:tcW w:w="1440" w:type="dxa"/>
          </w:tcPr>
          <w:p w14:paraId="56F86FA9" w14:textId="77777777" w:rsidR="001D5643" w:rsidRPr="001D5643" w:rsidRDefault="001D5643" w:rsidP="00DF0BBA">
            <w:pPr>
              <w:keepNext/>
              <w:rPr>
                <w:sz w:val="22"/>
                <w:szCs w:val="22"/>
              </w:rPr>
            </w:pPr>
            <w:r w:rsidRPr="001D5643">
              <w:rPr>
                <w:sz w:val="22"/>
                <w:szCs w:val="22"/>
              </w:rPr>
              <w:t>37.6</w:t>
            </w:r>
          </w:p>
        </w:tc>
        <w:tc>
          <w:tcPr>
            <w:tcW w:w="1080" w:type="dxa"/>
          </w:tcPr>
          <w:p w14:paraId="13E08D20" w14:textId="77777777" w:rsidR="001D5643" w:rsidRPr="001D5643" w:rsidRDefault="001D5643" w:rsidP="00DF0BBA">
            <w:pPr>
              <w:keepNext/>
              <w:rPr>
                <w:sz w:val="22"/>
                <w:szCs w:val="22"/>
              </w:rPr>
            </w:pPr>
            <w:r w:rsidRPr="001D5643">
              <w:rPr>
                <w:sz w:val="22"/>
                <w:szCs w:val="22"/>
              </w:rPr>
              <w:t>25.2</w:t>
            </w:r>
          </w:p>
        </w:tc>
        <w:tc>
          <w:tcPr>
            <w:tcW w:w="1440" w:type="dxa"/>
          </w:tcPr>
          <w:p w14:paraId="2892B93A" w14:textId="77777777" w:rsidR="001D5643" w:rsidRPr="001D5643" w:rsidRDefault="001D5643" w:rsidP="00DF0BBA">
            <w:pPr>
              <w:keepNext/>
              <w:rPr>
                <w:sz w:val="22"/>
                <w:szCs w:val="22"/>
              </w:rPr>
            </w:pPr>
            <w:r w:rsidRPr="001D5643">
              <w:rPr>
                <w:sz w:val="22"/>
                <w:szCs w:val="22"/>
              </w:rPr>
              <w:t>36.6</w:t>
            </w:r>
          </w:p>
        </w:tc>
        <w:tc>
          <w:tcPr>
            <w:tcW w:w="1170" w:type="dxa"/>
          </w:tcPr>
          <w:p w14:paraId="1FD8AD2E" w14:textId="77777777" w:rsidR="001D5643" w:rsidRPr="001D5643" w:rsidRDefault="001D5643" w:rsidP="00DF0BBA">
            <w:pPr>
              <w:keepNext/>
              <w:rPr>
                <w:sz w:val="22"/>
                <w:szCs w:val="22"/>
              </w:rPr>
            </w:pPr>
            <w:r w:rsidRPr="001D5643">
              <w:rPr>
                <w:sz w:val="22"/>
                <w:szCs w:val="22"/>
              </w:rPr>
              <w:t>27.7</w:t>
            </w:r>
          </w:p>
        </w:tc>
      </w:tr>
      <w:tr w:rsidR="001D5643" w:rsidRPr="001D5643" w14:paraId="654A1C7B" w14:textId="77777777" w:rsidTr="002C1FFA">
        <w:tc>
          <w:tcPr>
            <w:tcW w:w="2335" w:type="dxa"/>
          </w:tcPr>
          <w:p w14:paraId="67C5D726" w14:textId="77777777" w:rsidR="001D5643" w:rsidRPr="001D5643" w:rsidRDefault="001D5643" w:rsidP="00DF0BBA">
            <w:pPr>
              <w:keepNext/>
              <w:rPr>
                <w:sz w:val="22"/>
                <w:szCs w:val="22"/>
              </w:rPr>
            </w:pPr>
            <w:r w:rsidRPr="001D5643">
              <w:rPr>
                <w:sz w:val="22"/>
                <w:szCs w:val="22"/>
              </w:rPr>
              <w:t>Difference compared to placebo (%)</w:t>
            </w:r>
          </w:p>
        </w:tc>
        <w:tc>
          <w:tcPr>
            <w:tcW w:w="1170" w:type="dxa"/>
          </w:tcPr>
          <w:p w14:paraId="2BDBB076" w14:textId="77777777" w:rsidR="001D5643" w:rsidRPr="001D5643" w:rsidRDefault="001D5643" w:rsidP="00DF0BBA">
            <w:pPr>
              <w:keepNext/>
              <w:rPr>
                <w:sz w:val="22"/>
                <w:szCs w:val="22"/>
              </w:rPr>
            </w:pPr>
            <w:r w:rsidRPr="001D5643">
              <w:rPr>
                <w:sz w:val="22"/>
                <w:szCs w:val="22"/>
              </w:rPr>
              <w:t>8.3</w:t>
            </w:r>
          </w:p>
        </w:tc>
        <w:tc>
          <w:tcPr>
            <w:tcW w:w="1170" w:type="dxa"/>
          </w:tcPr>
          <w:p w14:paraId="260D68AC" w14:textId="77777777" w:rsidR="001D5643" w:rsidRPr="001D5643" w:rsidRDefault="001D5643" w:rsidP="00DF0BBA">
            <w:pPr>
              <w:keepNext/>
              <w:rPr>
                <w:sz w:val="22"/>
                <w:szCs w:val="22"/>
              </w:rPr>
            </w:pPr>
          </w:p>
        </w:tc>
        <w:tc>
          <w:tcPr>
            <w:tcW w:w="1440" w:type="dxa"/>
          </w:tcPr>
          <w:p w14:paraId="6B756519" w14:textId="77777777" w:rsidR="001D5643" w:rsidRPr="001D5643" w:rsidRDefault="001D5643" w:rsidP="00DF0BBA">
            <w:pPr>
              <w:keepNext/>
              <w:rPr>
                <w:sz w:val="22"/>
                <w:szCs w:val="22"/>
              </w:rPr>
            </w:pPr>
            <w:r w:rsidRPr="001D5643">
              <w:rPr>
                <w:sz w:val="22"/>
                <w:szCs w:val="22"/>
              </w:rPr>
              <w:t>12.4</w:t>
            </w:r>
          </w:p>
        </w:tc>
        <w:tc>
          <w:tcPr>
            <w:tcW w:w="1080" w:type="dxa"/>
          </w:tcPr>
          <w:p w14:paraId="11B46F63" w14:textId="77777777" w:rsidR="001D5643" w:rsidRPr="001D5643" w:rsidRDefault="001D5643" w:rsidP="00DF0BBA">
            <w:pPr>
              <w:keepNext/>
              <w:rPr>
                <w:sz w:val="22"/>
                <w:szCs w:val="22"/>
              </w:rPr>
            </w:pPr>
          </w:p>
        </w:tc>
        <w:tc>
          <w:tcPr>
            <w:tcW w:w="1440" w:type="dxa"/>
          </w:tcPr>
          <w:p w14:paraId="5221F3D1" w14:textId="77777777" w:rsidR="001D5643" w:rsidRPr="001D5643" w:rsidRDefault="001D5643" w:rsidP="00DF0BBA">
            <w:pPr>
              <w:keepNext/>
              <w:rPr>
                <w:sz w:val="22"/>
                <w:szCs w:val="22"/>
              </w:rPr>
            </w:pPr>
            <w:r w:rsidRPr="001D5643">
              <w:rPr>
                <w:sz w:val="22"/>
                <w:szCs w:val="22"/>
              </w:rPr>
              <w:t>8.9</w:t>
            </w:r>
          </w:p>
        </w:tc>
        <w:tc>
          <w:tcPr>
            <w:tcW w:w="1170" w:type="dxa"/>
          </w:tcPr>
          <w:p w14:paraId="7B93845F" w14:textId="77777777" w:rsidR="001D5643" w:rsidRPr="001D5643" w:rsidRDefault="001D5643" w:rsidP="00DF0BBA">
            <w:pPr>
              <w:keepNext/>
              <w:rPr>
                <w:sz w:val="22"/>
                <w:szCs w:val="22"/>
              </w:rPr>
            </w:pPr>
          </w:p>
        </w:tc>
      </w:tr>
      <w:tr w:rsidR="001D5643" w:rsidRPr="001D5643" w14:paraId="731ABF80" w14:textId="77777777" w:rsidTr="002C1FFA">
        <w:tc>
          <w:tcPr>
            <w:tcW w:w="2335" w:type="dxa"/>
          </w:tcPr>
          <w:p w14:paraId="67339125" w14:textId="77777777" w:rsidR="001D5643" w:rsidRPr="001D5643" w:rsidRDefault="001D5643" w:rsidP="00DF0BBA">
            <w:pPr>
              <w:keepNext/>
              <w:rPr>
                <w:sz w:val="22"/>
                <w:szCs w:val="22"/>
              </w:rPr>
            </w:pPr>
            <w:r w:rsidRPr="001D5643">
              <w:rPr>
                <w:sz w:val="22"/>
                <w:szCs w:val="22"/>
              </w:rPr>
              <w:t>p-value</w:t>
            </w:r>
          </w:p>
        </w:tc>
        <w:tc>
          <w:tcPr>
            <w:tcW w:w="1170" w:type="dxa"/>
          </w:tcPr>
          <w:p w14:paraId="405418F3" w14:textId="77777777" w:rsidR="001D5643" w:rsidRPr="001D5643" w:rsidRDefault="001D5643" w:rsidP="00DF0BBA">
            <w:pPr>
              <w:keepNext/>
              <w:rPr>
                <w:sz w:val="22"/>
                <w:szCs w:val="22"/>
              </w:rPr>
            </w:pPr>
          </w:p>
        </w:tc>
        <w:tc>
          <w:tcPr>
            <w:tcW w:w="1170" w:type="dxa"/>
          </w:tcPr>
          <w:p w14:paraId="754DFA51" w14:textId="77777777" w:rsidR="001D5643" w:rsidRPr="001D5643" w:rsidRDefault="001D5643" w:rsidP="00DF0BBA">
            <w:pPr>
              <w:keepNext/>
              <w:rPr>
                <w:sz w:val="22"/>
                <w:szCs w:val="22"/>
              </w:rPr>
            </w:pPr>
            <w:r w:rsidRPr="001D5643">
              <w:rPr>
                <w:sz w:val="22"/>
                <w:szCs w:val="22"/>
              </w:rPr>
              <w:t>0.0009</w:t>
            </w:r>
            <w:r w:rsidRPr="001D5643">
              <w:rPr>
                <w:sz w:val="22"/>
                <w:szCs w:val="22"/>
                <w:vertAlign w:val="superscript"/>
              </w:rPr>
              <w:t xml:space="preserve"> a</w:t>
            </w:r>
          </w:p>
        </w:tc>
        <w:tc>
          <w:tcPr>
            <w:tcW w:w="1440" w:type="dxa"/>
          </w:tcPr>
          <w:p w14:paraId="4B88DFAC" w14:textId="77777777" w:rsidR="001D5643" w:rsidRPr="001D5643" w:rsidRDefault="001D5643" w:rsidP="00DF0BBA">
            <w:pPr>
              <w:keepNext/>
              <w:rPr>
                <w:sz w:val="22"/>
                <w:szCs w:val="22"/>
              </w:rPr>
            </w:pPr>
          </w:p>
        </w:tc>
        <w:tc>
          <w:tcPr>
            <w:tcW w:w="1080" w:type="dxa"/>
          </w:tcPr>
          <w:p w14:paraId="5CF9B933" w14:textId="77777777" w:rsidR="001D5643" w:rsidRPr="001D5643" w:rsidRDefault="001D5643" w:rsidP="00DF0BBA">
            <w:pPr>
              <w:keepNext/>
              <w:rPr>
                <w:sz w:val="22"/>
                <w:szCs w:val="22"/>
              </w:rPr>
            </w:pPr>
            <w:r w:rsidRPr="001D5643">
              <w:rPr>
                <w:sz w:val="22"/>
                <w:szCs w:val="22"/>
              </w:rPr>
              <w:t>&lt;0.0001</w:t>
            </w:r>
            <w:r w:rsidRPr="001D5643">
              <w:rPr>
                <w:sz w:val="22"/>
                <w:szCs w:val="22"/>
                <w:vertAlign w:val="superscript"/>
              </w:rPr>
              <w:t xml:space="preserve"> a</w:t>
            </w:r>
          </w:p>
        </w:tc>
        <w:tc>
          <w:tcPr>
            <w:tcW w:w="1440" w:type="dxa"/>
          </w:tcPr>
          <w:p w14:paraId="7342D30F" w14:textId="77777777" w:rsidR="001D5643" w:rsidRPr="001D5643" w:rsidRDefault="001D5643" w:rsidP="00DF0BBA">
            <w:pPr>
              <w:keepNext/>
              <w:rPr>
                <w:sz w:val="22"/>
                <w:szCs w:val="22"/>
              </w:rPr>
            </w:pPr>
          </w:p>
        </w:tc>
        <w:tc>
          <w:tcPr>
            <w:tcW w:w="1170" w:type="dxa"/>
          </w:tcPr>
          <w:p w14:paraId="65A7D81D" w14:textId="77777777" w:rsidR="001D5643" w:rsidRPr="001D5643" w:rsidRDefault="001D5643" w:rsidP="00DF0BBA">
            <w:pPr>
              <w:keepNext/>
              <w:rPr>
                <w:sz w:val="22"/>
                <w:szCs w:val="22"/>
              </w:rPr>
            </w:pPr>
            <w:r w:rsidRPr="001D5643">
              <w:rPr>
                <w:sz w:val="22"/>
                <w:szCs w:val="22"/>
              </w:rPr>
              <w:t>0.0016</w:t>
            </w:r>
            <w:r w:rsidRPr="001D5643">
              <w:rPr>
                <w:sz w:val="22"/>
                <w:szCs w:val="22"/>
                <w:vertAlign w:val="superscript"/>
              </w:rPr>
              <w:t xml:space="preserve"> a</w:t>
            </w:r>
          </w:p>
        </w:tc>
      </w:tr>
      <w:tr w:rsidR="001D5643" w:rsidRPr="001D5643" w14:paraId="06925DFE" w14:textId="77777777" w:rsidTr="002C1FFA">
        <w:tc>
          <w:tcPr>
            <w:tcW w:w="2335" w:type="dxa"/>
          </w:tcPr>
          <w:p w14:paraId="64319213" w14:textId="77777777" w:rsidR="001D5643" w:rsidRPr="001D5643" w:rsidRDefault="001D5643" w:rsidP="00DF0BBA">
            <w:pPr>
              <w:keepNext/>
              <w:rPr>
                <w:b/>
                <w:sz w:val="22"/>
                <w:szCs w:val="22"/>
              </w:rPr>
            </w:pPr>
            <w:r w:rsidRPr="001D5643">
              <w:rPr>
                <w:b/>
                <w:sz w:val="22"/>
                <w:szCs w:val="22"/>
              </w:rPr>
              <w:t>Pain Relief at 2 hours</w:t>
            </w:r>
          </w:p>
        </w:tc>
        <w:tc>
          <w:tcPr>
            <w:tcW w:w="1170" w:type="dxa"/>
          </w:tcPr>
          <w:p w14:paraId="5CBDD76A" w14:textId="77777777" w:rsidR="001D5643" w:rsidRPr="001D5643" w:rsidRDefault="001D5643" w:rsidP="00DF0BBA">
            <w:pPr>
              <w:keepNext/>
              <w:rPr>
                <w:sz w:val="22"/>
                <w:szCs w:val="22"/>
              </w:rPr>
            </w:pPr>
          </w:p>
        </w:tc>
        <w:tc>
          <w:tcPr>
            <w:tcW w:w="1170" w:type="dxa"/>
          </w:tcPr>
          <w:p w14:paraId="79FDE8A7" w14:textId="77777777" w:rsidR="001D5643" w:rsidRPr="001D5643" w:rsidRDefault="001D5643" w:rsidP="00DF0BBA">
            <w:pPr>
              <w:keepNext/>
              <w:rPr>
                <w:sz w:val="22"/>
                <w:szCs w:val="22"/>
              </w:rPr>
            </w:pPr>
          </w:p>
        </w:tc>
        <w:tc>
          <w:tcPr>
            <w:tcW w:w="1440" w:type="dxa"/>
          </w:tcPr>
          <w:p w14:paraId="1CD34522" w14:textId="77777777" w:rsidR="001D5643" w:rsidRPr="001D5643" w:rsidRDefault="001D5643" w:rsidP="00DF0BBA">
            <w:pPr>
              <w:keepNext/>
              <w:rPr>
                <w:sz w:val="22"/>
                <w:szCs w:val="22"/>
              </w:rPr>
            </w:pPr>
          </w:p>
        </w:tc>
        <w:tc>
          <w:tcPr>
            <w:tcW w:w="1080" w:type="dxa"/>
          </w:tcPr>
          <w:p w14:paraId="700FE391" w14:textId="77777777" w:rsidR="001D5643" w:rsidRPr="001D5643" w:rsidRDefault="001D5643" w:rsidP="00DF0BBA">
            <w:pPr>
              <w:keepNext/>
              <w:rPr>
                <w:sz w:val="22"/>
                <w:szCs w:val="22"/>
              </w:rPr>
            </w:pPr>
          </w:p>
        </w:tc>
        <w:tc>
          <w:tcPr>
            <w:tcW w:w="1440" w:type="dxa"/>
          </w:tcPr>
          <w:p w14:paraId="2C9A370D" w14:textId="77777777" w:rsidR="001D5643" w:rsidRPr="001D5643" w:rsidRDefault="001D5643" w:rsidP="00DF0BBA">
            <w:pPr>
              <w:keepNext/>
              <w:rPr>
                <w:sz w:val="22"/>
                <w:szCs w:val="22"/>
              </w:rPr>
            </w:pPr>
          </w:p>
        </w:tc>
        <w:tc>
          <w:tcPr>
            <w:tcW w:w="1170" w:type="dxa"/>
          </w:tcPr>
          <w:p w14:paraId="333EAD7D" w14:textId="77777777" w:rsidR="001D5643" w:rsidRPr="001D5643" w:rsidRDefault="001D5643" w:rsidP="00DF0BBA">
            <w:pPr>
              <w:keepNext/>
              <w:rPr>
                <w:sz w:val="22"/>
                <w:szCs w:val="22"/>
              </w:rPr>
            </w:pPr>
          </w:p>
        </w:tc>
      </w:tr>
      <w:tr w:rsidR="001D5643" w:rsidRPr="001D5643" w14:paraId="1141F0F4" w14:textId="77777777" w:rsidTr="002C1FFA">
        <w:tc>
          <w:tcPr>
            <w:tcW w:w="2335" w:type="dxa"/>
          </w:tcPr>
          <w:p w14:paraId="382C9AFD" w14:textId="77777777" w:rsidR="001D5643" w:rsidRPr="001D5643" w:rsidRDefault="001D5643" w:rsidP="00DF0BBA">
            <w:pPr>
              <w:keepNext/>
              <w:rPr>
                <w:b/>
                <w:sz w:val="22"/>
                <w:szCs w:val="22"/>
              </w:rPr>
            </w:pPr>
            <w:r w:rsidRPr="001D5643">
              <w:rPr>
                <w:sz w:val="22"/>
                <w:szCs w:val="22"/>
              </w:rPr>
              <w:t>n/N*</w:t>
            </w:r>
          </w:p>
        </w:tc>
        <w:tc>
          <w:tcPr>
            <w:tcW w:w="1170" w:type="dxa"/>
          </w:tcPr>
          <w:p w14:paraId="22429ADA" w14:textId="77777777" w:rsidR="001D5643" w:rsidRPr="001D5643" w:rsidRDefault="001D5643" w:rsidP="00DF0BBA">
            <w:pPr>
              <w:keepNext/>
              <w:rPr>
                <w:sz w:val="22"/>
                <w:szCs w:val="22"/>
              </w:rPr>
            </w:pPr>
            <w:r w:rsidRPr="001D5643">
              <w:rPr>
                <w:sz w:val="22"/>
                <w:szCs w:val="22"/>
              </w:rPr>
              <w:t>397/669</w:t>
            </w:r>
          </w:p>
        </w:tc>
        <w:tc>
          <w:tcPr>
            <w:tcW w:w="1170" w:type="dxa"/>
          </w:tcPr>
          <w:p w14:paraId="703B66D9" w14:textId="77777777" w:rsidR="001D5643" w:rsidRPr="001D5643" w:rsidRDefault="001D5643" w:rsidP="00DF0BBA">
            <w:pPr>
              <w:keepNext/>
              <w:rPr>
                <w:sz w:val="22"/>
                <w:szCs w:val="22"/>
              </w:rPr>
            </w:pPr>
            <w:r w:rsidRPr="001D5643">
              <w:rPr>
                <w:sz w:val="22"/>
                <w:szCs w:val="22"/>
              </w:rPr>
              <w:t>295/682</w:t>
            </w:r>
          </w:p>
        </w:tc>
        <w:tc>
          <w:tcPr>
            <w:tcW w:w="1440" w:type="dxa"/>
          </w:tcPr>
          <w:p w14:paraId="31E581E1" w14:textId="77777777" w:rsidR="001D5643" w:rsidRPr="001D5643" w:rsidRDefault="001D5643" w:rsidP="00DF0BBA">
            <w:pPr>
              <w:keepNext/>
              <w:rPr>
                <w:sz w:val="22"/>
                <w:szCs w:val="22"/>
              </w:rPr>
            </w:pPr>
            <w:r w:rsidRPr="001D5643">
              <w:rPr>
                <w:sz w:val="22"/>
                <w:szCs w:val="22"/>
              </w:rPr>
              <w:t>312/537</w:t>
            </w:r>
          </w:p>
        </w:tc>
        <w:tc>
          <w:tcPr>
            <w:tcW w:w="1080" w:type="dxa"/>
          </w:tcPr>
          <w:p w14:paraId="4CB44FB5" w14:textId="77777777" w:rsidR="001D5643" w:rsidRPr="001D5643" w:rsidRDefault="001D5643" w:rsidP="00DF0BBA">
            <w:pPr>
              <w:keepNext/>
              <w:rPr>
                <w:sz w:val="22"/>
                <w:szCs w:val="22"/>
              </w:rPr>
            </w:pPr>
            <w:r w:rsidRPr="001D5643">
              <w:rPr>
                <w:sz w:val="22"/>
                <w:szCs w:val="22"/>
              </w:rPr>
              <w:t>229/535</w:t>
            </w:r>
          </w:p>
        </w:tc>
        <w:tc>
          <w:tcPr>
            <w:tcW w:w="1440" w:type="dxa"/>
          </w:tcPr>
          <w:p w14:paraId="3C62AAB8" w14:textId="77777777" w:rsidR="001D5643" w:rsidRPr="001D5643" w:rsidRDefault="001D5643" w:rsidP="00DF0BBA">
            <w:pPr>
              <w:keepNext/>
              <w:rPr>
                <w:sz w:val="22"/>
                <w:szCs w:val="22"/>
              </w:rPr>
            </w:pPr>
            <w:r w:rsidRPr="001D5643">
              <w:rPr>
                <w:sz w:val="22"/>
                <w:szCs w:val="22"/>
              </w:rPr>
              <w:t>304/543</w:t>
            </w:r>
          </w:p>
        </w:tc>
        <w:tc>
          <w:tcPr>
            <w:tcW w:w="1170" w:type="dxa"/>
          </w:tcPr>
          <w:p w14:paraId="303C3820" w14:textId="77777777" w:rsidR="001D5643" w:rsidRPr="001D5643" w:rsidRDefault="001D5643" w:rsidP="00DF0BBA">
            <w:pPr>
              <w:keepNext/>
              <w:rPr>
                <w:sz w:val="22"/>
                <w:szCs w:val="22"/>
              </w:rPr>
            </w:pPr>
            <w:r w:rsidRPr="001D5643">
              <w:rPr>
                <w:sz w:val="22"/>
                <w:szCs w:val="22"/>
              </w:rPr>
              <w:t>247/541</w:t>
            </w:r>
          </w:p>
        </w:tc>
      </w:tr>
      <w:tr w:rsidR="001D5643" w:rsidRPr="001D5643" w14:paraId="192CAC08" w14:textId="77777777" w:rsidTr="002C1FFA">
        <w:tc>
          <w:tcPr>
            <w:tcW w:w="2335" w:type="dxa"/>
          </w:tcPr>
          <w:p w14:paraId="29C58580" w14:textId="77777777" w:rsidR="001D5643" w:rsidRPr="001D5643" w:rsidRDefault="001D5643" w:rsidP="00DF0BBA">
            <w:pPr>
              <w:keepNext/>
              <w:rPr>
                <w:sz w:val="22"/>
                <w:szCs w:val="22"/>
              </w:rPr>
            </w:pPr>
            <w:r w:rsidRPr="001D5643">
              <w:rPr>
                <w:sz w:val="22"/>
                <w:szCs w:val="22"/>
              </w:rPr>
              <w:t>% Responders</w:t>
            </w:r>
          </w:p>
        </w:tc>
        <w:tc>
          <w:tcPr>
            <w:tcW w:w="1170" w:type="dxa"/>
          </w:tcPr>
          <w:p w14:paraId="199F5692" w14:textId="77777777" w:rsidR="001D5643" w:rsidRPr="001D5643" w:rsidRDefault="001D5643" w:rsidP="00DF0BBA">
            <w:pPr>
              <w:keepNext/>
              <w:rPr>
                <w:sz w:val="22"/>
                <w:szCs w:val="22"/>
              </w:rPr>
            </w:pPr>
            <w:r w:rsidRPr="001D5643">
              <w:rPr>
                <w:sz w:val="22"/>
                <w:szCs w:val="22"/>
              </w:rPr>
              <w:t>59.3</w:t>
            </w:r>
          </w:p>
        </w:tc>
        <w:tc>
          <w:tcPr>
            <w:tcW w:w="1170" w:type="dxa"/>
          </w:tcPr>
          <w:p w14:paraId="10C8D511" w14:textId="77777777" w:rsidR="001D5643" w:rsidRPr="001D5643" w:rsidRDefault="001D5643" w:rsidP="00DF0BBA">
            <w:pPr>
              <w:keepNext/>
              <w:rPr>
                <w:sz w:val="22"/>
                <w:szCs w:val="22"/>
              </w:rPr>
            </w:pPr>
            <w:r w:rsidRPr="001D5643">
              <w:rPr>
                <w:sz w:val="22"/>
                <w:szCs w:val="22"/>
              </w:rPr>
              <w:t>43.3</w:t>
            </w:r>
          </w:p>
        </w:tc>
        <w:tc>
          <w:tcPr>
            <w:tcW w:w="1440" w:type="dxa"/>
          </w:tcPr>
          <w:p w14:paraId="03A29F3B" w14:textId="77777777" w:rsidR="001D5643" w:rsidRPr="001D5643" w:rsidRDefault="001D5643" w:rsidP="00DF0BBA">
            <w:pPr>
              <w:keepNext/>
              <w:rPr>
                <w:sz w:val="22"/>
                <w:szCs w:val="22"/>
              </w:rPr>
            </w:pPr>
            <w:r w:rsidRPr="001D5643">
              <w:rPr>
                <w:sz w:val="22"/>
                <w:szCs w:val="22"/>
              </w:rPr>
              <w:t>58.1</w:t>
            </w:r>
          </w:p>
        </w:tc>
        <w:tc>
          <w:tcPr>
            <w:tcW w:w="1080" w:type="dxa"/>
          </w:tcPr>
          <w:p w14:paraId="10C35ACD" w14:textId="77777777" w:rsidR="001D5643" w:rsidRPr="001D5643" w:rsidRDefault="001D5643" w:rsidP="00DF0BBA">
            <w:pPr>
              <w:keepNext/>
              <w:rPr>
                <w:sz w:val="22"/>
                <w:szCs w:val="22"/>
              </w:rPr>
            </w:pPr>
            <w:r w:rsidRPr="001D5643">
              <w:rPr>
                <w:sz w:val="22"/>
                <w:szCs w:val="22"/>
              </w:rPr>
              <w:t>42.8</w:t>
            </w:r>
          </w:p>
        </w:tc>
        <w:tc>
          <w:tcPr>
            <w:tcW w:w="1440" w:type="dxa"/>
          </w:tcPr>
          <w:p w14:paraId="317F1F13" w14:textId="77777777" w:rsidR="001D5643" w:rsidRPr="001D5643" w:rsidRDefault="001D5643" w:rsidP="00DF0BBA">
            <w:pPr>
              <w:keepNext/>
              <w:rPr>
                <w:sz w:val="22"/>
                <w:szCs w:val="22"/>
              </w:rPr>
            </w:pPr>
            <w:r w:rsidRPr="001D5643">
              <w:rPr>
                <w:sz w:val="22"/>
                <w:szCs w:val="22"/>
              </w:rPr>
              <w:t>56.0</w:t>
            </w:r>
          </w:p>
        </w:tc>
        <w:tc>
          <w:tcPr>
            <w:tcW w:w="1170" w:type="dxa"/>
          </w:tcPr>
          <w:p w14:paraId="74D7E302" w14:textId="77777777" w:rsidR="001D5643" w:rsidRPr="001D5643" w:rsidRDefault="001D5643" w:rsidP="00DF0BBA">
            <w:pPr>
              <w:keepNext/>
              <w:rPr>
                <w:sz w:val="22"/>
                <w:szCs w:val="22"/>
              </w:rPr>
            </w:pPr>
            <w:r w:rsidRPr="001D5643">
              <w:rPr>
                <w:sz w:val="22"/>
                <w:szCs w:val="22"/>
              </w:rPr>
              <w:t>45.7</w:t>
            </w:r>
          </w:p>
        </w:tc>
      </w:tr>
      <w:tr w:rsidR="001D5643" w:rsidRPr="001D5643" w14:paraId="1C843357" w14:textId="77777777" w:rsidTr="002C1FFA">
        <w:tc>
          <w:tcPr>
            <w:tcW w:w="2335" w:type="dxa"/>
          </w:tcPr>
          <w:p w14:paraId="61D05C63" w14:textId="77777777" w:rsidR="001D5643" w:rsidRPr="001D5643" w:rsidRDefault="001D5643" w:rsidP="00DF0BBA">
            <w:pPr>
              <w:keepNext/>
              <w:rPr>
                <w:sz w:val="22"/>
                <w:szCs w:val="22"/>
              </w:rPr>
            </w:pPr>
            <w:r w:rsidRPr="001D5643">
              <w:rPr>
                <w:sz w:val="22"/>
                <w:szCs w:val="22"/>
              </w:rPr>
              <w:t>Difference compared to placebo</w:t>
            </w:r>
          </w:p>
        </w:tc>
        <w:tc>
          <w:tcPr>
            <w:tcW w:w="1170" w:type="dxa"/>
          </w:tcPr>
          <w:p w14:paraId="1175259F" w14:textId="77777777" w:rsidR="001D5643" w:rsidRPr="001D5643" w:rsidRDefault="001D5643" w:rsidP="00DF0BBA">
            <w:pPr>
              <w:keepNext/>
              <w:rPr>
                <w:sz w:val="22"/>
                <w:szCs w:val="22"/>
              </w:rPr>
            </w:pPr>
            <w:r w:rsidRPr="001D5643">
              <w:rPr>
                <w:sz w:val="22"/>
                <w:szCs w:val="22"/>
              </w:rPr>
              <w:t>16.1</w:t>
            </w:r>
          </w:p>
        </w:tc>
        <w:tc>
          <w:tcPr>
            <w:tcW w:w="1170" w:type="dxa"/>
          </w:tcPr>
          <w:p w14:paraId="56310E91" w14:textId="77777777" w:rsidR="001D5643" w:rsidRPr="001D5643" w:rsidRDefault="001D5643" w:rsidP="00DF0BBA">
            <w:pPr>
              <w:keepNext/>
              <w:rPr>
                <w:sz w:val="22"/>
                <w:szCs w:val="22"/>
              </w:rPr>
            </w:pPr>
          </w:p>
        </w:tc>
        <w:tc>
          <w:tcPr>
            <w:tcW w:w="1440" w:type="dxa"/>
          </w:tcPr>
          <w:p w14:paraId="3308A74B" w14:textId="77777777" w:rsidR="001D5643" w:rsidRPr="001D5643" w:rsidRDefault="001D5643" w:rsidP="00DF0BBA">
            <w:pPr>
              <w:keepNext/>
              <w:rPr>
                <w:sz w:val="22"/>
                <w:szCs w:val="22"/>
              </w:rPr>
            </w:pPr>
            <w:r w:rsidRPr="001D5643">
              <w:rPr>
                <w:sz w:val="22"/>
                <w:szCs w:val="22"/>
              </w:rPr>
              <w:t>15.3</w:t>
            </w:r>
          </w:p>
        </w:tc>
        <w:tc>
          <w:tcPr>
            <w:tcW w:w="1080" w:type="dxa"/>
          </w:tcPr>
          <w:p w14:paraId="6E06C12F" w14:textId="77777777" w:rsidR="001D5643" w:rsidRPr="001D5643" w:rsidRDefault="001D5643" w:rsidP="00DF0BBA">
            <w:pPr>
              <w:keepNext/>
              <w:rPr>
                <w:sz w:val="22"/>
                <w:szCs w:val="22"/>
              </w:rPr>
            </w:pPr>
          </w:p>
        </w:tc>
        <w:tc>
          <w:tcPr>
            <w:tcW w:w="1440" w:type="dxa"/>
          </w:tcPr>
          <w:p w14:paraId="142E1938" w14:textId="77777777" w:rsidR="001D5643" w:rsidRPr="001D5643" w:rsidRDefault="001D5643" w:rsidP="00DF0BBA">
            <w:pPr>
              <w:keepNext/>
              <w:rPr>
                <w:sz w:val="22"/>
                <w:szCs w:val="22"/>
              </w:rPr>
            </w:pPr>
            <w:r w:rsidRPr="001D5643">
              <w:rPr>
                <w:sz w:val="22"/>
                <w:szCs w:val="22"/>
              </w:rPr>
              <w:t>10.3</w:t>
            </w:r>
          </w:p>
        </w:tc>
        <w:tc>
          <w:tcPr>
            <w:tcW w:w="1170" w:type="dxa"/>
          </w:tcPr>
          <w:p w14:paraId="478A379C" w14:textId="77777777" w:rsidR="001D5643" w:rsidRPr="001D5643" w:rsidRDefault="001D5643" w:rsidP="00DF0BBA">
            <w:pPr>
              <w:keepNext/>
              <w:rPr>
                <w:sz w:val="22"/>
                <w:szCs w:val="22"/>
              </w:rPr>
            </w:pPr>
          </w:p>
        </w:tc>
      </w:tr>
      <w:tr w:rsidR="001D5643" w:rsidRPr="001D5643" w14:paraId="1F5BEBAD" w14:textId="77777777" w:rsidTr="002C1FFA">
        <w:tc>
          <w:tcPr>
            <w:tcW w:w="2335" w:type="dxa"/>
          </w:tcPr>
          <w:p w14:paraId="16B25804" w14:textId="77777777" w:rsidR="001D5643" w:rsidRPr="001D5643" w:rsidRDefault="001D5643" w:rsidP="00DF0BBA">
            <w:pPr>
              <w:keepNext/>
              <w:rPr>
                <w:sz w:val="22"/>
                <w:szCs w:val="22"/>
              </w:rPr>
            </w:pPr>
            <w:r w:rsidRPr="001D5643">
              <w:rPr>
                <w:sz w:val="22"/>
                <w:szCs w:val="22"/>
              </w:rPr>
              <w:t>p-value</w:t>
            </w:r>
          </w:p>
        </w:tc>
        <w:tc>
          <w:tcPr>
            <w:tcW w:w="1170" w:type="dxa"/>
          </w:tcPr>
          <w:p w14:paraId="52E748E6" w14:textId="77777777" w:rsidR="001D5643" w:rsidRPr="001D5643" w:rsidRDefault="001D5643" w:rsidP="00DF0BBA">
            <w:pPr>
              <w:keepNext/>
              <w:rPr>
                <w:sz w:val="22"/>
                <w:szCs w:val="22"/>
              </w:rPr>
            </w:pPr>
          </w:p>
        </w:tc>
        <w:tc>
          <w:tcPr>
            <w:tcW w:w="1170" w:type="dxa"/>
          </w:tcPr>
          <w:p w14:paraId="0DE48948" w14:textId="77777777" w:rsidR="001D5643" w:rsidRPr="001D5643" w:rsidRDefault="001D5643" w:rsidP="00DF0BBA">
            <w:pPr>
              <w:keepNext/>
              <w:rPr>
                <w:sz w:val="22"/>
                <w:szCs w:val="22"/>
              </w:rPr>
            </w:pPr>
            <w:r w:rsidRPr="001D5643">
              <w:rPr>
                <w:sz w:val="22"/>
                <w:szCs w:val="22"/>
              </w:rPr>
              <w:t>&lt;0.0001</w:t>
            </w:r>
            <w:r w:rsidRPr="001D5643">
              <w:rPr>
                <w:sz w:val="22"/>
                <w:szCs w:val="22"/>
                <w:vertAlign w:val="superscript"/>
              </w:rPr>
              <w:t>a</w:t>
            </w:r>
          </w:p>
        </w:tc>
        <w:tc>
          <w:tcPr>
            <w:tcW w:w="1440" w:type="dxa"/>
          </w:tcPr>
          <w:p w14:paraId="13734DF3" w14:textId="77777777" w:rsidR="001D5643" w:rsidRPr="001D5643" w:rsidRDefault="001D5643" w:rsidP="00DF0BBA">
            <w:pPr>
              <w:keepNext/>
              <w:rPr>
                <w:sz w:val="22"/>
                <w:szCs w:val="22"/>
              </w:rPr>
            </w:pPr>
          </w:p>
        </w:tc>
        <w:tc>
          <w:tcPr>
            <w:tcW w:w="1080" w:type="dxa"/>
          </w:tcPr>
          <w:p w14:paraId="49821EFF" w14:textId="77777777" w:rsidR="001D5643" w:rsidRPr="001D5643" w:rsidRDefault="001D5643" w:rsidP="00DF0BBA">
            <w:pPr>
              <w:keepNext/>
              <w:rPr>
                <w:sz w:val="22"/>
                <w:szCs w:val="22"/>
              </w:rPr>
            </w:pPr>
            <w:r w:rsidRPr="001D5643">
              <w:rPr>
                <w:sz w:val="22"/>
                <w:szCs w:val="22"/>
              </w:rPr>
              <w:t>&lt;0.0001</w:t>
            </w:r>
            <w:r w:rsidRPr="001D5643">
              <w:rPr>
                <w:sz w:val="22"/>
                <w:szCs w:val="22"/>
                <w:vertAlign w:val="superscript"/>
              </w:rPr>
              <w:t>a</w:t>
            </w:r>
          </w:p>
        </w:tc>
        <w:tc>
          <w:tcPr>
            <w:tcW w:w="1440" w:type="dxa"/>
          </w:tcPr>
          <w:p w14:paraId="1FEBED90" w14:textId="77777777" w:rsidR="001D5643" w:rsidRPr="001D5643" w:rsidRDefault="001D5643" w:rsidP="00DF0BBA">
            <w:pPr>
              <w:keepNext/>
              <w:rPr>
                <w:sz w:val="22"/>
                <w:szCs w:val="22"/>
              </w:rPr>
            </w:pPr>
          </w:p>
        </w:tc>
        <w:tc>
          <w:tcPr>
            <w:tcW w:w="1170" w:type="dxa"/>
          </w:tcPr>
          <w:p w14:paraId="39056762" w14:textId="77777777" w:rsidR="001D5643" w:rsidRPr="001D5643" w:rsidRDefault="001D5643" w:rsidP="00DF0BBA">
            <w:pPr>
              <w:keepNext/>
              <w:rPr>
                <w:sz w:val="22"/>
                <w:szCs w:val="22"/>
              </w:rPr>
            </w:pPr>
            <w:r w:rsidRPr="001D5643">
              <w:rPr>
                <w:sz w:val="22"/>
                <w:szCs w:val="22"/>
              </w:rPr>
              <w:t>0.0006</w:t>
            </w:r>
            <w:r w:rsidRPr="001D5643">
              <w:rPr>
                <w:sz w:val="22"/>
                <w:szCs w:val="22"/>
                <w:vertAlign w:val="superscript"/>
              </w:rPr>
              <w:t>a</w:t>
            </w:r>
          </w:p>
        </w:tc>
      </w:tr>
      <w:tr w:rsidR="001D5643" w:rsidRPr="001D5643" w14:paraId="44F2D125" w14:textId="77777777" w:rsidTr="002C1FFA">
        <w:tc>
          <w:tcPr>
            <w:tcW w:w="2335" w:type="dxa"/>
          </w:tcPr>
          <w:p w14:paraId="246D13DB" w14:textId="77777777" w:rsidR="001D5643" w:rsidRPr="001D5643" w:rsidRDefault="001D5643" w:rsidP="00DF0BBA">
            <w:pPr>
              <w:keepNext/>
              <w:rPr>
                <w:sz w:val="22"/>
                <w:szCs w:val="22"/>
              </w:rPr>
            </w:pPr>
            <w:r w:rsidRPr="001D5643">
              <w:rPr>
                <w:b/>
                <w:sz w:val="22"/>
                <w:szCs w:val="22"/>
              </w:rPr>
              <w:t>Sustained Pain Freedom 2 to 48 hours</w:t>
            </w:r>
          </w:p>
        </w:tc>
        <w:tc>
          <w:tcPr>
            <w:tcW w:w="1170" w:type="dxa"/>
          </w:tcPr>
          <w:p w14:paraId="079F8165" w14:textId="77777777" w:rsidR="001D5643" w:rsidRPr="001D5643" w:rsidRDefault="001D5643" w:rsidP="00DF0BBA">
            <w:pPr>
              <w:keepNext/>
              <w:rPr>
                <w:sz w:val="22"/>
                <w:szCs w:val="22"/>
              </w:rPr>
            </w:pPr>
          </w:p>
        </w:tc>
        <w:tc>
          <w:tcPr>
            <w:tcW w:w="1170" w:type="dxa"/>
          </w:tcPr>
          <w:p w14:paraId="0D33A216" w14:textId="77777777" w:rsidR="001D5643" w:rsidRPr="001D5643" w:rsidRDefault="001D5643" w:rsidP="00DF0BBA">
            <w:pPr>
              <w:keepNext/>
              <w:rPr>
                <w:sz w:val="22"/>
                <w:szCs w:val="22"/>
              </w:rPr>
            </w:pPr>
          </w:p>
        </w:tc>
        <w:tc>
          <w:tcPr>
            <w:tcW w:w="1440" w:type="dxa"/>
          </w:tcPr>
          <w:p w14:paraId="10DDE7C8" w14:textId="77777777" w:rsidR="001D5643" w:rsidRPr="001D5643" w:rsidRDefault="001D5643" w:rsidP="00DF0BBA">
            <w:pPr>
              <w:keepNext/>
              <w:rPr>
                <w:sz w:val="22"/>
                <w:szCs w:val="22"/>
              </w:rPr>
            </w:pPr>
          </w:p>
        </w:tc>
        <w:tc>
          <w:tcPr>
            <w:tcW w:w="1080" w:type="dxa"/>
          </w:tcPr>
          <w:p w14:paraId="2C11A991" w14:textId="77777777" w:rsidR="001D5643" w:rsidRPr="001D5643" w:rsidRDefault="001D5643" w:rsidP="00DF0BBA">
            <w:pPr>
              <w:keepNext/>
              <w:rPr>
                <w:sz w:val="22"/>
                <w:szCs w:val="22"/>
              </w:rPr>
            </w:pPr>
          </w:p>
        </w:tc>
        <w:tc>
          <w:tcPr>
            <w:tcW w:w="1440" w:type="dxa"/>
          </w:tcPr>
          <w:p w14:paraId="3CA2E536" w14:textId="77777777" w:rsidR="001D5643" w:rsidRPr="001D5643" w:rsidRDefault="001D5643" w:rsidP="00DF0BBA">
            <w:pPr>
              <w:keepNext/>
              <w:rPr>
                <w:sz w:val="22"/>
                <w:szCs w:val="22"/>
              </w:rPr>
            </w:pPr>
          </w:p>
        </w:tc>
        <w:tc>
          <w:tcPr>
            <w:tcW w:w="1170" w:type="dxa"/>
          </w:tcPr>
          <w:p w14:paraId="504011AC" w14:textId="77777777" w:rsidR="001D5643" w:rsidRPr="001D5643" w:rsidRDefault="001D5643" w:rsidP="00DF0BBA">
            <w:pPr>
              <w:keepNext/>
              <w:rPr>
                <w:sz w:val="22"/>
                <w:szCs w:val="22"/>
              </w:rPr>
            </w:pPr>
          </w:p>
        </w:tc>
      </w:tr>
      <w:tr w:rsidR="001D5643" w:rsidRPr="001D5643" w14:paraId="65DCE38F" w14:textId="77777777" w:rsidTr="002C1FFA">
        <w:tc>
          <w:tcPr>
            <w:tcW w:w="2335" w:type="dxa"/>
          </w:tcPr>
          <w:p w14:paraId="324E543B" w14:textId="77777777" w:rsidR="001D5643" w:rsidRPr="001D5643" w:rsidRDefault="001D5643" w:rsidP="00DF0BBA">
            <w:pPr>
              <w:keepNext/>
              <w:rPr>
                <w:b/>
                <w:sz w:val="22"/>
                <w:szCs w:val="22"/>
              </w:rPr>
            </w:pPr>
            <w:r w:rsidRPr="001D5643">
              <w:rPr>
                <w:sz w:val="22"/>
                <w:szCs w:val="22"/>
              </w:rPr>
              <w:t>n/N*</w:t>
            </w:r>
          </w:p>
        </w:tc>
        <w:tc>
          <w:tcPr>
            <w:tcW w:w="1170" w:type="dxa"/>
          </w:tcPr>
          <w:p w14:paraId="02022278" w14:textId="77777777" w:rsidR="001D5643" w:rsidRPr="001D5643" w:rsidRDefault="001D5643" w:rsidP="00DF0BBA">
            <w:pPr>
              <w:keepNext/>
              <w:rPr>
                <w:sz w:val="22"/>
                <w:szCs w:val="22"/>
              </w:rPr>
            </w:pPr>
            <w:r w:rsidRPr="001D5643">
              <w:rPr>
                <w:sz w:val="22"/>
                <w:szCs w:val="22"/>
              </w:rPr>
              <w:t>90/669</w:t>
            </w:r>
          </w:p>
        </w:tc>
        <w:tc>
          <w:tcPr>
            <w:tcW w:w="1170" w:type="dxa"/>
          </w:tcPr>
          <w:p w14:paraId="26F11090" w14:textId="77777777" w:rsidR="001D5643" w:rsidRPr="001D5643" w:rsidRDefault="001D5643" w:rsidP="00DF0BBA">
            <w:pPr>
              <w:keepNext/>
              <w:rPr>
                <w:sz w:val="22"/>
                <w:szCs w:val="22"/>
              </w:rPr>
            </w:pPr>
            <w:r w:rsidRPr="001D5643">
              <w:rPr>
                <w:sz w:val="22"/>
                <w:szCs w:val="22"/>
              </w:rPr>
              <w:t>37/682</w:t>
            </w:r>
          </w:p>
        </w:tc>
        <w:tc>
          <w:tcPr>
            <w:tcW w:w="1440" w:type="dxa"/>
          </w:tcPr>
          <w:p w14:paraId="09153C49" w14:textId="77777777" w:rsidR="001D5643" w:rsidRPr="001D5643" w:rsidRDefault="001D5643" w:rsidP="00DF0BBA">
            <w:pPr>
              <w:keepNext/>
              <w:rPr>
                <w:sz w:val="22"/>
                <w:szCs w:val="22"/>
              </w:rPr>
            </w:pPr>
            <w:r w:rsidRPr="001D5643">
              <w:rPr>
                <w:sz w:val="22"/>
                <w:szCs w:val="22"/>
              </w:rPr>
              <w:t>53/537</w:t>
            </w:r>
          </w:p>
        </w:tc>
        <w:tc>
          <w:tcPr>
            <w:tcW w:w="1080" w:type="dxa"/>
          </w:tcPr>
          <w:p w14:paraId="0EB66A14" w14:textId="77777777" w:rsidR="001D5643" w:rsidRPr="001D5643" w:rsidRDefault="001D5643" w:rsidP="00DF0BBA">
            <w:pPr>
              <w:keepNext/>
              <w:rPr>
                <w:sz w:val="22"/>
                <w:szCs w:val="22"/>
              </w:rPr>
            </w:pPr>
            <w:r w:rsidRPr="001D5643">
              <w:rPr>
                <w:sz w:val="22"/>
                <w:szCs w:val="22"/>
              </w:rPr>
              <w:t>32/535</w:t>
            </w:r>
          </w:p>
        </w:tc>
        <w:tc>
          <w:tcPr>
            <w:tcW w:w="1440" w:type="dxa"/>
          </w:tcPr>
          <w:p w14:paraId="07104587" w14:textId="77777777" w:rsidR="001D5643" w:rsidRPr="001D5643" w:rsidRDefault="001D5643" w:rsidP="00DF0BBA">
            <w:pPr>
              <w:keepNext/>
              <w:rPr>
                <w:sz w:val="22"/>
                <w:szCs w:val="22"/>
              </w:rPr>
            </w:pPr>
            <w:r w:rsidRPr="001D5643">
              <w:rPr>
                <w:sz w:val="22"/>
                <w:szCs w:val="22"/>
              </w:rPr>
              <w:t>63/543</w:t>
            </w:r>
          </w:p>
        </w:tc>
        <w:tc>
          <w:tcPr>
            <w:tcW w:w="1170" w:type="dxa"/>
          </w:tcPr>
          <w:p w14:paraId="164811BB" w14:textId="77777777" w:rsidR="001D5643" w:rsidRPr="001D5643" w:rsidRDefault="001D5643" w:rsidP="00DF0BBA">
            <w:pPr>
              <w:keepNext/>
              <w:rPr>
                <w:sz w:val="22"/>
                <w:szCs w:val="22"/>
              </w:rPr>
            </w:pPr>
            <w:r w:rsidRPr="001D5643">
              <w:rPr>
                <w:sz w:val="22"/>
                <w:szCs w:val="22"/>
              </w:rPr>
              <w:t>39/541</w:t>
            </w:r>
          </w:p>
        </w:tc>
      </w:tr>
      <w:tr w:rsidR="001D5643" w:rsidRPr="001D5643" w14:paraId="2158D6E2" w14:textId="77777777" w:rsidTr="002C1FFA">
        <w:tc>
          <w:tcPr>
            <w:tcW w:w="2335" w:type="dxa"/>
          </w:tcPr>
          <w:p w14:paraId="6612E0BB" w14:textId="77777777" w:rsidR="001D5643" w:rsidRPr="001D5643" w:rsidRDefault="001D5643" w:rsidP="00DF0BBA">
            <w:pPr>
              <w:keepNext/>
              <w:rPr>
                <w:sz w:val="22"/>
                <w:szCs w:val="22"/>
              </w:rPr>
            </w:pPr>
            <w:r w:rsidRPr="001D5643">
              <w:rPr>
                <w:sz w:val="22"/>
                <w:szCs w:val="22"/>
              </w:rPr>
              <w:t>% Responders</w:t>
            </w:r>
          </w:p>
        </w:tc>
        <w:tc>
          <w:tcPr>
            <w:tcW w:w="1170" w:type="dxa"/>
          </w:tcPr>
          <w:p w14:paraId="7D444277" w14:textId="77777777" w:rsidR="001D5643" w:rsidRPr="001D5643" w:rsidRDefault="001D5643" w:rsidP="00DF0BBA">
            <w:pPr>
              <w:keepNext/>
              <w:rPr>
                <w:sz w:val="22"/>
                <w:szCs w:val="22"/>
              </w:rPr>
            </w:pPr>
            <w:r w:rsidRPr="001D5643">
              <w:rPr>
                <w:sz w:val="22"/>
                <w:szCs w:val="22"/>
              </w:rPr>
              <w:t>13.5</w:t>
            </w:r>
          </w:p>
        </w:tc>
        <w:tc>
          <w:tcPr>
            <w:tcW w:w="1170" w:type="dxa"/>
          </w:tcPr>
          <w:p w14:paraId="3EB6DBF2" w14:textId="77777777" w:rsidR="001D5643" w:rsidRPr="001D5643" w:rsidRDefault="001D5643" w:rsidP="00DF0BBA">
            <w:pPr>
              <w:keepNext/>
              <w:rPr>
                <w:sz w:val="22"/>
                <w:szCs w:val="22"/>
              </w:rPr>
            </w:pPr>
            <w:r w:rsidRPr="001D5643">
              <w:rPr>
                <w:sz w:val="22"/>
                <w:szCs w:val="22"/>
              </w:rPr>
              <w:t>5.4</w:t>
            </w:r>
          </w:p>
        </w:tc>
        <w:tc>
          <w:tcPr>
            <w:tcW w:w="1440" w:type="dxa"/>
          </w:tcPr>
          <w:p w14:paraId="0820B18D" w14:textId="77777777" w:rsidR="001D5643" w:rsidRPr="001D5643" w:rsidRDefault="001D5643" w:rsidP="00DF0BBA">
            <w:pPr>
              <w:keepNext/>
              <w:rPr>
                <w:sz w:val="22"/>
                <w:szCs w:val="22"/>
              </w:rPr>
            </w:pPr>
            <w:r w:rsidRPr="001D5643">
              <w:rPr>
                <w:sz w:val="22"/>
                <w:szCs w:val="22"/>
              </w:rPr>
              <w:t>9.9</w:t>
            </w:r>
          </w:p>
        </w:tc>
        <w:tc>
          <w:tcPr>
            <w:tcW w:w="1080" w:type="dxa"/>
          </w:tcPr>
          <w:p w14:paraId="69483182" w14:textId="77777777" w:rsidR="001D5643" w:rsidRPr="001D5643" w:rsidRDefault="001D5643" w:rsidP="00DF0BBA">
            <w:pPr>
              <w:keepNext/>
              <w:rPr>
                <w:sz w:val="22"/>
                <w:szCs w:val="22"/>
              </w:rPr>
            </w:pPr>
            <w:r w:rsidRPr="001D5643">
              <w:rPr>
                <w:sz w:val="22"/>
                <w:szCs w:val="22"/>
              </w:rPr>
              <w:t>6.0</w:t>
            </w:r>
          </w:p>
        </w:tc>
        <w:tc>
          <w:tcPr>
            <w:tcW w:w="1440" w:type="dxa"/>
          </w:tcPr>
          <w:p w14:paraId="11A0266A" w14:textId="77777777" w:rsidR="001D5643" w:rsidRPr="001D5643" w:rsidRDefault="001D5643" w:rsidP="00DF0BBA">
            <w:pPr>
              <w:keepNext/>
              <w:rPr>
                <w:sz w:val="22"/>
                <w:szCs w:val="22"/>
              </w:rPr>
            </w:pPr>
            <w:r w:rsidRPr="001D5643">
              <w:rPr>
                <w:sz w:val="22"/>
                <w:szCs w:val="22"/>
              </w:rPr>
              <w:t>11.6</w:t>
            </w:r>
          </w:p>
        </w:tc>
        <w:tc>
          <w:tcPr>
            <w:tcW w:w="1170" w:type="dxa"/>
          </w:tcPr>
          <w:p w14:paraId="47EE7059" w14:textId="77777777" w:rsidR="001D5643" w:rsidRPr="001D5643" w:rsidRDefault="001D5643" w:rsidP="00DF0BBA">
            <w:pPr>
              <w:keepNext/>
              <w:rPr>
                <w:sz w:val="22"/>
                <w:szCs w:val="22"/>
              </w:rPr>
            </w:pPr>
            <w:r w:rsidRPr="001D5643">
              <w:rPr>
                <w:sz w:val="22"/>
                <w:szCs w:val="22"/>
              </w:rPr>
              <w:t>7.2</w:t>
            </w:r>
          </w:p>
        </w:tc>
      </w:tr>
      <w:tr w:rsidR="001D5643" w:rsidRPr="001D5643" w14:paraId="5A647109" w14:textId="77777777" w:rsidTr="002C1FFA">
        <w:tc>
          <w:tcPr>
            <w:tcW w:w="2335" w:type="dxa"/>
          </w:tcPr>
          <w:p w14:paraId="683859B1" w14:textId="77777777" w:rsidR="001D5643" w:rsidRPr="001D5643" w:rsidRDefault="001D5643" w:rsidP="00DF0BBA">
            <w:pPr>
              <w:keepNext/>
              <w:rPr>
                <w:sz w:val="22"/>
                <w:szCs w:val="22"/>
              </w:rPr>
            </w:pPr>
            <w:r w:rsidRPr="001D5643">
              <w:rPr>
                <w:sz w:val="22"/>
                <w:szCs w:val="22"/>
              </w:rPr>
              <w:t>Difference compared to placebo (%)</w:t>
            </w:r>
          </w:p>
        </w:tc>
        <w:tc>
          <w:tcPr>
            <w:tcW w:w="1170" w:type="dxa"/>
          </w:tcPr>
          <w:p w14:paraId="54D5C0FA" w14:textId="77777777" w:rsidR="001D5643" w:rsidRPr="001D5643" w:rsidRDefault="001D5643" w:rsidP="00DF0BBA">
            <w:pPr>
              <w:keepNext/>
              <w:rPr>
                <w:sz w:val="22"/>
                <w:szCs w:val="22"/>
              </w:rPr>
            </w:pPr>
            <w:r w:rsidRPr="001D5643">
              <w:rPr>
                <w:sz w:val="22"/>
                <w:szCs w:val="22"/>
              </w:rPr>
              <w:t>8.0</w:t>
            </w:r>
          </w:p>
        </w:tc>
        <w:tc>
          <w:tcPr>
            <w:tcW w:w="1170" w:type="dxa"/>
          </w:tcPr>
          <w:p w14:paraId="27592351" w14:textId="77777777" w:rsidR="001D5643" w:rsidRPr="001D5643" w:rsidRDefault="001D5643" w:rsidP="00DF0BBA">
            <w:pPr>
              <w:keepNext/>
              <w:rPr>
                <w:sz w:val="22"/>
                <w:szCs w:val="22"/>
              </w:rPr>
            </w:pPr>
          </w:p>
        </w:tc>
        <w:tc>
          <w:tcPr>
            <w:tcW w:w="1440" w:type="dxa"/>
          </w:tcPr>
          <w:p w14:paraId="21ACB4DE" w14:textId="77777777" w:rsidR="001D5643" w:rsidRPr="001D5643" w:rsidRDefault="001D5643" w:rsidP="00DF0BBA">
            <w:pPr>
              <w:keepNext/>
              <w:rPr>
                <w:sz w:val="22"/>
                <w:szCs w:val="22"/>
              </w:rPr>
            </w:pPr>
            <w:r w:rsidRPr="001D5643">
              <w:rPr>
                <w:sz w:val="22"/>
                <w:szCs w:val="22"/>
              </w:rPr>
              <w:t>3.9</w:t>
            </w:r>
          </w:p>
        </w:tc>
        <w:tc>
          <w:tcPr>
            <w:tcW w:w="1080" w:type="dxa"/>
          </w:tcPr>
          <w:p w14:paraId="79A36556" w14:textId="77777777" w:rsidR="001D5643" w:rsidRPr="001D5643" w:rsidRDefault="001D5643" w:rsidP="00DF0BBA">
            <w:pPr>
              <w:keepNext/>
              <w:rPr>
                <w:sz w:val="22"/>
                <w:szCs w:val="22"/>
              </w:rPr>
            </w:pPr>
          </w:p>
        </w:tc>
        <w:tc>
          <w:tcPr>
            <w:tcW w:w="1440" w:type="dxa"/>
          </w:tcPr>
          <w:p w14:paraId="0C739965" w14:textId="77777777" w:rsidR="001D5643" w:rsidRPr="001D5643" w:rsidRDefault="001D5643" w:rsidP="00DF0BBA">
            <w:pPr>
              <w:keepNext/>
              <w:rPr>
                <w:sz w:val="22"/>
                <w:szCs w:val="22"/>
              </w:rPr>
            </w:pPr>
            <w:r w:rsidRPr="001D5643">
              <w:rPr>
                <w:sz w:val="22"/>
                <w:szCs w:val="22"/>
              </w:rPr>
              <w:t>4.4</w:t>
            </w:r>
          </w:p>
        </w:tc>
        <w:tc>
          <w:tcPr>
            <w:tcW w:w="1170" w:type="dxa"/>
          </w:tcPr>
          <w:p w14:paraId="49D062A0" w14:textId="77777777" w:rsidR="001D5643" w:rsidRPr="001D5643" w:rsidRDefault="001D5643" w:rsidP="00DF0BBA">
            <w:pPr>
              <w:keepNext/>
              <w:rPr>
                <w:sz w:val="22"/>
                <w:szCs w:val="22"/>
              </w:rPr>
            </w:pPr>
          </w:p>
        </w:tc>
      </w:tr>
      <w:tr w:rsidR="001D5643" w:rsidRPr="001D5643" w14:paraId="155CF9D9" w14:textId="77777777" w:rsidTr="002C1FFA">
        <w:tc>
          <w:tcPr>
            <w:tcW w:w="2335" w:type="dxa"/>
          </w:tcPr>
          <w:p w14:paraId="5A514919" w14:textId="77777777" w:rsidR="001D5643" w:rsidRPr="001D5643" w:rsidRDefault="001D5643" w:rsidP="00DF0BBA">
            <w:pPr>
              <w:keepNext/>
              <w:rPr>
                <w:sz w:val="22"/>
                <w:szCs w:val="22"/>
              </w:rPr>
            </w:pPr>
            <w:r w:rsidRPr="001D5643">
              <w:rPr>
                <w:sz w:val="22"/>
                <w:szCs w:val="22"/>
              </w:rPr>
              <w:t>p-value</w:t>
            </w:r>
          </w:p>
        </w:tc>
        <w:tc>
          <w:tcPr>
            <w:tcW w:w="1170" w:type="dxa"/>
          </w:tcPr>
          <w:p w14:paraId="7B6E3452" w14:textId="77777777" w:rsidR="001D5643" w:rsidRPr="001D5643" w:rsidRDefault="001D5643" w:rsidP="00DF0BBA">
            <w:pPr>
              <w:keepNext/>
              <w:rPr>
                <w:sz w:val="22"/>
                <w:szCs w:val="22"/>
              </w:rPr>
            </w:pPr>
          </w:p>
        </w:tc>
        <w:tc>
          <w:tcPr>
            <w:tcW w:w="1170" w:type="dxa"/>
          </w:tcPr>
          <w:p w14:paraId="4DDA31BD" w14:textId="77777777" w:rsidR="001D5643" w:rsidRPr="001D5643" w:rsidRDefault="001D5643" w:rsidP="00DF0BBA">
            <w:pPr>
              <w:keepNext/>
              <w:rPr>
                <w:sz w:val="22"/>
                <w:szCs w:val="22"/>
              </w:rPr>
            </w:pPr>
            <w:r w:rsidRPr="001D5643">
              <w:rPr>
                <w:sz w:val="22"/>
                <w:szCs w:val="22"/>
              </w:rPr>
              <w:t>&lt;0.0001</w:t>
            </w:r>
            <w:r w:rsidRPr="001D5643">
              <w:rPr>
                <w:sz w:val="22"/>
                <w:szCs w:val="22"/>
                <w:vertAlign w:val="superscript"/>
              </w:rPr>
              <w:t>a</w:t>
            </w:r>
          </w:p>
        </w:tc>
        <w:tc>
          <w:tcPr>
            <w:tcW w:w="1440" w:type="dxa"/>
          </w:tcPr>
          <w:p w14:paraId="46B2F48E" w14:textId="77777777" w:rsidR="001D5643" w:rsidRPr="001D5643" w:rsidRDefault="001D5643" w:rsidP="00DF0BBA">
            <w:pPr>
              <w:keepNext/>
              <w:rPr>
                <w:sz w:val="22"/>
                <w:szCs w:val="22"/>
              </w:rPr>
            </w:pPr>
          </w:p>
        </w:tc>
        <w:tc>
          <w:tcPr>
            <w:tcW w:w="1080" w:type="dxa"/>
          </w:tcPr>
          <w:p w14:paraId="5A5CBDB5" w14:textId="2CCED93F" w:rsidR="001D5643" w:rsidRPr="001D5643" w:rsidRDefault="004248D3" w:rsidP="00DF0BBA">
            <w:pPr>
              <w:keepNext/>
              <w:rPr>
                <w:sz w:val="22"/>
                <w:szCs w:val="22"/>
              </w:rPr>
            </w:pPr>
            <w:r>
              <w:rPr>
                <w:sz w:val="22"/>
                <w:szCs w:val="22"/>
              </w:rPr>
              <w:t>NS</w:t>
            </w:r>
          </w:p>
        </w:tc>
        <w:tc>
          <w:tcPr>
            <w:tcW w:w="1440" w:type="dxa"/>
          </w:tcPr>
          <w:p w14:paraId="32E6A597" w14:textId="77777777" w:rsidR="001D5643" w:rsidRPr="001D5643" w:rsidRDefault="001D5643" w:rsidP="00DF0BBA">
            <w:pPr>
              <w:keepNext/>
              <w:rPr>
                <w:sz w:val="22"/>
                <w:szCs w:val="22"/>
              </w:rPr>
            </w:pPr>
          </w:p>
        </w:tc>
        <w:tc>
          <w:tcPr>
            <w:tcW w:w="1170" w:type="dxa"/>
          </w:tcPr>
          <w:p w14:paraId="556B6DB7" w14:textId="092EFE89" w:rsidR="001D5643" w:rsidRPr="001D5643" w:rsidRDefault="00F44DD8" w:rsidP="00DF0BBA">
            <w:pPr>
              <w:keepNext/>
              <w:rPr>
                <w:sz w:val="22"/>
                <w:szCs w:val="22"/>
              </w:rPr>
            </w:pPr>
            <w:r>
              <w:rPr>
                <w:sz w:val="22"/>
                <w:szCs w:val="22"/>
              </w:rPr>
              <w:t>NS</w:t>
            </w:r>
          </w:p>
        </w:tc>
      </w:tr>
    </w:tbl>
    <w:p w14:paraId="2AE9B0AE" w14:textId="77777777" w:rsidR="001D5643" w:rsidRPr="001D5643" w:rsidRDefault="001D5643" w:rsidP="00DF0BBA">
      <w:pPr>
        <w:rPr>
          <w:sz w:val="22"/>
          <w:szCs w:val="22"/>
        </w:rPr>
      </w:pPr>
      <w:r w:rsidRPr="001D5643">
        <w:rPr>
          <w:sz w:val="22"/>
          <w:szCs w:val="22"/>
        </w:rPr>
        <w:t>*n=number of responders/N=number of patients in that treatment group</w:t>
      </w:r>
    </w:p>
    <w:p w14:paraId="622BDB8D" w14:textId="77777777" w:rsidR="001D5643" w:rsidRPr="001D5643" w:rsidRDefault="001D5643" w:rsidP="00DF0BBA">
      <w:pPr>
        <w:rPr>
          <w:sz w:val="22"/>
          <w:szCs w:val="22"/>
        </w:rPr>
      </w:pPr>
      <w:r w:rsidRPr="001D5643">
        <w:rPr>
          <w:sz w:val="22"/>
          <w:szCs w:val="22"/>
          <w:vertAlign w:val="superscript"/>
        </w:rPr>
        <w:t>a</w:t>
      </w:r>
      <w:r w:rsidRPr="001D5643">
        <w:rPr>
          <w:sz w:val="22"/>
          <w:szCs w:val="22"/>
        </w:rPr>
        <w:t xml:space="preserve"> Significant p-value in hierarchical testing</w:t>
      </w:r>
    </w:p>
    <w:p w14:paraId="47928FFB" w14:textId="073255AB" w:rsidR="001D5643" w:rsidRPr="001D5643" w:rsidRDefault="00994DCA" w:rsidP="00DF0BBA">
      <w:pPr>
        <w:rPr>
          <w:sz w:val="22"/>
          <w:szCs w:val="22"/>
        </w:rPr>
      </w:pPr>
      <w:r>
        <w:rPr>
          <w:sz w:val="22"/>
          <w:szCs w:val="22"/>
        </w:rPr>
        <w:lastRenderedPageBreak/>
        <w:t>NS</w:t>
      </w:r>
      <w:r w:rsidR="00B97620">
        <w:rPr>
          <w:sz w:val="22"/>
          <w:szCs w:val="22"/>
        </w:rPr>
        <w:t>:</w:t>
      </w:r>
      <w:r w:rsidR="00690DD0">
        <w:rPr>
          <w:sz w:val="22"/>
          <w:szCs w:val="22"/>
        </w:rPr>
        <w:t xml:space="preserve"> </w:t>
      </w:r>
      <w:r w:rsidR="001D5643" w:rsidRPr="001D5643">
        <w:rPr>
          <w:sz w:val="22"/>
          <w:szCs w:val="22"/>
        </w:rPr>
        <w:t>No</w:t>
      </w:r>
      <w:r w:rsidR="00827CB3">
        <w:rPr>
          <w:sz w:val="22"/>
          <w:szCs w:val="22"/>
        </w:rPr>
        <w:t>t</w:t>
      </w:r>
      <w:r w:rsidR="006C7722">
        <w:rPr>
          <w:sz w:val="22"/>
          <w:szCs w:val="22"/>
        </w:rPr>
        <w:t xml:space="preserve"> </w:t>
      </w:r>
      <w:r w:rsidR="00E7560F">
        <w:rPr>
          <w:sz w:val="22"/>
          <w:szCs w:val="22"/>
        </w:rPr>
        <w:t>S</w:t>
      </w:r>
      <w:r w:rsidR="006C7722">
        <w:rPr>
          <w:sz w:val="22"/>
          <w:szCs w:val="22"/>
        </w:rPr>
        <w:t xml:space="preserve">ignificant in </w:t>
      </w:r>
      <w:r w:rsidR="00690DD0">
        <w:rPr>
          <w:sz w:val="22"/>
          <w:szCs w:val="22"/>
        </w:rPr>
        <w:t>hierarchical</w:t>
      </w:r>
      <w:r w:rsidR="006C7722">
        <w:rPr>
          <w:sz w:val="22"/>
          <w:szCs w:val="22"/>
        </w:rPr>
        <w:t xml:space="preserve"> testing </w:t>
      </w:r>
    </w:p>
    <w:p w14:paraId="3416C7C2" w14:textId="77777777" w:rsidR="00027897" w:rsidRPr="00623905" w:rsidRDefault="001D5643" w:rsidP="00DF0BBA">
      <w:pPr>
        <w:pStyle w:val="CLDNormal"/>
        <w:jc w:val="left"/>
        <w:rPr>
          <w:sz w:val="22"/>
          <w:szCs w:val="22"/>
        </w:rPr>
      </w:pPr>
      <w:r w:rsidRPr="00623905">
        <w:rPr>
          <w:sz w:val="22"/>
          <w:szCs w:val="22"/>
        </w:rPr>
        <w:t>MBS: most bothersome symptom</w:t>
      </w:r>
    </w:p>
    <w:p w14:paraId="0D1AD3CE" w14:textId="16919E9C" w:rsidR="000444B0" w:rsidRDefault="00027897" w:rsidP="00DF0BBA">
      <w:pPr>
        <w:pStyle w:val="CLDNormal"/>
        <w:keepNext/>
        <w:jc w:val="left"/>
      </w:pPr>
      <w:r w:rsidRPr="00027897">
        <w:t>Figure 1 presents the percentage of patients achieving migraine pain freedom within 2 hours following treatment in Study 1.</w:t>
      </w:r>
    </w:p>
    <w:p w14:paraId="17F1E8EC" w14:textId="77777777" w:rsidR="00D17FC8" w:rsidRPr="00D17FC8" w:rsidRDefault="00D17FC8" w:rsidP="00DF0BBA">
      <w:pPr>
        <w:keepNext/>
        <w:keepLines/>
        <w:rPr>
          <w:b/>
          <w:sz w:val="22"/>
          <w:szCs w:val="22"/>
        </w:rPr>
      </w:pPr>
      <w:r w:rsidRPr="00D17FC8">
        <w:rPr>
          <w:b/>
          <w:sz w:val="22"/>
          <w:szCs w:val="22"/>
        </w:rPr>
        <w:t>Figure 1: Percentage of Patients Achieving Pain Freedom within 2 Hours in Study 1</w:t>
      </w:r>
    </w:p>
    <w:p w14:paraId="60332568" w14:textId="484210C0" w:rsidR="00D87270" w:rsidRDefault="00804C34" w:rsidP="00DF0BBA">
      <w:pPr>
        <w:rPr>
          <w:sz w:val="22"/>
          <w:szCs w:val="22"/>
        </w:rPr>
      </w:pPr>
      <w:r>
        <w:rPr>
          <w:noProof/>
        </w:rPr>
        <w:drawing>
          <wp:inline distT="0" distB="0" distL="0" distR="0" wp14:anchorId="4C83A86C" wp14:editId="71E121C8">
            <wp:extent cx="5584785" cy="3588151"/>
            <wp:effectExtent l="0" t="0" r="3810" b="6350"/>
            <wp:docPr id="9" name="Picture 9" descr="A close up of a map&#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56689" cy="3634348"/>
                    </a:xfrm>
                    <a:prstGeom prst="rect">
                      <a:avLst/>
                    </a:prstGeom>
                    <a:noFill/>
                    <a:ln>
                      <a:noFill/>
                    </a:ln>
                  </pic:spPr>
                </pic:pic>
              </a:graphicData>
            </a:graphic>
          </wp:inline>
        </w:drawing>
      </w:r>
    </w:p>
    <w:p w14:paraId="6B7E84B6" w14:textId="53F827DB" w:rsidR="00D17FC8" w:rsidRDefault="00C719A3" w:rsidP="00DF0BBA">
      <w:pPr>
        <w:pStyle w:val="CLDNormal"/>
        <w:keepNext/>
        <w:jc w:val="left"/>
      </w:pPr>
      <w:r w:rsidRPr="00C719A3">
        <w:lastRenderedPageBreak/>
        <w:t>Figure 2 presents the percentage of patients achieving MBS freedom within 2 hours in Study 1.</w:t>
      </w:r>
    </w:p>
    <w:p w14:paraId="6F5A40CC" w14:textId="77777777" w:rsidR="006E04A9" w:rsidRPr="006E04A9" w:rsidRDefault="006E04A9" w:rsidP="00DF0BBA">
      <w:pPr>
        <w:keepNext/>
        <w:keepLines/>
        <w:rPr>
          <w:szCs w:val="22"/>
        </w:rPr>
      </w:pPr>
      <w:r w:rsidRPr="006E04A9">
        <w:rPr>
          <w:b/>
          <w:sz w:val="22"/>
          <w:szCs w:val="22"/>
        </w:rPr>
        <w:t>Figure 2: Percentage of Patients Achieving MBS Freedom within 2 Hours in Study 1</w:t>
      </w:r>
    </w:p>
    <w:p w14:paraId="7474BFA7" w14:textId="29896D91" w:rsidR="006E04A9" w:rsidRPr="006E04A9" w:rsidRDefault="00F2098D" w:rsidP="00DF0BBA">
      <w:pPr>
        <w:rPr>
          <w:szCs w:val="22"/>
        </w:rPr>
      </w:pPr>
      <w:r>
        <w:rPr>
          <w:noProof/>
        </w:rPr>
        <w:drawing>
          <wp:inline distT="0" distB="0" distL="0" distR="0" wp14:anchorId="631D77E7" wp14:editId="04E4CFA4">
            <wp:extent cx="5732145" cy="3931448"/>
            <wp:effectExtent l="0" t="0" r="1905" b="0"/>
            <wp:docPr id="7" name="Picture 7" descr="A close up of a map&#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2145" cy="3931448"/>
                    </a:xfrm>
                    <a:prstGeom prst="rect">
                      <a:avLst/>
                    </a:prstGeom>
                    <a:noFill/>
                    <a:ln>
                      <a:noFill/>
                    </a:ln>
                  </pic:spPr>
                </pic:pic>
              </a:graphicData>
            </a:graphic>
          </wp:inline>
        </w:drawing>
      </w:r>
    </w:p>
    <w:p w14:paraId="252EE74A" w14:textId="112E86CB" w:rsidR="00D87270" w:rsidRDefault="0064666F" w:rsidP="00DF0BBA">
      <w:pPr>
        <w:pStyle w:val="CLDNormal"/>
        <w:jc w:val="left"/>
      </w:pPr>
      <w:bookmarkStart w:id="2" w:name="_Hlk92964242"/>
      <w:r w:rsidRPr="0064666F">
        <w:t xml:space="preserve">The incidence of photophobia and phonophobia was reduced at 2 hours following administration of </w:t>
      </w:r>
      <w:r w:rsidR="005D4786">
        <w:t>NURTEC</w:t>
      </w:r>
      <w:r w:rsidR="00141894">
        <w:t xml:space="preserve"> ODT</w:t>
      </w:r>
      <w:r w:rsidRPr="0064666F">
        <w:t xml:space="preserve"> 75 mg as compared to placebo in all 3 studies.</w:t>
      </w:r>
      <w:bookmarkEnd w:id="2"/>
    </w:p>
    <w:p w14:paraId="0BE04306" w14:textId="177164CB" w:rsidR="0064666F" w:rsidRPr="00EC4891" w:rsidRDefault="00EC4891" w:rsidP="00DF0BBA">
      <w:pPr>
        <w:pStyle w:val="CLDHeading4"/>
      </w:pPr>
      <w:r w:rsidRPr="00EC4891">
        <w:t>Prophylaxis</w:t>
      </w:r>
    </w:p>
    <w:p w14:paraId="136BD9ED" w14:textId="7C999F04" w:rsidR="00D87270" w:rsidRDefault="0064666F" w:rsidP="00DF0BBA">
      <w:pPr>
        <w:pStyle w:val="CLDNormal"/>
        <w:jc w:val="left"/>
      </w:pPr>
      <w:r w:rsidRPr="0064666F">
        <w:t>The efficacy of rimegepant was evaluated as a prophylactic treatment of migraine in a randomi</w:t>
      </w:r>
      <w:r w:rsidR="00890288">
        <w:t>s</w:t>
      </w:r>
      <w:r w:rsidRPr="0064666F">
        <w:t>ed, double-blind, placebo-controlled study (Study 4).</w:t>
      </w:r>
    </w:p>
    <w:p w14:paraId="2B941CFC" w14:textId="2D287092" w:rsidR="00D87270" w:rsidRDefault="0064666F" w:rsidP="00DF0BBA">
      <w:pPr>
        <w:pStyle w:val="CLDNormal"/>
        <w:jc w:val="left"/>
      </w:pPr>
      <w:r w:rsidRPr="0064666F">
        <w:t xml:space="preserve">Study 4 included male and female adults with at least a 1-year history of migraine (with or without aura). </w:t>
      </w:r>
      <w:r w:rsidR="00890288">
        <w:t xml:space="preserve"> </w:t>
      </w:r>
      <w:r w:rsidRPr="0064666F">
        <w:t xml:space="preserve">Patients had a history of 4 to 18 migraine attacks of moderate to severe pain intensity per 4-week period within the 12 weeks prior to the screening visit. </w:t>
      </w:r>
      <w:r w:rsidR="00890288">
        <w:t xml:space="preserve"> </w:t>
      </w:r>
      <w:r w:rsidRPr="0064666F">
        <w:t>Patients experienced an average of 10.9 headache days during the 28-day observational period, which included an average of 10.2 migraine days, prior to randomi</w:t>
      </w:r>
      <w:r w:rsidR="00890288">
        <w:t>s</w:t>
      </w:r>
      <w:r w:rsidRPr="0064666F">
        <w:t xml:space="preserve">ation into the study. </w:t>
      </w:r>
      <w:r w:rsidR="00890288">
        <w:t xml:space="preserve"> </w:t>
      </w:r>
      <w:r w:rsidRPr="0064666F">
        <w:t>The study randomi</w:t>
      </w:r>
      <w:r w:rsidR="00890288">
        <w:t>s</w:t>
      </w:r>
      <w:r w:rsidRPr="0064666F">
        <w:t>ed patients to receive rim</w:t>
      </w:r>
      <w:r w:rsidR="005B4EFB">
        <w:t>e</w:t>
      </w:r>
      <w:r w:rsidRPr="0064666F">
        <w:t>gepant 75 mg (N=373) or placebo (N=374) for up to 12 weeks.</w:t>
      </w:r>
      <w:r w:rsidR="00890288">
        <w:t xml:space="preserve"> </w:t>
      </w:r>
      <w:r w:rsidRPr="0064666F">
        <w:t xml:space="preserve"> Patients were instructed to take randomi</w:t>
      </w:r>
      <w:r w:rsidR="00890288">
        <w:t>s</w:t>
      </w:r>
      <w:r w:rsidRPr="0064666F">
        <w:t xml:space="preserve">ed treatment once every other day (EOD) for the 12-week treatment period. </w:t>
      </w:r>
      <w:r w:rsidR="00890288">
        <w:t xml:space="preserve"> </w:t>
      </w:r>
      <w:r w:rsidRPr="0064666F">
        <w:t>Patients were allowed to use other acute treatments for migraine (e.g. triptans, NSAIDs, paracetamol, antiemetics) as needed.</w:t>
      </w:r>
      <w:r w:rsidR="00890288">
        <w:t xml:space="preserve"> </w:t>
      </w:r>
      <w:r w:rsidRPr="0064666F">
        <w:t xml:space="preserve"> Approximately 22% of patients were taking preventive medicinal products for migraine at baseline.</w:t>
      </w:r>
      <w:r w:rsidR="00890288">
        <w:t xml:space="preserve"> </w:t>
      </w:r>
      <w:r w:rsidRPr="0064666F">
        <w:t xml:space="preserve"> Patients were allowed to continue in an open-label extension study for an additional 12 months.</w:t>
      </w:r>
    </w:p>
    <w:p w14:paraId="626F0B85" w14:textId="2669A632" w:rsidR="009E59F2" w:rsidRPr="007B1CA5" w:rsidRDefault="009E59F2" w:rsidP="00DF0BBA">
      <w:pPr>
        <w:pStyle w:val="CLDNormal"/>
        <w:jc w:val="left"/>
      </w:pPr>
      <w:r>
        <w:t>In the pivotal trial for migraine prophylaxis, demographic and baseline characteristics representative of the potential treatment population and</w:t>
      </w:r>
      <w:r w:rsidRPr="00254E7D">
        <w:t xml:space="preserve"> were well balanced across the rimegepant and placebo groups. </w:t>
      </w:r>
      <w:r w:rsidR="00FE039A">
        <w:t xml:space="preserve"> </w:t>
      </w:r>
      <w:r w:rsidRPr="00C647A2">
        <w:t xml:space="preserve">Among treated subjects, the median age was 40.0 years, the majority of subjects were female (82.7%), and most subjects were white (81.5%). </w:t>
      </w:r>
      <w:r w:rsidR="00FE039A">
        <w:t xml:space="preserve"> </w:t>
      </w:r>
      <w:r w:rsidRPr="00C647A2">
        <w:lastRenderedPageBreak/>
        <w:t xml:space="preserve">Approximately 10% of evaluable mITT subjects were taking preventive medications for migraine at baseline. </w:t>
      </w:r>
      <w:r w:rsidR="00FE039A">
        <w:t xml:space="preserve"> </w:t>
      </w:r>
      <w:r w:rsidRPr="00C647A2">
        <w:t>The median age at migraine disease onset was 18.0 years, the median number of moderate to severe migraine attacks per month was 8.0 (range: 4 to 18), and the median average duration of untreated migraine attacks was 24.0 hours.</w:t>
      </w:r>
      <w:r w:rsidR="00FE039A">
        <w:t xml:space="preserve"> </w:t>
      </w:r>
      <w:r w:rsidRPr="00C647A2">
        <w:t xml:space="preserve"> </w:t>
      </w:r>
      <w:r w:rsidR="00A16A4E">
        <w:t>T</w:t>
      </w:r>
      <w:r w:rsidRPr="00C647A2">
        <w:t xml:space="preserve">he primary migraine type was migraine without aura (60.1%). </w:t>
      </w:r>
      <w:r w:rsidR="00FE039A">
        <w:t xml:space="preserve"> </w:t>
      </w:r>
      <w:r w:rsidRPr="00C647A2">
        <w:t>Of the evaluable subjects, 22.7% met the ICHD-3 criteria for chronic migraine.</w:t>
      </w:r>
    </w:p>
    <w:p w14:paraId="6C28B8C0" w14:textId="4ACD2994" w:rsidR="00D87270" w:rsidRDefault="0064666F" w:rsidP="00DF0BBA">
      <w:pPr>
        <w:pStyle w:val="CLDNormal"/>
        <w:jc w:val="left"/>
      </w:pPr>
      <w:r w:rsidRPr="0064666F">
        <w:t xml:space="preserve">The primary efficacy endpoint for Study 4 was the change from baseline in the mean number of monthly migraine days (MMDs) during Weeks 9 through 12 of the double-blind treatment phase. </w:t>
      </w:r>
      <w:r w:rsidR="00890288">
        <w:t xml:space="preserve"> </w:t>
      </w:r>
      <w:r w:rsidRPr="0064666F">
        <w:t xml:space="preserve">Secondary endpoints included the achievement of a ≥50% reduction from baseline in monthly moderate or severe migraine days. </w:t>
      </w:r>
    </w:p>
    <w:p w14:paraId="71448958" w14:textId="31C43601" w:rsidR="00D87270" w:rsidRDefault="0064666F" w:rsidP="00DF0BBA">
      <w:pPr>
        <w:pStyle w:val="CLDNormal"/>
        <w:jc w:val="left"/>
      </w:pPr>
      <w:r w:rsidRPr="0064666F">
        <w:t>Rimegepant 75 mg dosed EOD demonstrated statistically significant improvements for key efficacy endpoints compared to placebo, as summari</w:t>
      </w:r>
      <w:r w:rsidR="00890288">
        <w:t>s</w:t>
      </w:r>
      <w:r w:rsidRPr="0064666F">
        <w:t>ed in Table </w:t>
      </w:r>
      <w:r w:rsidR="007674EE">
        <w:t>5</w:t>
      </w:r>
      <w:r w:rsidR="007674EE" w:rsidRPr="0064666F">
        <w:t xml:space="preserve"> </w:t>
      </w:r>
      <w:r w:rsidRPr="0064666F">
        <w:t>and shown graphically in Figure 3.</w:t>
      </w:r>
    </w:p>
    <w:p w14:paraId="4E6616BF" w14:textId="1475312E" w:rsidR="0061278B" w:rsidRPr="0061278B" w:rsidRDefault="0061278B" w:rsidP="00DF0BBA">
      <w:pPr>
        <w:keepNext/>
        <w:rPr>
          <w:b/>
          <w:sz w:val="22"/>
          <w:szCs w:val="22"/>
        </w:rPr>
      </w:pPr>
      <w:r w:rsidRPr="0061278B">
        <w:rPr>
          <w:b/>
          <w:sz w:val="22"/>
          <w:szCs w:val="22"/>
        </w:rPr>
        <w:t>Table </w:t>
      </w:r>
      <w:r w:rsidR="007674EE">
        <w:rPr>
          <w:b/>
          <w:sz w:val="22"/>
          <w:szCs w:val="22"/>
        </w:rPr>
        <w:t>5</w:t>
      </w:r>
      <w:r w:rsidRPr="0061278B">
        <w:rPr>
          <w:b/>
          <w:sz w:val="22"/>
          <w:szCs w:val="22"/>
        </w:rPr>
        <w:t>: Key Efficacy Endpoints for Study 4</w:t>
      </w:r>
    </w:p>
    <w:tbl>
      <w:tblPr>
        <w:tblStyle w:val="TableGrid2"/>
        <w:tblW w:w="0" w:type="auto"/>
        <w:tblLayout w:type="fixed"/>
        <w:tblLook w:val="04A0" w:firstRow="1" w:lastRow="0" w:firstColumn="1" w:lastColumn="0" w:noHBand="0" w:noVBand="1"/>
      </w:tblPr>
      <w:tblGrid>
        <w:gridCol w:w="5243"/>
        <w:gridCol w:w="2094"/>
        <w:gridCol w:w="1724"/>
      </w:tblGrid>
      <w:tr w:rsidR="0061278B" w:rsidRPr="0061278B" w14:paraId="59D5B0E0" w14:textId="77777777" w:rsidTr="002C1FFA">
        <w:trPr>
          <w:cantSplit/>
          <w:tblHeader/>
        </w:trPr>
        <w:tc>
          <w:tcPr>
            <w:tcW w:w="5243" w:type="dxa"/>
          </w:tcPr>
          <w:p w14:paraId="3D83895C" w14:textId="77777777" w:rsidR="0061278B" w:rsidRPr="0061278B" w:rsidRDefault="0061278B" w:rsidP="00DF0BBA">
            <w:pPr>
              <w:keepNext/>
              <w:rPr>
                <w:b/>
                <w:sz w:val="22"/>
                <w:szCs w:val="22"/>
              </w:rPr>
            </w:pPr>
          </w:p>
        </w:tc>
        <w:tc>
          <w:tcPr>
            <w:tcW w:w="2094" w:type="dxa"/>
          </w:tcPr>
          <w:p w14:paraId="7A395E71" w14:textId="77777777" w:rsidR="0061278B" w:rsidRPr="0061278B" w:rsidRDefault="0061278B" w:rsidP="00DF0BBA">
            <w:pPr>
              <w:keepNext/>
              <w:rPr>
                <w:b/>
                <w:sz w:val="22"/>
                <w:szCs w:val="22"/>
              </w:rPr>
            </w:pPr>
            <w:r w:rsidRPr="0061278B">
              <w:rPr>
                <w:b/>
                <w:sz w:val="22"/>
                <w:szCs w:val="22"/>
              </w:rPr>
              <w:t>Rimegepant</w:t>
            </w:r>
            <w:r w:rsidRPr="0061278B">
              <w:rPr>
                <w:b/>
                <w:sz w:val="22"/>
                <w:szCs w:val="22"/>
              </w:rPr>
              <w:br/>
              <w:t>75 mg EOD</w:t>
            </w:r>
          </w:p>
        </w:tc>
        <w:tc>
          <w:tcPr>
            <w:tcW w:w="1724" w:type="dxa"/>
          </w:tcPr>
          <w:p w14:paraId="05E914F5" w14:textId="77777777" w:rsidR="0061278B" w:rsidRPr="0061278B" w:rsidRDefault="0061278B" w:rsidP="00DF0BBA">
            <w:pPr>
              <w:keepNext/>
              <w:rPr>
                <w:b/>
                <w:sz w:val="22"/>
                <w:szCs w:val="22"/>
              </w:rPr>
            </w:pPr>
            <w:r w:rsidRPr="0061278B">
              <w:rPr>
                <w:b/>
                <w:sz w:val="22"/>
                <w:szCs w:val="22"/>
              </w:rPr>
              <w:t>Placebo</w:t>
            </w:r>
            <w:r w:rsidRPr="0061278B">
              <w:rPr>
                <w:b/>
                <w:sz w:val="22"/>
                <w:szCs w:val="22"/>
              </w:rPr>
              <w:br/>
              <w:t>EOD</w:t>
            </w:r>
          </w:p>
        </w:tc>
      </w:tr>
      <w:tr w:rsidR="0061278B" w:rsidRPr="0061278B" w14:paraId="59F909DE" w14:textId="77777777" w:rsidTr="002C1FFA">
        <w:trPr>
          <w:cantSplit/>
        </w:trPr>
        <w:tc>
          <w:tcPr>
            <w:tcW w:w="5243" w:type="dxa"/>
          </w:tcPr>
          <w:p w14:paraId="75EF7237" w14:textId="77777777" w:rsidR="0061278B" w:rsidRPr="0061278B" w:rsidRDefault="0061278B" w:rsidP="00DF0BBA">
            <w:pPr>
              <w:keepNext/>
              <w:rPr>
                <w:sz w:val="22"/>
                <w:szCs w:val="22"/>
              </w:rPr>
            </w:pPr>
            <w:r w:rsidRPr="0061278B">
              <w:rPr>
                <w:b/>
                <w:sz w:val="22"/>
                <w:szCs w:val="22"/>
              </w:rPr>
              <w:t>Monthly Migraine Days (MMD) Weeks 9 through 12</w:t>
            </w:r>
          </w:p>
        </w:tc>
        <w:tc>
          <w:tcPr>
            <w:tcW w:w="2094" w:type="dxa"/>
          </w:tcPr>
          <w:p w14:paraId="7DFD96F2" w14:textId="77777777" w:rsidR="0061278B" w:rsidRPr="0061278B" w:rsidRDefault="0061278B" w:rsidP="00DF0BBA">
            <w:pPr>
              <w:keepNext/>
              <w:rPr>
                <w:b/>
                <w:sz w:val="22"/>
                <w:szCs w:val="22"/>
              </w:rPr>
            </w:pPr>
            <w:r w:rsidRPr="0061278B">
              <w:rPr>
                <w:b/>
                <w:sz w:val="22"/>
                <w:szCs w:val="22"/>
              </w:rPr>
              <w:t>N=348</w:t>
            </w:r>
          </w:p>
        </w:tc>
        <w:tc>
          <w:tcPr>
            <w:tcW w:w="1724" w:type="dxa"/>
          </w:tcPr>
          <w:p w14:paraId="0494C292" w14:textId="77777777" w:rsidR="0061278B" w:rsidRPr="0061278B" w:rsidRDefault="0061278B" w:rsidP="00DF0BBA">
            <w:pPr>
              <w:keepNext/>
              <w:rPr>
                <w:b/>
                <w:sz w:val="22"/>
                <w:szCs w:val="22"/>
              </w:rPr>
            </w:pPr>
            <w:r w:rsidRPr="0061278B">
              <w:rPr>
                <w:b/>
                <w:sz w:val="22"/>
                <w:szCs w:val="22"/>
              </w:rPr>
              <w:t>N=347</w:t>
            </w:r>
          </w:p>
        </w:tc>
      </w:tr>
      <w:tr w:rsidR="0061278B" w:rsidRPr="0061278B" w14:paraId="210C1B97" w14:textId="77777777" w:rsidTr="002C1FFA">
        <w:trPr>
          <w:cantSplit/>
        </w:trPr>
        <w:tc>
          <w:tcPr>
            <w:tcW w:w="5243" w:type="dxa"/>
          </w:tcPr>
          <w:p w14:paraId="41FC77A5" w14:textId="77777777" w:rsidR="0061278B" w:rsidRPr="0061278B" w:rsidRDefault="0061278B" w:rsidP="00DF0BBA">
            <w:pPr>
              <w:keepNext/>
              <w:rPr>
                <w:sz w:val="22"/>
                <w:szCs w:val="22"/>
                <w:lang w:val="nl-NL"/>
              </w:rPr>
            </w:pPr>
            <w:r w:rsidRPr="0061278B">
              <w:rPr>
                <w:sz w:val="22"/>
                <w:szCs w:val="22"/>
                <w:lang w:val="nl-NL"/>
              </w:rPr>
              <w:t>Change from baseline</w:t>
            </w:r>
          </w:p>
        </w:tc>
        <w:tc>
          <w:tcPr>
            <w:tcW w:w="2094" w:type="dxa"/>
          </w:tcPr>
          <w:p w14:paraId="0D86C14C" w14:textId="77777777" w:rsidR="0061278B" w:rsidRPr="0061278B" w:rsidRDefault="0061278B" w:rsidP="00DF0BBA">
            <w:pPr>
              <w:keepNext/>
              <w:rPr>
                <w:sz w:val="22"/>
                <w:szCs w:val="22"/>
              </w:rPr>
            </w:pPr>
            <w:r w:rsidRPr="0061278B">
              <w:rPr>
                <w:sz w:val="22"/>
                <w:szCs w:val="22"/>
              </w:rPr>
              <w:t>-4.3</w:t>
            </w:r>
          </w:p>
        </w:tc>
        <w:tc>
          <w:tcPr>
            <w:tcW w:w="1724" w:type="dxa"/>
          </w:tcPr>
          <w:p w14:paraId="05B2379C" w14:textId="77777777" w:rsidR="0061278B" w:rsidRPr="0061278B" w:rsidRDefault="0061278B" w:rsidP="00DF0BBA">
            <w:pPr>
              <w:keepNext/>
              <w:rPr>
                <w:sz w:val="22"/>
                <w:szCs w:val="22"/>
              </w:rPr>
            </w:pPr>
            <w:r w:rsidRPr="0061278B">
              <w:rPr>
                <w:sz w:val="22"/>
                <w:szCs w:val="22"/>
              </w:rPr>
              <w:t>-3.5</w:t>
            </w:r>
          </w:p>
        </w:tc>
      </w:tr>
      <w:tr w:rsidR="0061278B" w:rsidRPr="0061278B" w14:paraId="49509DF9" w14:textId="77777777" w:rsidTr="002C1FFA">
        <w:trPr>
          <w:cantSplit/>
        </w:trPr>
        <w:tc>
          <w:tcPr>
            <w:tcW w:w="5243" w:type="dxa"/>
          </w:tcPr>
          <w:p w14:paraId="688B2102" w14:textId="77777777" w:rsidR="0061278B" w:rsidRPr="0061278B" w:rsidRDefault="0061278B" w:rsidP="00DF0BBA">
            <w:pPr>
              <w:keepNext/>
              <w:rPr>
                <w:sz w:val="22"/>
                <w:szCs w:val="22"/>
                <w:lang w:val="nl-NL"/>
              </w:rPr>
            </w:pPr>
            <w:r w:rsidRPr="0061278B">
              <w:rPr>
                <w:sz w:val="22"/>
                <w:szCs w:val="22"/>
                <w:lang w:val="nl-NL"/>
              </w:rPr>
              <w:t>Change compared to placebo</w:t>
            </w:r>
          </w:p>
        </w:tc>
        <w:tc>
          <w:tcPr>
            <w:tcW w:w="2094" w:type="dxa"/>
          </w:tcPr>
          <w:p w14:paraId="3C7E298F" w14:textId="77777777" w:rsidR="0061278B" w:rsidRPr="0061278B" w:rsidRDefault="0061278B" w:rsidP="00DF0BBA">
            <w:pPr>
              <w:keepNext/>
              <w:rPr>
                <w:sz w:val="22"/>
                <w:szCs w:val="22"/>
              </w:rPr>
            </w:pPr>
            <w:r w:rsidRPr="0061278B">
              <w:rPr>
                <w:sz w:val="22"/>
                <w:szCs w:val="22"/>
              </w:rPr>
              <w:t>-0.8</w:t>
            </w:r>
          </w:p>
        </w:tc>
        <w:tc>
          <w:tcPr>
            <w:tcW w:w="1724" w:type="dxa"/>
          </w:tcPr>
          <w:p w14:paraId="4F0D3900" w14:textId="77777777" w:rsidR="0061278B" w:rsidRPr="0061278B" w:rsidRDefault="0061278B" w:rsidP="00DF0BBA">
            <w:pPr>
              <w:keepNext/>
              <w:rPr>
                <w:sz w:val="22"/>
                <w:szCs w:val="22"/>
              </w:rPr>
            </w:pPr>
          </w:p>
        </w:tc>
      </w:tr>
      <w:tr w:rsidR="0061278B" w:rsidRPr="0061278B" w14:paraId="0DDB5DC4" w14:textId="77777777" w:rsidTr="002C1FFA">
        <w:trPr>
          <w:cantSplit/>
        </w:trPr>
        <w:tc>
          <w:tcPr>
            <w:tcW w:w="5243" w:type="dxa"/>
          </w:tcPr>
          <w:p w14:paraId="34C945A8" w14:textId="77777777" w:rsidR="0061278B" w:rsidRPr="0061278B" w:rsidRDefault="0061278B" w:rsidP="00DF0BBA">
            <w:pPr>
              <w:rPr>
                <w:sz w:val="22"/>
                <w:szCs w:val="22"/>
                <w:lang w:val="nl-NL"/>
              </w:rPr>
            </w:pPr>
            <w:r w:rsidRPr="0061278B">
              <w:rPr>
                <w:sz w:val="22"/>
                <w:szCs w:val="22"/>
                <w:lang w:val="nl-NL"/>
              </w:rPr>
              <w:t>p-value</w:t>
            </w:r>
          </w:p>
        </w:tc>
        <w:tc>
          <w:tcPr>
            <w:tcW w:w="2094" w:type="dxa"/>
          </w:tcPr>
          <w:p w14:paraId="2881FC99" w14:textId="77777777" w:rsidR="0061278B" w:rsidRPr="0061278B" w:rsidRDefault="0061278B" w:rsidP="00DF0BBA">
            <w:pPr>
              <w:rPr>
                <w:sz w:val="22"/>
                <w:szCs w:val="22"/>
              </w:rPr>
            </w:pPr>
            <w:r w:rsidRPr="0061278B">
              <w:rPr>
                <w:sz w:val="22"/>
                <w:szCs w:val="22"/>
              </w:rPr>
              <w:t>0.010</w:t>
            </w:r>
            <w:r w:rsidRPr="0061278B">
              <w:rPr>
                <w:sz w:val="22"/>
                <w:szCs w:val="22"/>
                <w:vertAlign w:val="superscript"/>
              </w:rPr>
              <w:t>a</w:t>
            </w:r>
          </w:p>
        </w:tc>
        <w:tc>
          <w:tcPr>
            <w:tcW w:w="1724" w:type="dxa"/>
          </w:tcPr>
          <w:p w14:paraId="1DC446C3" w14:textId="77777777" w:rsidR="0061278B" w:rsidRPr="0061278B" w:rsidRDefault="0061278B" w:rsidP="00DF0BBA">
            <w:pPr>
              <w:rPr>
                <w:sz w:val="22"/>
                <w:szCs w:val="22"/>
              </w:rPr>
            </w:pPr>
          </w:p>
        </w:tc>
      </w:tr>
      <w:tr w:rsidR="0061278B" w:rsidRPr="0061278B" w14:paraId="6D4654F3" w14:textId="77777777" w:rsidTr="002C1FFA">
        <w:trPr>
          <w:cantSplit/>
        </w:trPr>
        <w:tc>
          <w:tcPr>
            <w:tcW w:w="5243" w:type="dxa"/>
          </w:tcPr>
          <w:p w14:paraId="33A8E126" w14:textId="77777777" w:rsidR="0061278B" w:rsidRPr="0061278B" w:rsidRDefault="0061278B" w:rsidP="00DF0BBA">
            <w:pPr>
              <w:keepNext/>
              <w:rPr>
                <w:b/>
                <w:sz w:val="22"/>
                <w:szCs w:val="22"/>
              </w:rPr>
            </w:pPr>
            <w:r w:rsidRPr="0061278B">
              <w:rPr>
                <w:b/>
                <w:sz w:val="22"/>
                <w:szCs w:val="22"/>
              </w:rPr>
              <w:t>≥ 50% Reduction in Moderate or Severe MMDs Weeks 9 through 12</w:t>
            </w:r>
          </w:p>
        </w:tc>
        <w:tc>
          <w:tcPr>
            <w:tcW w:w="2094" w:type="dxa"/>
          </w:tcPr>
          <w:p w14:paraId="70D24A70" w14:textId="77777777" w:rsidR="0061278B" w:rsidRPr="0061278B" w:rsidRDefault="0061278B" w:rsidP="00DF0BBA">
            <w:pPr>
              <w:keepNext/>
              <w:rPr>
                <w:b/>
                <w:sz w:val="22"/>
                <w:szCs w:val="22"/>
              </w:rPr>
            </w:pPr>
            <w:r w:rsidRPr="0061278B">
              <w:rPr>
                <w:b/>
                <w:sz w:val="22"/>
                <w:szCs w:val="22"/>
              </w:rPr>
              <w:t>N=348</w:t>
            </w:r>
          </w:p>
        </w:tc>
        <w:tc>
          <w:tcPr>
            <w:tcW w:w="1724" w:type="dxa"/>
          </w:tcPr>
          <w:p w14:paraId="4E7EB082" w14:textId="77777777" w:rsidR="0061278B" w:rsidRPr="0061278B" w:rsidRDefault="0061278B" w:rsidP="00DF0BBA">
            <w:pPr>
              <w:keepNext/>
              <w:rPr>
                <w:b/>
                <w:sz w:val="22"/>
                <w:szCs w:val="22"/>
              </w:rPr>
            </w:pPr>
            <w:r w:rsidRPr="0061278B">
              <w:rPr>
                <w:b/>
                <w:sz w:val="22"/>
                <w:szCs w:val="22"/>
              </w:rPr>
              <w:t>N=347</w:t>
            </w:r>
          </w:p>
        </w:tc>
      </w:tr>
      <w:tr w:rsidR="0061278B" w:rsidRPr="0061278B" w14:paraId="38DBB696" w14:textId="77777777" w:rsidTr="002C1FFA">
        <w:trPr>
          <w:cantSplit/>
        </w:trPr>
        <w:tc>
          <w:tcPr>
            <w:tcW w:w="5243" w:type="dxa"/>
          </w:tcPr>
          <w:p w14:paraId="3E35D36E" w14:textId="77777777" w:rsidR="0061278B" w:rsidRPr="0061278B" w:rsidRDefault="0061278B" w:rsidP="00DF0BBA">
            <w:pPr>
              <w:keepNext/>
              <w:rPr>
                <w:sz w:val="22"/>
                <w:szCs w:val="22"/>
                <w:lang w:val="nl-NL"/>
              </w:rPr>
            </w:pPr>
            <w:r w:rsidRPr="0061278B">
              <w:rPr>
                <w:sz w:val="22"/>
                <w:szCs w:val="22"/>
                <w:lang w:val="nl-NL"/>
              </w:rPr>
              <w:t xml:space="preserve">% Responders </w:t>
            </w:r>
          </w:p>
        </w:tc>
        <w:tc>
          <w:tcPr>
            <w:tcW w:w="2094" w:type="dxa"/>
          </w:tcPr>
          <w:p w14:paraId="31FD0531" w14:textId="77777777" w:rsidR="0061278B" w:rsidRPr="0061278B" w:rsidRDefault="0061278B" w:rsidP="00DF0BBA">
            <w:pPr>
              <w:keepNext/>
              <w:rPr>
                <w:sz w:val="22"/>
                <w:szCs w:val="22"/>
              </w:rPr>
            </w:pPr>
            <w:r w:rsidRPr="0061278B">
              <w:rPr>
                <w:sz w:val="22"/>
                <w:szCs w:val="22"/>
              </w:rPr>
              <w:t>49.1</w:t>
            </w:r>
          </w:p>
        </w:tc>
        <w:tc>
          <w:tcPr>
            <w:tcW w:w="1724" w:type="dxa"/>
          </w:tcPr>
          <w:p w14:paraId="52BD07A9" w14:textId="77777777" w:rsidR="0061278B" w:rsidRPr="0061278B" w:rsidRDefault="0061278B" w:rsidP="00DF0BBA">
            <w:pPr>
              <w:keepNext/>
              <w:rPr>
                <w:sz w:val="22"/>
                <w:szCs w:val="22"/>
              </w:rPr>
            </w:pPr>
            <w:r w:rsidRPr="0061278B">
              <w:rPr>
                <w:sz w:val="22"/>
                <w:szCs w:val="22"/>
              </w:rPr>
              <w:t>41.5</w:t>
            </w:r>
          </w:p>
        </w:tc>
      </w:tr>
      <w:tr w:rsidR="0061278B" w:rsidRPr="0061278B" w14:paraId="26835991" w14:textId="77777777" w:rsidTr="002C1FFA">
        <w:trPr>
          <w:cantSplit/>
        </w:trPr>
        <w:tc>
          <w:tcPr>
            <w:tcW w:w="5243" w:type="dxa"/>
          </w:tcPr>
          <w:p w14:paraId="5FF86A50" w14:textId="77777777" w:rsidR="0061278B" w:rsidRPr="0061278B" w:rsidRDefault="0061278B" w:rsidP="00DF0BBA">
            <w:pPr>
              <w:keepNext/>
              <w:rPr>
                <w:sz w:val="22"/>
                <w:szCs w:val="22"/>
              </w:rPr>
            </w:pPr>
            <w:r w:rsidRPr="0061278B">
              <w:rPr>
                <w:sz w:val="22"/>
                <w:szCs w:val="22"/>
              </w:rPr>
              <w:t>Difference compared to placebo</w:t>
            </w:r>
          </w:p>
        </w:tc>
        <w:tc>
          <w:tcPr>
            <w:tcW w:w="2094" w:type="dxa"/>
          </w:tcPr>
          <w:p w14:paraId="58136663" w14:textId="77777777" w:rsidR="0061278B" w:rsidRPr="0061278B" w:rsidRDefault="0061278B" w:rsidP="00DF0BBA">
            <w:pPr>
              <w:keepNext/>
              <w:rPr>
                <w:sz w:val="22"/>
                <w:szCs w:val="22"/>
              </w:rPr>
            </w:pPr>
            <w:r w:rsidRPr="0061278B">
              <w:rPr>
                <w:sz w:val="22"/>
                <w:szCs w:val="22"/>
              </w:rPr>
              <w:t>7.6</w:t>
            </w:r>
          </w:p>
        </w:tc>
        <w:tc>
          <w:tcPr>
            <w:tcW w:w="1724" w:type="dxa"/>
          </w:tcPr>
          <w:p w14:paraId="7B4BD04F" w14:textId="77777777" w:rsidR="0061278B" w:rsidRPr="0061278B" w:rsidRDefault="0061278B" w:rsidP="00DF0BBA">
            <w:pPr>
              <w:keepNext/>
              <w:rPr>
                <w:b/>
                <w:sz w:val="22"/>
                <w:szCs w:val="22"/>
              </w:rPr>
            </w:pPr>
          </w:p>
        </w:tc>
      </w:tr>
      <w:tr w:rsidR="0061278B" w:rsidRPr="0061278B" w14:paraId="4FD8D2CF" w14:textId="77777777" w:rsidTr="002C1FFA">
        <w:trPr>
          <w:cantSplit/>
        </w:trPr>
        <w:tc>
          <w:tcPr>
            <w:tcW w:w="5243" w:type="dxa"/>
          </w:tcPr>
          <w:p w14:paraId="180FD4B0" w14:textId="77777777" w:rsidR="0061278B" w:rsidRPr="0061278B" w:rsidRDefault="0061278B" w:rsidP="00DF0BBA">
            <w:pPr>
              <w:rPr>
                <w:sz w:val="22"/>
                <w:szCs w:val="22"/>
              </w:rPr>
            </w:pPr>
            <w:r w:rsidRPr="0061278B">
              <w:rPr>
                <w:sz w:val="22"/>
                <w:szCs w:val="22"/>
              </w:rPr>
              <w:t>p-value</w:t>
            </w:r>
          </w:p>
        </w:tc>
        <w:tc>
          <w:tcPr>
            <w:tcW w:w="2094" w:type="dxa"/>
          </w:tcPr>
          <w:p w14:paraId="325F2294" w14:textId="77777777" w:rsidR="0061278B" w:rsidRPr="0061278B" w:rsidRDefault="0061278B" w:rsidP="00DF0BBA">
            <w:pPr>
              <w:rPr>
                <w:sz w:val="22"/>
                <w:szCs w:val="22"/>
                <w:lang w:val="nl-NL"/>
              </w:rPr>
            </w:pPr>
            <w:r w:rsidRPr="0061278B">
              <w:rPr>
                <w:sz w:val="22"/>
                <w:szCs w:val="22"/>
                <w:lang w:val="nl-NL"/>
              </w:rPr>
              <w:t>0.044</w:t>
            </w:r>
            <w:r w:rsidRPr="0061278B">
              <w:rPr>
                <w:sz w:val="22"/>
                <w:szCs w:val="22"/>
                <w:vertAlign w:val="superscript"/>
                <w:lang w:val="nl-NL"/>
              </w:rPr>
              <w:t>a</w:t>
            </w:r>
          </w:p>
        </w:tc>
        <w:tc>
          <w:tcPr>
            <w:tcW w:w="1724" w:type="dxa"/>
          </w:tcPr>
          <w:p w14:paraId="06BE5BEA" w14:textId="77777777" w:rsidR="0061278B" w:rsidRPr="0061278B" w:rsidRDefault="0061278B" w:rsidP="00DF0BBA">
            <w:pPr>
              <w:rPr>
                <w:b/>
                <w:sz w:val="22"/>
                <w:szCs w:val="22"/>
              </w:rPr>
            </w:pPr>
          </w:p>
        </w:tc>
      </w:tr>
      <w:tr w:rsidR="0061278B" w:rsidRPr="0061278B" w14:paraId="703F6C37" w14:textId="77777777" w:rsidTr="002C1FFA">
        <w:trPr>
          <w:cantSplit/>
        </w:trPr>
        <w:tc>
          <w:tcPr>
            <w:tcW w:w="9061" w:type="dxa"/>
            <w:gridSpan w:val="3"/>
            <w:tcBorders>
              <w:left w:val="nil"/>
              <w:bottom w:val="nil"/>
              <w:right w:val="nil"/>
            </w:tcBorders>
          </w:tcPr>
          <w:p w14:paraId="4C1C2EE2" w14:textId="77777777" w:rsidR="0061278B" w:rsidRPr="0061278B" w:rsidRDefault="0061278B" w:rsidP="00DF0BBA">
            <w:pPr>
              <w:rPr>
                <w:sz w:val="22"/>
                <w:szCs w:val="22"/>
              </w:rPr>
            </w:pPr>
            <w:r w:rsidRPr="0061278B">
              <w:rPr>
                <w:sz w:val="22"/>
                <w:szCs w:val="22"/>
                <w:vertAlign w:val="superscript"/>
              </w:rPr>
              <w:t>a</w:t>
            </w:r>
            <w:r w:rsidRPr="0061278B">
              <w:rPr>
                <w:sz w:val="22"/>
                <w:szCs w:val="22"/>
              </w:rPr>
              <w:t xml:space="preserve"> Significant p-value in hierarchical testing</w:t>
            </w:r>
          </w:p>
        </w:tc>
      </w:tr>
    </w:tbl>
    <w:p w14:paraId="517C2386" w14:textId="20EDF787" w:rsidR="00FC0AFD" w:rsidRDefault="00FC0AFD" w:rsidP="00DF0BBA">
      <w:pPr>
        <w:pStyle w:val="CLDNormal"/>
        <w:jc w:val="left"/>
      </w:pPr>
    </w:p>
    <w:p w14:paraId="32198244" w14:textId="77777777" w:rsidR="00F549CD" w:rsidRPr="00F549CD" w:rsidRDefault="00F549CD" w:rsidP="00DF0BBA">
      <w:pPr>
        <w:keepNext/>
        <w:rPr>
          <w:b/>
          <w:sz w:val="22"/>
          <w:szCs w:val="22"/>
        </w:rPr>
      </w:pPr>
      <w:r w:rsidRPr="00F549CD">
        <w:rPr>
          <w:b/>
          <w:sz w:val="22"/>
          <w:szCs w:val="22"/>
        </w:rPr>
        <w:t>Figure 3: Change from Baseline in Monthly Migraine Days in Study 4</w:t>
      </w:r>
    </w:p>
    <w:p w14:paraId="4035368E" w14:textId="6EEC6A0E" w:rsidR="00460C69" w:rsidRPr="00F549CD" w:rsidRDefault="00F549CD" w:rsidP="00DF0BBA">
      <w:pPr>
        <w:rPr>
          <w:rFonts w:eastAsia="Arial Unicode MS"/>
          <w:sz w:val="22"/>
          <w:szCs w:val="22"/>
          <w:lang w:eastAsia="zh-TW"/>
        </w:rPr>
      </w:pPr>
      <w:r w:rsidRPr="00F549CD">
        <w:rPr>
          <w:rFonts w:eastAsia="Arial Unicode MS"/>
          <w:noProof/>
          <w:sz w:val="22"/>
          <w:szCs w:val="22"/>
          <w:lang w:eastAsia="zh-TW"/>
        </w:rPr>
        <w:drawing>
          <wp:inline distT="0" distB="0" distL="0" distR="0" wp14:anchorId="0764D584" wp14:editId="425FE113">
            <wp:extent cx="5619408" cy="2815590"/>
            <wp:effectExtent l="0" t="0" r="0" b="3810"/>
            <wp:docPr id="10" name="Picture 10" descr="A picture containing text, antenna,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antenna, screenshot&#10;&#10;Description automatically generated"/>
                    <pic:cNvPicPr/>
                  </pic:nvPicPr>
                  <pic:blipFill>
                    <a:blip r:embed="rId17"/>
                    <a:stretch>
                      <a:fillRect/>
                    </a:stretch>
                  </pic:blipFill>
                  <pic:spPr>
                    <a:xfrm>
                      <a:off x="0" y="0"/>
                      <a:ext cx="5623433" cy="2817607"/>
                    </a:xfrm>
                    <a:prstGeom prst="rect">
                      <a:avLst/>
                    </a:prstGeom>
                  </pic:spPr>
                </pic:pic>
              </a:graphicData>
            </a:graphic>
          </wp:inline>
        </w:drawing>
      </w:r>
    </w:p>
    <w:p w14:paraId="6D55EEE0" w14:textId="77777777" w:rsidR="00D87270" w:rsidRDefault="00D87270" w:rsidP="00DF0BBA">
      <w:pPr>
        <w:rPr>
          <w:rFonts w:eastAsia="Arial Unicode MS"/>
          <w:sz w:val="22"/>
          <w:szCs w:val="22"/>
          <w:lang w:eastAsia="zh-TW"/>
        </w:rPr>
      </w:pPr>
    </w:p>
    <w:p w14:paraId="311676A9" w14:textId="0CCBDF2B" w:rsidR="0097095B" w:rsidRPr="0097095B" w:rsidRDefault="0097095B" w:rsidP="00DF0BBA">
      <w:pPr>
        <w:pStyle w:val="CLDNormal"/>
        <w:jc w:val="left"/>
        <w:rPr>
          <w:i/>
        </w:rPr>
      </w:pPr>
      <w:r w:rsidRPr="0097095B">
        <w:rPr>
          <w:i/>
        </w:rPr>
        <w:t>Long-term efficacy</w:t>
      </w:r>
    </w:p>
    <w:p w14:paraId="14B9F599" w14:textId="18B248BB" w:rsidR="00D87270" w:rsidRDefault="0097095B" w:rsidP="00DF0BBA">
      <w:pPr>
        <w:pStyle w:val="CLDNormal"/>
        <w:jc w:val="left"/>
      </w:pPr>
      <w:r w:rsidRPr="0097095B">
        <w:lastRenderedPageBreak/>
        <w:t>Patients participating in Study 4 were allowed to continue in an open-label extension study for an additional 12 months.</w:t>
      </w:r>
      <w:r w:rsidR="00890288">
        <w:t xml:space="preserve"> </w:t>
      </w:r>
      <w:r w:rsidRPr="0097095B">
        <w:t xml:space="preserve"> Efficacy was sustained for up to 1 year in an open-label study extension in which patients received rimegepant 75 mg every other day plus as needed on non-scheduled dosing days (Figure 4). </w:t>
      </w:r>
      <w:r w:rsidR="00890288">
        <w:t xml:space="preserve"> </w:t>
      </w:r>
      <w:r w:rsidRPr="0097095B">
        <w:t>A portion composed of 203 patients</w:t>
      </w:r>
      <w:r w:rsidRPr="0097095B">
        <w:rPr>
          <w:i/>
        </w:rPr>
        <w:t xml:space="preserve"> </w:t>
      </w:r>
      <w:r w:rsidRPr="0097095B">
        <w:t xml:space="preserve">assigned to rimegepant completed the overall 16-month treatment period. </w:t>
      </w:r>
      <w:r w:rsidR="00890288">
        <w:t xml:space="preserve"> </w:t>
      </w:r>
      <w:r w:rsidRPr="0097095B">
        <w:t>In these patients, the overall mean reduction from baseline in the number of MMDs averaged over the 16-month treatment period was 6.2</w:t>
      </w:r>
      <w:r w:rsidR="00F84462">
        <w:t> </w:t>
      </w:r>
      <w:r w:rsidRPr="0097095B">
        <w:t>days.</w:t>
      </w:r>
      <w:r w:rsidR="000F48D0" w:rsidRPr="000F48D0">
        <w:t xml:space="preserve"> </w:t>
      </w:r>
      <w:r w:rsidR="00FE039A">
        <w:t xml:space="preserve"> </w:t>
      </w:r>
      <w:r w:rsidR="000F48D0">
        <w:t>For the open label extension phase</w:t>
      </w:r>
      <w:r w:rsidR="00EF0BAD">
        <w:t xml:space="preserve"> in Figure 4</w:t>
      </w:r>
      <w:r w:rsidR="000F48D0">
        <w:t xml:space="preserve">, the data presented </w:t>
      </w:r>
      <w:r w:rsidR="00641002">
        <w:t>as OL</w:t>
      </w:r>
      <w:r w:rsidR="000022D8">
        <w:t xml:space="preserve"> </w:t>
      </w:r>
      <w:r w:rsidR="00AE62BF">
        <w:t>R</w:t>
      </w:r>
      <w:r w:rsidR="000022D8">
        <w:t xml:space="preserve">imegepant 75 mg </w:t>
      </w:r>
      <w:r w:rsidR="00AE62BF">
        <w:t xml:space="preserve">Months </w:t>
      </w:r>
      <w:r w:rsidR="00CE4E30">
        <w:t>4</w:t>
      </w:r>
      <w:r w:rsidR="00AE62BF">
        <w:t xml:space="preserve"> to </w:t>
      </w:r>
      <w:r w:rsidR="00CE4E30">
        <w:t xml:space="preserve">16 </w:t>
      </w:r>
      <w:r w:rsidR="00CA51AE">
        <w:t>have no</w:t>
      </w:r>
      <w:r w:rsidR="000F48D0">
        <w:t xml:space="preserve"> comparator group.  The data are suggestive of maintenance of effect of rimegepant to 16 months.</w:t>
      </w:r>
    </w:p>
    <w:p w14:paraId="3D0FA98D" w14:textId="460378F7" w:rsidR="00D87270" w:rsidRDefault="001E3E02" w:rsidP="00DF0BBA">
      <w:pPr>
        <w:keepNext/>
        <w:rPr>
          <w:sz w:val="22"/>
          <w:szCs w:val="22"/>
        </w:rPr>
      </w:pPr>
      <w:r w:rsidRPr="001E3E02">
        <w:rPr>
          <w:b/>
          <w:sz w:val="22"/>
          <w:szCs w:val="22"/>
        </w:rPr>
        <w:t>Figure 4: Longitudinal Plot of the Change in Mean Number of Monthly Migraine Days (MMDs) from the Observation Period Over Time during Double-Blind Treatment (Months 1 to 3) and during Treatment with Open-label Rimegepant (Months 4 to 16)</w:t>
      </w:r>
      <w:r w:rsidR="008C064F">
        <w:rPr>
          <w:b/>
          <w:sz w:val="22"/>
          <w:szCs w:val="22"/>
        </w:rPr>
        <w:t xml:space="preserve"> for Patients Originally </w:t>
      </w:r>
      <w:r w:rsidR="00761084">
        <w:rPr>
          <w:b/>
          <w:sz w:val="22"/>
          <w:szCs w:val="22"/>
        </w:rPr>
        <w:t>Randomised</w:t>
      </w:r>
      <w:r w:rsidR="008C064F">
        <w:rPr>
          <w:b/>
          <w:sz w:val="22"/>
          <w:szCs w:val="22"/>
        </w:rPr>
        <w:t xml:space="preserve"> to Rimegepant (in Study 305)</w:t>
      </w:r>
    </w:p>
    <w:p w14:paraId="580894C7" w14:textId="3C049C8E" w:rsidR="001E3E02" w:rsidRDefault="001E3E02" w:rsidP="00DF0BBA">
      <w:pPr>
        <w:rPr>
          <w:sz w:val="22"/>
          <w:szCs w:val="22"/>
        </w:rPr>
      </w:pPr>
      <w:r w:rsidRPr="001E3E02">
        <w:rPr>
          <w:noProof/>
          <w:sz w:val="22"/>
          <w:szCs w:val="22"/>
        </w:rPr>
        <w:drawing>
          <wp:inline distT="0" distB="0" distL="0" distR="0" wp14:anchorId="5C408749" wp14:editId="3292D210">
            <wp:extent cx="5760085" cy="2763520"/>
            <wp:effectExtent l="0" t="0" r="5715" b="5080"/>
            <wp:docPr id="12" name="Picture 1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pic:nvPicPr>
                  <pic:blipFill>
                    <a:blip r:embed="rId18"/>
                    <a:stretch>
                      <a:fillRect/>
                    </a:stretch>
                  </pic:blipFill>
                  <pic:spPr>
                    <a:xfrm>
                      <a:off x="0" y="0"/>
                      <a:ext cx="5760085" cy="2763520"/>
                    </a:xfrm>
                    <a:prstGeom prst="rect">
                      <a:avLst/>
                    </a:prstGeom>
                  </pic:spPr>
                </pic:pic>
              </a:graphicData>
            </a:graphic>
          </wp:inline>
        </w:drawing>
      </w:r>
    </w:p>
    <w:p w14:paraId="17F6BCDE" w14:textId="7BC1D05B" w:rsidR="008C064F" w:rsidRDefault="008C064F" w:rsidP="00DF0BBA">
      <w:pPr>
        <w:rPr>
          <w:sz w:val="22"/>
          <w:szCs w:val="22"/>
        </w:rPr>
      </w:pPr>
    </w:p>
    <w:p w14:paraId="593C3484" w14:textId="57E2A98B" w:rsidR="00830B98" w:rsidRPr="001A0577" w:rsidRDefault="00003E72" w:rsidP="00DF0BBA">
      <w:pPr>
        <w:pStyle w:val="CLDHeading2"/>
      </w:pPr>
      <w:r w:rsidRPr="001A0577">
        <w:t>5.2</w:t>
      </w:r>
      <w:r w:rsidRPr="001A0577">
        <w:tab/>
      </w:r>
      <w:r w:rsidR="00B5568E" w:rsidRPr="001A0577">
        <w:t xml:space="preserve">Pharmacokinetic </w:t>
      </w:r>
      <w:r w:rsidR="00003485" w:rsidRPr="001A0577">
        <w:t>p</w:t>
      </w:r>
      <w:r w:rsidR="00112E5B" w:rsidRPr="001A0577">
        <w:t>roperties</w:t>
      </w:r>
    </w:p>
    <w:p w14:paraId="1D8323B0" w14:textId="4AA70812" w:rsidR="003C6DC6" w:rsidRDefault="003C6DC6" w:rsidP="00DF0BBA">
      <w:pPr>
        <w:pStyle w:val="CLDHeading3"/>
        <w:numPr>
          <w:ilvl w:val="0"/>
          <w:numId w:val="0"/>
        </w:numPr>
      </w:pPr>
      <w:r>
        <w:t>Absorption</w:t>
      </w:r>
    </w:p>
    <w:p w14:paraId="1CE85E31" w14:textId="27FC43A6" w:rsidR="00D87270" w:rsidRDefault="00A54951" w:rsidP="00DF0BBA">
      <w:pPr>
        <w:pStyle w:val="CLDNormal"/>
        <w:jc w:val="left"/>
      </w:pPr>
      <w:r>
        <w:t>Following</w:t>
      </w:r>
      <w:r w:rsidR="002070E4">
        <w:t xml:space="preserve"> </w:t>
      </w:r>
      <w:r w:rsidR="002070E4" w:rsidRPr="002070E4">
        <w:t xml:space="preserve">oral administration, rimegepant is absorbed with the maximum concentration at 1.5 hours. </w:t>
      </w:r>
      <w:r w:rsidR="00890288">
        <w:t xml:space="preserve"> </w:t>
      </w:r>
      <w:r w:rsidR="002070E4" w:rsidRPr="002070E4">
        <w:t>Following a supratherapeutic dose of 300 mg, the absolute oral bioavailability of rimegepant was approximately 64%.</w:t>
      </w:r>
    </w:p>
    <w:p w14:paraId="79C7B6AB" w14:textId="77777777" w:rsidR="00DA781F" w:rsidRPr="00DA781F" w:rsidRDefault="00DA781F" w:rsidP="00DF0BBA">
      <w:pPr>
        <w:pStyle w:val="CLDHeading4"/>
      </w:pPr>
      <w:r w:rsidRPr="00DA781F">
        <w:t>Effects of food</w:t>
      </w:r>
    </w:p>
    <w:p w14:paraId="7DB7B361" w14:textId="11CC6057" w:rsidR="00DA781F" w:rsidRDefault="00DA781F" w:rsidP="00DF0BBA">
      <w:pPr>
        <w:pStyle w:val="CLDNormal"/>
        <w:jc w:val="left"/>
      </w:pPr>
      <w:r w:rsidRPr="00DA781F">
        <w:t>Following administration of rimegepant under fed conditions with a high-fat or low-fat meal, T</w:t>
      </w:r>
      <w:r w:rsidRPr="006D7292">
        <w:rPr>
          <w:vertAlign w:val="subscript"/>
        </w:rPr>
        <w:t>max</w:t>
      </w:r>
      <w:r w:rsidRPr="00DA781F">
        <w:t xml:space="preserve"> was delayed by 1 to 1.5 hours. </w:t>
      </w:r>
      <w:r w:rsidR="00890288">
        <w:t xml:space="preserve"> </w:t>
      </w:r>
      <w:r w:rsidRPr="00DA781F">
        <w:t xml:space="preserve">A high-fat meal reduced Cmax by 42 to 53% and AUC by 32 to 38%. </w:t>
      </w:r>
      <w:r w:rsidR="00890288">
        <w:t xml:space="preserve"> </w:t>
      </w:r>
      <w:r w:rsidRPr="00DA781F">
        <w:t>A low-fat meal reduced C</w:t>
      </w:r>
      <w:r w:rsidRPr="006D7292">
        <w:rPr>
          <w:vertAlign w:val="subscript"/>
        </w:rPr>
        <w:t>max</w:t>
      </w:r>
      <w:r w:rsidRPr="00DA781F">
        <w:t xml:space="preserve"> by 36% and AUC by 28%. </w:t>
      </w:r>
      <w:r w:rsidR="00890288">
        <w:t xml:space="preserve"> </w:t>
      </w:r>
      <w:r w:rsidRPr="00DA781F">
        <w:t>Rimegepant was administered without regard to food in clinical safety and efficacy studies.</w:t>
      </w:r>
    </w:p>
    <w:p w14:paraId="68989DAE" w14:textId="7250474A" w:rsidR="00727130" w:rsidRPr="00DA781F" w:rsidRDefault="00727130" w:rsidP="00DF0BBA">
      <w:pPr>
        <w:pStyle w:val="CLDNormal"/>
        <w:jc w:val="left"/>
      </w:pPr>
      <w:r>
        <w:t>The impact of the reduction in rimegepant exposure because of administration with food on its efficacy is unknown.</w:t>
      </w:r>
    </w:p>
    <w:p w14:paraId="5F5B5144" w14:textId="5D703281" w:rsidR="003C6DC6" w:rsidRDefault="003C6DC6" w:rsidP="00DF0BBA">
      <w:pPr>
        <w:pStyle w:val="CLDHeading3"/>
        <w:numPr>
          <w:ilvl w:val="0"/>
          <w:numId w:val="0"/>
        </w:numPr>
      </w:pPr>
      <w:r>
        <w:lastRenderedPageBreak/>
        <w:t>Distribution</w:t>
      </w:r>
    </w:p>
    <w:p w14:paraId="4D4973F2" w14:textId="72AE9974" w:rsidR="003C6DC6" w:rsidRPr="00C035A6" w:rsidRDefault="00143202" w:rsidP="00DF0BBA">
      <w:pPr>
        <w:pStyle w:val="CLDNormal"/>
        <w:jc w:val="left"/>
        <w:rPr>
          <w:i/>
          <w:iCs/>
          <w:color w:val="FF0000"/>
        </w:rPr>
      </w:pPr>
      <w:r w:rsidRPr="00143202">
        <w:t>The steady state volume of distribution of rimegepant is 120 </w:t>
      </w:r>
      <w:r w:rsidR="00B46345">
        <w:t>L</w:t>
      </w:r>
      <w:r w:rsidRPr="00143202">
        <w:t xml:space="preserve">. </w:t>
      </w:r>
      <w:r w:rsidR="00D96336">
        <w:t xml:space="preserve"> </w:t>
      </w:r>
      <w:r w:rsidRPr="00143202">
        <w:t>Plasma protein binding of rimegepant is approximately 96%.</w:t>
      </w:r>
    </w:p>
    <w:p w14:paraId="15F1E761" w14:textId="5C8FA351" w:rsidR="003C6DC6" w:rsidRDefault="002A5064" w:rsidP="00DF0BBA">
      <w:pPr>
        <w:pStyle w:val="CLDHeading3"/>
        <w:numPr>
          <w:ilvl w:val="0"/>
          <w:numId w:val="0"/>
        </w:numPr>
      </w:pPr>
      <w:r>
        <w:t>Metabolism</w:t>
      </w:r>
    </w:p>
    <w:p w14:paraId="19723AB8" w14:textId="6892A568" w:rsidR="00D87270" w:rsidRDefault="0082717E" w:rsidP="00DF0BBA">
      <w:pPr>
        <w:pStyle w:val="CLDNormal"/>
        <w:jc w:val="left"/>
      </w:pPr>
      <w:r w:rsidRPr="0082717E">
        <w:t>Rimegepant is primarily metaboli</w:t>
      </w:r>
      <w:r w:rsidR="00D96336">
        <w:t>s</w:t>
      </w:r>
      <w:r w:rsidRPr="0082717E">
        <w:t xml:space="preserve">ed by CYP3A4 and to a lesser extent by CYP2C9. </w:t>
      </w:r>
      <w:r w:rsidR="00D96336">
        <w:t xml:space="preserve"> </w:t>
      </w:r>
      <w:r w:rsidRPr="0082717E">
        <w:t xml:space="preserve">Rimegepant is </w:t>
      </w:r>
      <w:r w:rsidR="001214B4">
        <w:t xml:space="preserve">the </w:t>
      </w:r>
      <w:r w:rsidRPr="0082717E">
        <w:t>primary form (~77%) with no major metabolites (i.e. &gt;10%) detected in plasma.</w:t>
      </w:r>
    </w:p>
    <w:p w14:paraId="2B431F95" w14:textId="73FEA226" w:rsidR="003C6DC6" w:rsidRDefault="002A5064" w:rsidP="00DF0BBA">
      <w:pPr>
        <w:pStyle w:val="CLDHeading3"/>
        <w:numPr>
          <w:ilvl w:val="0"/>
          <w:numId w:val="0"/>
        </w:numPr>
      </w:pPr>
      <w:r>
        <w:t>Excretion</w:t>
      </w:r>
    </w:p>
    <w:p w14:paraId="4E43722B" w14:textId="01A39519" w:rsidR="00D87270" w:rsidRDefault="00FB67EA" w:rsidP="00DF0BBA">
      <w:pPr>
        <w:pStyle w:val="CLDNormal"/>
        <w:jc w:val="left"/>
      </w:pPr>
      <w:r w:rsidRPr="00FB67EA">
        <w:t>The elimination half-life of rimegepant is approximately 11 hours in healthy subjects.</w:t>
      </w:r>
      <w:r w:rsidR="00D96336">
        <w:t xml:space="preserve"> </w:t>
      </w:r>
      <w:r w:rsidR="00300E37">
        <w:t xml:space="preserve"> </w:t>
      </w:r>
      <w:r w:rsidRPr="00FB67EA">
        <w:t>Following oral administration of [</w:t>
      </w:r>
      <w:r w:rsidRPr="00FB67EA">
        <w:rPr>
          <w:vertAlign w:val="superscript"/>
        </w:rPr>
        <w:t>14</w:t>
      </w:r>
      <w:r w:rsidRPr="00FB67EA">
        <w:t xml:space="preserve">C]-rimegepant to healthy male subjects, 78% of the total radioactivity was recovered in feces and 24% in urine. </w:t>
      </w:r>
      <w:r w:rsidR="00D96336">
        <w:t xml:space="preserve"> </w:t>
      </w:r>
      <w:r w:rsidRPr="00FB67EA">
        <w:t>Unchanged rimegepant is the major single component in excreted feces (42%) and urine (51%).</w:t>
      </w:r>
    </w:p>
    <w:p w14:paraId="738066A1" w14:textId="55CDFA8D" w:rsidR="00D96336" w:rsidRPr="00F72801" w:rsidRDefault="00D96336" w:rsidP="00DF0BBA">
      <w:pPr>
        <w:pStyle w:val="CLDHeading4"/>
        <w:rPr>
          <w:lang w:val="en-GB"/>
        </w:rPr>
      </w:pPr>
      <w:r w:rsidRPr="00F72801">
        <w:rPr>
          <w:noProof/>
        </w:rPr>
        <w:t>Linearity/non-linearity</w:t>
      </w:r>
    </w:p>
    <w:p w14:paraId="321D1BA4" w14:textId="2C91FCC2" w:rsidR="00D87270" w:rsidRDefault="00890288" w:rsidP="00DF0BBA">
      <w:pPr>
        <w:pStyle w:val="CLDNormal"/>
        <w:jc w:val="left"/>
      </w:pPr>
      <w:r w:rsidRPr="00356C5B">
        <w:t>Rimegepant exhibits greater than dose proportional increases in exposure following single oral administration, which appears to be related to a dose-depend</w:t>
      </w:r>
      <w:r w:rsidR="006855C4">
        <w:t>e</w:t>
      </w:r>
      <w:r w:rsidRPr="00356C5B">
        <w:t>nt increase in bioavailability.</w:t>
      </w:r>
    </w:p>
    <w:p w14:paraId="6EC8AEE7" w14:textId="2570C55D" w:rsidR="00356C5B" w:rsidRPr="00356C5B" w:rsidRDefault="00356C5B" w:rsidP="00DF0BBA">
      <w:pPr>
        <w:pStyle w:val="CLDHeading3"/>
        <w:numPr>
          <w:ilvl w:val="0"/>
          <w:numId w:val="0"/>
        </w:numPr>
      </w:pPr>
      <w:r w:rsidRPr="00356C5B">
        <w:t>Age, sex, weight, race, ethnicity</w:t>
      </w:r>
    </w:p>
    <w:p w14:paraId="21BA3D9E" w14:textId="51253BAF" w:rsidR="00D87270" w:rsidRDefault="00356C5B" w:rsidP="00DF0BBA">
      <w:pPr>
        <w:pStyle w:val="CLDNormal"/>
        <w:jc w:val="left"/>
      </w:pPr>
      <w:r w:rsidRPr="00356C5B">
        <w:t>No clinically significant differences in the pharmacokinetics of rimegepant were observed based on age, sex, race/ethnicity, body weight, migraine status, or CYP2C9 genotype.</w:t>
      </w:r>
    </w:p>
    <w:p w14:paraId="262CCE75" w14:textId="61094F69" w:rsidR="00356C5B" w:rsidRPr="00356C5B" w:rsidRDefault="00356C5B" w:rsidP="00DF0BBA">
      <w:pPr>
        <w:pStyle w:val="CLDHeading3"/>
        <w:numPr>
          <w:ilvl w:val="0"/>
          <w:numId w:val="0"/>
        </w:numPr>
      </w:pPr>
      <w:r w:rsidRPr="00356C5B">
        <w:t>Renal impairment</w:t>
      </w:r>
    </w:p>
    <w:p w14:paraId="00DAA47A" w14:textId="42CCAAAF" w:rsidR="00D87270" w:rsidRDefault="00356C5B" w:rsidP="00DF0BBA">
      <w:pPr>
        <w:pStyle w:val="CLDNormal"/>
        <w:jc w:val="left"/>
      </w:pPr>
      <w:r w:rsidRPr="00356C5B">
        <w:t>In a dedicated clinical study comparing the pharmacokinetics of rimegepant in subjects with mild (estimated creatinine clearance [CLcr] 60-89 m</w:t>
      </w:r>
      <w:r w:rsidR="008B631D">
        <w:t>L</w:t>
      </w:r>
      <w:r w:rsidRPr="00356C5B">
        <w:t>/min), moderate (CLcr 30-59 m</w:t>
      </w:r>
      <w:r w:rsidR="001B5FDB">
        <w:t>L</w:t>
      </w:r>
      <w:r w:rsidRPr="00356C5B">
        <w:t>/min), and severe (CLcr 15-29 m</w:t>
      </w:r>
      <w:r w:rsidR="001B5FDB">
        <w:t>L</w:t>
      </w:r>
      <w:r w:rsidRPr="00356C5B">
        <w:t>/min) renal impairment to that with normal subjects (healthy pooled control), a less than 50% increase in total rimegepant exposure was observed following a single 75 mg dose.</w:t>
      </w:r>
      <w:r w:rsidR="00916F9D">
        <w:t xml:space="preserve"> </w:t>
      </w:r>
      <w:r w:rsidRPr="00356C5B">
        <w:t xml:space="preserve"> The unbound AUC of rimegepant was 2.57-fold higher in subjects with severe renal impairment. </w:t>
      </w:r>
      <w:r w:rsidR="00300E37">
        <w:t xml:space="preserve"> </w:t>
      </w:r>
      <w:r>
        <w:rPr>
          <w:rFonts w:eastAsia="Arial Unicode MS"/>
        </w:rPr>
        <w:t>NURTEC</w:t>
      </w:r>
      <w:r w:rsidR="00141894">
        <w:rPr>
          <w:rFonts w:eastAsia="Arial Unicode MS"/>
        </w:rPr>
        <w:t xml:space="preserve"> ODT</w:t>
      </w:r>
      <w:r w:rsidRPr="00356C5B">
        <w:t xml:space="preserve"> has not been studied in patients with end</w:t>
      </w:r>
      <w:r w:rsidR="00916F9D">
        <w:noBreakHyphen/>
      </w:r>
      <w:r w:rsidRPr="00356C5B">
        <w:t>stage renal disease (CLcr &lt;15 m</w:t>
      </w:r>
      <w:r w:rsidR="001B5FDB">
        <w:t>L</w:t>
      </w:r>
      <w:r w:rsidRPr="00356C5B">
        <w:t>/min).</w:t>
      </w:r>
    </w:p>
    <w:p w14:paraId="47A472D7" w14:textId="126AFB0B" w:rsidR="00356C5B" w:rsidRPr="00356C5B" w:rsidRDefault="00356C5B" w:rsidP="00DF0BBA">
      <w:pPr>
        <w:pStyle w:val="CLDHeading3"/>
        <w:numPr>
          <w:ilvl w:val="0"/>
          <w:numId w:val="0"/>
        </w:numPr>
      </w:pPr>
      <w:r w:rsidRPr="00356C5B">
        <w:t>Hepatic impairment</w:t>
      </w:r>
    </w:p>
    <w:p w14:paraId="4E0D5F7B" w14:textId="779A71DE" w:rsidR="00356C5B" w:rsidRPr="00356C5B" w:rsidRDefault="00356C5B" w:rsidP="00DF0BBA">
      <w:pPr>
        <w:pStyle w:val="CLDNormal"/>
        <w:jc w:val="left"/>
      </w:pPr>
      <w:r w:rsidRPr="00356C5B">
        <w:t xml:space="preserve">In a dedicated clinical study comparing the pharmacokinetics of rimegepant in subjects with mild, moderate, and severe hepatic impairment to that </w:t>
      </w:r>
      <w:r w:rsidR="00F747A7">
        <w:t>of</w:t>
      </w:r>
      <w:r w:rsidR="00F747A7" w:rsidRPr="00356C5B">
        <w:t xml:space="preserve"> </w:t>
      </w:r>
      <w:r w:rsidRPr="00356C5B">
        <w:t>normal subjects (healthy matched control), the exposure of rimegepant (unbound AUC) following a single 75 mg dose was 3.89</w:t>
      </w:r>
      <w:r w:rsidR="00F84462">
        <w:noBreakHyphen/>
      </w:r>
      <w:r w:rsidRPr="00356C5B">
        <w:t>fold higher in subjects with severe impairment (Child-Pugh class C).</w:t>
      </w:r>
      <w:r w:rsidR="00916F9D">
        <w:t xml:space="preserve"> </w:t>
      </w:r>
      <w:r w:rsidRPr="00356C5B">
        <w:t xml:space="preserve"> There were no clinically meaningful differences in the exposure of rimegepant in subjects with mild (Child</w:t>
      </w:r>
      <w:r w:rsidR="00916F9D">
        <w:noBreakHyphen/>
      </w:r>
      <w:r w:rsidRPr="00356C5B">
        <w:t>Pugh class A) and moderate hepatic impairment (Child-Pugh class B) compared to subjects with normal hepatic function.</w:t>
      </w:r>
    </w:p>
    <w:p w14:paraId="5677292E" w14:textId="4C12A9F6" w:rsidR="00112E5B" w:rsidRPr="001A0577" w:rsidRDefault="00003E72" w:rsidP="00DF0BBA">
      <w:pPr>
        <w:pStyle w:val="CLDHeading2"/>
      </w:pPr>
      <w:r w:rsidRPr="001A0577">
        <w:lastRenderedPageBreak/>
        <w:t>5.3</w:t>
      </w:r>
      <w:r w:rsidRPr="001A0577">
        <w:tab/>
      </w:r>
      <w:r w:rsidR="00003485" w:rsidRPr="001A0577">
        <w:t>Preclinical safety d</w:t>
      </w:r>
      <w:r w:rsidR="00112E5B" w:rsidRPr="001A0577">
        <w:t>ata</w:t>
      </w:r>
    </w:p>
    <w:p w14:paraId="526A7480" w14:textId="01C2BCC4" w:rsidR="00887811" w:rsidRDefault="00887811" w:rsidP="00DF0BBA">
      <w:pPr>
        <w:pStyle w:val="CLDHeading3"/>
        <w:numPr>
          <w:ilvl w:val="2"/>
          <w:numId w:val="0"/>
        </w:numPr>
      </w:pPr>
      <w:r>
        <w:t>Genotoxicity</w:t>
      </w:r>
    </w:p>
    <w:p w14:paraId="4A25938E" w14:textId="79FF6322" w:rsidR="00CD7E76" w:rsidRPr="00CD7E76" w:rsidRDefault="00093341" w:rsidP="00DF0BBA">
      <w:pPr>
        <w:pStyle w:val="CLDNormal"/>
        <w:jc w:val="left"/>
      </w:pPr>
      <w:r w:rsidRPr="002D5825">
        <w:t xml:space="preserve">Rimegepant was negative in </w:t>
      </w:r>
      <w:r w:rsidRPr="00F72801">
        <w:rPr>
          <w:i/>
          <w:iCs/>
        </w:rPr>
        <w:t>in vitro</w:t>
      </w:r>
      <w:r>
        <w:t xml:space="preserve"> </w:t>
      </w:r>
      <w:r w:rsidR="001078E3">
        <w:t xml:space="preserve">(reverse mutation </w:t>
      </w:r>
      <w:r w:rsidR="000E16DA">
        <w:t xml:space="preserve">in bacterial cells </w:t>
      </w:r>
      <w:r w:rsidR="001078E3">
        <w:t>and cytogenetics</w:t>
      </w:r>
      <w:r w:rsidR="000E16DA">
        <w:t xml:space="preserve"> in </w:t>
      </w:r>
      <w:r w:rsidR="00EE12BD">
        <w:t>Chinese</w:t>
      </w:r>
      <w:r w:rsidR="000E16DA">
        <w:t xml:space="preserve"> Hamster Ovary [CHO] cells</w:t>
      </w:r>
      <w:r w:rsidR="001078E3">
        <w:t xml:space="preserve">) </w:t>
      </w:r>
      <w:r w:rsidRPr="002D5825">
        <w:t xml:space="preserve">and </w:t>
      </w:r>
      <w:r w:rsidRPr="00F72801">
        <w:rPr>
          <w:i/>
          <w:iCs/>
        </w:rPr>
        <w:t>in vivo</w:t>
      </w:r>
      <w:r w:rsidRPr="002D5825">
        <w:t xml:space="preserve"> </w:t>
      </w:r>
      <w:r w:rsidR="001078E3">
        <w:t>(</w:t>
      </w:r>
      <w:r w:rsidR="000E16DA">
        <w:t xml:space="preserve">rat </w:t>
      </w:r>
      <w:r w:rsidR="001078E3">
        <w:t xml:space="preserve">oral micronucleus) </w:t>
      </w:r>
      <w:r w:rsidRPr="002D5825">
        <w:t>assays</w:t>
      </w:r>
      <w:r w:rsidR="00CD7E76">
        <w:t>.</w:t>
      </w:r>
    </w:p>
    <w:p w14:paraId="1E9A7C37" w14:textId="42295FDD" w:rsidR="00887811" w:rsidRPr="00F72801" w:rsidRDefault="00887811" w:rsidP="00DF0BBA">
      <w:pPr>
        <w:pStyle w:val="CLDHeading3"/>
        <w:numPr>
          <w:ilvl w:val="2"/>
          <w:numId w:val="0"/>
        </w:numPr>
      </w:pPr>
      <w:r>
        <w:t>Carcinogenicity</w:t>
      </w:r>
    </w:p>
    <w:p w14:paraId="1E06FCAE" w14:textId="0EFD5B33" w:rsidR="00CD7E76" w:rsidRDefault="00093341" w:rsidP="00DF0BBA">
      <w:pPr>
        <w:pStyle w:val="CLDNormal"/>
        <w:jc w:val="left"/>
      </w:pPr>
      <w:r w:rsidRPr="002D5825">
        <w:t xml:space="preserve">Oral administration of rimegepant to </w:t>
      </w:r>
      <w:r w:rsidRPr="00C87F3D">
        <w:t>Tg.rasH2</w:t>
      </w:r>
      <w:r>
        <w:t xml:space="preserve"> </w:t>
      </w:r>
      <w:r w:rsidRPr="002D5825">
        <w:t xml:space="preserve">mice </w:t>
      </w:r>
      <w:r w:rsidR="001078E3">
        <w:t>(</w:t>
      </w:r>
      <w:r w:rsidR="000E16DA">
        <w:t>up to</w:t>
      </w:r>
      <w:r w:rsidR="001078E3">
        <w:t xml:space="preserve"> 300 mg/kg/day) </w:t>
      </w:r>
      <w:r w:rsidRPr="002D5825">
        <w:t>for 26 weeks</w:t>
      </w:r>
      <w:r>
        <w:t>,</w:t>
      </w:r>
      <w:r w:rsidRPr="002D5825">
        <w:t xml:space="preserve"> and to rats for 91-100 weeks</w:t>
      </w:r>
      <w:r w:rsidR="001078E3">
        <w:t xml:space="preserve"> (</w:t>
      </w:r>
      <w:r w:rsidR="000E16DA">
        <w:t>up to</w:t>
      </w:r>
      <w:r w:rsidR="001078E3">
        <w:t xml:space="preserve"> 45 mg/kg/day)</w:t>
      </w:r>
      <w:r>
        <w:t>,</w:t>
      </w:r>
      <w:r w:rsidRPr="002D5825">
        <w:t xml:space="preserve"> resulted in no evidence of drug-induced tumo</w:t>
      </w:r>
      <w:r w:rsidR="000E16DA">
        <w:t>u</w:t>
      </w:r>
      <w:r w:rsidRPr="002D5825">
        <w:t xml:space="preserve">rs in either species. </w:t>
      </w:r>
      <w:r>
        <w:t xml:space="preserve"> In these animal studies, </w:t>
      </w:r>
      <w:r w:rsidRPr="002D5825">
        <w:t xml:space="preserve">the plasma exposure (AUC) at the highest dose tested was approximately </w:t>
      </w:r>
      <w:r>
        <w:t>3</w:t>
      </w:r>
      <w:r w:rsidR="000E16DA">
        <w:t>08</w:t>
      </w:r>
      <w:r w:rsidR="00CC40E0">
        <w:t>x</w:t>
      </w:r>
      <w:r>
        <w:t xml:space="preserve"> (mice)</w:t>
      </w:r>
      <w:r w:rsidRPr="002D5825">
        <w:t xml:space="preserve"> </w:t>
      </w:r>
      <w:r>
        <w:t xml:space="preserve">and </w:t>
      </w:r>
      <w:r w:rsidR="000E16DA">
        <w:t>24 to 40x</w:t>
      </w:r>
      <w:r>
        <w:t xml:space="preserve"> (rats</w:t>
      </w:r>
      <w:r w:rsidR="000E16DA">
        <w:t>, males and females respectively</w:t>
      </w:r>
      <w:r>
        <w:t xml:space="preserve">) </w:t>
      </w:r>
      <w:r w:rsidRPr="001911DF">
        <w:t>the human AUC at 75</w:t>
      </w:r>
      <w:r>
        <w:t> </w:t>
      </w:r>
      <w:r w:rsidRPr="001911DF">
        <w:t>mg/day</w:t>
      </w:r>
      <w:r w:rsidR="00322A50">
        <w:t>.</w:t>
      </w:r>
    </w:p>
    <w:p w14:paraId="0D18698B" w14:textId="513A583D" w:rsidR="00112B3F" w:rsidRPr="001A0577" w:rsidRDefault="002B1AAB" w:rsidP="00DF0BBA">
      <w:pPr>
        <w:pStyle w:val="CLDHeading1"/>
        <w:jc w:val="left"/>
      </w:pPr>
      <w:r w:rsidRPr="001A0577">
        <w:t>6.</w:t>
      </w:r>
      <w:r w:rsidRPr="001A0577">
        <w:tab/>
      </w:r>
      <w:r w:rsidR="0018348D" w:rsidRPr="001A0577">
        <w:t>PHARMACEUTICAL PARTICULARS</w:t>
      </w:r>
    </w:p>
    <w:p w14:paraId="7C95B429" w14:textId="77295AE3" w:rsidR="00830B98" w:rsidRPr="001A0577" w:rsidRDefault="002B1AAB" w:rsidP="00DF0BBA">
      <w:pPr>
        <w:pStyle w:val="CLDHeading2"/>
      </w:pPr>
      <w:r w:rsidRPr="001A0577">
        <w:t>6.1</w:t>
      </w:r>
      <w:r w:rsidRPr="001A0577">
        <w:tab/>
      </w:r>
      <w:r w:rsidR="00003485" w:rsidRPr="001A0577">
        <w:t>List of e</w:t>
      </w:r>
      <w:r w:rsidR="003556AB" w:rsidRPr="001A0577">
        <w:t>xcipients</w:t>
      </w:r>
    </w:p>
    <w:p w14:paraId="4146E679" w14:textId="5F6FEEFA" w:rsidR="00CC5F52" w:rsidRDefault="00CC5F52" w:rsidP="00DF0BBA">
      <w:pPr>
        <w:pStyle w:val="CLDBulletList"/>
        <w:jc w:val="left"/>
        <w:rPr>
          <w:color w:val="auto"/>
        </w:rPr>
      </w:pPr>
      <w:r w:rsidRPr="7BB8B2CC">
        <w:rPr>
          <w:color w:val="auto"/>
        </w:rPr>
        <w:t>gelatin</w:t>
      </w:r>
      <w:r w:rsidR="00175D09">
        <w:rPr>
          <w:color w:val="auto"/>
        </w:rPr>
        <w:t xml:space="preserve"> (sourced from fish)</w:t>
      </w:r>
    </w:p>
    <w:p w14:paraId="73853714" w14:textId="30A278F1" w:rsidR="00CC5F52" w:rsidRDefault="00CC5F52" w:rsidP="00DF0BBA">
      <w:pPr>
        <w:pStyle w:val="CLDBulletList"/>
        <w:jc w:val="left"/>
        <w:rPr>
          <w:color w:val="auto"/>
        </w:rPr>
      </w:pPr>
      <w:r w:rsidRPr="7BB8B2CC">
        <w:rPr>
          <w:color w:val="auto"/>
        </w:rPr>
        <w:t>mannitol</w:t>
      </w:r>
      <w:r w:rsidR="00F71841" w:rsidRPr="7BB8B2CC">
        <w:rPr>
          <w:color w:val="auto"/>
        </w:rPr>
        <w:t xml:space="preserve"> (E421)</w:t>
      </w:r>
    </w:p>
    <w:p w14:paraId="43C2EEEB" w14:textId="56AAFF7C" w:rsidR="00CC5F52" w:rsidRPr="006B1E07" w:rsidRDefault="00CC5F52" w:rsidP="00DF0BBA">
      <w:pPr>
        <w:pStyle w:val="CLDBulletList"/>
        <w:jc w:val="left"/>
        <w:rPr>
          <w:color w:val="auto"/>
        </w:rPr>
      </w:pPr>
      <w:r w:rsidRPr="7BB8B2CC">
        <w:rPr>
          <w:color w:val="auto"/>
        </w:rPr>
        <w:t>mint flavour</w:t>
      </w:r>
    </w:p>
    <w:p w14:paraId="5B9C4C56" w14:textId="1D49ABDC" w:rsidR="00902136" w:rsidRPr="003947BB" w:rsidRDefault="00CC5F52" w:rsidP="00DF0BBA">
      <w:pPr>
        <w:pStyle w:val="CLDBulletList"/>
        <w:jc w:val="left"/>
        <w:rPr>
          <w:color w:val="auto"/>
        </w:rPr>
      </w:pPr>
      <w:r w:rsidRPr="7BB8B2CC">
        <w:rPr>
          <w:color w:val="auto"/>
        </w:rPr>
        <w:t>sucralose</w:t>
      </w:r>
    </w:p>
    <w:p w14:paraId="16296AB1" w14:textId="5C511AFD" w:rsidR="00830B98" w:rsidRPr="00F72801" w:rsidRDefault="002B1AAB" w:rsidP="00DF0BBA">
      <w:pPr>
        <w:pStyle w:val="CLDHeading2"/>
      </w:pPr>
      <w:r w:rsidRPr="001A0577">
        <w:t>6.2</w:t>
      </w:r>
      <w:r w:rsidRPr="001A0577">
        <w:tab/>
      </w:r>
      <w:r w:rsidR="003556AB" w:rsidRPr="001A0577">
        <w:t>Incompatibilities</w:t>
      </w:r>
    </w:p>
    <w:p w14:paraId="281CB733" w14:textId="17339602" w:rsidR="00037411" w:rsidRDefault="008C064F" w:rsidP="00DF0BBA">
      <w:pPr>
        <w:pStyle w:val="CLDNormal"/>
        <w:jc w:val="left"/>
      </w:pPr>
      <w:r w:rsidRPr="00037411">
        <w:t>Incompatibilities were either not assessed or not identified as part of the registration of this medicine.</w:t>
      </w:r>
    </w:p>
    <w:p w14:paraId="6E334698" w14:textId="0883E3F7" w:rsidR="00830B98" w:rsidRPr="001A0577" w:rsidRDefault="002B1AAB" w:rsidP="00DF0BBA">
      <w:pPr>
        <w:pStyle w:val="CLDHeading2"/>
      </w:pPr>
      <w:r w:rsidRPr="001A0577">
        <w:t>6.3</w:t>
      </w:r>
      <w:r w:rsidRPr="001A0577">
        <w:tab/>
      </w:r>
      <w:r w:rsidR="003556AB" w:rsidRPr="001A0577">
        <w:t>Shelf life</w:t>
      </w:r>
    </w:p>
    <w:p w14:paraId="16B934A1" w14:textId="1432E3A7" w:rsidR="00AD3674" w:rsidRPr="001D2530" w:rsidRDefault="00902136" w:rsidP="00DF0BBA">
      <w:pPr>
        <w:pStyle w:val="CLDNormal"/>
        <w:jc w:val="left"/>
        <w:rPr>
          <w:i/>
          <w:iCs/>
          <w:color w:val="FF0000"/>
        </w:rPr>
      </w:pPr>
      <w:r w:rsidRPr="00902136">
        <w:t xml:space="preserve">In Australia, information on the shelf life can be found on the public summary of the Australian Register of Therapeutic Goods (ARTG). </w:t>
      </w:r>
      <w:r w:rsidR="00916F9D">
        <w:t xml:space="preserve"> </w:t>
      </w:r>
      <w:r w:rsidRPr="00902136">
        <w:t>The expiry date can be found on the packaging.</w:t>
      </w:r>
    </w:p>
    <w:p w14:paraId="5A24C90C" w14:textId="30CDF2B5" w:rsidR="003556AB" w:rsidRPr="001A0577" w:rsidRDefault="002B1AAB" w:rsidP="00DF0BBA">
      <w:pPr>
        <w:pStyle w:val="CLDHeading2"/>
      </w:pPr>
      <w:r w:rsidRPr="001A0577">
        <w:t>6.4</w:t>
      </w:r>
      <w:r w:rsidRPr="001A0577">
        <w:tab/>
      </w:r>
      <w:r w:rsidR="00003485" w:rsidRPr="001A0577">
        <w:t>Special precautions for s</w:t>
      </w:r>
      <w:r w:rsidR="003556AB" w:rsidRPr="001A0577">
        <w:t>torage</w:t>
      </w:r>
    </w:p>
    <w:p w14:paraId="0379A7E2" w14:textId="3F482203" w:rsidR="003556AB" w:rsidRPr="002C0516" w:rsidRDefault="00853148" w:rsidP="00DF0BBA">
      <w:pPr>
        <w:pStyle w:val="CLDNormal"/>
        <w:jc w:val="left"/>
        <w:rPr>
          <w:color w:val="7030A0"/>
        </w:rPr>
      </w:pPr>
      <w:r>
        <w:t xml:space="preserve">Store below 30°C. </w:t>
      </w:r>
      <w:r w:rsidR="00916F9D">
        <w:t xml:space="preserve"> </w:t>
      </w:r>
      <w:r>
        <w:t>Keep in the original packaging to protect from moisture.</w:t>
      </w:r>
    </w:p>
    <w:p w14:paraId="6D2A39A7" w14:textId="4693AC3B" w:rsidR="003556AB" w:rsidRPr="00F72801" w:rsidRDefault="00E34962" w:rsidP="00DF0BBA">
      <w:pPr>
        <w:pStyle w:val="CLDHeading2"/>
      </w:pPr>
      <w:r w:rsidRPr="001A0577">
        <w:t>6.5</w:t>
      </w:r>
      <w:r w:rsidRPr="001A0577">
        <w:tab/>
      </w:r>
      <w:r w:rsidR="00003485" w:rsidRPr="001A0577">
        <w:t>Nature and contents of c</w:t>
      </w:r>
      <w:r w:rsidR="003556AB" w:rsidRPr="001A0577">
        <w:t>ontainer</w:t>
      </w:r>
    </w:p>
    <w:p w14:paraId="5EE49A22" w14:textId="738991DC" w:rsidR="00D87270" w:rsidRDefault="00101BD6" w:rsidP="00DF0BBA">
      <w:pPr>
        <w:pStyle w:val="CLDNormal"/>
        <w:jc w:val="left"/>
      </w:pPr>
      <w:r>
        <w:t>Blisters made of polyvinyl chloride (PVC), oriented polyamide (OPA) and aluminium foil and sealed with a peelable aluminium foil.</w:t>
      </w:r>
    </w:p>
    <w:p w14:paraId="4C9C306C" w14:textId="0A3C9E81" w:rsidR="00D87270" w:rsidRDefault="009D4D6C" w:rsidP="00DF0BBA">
      <w:pPr>
        <w:pStyle w:val="CLDNormal"/>
        <w:jc w:val="left"/>
        <w:rPr>
          <w:i/>
          <w:iCs/>
          <w:color w:val="FF0000"/>
        </w:rPr>
      </w:pPr>
      <w:r>
        <w:t>Available in blister packs of 2</w:t>
      </w:r>
      <w:r w:rsidR="00821C6D">
        <w:t>, 4, 8</w:t>
      </w:r>
      <w:r>
        <w:t xml:space="preserve"> or 16 orally disintegrating tablets.</w:t>
      </w:r>
    </w:p>
    <w:p w14:paraId="5586C40B" w14:textId="224882B7" w:rsidR="00E34962" w:rsidRDefault="00E34962" w:rsidP="00DF0BBA">
      <w:pPr>
        <w:pStyle w:val="CLDNormal"/>
        <w:jc w:val="left"/>
      </w:pPr>
      <w:r w:rsidRPr="00E34962">
        <w:t>Not all pack sizes may be marketed.</w:t>
      </w:r>
    </w:p>
    <w:p w14:paraId="2E1BBC74" w14:textId="6791D60F" w:rsidR="003556AB" w:rsidRPr="00F72801" w:rsidRDefault="00E34962" w:rsidP="00DF0BBA">
      <w:pPr>
        <w:pStyle w:val="CLDHeading2"/>
      </w:pPr>
      <w:r w:rsidRPr="001A0577">
        <w:lastRenderedPageBreak/>
        <w:t>6.6</w:t>
      </w:r>
      <w:r w:rsidRPr="001A0577">
        <w:tab/>
      </w:r>
      <w:r w:rsidR="00003485" w:rsidRPr="001A0577">
        <w:t>Special precautions for d</w:t>
      </w:r>
      <w:r w:rsidR="003556AB" w:rsidRPr="001A0577">
        <w:t>isposal</w:t>
      </w:r>
    </w:p>
    <w:p w14:paraId="7C76A85C" w14:textId="31CD0580" w:rsidR="00EF15DF" w:rsidRPr="00EF15DF" w:rsidRDefault="00902136" w:rsidP="00DF0BBA">
      <w:pPr>
        <w:pStyle w:val="CLDNormal"/>
        <w:jc w:val="left"/>
      </w:pPr>
      <w:r w:rsidRPr="00902136">
        <w:t>In Australia, any unused medicine or waste material should be disposed of by taking to your local pharmacy</w:t>
      </w:r>
      <w:r w:rsidR="00734C07">
        <w:t>.</w:t>
      </w:r>
    </w:p>
    <w:p w14:paraId="6F25C9E7" w14:textId="2F4ADD29" w:rsidR="00902136" w:rsidRPr="00F72801" w:rsidRDefault="00003485" w:rsidP="00DF0BBA">
      <w:pPr>
        <w:pStyle w:val="CLDHeading2"/>
      </w:pPr>
      <w:r w:rsidRPr="001A0577">
        <w:t>6.7</w:t>
      </w:r>
      <w:r w:rsidRPr="001A0577">
        <w:tab/>
        <w:t>Physicochemical p</w:t>
      </w:r>
      <w:r w:rsidR="00902136" w:rsidRPr="001A0577">
        <w:t>roperties</w:t>
      </w:r>
    </w:p>
    <w:p w14:paraId="17BFA61F" w14:textId="308AB541" w:rsidR="00902136" w:rsidRPr="00F72801" w:rsidRDefault="00902136" w:rsidP="00DF0BBA">
      <w:pPr>
        <w:pStyle w:val="CLDHeading3"/>
        <w:numPr>
          <w:ilvl w:val="0"/>
          <w:numId w:val="0"/>
        </w:numPr>
      </w:pPr>
      <w:r>
        <w:t>Chemical structure</w:t>
      </w:r>
    </w:p>
    <w:p w14:paraId="2E54A8D6" w14:textId="7B0F5837" w:rsidR="00EF15DF" w:rsidRDefault="00916F9D" w:rsidP="00DF0BBA">
      <w:pPr>
        <w:pStyle w:val="CLDFigure"/>
      </w:pPr>
      <w:r>
        <w:rPr>
          <w:noProof/>
        </w:rPr>
        <w:drawing>
          <wp:inline distT="0" distB="0" distL="0" distR="0" wp14:anchorId="17808019" wp14:editId="3CF6CC82">
            <wp:extent cx="2189638" cy="133985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9">
                      <a:extLst>
                        <a:ext uri="{28A0092B-C50C-407E-A947-70E740481C1C}">
                          <a14:useLocalDpi xmlns:a14="http://schemas.microsoft.com/office/drawing/2010/main" val="0"/>
                        </a:ext>
                      </a:extLst>
                    </a:blip>
                    <a:stretch>
                      <a:fillRect/>
                    </a:stretch>
                  </pic:blipFill>
                  <pic:spPr>
                    <a:xfrm>
                      <a:off x="0" y="0"/>
                      <a:ext cx="2189638" cy="1339850"/>
                    </a:xfrm>
                    <a:prstGeom prst="rect">
                      <a:avLst/>
                    </a:prstGeom>
                  </pic:spPr>
                </pic:pic>
              </a:graphicData>
            </a:graphic>
          </wp:inline>
        </w:drawing>
      </w:r>
    </w:p>
    <w:p w14:paraId="5D1B9535" w14:textId="5FCB2168" w:rsidR="00902136" w:rsidRDefault="00902136" w:rsidP="00DF0BBA">
      <w:pPr>
        <w:pStyle w:val="CLDHeading3"/>
        <w:numPr>
          <w:ilvl w:val="0"/>
          <w:numId w:val="0"/>
        </w:numPr>
      </w:pPr>
      <w:r>
        <w:t>CAS number</w:t>
      </w:r>
    </w:p>
    <w:p w14:paraId="0637EAF9" w14:textId="1086AD83" w:rsidR="00EF15DF" w:rsidRDefault="00E30FCC" w:rsidP="00DF0BBA">
      <w:pPr>
        <w:pStyle w:val="CLDNormal"/>
        <w:jc w:val="left"/>
        <w:rPr>
          <w:i/>
          <w:iCs/>
          <w:color w:val="FF0000"/>
        </w:rPr>
      </w:pPr>
      <w:r>
        <w:t>1289023-67-1</w:t>
      </w:r>
    </w:p>
    <w:p w14:paraId="2A3E13CC" w14:textId="325D28B5" w:rsidR="00EB4D43" w:rsidRPr="001A0577" w:rsidRDefault="00E34962" w:rsidP="00DF0BBA">
      <w:pPr>
        <w:pStyle w:val="CLDHeading1"/>
        <w:jc w:val="left"/>
      </w:pPr>
      <w:r w:rsidRPr="001A0577">
        <w:t>7.</w:t>
      </w:r>
      <w:r w:rsidRPr="001A0577">
        <w:tab/>
      </w:r>
      <w:r w:rsidR="0018348D" w:rsidRPr="001A0577">
        <w:t>MEDICINE SCHEDULE (POISONS STANDARD)</w:t>
      </w:r>
    </w:p>
    <w:p w14:paraId="141C2E4D" w14:textId="474FCC2B" w:rsidR="00E34962" w:rsidRPr="00EF15DF" w:rsidRDefault="00734C07" w:rsidP="00DF0BBA">
      <w:pPr>
        <w:pStyle w:val="CLDNormal"/>
        <w:jc w:val="left"/>
        <w:rPr>
          <w:color w:val="7030A0"/>
        </w:rPr>
      </w:pPr>
      <w:r>
        <w:t>Schedule 4</w:t>
      </w:r>
    </w:p>
    <w:p w14:paraId="182906C8" w14:textId="03A962C4" w:rsidR="00EB4D43" w:rsidRPr="001A0577" w:rsidRDefault="00E34962" w:rsidP="00DF0BBA">
      <w:pPr>
        <w:pStyle w:val="CLDHeading1"/>
        <w:jc w:val="left"/>
      </w:pPr>
      <w:r w:rsidRPr="001A0577">
        <w:t>8.</w:t>
      </w:r>
      <w:r w:rsidRPr="001A0577">
        <w:tab/>
      </w:r>
      <w:r w:rsidR="00FE40A4" w:rsidRPr="001A0577">
        <w:t>SPONSOR</w:t>
      </w:r>
    </w:p>
    <w:p w14:paraId="78F5F314" w14:textId="4F271808" w:rsidR="00EB4D43" w:rsidRPr="00F72801" w:rsidRDefault="00370447" w:rsidP="00DF0BBA">
      <w:pPr>
        <w:pStyle w:val="CLDTableTextListText"/>
        <w:rPr>
          <w:sz w:val="24"/>
        </w:rPr>
      </w:pPr>
      <w:r w:rsidRPr="00F72801">
        <w:rPr>
          <w:sz w:val="24"/>
        </w:rPr>
        <w:t>Pfizer Australia</w:t>
      </w:r>
      <w:r w:rsidR="00EB4D43" w:rsidRPr="00F72801">
        <w:rPr>
          <w:sz w:val="24"/>
        </w:rPr>
        <w:t xml:space="preserve"> </w:t>
      </w:r>
      <w:r w:rsidRPr="00F72801">
        <w:rPr>
          <w:sz w:val="24"/>
        </w:rPr>
        <w:t xml:space="preserve">Pty </w:t>
      </w:r>
      <w:r w:rsidR="00EB4D43" w:rsidRPr="00F72801">
        <w:rPr>
          <w:sz w:val="24"/>
        </w:rPr>
        <w:t>L</w:t>
      </w:r>
      <w:r w:rsidRPr="00F72801">
        <w:rPr>
          <w:sz w:val="24"/>
        </w:rPr>
        <w:t>t</w:t>
      </w:r>
      <w:r w:rsidR="00EB4D43" w:rsidRPr="00F72801">
        <w:rPr>
          <w:sz w:val="24"/>
        </w:rPr>
        <w:t>d</w:t>
      </w:r>
    </w:p>
    <w:p w14:paraId="0E7B50F6" w14:textId="564CFD19" w:rsidR="00370447" w:rsidRPr="00F72801" w:rsidRDefault="00C20DA8" w:rsidP="00DF0BBA">
      <w:pPr>
        <w:pStyle w:val="CLDTableTextListText"/>
        <w:rPr>
          <w:i/>
          <w:color w:val="FF0000"/>
          <w:sz w:val="24"/>
        </w:rPr>
      </w:pPr>
      <w:r w:rsidRPr="00F72801">
        <w:rPr>
          <w:sz w:val="24"/>
        </w:rPr>
        <w:t>Level 17, 151 Clarence Street</w:t>
      </w:r>
    </w:p>
    <w:p w14:paraId="2BDDA93D" w14:textId="3C49893B" w:rsidR="00370447" w:rsidRPr="00F72801" w:rsidRDefault="00C20DA8" w:rsidP="00DF0BBA">
      <w:pPr>
        <w:pStyle w:val="CLDTableTextListText"/>
        <w:rPr>
          <w:i/>
          <w:color w:val="FF0000"/>
          <w:sz w:val="24"/>
        </w:rPr>
      </w:pPr>
      <w:r w:rsidRPr="00F72801">
        <w:rPr>
          <w:sz w:val="24"/>
        </w:rPr>
        <w:t>SYDNEY</w:t>
      </w:r>
      <w:r w:rsidR="00370447" w:rsidRPr="00F72801">
        <w:rPr>
          <w:sz w:val="24"/>
        </w:rPr>
        <w:t xml:space="preserve"> NSW </w:t>
      </w:r>
      <w:r w:rsidRPr="00F72801">
        <w:rPr>
          <w:sz w:val="24"/>
        </w:rPr>
        <w:t>2000</w:t>
      </w:r>
    </w:p>
    <w:p w14:paraId="71B241A7" w14:textId="5F20B4F8" w:rsidR="00370447" w:rsidRPr="00F72801" w:rsidRDefault="00370447" w:rsidP="00DF0BBA">
      <w:pPr>
        <w:pStyle w:val="CLDTableTextListText"/>
        <w:rPr>
          <w:i/>
          <w:color w:val="FF0000"/>
          <w:sz w:val="24"/>
        </w:rPr>
      </w:pPr>
      <w:r w:rsidRPr="00F72801">
        <w:rPr>
          <w:sz w:val="24"/>
        </w:rPr>
        <w:t>Toll Free Number: 1800 675 229</w:t>
      </w:r>
    </w:p>
    <w:p w14:paraId="5E8DA238" w14:textId="5055A590" w:rsidR="00EB4D43" w:rsidRDefault="00370447" w:rsidP="00DF0BBA">
      <w:pPr>
        <w:pStyle w:val="CLDNormal"/>
        <w:jc w:val="left"/>
      </w:pPr>
      <w:r>
        <w:t>www.pfizer.com.au</w:t>
      </w:r>
    </w:p>
    <w:p w14:paraId="7A95369A" w14:textId="4358728E" w:rsidR="00EB4D43" w:rsidRPr="001A0577" w:rsidRDefault="00E34962" w:rsidP="00DF0BBA">
      <w:pPr>
        <w:pStyle w:val="CLDHeading1"/>
        <w:jc w:val="left"/>
      </w:pPr>
      <w:r w:rsidRPr="001A0577">
        <w:t>9.</w:t>
      </w:r>
      <w:r w:rsidRPr="001A0577">
        <w:tab/>
      </w:r>
      <w:r w:rsidR="0018348D" w:rsidRPr="001A0577">
        <w:t>DATE OF FIRST APPROVAL</w:t>
      </w:r>
    </w:p>
    <w:p w14:paraId="495CA03D" w14:textId="7147407B" w:rsidR="00EF15DF" w:rsidRPr="00C035A6" w:rsidRDefault="00184AEF" w:rsidP="00DF0BBA">
      <w:pPr>
        <w:pStyle w:val="CLDNormal"/>
        <w:jc w:val="left"/>
        <w:rPr>
          <w:i/>
          <w:iCs/>
          <w:color w:val="FF0000"/>
        </w:rPr>
      </w:pPr>
      <w:r>
        <w:t>27 July 2023</w:t>
      </w:r>
    </w:p>
    <w:p w14:paraId="13BF9ED8" w14:textId="277194F0" w:rsidR="003556AB" w:rsidRPr="001A0577" w:rsidRDefault="00E34962" w:rsidP="00DF0BBA">
      <w:pPr>
        <w:pStyle w:val="CLDHeading1"/>
        <w:jc w:val="left"/>
      </w:pPr>
      <w:r w:rsidRPr="001A0577">
        <w:t>10.</w:t>
      </w:r>
      <w:r w:rsidRPr="001A0577">
        <w:tab/>
      </w:r>
      <w:r w:rsidR="0018348D" w:rsidRPr="001A0577">
        <w:t>DATE OF REVISION</w:t>
      </w:r>
    </w:p>
    <w:p w14:paraId="1EFA72C9" w14:textId="729191F0" w:rsidR="00D87270" w:rsidRDefault="001421CE" w:rsidP="00DF0BBA">
      <w:pPr>
        <w:pStyle w:val="CLDNormal"/>
        <w:jc w:val="left"/>
      </w:pPr>
      <w:r>
        <w:t>Not applicable</w:t>
      </w:r>
      <w:r w:rsidR="00497994">
        <w:t>.</w:t>
      </w:r>
    </w:p>
    <w:p w14:paraId="7F0EEE96" w14:textId="6D0CEB71" w:rsidR="007401D1" w:rsidRDefault="007401D1" w:rsidP="00DF0BBA">
      <w:pPr>
        <w:pStyle w:val="CLDNormal"/>
        <w:jc w:val="left"/>
      </w:pPr>
      <w:r>
        <w:t>® Registered trademark</w:t>
      </w:r>
    </w:p>
    <w:p w14:paraId="48AFA4A4" w14:textId="2974A6D4" w:rsidR="009E6153" w:rsidRDefault="009E6153" w:rsidP="00DF0BBA">
      <w:pPr>
        <w:pStyle w:val="CLDNormal"/>
        <w:jc w:val="left"/>
      </w:pPr>
    </w:p>
    <w:sectPr w:rsidR="009E6153" w:rsidSect="00DF0BBA">
      <w:headerReference w:type="even" r:id="rId20"/>
      <w:headerReference w:type="default" r:id="rId21"/>
      <w:footerReference w:type="even" r:id="rId22"/>
      <w:footerReference w:type="default" r:id="rId23"/>
      <w:headerReference w:type="first" r:id="rId24"/>
      <w:type w:val="oddPage"/>
      <w:pgSz w:w="11907" w:h="16840" w:code="9"/>
      <w:pgMar w:top="1440" w:right="1440" w:bottom="1276" w:left="1440" w:header="567" w:footer="567" w:gutter="0"/>
      <w:cols w: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4B5A" w14:textId="77777777" w:rsidR="00B5524F" w:rsidRDefault="00B5524F">
      <w:r>
        <w:separator/>
      </w:r>
    </w:p>
    <w:p w14:paraId="796EA5F1" w14:textId="77777777" w:rsidR="00B5524F" w:rsidRDefault="00B5524F"/>
  </w:endnote>
  <w:endnote w:type="continuationSeparator" w:id="0">
    <w:p w14:paraId="6681B092" w14:textId="77777777" w:rsidR="00B5524F" w:rsidRDefault="00B5524F">
      <w:r>
        <w:continuationSeparator/>
      </w:r>
    </w:p>
    <w:p w14:paraId="185FAB8E" w14:textId="77777777" w:rsidR="00B5524F" w:rsidRDefault="00B5524F"/>
  </w:endnote>
  <w:endnote w:type="continuationNotice" w:id="1">
    <w:p w14:paraId="5D728D8C" w14:textId="77777777" w:rsidR="00B5524F" w:rsidRDefault="00B5524F"/>
    <w:p w14:paraId="0EAD2BD3" w14:textId="77777777" w:rsidR="00B5524F" w:rsidRDefault="00B55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Wingdings 3">
    <w:altName w:val="Symbol"/>
    <w:panose1 w:val="050401020108070707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1" w:usb1="09070000" w:usb2="00000010" w:usb3="00000000" w:csb0="000A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27056" w14:textId="77777777" w:rsidR="007703ED" w:rsidRPr="00054F74" w:rsidRDefault="007703ED" w:rsidP="00054F74">
    <w:r w:rsidRPr="00054F74">
      <w:t>Version: &lt;insert filename&gt;</w:t>
    </w:r>
    <w:r w:rsidRPr="00054F74">
      <w:tab/>
      <w:t>Supersedes: &lt;insert filename&gt;</w:t>
    </w:r>
  </w:p>
  <w:p w14:paraId="5A1C68F5" w14:textId="77777777" w:rsidR="007703ED" w:rsidRPr="00054F74" w:rsidRDefault="007703ED" w:rsidP="00054F74">
    <w:r w:rsidRPr="00054F74">
      <w:t>MOH Approved:</w:t>
    </w:r>
  </w:p>
  <w:p w14:paraId="3F1D6A69" w14:textId="7B30E1EA" w:rsidR="00D87270" w:rsidRDefault="007703ED" w:rsidP="00054F74">
    <w:r w:rsidRPr="00054F74">
      <w:t>Commercial/Non-Commercial</w:t>
    </w:r>
    <w:r w:rsidRPr="00054F74">
      <w:tab/>
      <w:t xml:space="preserve">Page </w:t>
    </w:r>
    <w:r>
      <w:fldChar w:fldCharType="begin"/>
    </w:r>
    <w:r>
      <w:instrText xml:space="preserve"> PAGE </w:instrText>
    </w:r>
    <w:r>
      <w:fldChar w:fldCharType="separate"/>
    </w:r>
    <w:r>
      <w:rPr>
        <w:noProof/>
      </w:rPr>
      <w:t>4</w:t>
    </w:r>
    <w:r>
      <w:fldChar w:fldCharType="end"/>
    </w:r>
    <w:r w:rsidRPr="00054F74">
      <w:t xml:space="preserve"> of </w:t>
    </w:r>
    <w:r>
      <w:fldChar w:fldCharType="begin"/>
    </w:r>
    <w:r>
      <w:instrText>NUMPAGES</w:instrText>
    </w:r>
    <w:r>
      <w:fldChar w:fldCharType="separate"/>
    </w:r>
    <w:r w:rsidR="008D6C52">
      <w:rPr>
        <w:noProof/>
      </w:rPr>
      <w:t>3</w:t>
    </w:r>
    <w:r>
      <w:fldChar w:fldCharType="end"/>
    </w:r>
  </w:p>
  <w:p w14:paraId="54854A42" w14:textId="77777777" w:rsidR="00F800AD" w:rsidRDefault="00F800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89DB" w14:textId="680E4F97" w:rsidR="007703ED" w:rsidRPr="00C531EF" w:rsidRDefault="007703ED" w:rsidP="00460035">
    <w:pPr>
      <w:pStyle w:val="CLDFooter"/>
    </w:pPr>
    <w:r w:rsidRPr="00C531EF">
      <w:t xml:space="preserve">Version: </w:t>
    </w:r>
    <w:r w:rsidR="00623905">
      <w:t>pfpnurtt</w:t>
    </w:r>
    <w:r w:rsidR="00184AEF">
      <w:t>1</w:t>
    </w:r>
    <w:r w:rsidR="00ED6671">
      <w:t>0</w:t>
    </w:r>
    <w:r w:rsidR="00ED6974">
      <w:t>7</w:t>
    </w:r>
    <w:r w:rsidR="00ED6671">
      <w:t>2</w:t>
    </w:r>
    <w:r w:rsidR="00B51EAC">
      <w:t>3</w:t>
    </w:r>
    <w:r w:rsidRPr="00C531EF">
      <w:tab/>
      <w:t xml:space="preserve">Supersedes: </w:t>
    </w:r>
    <w:r w:rsidR="00B91967">
      <w:t>N/A</w:t>
    </w:r>
  </w:p>
  <w:p w14:paraId="4C08CE12" w14:textId="3F5DD5BC" w:rsidR="00F800AD" w:rsidRDefault="007703ED" w:rsidP="00F66B7A">
    <w:pPr>
      <w:pStyle w:val="CLDFooter"/>
    </w:pPr>
    <w:r w:rsidRPr="00C531EF">
      <w:tab/>
      <w:t xml:space="preserve">Page </w:t>
    </w:r>
    <w:r>
      <w:fldChar w:fldCharType="begin"/>
    </w:r>
    <w:r>
      <w:instrText xml:space="preserve"> PAGE </w:instrText>
    </w:r>
    <w:r>
      <w:fldChar w:fldCharType="separate"/>
    </w:r>
    <w:r w:rsidR="00B20342">
      <w:rPr>
        <w:noProof/>
      </w:rPr>
      <w:t>10</w:t>
    </w:r>
    <w:r>
      <w:fldChar w:fldCharType="end"/>
    </w:r>
    <w:r w:rsidRPr="00C531EF">
      <w:t xml:space="preserve"> of </w:t>
    </w:r>
    <w:r>
      <w:fldChar w:fldCharType="begin"/>
    </w:r>
    <w:r>
      <w:instrText>NUMPAGES</w:instrText>
    </w:r>
    <w:r>
      <w:fldChar w:fldCharType="separate"/>
    </w:r>
    <w:r w:rsidR="00B20342">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D3ABB" w14:textId="77777777" w:rsidR="00B5524F" w:rsidRDefault="00B5524F">
      <w:r>
        <w:separator/>
      </w:r>
    </w:p>
    <w:p w14:paraId="78030494" w14:textId="77777777" w:rsidR="00B5524F" w:rsidRDefault="00B5524F"/>
  </w:footnote>
  <w:footnote w:type="continuationSeparator" w:id="0">
    <w:p w14:paraId="1C6D21B6" w14:textId="77777777" w:rsidR="00B5524F" w:rsidRDefault="00B5524F">
      <w:r>
        <w:continuationSeparator/>
      </w:r>
    </w:p>
    <w:p w14:paraId="21B2FB04" w14:textId="77777777" w:rsidR="00B5524F" w:rsidRDefault="00B5524F"/>
  </w:footnote>
  <w:footnote w:type="continuationNotice" w:id="1">
    <w:p w14:paraId="4908C9C4" w14:textId="77777777" w:rsidR="00B5524F" w:rsidRDefault="00B5524F"/>
    <w:p w14:paraId="71314888" w14:textId="77777777" w:rsidR="00B5524F" w:rsidRDefault="00B552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7697" w14:textId="77777777" w:rsidR="007703ED" w:rsidRDefault="007703ED"/>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7703ED" w14:paraId="276DC0F1" w14:textId="77777777" w:rsidTr="7BB8B2CC">
      <w:tc>
        <w:tcPr>
          <w:tcW w:w="9855" w:type="dxa"/>
          <w:gridSpan w:val="6"/>
          <w:shd w:val="clear" w:color="auto" w:fill="E6E6E6"/>
        </w:tcPr>
        <w:p w14:paraId="3BEA528D" w14:textId="77777777" w:rsidR="007703ED" w:rsidRPr="00EB4D43" w:rsidRDefault="7BB8B2CC" w:rsidP="003230DB">
          <w:pPr>
            <w:pStyle w:val="Heading3"/>
            <w:spacing w:before="0"/>
            <w:jc w:val="center"/>
            <w:rPr>
              <w:rFonts w:ascii="Arial" w:hAnsi="Arial"/>
              <w:sz w:val="20"/>
            </w:rPr>
          </w:pPr>
          <w:r>
            <w:rPr>
              <w:noProof/>
            </w:rPr>
            <w:drawing>
              <wp:inline distT="0" distB="0" distL="0" distR="0" wp14:anchorId="76E2EBCC" wp14:editId="242746B1">
                <wp:extent cx="422910" cy="2527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2910" cy="252730"/>
                        </a:xfrm>
                        <a:prstGeom prst="rect">
                          <a:avLst/>
                        </a:prstGeom>
                      </pic:spPr>
                    </pic:pic>
                  </a:graphicData>
                </a:graphic>
              </wp:inline>
            </w:drawing>
          </w:r>
          <w:r w:rsidRPr="7BB8B2CC">
            <w:rPr>
              <w:rFonts w:ascii="Arial" w:hAnsi="Arial"/>
            </w:rPr>
            <w:t xml:space="preserve"> AUSTRALIAN WORKING PRACTICE GUIDELINE</w:t>
          </w:r>
        </w:p>
      </w:tc>
    </w:tr>
    <w:tr w:rsidR="007703ED" w14:paraId="541159C2" w14:textId="77777777" w:rsidTr="7BB8B2CC">
      <w:tc>
        <w:tcPr>
          <w:tcW w:w="1410" w:type="dxa"/>
          <w:shd w:val="clear" w:color="auto" w:fill="E6E6E6"/>
        </w:tcPr>
        <w:p w14:paraId="388FAF99" w14:textId="77777777" w:rsidR="007703ED" w:rsidRPr="00EB4D43" w:rsidRDefault="7BB8B2CC" w:rsidP="003230DB">
          <w:pPr>
            <w:pStyle w:val="Heading3"/>
            <w:rPr>
              <w:rFonts w:ascii="Arial" w:hAnsi="Arial"/>
              <w:sz w:val="18"/>
            </w:rPr>
          </w:pPr>
          <w:r w:rsidRPr="7BB8B2CC">
            <w:rPr>
              <w:rFonts w:ascii="Arial" w:hAnsi="Arial"/>
              <w:sz w:val="18"/>
              <w:szCs w:val="18"/>
            </w:rPr>
            <w:t>Title</w:t>
          </w:r>
        </w:p>
      </w:tc>
      <w:tc>
        <w:tcPr>
          <w:tcW w:w="8445" w:type="dxa"/>
          <w:gridSpan w:val="5"/>
          <w:shd w:val="clear" w:color="auto" w:fill="FFFFFF" w:themeFill="background1"/>
        </w:tcPr>
        <w:p w14:paraId="7B505672" w14:textId="77777777" w:rsidR="007703ED" w:rsidRPr="00EB4D43" w:rsidRDefault="007703ED" w:rsidP="00343757">
          <w:pPr>
            <w:pStyle w:val="Heading1"/>
            <w:rPr>
              <w:rFonts w:ascii="Arial" w:hAnsi="Arial"/>
              <w:sz w:val="22"/>
            </w:rPr>
          </w:pPr>
          <w:r w:rsidRPr="00EB4D43">
            <w:rPr>
              <w:rFonts w:ascii="Arial" w:hAnsi="Arial"/>
              <w:sz w:val="22"/>
            </w:rPr>
            <w:t>Preparation of local product documents (lpd) and implemenTation dates in new zealand</w:t>
          </w:r>
        </w:p>
      </w:tc>
    </w:tr>
    <w:tr w:rsidR="007703ED" w14:paraId="3E95FF29" w14:textId="77777777" w:rsidTr="7BB8B2CC">
      <w:tc>
        <w:tcPr>
          <w:tcW w:w="1410" w:type="dxa"/>
          <w:shd w:val="clear" w:color="auto" w:fill="E6E6E6"/>
        </w:tcPr>
        <w:p w14:paraId="38AD5B8B" w14:textId="77777777" w:rsidR="007703ED" w:rsidRPr="00EB4D43" w:rsidRDefault="7BB8B2CC" w:rsidP="003230DB">
          <w:pPr>
            <w:pStyle w:val="Heading3"/>
            <w:rPr>
              <w:rFonts w:ascii="Arial" w:hAnsi="Arial"/>
              <w:sz w:val="18"/>
            </w:rPr>
          </w:pPr>
          <w:r w:rsidRPr="7BB8B2CC">
            <w:rPr>
              <w:rFonts w:ascii="Arial" w:hAnsi="Arial"/>
              <w:sz w:val="18"/>
              <w:szCs w:val="18"/>
            </w:rPr>
            <w:t>Identifier</w:t>
          </w:r>
        </w:p>
      </w:tc>
      <w:tc>
        <w:tcPr>
          <w:tcW w:w="3225" w:type="dxa"/>
          <w:shd w:val="clear" w:color="auto" w:fill="FFFFFF" w:themeFill="background1"/>
        </w:tcPr>
        <w:p w14:paraId="6D9DA4D5" w14:textId="77777777" w:rsidR="007703ED" w:rsidRPr="00EB4D43" w:rsidRDefault="007703ED" w:rsidP="00343757">
          <w:pPr>
            <w:pStyle w:val="Heading1"/>
            <w:keepNext w:val="0"/>
            <w:rPr>
              <w:rFonts w:ascii="Arial" w:hAnsi="Arial"/>
              <w:sz w:val="20"/>
            </w:rPr>
          </w:pPr>
          <w:r>
            <w:rPr>
              <w:rFonts w:ascii="Arial" w:hAnsi="Arial"/>
              <w:sz w:val="20"/>
            </w:rPr>
            <w:t>WPG-RA-30-01</w:t>
          </w:r>
        </w:p>
      </w:tc>
      <w:tc>
        <w:tcPr>
          <w:tcW w:w="1468" w:type="dxa"/>
          <w:shd w:val="clear" w:color="auto" w:fill="E6E6E6"/>
        </w:tcPr>
        <w:p w14:paraId="53C96834" w14:textId="77777777" w:rsidR="007703ED" w:rsidRPr="00EB4D43" w:rsidRDefault="7BB8B2CC" w:rsidP="003230DB">
          <w:pPr>
            <w:pStyle w:val="Heading3"/>
            <w:rPr>
              <w:rFonts w:ascii="Arial" w:hAnsi="Arial"/>
              <w:sz w:val="18"/>
            </w:rPr>
          </w:pPr>
          <w:r w:rsidRPr="7BB8B2CC">
            <w:rPr>
              <w:rFonts w:ascii="Arial" w:hAnsi="Arial"/>
              <w:sz w:val="18"/>
              <w:szCs w:val="18"/>
            </w:rPr>
            <w:t>Effective Date</w:t>
          </w:r>
        </w:p>
      </w:tc>
      <w:tc>
        <w:tcPr>
          <w:tcW w:w="1966" w:type="dxa"/>
        </w:tcPr>
        <w:p w14:paraId="70AF7139" w14:textId="77777777" w:rsidR="007703ED" w:rsidRPr="00EB4D43" w:rsidRDefault="7BB8B2CC" w:rsidP="003230DB">
          <w:pPr>
            <w:pStyle w:val="Heading3"/>
            <w:rPr>
              <w:rFonts w:ascii="Arial" w:hAnsi="Arial"/>
              <w:sz w:val="20"/>
            </w:rPr>
          </w:pPr>
          <w:r w:rsidRPr="7BB8B2CC">
            <w:rPr>
              <w:rFonts w:ascii="Arial" w:hAnsi="Arial"/>
              <w:sz w:val="20"/>
              <w:szCs w:val="20"/>
            </w:rPr>
            <w:t>01 May 2009</w:t>
          </w:r>
        </w:p>
      </w:tc>
      <w:tc>
        <w:tcPr>
          <w:tcW w:w="734" w:type="dxa"/>
          <w:tcBorders>
            <w:bottom w:val="single" w:sz="4" w:space="0" w:color="auto"/>
          </w:tcBorders>
          <w:shd w:val="clear" w:color="auto" w:fill="E6E6E6"/>
        </w:tcPr>
        <w:p w14:paraId="15978BD9" w14:textId="77777777" w:rsidR="007703ED" w:rsidRPr="00EB4D43" w:rsidRDefault="7BB8B2CC" w:rsidP="003230DB">
          <w:pPr>
            <w:pStyle w:val="Heading3"/>
            <w:rPr>
              <w:rFonts w:ascii="Arial" w:hAnsi="Arial"/>
              <w:sz w:val="20"/>
            </w:rPr>
          </w:pPr>
          <w:r w:rsidRPr="7BB8B2CC">
            <w:rPr>
              <w:rFonts w:ascii="Arial" w:hAnsi="Arial"/>
              <w:sz w:val="20"/>
              <w:szCs w:val="20"/>
            </w:rPr>
            <w:t>Page</w:t>
          </w:r>
        </w:p>
      </w:tc>
      <w:tc>
        <w:tcPr>
          <w:tcW w:w="1052" w:type="dxa"/>
          <w:tcBorders>
            <w:bottom w:val="single" w:sz="4" w:space="0" w:color="auto"/>
          </w:tcBorders>
        </w:tcPr>
        <w:p w14:paraId="71DCCC49" w14:textId="77777777" w:rsidR="007703ED" w:rsidRPr="00EB4D43" w:rsidRDefault="007703ED" w:rsidP="003230DB">
          <w:pPr>
            <w:pStyle w:val="Heading3"/>
            <w:rPr>
              <w:rFonts w:ascii="Arial" w:hAnsi="Arial"/>
              <w:sz w:val="20"/>
            </w:rPr>
          </w:pPr>
          <w:r w:rsidRPr="00EB4D43">
            <w:rPr>
              <w:rFonts w:ascii="Arial" w:hAnsi="Arial"/>
              <w:b w:val="0"/>
              <w:sz w:val="18"/>
              <w:szCs w:val="18"/>
            </w:rPr>
            <w:fldChar w:fldCharType="begin"/>
          </w:r>
          <w:r w:rsidRPr="00EB4D43">
            <w:rPr>
              <w:rFonts w:ascii="Arial" w:hAnsi="Arial"/>
              <w:b w:val="0"/>
              <w:sz w:val="18"/>
              <w:szCs w:val="18"/>
            </w:rPr>
            <w:instrText xml:space="preserve"> PAGE </w:instrText>
          </w:r>
          <w:r w:rsidRPr="00EB4D43">
            <w:rPr>
              <w:rFonts w:ascii="Arial" w:hAnsi="Arial"/>
              <w:b w:val="0"/>
              <w:sz w:val="18"/>
              <w:szCs w:val="18"/>
            </w:rPr>
            <w:fldChar w:fldCharType="separate"/>
          </w:r>
          <w:r w:rsidR="7BB8B2CC">
            <w:rPr>
              <w:rFonts w:ascii="Arial" w:hAnsi="Arial"/>
              <w:b w:val="0"/>
              <w:sz w:val="18"/>
              <w:szCs w:val="18"/>
            </w:rPr>
            <w:t>4</w:t>
          </w:r>
          <w:r w:rsidRPr="00EB4D43">
            <w:rPr>
              <w:rFonts w:ascii="Arial" w:hAnsi="Arial"/>
              <w:b w:val="0"/>
              <w:sz w:val="18"/>
              <w:szCs w:val="18"/>
            </w:rPr>
            <w:fldChar w:fldCharType="end"/>
          </w:r>
          <w:r w:rsidR="7BB8B2CC" w:rsidRPr="22E87DB7">
            <w:rPr>
              <w:rFonts w:ascii="Arial" w:hAnsi="Arial"/>
              <w:b w:val="0"/>
              <w:snapToGrid w:val="0"/>
              <w:sz w:val="20"/>
              <w:szCs w:val="20"/>
            </w:rPr>
            <w:t xml:space="preserve"> of</w:t>
          </w:r>
          <w:r w:rsidR="7BB8B2CC" w:rsidRPr="22E87DB7">
            <w:rPr>
              <w:rFonts w:ascii="Arial" w:hAnsi="Arial"/>
              <w:snapToGrid w:val="0"/>
              <w:sz w:val="20"/>
              <w:szCs w:val="20"/>
            </w:rPr>
            <w:t xml:space="preserve"> </w:t>
          </w:r>
          <w:r w:rsidRPr="22E87DB7">
            <w:rPr>
              <w:rFonts w:ascii="Arial" w:hAnsi="Arial"/>
              <w:b w:val="0"/>
              <w:sz w:val="20"/>
              <w:szCs w:val="20"/>
            </w:rPr>
            <w:fldChar w:fldCharType="begin"/>
          </w:r>
          <w:r w:rsidRPr="22E87DB7">
            <w:rPr>
              <w:rFonts w:ascii="Arial" w:hAnsi="Arial"/>
              <w:b w:val="0"/>
              <w:sz w:val="20"/>
              <w:szCs w:val="20"/>
            </w:rPr>
            <w:instrText xml:space="preserve"> NUMPAGES </w:instrText>
          </w:r>
          <w:r w:rsidRPr="22E87DB7">
            <w:rPr>
              <w:rFonts w:ascii="Arial" w:hAnsi="Arial"/>
              <w:b w:val="0"/>
              <w:sz w:val="20"/>
              <w:szCs w:val="20"/>
            </w:rPr>
            <w:fldChar w:fldCharType="separate"/>
          </w:r>
          <w:r w:rsidR="7BB8B2CC" w:rsidRPr="22E87DB7">
            <w:rPr>
              <w:rFonts w:ascii="Arial" w:hAnsi="Arial"/>
              <w:b w:val="0"/>
              <w:sz w:val="20"/>
              <w:szCs w:val="20"/>
            </w:rPr>
            <w:t>3</w:t>
          </w:r>
          <w:r w:rsidRPr="22E87DB7">
            <w:rPr>
              <w:rFonts w:ascii="Arial" w:hAnsi="Arial"/>
              <w:b w:val="0"/>
              <w:sz w:val="20"/>
              <w:szCs w:val="20"/>
            </w:rPr>
            <w:fldChar w:fldCharType="end"/>
          </w:r>
        </w:p>
      </w:tc>
    </w:tr>
    <w:tr w:rsidR="007703ED" w14:paraId="460E402B" w14:textId="77777777" w:rsidTr="7BB8B2CC">
      <w:trPr>
        <w:cantSplit/>
      </w:trPr>
      <w:tc>
        <w:tcPr>
          <w:tcW w:w="1410" w:type="dxa"/>
          <w:shd w:val="clear" w:color="auto" w:fill="E6E6E6"/>
        </w:tcPr>
        <w:p w14:paraId="1B6A9E70" w14:textId="77777777" w:rsidR="007703ED" w:rsidRPr="00EB4D43" w:rsidRDefault="7BB8B2CC" w:rsidP="003230DB">
          <w:pPr>
            <w:pStyle w:val="Heading3"/>
            <w:rPr>
              <w:rFonts w:ascii="Arial" w:hAnsi="Arial"/>
              <w:sz w:val="18"/>
            </w:rPr>
          </w:pPr>
          <w:r w:rsidRPr="7BB8B2CC">
            <w:rPr>
              <w:rFonts w:ascii="Arial" w:hAnsi="Arial"/>
              <w:sz w:val="18"/>
              <w:szCs w:val="18"/>
            </w:rPr>
            <w:t>Supersedes</w:t>
          </w:r>
        </w:p>
      </w:tc>
      <w:tc>
        <w:tcPr>
          <w:tcW w:w="3225" w:type="dxa"/>
          <w:shd w:val="clear" w:color="auto" w:fill="FFFFFF" w:themeFill="background1"/>
        </w:tcPr>
        <w:p w14:paraId="644D00A8" w14:textId="77777777" w:rsidR="007703ED" w:rsidRPr="00EB4D43" w:rsidRDefault="007703ED" w:rsidP="00343757">
          <w:pPr>
            <w:pStyle w:val="Heading1"/>
            <w:keepNext w:val="0"/>
            <w:rPr>
              <w:rFonts w:ascii="Arial" w:hAnsi="Arial"/>
              <w:sz w:val="20"/>
            </w:rPr>
          </w:pPr>
          <w:r w:rsidRPr="00EB4D43">
            <w:rPr>
              <w:rFonts w:ascii="Arial" w:hAnsi="Arial"/>
              <w:sz w:val="20"/>
            </w:rPr>
            <w:t>N/A</w:t>
          </w:r>
        </w:p>
      </w:tc>
      <w:tc>
        <w:tcPr>
          <w:tcW w:w="1468" w:type="dxa"/>
          <w:shd w:val="clear" w:color="auto" w:fill="E6E6E6"/>
        </w:tcPr>
        <w:p w14:paraId="791F224A" w14:textId="77777777" w:rsidR="007703ED" w:rsidRPr="00EB4D43" w:rsidRDefault="7BB8B2CC" w:rsidP="003230DB">
          <w:pPr>
            <w:pStyle w:val="Heading3"/>
            <w:rPr>
              <w:rFonts w:ascii="Arial" w:hAnsi="Arial"/>
              <w:sz w:val="18"/>
            </w:rPr>
          </w:pPr>
          <w:r w:rsidRPr="7BB8B2CC">
            <w:rPr>
              <w:rFonts w:ascii="Arial" w:hAnsi="Arial"/>
              <w:sz w:val="18"/>
              <w:szCs w:val="18"/>
            </w:rPr>
            <w:t>Effective Date</w:t>
          </w:r>
        </w:p>
      </w:tc>
      <w:tc>
        <w:tcPr>
          <w:tcW w:w="1966" w:type="dxa"/>
        </w:tcPr>
        <w:p w14:paraId="3A737B5A" w14:textId="77777777" w:rsidR="007703ED" w:rsidRPr="00EB4D43" w:rsidRDefault="007703ED" w:rsidP="003230DB">
          <w:pPr>
            <w:pStyle w:val="Heading3"/>
            <w:rPr>
              <w:rFonts w:ascii="Arial" w:hAnsi="Arial"/>
              <w:sz w:val="20"/>
            </w:rPr>
          </w:pPr>
        </w:p>
      </w:tc>
      <w:tc>
        <w:tcPr>
          <w:tcW w:w="1786" w:type="dxa"/>
          <w:gridSpan w:val="2"/>
          <w:shd w:val="clear" w:color="auto" w:fill="E6E6E6"/>
        </w:tcPr>
        <w:p w14:paraId="7B4FF8F1" w14:textId="77777777" w:rsidR="007703ED" w:rsidRPr="00EB4D43" w:rsidRDefault="007703ED" w:rsidP="003230DB">
          <w:pPr>
            <w:pStyle w:val="Heading3"/>
            <w:rPr>
              <w:rFonts w:ascii="Arial" w:hAnsi="Arial"/>
              <w:snapToGrid w:val="0"/>
              <w:sz w:val="20"/>
            </w:rPr>
          </w:pPr>
        </w:p>
      </w:tc>
    </w:tr>
  </w:tbl>
  <w:p w14:paraId="32749FA6" w14:textId="77777777" w:rsidR="00D87270" w:rsidRDefault="00D87270"/>
  <w:p w14:paraId="29775837" w14:textId="77777777" w:rsidR="00F800AD" w:rsidRDefault="00F800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7"/>
    </w:tblGrid>
    <w:tr w:rsidR="00F75A81" w:rsidRPr="000B2145" w14:paraId="52A27552" w14:textId="77777777" w:rsidTr="002C564D">
      <w:trPr>
        <w:trHeight w:val="1012"/>
      </w:trPr>
      <w:tc>
        <w:tcPr>
          <w:tcW w:w="9180" w:type="dxa"/>
          <w:shd w:val="clear" w:color="auto" w:fill="E4F2E0"/>
        </w:tcPr>
        <w:p w14:paraId="0E86561E" w14:textId="77777777" w:rsidR="00F75A81" w:rsidRPr="000E4791" w:rsidRDefault="00F75A81" w:rsidP="00F75A81">
          <w:pPr>
            <w:pStyle w:val="Footer"/>
            <w:rPr>
              <w:b/>
              <w:sz w:val="18"/>
              <w:szCs w:val="18"/>
            </w:rPr>
          </w:pPr>
          <w:bookmarkStart w:id="3" w:name="_Hlk109054010"/>
          <w:r w:rsidRPr="00D22A6E">
            <w:rPr>
              <w:b/>
              <w:sz w:val="18"/>
              <w:szCs w:val="18"/>
            </w:rPr>
            <w:t>AusPAR - Nurtec ODT - rimegepant (as sulfate) - Pfizer Australia Pty Ltd - PM-2022-02939-1-1</w:t>
          </w:r>
          <w:r>
            <w:rPr>
              <w:b/>
              <w:sz w:val="18"/>
              <w:szCs w:val="18"/>
            </w:rPr>
            <w:t xml:space="preserve"> </w:t>
          </w:r>
          <w:r w:rsidRPr="00D22A6E">
            <w:rPr>
              <w:b/>
              <w:sz w:val="18"/>
              <w:szCs w:val="18"/>
            </w:rPr>
            <w:t>FINAL 1 March 2024</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3"/>
  </w:tbl>
  <w:p w14:paraId="56CAC666" w14:textId="77777777" w:rsidR="00F75A81" w:rsidRDefault="00F75A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76CE" w14:textId="77777777" w:rsidR="007703ED" w:rsidRDefault="007703ED"/>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7703ED" w14:paraId="514CB7C0" w14:textId="77777777" w:rsidTr="7BB8B2CC">
      <w:tc>
        <w:tcPr>
          <w:tcW w:w="9855" w:type="dxa"/>
          <w:gridSpan w:val="6"/>
          <w:shd w:val="clear" w:color="auto" w:fill="E6E6E6"/>
        </w:tcPr>
        <w:p w14:paraId="4B10745C" w14:textId="77777777" w:rsidR="007703ED" w:rsidRPr="00EB4D43" w:rsidRDefault="7BB8B2CC" w:rsidP="003230DB">
          <w:pPr>
            <w:pStyle w:val="Heading3"/>
            <w:spacing w:before="0"/>
            <w:jc w:val="center"/>
            <w:rPr>
              <w:rFonts w:ascii="Arial" w:hAnsi="Arial"/>
              <w:sz w:val="20"/>
            </w:rPr>
          </w:pPr>
          <w:r>
            <w:rPr>
              <w:noProof/>
            </w:rPr>
            <w:drawing>
              <wp:inline distT="0" distB="0" distL="0" distR="0" wp14:anchorId="250909FC" wp14:editId="6C1CFBC9">
                <wp:extent cx="422910" cy="25273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22910" cy="252730"/>
                        </a:xfrm>
                        <a:prstGeom prst="rect">
                          <a:avLst/>
                        </a:prstGeom>
                      </pic:spPr>
                    </pic:pic>
                  </a:graphicData>
                </a:graphic>
              </wp:inline>
            </w:drawing>
          </w:r>
          <w:r w:rsidRPr="7BB8B2CC">
            <w:rPr>
              <w:rFonts w:ascii="Arial" w:hAnsi="Arial"/>
            </w:rPr>
            <w:t xml:space="preserve"> AUSTRALIAN WORKING PRACTICE GUIDELINE</w:t>
          </w:r>
        </w:p>
      </w:tc>
    </w:tr>
    <w:tr w:rsidR="007703ED" w14:paraId="1DDD9DF0" w14:textId="77777777" w:rsidTr="7BB8B2CC">
      <w:tc>
        <w:tcPr>
          <w:tcW w:w="1410" w:type="dxa"/>
          <w:shd w:val="clear" w:color="auto" w:fill="E6E6E6"/>
        </w:tcPr>
        <w:p w14:paraId="073221C9" w14:textId="77777777" w:rsidR="007703ED" w:rsidRPr="00EB4D43" w:rsidRDefault="7BB8B2CC" w:rsidP="003230DB">
          <w:pPr>
            <w:pStyle w:val="Heading3"/>
            <w:rPr>
              <w:rFonts w:ascii="Arial" w:hAnsi="Arial"/>
              <w:sz w:val="18"/>
            </w:rPr>
          </w:pPr>
          <w:r w:rsidRPr="7BB8B2CC">
            <w:rPr>
              <w:rFonts w:ascii="Arial" w:hAnsi="Arial"/>
              <w:sz w:val="18"/>
              <w:szCs w:val="18"/>
            </w:rPr>
            <w:t>Title</w:t>
          </w:r>
        </w:p>
      </w:tc>
      <w:tc>
        <w:tcPr>
          <w:tcW w:w="8445" w:type="dxa"/>
          <w:gridSpan w:val="5"/>
          <w:shd w:val="clear" w:color="auto" w:fill="FFFFFF" w:themeFill="background1"/>
        </w:tcPr>
        <w:p w14:paraId="2946D81D" w14:textId="77777777" w:rsidR="007703ED" w:rsidRPr="00EB4D43" w:rsidRDefault="007703ED" w:rsidP="00121B3A">
          <w:pPr>
            <w:pStyle w:val="Heading1"/>
            <w:rPr>
              <w:rFonts w:ascii="Arial" w:hAnsi="Arial"/>
              <w:sz w:val="22"/>
            </w:rPr>
          </w:pPr>
          <w:r w:rsidRPr="00EB4D43">
            <w:rPr>
              <w:rFonts w:ascii="Arial" w:hAnsi="Arial"/>
              <w:sz w:val="22"/>
            </w:rPr>
            <w:t>Preparation of local product documents (lpd) and implemenTation dates in new zealand</w:t>
          </w:r>
        </w:p>
      </w:tc>
    </w:tr>
    <w:tr w:rsidR="007703ED" w14:paraId="1F214674" w14:textId="77777777" w:rsidTr="7BB8B2CC">
      <w:tc>
        <w:tcPr>
          <w:tcW w:w="1410" w:type="dxa"/>
          <w:shd w:val="clear" w:color="auto" w:fill="E6E6E6"/>
        </w:tcPr>
        <w:p w14:paraId="5A00CC03" w14:textId="77777777" w:rsidR="007703ED" w:rsidRPr="00EB4D43" w:rsidRDefault="7BB8B2CC" w:rsidP="003230DB">
          <w:pPr>
            <w:pStyle w:val="Heading3"/>
            <w:rPr>
              <w:rFonts w:ascii="Arial" w:hAnsi="Arial"/>
              <w:sz w:val="18"/>
            </w:rPr>
          </w:pPr>
          <w:r w:rsidRPr="7BB8B2CC">
            <w:rPr>
              <w:rFonts w:ascii="Arial" w:hAnsi="Arial"/>
              <w:sz w:val="18"/>
              <w:szCs w:val="18"/>
            </w:rPr>
            <w:t>Identifier</w:t>
          </w:r>
        </w:p>
      </w:tc>
      <w:tc>
        <w:tcPr>
          <w:tcW w:w="3225" w:type="dxa"/>
          <w:shd w:val="clear" w:color="auto" w:fill="FFFFFF" w:themeFill="background1"/>
        </w:tcPr>
        <w:p w14:paraId="6B9F8865" w14:textId="77777777" w:rsidR="007703ED" w:rsidRPr="00EB4D43" w:rsidRDefault="007703ED" w:rsidP="00121B3A">
          <w:pPr>
            <w:pStyle w:val="Heading1"/>
            <w:keepNext w:val="0"/>
            <w:rPr>
              <w:rFonts w:ascii="Arial" w:hAnsi="Arial"/>
              <w:sz w:val="20"/>
            </w:rPr>
          </w:pPr>
          <w:r>
            <w:rPr>
              <w:rFonts w:ascii="Arial" w:hAnsi="Arial"/>
              <w:sz w:val="20"/>
            </w:rPr>
            <w:t>WPG-RA-30-01</w:t>
          </w:r>
        </w:p>
      </w:tc>
      <w:tc>
        <w:tcPr>
          <w:tcW w:w="1468" w:type="dxa"/>
          <w:shd w:val="clear" w:color="auto" w:fill="E6E6E6"/>
        </w:tcPr>
        <w:p w14:paraId="62408DD0" w14:textId="77777777" w:rsidR="007703ED" w:rsidRPr="00EB4D43" w:rsidRDefault="7BB8B2CC" w:rsidP="003230DB">
          <w:pPr>
            <w:pStyle w:val="Heading3"/>
            <w:rPr>
              <w:rFonts w:ascii="Arial" w:hAnsi="Arial"/>
              <w:sz w:val="18"/>
            </w:rPr>
          </w:pPr>
          <w:r w:rsidRPr="7BB8B2CC">
            <w:rPr>
              <w:rFonts w:ascii="Arial" w:hAnsi="Arial"/>
              <w:sz w:val="18"/>
              <w:szCs w:val="18"/>
            </w:rPr>
            <w:t>Effective Date</w:t>
          </w:r>
        </w:p>
      </w:tc>
      <w:tc>
        <w:tcPr>
          <w:tcW w:w="1966" w:type="dxa"/>
        </w:tcPr>
        <w:p w14:paraId="618D5FF8" w14:textId="77777777" w:rsidR="007703ED" w:rsidRPr="00EB4D43" w:rsidRDefault="7BB8B2CC" w:rsidP="003230DB">
          <w:pPr>
            <w:pStyle w:val="Heading3"/>
            <w:rPr>
              <w:rFonts w:ascii="Arial" w:hAnsi="Arial"/>
              <w:sz w:val="20"/>
            </w:rPr>
          </w:pPr>
          <w:r w:rsidRPr="7BB8B2CC">
            <w:rPr>
              <w:rFonts w:ascii="Arial" w:hAnsi="Arial"/>
              <w:sz w:val="20"/>
              <w:szCs w:val="20"/>
            </w:rPr>
            <w:t>01 December 2009</w:t>
          </w:r>
        </w:p>
      </w:tc>
      <w:tc>
        <w:tcPr>
          <w:tcW w:w="734" w:type="dxa"/>
          <w:tcBorders>
            <w:bottom w:val="single" w:sz="4" w:space="0" w:color="auto"/>
          </w:tcBorders>
          <w:shd w:val="clear" w:color="auto" w:fill="E6E6E6"/>
        </w:tcPr>
        <w:p w14:paraId="07A78D28" w14:textId="77777777" w:rsidR="007703ED" w:rsidRPr="00EB4D43" w:rsidRDefault="7BB8B2CC" w:rsidP="003230DB">
          <w:pPr>
            <w:pStyle w:val="Heading3"/>
            <w:rPr>
              <w:rFonts w:ascii="Arial" w:hAnsi="Arial"/>
              <w:sz w:val="20"/>
            </w:rPr>
          </w:pPr>
          <w:r w:rsidRPr="7BB8B2CC">
            <w:rPr>
              <w:rFonts w:ascii="Arial" w:hAnsi="Arial"/>
              <w:sz w:val="20"/>
              <w:szCs w:val="20"/>
            </w:rPr>
            <w:t>Page</w:t>
          </w:r>
        </w:p>
      </w:tc>
      <w:tc>
        <w:tcPr>
          <w:tcW w:w="1052" w:type="dxa"/>
          <w:tcBorders>
            <w:bottom w:val="single" w:sz="4" w:space="0" w:color="auto"/>
          </w:tcBorders>
        </w:tcPr>
        <w:p w14:paraId="41DEE5C3" w14:textId="77777777" w:rsidR="007703ED" w:rsidRPr="00EB4D43" w:rsidRDefault="7BB8B2CC" w:rsidP="003230DB">
          <w:pPr>
            <w:pStyle w:val="Heading3"/>
            <w:rPr>
              <w:rFonts w:ascii="Arial" w:hAnsi="Arial"/>
              <w:sz w:val="20"/>
            </w:rPr>
          </w:pPr>
          <w:r>
            <w:rPr>
              <w:rFonts w:ascii="Arial" w:hAnsi="Arial"/>
              <w:b w:val="0"/>
              <w:sz w:val="18"/>
              <w:szCs w:val="18"/>
            </w:rPr>
            <w:t>1</w:t>
          </w:r>
          <w:r w:rsidRPr="22E87DB7">
            <w:rPr>
              <w:rFonts w:ascii="Arial" w:hAnsi="Arial"/>
              <w:b w:val="0"/>
              <w:snapToGrid w:val="0"/>
              <w:sz w:val="20"/>
              <w:szCs w:val="20"/>
            </w:rPr>
            <w:t>of</w:t>
          </w:r>
          <w:r w:rsidRPr="22E87DB7">
            <w:rPr>
              <w:rFonts w:ascii="Arial" w:hAnsi="Arial"/>
              <w:snapToGrid w:val="0"/>
              <w:sz w:val="20"/>
              <w:szCs w:val="20"/>
            </w:rPr>
            <w:t xml:space="preserve"> </w:t>
          </w:r>
          <w:r w:rsidR="007703ED" w:rsidRPr="22E87DB7">
            <w:rPr>
              <w:rFonts w:ascii="Arial" w:hAnsi="Arial"/>
              <w:b w:val="0"/>
              <w:sz w:val="20"/>
              <w:szCs w:val="20"/>
            </w:rPr>
            <w:fldChar w:fldCharType="begin"/>
          </w:r>
          <w:r w:rsidR="007703ED" w:rsidRPr="22E87DB7">
            <w:rPr>
              <w:rFonts w:ascii="Arial" w:hAnsi="Arial"/>
              <w:b w:val="0"/>
              <w:sz w:val="20"/>
              <w:szCs w:val="20"/>
            </w:rPr>
            <w:instrText xml:space="preserve"> NUMPAGES </w:instrText>
          </w:r>
          <w:r w:rsidR="007703ED" w:rsidRPr="22E87DB7">
            <w:rPr>
              <w:rFonts w:ascii="Arial" w:hAnsi="Arial"/>
              <w:b w:val="0"/>
              <w:sz w:val="20"/>
              <w:szCs w:val="20"/>
            </w:rPr>
            <w:fldChar w:fldCharType="separate"/>
          </w:r>
          <w:r w:rsidRPr="22E87DB7">
            <w:rPr>
              <w:rFonts w:ascii="Arial" w:hAnsi="Arial"/>
              <w:b w:val="0"/>
              <w:sz w:val="20"/>
              <w:szCs w:val="20"/>
            </w:rPr>
            <w:t>3</w:t>
          </w:r>
          <w:r w:rsidR="007703ED" w:rsidRPr="22E87DB7">
            <w:rPr>
              <w:rFonts w:ascii="Arial" w:hAnsi="Arial"/>
              <w:b w:val="0"/>
              <w:sz w:val="20"/>
              <w:szCs w:val="20"/>
            </w:rPr>
            <w:fldChar w:fldCharType="end"/>
          </w:r>
        </w:p>
      </w:tc>
    </w:tr>
    <w:tr w:rsidR="007703ED" w14:paraId="5875CA07" w14:textId="77777777" w:rsidTr="7BB8B2CC">
      <w:trPr>
        <w:cantSplit/>
      </w:trPr>
      <w:tc>
        <w:tcPr>
          <w:tcW w:w="1410" w:type="dxa"/>
          <w:shd w:val="clear" w:color="auto" w:fill="E6E6E6"/>
        </w:tcPr>
        <w:p w14:paraId="5A989719" w14:textId="77777777" w:rsidR="007703ED" w:rsidRPr="00EB4D43" w:rsidRDefault="7BB8B2CC" w:rsidP="003230DB">
          <w:pPr>
            <w:pStyle w:val="Heading3"/>
            <w:rPr>
              <w:rFonts w:ascii="Arial" w:hAnsi="Arial"/>
              <w:sz w:val="18"/>
            </w:rPr>
          </w:pPr>
          <w:r w:rsidRPr="7BB8B2CC">
            <w:rPr>
              <w:rFonts w:ascii="Arial" w:hAnsi="Arial"/>
              <w:sz w:val="18"/>
              <w:szCs w:val="18"/>
            </w:rPr>
            <w:t>Supersedes</w:t>
          </w:r>
        </w:p>
      </w:tc>
      <w:tc>
        <w:tcPr>
          <w:tcW w:w="3225" w:type="dxa"/>
          <w:shd w:val="clear" w:color="auto" w:fill="FFFFFF" w:themeFill="background1"/>
        </w:tcPr>
        <w:p w14:paraId="2AE97472" w14:textId="77777777" w:rsidR="007703ED" w:rsidRPr="00EB4D43" w:rsidRDefault="007703ED" w:rsidP="00121B3A">
          <w:pPr>
            <w:pStyle w:val="Heading1"/>
            <w:keepNext w:val="0"/>
            <w:rPr>
              <w:rFonts w:ascii="Arial" w:hAnsi="Arial"/>
              <w:sz w:val="20"/>
            </w:rPr>
          </w:pPr>
          <w:r w:rsidRPr="00EB4D43">
            <w:rPr>
              <w:rFonts w:ascii="Arial" w:hAnsi="Arial"/>
              <w:sz w:val="20"/>
            </w:rPr>
            <w:t>N/A</w:t>
          </w:r>
        </w:p>
      </w:tc>
      <w:tc>
        <w:tcPr>
          <w:tcW w:w="1468" w:type="dxa"/>
          <w:shd w:val="clear" w:color="auto" w:fill="E6E6E6"/>
        </w:tcPr>
        <w:p w14:paraId="59251580" w14:textId="77777777" w:rsidR="007703ED" w:rsidRPr="00EB4D43" w:rsidRDefault="7BB8B2CC" w:rsidP="003230DB">
          <w:pPr>
            <w:pStyle w:val="Heading3"/>
            <w:rPr>
              <w:rFonts w:ascii="Arial" w:hAnsi="Arial"/>
              <w:sz w:val="18"/>
            </w:rPr>
          </w:pPr>
          <w:r w:rsidRPr="7BB8B2CC">
            <w:rPr>
              <w:rFonts w:ascii="Arial" w:hAnsi="Arial"/>
              <w:sz w:val="18"/>
              <w:szCs w:val="18"/>
            </w:rPr>
            <w:t>Effective Date</w:t>
          </w:r>
        </w:p>
      </w:tc>
      <w:tc>
        <w:tcPr>
          <w:tcW w:w="1966" w:type="dxa"/>
        </w:tcPr>
        <w:p w14:paraId="7EB6B267" w14:textId="77777777" w:rsidR="007703ED" w:rsidRPr="00EB4D43" w:rsidRDefault="7BB8B2CC" w:rsidP="003230DB">
          <w:pPr>
            <w:pStyle w:val="Heading3"/>
            <w:rPr>
              <w:rFonts w:ascii="Arial" w:hAnsi="Arial"/>
              <w:sz w:val="20"/>
            </w:rPr>
          </w:pPr>
          <w:r w:rsidRPr="7BB8B2CC">
            <w:rPr>
              <w:rFonts w:ascii="Arial" w:hAnsi="Arial"/>
              <w:sz w:val="20"/>
              <w:szCs w:val="20"/>
            </w:rPr>
            <w:t>N/A</w:t>
          </w:r>
        </w:p>
      </w:tc>
      <w:tc>
        <w:tcPr>
          <w:tcW w:w="1786" w:type="dxa"/>
          <w:gridSpan w:val="2"/>
          <w:shd w:val="clear" w:color="auto" w:fill="E6E6E6"/>
        </w:tcPr>
        <w:p w14:paraId="41E710A1" w14:textId="77777777" w:rsidR="007703ED" w:rsidRPr="00EB4D43" w:rsidRDefault="007703ED" w:rsidP="003230DB">
          <w:pPr>
            <w:pStyle w:val="Heading3"/>
            <w:rPr>
              <w:rFonts w:ascii="Arial" w:hAnsi="Arial"/>
              <w:snapToGrid w:val="0"/>
              <w:sz w:val="20"/>
            </w:rPr>
          </w:pPr>
        </w:p>
      </w:tc>
    </w:tr>
  </w:tbl>
  <w:p w14:paraId="1037B743" w14:textId="77777777" w:rsidR="00D87270" w:rsidRDefault="00D87270" w:rsidP="006D4645"/>
  <w:p w14:paraId="3216FDF4" w14:textId="77777777" w:rsidR="00F800AD" w:rsidRDefault="00F800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BB0"/>
    <w:multiLevelType w:val="singleLevel"/>
    <w:tmpl w:val="9C365A38"/>
    <w:name w:val="dtNM List Alpha 3"/>
    <w:lvl w:ilvl="0">
      <w:start w:val="1"/>
      <w:numFmt w:val="lowerLetter"/>
      <w:lvlRestart w:val="0"/>
      <w:pStyle w:val="ListAlpha3"/>
      <w:lvlText w:val="%1."/>
      <w:lvlJc w:val="left"/>
      <w:pPr>
        <w:tabs>
          <w:tab w:val="num" w:pos="1080"/>
        </w:tabs>
        <w:ind w:left="1080" w:hanging="360"/>
      </w:pPr>
      <w:rPr>
        <w:caps w:val="0"/>
        <w:u w:val="none"/>
      </w:rPr>
    </w:lvl>
  </w:abstractNum>
  <w:abstractNum w:abstractNumId="1" w15:restartNumberingAfterBreak="0">
    <w:nsid w:val="01B35183"/>
    <w:multiLevelType w:val="singleLevel"/>
    <w:tmpl w:val="CBBEE240"/>
    <w:name w:val="dtNM List Number 3"/>
    <w:lvl w:ilvl="0">
      <w:start w:val="1"/>
      <w:numFmt w:val="decimal"/>
      <w:lvlRestart w:val="0"/>
      <w:pStyle w:val="ListNumber3"/>
      <w:lvlText w:val="%1."/>
      <w:lvlJc w:val="left"/>
      <w:pPr>
        <w:tabs>
          <w:tab w:val="num" w:pos="1080"/>
        </w:tabs>
        <w:ind w:left="1080" w:hanging="360"/>
      </w:pPr>
      <w:rPr>
        <w:caps w:val="0"/>
        <w:u w:val="none"/>
      </w:rPr>
    </w:lvl>
  </w:abstractNum>
  <w:abstractNum w:abstractNumId="2" w15:restartNumberingAfterBreak="0">
    <w:nsid w:val="02176D71"/>
    <w:multiLevelType w:val="singleLevel"/>
    <w:tmpl w:val="5CA49596"/>
    <w:name w:val="dtBL List Bullet"/>
    <w:lvl w:ilvl="0">
      <w:start w:val="1"/>
      <w:numFmt w:val="bullet"/>
      <w:lvlRestart w:val="0"/>
      <w:pStyle w:val="ListBullet"/>
      <w:lvlText w:val=""/>
      <w:lvlJc w:val="left"/>
      <w:pPr>
        <w:tabs>
          <w:tab w:val="num" w:pos="360"/>
        </w:tabs>
        <w:ind w:left="360" w:hanging="360"/>
      </w:pPr>
      <w:rPr>
        <w:rFonts w:ascii="Symbol" w:hAnsi="Symbol" w:hint="default"/>
        <w:caps w:val="0"/>
        <w:u w:val="none"/>
      </w:rPr>
    </w:lvl>
  </w:abstractNum>
  <w:abstractNum w:abstractNumId="3" w15:restartNumberingAfterBreak="0">
    <w:nsid w:val="05BD59FF"/>
    <w:multiLevelType w:val="singleLevel"/>
    <w:tmpl w:val="734465A6"/>
    <w:name w:val="dtBL List Bullet 5"/>
    <w:lvl w:ilvl="0">
      <w:start w:val="1"/>
      <w:numFmt w:val="bullet"/>
      <w:lvlRestart w:val="0"/>
      <w:pStyle w:val="ListBullet5"/>
      <w:lvlText w:val=""/>
      <w:lvlJc w:val="left"/>
      <w:pPr>
        <w:tabs>
          <w:tab w:val="num" w:pos="1800"/>
        </w:tabs>
        <w:ind w:left="1800" w:hanging="360"/>
      </w:pPr>
      <w:rPr>
        <w:rFonts w:ascii="Symbol" w:hAnsi="Symbol" w:hint="default"/>
        <w:caps w:val="0"/>
        <w:u w:val="none"/>
      </w:rPr>
    </w:lvl>
  </w:abstractNum>
  <w:abstractNum w:abstractNumId="4" w15:restartNumberingAfterBreak="0">
    <w:nsid w:val="065052D3"/>
    <w:multiLevelType w:val="hybridMultilevel"/>
    <w:tmpl w:val="2BB044B6"/>
    <w:lvl w:ilvl="0" w:tplc="8B6421D6">
      <w:start w:val="1"/>
      <w:numFmt w:val="bullet"/>
      <w:pStyle w:val="CLDBulletLis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C955CFA"/>
    <w:multiLevelType w:val="singleLevel"/>
    <w:tmpl w:val="C028527C"/>
    <w:name w:val="dtBL List Bullet 2"/>
    <w:lvl w:ilvl="0">
      <w:start w:val="1"/>
      <w:numFmt w:val="bullet"/>
      <w:lvlRestart w:val="0"/>
      <w:pStyle w:val="ListBullet2"/>
      <w:lvlText w:val=""/>
      <w:lvlJc w:val="left"/>
      <w:pPr>
        <w:tabs>
          <w:tab w:val="num" w:pos="720"/>
        </w:tabs>
        <w:ind w:left="720" w:hanging="360"/>
      </w:pPr>
      <w:rPr>
        <w:rFonts w:ascii="Symbol" w:hAnsi="Symbol" w:hint="default"/>
        <w:caps w:val="0"/>
        <w:u w:val="none"/>
      </w:rPr>
    </w:lvl>
  </w:abstractNum>
  <w:abstractNum w:abstractNumId="6" w15:restartNumberingAfterBreak="0">
    <w:nsid w:val="168F13E9"/>
    <w:multiLevelType w:val="multilevel"/>
    <w:tmpl w:val="DA360B98"/>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AD87A96"/>
    <w:multiLevelType w:val="singleLevel"/>
    <w:tmpl w:val="49BC0C06"/>
    <w:name w:val="dtBL List Bullet 4"/>
    <w:lvl w:ilvl="0">
      <w:start w:val="1"/>
      <w:numFmt w:val="bullet"/>
      <w:lvlRestart w:val="0"/>
      <w:pStyle w:val="ListBullet4"/>
      <w:lvlText w:val=""/>
      <w:lvlJc w:val="left"/>
      <w:pPr>
        <w:tabs>
          <w:tab w:val="num" w:pos="1440"/>
        </w:tabs>
        <w:ind w:left="1440" w:hanging="360"/>
      </w:pPr>
      <w:rPr>
        <w:rFonts w:ascii="Symbol" w:hAnsi="Symbol" w:hint="default"/>
        <w:caps w:val="0"/>
        <w:u w:val="none"/>
      </w:rPr>
    </w:lvl>
  </w:abstractNum>
  <w:abstractNum w:abstractNumId="8" w15:restartNumberingAfterBreak="0">
    <w:nsid w:val="1C68745D"/>
    <w:multiLevelType w:val="singleLevel"/>
    <w:tmpl w:val="34D07D36"/>
    <w:name w:val="dtNM List Alpha 4"/>
    <w:lvl w:ilvl="0">
      <w:start w:val="1"/>
      <w:numFmt w:val="lowerLetter"/>
      <w:lvlRestart w:val="0"/>
      <w:pStyle w:val="ListAlpha4"/>
      <w:lvlText w:val="%1."/>
      <w:lvlJc w:val="left"/>
      <w:pPr>
        <w:tabs>
          <w:tab w:val="num" w:pos="1440"/>
        </w:tabs>
        <w:ind w:left="1440" w:hanging="360"/>
      </w:pPr>
      <w:rPr>
        <w:caps w:val="0"/>
        <w:u w:val="none"/>
      </w:rPr>
    </w:lvl>
  </w:abstractNum>
  <w:abstractNum w:abstractNumId="9" w15:restartNumberingAfterBreak="0">
    <w:nsid w:val="1F0A6DB8"/>
    <w:multiLevelType w:val="hybridMultilevel"/>
    <w:tmpl w:val="F1BC4932"/>
    <w:lvl w:ilvl="0" w:tplc="945AAE54">
      <w:start w:val="1"/>
      <w:numFmt w:val="decimal"/>
      <w:pStyle w:val="CLDNumber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9F46A9"/>
    <w:multiLevelType w:val="singleLevel"/>
    <w:tmpl w:val="E0166F28"/>
    <w:name w:val="dtNM List Alpha"/>
    <w:lvl w:ilvl="0">
      <w:start w:val="1"/>
      <w:numFmt w:val="lowerLetter"/>
      <w:lvlRestart w:val="0"/>
      <w:pStyle w:val="ListAlpha"/>
      <w:lvlText w:val="%1."/>
      <w:lvlJc w:val="left"/>
      <w:pPr>
        <w:tabs>
          <w:tab w:val="num" w:pos="360"/>
        </w:tabs>
        <w:ind w:left="360" w:hanging="360"/>
      </w:pPr>
      <w:rPr>
        <w:caps w:val="0"/>
        <w:u w:val="none"/>
      </w:rPr>
    </w:lvl>
  </w:abstractNum>
  <w:abstractNum w:abstractNumId="11" w15:restartNumberingAfterBreak="0">
    <w:nsid w:val="2D4B44BD"/>
    <w:multiLevelType w:val="singleLevel"/>
    <w:tmpl w:val="88745FC4"/>
    <w:name w:val="dtNM List Number"/>
    <w:lvl w:ilvl="0">
      <w:start w:val="1"/>
      <w:numFmt w:val="decimal"/>
      <w:lvlRestart w:val="0"/>
      <w:pStyle w:val="ListNumber"/>
      <w:lvlText w:val="%1."/>
      <w:lvlJc w:val="left"/>
      <w:pPr>
        <w:tabs>
          <w:tab w:val="num" w:pos="360"/>
        </w:tabs>
        <w:ind w:left="360" w:hanging="360"/>
      </w:pPr>
      <w:rPr>
        <w:caps w:val="0"/>
        <w:u w:val="none"/>
      </w:rPr>
    </w:lvl>
  </w:abstractNum>
  <w:abstractNum w:abstractNumId="12" w15:restartNumberingAfterBreak="0">
    <w:nsid w:val="307D5E5C"/>
    <w:multiLevelType w:val="singleLevel"/>
    <w:tmpl w:val="AB521316"/>
    <w:name w:val="dtNM List Alpha 2"/>
    <w:lvl w:ilvl="0">
      <w:start w:val="1"/>
      <w:numFmt w:val="lowerLetter"/>
      <w:lvlRestart w:val="0"/>
      <w:pStyle w:val="ListAlpha2"/>
      <w:lvlText w:val="%1."/>
      <w:lvlJc w:val="left"/>
      <w:pPr>
        <w:tabs>
          <w:tab w:val="num" w:pos="720"/>
        </w:tabs>
        <w:ind w:left="720" w:hanging="360"/>
      </w:pPr>
      <w:rPr>
        <w:caps w:val="0"/>
        <w:u w:val="none"/>
      </w:rPr>
    </w:lvl>
  </w:abstractNum>
  <w:abstractNum w:abstractNumId="13" w15:restartNumberingAfterBreak="0">
    <w:nsid w:val="32CE3D57"/>
    <w:multiLevelType w:val="singleLevel"/>
    <w:tmpl w:val="1A48AE40"/>
    <w:name w:val="dtNM List Alpha Table"/>
    <w:lvl w:ilvl="0">
      <w:start w:val="1"/>
      <w:numFmt w:val="lowerLetter"/>
      <w:lvlRestart w:val="0"/>
      <w:pStyle w:val="ListAlphaTable"/>
      <w:lvlText w:val="%1."/>
      <w:lvlJc w:val="left"/>
      <w:pPr>
        <w:tabs>
          <w:tab w:val="num" w:pos="360"/>
        </w:tabs>
        <w:ind w:left="360" w:hanging="360"/>
      </w:pPr>
      <w:rPr>
        <w:caps w:val="0"/>
        <w:u w:val="none"/>
      </w:rPr>
    </w:lvl>
  </w:abstractNum>
  <w:abstractNum w:abstractNumId="14" w15:restartNumberingAfterBreak="0">
    <w:nsid w:val="390D6A12"/>
    <w:multiLevelType w:val="singleLevel"/>
    <w:tmpl w:val="5FCA5C62"/>
    <w:name w:val="dtNM List Number 5"/>
    <w:lvl w:ilvl="0">
      <w:start w:val="1"/>
      <w:numFmt w:val="decimal"/>
      <w:lvlRestart w:val="0"/>
      <w:pStyle w:val="ListNumber5"/>
      <w:lvlText w:val="%1."/>
      <w:lvlJc w:val="left"/>
      <w:pPr>
        <w:tabs>
          <w:tab w:val="num" w:pos="1800"/>
        </w:tabs>
        <w:ind w:left="1800" w:hanging="360"/>
      </w:pPr>
      <w:rPr>
        <w:caps w:val="0"/>
        <w:u w:val="none"/>
      </w:rPr>
    </w:lvl>
  </w:abstractNum>
  <w:abstractNum w:abstractNumId="15" w15:restartNumberingAfterBreak="0">
    <w:nsid w:val="3AB03A27"/>
    <w:multiLevelType w:val="singleLevel"/>
    <w:tmpl w:val="E73A43AE"/>
    <w:name w:val="dtNM List Number 2"/>
    <w:lvl w:ilvl="0">
      <w:start w:val="1"/>
      <w:numFmt w:val="decimal"/>
      <w:lvlRestart w:val="0"/>
      <w:pStyle w:val="ListNumber2"/>
      <w:lvlText w:val="%1."/>
      <w:lvlJc w:val="left"/>
      <w:pPr>
        <w:tabs>
          <w:tab w:val="num" w:pos="720"/>
        </w:tabs>
        <w:ind w:left="720" w:hanging="360"/>
      </w:pPr>
      <w:rPr>
        <w:caps w:val="0"/>
        <w:u w:val="none"/>
      </w:rPr>
    </w:lvl>
  </w:abstractNum>
  <w:abstractNum w:abstractNumId="16" w15:restartNumberingAfterBreak="0">
    <w:nsid w:val="47F3779C"/>
    <w:multiLevelType w:val="hybridMultilevel"/>
    <w:tmpl w:val="783E8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1E0C40"/>
    <w:multiLevelType w:val="singleLevel"/>
    <w:tmpl w:val="3E38669C"/>
    <w:name w:val="dtNM RefText"/>
    <w:lvl w:ilvl="0">
      <w:start w:val="1"/>
      <w:numFmt w:val="decimal"/>
      <w:lvlRestart w:val="0"/>
      <w:pStyle w:val="RefText"/>
      <w:lvlText w:val="%1."/>
      <w:lvlJc w:val="left"/>
      <w:pPr>
        <w:tabs>
          <w:tab w:val="num" w:pos="501"/>
        </w:tabs>
        <w:ind w:left="501" w:hanging="501"/>
      </w:pPr>
      <w:rPr>
        <w:caps w:val="0"/>
        <w:u w:val="none"/>
      </w:rPr>
    </w:lvl>
  </w:abstractNum>
  <w:abstractNum w:abstractNumId="18" w15:restartNumberingAfterBreak="0">
    <w:nsid w:val="4CC90EBA"/>
    <w:multiLevelType w:val="multilevel"/>
    <w:tmpl w:val="336AECA2"/>
    <w:name w:val="dtHD0"/>
    <w:lvl w:ilvl="0">
      <w:start w:val="1"/>
      <w:numFmt w:val="decimal"/>
      <w:lvlRestart w:val="0"/>
      <w:suff w:val="space"/>
      <w:lvlText w:val="%1."/>
      <w:lvlJc w:val="left"/>
      <w:pPr>
        <w:tabs>
          <w:tab w:val="num" w:pos="0"/>
        </w:tabs>
        <w:ind w:left="0" w:firstLine="0"/>
      </w:pPr>
      <w:rPr>
        <w:rFonts w:ascii="Times New Roman" w:hAnsi="Times New Roman" w:cs="Times New Roman"/>
        <w:b/>
        <w:i w:val="0"/>
        <w:caps/>
        <w:smallCaps w:val="0"/>
        <w:sz w:val="24"/>
        <w:u w:val="none"/>
      </w:rPr>
    </w:lvl>
    <w:lvl w:ilvl="1">
      <w:start w:val="1"/>
      <w:numFmt w:val="decimal"/>
      <w:suff w:val="space"/>
      <w:lvlText w:val="%1.%2."/>
      <w:lvlJc w:val="left"/>
      <w:pPr>
        <w:tabs>
          <w:tab w:val="num" w:pos="0"/>
        </w:tabs>
        <w:ind w:left="0" w:firstLine="0"/>
      </w:pPr>
      <w:rPr>
        <w:rFonts w:ascii="Times New Roman" w:hAnsi="Times New Roman" w:cs="Times New Roman"/>
        <w:b/>
        <w:i w:val="0"/>
        <w:caps w:val="0"/>
        <w:sz w:val="24"/>
        <w:u w:val="none"/>
      </w:rPr>
    </w:lvl>
    <w:lvl w:ilvl="2">
      <w:start w:val="1"/>
      <w:numFmt w:val="decimal"/>
      <w:suff w:val="space"/>
      <w:lvlText w:val="%1.%2.%3."/>
      <w:lvlJc w:val="left"/>
      <w:pPr>
        <w:tabs>
          <w:tab w:val="num" w:pos="0"/>
        </w:tabs>
        <w:ind w:left="0" w:firstLine="0"/>
      </w:pPr>
      <w:rPr>
        <w:rFonts w:ascii="Times New Roman" w:hAnsi="Times New Roman" w:cs="Times New Roman"/>
        <w:b/>
        <w:i w:val="0"/>
        <w:caps w:val="0"/>
        <w:sz w:val="24"/>
        <w:u w:val="none"/>
      </w:rPr>
    </w:lvl>
    <w:lvl w:ilvl="3">
      <w:start w:val="1"/>
      <w:numFmt w:val="decimal"/>
      <w:suff w:val="space"/>
      <w:lvlText w:val="%1.%2.%3.%4."/>
      <w:lvlJc w:val="left"/>
      <w:pPr>
        <w:tabs>
          <w:tab w:val="num" w:pos="0"/>
        </w:tabs>
        <w:ind w:left="0" w:firstLine="0"/>
      </w:pPr>
      <w:rPr>
        <w:rFonts w:ascii="Times New Roman" w:hAnsi="Times New Roman" w:cs="Times New Roman"/>
        <w:b/>
        <w:i w:val="0"/>
        <w:caps w:val="0"/>
        <w:sz w:val="24"/>
        <w:u w:val="none"/>
      </w:rPr>
    </w:lvl>
    <w:lvl w:ilvl="4">
      <w:start w:val="1"/>
      <w:numFmt w:val="decimal"/>
      <w:suff w:val="space"/>
      <w:lvlText w:val="%1.%2.%3.%4.%5."/>
      <w:lvlJc w:val="left"/>
      <w:pPr>
        <w:tabs>
          <w:tab w:val="num" w:pos="0"/>
        </w:tabs>
        <w:ind w:left="0" w:firstLine="0"/>
      </w:pPr>
      <w:rPr>
        <w:rFonts w:ascii="Times New Roman" w:hAnsi="Times New Roman" w:cs="Times New Roman"/>
        <w:b/>
        <w:i w:val="0"/>
        <w:caps w:val="0"/>
        <w:sz w:val="24"/>
        <w:u w:val="none"/>
      </w:rPr>
    </w:lvl>
    <w:lvl w:ilvl="5">
      <w:start w:val="1"/>
      <w:numFmt w:val="decimal"/>
      <w:suff w:val="space"/>
      <w:lvlText w:val="%1.%2.%3.%4.%5.%6."/>
      <w:lvlJc w:val="left"/>
      <w:pPr>
        <w:tabs>
          <w:tab w:val="num" w:pos="0"/>
        </w:tabs>
        <w:ind w:left="0" w:firstLine="0"/>
      </w:pPr>
      <w:rPr>
        <w:rFonts w:ascii="Times New Roman" w:hAnsi="Times New Roman" w:cs="Times New Roman"/>
        <w:b/>
        <w:i w:val="0"/>
        <w:caps w:val="0"/>
        <w:sz w:val="24"/>
        <w:u w:val="none"/>
      </w:rPr>
    </w:lvl>
    <w:lvl w:ilvl="6">
      <w:start w:val="1"/>
      <w:numFmt w:val="decimal"/>
      <w:suff w:val="space"/>
      <w:lvlText w:val="%1.%2.%3.%4.%5.%6.%7."/>
      <w:lvlJc w:val="left"/>
      <w:pPr>
        <w:tabs>
          <w:tab w:val="num" w:pos="0"/>
        </w:tabs>
        <w:ind w:left="0" w:firstLine="0"/>
      </w:pPr>
      <w:rPr>
        <w:rFonts w:ascii="Times New Roman" w:hAnsi="Times New Roman" w:cs="Times New Roman"/>
        <w:b/>
        <w:i w:val="0"/>
        <w:caps w:val="0"/>
        <w:sz w:val="24"/>
        <w:u w:val="none"/>
      </w:rPr>
    </w:lvl>
    <w:lvl w:ilvl="7">
      <w:start w:val="1"/>
      <w:numFmt w:val="decimal"/>
      <w:suff w:val="space"/>
      <w:lvlText w:val="%1.%2.%3.%4.%5.%6.%7.%8."/>
      <w:lvlJc w:val="left"/>
      <w:pPr>
        <w:tabs>
          <w:tab w:val="num" w:pos="0"/>
        </w:tabs>
        <w:ind w:left="0" w:firstLine="0"/>
      </w:pPr>
      <w:rPr>
        <w:rFonts w:ascii="Times New Roman" w:hAnsi="Times New Roman" w:cs="Times New Roman"/>
        <w:b/>
        <w:i w:val="0"/>
        <w:caps w:val="0"/>
        <w:sz w:val="24"/>
        <w:u w:val="none"/>
      </w:rPr>
    </w:lvl>
    <w:lvl w:ilvl="8">
      <w:start w:val="1"/>
      <w:numFmt w:val="decimal"/>
      <w:suff w:val="space"/>
      <w:lvlText w:val="%1.%2.%3.%4.%5.%6.%7.%8.%9."/>
      <w:lvlJc w:val="left"/>
      <w:pPr>
        <w:tabs>
          <w:tab w:val="num" w:pos="0"/>
        </w:tabs>
        <w:ind w:left="0" w:firstLine="0"/>
      </w:pPr>
      <w:rPr>
        <w:rFonts w:ascii="Times New Roman" w:hAnsi="Times New Roman" w:cs="Times New Roman"/>
        <w:b/>
        <w:i w:val="0"/>
        <w:caps w:val="0"/>
        <w:sz w:val="24"/>
        <w:u w:val="none"/>
      </w:rPr>
    </w:lvl>
  </w:abstractNum>
  <w:abstractNum w:abstractNumId="19" w15:restartNumberingAfterBreak="0">
    <w:nsid w:val="563B4F80"/>
    <w:multiLevelType w:val="singleLevel"/>
    <w:tmpl w:val="87AA1B98"/>
    <w:name w:val="dtNM List Number 4"/>
    <w:lvl w:ilvl="0">
      <w:start w:val="1"/>
      <w:numFmt w:val="decimal"/>
      <w:lvlRestart w:val="0"/>
      <w:pStyle w:val="ListNumber4"/>
      <w:lvlText w:val="%1."/>
      <w:lvlJc w:val="left"/>
      <w:pPr>
        <w:tabs>
          <w:tab w:val="num" w:pos="1440"/>
        </w:tabs>
        <w:ind w:left="1440" w:hanging="360"/>
      </w:pPr>
      <w:rPr>
        <w:caps w:val="0"/>
        <w:u w:val="none"/>
      </w:rPr>
    </w:lvl>
  </w:abstractNum>
  <w:abstractNum w:abstractNumId="20" w15:restartNumberingAfterBreak="0">
    <w:nsid w:val="75AF178B"/>
    <w:multiLevelType w:val="singleLevel"/>
    <w:tmpl w:val="CB143FF2"/>
    <w:name w:val="dtNM List Number Table"/>
    <w:lvl w:ilvl="0">
      <w:start w:val="1"/>
      <w:numFmt w:val="decimal"/>
      <w:lvlRestart w:val="0"/>
      <w:pStyle w:val="ListNumberTable"/>
      <w:lvlText w:val="%1."/>
      <w:lvlJc w:val="left"/>
      <w:pPr>
        <w:tabs>
          <w:tab w:val="num" w:pos="360"/>
        </w:tabs>
        <w:ind w:left="360" w:hanging="360"/>
      </w:pPr>
      <w:rPr>
        <w:caps w:val="0"/>
        <w:u w:val="none"/>
      </w:rPr>
    </w:lvl>
  </w:abstractNum>
  <w:abstractNum w:abstractNumId="21" w15:restartNumberingAfterBreak="0">
    <w:nsid w:val="774A3101"/>
    <w:multiLevelType w:val="multilevel"/>
    <w:tmpl w:val="CA1E7700"/>
    <w:lvl w:ilvl="0">
      <w:start w:val="1"/>
      <w:numFmt w:val="decimal"/>
      <w:lvlRestart w:val="0"/>
      <w:suff w:val="space"/>
      <w:lvlText w:val="%1."/>
      <w:lvlJc w:val="left"/>
      <w:pPr>
        <w:ind w:left="0" w:firstLine="0"/>
      </w:pPr>
      <w:rPr>
        <w:rFonts w:ascii="Times New Roman" w:hAnsi="Times New Roman" w:cs="Times New Roman" w:hint="default"/>
        <w:b/>
        <w:i w:val="0"/>
        <w:caps/>
        <w:smallCaps w:val="0"/>
        <w:sz w:val="24"/>
        <w:u w:val="none"/>
      </w:rPr>
    </w:lvl>
    <w:lvl w:ilvl="1">
      <w:start w:val="1"/>
      <w:numFmt w:val="decimal"/>
      <w:suff w:val="space"/>
      <w:lvlText w:val="%1.%2."/>
      <w:lvlJc w:val="left"/>
      <w:pPr>
        <w:ind w:left="0" w:firstLine="0"/>
      </w:pPr>
      <w:rPr>
        <w:rFonts w:ascii="Times New Roman" w:hAnsi="Times New Roman" w:cs="Times New Roman" w:hint="default"/>
        <w:b/>
        <w:i w:val="0"/>
        <w:caps w:val="0"/>
        <w:sz w:val="24"/>
        <w:u w:val="none"/>
      </w:rPr>
    </w:lvl>
    <w:lvl w:ilvl="2">
      <w:start w:val="1"/>
      <w:numFmt w:val="decimal"/>
      <w:pStyle w:val="Heading3"/>
      <w:suff w:val="space"/>
      <w:lvlText w:val="%1.%2.%3."/>
      <w:lvlJc w:val="left"/>
      <w:pPr>
        <w:ind w:left="0" w:firstLine="0"/>
      </w:pPr>
      <w:rPr>
        <w:rFonts w:ascii="Times New Roman" w:hAnsi="Times New Roman" w:cs="Times New Roman" w:hint="default"/>
        <w:b/>
        <w:i w:val="0"/>
        <w:caps w:val="0"/>
        <w:sz w:val="24"/>
        <w:u w:val="none"/>
      </w:rPr>
    </w:lvl>
    <w:lvl w:ilvl="3">
      <w:start w:val="1"/>
      <w:numFmt w:val="decimal"/>
      <w:pStyle w:val="Heading4"/>
      <w:suff w:val="space"/>
      <w:lvlText w:val="%1.%2.%3.%4."/>
      <w:lvlJc w:val="left"/>
      <w:pPr>
        <w:ind w:left="0" w:firstLine="0"/>
      </w:pPr>
      <w:rPr>
        <w:rFonts w:ascii="Times New Roman" w:hAnsi="Times New Roman" w:cs="Times New Roman" w:hint="default"/>
        <w:b/>
        <w:i w:val="0"/>
        <w:caps w:val="0"/>
        <w:sz w:val="24"/>
        <w:u w:val="none"/>
      </w:rPr>
    </w:lvl>
    <w:lvl w:ilvl="4">
      <w:start w:val="1"/>
      <w:numFmt w:val="decimal"/>
      <w:pStyle w:val="Heading5"/>
      <w:suff w:val="space"/>
      <w:lvlText w:val="%1.%2.%3.%4.%5."/>
      <w:lvlJc w:val="left"/>
      <w:pPr>
        <w:ind w:left="0" w:firstLine="0"/>
      </w:pPr>
      <w:rPr>
        <w:rFonts w:ascii="Times New Roman" w:hAnsi="Times New Roman" w:cs="Times New Roman" w:hint="default"/>
        <w:b/>
        <w:i w:val="0"/>
        <w:caps w:val="0"/>
        <w:sz w:val="24"/>
        <w:u w:val="none"/>
      </w:rPr>
    </w:lvl>
    <w:lvl w:ilvl="5">
      <w:start w:val="1"/>
      <w:numFmt w:val="decimal"/>
      <w:pStyle w:val="Heading6"/>
      <w:suff w:val="space"/>
      <w:lvlText w:val="%1.%2.%3.%4.%5.%6."/>
      <w:lvlJc w:val="left"/>
      <w:pPr>
        <w:ind w:left="0" w:firstLine="0"/>
      </w:pPr>
      <w:rPr>
        <w:rFonts w:ascii="Times New Roman" w:hAnsi="Times New Roman" w:cs="Times New Roman" w:hint="default"/>
        <w:b/>
        <w:i w:val="0"/>
        <w:caps w:val="0"/>
        <w:sz w:val="24"/>
        <w:u w:val="none"/>
      </w:rPr>
    </w:lvl>
    <w:lvl w:ilvl="6">
      <w:start w:val="1"/>
      <w:numFmt w:val="decimal"/>
      <w:pStyle w:val="Heading7"/>
      <w:suff w:val="space"/>
      <w:lvlText w:val="%1.%2.%3.%4.%5.%6.%7."/>
      <w:lvlJc w:val="left"/>
      <w:pPr>
        <w:ind w:left="0" w:firstLine="0"/>
      </w:pPr>
      <w:rPr>
        <w:rFonts w:ascii="Times New Roman" w:hAnsi="Times New Roman" w:cs="Times New Roman" w:hint="default"/>
        <w:b/>
        <w:i w:val="0"/>
        <w:caps w:val="0"/>
        <w:sz w:val="24"/>
        <w:u w:val="none"/>
      </w:rPr>
    </w:lvl>
    <w:lvl w:ilvl="7">
      <w:start w:val="1"/>
      <w:numFmt w:val="decimal"/>
      <w:pStyle w:val="Heading8"/>
      <w:suff w:val="space"/>
      <w:lvlText w:val="%1.%2.%3.%4.%5.%6.%7.%8."/>
      <w:lvlJc w:val="left"/>
      <w:pPr>
        <w:ind w:left="0" w:firstLine="0"/>
      </w:pPr>
      <w:rPr>
        <w:rFonts w:ascii="Times New Roman" w:hAnsi="Times New Roman" w:cs="Times New Roman" w:hint="default"/>
        <w:b/>
        <w:i w:val="0"/>
        <w:caps w:val="0"/>
        <w:sz w:val="24"/>
        <w:u w:val="none"/>
      </w:rPr>
    </w:lvl>
    <w:lvl w:ilvl="8">
      <w:start w:val="1"/>
      <w:numFmt w:val="decimal"/>
      <w:pStyle w:val="Heading9"/>
      <w:suff w:val="space"/>
      <w:lvlText w:val="%1.%2.%3.%4.%5.%6.%7.%8.%9."/>
      <w:lvlJc w:val="left"/>
      <w:pPr>
        <w:ind w:left="0" w:firstLine="0"/>
      </w:pPr>
      <w:rPr>
        <w:rFonts w:ascii="Times New Roman" w:hAnsi="Times New Roman" w:cs="Times New Roman" w:hint="default"/>
        <w:b/>
        <w:i w:val="0"/>
        <w:caps w:val="0"/>
        <w:sz w:val="24"/>
        <w:u w:val="none"/>
      </w:rPr>
    </w:lvl>
  </w:abstractNum>
  <w:abstractNum w:abstractNumId="22" w15:restartNumberingAfterBreak="0">
    <w:nsid w:val="7A7F3C64"/>
    <w:multiLevelType w:val="singleLevel"/>
    <w:tmpl w:val="24ECC7FE"/>
    <w:name w:val="dtBL List Bullet Table"/>
    <w:lvl w:ilvl="0">
      <w:start w:val="1"/>
      <w:numFmt w:val="bullet"/>
      <w:lvlRestart w:val="0"/>
      <w:pStyle w:val="ListBulletTable"/>
      <w:lvlText w:val=""/>
      <w:lvlJc w:val="left"/>
      <w:pPr>
        <w:tabs>
          <w:tab w:val="num" w:pos="360"/>
        </w:tabs>
        <w:ind w:left="360" w:hanging="360"/>
      </w:pPr>
      <w:rPr>
        <w:rFonts w:ascii="Symbol" w:hAnsi="Symbol" w:hint="default"/>
        <w:caps w:val="0"/>
        <w:u w:val="none"/>
      </w:rPr>
    </w:lvl>
  </w:abstractNum>
  <w:abstractNum w:abstractNumId="23" w15:restartNumberingAfterBreak="0">
    <w:nsid w:val="7CAA67F9"/>
    <w:multiLevelType w:val="singleLevel"/>
    <w:tmpl w:val="B576E7F8"/>
    <w:name w:val="dtBL List Bullet 3"/>
    <w:lvl w:ilvl="0">
      <w:start w:val="1"/>
      <w:numFmt w:val="bullet"/>
      <w:lvlRestart w:val="0"/>
      <w:pStyle w:val="ListBullet3"/>
      <w:lvlText w:val=""/>
      <w:lvlJc w:val="left"/>
      <w:pPr>
        <w:tabs>
          <w:tab w:val="num" w:pos="1080"/>
        </w:tabs>
        <w:ind w:left="1080" w:hanging="360"/>
      </w:pPr>
      <w:rPr>
        <w:rFonts w:ascii="Symbol" w:hAnsi="Symbol" w:hint="default"/>
        <w:caps w:val="0"/>
        <w:u w:val="none"/>
      </w:rPr>
    </w:lvl>
  </w:abstractNum>
  <w:abstractNum w:abstractNumId="24" w15:restartNumberingAfterBreak="0">
    <w:nsid w:val="7E083F62"/>
    <w:multiLevelType w:val="multilevel"/>
    <w:tmpl w:val="9F8C460A"/>
    <w:name w:val="dtMLAppendix0"/>
    <w:lvl w:ilvl="0">
      <w:start w:val="1"/>
      <w:numFmt w:val="decimal"/>
      <w:lvlRestart w:val="0"/>
      <w:suff w:val="space"/>
      <w:lvlText w:val="Appendix %1."/>
      <w:lvlJc w:val="left"/>
      <w:pPr>
        <w:tabs>
          <w:tab w:val="num" w:pos="0"/>
        </w:tabs>
        <w:ind w:left="0" w:firstLine="0"/>
      </w:pPr>
      <w:rPr>
        <w:rFonts w:ascii="Times New Roman" w:hAnsi="Times New Roman" w:cs="Times New Roman" w:hint="eastAsia"/>
        <w:b/>
        <w:i w:val="0"/>
        <w:caps w:val="0"/>
        <w:sz w:val="24"/>
        <w:u w:val="none"/>
      </w:rPr>
    </w:lvl>
    <w:lvl w:ilvl="1">
      <w:start w:val="1"/>
      <w:numFmt w:val="decimal"/>
      <w:suff w:val="space"/>
      <w:lvlText w:val="Appendix %1.%2."/>
      <w:lvlJc w:val="left"/>
      <w:pPr>
        <w:tabs>
          <w:tab w:val="num" w:pos="0"/>
        </w:tabs>
        <w:ind w:left="0" w:firstLine="0"/>
      </w:pPr>
      <w:rPr>
        <w:rFonts w:ascii="Times New Roman" w:hAnsi="Times New Roman" w:cs="Times New Roman" w:hint="eastAsia"/>
        <w:b/>
        <w:i w:val="0"/>
        <w:caps w:val="0"/>
        <w:sz w:val="24"/>
        <w:u w:val="none"/>
      </w:rPr>
    </w:lvl>
    <w:lvl w:ilvl="2">
      <w:start w:val="1"/>
      <w:numFmt w:val="decimal"/>
      <w:suff w:val="space"/>
      <w:lvlText w:val="Appendix %1.%2.%3."/>
      <w:lvlJc w:val="left"/>
      <w:pPr>
        <w:tabs>
          <w:tab w:val="num" w:pos="0"/>
        </w:tabs>
        <w:ind w:left="0" w:firstLine="0"/>
      </w:pPr>
      <w:rPr>
        <w:rFonts w:ascii="Times New Roman" w:hAnsi="Times New Roman" w:cs="Times New Roman" w:hint="eastAsia"/>
        <w:b/>
        <w:i w:val="0"/>
        <w:caps w:val="0"/>
        <w:sz w:val="24"/>
        <w:u w:val="none"/>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num w:numId="1" w16cid:durableId="1166171435">
    <w:abstractNumId w:val="4"/>
  </w:num>
  <w:num w:numId="2" w16cid:durableId="1506824741">
    <w:abstractNumId w:val="9"/>
  </w:num>
  <w:num w:numId="3" w16cid:durableId="1504470690">
    <w:abstractNumId w:val="21"/>
  </w:num>
  <w:num w:numId="4" w16cid:durableId="1260603711">
    <w:abstractNumId w:val="2"/>
  </w:num>
  <w:num w:numId="5" w16cid:durableId="495148949">
    <w:abstractNumId w:val="5"/>
  </w:num>
  <w:num w:numId="6" w16cid:durableId="859667380">
    <w:abstractNumId w:val="23"/>
  </w:num>
  <w:num w:numId="7" w16cid:durableId="1414159099">
    <w:abstractNumId w:val="7"/>
  </w:num>
  <w:num w:numId="8" w16cid:durableId="420562944">
    <w:abstractNumId w:val="3"/>
  </w:num>
  <w:num w:numId="9" w16cid:durableId="2093314031">
    <w:abstractNumId w:val="11"/>
  </w:num>
  <w:num w:numId="10" w16cid:durableId="1299188658">
    <w:abstractNumId w:val="15"/>
  </w:num>
  <w:num w:numId="11" w16cid:durableId="1805927465">
    <w:abstractNumId w:val="1"/>
  </w:num>
  <w:num w:numId="12" w16cid:durableId="1463957785">
    <w:abstractNumId w:val="19"/>
  </w:num>
  <w:num w:numId="13" w16cid:durableId="172038883">
    <w:abstractNumId w:val="14"/>
  </w:num>
  <w:num w:numId="14" w16cid:durableId="200286715">
    <w:abstractNumId w:val="10"/>
  </w:num>
  <w:num w:numId="15" w16cid:durableId="1715232227">
    <w:abstractNumId w:val="12"/>
  </w:num>
  <w:num w:numId="16" w16cid:durableId="1869952221">
    <w:abstractNumId w:val="0"/>
  </w:num>
  <w:num w:numId="17" w16cid:durableId="2083721393">
    <w:abstractNumId w:val="8"/>
  </w:num>
  <w:num w:numId="18" w16cid:durableId="1238906770">
    <w:abstractNumId w:val="17"/>
  </w:num>
  <w:num w:numId="19" w16cid:durableId="1319965835">
    <w:abstractNumId w:val="20"/>
  </w:num>
  <w:num w:numId="20" w16cid:durableId="530268442">
    <w:abstractNumId w:val="13"/>
  </w:num>
  <w:num w:numId="21" w16cid:durableId="1750808726">
    <w:abstractNumId w:val="22"/>
  </w:num>
  <w:num w:numId="22" w16cid:durableId="2124418847">
    <w:abstractNumId w:val="16"/>
  </w:num>
  <w:num w:numId="23" w16cid:durableId="10649876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FA"/>
    <w:rsid w:val="0000107F"/>
    <w:rsid w:val="000011B3"/>
    <w:rsid w:val="00001829"/>
    <w:rsid w:val="000019F5"/>
    <w:rsid w:val="000022D8"/>
    <w:rsid w:val="00003485"/>
    <w:rsid w:val="00003E72"/>
    <w:rsid w:val="0000579B"/>
    <w:rsid w:val="00005E82"/>
    <w:rsid w:val="0000654E"/>
    <w:rsid w:val="000103E0"/>
    <w:rsid w:val="000105E7"/>
    <w:rsid w:val="00013785"/>
    <w:rsid w:val="00014774"/>
    <w:rsid w:val="00014EC3"/>
    <w:rsid w:val="0001642B"/>
    <w:rsid w:val="00020F86"/>
    <w:rsid w:val="00021A08"/>
    <w:rsid w:val="000234E4"/>
    <w:rsid w:val="000249D6"/>
    <w:rsid w:val="00024E98"/>
    <w:rsid w:val="00025A48"/>
    <w:rsid w:val="00025B89"/>
    <w:rsid w:val="00026425"/>
    <w:rsid w:val="00026843"/>
    <w:rsid w:val="00026B26"/>
    <w:rsid w:val="00027897"/>
    <w:rsid w:val="00030516"/>
    <w:rsid w:val="00032211"/>
    <w:rsid w:val="00033B4C"/>
    <w:rsid w:val="00035002"/>
    <w:rsid w:val="000352AE"/>
    <w:rsid w:val="00035995"/>
    <w:rsid w:val="00036BD2"/>
    <w:rsid w:val="00037411"/>
    <w:rsid w:val="00037902"/>
    <w:rsid w:val="00037E92"/>
    <w:rsid w:val="0004004D"/>
    <w:rsid w:val="000418F7"/>
    <w:rsid w:val="00041A12"/>
    <w:rsid w:val="00042220"/>
    <w:rsid w:val="00042C4F"/>
    <w:rsid w:val="00043530"/>
    <w:rsid w:val="000444B0"/>
    <w:rsid w:val="000464F1"/>
    <w:rsid w:val="0004702D"/>
    <w:rsid w:val="00047606"/>
    <w:rsid w:val="0005022A"/>
    <w:rsid w:val="00050846"/>
    <w:rsid w:val="00051280"/>
    <w:rsid w:val="00051342"/>
    <w:rsid w:val="00051B9D"/>
    <w:rsid w:val="0005270B"/>
    <w:rsid w:val="00054F74"/>
    <w:rsid w:val="000552F2"/>
    <w:rsid w:val="00055A21"/>
    <w:rsid w:val="0005612C"/>
    <w:rsid w:val="00056818"/>
    <w:rsid w:val="00056B79"/>
    <w:rsid w:val="00057BB7"/>
    <w:rsid w:val="00057E9D"/>
    <w:rsid w:val="000626BD"/>
    <w:rsid w:val="00062AB9"/>
    <w:rsid w:val="00063B4E"/>
    <w:rsid w:val="0006597A"/>
    <w:rsid w:val="0006627F"/>
    <w:rsid w:val="000663B3"/>
    <w:rsid w:val="00066FE6"/>
    <w:rsid w:val="000714FD"/>
    <w:rsid w:val="00071C31"/>
    <w:rsid w:val="00073588"/>
    <w:rsid w:val="00076305"/>
    <w:rsid w:val="00076EE5"/>
    <w:rsid w:val="00077462"/>
    <w:rsid w:val="000775B2"/>
    <w:rsid w:val="000777EA"/>
    <w:rsid w:val="000804CE"/>
    <w:rsid w:val="0008088E"/>
    <w:rsid w:val="00080CD6"/>
    <w:rsid w:val="00083793"/>
    <w:rsid w:val="0008521B"/>
    <w:rsid w:val="0008662E"/>
    <w:rsid w:val="00090103"/>
    <w:rsid w:val="0009094B"/>
    <w:rsid w:val="00090D9C"/>
    <w:rsid w:val="00092CD5"/>
    <w:rsid w:val="00092DEF"/>
    <w:rsid w:val="00093341"/>
    <w:rsid w:val="000943ED"/>
    <w:rsid w:val="00094A35"/>
    <w:rsid w:val="00095635"/>
    <w:rsid w:val="000A0871"/>
    <w:rsid w:val="000A148F"/>
    <w:rsid w:val="000A18CF"/>
    <w:rsid w:val="000A1983"/>
    <w:rsid w:val="000A30A5"/>
    <w:rsid w:val="000A3A0C"/>
    <w:rsid w:val="000A3C99"/>
    <w:rsid w:val="000A5458"/>
    <w:rsid w:val="000A655A"/>
    <w:rsid w:val="000A683A"/>
    <w:rsid w:val="000A690A"/>
    <w:rsid w:val="000A7FDC"/>
    <w:rsid w:val="000B075B"/>
    <w:rsid w:val="000B0DA5"/>
    <w:rsid w:val="000B0DF7"/>
    <w:rsid w:val="000B0E85"/>
    <w:rsid w:val="000B1E0C"/>
    <w:rsid w:val="000B277F"/>
    <w:rsid w:val="000B4A65"/>
    <w:rsid w:val="000B4FC8"/>
    <w:rsid w:val="000B73EF"/>
    <w:rsid w:val="000C114F"/>
    <w:rsid w:val="000C148B"/>
    <w:rsid w:val="000C2737"/>
    <w:rsid w:val="000C4B40"/>
    <w:rsid w:val="000D2CC1"/>
    <w:rsid w:val="000D37C1"/>
    <w:rsid w:val="000D3BF1"/>
    <w:rsid w:val="000D4849"/>
    <w:rsid w:val="000D5457"/>
    <w:rsid w:val="000D599A"/>
    <w:rsid w:val="000D69A3"/>
    <w:rsid w:val="000D6E8E"/>
    <w:rsid w:val="000D72F2"/>
    <w:rsid w:val="000D79BB"/>
    <w:rsid w:val="000D7C3E"/>
    <w:rsid w:val="000E068A"/>
    <w:rsid w:val="000E16DA"/>
    <w:rsid w:val="000E1829"/>
    <w:rsid w:val="000E2797"/>
    <w:rsid w:val="000E37D2"/>
    <w:rsid w:val="000E435E"/>
    <w:rsid w:val="000E4A2F"/>
    <w:rsid w:val="000E66D3"/>
    <w:rsid w:val="000E6F74"/>
    <w:rsid w:val="000E7237"/>
    <w:rsid w:val="000E7621"/>
    <w:rsid w:val="000F3033"/>
    <w:rsid w:val="000F3616"/>
    <w:rsid w:val="000F4107"/>
    <w:rsid w:val="000F48D0"/>
    <w:rsid w:val="000F4FBD"/>
    <w:rsid w:val="000F615A"/>
    <w:rsid w:val="000F67F5"/>
    <w:rsid w:val="00100ED7"/>
    <w:rsid w:val="00101663"/>
    <w:rsid w:val="00101722"/>
    <w:rsid w:val="00101BD6"/>
    <w:rsid w:val="00102233"/>
    <w:rsid w:val="00102551"/>
    <w:rsid w:val="001027D7"/>
    <w:rsid w:val="00102B71"/>
    <w:rsid w:val="0010457E"/>
    <w:rsid w:val="00104FD1"/>
    <w:rsid w:val="00105D26"/>
    <w:rsid w:val="001064FB"/>
    <w:rsid w:val="00107838"/>
    <w:rsid w:val="001078E3"/>
    <w:rsid w:val="0011015E"/>
    <w:rsid w:val="001103B7"/>
    <w:rsid w:val="00111602"/>
    <w:rsid w:val="001121A8"/>
    <w:rsid w:val="00112B3F"/>
    <w:rsid w:val="00112E5B"/>
    <w:rsid w:val="001135FD"/>
    <w:rsid w:val="00116D2B"/>
    <w:rsid w:val="00116E21"/>
    <w:rsid w:val="001214B4"/>
    <w:rsid w:val="0012187B"/>
    <w:rsid w:val="00121B3A"/>
    <w:rsid w:val="00122691"/>
    <w:rsid w:val="00123321"/>
    <w:rsid w:val="001249A5"/>
    <w:rsid w:val="0012544D"/>
    <w:rsid w:val="001257E5"/>
    <w:rsid w:val="0012668E"/>
    <w:rsid w:val="001267F1"/>
    <w:rsid w:val="001278E5"/>
    <w:rsid w:val="00127D16"/>
    <w:rsid w:val="00132126"/>
    <w:rsid w:val="001323CA"/>
    <w:rsid w:val="00132787"/>
    <w:rsid w:val="00132BE4"/>
    <w:rsid w:val="00132D20"/>
    <w:rsid w:val="00133139"/>
    <w:rsid w:val="001337DA"/>
    <w:rsid w:val="00134D68"/>
    <w:rsid w:val="0013623A"/>
    <w:rsid w:val="00136F10"/>
    <w:rsid w:val="00137BF6"/>
    <w:rsid w:val="00137F73"/>
    <w:rsid w:val="00140553"/>
    <w:rsid w:val="00141102"/>
    <w:rsid w:val="00141894"/>
    <w:rsid w:val="00141A24"/>
    <w:rsid w:val="001421CE"/>
    <w:rsid w:val="00143202"/>
    <w:rsid w:val="0014495F"/>
    <w:rsid w:val="001450E0"/>
    <w:rsid w:val="00145526"/>
    <w:rsid w:val="00145A23"/>
    <w:rsid w:val="00146794"/>
    <w:rsid w:val="001474EE"/>
    <w:rsid w:val="00147E5D"/>
    <w:rsid w:val="001509AB"/>
    <w:rsid w:val="0015434E"/>
    <w:rsid w:val="00154401"/>
    <w:rsid w:val="00154D42"/>
    <w:rsid w:val="00154F83"/>
    <w:rsid w:val="001566F0"/>
    <w:rsid w:val="00156751"/>
    <w:rsid w:val="00156CE1"/>
    <w:rsid w:val="00156E48"/>
    <w:rsid w:val="00156F55"/>
    <w:rsid w:val="001571B5"/>
    <w:rsid w:val="00157277"/>
    <w:rsid w:val="00157BAF"/>
    <w:rsid w:val="00160522"/>
    <w:rsid w:val="001606DC"/>
    <w:rsid w:val="00160BF3"/>
    <w:rsid w:val="00162281"/>
    <w:rsid w:val="001636E8"/>
    <w:rsid w:val="00163CD9"/>
    <w:rsid w:val="001653B4"/>
    <w:rsid w:val="00165808"/>
    <w:rsid w:val="00170F7A"/>
    <w:rsid w:val="0017105D"/>
    <w:rsid w:val="001714BE"/>
    <w:rsid w:val="00171E79"/>
    <w:rsid w:val="001726CE"/>
    <w:rsid w:val="00172A0F"/>
    <w:rsid w:val="001740E2"/>
    <w:rsid w:val="00175656"/>
    <w:rsid w:val="00175D09"/>
    <w:rsid w:val="0017645E"/>
    <w:rsid w:val="001764AD"/>
    <w:rsid w:val="00176968"/>
    <w:rsid w:val="00177229"/>
    <w:rsid w:val="001779C0"/>
    <w:rsid w:val="0018015F"/>
    <w:rsid w:val="00180633"/>
    <w:rsid w:val="00180AE8"/>
    <w:rsid w:val="00181F46"/>
    <w:rsid w:val="001824C8"/>
    <w:rsid w:val="0018348D"/>
    <w:rsid w:val="00183F2A"/>
    <w:rsid w:val="0018471B"/>
    <w:rsid w:val="00184AEF"/>
    <w:rsid w:val="00184F88"/>
    <w:rsid w:val="0018563B"/>
    <w:rsid w:val="00186EDF"/>
    <w:rsid w:val="0019280F"/>
    <w:rsid w:val="00192AC6"/>
    <w:rsid w:val="00194B9A"/>
    <w:rsid w:val="00195915"/>
    <w:rsid w:val="00195DF9"/>
    <w:rsid w:val="0019637D"/>
    <w:rsid w:val="001969C8"/>
    <w:rsid w:val="00197254"/>
    <w:rsid w:val="001974F0"/>
    <w:rsid w:val="001975C2"/>
    <w:rsid w:val="001A011E"/>
    <w:rsid w:val="001A0577"/>
    <w:rsid w:val="001A2115"/>
    <w:rsid w:val="001A3485"/>
    <w:rsid w:val="001A4112"/>
    <w:rsid w:val="001A7322"/>
    <w:rsid w:val="001A7CD9"/>
    <w:rsid w:val="001B0393"/>
    <w:rsid w:val="001B0E15"/>
    <w:rsid w:val="001B1A33"/>
    <w:rsid w:val="001B1F17"/>
    <w:rsid w:val="001B2A99"/>
    <w:rsid w:val="001B3194"/>
    <w:rsid w:val="001B38CA"/>
    <w:rsid w:val="001B4896"/>
    <w:rsid w:val="001B5FDB"/>
    <w:rsid w:val="001B6BE9"/>
    <w:rsid w:val="001B7BD0"/>
    <w:rsid w:val="001B7FC9"/>
    <w:rsid w:val="001C0883"/>
    <w:rsid w:val="001C154A"/>
    <w:rsid w:val="001C41B9"/>
    <w:rsid w:val="001C4B37"/>
    <w:rsid w:val="001C6F44"/>
    <w:rsid w:val="001C7927"/>
    <w:rsid w:val="001D0B51"/>
    <w:rsid w:val="001D1076"/>
    <w:rsid w:val="001D2530"/>
    <w:rsid w:val="001D29C8"/>
    <w:rsid w:val="001D2F54"/>
    <w:rsid w:val="001D35C2"/>
    <w:rsid w:val="001D4030"/>
    <w:rsid w:val="001D5271"/>
    <w:rsid w:val="001D5643"/>
    <w:rsid w:val="001D5FC9"/>
    <w:rsid w:val="001D6023"/>
    <w:rsid w:val="001D6202"/>
    <w:rsid w:val="001E2F4C"/>
    <w:rsid w:val="001E3E02"/>
    <w:rsid w:val="001E50AA"/>
    <w:rsid w:val="001E53C3"/>
    <w:rsid w:val="001E583A"/>
    <w:rsid w:val="001E5EE6"/>
    <w:rsid w:val="001F0388"/>
    <w:rsid w:val="001F0DDB"/>
    <w:rsid w:val="001F0E25"/>
    <w:rsid w:val="001F1840"/>
    <w:rsid w:val="001F342B"/>
    <w:rsid w:val="001F3C45"/>
    <w:rsid w:val="001F3EF1"/>
    <w:rsid w:val="001F7251"/>
    <w:rsid w:val="001F76C3"/>
    <w:rsid w:val="002007B6"/>
    <w:rsid w:val="002014C0"/>
    <w:rsid w:val="0020215B"/>
    <w:rsid w:val="00203E7C"/>
    <w:rsid w:val="002042BC"/>
    <w:rsid w:val="002060FA"/>
    <w:rsid w:val="002070E4"/>
    <w:rsid w:val="00207A82"/>
    <w:rsid w:val="00210046"/>
    <w:rsid w:val="002106C3"/>
    <w:rsid w:val="00211793"/>
    <w:rsid w:val="0021419B"/>
    <w:rsid w:val="002147E1"/>
    <w:rsid w:val="002148C0"/>
    <w:rsid w:val="00214DFC"/>
    <w:rsid w:val="002157B1"/>
    <w:rsid w:val="002166B1"/>
    <w:rsid w:val="00216B31"/>
    <w:rsid w:val="002171A3"/>
    <w:rsid w:val="00217C09"/>
    <w:rsid w:val="002202BA"/>
    <w:rsid w:val="00220FB7"/>
    <w:rsid w:val="002217C4"/>
    <w:rsid w:val="00221B59"/>
    <w:rsid w:val="00221FF2"/>
    <w:rsid w:val="00222D1C"/>
    <w:rsid w:val="00223CCD"/>
    <w:rsid w:val="00226F0D"/>
    <w:rsid w:val="002277A2"/>
    <w:rsid w:val="002303ED"/>
    <w:rsid w:val="00231517"/>
    <w:rsid w:val="002318F6"/>
    <w:rsid w:val="002329F8"/>
    <w:rsid w:val="00232A0E"/>
    <w:rsid w:val="00234501"/>
    <w:rsid w:val="002371C7"/>
    <w:rsid w:val="00237DAD"/>
    <w:rsid w:val="00240555"/>
    <w:rsid w:val="00240F54"/>
    <w:rsid w:val="0024114B"/>
    <w:rsid w:val="00241AF8"/>
    <w:rsid w:val="00241D11"/>
    <w:rsid w:val="002433D7"/>
    <w:rsid w:val="00243A31"/>
    <w:rsid w:val="00243ADE"/>
    <w:rsid w:val="00244711"/>
    <w:rsid w:val="002449B0"/>
    <w:rsid w:val="0024626A"/>
    <w:rsid w:val="00246A3C"/>
    <w:rsid w:val="002537D3"/>
    <w:rsid w:val="0025421D"/>
    <w:rsid w:val="00254345"/>
    <w:rsid w:val="00256BD7"/>
    <w:rsid w:val="002571E6"/>
    <w:rsid w:val="0026206E"/>
    <w:rsid w:val="0026234C"/>
    <w:rsid w:val="00265117"/>
    <w:rsid w:val="00265F1F"/>
    <w:rsid w:val="00265FA2"/>
    <w:rsid w:val="002703E9"/>
    <w:rsid w:val="00270589"/>
    <w:rsid w:val="00270D5B"/>
    <w:rsid w:val="00271513"/>
    <w:rsid w:val="00271624"/>
    <w:rsid w:val="00271FE3"/>
    <w:rsid w:val="002727D2"/>
    <w:rsid w:val="002741B5"/>
    <w:rsid w:val="002755A8"/>
    <w:rsid w:val="00275EF1"/>
    <w:rsid w:val="00276966"/>
    <w:rsid w:val="0027724C"/>
    <w:rsid w:val="0028185D"/>
    <w:rsid w:val="00281C78"/>
    <w:rsid w:val="00281FD5"/>
    <w:rsid w:val="0028341A"/>
    <w:rsid w:val="00283789"/>
    <w:rsid w:val="00284335"/>
    <w:rsid w:val="0028664D"/>
    <w:rsid w:val="002866A2"/>
    <w:rsid w:val="002870DB"/>
    <w:rsid w:val="0029199D"/>
    <w:rsid w:val="00291C8C"/>
    <w:rsid w:val="00291D63"/>
    <w:rsid w:val="00292E35"/>
    <w:rsid w:val="00292EE7"/>
    <w:rsid w:val="00294A15"/>
    <w:rsid w:val="00295C4B"/>
    <w:rsid w:val="00295D2D"/>
    <w:rsid w:val="0029687B"/>
    <w:rsid w:val="00296E1B"/>
    <w:rsid w:val="00296FC8"/>
    <w:rsid w:val="00297704"/>
    <w:rsid w:val="002A2D18"/>
    <w:rsid w:val="002A47CD"/>
    <w:rsid w:val="002A4944"/>
    <w:rsid w:val="002A4C6B"/>
    <w:rsid w:val="002A5064"/>
    <w:rsid w:val="002A56DF"/>
    <w:rsid w:val="002A5A3C"/>
    <w:rsid w:val="002A710F"/>
    <w:rsid w:val="002A722A"/>
    <w:rsid w:val="002A7916"/>
    <w:rsid w:val="002A7AB0"/>
    <w:rsid w:val="002B0E87"/>
    <w:rsid w:val="002B12A4"/>
    <w:rsid w:val="002B1775"/>
    <w:rsid w:val="002B1AAB"/>
    <w:rsid w:val="002B1F97"/>
    <w:rsid w:val="002B1F99"/>
    <w:rsid w:val="002B261C"/>
    <w:rsid w:val="002B3B9F"/>
    <w:rsid w:val="002B5272"/>
    <w:rsid w:val="002B57B8"/>
    <w:rsid w:val="002B6A8D"/>
    <w:rsid w:val="002C0516"/>
    <w:rsid w:val="002C0D71"/>
    <w:rsid w:val="002C11CC"/>
    <w:rsid w:val="002C14A0"/>
    <w:rsid w:val="002C1FFA"/>
    <w:rsid w:val="002C2457"/>
    <w:rsid w:val="002C2F9C"/>
    <w:rsid w:val="002C3AEB"/>
    <w:rsid w:val="002C52FA"/>
    <w:rsid w:val="002C682F"/>
    <w:rsid w:val="002C6B3F"/>
    <w:rsid w:val="002D066E"/>
    <w:rsid w:val="002D2038"/>
    <w:rsid w:val="002D2F19"/>
    <w:rsid w:val="002D331F"/>
    <w:rsid w:val="002D4024"/>
    <w:rsid w:val="002D50E1"/>
    <w:rsid w:val="002D5DE8"/>
    <w:rsid w:val="002D62BC"/>
    <w:rsid w:val="002E0582"/>
    <w:rsid w:val="002E0932"/>
    <w:rsid w:val="002E1020"/>
    <w:rsid w:val="002E1F9B"/>
    <w:rsid w:val="002E2568"/>
    <w:rsid w:val="002E39D9"/>
    <w:rsid w:val="002F08F0"/>
    <w:rsid w:val="002F0D3F"/>
    <w:rsid w:val="002F0EF7"/>
    <w:rsid w:val="002F2916"/>
    <w:rsid w:val="002F38F1"/>
    <w:rsid w:val="002F3CF5"/>
    <w:rsid w:val="002F5236"/>
    <w:rsid w:val="002F5934"/>
    <w:rsid w:val="002F5C6E"/>
    <w:rsid w:val="002F6F96"/>
    <w:rsid w:val="002F7383"/>
    <w:rsid w:val="00300574"/>
    <w:rsid w:val="00300594"/>
    <w:rsid w:val="00300CA7"/>
    <w:rsid w:val="00300E37"/>
    <w:rsid w:val="00301B8F"/>
    <w:rsid w:val="00303697"/>
    <w:rsid w:val="0030452B"/>
    <w:rsid w:val="003051B1"/>
    <w:rsid w:val="003103F7"/>
    <w:rsid w:val="00310BCB"/>
    <w:rsid w:val="00311A77"/>
    <w:rsid w:val="003121CD"/>
    <w:rsid w:val="00312720"/>
    <w:rsid w:val="003139EC"/>
    <w:rsid w:val="00314A8A"/>
    <w:rsid w:val="00315AB0"/>
    <w:rsid w:val="00316931"/>
    <w:rsid w:val="00320CAA"/>
    <w:rsid w:val="0032209F"/>
    <w:rsid w:val="00322A50"/>
    <w:rsid w:val="00322ABF"/>
    <w:rsid w:val="003230DB"/>
    <w:rsid w:val="003247C9"/>
    <w:rsid w:val="00325996"/>
    <w:rsid w:val="00325F86"/>
    <w:rsid w:val="00326FD3"/>
    <w:rsid w:val="003271E4"/>
    <w:rsid w:val="0032795C"/>
    <w:rsid w:val="00327974"/>
    <w:rsid w:val="00327E4F"/>
    <w:rsid w:val="003341F1"/>
    <w:rsid w:val="003368DE"/>
    <w:rsid w:val="00337B0E"/>
    <w:rsid w:val="0034115B"/>
    <w:rsid w:val="003419D9"/>
    <w:rsid w:val="00343126"/>
    <w:rsid w:val="0034316D"/>
    <w:rsid w:val="00343757"/>
    <w:rsid w:val="00343CE9"/>
    <w:rsid w:val="00343D80"/>
    <w:rsid w:val="00344655"/>
    <w:rsid w:val="0034484A"/>
    <w:rsid w:val="0034526A"/>
    <w:rsid w:val="00346FC4"/>
    <w:rsid w:val="00347DC9"/>
    <w:rsid w:val="0035061C"/>
    <w:rsid w:val="00350F98"/>
    <w:rsid w:val="00352BD6"/>
    <w:rsid w:val="00352FDB"/>
    <w:rsid w:val="00355224"/>
    <w:rsid w:val="00355601"/>
    <w:rsid w:val="003556AB"/>
    <w:rsid w:val="00355909"/>
    <w:rsid w:val="00356C5B"/>
    <w:rsid w:val="00356E75"/>
    <w:rsid w:val="003574CD"/>
    <w:rsid w:val="00361911"/>
    <w:rsid w:val="00362264"/>
    <w:rsid w:val="003626A5"/>
    <w:rsid w:val="003627BD"/>
    <w:rsid w:val="0036297A"/>
    <w:rsid w:val="00362C5A"/>
    <w:rsid w:val="003630FC"/>
    <w:rsid w:val="00363281"/>
    <w:rsid w:val="0036357D"/>
    <w:rsid w:val="00363766"/>
    <w:rsid w:val="003637E7"/>
    <w:rsid w:val="00363B38"/>
    <w:rsid w:val="00364A62"/>
    <w:rsid w:val="00364B78"/>
    <w:rsid w:val="00364CD6"/>
    <w:rsid w:val="00365213"/>
    <w:rsid w:val="003653A2"/>
    <w:rsid w:val="00365EA8"/>
    <w:rsid w:val="00366BDC"/>
    <w:rsid w:val="00367A4B"/>
    <w:rsid w:val="00370447"/>
    <w:rsid w:val="00370818"/>
    <w:rsid w:val="00370E16"/>
    <w:rsid w:val="003710EC"/>
    <w:rsid w:val="0037198D"/>
    <w:rsid w:val="00372D7B"/>
    <w:rsid w:val="003730BE"/>
    <w:rsid w:val="00373655"/>
    <w:rsid w:val="00374429"/>
    <w:rsid w:val="00375634"/>
    <w:rsid w:val="00376FF6"/>
    <w:rsid w:val="00377B26"/>
    <w:rsid w:val="003804E1"/>
    <w:rsid w:val="003804FE"/>
    <w:rsid w:val="0038055D"/>
    <w:rsid w:val="00380E9F"/>
    <w:rsid w:val="003812E1"/>
    <w:rsid w:val="00381574"/>
    <w:rsid w:val="003815FF"/>
    <w:rsid w:val="00382A4D"/>
    <w:rsid w:val="00382E80"/>
    <w:rsid w:val="0038373D"/>
    <w:rsid w:val="00383C60"/>
    <w:rsid w:val="00384987"/>
    <w:rsid w:val="00384C04"/>
    <w:rsid w:val="00386686"/>
    <w:rsid w:val="0038717D"/>
    <w:rsid w:val="003877C9"/>
    <w:rsid w:val="0039032D"/>
    <w:rsid w:val="00391FD2"/>
    <w:rsid w:val="003923D4"/>
    <w:rsid w:val="00393974"/>
    <w:rsid w:val="003947BB"/>
    <w:rsid w:val="00394879"/>
    <w:rsid w:val="003960D6"/>
    <w:rsid w:val="00396174"/>
    <w:rsid w:val="003A1A20"/>
    <w:rsid w:val="003A1AEA"/>
    <w:rsid w:val="003A1EEE"/>
    <w:rsid w:val="003A280A"/>
    <w:rsid w:val="003A29C7"/>
    <w:rsid w:val="003A3D88"/>
    <w:rsid w:val="003A46DE"/>
    <w:rsid w:val="003A65A7"/>
    <w:rsid w:val="003A6806"/>
    <w:rsid w:val="003A7E08"/>
    <w:rsid w:val="003B06D7"/>
    <w:rsid w:val="003B255D"/>
    <w:rsid w:val="003B3A4E"/>
    <w:rsid w:val="003B41A9"/>
    <w:rsid w:val="003B4317"/>
    <w:rsid w:val="003B74EB"/>
    <w:rsid w:val="003B7668"/>
    <w:rsid w:val="003C2545"/>
    <w:rsid w:val="003C2929"/>
    <w:rsid w:val="003C31A4"/>
    <w:rsid w:val="003C3292"/>
    <w:rsid w:val="003C366F"/>
    <w:rsid w:val="003C4BE5"/>
    <w:rsid w:val="003C60BA"/>
    <w:rsid w:val="003C69EC"/>
    <w:rsid w:val="003C6DC6"/>
    <w:rsid w:val="003D017D"/>
    <w:rsid w:val="003D0317"/>
    <w:rsid w:val="003D1056"/>
    <w:rsid w:val="003D1B26"/>
    <w:rsid w:val="003D4153"/>
    <w:rsid w:val="003D51CF"/>
    <w:rsid w:val="003D65AF"/>
    <w:rsid w:val="003E01D4"/>
    <w:rsid w:val="003E20B1"/>
    <w:rsid w:val="003E368C"/>
    <w:rsid w:val="003E39E2"/>
    <w:rsid w:val="003E39F1"/>
    <w:rsid w:val="003E3F04"/>
    <w:rsid w:val="003E4D78"/>
    <w:rsid w:val="003E6DCC"/>
    <w:rsid w:val="003F22D4"/>
    <w:rsid w:val="003F2BA4"/>
    <w:rsid w:val="003F3329"/>
    <w:rsid w:val="003F3630"/>
    <w:rsid w:val="003F3C86"/>
    <w:rsid w:val="003F5EE1"/>
    <w:rsid w:val="003F6122"/>
    <w:rsid w:val="003F72E7"/>
    <w:rsid w:val="003F7D00"/>
    <w:rsid w:val="00402941"/>
    <w:rsid w:val="004029E0"/>
    <w:rsid w:val="004039FD"/>
    <w:rsid w:val="004053A7"/>
    <w:rsid w:val="00405692"/>
    <w:rsid w:val="00411174"/>
    <w:rsid w:val="004112F4"/>
    <w:rsid w:val="00411E75"/>
    <w:rsid w:val="00412866"/>
    <w:rsid w:val="00412D74"/>
    <w:rsid w:val="00413EBB"/>
    <w:rsid w:val="00414503"/>
    <w:rsid w:val="00417ADD"/>
    <w:rsid w:val="004205C4"/>
    <w:rsid w:val="004215D2"/>
    <w:rsid w:val="0042332A"/>
    <w:rsid w:val="004239CB"/>
    <w:rsid w:val="00423DF6"/>
    <w:rsid w:val="00423FBF"/>
    <w:rsid w:val="004248D3"/>
    <w:rsid w:val="004252C6"/>
    <w:rsid w:val="00425926"/>
    <w:rsid w:val="0042595D"/>
    <w:rsid w:val="00426FD0"/>
    <w:rsid w:val="00430C88"/>
    <w:rsid w:val="00431E62"/>
    <w:rsid w:val="0043201C"/>
    <w:rsid w:val="00432FC2"/>
    <w:rsid w:val="00433191"/>
    <w:rsid w:val="00434D2C"/>
    <w:rsid w:val="00435568"/>
    <w:rsid w:val="004358E9"/>
    <w:rsid w:val="00436181"/>
    <w:rsid w:val="004362E1"/>
    <w:rsid w:val="004373EE"/>
    <w:rsid w:val="004374E2"/>
    <w:rsid w:val="004402BD"/>
    <w:rsid w:val="00441714"/>
    <w:rsid w:val="0044302C"/>
    <w:rsid w:val="00443E71"/>
    <w:rsid w:val="00444939"/>
    <w:rsid w:val="004464C5"/>
    <w:rsid w:val="004466BC"/>
    <w:rsid w:val="0044692C"/>
    <w:rsid w:val="00451FF6"/>
    <w:rsid w:val="00457B94"/>
    <w:rsid w:val="00460035"/>
    <w:rsid w:val="00460B73"/>
    <w:rsid w:val="00460C69"/>
    <w:rsid w:val="004617FB"/>
    <w:rsid w:val="00462F72"/>
    <w:rsid w:val="00465DB4"/>
    <w:rsid w:val="00465FD6"/>
    <w:rsid w:val="00466E3D"/>
    <w:rsid w:val="00467BBE"/>
    <w:rsid w:val="00471A2D"/>
    <w:rsid w:val="0047266D"/>
    <w:rsid w:val="004727E0"/>
    <w:rsid w:val="0047292B"/>
    <w:rsid w:val="004730C7"/>
    <w:rsid w:val="00473C3F"/>
    <w:rsid w:val="0047572F"/>
    <w:rsid w:val="00475942"/>
    <w:rsid w:val="00475BF3"/>
    <w:rsid w:val="00476452"/>
    <w:rsid w:val="004764B2"/>
    <w:rsid w:val="00476749"/>
    <w:rsid w:val="00477683"/>
    <w:rsid w:val="004779D6"/>
    <w:rsid w:val="004779F5"/>
    <w:rsid w:val="00480238"/>
    <w:rsid w:val="004826E2"/>
    <w:rsid w:val="004838A0"/>
    <w:rsid w:val="00483B28"/>
    <w:rsid w:val="004847E5"/>
    <w:rsid w:val="004859ED"/>
    <w:rsid w:val="00486A77"/>
    <w:rsid w:val="00486C8C"/>
    <w:rsid w:val="00486E55"/>
    <w:rsid w:val="00492148"/>
    <w:rsid w:val="00492958"/>
    <w:rsid w:val="0049392F"/>
    <w:rsid w:val="00494F2D"/>
    <w:rsid w:val="00496A7A"/>
    <w:rsid w:val="004970D3"/>
    <w:rsid w:val="00497994"/>
    <w:rsid w:val="004A0AEC"/>
    <w:rsid w:val="004A126D"/>
    <w:rsid w:val="004A1702"/>
    <w:rsid w:val="004A333D"/>
    <w:rsid w:val="004A3B84"/>
    <w:rsid w:val="004A4A05"/>
    <w:rsid w:val="004A4A54"/>
    <w:rsid w:val="004A5EA8"/>
    <w:rsid w:val="004A716D"/>
    <w:rsid w:val="004B21B8"/>
    <w:rsid w:val="004B446F"/>
    <w:rsid w:val="004B51C5"/>
    <w:rsid w:val="004B7698"/>
    <w:rsid w:val="004B7D69"/>
    <w:rsid w:val="004B7F64"/>
    <w:rsid w:val="004C0D4E"/>
    <w:rsid w:val="004C1201"/>
    <w:rsid w:val="004C130F"/>
    <w:rsid w:val="004C1568"/>
    <w:rsid w:val="004C1DC3"/>
    <w:rsid w:val="004C1EA3"/>
    <w:rsid w:val="004C48EB"/>
    <w:rsid w:val="004C4BCD"/>
    <w:rsid w:val="004C6630"/>
    <w:rsid w:val="004C6FDE"/>
    <w:rsid w:val="004D0D58"/>
    <w:rsid w:val="004D14FD"/>
    <w:rsid w:val="004D2543"/>
    <w:rsid w:val="004D2964"/>
    <w:rsid w:val="004D31A3"/>
    <w:rsid w:val="004D3C8A"/>
    <w:rsid w:val="004D5563"/>
    <w:rsid w:val="004D575F"/>
    <w:rsid w:val="004D73F2"/>
    <w:rsid w:val="004E05AC"/>
    <w:rsid w:val="004E12B2"/>
    <w:rsid w:val="004E139A"/>
    <w:rsid w:val="004E1FF0"/>
    <w:rsid w:val="004E37A8"/>
    <w:rsid w:val="004E3E13"/>
    <w:rsid w:val="004E4065"/>
    <w:rsid w:val="004E46A4"/>
    <w:rsid w:val="004E6669"/>
    <w:rsid w:val="004E6766"/>
    <w:rsid w:val="004E694D"/>
    <w:rsid w:val="004E7073"/>
    <w:rsid w:val="004F0D9C"/>
    <w:rsid w:val="004F3448"/>
    <w:rsid w:val="004F35B4"/>
    <w:rsid w:val="004F3C4D"/>
    <w:rsid w:val="004F4AE6"/>
    <w:rsid w:val="004F73E5"/>
    <w:rsid w:val="004F74B4"/>
    <w:rsid w:val="005019F1"/>
    <w:rsid w:val="00503DBD"/>
    <w:rsid w:val="0050436E"/>
    <w:rsid w:val="00506F82"/>
    <w:rsid w:val="0050790E"/>
    <w:rsid w:val="00510E48"/>
    <w:rsid w:val="00511C59"/>
    <w:rsid w:val="00511FBA"/>
    <w:rsid w:val="00512E57"/>
    <w:rsid w:val="00513584"/>
    <w:rsid w:val="00513CC1"/>
    <w:rsid w:val="00513D8A"/>
    <w:rsid w:val="00513FA2"/>
    <w:rsid w:val="0051421E"/>
    <w:rsid w:val="005146FA"/>
    <w:rsid w:val="0051476E"/>
    <w:rsid w:val="00514C41"/>
    <w:rsid w:val="00514D86"/>
    <w:rsid w:val="00514F9C"/>
    <w:rsid w:val="0051570E"/>
    <w:rsid w:val="00516E21"/>
    <w:rsid w:val="00517309"/>
    <w:rsid w:val="00520868"/>
    <w:rsid w:val="0052396C"/>
    <w:rsid w:val="005245B7"/>
    <w:rsid w:val="00530013"/>
    <w:rsid w:val="00531016"/>
    <w:rsid w:val="00531BDA"/>
    <w:rsid w:val="00531E8A"/>
    <w:rsid w:val="00532121"/>
    <w:rsid w:val="0053371E"/>
    <w:rsid w:val="00533C81"/>
    <w:rsid w:val="00534AF6"/>
    <w:rsid w:val="00535B09"/>
    <w:rsid w:val="00537085"/>
    <w:rsid w:val="005404A1"/>
    <w:rsid w:val="005417FD"/>
    <w:rsid w:val="00543387"/>
    <w:rsid w:val="0054356B"/>
    <w:rsid w:val="005438A9"/>
    <w:rsid w:val="00544294"/>
    <w:rsid w:val="005451AD"/>
    <w:rsid w:val="005456EC"/>
    <w:rsid w:val="005469E0"/>
    <w:rsid w:val="00547AE4"/>
    <w:rsid w:val="00550B5D"/>
    <w:rsid w:val="00551A0E"/>
    <w:rsid w:val="00552AAF"/>
    <w:rsid w:val="00552F78"/>
    <w:rsid w:val="00554880"/>
    <w:rsid w:val="005563DD"/>
    <w:rsid w:val="005564DD"/>
    <w:rsid w:val="00557910"/>
    <w:rsid w:val="00560297"/>
    <w:rsid w:val="00562884"/>
    <w:rsid w:val="00563804"/>
    <w:rsid w:val="00563973"/>
    <w:rsid w:val="00564221"/>
    <w:rsid w:val="0056450C"/>
    <w:rsid w:val="00566082"/>
    <w:rsid w:val="00567C53"/>
    <w:rsid w:val="0057059F"/>
    <w:rsid w:val="005712E4"/>
    <w:rsid w:val="00573020"/>
    <w:rsid w:val="00575490"/>
    <w:rsid w:val="00575AF8"/>
    <w:rsid w:val="00576DA7"/>
    <w:rsid w:val="00577358"/>
    <w:rsid w:val="00577CD3"/>
    <w:rsid w:val="0058024B"/>
    <w:rsid w:val="0058038E"/>
    <w:rsid w:val="00580A6A"/>
    <w:rsid w:val="00581D7D"/>
    <w:rsid w:val="00582EAD"/>
    <w:rsid w:val="00583572"/>
    <w:rsid w:val="00583787"/>
    <w:rsid w:val="00585695"/>
    <w:rsid w:val="00585957"/>
    <w:rsid w:val="00587809"/>
    <w:rsid w:val="00587BAF"/>
    <w:rsid w:val="00591258"/>
    <w:rsid w:val="00592329"/>
    <w:rsid w:val="005927A2"/>
    <w:rsid w:val="00594D32"/>
    <w:rsid w:val="00597D72"/>
    <w:rsid w:val="005A01C8"/>
    <w:rsid w:val="005A01F4"/>
    <w:rsid w:val="005A0405"/>
    <w:rsid w:val="005A13DD"/>
    <w:rsid w:val="005A3F77"/>
    <w:rsid w:val="005A454A"/>
    <w:rsid w:val="005A5C66"/>
    <w:rsid w:val="005B145D"/>
    <w:rsid w:val="005B1999"/>
    <w:rsid w:val="005B2A88"/>
    <w:rsid w:val="005B3175"/>
    <w:rsid w:val="005B4418"/>
    <w:rsid w:val="005B49A0"/>
    <w:rsid w:val="005B4E8E"/>
    <w:rsid w:val="005B4EFB"/>
    <w:rsid w:val="005B4F83"/>
    <w:rsid w:val="005B6B9C"/>
    <w:rsid w:val="005B6F80"/>
    <w:rsid w:val="005B7CFC"/>
    <w:rsid w:val="005C02B7"/>
    <w:rsid w:val="005C2742"/>
    <w:rsid w:val="005C2ED4"/>
    <w:rsid w:val="005C2FFD"/>
    <w:rsid w:val="005C3224"/>
    <w:rsid w:val="005C38AB"/>
    <w:rsid w:val="005C61DE"/>
    <w:rsid w:val="005D110C"/>
    <w:rsid w:val="005D1255"/>
    <w:rsid w:val="005D35C6"/>
    <w:rsid w:val="005D46E0"/>
    <w:rsid w:val="005D4786"/>
    <w:rsid w:val="005D4951"/>
    <w:rsid w:val="005D6EBC"/>
    <w:rsid w:val="005E1B23"/>
    <w:rsid w:val="005E23FE"/>
    <w:rsid w:val="005E3442"/>
    <w:rsid w:val="005E4152"/>
    <w:rsid w:val="005E4412"/>
    <w:rsid w:val="005E4C69"/>
    <w:rsid w:val="005E5122"/>
    <w:rsid w:val="005E5444"/>
    <w:rsid w:val="005E594B"/>
    <w:rsid w:val="005E6E36"/>
    <w:rsid w:val="005E7AA6"/>
    <w:rsid w:val="005F0573"/>
    <w:rsid w:val="005F07D5"/>
    <w:rsid w:val="005F207E"/>
    <w:rsid w:val="005F2AD7"/>
    <w:rsid w:val="005F4524"/>
    <w:rsid w:val="005F464B"/>
    <w:rsid w:val="005F5C0C"/>
    <w:rsid w:val="005F626F"/>
    <w:rsid w:val="005F645C"/>
    <w:rsid w:val="005F69D0"/>
    <w:rsid w:val="005F6B69"/>
    <w:rsid w:val="0060059C"/>
    <w:rsid w:val="00601048"/>
    <w:rsid w:val="00602001"/>
    <w:rsid w:val="0060284E"/>
    <w:rsid w:val="00602DDA"/>
    <w:rsid w:val="0060314B"/>
    <w:rsid w:val="00605028"/>
    <w:rsid w:val="0060663C"/>
    <w:rsid w:val="00606AD7"/>
    <w:rsid w:val="00606C92"/>
    <w:rsid w:val="006078A1"/>
    <w:rsid w:val="0061058F"/>
    <w:rsid w:val="00611774"/>
    <w:rsid w:val="00611B37"/>
    <w:rsid w:val="0061278B"/>
    <w:rsid w:val="00613184"/>
    <w:rsid w:val="006134C3"/>
    <w:rsid w:val="006137B0"/>
    <w:rsid w:val="006155F9"/>
    <w:rsid w:val="0061565F"/>
    <w:rsid w:val="006165BC"/>
    <w:rsid w:val="0061661C"/>
    <w:rsid w:val="00616E2F"/>
    <w:rsid w:val="00616EF6"/>
    <w:rsid w:val="0061777E"/>
    <w:rsid w:val="00620254"/>
    <w:rsid w:val="00621210"/>
    <w:rsid w:val="006224CC"/>
    <w:rsid w:val="00622920"/>
    <w:rsid w:val="00623326"/>
    <w:rsid w:val="00623905"/>
    <w:rsid w:val="00623963"/>
    <w:rsid w:val="0062454C"/>
    <w:rsid w:val="00624B1A"/>
    <w:rsid w:val="00624D8E"/>
    <w:rsid w:val="0062526B"/>
    <w:rsid w:val="006303B8"/>
    <w:rsid w:val="006304E0"/>
    <w:rsid w:val="0063329E"/>
    <w:rsid w:val="00634023"/>
    <w:rsid w:val="00634453"/>
    <w:rsid w:val="006344AA"/>
    <w:rsid w:val="00634C56"/>
    <w:rsid w:val="006354C1"/>
    <w:rsid w:val="00636841"/>
    <w:rsid w:val="006400C2"/>
    <w:rsid w:val="00640261"/>
    <w:rsid w:val="006402EE"/>
    <w:rsid w:val="006407AB"/>
    <w:rsid w:val="00641002"/>
    <w:rsid w:val="00641E5D"/>
    <w:rsid w:val="006421AA"/>
    <w:rsid w:val="00643055"/>
    <w:rsid w:val="00643249"/>
    <w:rsid w:val="0064645E"/>
    <w:rsid w:val="0064666F"/>
    <w:rsid w:val="006475DD"/>
    <w:rsid w:val="00647EB7"/>
    <w:rsid w:val="0065039F"/>
    <w:rsid w:val="006511C8"/>
    <w:rsid w:val="0065199A"/>
    <w:rsid w:val="00651AAC"/>
    <w:rsid w:val="00652467"/>
    <w:rsid w:val="00652772"/>
    <w:rsid w:val="00652784"/>
    <w:rsid w:val="006540AD"/>
    <w:rsid w:val="00654D31"/>
    <w:rsid w:val="00655C4D"/>
    <w:rsid w:val="00655CBE"/>
    <w:rsid w:val="00660673"/>
    <w:rsid w:val="0066262C"/>
    <w:rsid w:val="00663ED9"/>
    <w:rsid w:val="0066431C"/>
    <w:rsid w:val="00664382"/>
    <w:rsid w:val="006646A9"/>
    <w:rsid w:val="00664FCF"/>
    <w:rsid w:val="00665591"/>
    <w:rsid w:val="006666AE"/>
    <w:rsid w:val="006674FB"/>
    <w:rsid w:val="00670484"/>
    <w:rsid w:val="00670A6A"/>
    <w:rsid w:val="006711D7"/>
    <w:rsid w:val="00671AF0"/>
    <w:rsid w:val="00675710"/>
    <w:rsid w:val="0067621E"/>
    <w:rsid w:val="006763E2"/>
    <w:rsid w:val="006764D3"/>
    <w:rsid w:val="00676580"/>
    <w:rsid w:val="0067796F"/>
    <w:rsid w:val="00677F1C"/>
    <w:rsid w:val="00680C2C"/>
    <w:rsid w:val="00681D11"/>
    <w:rsid w:val="006820CF"/>
    <w:rsid w:val="00682967"/>
    <w:rsid w:val="00682B73"/>
    <w:rsid w:val="00683128"/>
    <w:rsid w:val="00683B32"/>
    <w:rsid w:val="006840D9"/>
    <w:rsid w:val="00684188"/>
    <w:rsid w:val="006848CF"/>
    <w:rsid w:val="006855C4"/>
    <w:rsid w:val="00685C3C"/>
    <w:rsid w:val="00686AAE"/>
    <w:rsid w:val="0069053D"/>
    <w:rsid w:val="00690DD0"/>
    <w:rsid w:val="00691693"/>
    <w:rsid w:val="0069201C"/>
    <w:rsid w:val="0069346B"/>
    <w:rsid w:val="00694787"/>
    <w:rsid w:val="00694A17"/>
    <w:rsid w:val="006A14C1"/>
    <w:rsid w:val="006A1646"/>
    <w:rsid w:val="006A4479"/>
    <w:rsid w:val="006A4696"/>
    <w:rsid w:val="006A50BE"/>
    <w:rsid w:val="006A5E23"/>
    <w:rsid w:val="006A6586"/>
    <w:rsid w:val="006B0E3D"/>
    <w:rsid w:val="006B1926"/>
    <w:rsid w:val="006B19C4"/>
    <w:rsid w:val="006B1AB1"/>
    <w:rsid w:val="006B1D76"/>
    <w:rsid w:val="006B1E07"/>
    <w:rsid w:val="006B2B9B"/>
    <w:rsid w:val="006B2E3F"/>
    <w:rsid w:val="006B39B6"/>
    <w:rsid w:val="006B3BC1"/>
    <w:rsid w:val="006B3CD9"/>
    <w:rsid w:val="006B4EBF"/>
    <w:rsid w:val="006B4EFD"/>
    <w:rsid w:val="006B4F86"/>
    <w:rsid w:val="006B546D"/>
    <w:rsid w:val="006B6546"/>
    <w:rsid w:val="006C0E4E"/>
    <w:rsid w:val="006C0FBC"/>
    <w:rsid w:val="006C2664"/>
    <w:rsid w:val="006C341F"/>
    <w:rsid w:val="006C41D1"/>
    <w:rsid w:val="006C45D0"/>
    <w:rsid w:val="006C4B70"/>
    <w:rsid w:val="006C4EAC"/>
    <w:rsid w:val="006C5A6F"/>
    <w:rsid w:val="006C7722"/>
    <w:rsid w:val="006C7D95"/>
    <w:rsid w:val="006D0EA8"/>
    <w:rsid w:val="006D0F8E"/>
    <w:rsid w:val="006D1445"/>
    <w:rsid w:val="006D1916"/>
    <w:rsid w:val="006D2175"/>
    <w:rsid w:val="006D258E"/>
    <w:rsid w:val="006D2EF5"/>
    <w:rsid w:val="006D31A1"/>
    <w:rsid w:val="006D35C0"/>
    <w:rsid w:val="006D3994"/>
    <w:rsid w:val="006D3EAF"/>
    <w:rsid w:val="006D418D"/>
    <w:rsid w:val="006D4645"/>
    <w:rsid w:val="006D4899"/>
    <w:rsid w:val="006D5AFB"/>
    <w:rsid w:val="006D5D5E"/>
    <w:rsid w:val="006D62F9"/>
    <w:rsid w:val="006D65BA"/>
    <w:rsid w:val="006D6B3D"/>
    <w:rsid w:val="006D70B5"/>
    <w:rsid w:val="006D7292"/>
    <w:rsid w:val="006D7596"/>
    <w:rsid w:val="006E04A9"/>
    <w:rsid w:val="006E1770"/>
    <w:rsid w:val="006E27B7"/>
    <w:rsid w:val="006E3F33"/>
    <w:rsid w:val="006E4172"/>
    <w:rsid w:val="006E590B"/>
    <w:rsid w:val="006E67FF"/>
    <w:rsid w:val="006E7F40"/>
    <w:rsid w:val="006F081D"/>
    <w:rsid w:val="006F20FF"/>
    <w:rsid w:val="006F2823"/>
    <w:rsid w:val="006F44BB"/>
    <w:rsid w:val="006F4CAD"/>
    <w:rsid w:val="006F6736"/>
    <w:rsid w:val="006F6762"/>
    <w:rsid w:val="006F6C17"/>
    <w:rsid w:val="0070129F"/>
    <w:rsid w:val="00701EEE"/>
    <w:rsid w:val="007022BC"/>
    <w:rsid w:val="007035A2"/>
    <w:rsid w:val="00705B3A"/>
    <w:rsid w:val="00705C4D"/>
    <w:rsid w:val="007070D2"/>
    <w:rsid w:val="00710299"/>
    <w:rsid w:val="007103A1"/>
    <w:rsid w:val="00710FBC"/>
    <w:rsid w:val="00712B09"/>
    <w:rsid w:val="00713AC7"/>
    <w:rsid w:val="0071542B"/>
    <w:rsid w:val="007166D6"/>
    <w:rsid w:val="00717425"/>
    <w:rsid w:val="00717DE4"/>
    <w:rsid w:val="007206CD"/>
    <w:rsid w:val="007213A9"/>
    <w:rsid w:val="00721F4D"/>
    <w:rsid w:val="0072341E"/>
    <w:rsid w:val="007242C2"/>
    <w:rsid w:val="00725775"/>
    <w:rsid w:val="00725976"/>
    <w:rsid w:val="00725CDD"/>
    <w:rsid w:val="00725DF7"/>
    <w:rsid w:val="007260EA"/>
    <w:rsid w:val="00727130"/>
    <w:rsid w:val="00727BB1"/>
    <w:rsid w:val="00730002"/>
    <w:rsid w:val="007314C7"/>
    <w:rsid w:val="00731A5A"/>
    <w:rsid w:val="00732769"/>
    <w:rsid w:val="00732A92"/>
    <w:rsid w:val="00733955"/>
    <w:rsid w:val="0073457F"/>
    <w:rsid w:val="00734810"/>
    <w:rsid w:val="00734C07"/>
    <w:rsid w:val="00734D33"/>
    <w:rsid w:val="00734D97"/>
    <w:rsid w:val="00734EDC"/>
    <w:rsid w:val="0073518A"/>
    <w:rsid w:val="00735651"/>
    <w:rsid w:val="0073685B"/>
    <w:rsid w:val="007401D1"/>
    <w:rsid w:val="007403A4"/>
    <w:rsid w:val="00740D59"/>
    <w:rsid w:val="00740DA9"/>
    <w:rsid w:val="00740DF6"/>
    <w:rsid w:val="00743F25"/>
    <w:rsid w:val="0074463F"/>
    <w:rsid w:val="00744B89"/>
    <w:rsid w:val="00745032"/>
    <w:rsid w:val="007454AE"/>
    <w:rsid w:val="00747B5E"/>
    <w:rsid w:val="00747CDC"/>
    <w:rsid w:val="00747F6B"/>
    <w:rsid w:val="00750203"/>
    <w:rsid w:val="0075253C"/>
    <w:rsid w:val="00752EEF"/>
    <w:rsid w:val="00753DB5"/>
    <w:rsid w:val="00754B34"/>
    <w:rsid w:val="00754D00"/>
    <w:rsid w:val="00755FFF"/>
    <w:rsid w:val="0075743D"/>
    <w:rsid w:val="00757E8E"/>
    <w:rsid w:val="00761084"/>
    <w:rsid w:val="007618C4"/>
    <w:rsid w:val="00761F72"/>
    <w:rsid w:val="0076225F"/>
    <w:rsid w:val="00762416"/>
    <w:rsid w:val="007633BB"/>
    <w:rsid w:val="00765B51"/>
    <w:rsid w:val="0076673D"/>
    <w:rsid w:val="0076722B"/>
    <w:rsid w:val="007674EE"/>
    <w:rsid w:val="007675D4"/>
    <w:rsid w:val="00770272"/>
    <w:rsid w:val="007703ED"/>
    <w:rsid w:val="00772971"/>
    <w:rsid w:val="00772CBA"/>
    <w:rsid w:val="00773793"/>
    <w:rsid w:val="00777263"/>
    <w:rsid w:val="00781815"/>
    <w:rsid w:val="00783356"/>
    <w:rsid w:val="00784F52"/>
    <w:rsid w:val="0078610D"/>
    <w:rsid w:val="007866D6"/>
    <w:rsid w:val="007872AB"/>
    <w:rsid w:val="007878E1"/>
    <w:rsid w:val="00787D1C"/>
    <w:rsid w:val="00791A07"/>
    <w:rsid w:val="00791F4C"/>
    <w:rsid w:val="00792352"/>
    <w:rsid w:val="00795CC0"/>
    <w:rsid w:val="007977A2"/>
    <w:rsid w:val="007A0064"/>
    <w:rsid w:val="007A1396"/>
    <w:rsid w:val="007A2A33"/>
    <w:rsid w:val="007A2E82"/>
    <w:rsid w:val="007A31E5"/>
    <w:rsid w:val="007A3397"/>
    <w:rsid w:val="007A3C90"/>
    <w:rsid w:val="007A453D"/>
    <w:rsid w:val="007A4941"/>
    <w:rsid w:val="007A56BC"/>
    <w:rsid w:val="007A73FC"/>
    <w:rsid w:val="007A7FF1"/>
    <w:rsid w:val="007B017E"/>
    <w:rsid w:val="007B0F4D"/>
    <w:rsid w:val="007B1612"/>
    <w:rsid w:val="007B305B"/>
    <w:rsid w:val="007B4A20"/>
    <w:rsid w:val="007C0A56"/>
    <w:rsid w:val="007C14E4"/>
    <w:rsid w:val="007C34EB"/>
    <w:rsid w:val="007C51B1"/>
    <w:rsid w:val="007C5BB7"/>
    <w:rsid w:val="007D159D"/>
    <w:rsid w:val="007D1F93"/>
    <w:rsid w:val="007D2AFB"/>
    <w:rsid w:val="007D2C71"/>
    <w:rsid w:val="007D336B"/>
    <w:rsid w:val="007D52A8"/>
    <w:rsid w:val="007D6E7A"/>
    <w:rsid w:val="007E2157"/>
    <w:rsid w:val="007E285F"/>
    <w:rsid w:val="007E3731"/>
    <w:rsid w:val="007E3E0C"/>
    <w:rsid w:val="007E407A"/>
    <w:rsid w:val="007E5605"/>
    <w:rsid w:val="007E5CC7"/>
    <w:rsid w:val="007E659A"/>
    <w:rsid w:val="007E68C2"/>
    <w:rsid w:val="007E735B"/>
    <w:rsid w:val="007E7AB8"/>
    <w:rsid w:val="007E7F4B"/>
    <w:rsid w:val="007F0452"/>
    <w:rsid w:val="007F1007"/>
    <w:rsid w:val="007F1D7C"/>
    <w:rsid w:val="007F2DE0"/>
    <w:rsid w:val="007F332C"/>
    <w:rsid w:val="007F3748"/>
    <w:rsid w:val="007F4DBF"/>
    <w:rsid w:val="007F5155"/>
    <w:rsid w:val="007F6E70"/>
    <w:rsid w:val="008001A8"/>
    <w:rsid w:val="00802440"/>
    <w:rsid w:val="00802A2C"/>
    <w:rsid w:val="00803637"/>
    <w:rsid w:val="008043AE"/>
    <w:rsid w:val="0080442B"/>
    <w:rsid w:val="00804C34"/>
    <w:rsid w:val="00807203"/>
    <w:rsid w:val="00807615"/>
    <w:rsid w:val="00807A52"/>
    <w:rsid w:val="008107AC"/>
    <w:rsid w:val="008109B0"/>
    <w:rsid w:val="00810F7C"/>
    <w:rsid w:val="0081185C"/>
    <w:rsid w:val="00811894"/>
    <w:rsid w:val="008133A2"/>
    <w:rsid w:val="00813FCE"/>
    <w:rsid w:val="00814451"/>
    <w:rsid w:val="00814FFE"/>
    <w:rsid w:val="00816A38"/>
    <w:rsid w:val="008178A5"/>
    <w:rsid w:val="00821C6D"/>
    <w:rsid w:val="00823D58"/>
    <w:rsid w:val="00824F6A"/>
    <w:rsid w:val="00825619"/>
    <w:rsid w:val="008257C3"/>
    <w:rsid w:val="00825B7F"/>
    <w:rsid w:val="00825D96"/>
    <w:rsid w:val="00826988"/>
    <w:rsid w:val="00826DAC"/>
    <w:rsid w:val="0082717E"/>
    <w:rsid w:val="00827CB3"/>
    <w:rsid w:val="00830B98"/>
    <w:rsid w:val="00833EA3"/>
    <w:rsid w:val="00836989"/>
    <w:rsid w:val="00836FD2"/>
    <w:rsid w:val="00837C3E"/>
    <w:rsid w:val="00837DF9"/>
    <w:rsid w:val="00840A08"/>
    <w:rsid w:val="00840AE7"/>
    <w:rsid w:val="00841233"/>
    <w:rsid w:val="00841BA6"/>
    <w:rsid w:val="00842815"/>
    <w:rsid w:val="008449E1"/>
    <w:rsid w:val="008454C2"/>
    <w:rsid w:val="00846572"/>
    <w:rsid w:val="0084657C"/>
    <w:rsid w:val="00846A60"/>
    <w:rsid w:val="008475B4"/>
    <w:rsid w:val="00850C04"/>
    <w:rsid w:val="00850F6C"/>
    <w:rsid w:val="00853148"/>
    <w:rsid w:val="00855265"/>
    <w:rsid w:val="00855F19"/>
    <w:rsid w:val="00856105"/>
    <w:rsid w:val="00856B75"/>
    <w:rsid w:val="00860B06"/>
    <w:rsid w:val="00860BB0"/>
    <w:rsid w:val="00863179"/>
    <w:rsid w:val="008645ED"/>
    <w:rsid w:val="008645FB"/>
    <w:rsid w:val="00865C0E"/>
    <w:rsid w:val="00866CEB"/>
    <w:rsid w:val="00866E12"/>
    <w:rsid w:val="0087223B"/>
    <w:rsid w:val="00872D24"/>
    <w:rsid w:val="00873122"/>
    <w:rsid w:val="008756FA"/>
    <w:rsid w:val="008763D5"/>
    <w:rsid w:val="008768CF"/>
    <w:rsid w:val="00876EED"/>
    <w:rsid w:val="00880446"/>
    <w:rsid w:val="00880B7E"/>
    <w:rsid w:val="008822B5"/>
    <w:rsid w:val="00882A6E"/>
    <w:rsid w:val="00885515"/>
    <w:rsid w:val="00885631"/>
    <w:rsid w:val="00887811"/>
    <w:rsid w:val="00887BC0"/>
    <w:rsid w:val="00890288"/>
    <w:rsid w:val="0089049C"/>
    <w:rsid w:val="0089074F"/>
    <w:rsid w:val="00890C1B"/>
    <w:rsid w:val="00891647"/>
    <w:rsid w:val="008934AC"/>
    <w:rsid w:val="0089501F"/>
    <w:rsid w:val="008953ED"/>
    <w:rsid w:val="00896BF8"/>
    <w:rsid w:val="008971ED"/>
    <w:rsid w:val="008A178D"/>
    <w:rsid w:val="008A2AF7"/>
    <w:rsid w:val="008A3D36"/>
    <w:rsid w:val="008A4EAB"/>
    <w:rsid w:val="008A67CA"/>
    <w:rsid w:val="008B175F"/>
    <w:rsid w:val="008B1870"/>
    <w:rsid w:val="008B21A1"/>
    <w:rsid w:val="008B2EDE"/>
    <w:rsid w:val="008B36D5"/>
    <w:rsid w:val="008B4300"/>
    <w:rsid w:val="008B57A1"/>
    <w:rsid w:val="008B631D"/>
    <w:rsid w:val="008C036F"/>
    <w:rsid w:val="008C064F"/>
    <w:rsid w:val="008C1F94"/>
    <w:rsid w:val="008C3CD4"/>
    <w:rsid w:val="008C4E03"/>
    <w:rsid w:val="008C5A9B"/>
    <w:rsid w:val="008C5C0E"/>
    <w:rsid w:val="008C5D34"/>
    <w:rsid w:val="008D0410"/>
    <w:rsid w:val="008D0C4A"/>
    <w:rsid w:val="008D2593"/>
    <w:rsid w:val="008D28CC"/>
    <w:rsid w:val="008D6C52"/>
    <w:rsid w:val="008D7033"/>
    <w:rsid w:val="008D7E7F"/>
    <w:rsid w:val="008E0375"/>
    <w:rsid w:val="008E0505"/>
    <w:rsid w:val="008E0A6C"/>
    <w:rsid w:val="008E1814"/>
    <w:rsid w:val="008E1F1D"/>
    <w:rsid w:val="008E1FFD"/>
    <w:rsid w:val="008E296B"/>
    <w:rsid w:val="008E2E3A"/>
    <w:rsid w:val="008E320B"/>
    <w:rsid w:val="008E32C1"/>
    <w:rsid w:val="008E435F"/>
    <w:rsid w:val="008E4504"/>
    <w:rsid w:val="008E56C6"/>
    <w:rsid w:val="008E5942"/>
    <w:rsid w:val="008E60FE"/>
    <w:rsid w:val="008E65BE"/>
    <w:rsid w:val="008E7EED"/>
    <w:rsid w:val="008F181C"/>
    <w:rsid w:val="008F19C1"/>
    <w:rsid w:val="008F2853"/>
    <w:rsid w:val="008F38D0"/>
    <w:rsid w:val="008F3D45"/>
    <w:rsid w:val="008F4586"/>
    <w:rsid w:val="008F58DB"/>
    <w:rsid w:val="008F5C0D"/>
    <w:rsid w:val="008F6123"/>
    <w:rsid w:val="008F6C1B"/>
    <w:rsid w:val="008F6CD5"/>
    <w:rsid w:val="008F6CD6"/>
    <w:rsid w:val="009002FD"/>
    <w:rsid w:val="00900B0F"/>
    <w:rsid w:val="00900DB6"/>
    <w:rsid w:val="00900E80"/>
    <w:rsid w:val="009013C8"/>
    <w:rsid w:val="00901B89"/>
    <w:rsid w:val="00902136"/>
    <w:rsid w:val="009021BA"/>
    <w:rsid w:val="009031F7"/>
    <w:rsid w:val="00903AF4"/>
    <w:rsid w:val="00904B18"/>
    <w:rsid w:val="009053D7"/>
    <w:rsid w:val="00905F64"/>
    <w:rsid w:val="00906518"/>
    <w:rsid w:val="0090736F"/>
    <w:rsid w:val="00907ED3"/>
    <w:rsid w:val="009101F5"/>
    <w:rsid w:val="009111FF"/>
    <w:rsid w:val="009114F8"/>
    <w:rsid w:val="00912745"/>
    <w:rsid w:val="00912D5A"/>
    <w:rsid w:val="00913EE9"/>
    <w:rsid w:val="0091552F"/>
    <w:rsid w:val="00916F9D"/>
    <w:rsid w:val="00920138"/>
    <w:rsid w:val="00920838"/>
    <w:rsid w:val="0092107B"/>
    <w:rsid w:val="009231E4"/>
    <w:rsid w:val="0092366A"/>
    <w:rsid w:val="00924B78"/>
    <w:rsid w:val="00924C8B"/>
    <w:rsid w:val="00926565"/>
    <w:rsid w:val="0092769E"/>
    <w:rsid w:val="00927A12"/>
    <w:rsid w:val="00931143"/>
    <w:rsid w:val="009316DA"/>
    <w:rsid w:val="009325B8"/>
    <w:rsid w:val="00932B9D"/>
    <w:rsid w:val="0093466F"/>
    <w:rsid w:val="00935162"/>
    <w:rsid w:val="0093702F"/>
    <w:rsid w:val="0093768E"/>
    <w:rsid w:val="00937FB1"/>
    <w:rsid w:val="00940D80"/>
    <w:rsid w:val="00941E30"/>
    <w:rsid w:val="0094290A"/>
    <w:rsid w:val="00944F26"/>
    <w:rsid w:val="009456D9"/>
    <w:rsid w:val="00945BCB"/>
    <w:rsid w:val="009504F1"/>
    <w:rsid w:val="00950713"/>
    <w:rsid w:val="009514B9"/>
    <w:rsid w:val="0095185C"/>
    <w:rsid w:val="009520CD"/>
    <w:rsid w:val="0095235C"/>
    <w:rsid w:val="00952447"/>
    <w:rsid w:val="0095379D"/>
    <w:rsid w:val="009539E5"/>
    <w:rsid w:val="0095414C"/>
    <w:rsid w:val="00954500"/>
    <w:rsid w:val="009549B6"/>
    <w:rsid w:val="009559D7"/>
    <w:rsid w:val="00960352"/>
    <w:rsid w:val="009621FF"/>
    <w:rsid w:val="00963410"/>
    <w:rsid w:val="009644C4"/>
    <w:rsid w:val="00966088"/>
    <w:rsid w:val="0096685A"/>
    <w:rsid w:val="00966E66"/>
    <w:rsid w:val="00967FF3"/>
    <w:rsid w:val="0097095B"/>
    <w:rsid w:val="009710C9"/>
    <w:rsid w:val="00971272"/>
    <w:rsid w:val="00972AA0"/>
    <w:rsid w:val="00972CF8"/>
    <w:rsid w:val="00973259"/>
    <w:rsid w:val="00973535"/>
    <w:rsid w:val="00973CF6"/>
    <w:rsid w:val="0097466C"/>
    <w:rsid w:val="0097471F"/>
    <w:rsid w:val="00974740"/>
    <w:rsid w:val="00975311"/>
    <w:rsid w:val="00975A28"/>
    <w:rsid w:val="00975A34"/>
    <w:rsid w:val="00975F5B"/>
    <w:rsid w:val="00976364"/>
    <w:rsid w:val="00976801"/>
    <w:rsid w:val="0097777B"/>
    <w:rsid w:val="00977AFB"/>
    <w:rsid w:val="00977DDD"/>
    <w:rsid w:val="00981283"/>
    <w:rsid w:val="00984265"/>
    <w:rsid w:val="00985BCB"/>
    <w:rsid w:val="00986C26"/>
    <w:rsid w:val="00987349"/>
    <w:rsid w:val="0099229B"/>
    <w:rsid w:val="009944C3"/>
    <w:rsid w:val="00994DCA"/>
    <w:rsid w:val="00995EFD"/>
    <w:rsid w:val="00996B3B"/>
    <w:rsid w:val="00996FCE"/>
    <w:rsid w:val="009A0477"/>
    <w:rsid w:val="009A0DDA"/>
    <w:rsid w:val="009A1139"/>
    <w:rsid w:val="009A1FEC"/>
    <w:rsid w:val="009A21D8"/>
    <w:rsid w:val="009A30F6"/>
    <w:rsid w:val="009A39FE"/>
    <w:rsid w:val="009A4719"/>
    <w:rsid w:val="009A4CA8"/>
    <w:rsid w:val="009A54A7"/>
    <w:rsid w:val="009A5B62"/>
    <w:rsid w:val="009A5CBC"/>
    <w:rsid w:val="009A6793"/>
    <w:rsid w:val="009A76D7"/>
    <w:rsid w:val="009A7E43"/>
    <w:rsid w:val="009B0C81"/>
    <w:rsid w:val="009B2513"/>
    <w:rsid w:val="009B3552"/>
    <w:rsid w:val="009B6805"/>
    <w:rsid w:val="009B684E"/>
    <w:rsid w:val="009B72BB"/>
    <w:rsid w:val="009B7FE5"/>
    <w:rsid w:val="009C1D06"/>
    <w:rsid w:val="009C1EBE"/>
    <w:rsid w:val="009C2781"/>
    <w:rsid w:val="009C2FE5"/>
    <w:rsid w:val="009C4186"/>
    <w:rsid w:val="009C4DB7"/>
    <w:rsid w:val="009C67E6"/>
    <w:rsid w:val="009D0768"/>
    <w:rsid w:val="009D0B08"/>
    <w:rsid w:val="009D15DA"/>
    <w:rsid w:val="009D2CC1"/>
    <w:rsid w:val="009D4D6C"/>
    <w:rsid w:val="009D53CC"/>
    <w:rsid w:val="009D5648"/>
    <w:rsid w:val="009D7074"/>
    <w:rsid w:val="009D75BE"/>
    <w:rsid w:val="009D7835"/>
    <w:rsid w:val="009E0529"/>
    <w:rsid w:val="009E406E"/>
    <w:rsid w:val="009E4ECE"/>
    <w:rsid w:val="009E4F52"/>
    <w:rsid w:val="009E58BD"/>
    <w:rsid w:val="009E59F2"/>
    <w:rsid w:val="009E6153"/>
    <w:rsid w:val="009E6FFC"/>
    <w:rsid w:val="009F0494"/>
    <w:rsid w:val="009F185E"/>
    <w:rsid w:val="009F194C"/>
    <w:rsid w:val="009F2466"/>
    <w:rsid w:val="009F4FF3"/>
    <w:rsid w:val="009F6687"/>
    <w:rsid w:val="009F7453"/>
    <w:rsid w:val="00A003FE"/>
    <w:rsid w:val="00A0137A"/>
    <w:rsid w:val="00A01453"/>
    <w:rsid w:val="00A018D0"/>
    <w:rsid w:val="00A01AD8"/>
    <w:rsid w:val="00A02971"/>
    <w:rsid w:val="00A0313F"/>
    <w:rsid w:val="00A03968"/>
    <w:rsid w:val="00A04192"/>
    <w:rsid w:val="00A04498"/>
    <w:rsid w:val="00A0502E"/>
    <w:rsid w:val="00A0529E"/>
    <w:rsid w:val="00A0580C"/>
    <w:rsid w:val="00A05DE7"/>
    <w:rsid w:val="00A0744E"/>
    <w:rsid w:val="00A11BDC"/>
    <w:rsid w:val="00A13C7D"/>
    <w:rsid w:val="00A155B7"/>
    <w:rsid w:val="00A15640"/>
    <w:rsid w:val="00A157DA"/>
    <w:rsid w:val="00A15CBC"/>
    <w:rsid w:val="00A16007"/>
    <w:rsid w:val="00A16A4E"/>
    <w:rsid w:val="00A17B9C"/>
    <w:rsid w:val="00A17E23"/>
    <w:rsid w:val="00A2261D"/>
    <w:rsid w:val="00A24B92"/>
    <w:rsid w:val="00A24FD9"/>
    <w:rsid w:val="00A25893"/>
    <w:rsid w:val="00A25922"/>
    <w:rsid w:val="00A2594C"/>
    <w:rsid w:val="00A25C13"/>
    <w:rsid w:val="00A260FA"/>
    <w:rsid w:val="00A3196E"/>
    <w:rsid w:val="00A32400"/>
    <w:rsid w:val="00A33CA9"/>
    <w:rsid w:val="00A34A65"/>
    <w:rsid w:val="00A34E6B"/>
    <w:rsid w:val="00A34EE1"/>
    <w:rsid w:val="00A356EB"/>
    <w:rsid w:val="00A36D10"/>
    <w:rsid w:val="00A37AEF"/>
    <w:rsid w:val="00A40932"/>
    <w:rsid w:val="00A415D5"/>
    <w:rsid w:val="00A42277"/>
    <w:rsid w:val="00A4278C"/>
    <w:rsid w:val="00A4315B"/>
    <w:rsid w:val="00A437EF"/>
    <w:rsid w:val="00A43B41"/>
    <w:rsid w:val="00A44D0A"/>
    <w:rsid w:val="00A45CC1"/>
    <w:rsid w:val="00A477D0"/>
    <w:rsid w:val="00A504F5"/>
    <w:rsid w:val="00A52C16"/>
    <w:rsid w:val="00A531D4"/>
    <w:rsid w:val="00A54734"/>
    <w:rsid w:val="00A54951"/>
    <w:rsid w:val="00A563C7"/>
    <w:rsid w:val="00A615C1"/>
    <w:rsid w:val="00A629AB"/>
    <w:rsid w:val="00A62F4C"/>
    <w:rsid w:val="00A63B14"/>
    <w:rsid w:val="00A64439"/>
    <w:rsid w:val="00A65E3E"/>
    <w:rsid w:val="00A667C5"/>
    <w:rsid w:val="00A66E69"/>
    <w:rsid w:val="00A66EF4"/>
    <w:rsid w:val="00A7155E"/>
    <w:rsid w:val="00A72823"/>
    <w:rsid w:val="00A736D2"/>
    <w:rsid w:val="00A73E11"/>
    <w:rsid w:val="00A73E38"/>
    <w:rsid w:val="00A76B23"/>
    <w:rsid w:val="00A80B19"/>
    <w:rsid w:val="00A80FBA"/>
    <w:rsid w:val="00A811E5"/>
    <w:rsid w:val="00A815A1"/>
    <w:rsid w:val="00A81983"/>
    <w:rsid w:val="00A81E72"/>
    <w:rsid w:val="00A81FAF"/>
    <w:rsid w:val="00A829A0"/>
    <w:rsid w:val="00A82BD6"/>
    <w:rsid w:val="00A82CDE"/>
    <w:rsid w:val="00A83322"/>
    <w:rsid w:val="00A834BB"/>
    <w:rsid w:val="00A8354D"/>
    <w:rsid w:val="00A83856"/>
    <w:rsid w:val="00A846BB"/>
    <w:rsid w:val="00A86BE5"/>
    <w:rsid w:val="00A86E1E"/>
    <w:rsid w:val="00A8781C"/>
    <w:rsid w:val="00A87EB5"/>
    <w:rsid w:val="00A90EEA"/>
    <w:rsid w:val="00A928F8"/>
    <w:rsid w:val="00A9402E"/>
    <w:rsid w:val="00A94490"/>
    <w:rsid w:val="00A944C4"/>
    <w:rsid w:val="00A94543"/>
    <w:rsid w:val="00A95082"/>
    <w:rsid w:val="00A9599B"/>
    <w:rsid w:val="00AA0903"/>
    <w:rsid w:val="00AA3522"/>
    <w:rsid w:val="00AA3DD4"/>
    <w:rsid w:val="00AA40F4"/>
    <w:rsid w:val="00AA4125"/>
    <w:rsid w:val="00AA46AD"/>
    <w:rsid w:val="00AA4C93"/>
    <w:rsid w:val="00AA6796"/>
    <w:rsid w:val="00AB06D0"/>
    <w:rsid w:val="00AB0F10"/>
    <w:rsid w:val="00AB18E3"/>
    <w:rsid w:val="00AB25BB"/>
    <w:rsid w:val="00AB3CC1"/>
    <w:rsid w:val="00AB43CD"/>
    <w:rsid w:val="00AB471C"/>
    <w:rsid w:val="00AB47C2"/>
    <w:rsid w:val="00AB5B12"/>
    <w:rsid w:val="00AB5BEA"/>
    <w:rsid w:val="00AB5EFD"/>
    <w:rsid w:val="00AC1276"/>
    <w:rsid w:val="00AC1C28"/>
    <w:rsid w:val="00AC1C62"/>
    <w:rsid w:val="00AC21FF"/>
    <w:rsid w:val="00AC2609"/>
    <w:rsid w:val="00AC51BA"/>
    <w:rsid w:val="00AC5423"/>
    <w:rsid w:val="00AC5EE2"/>
    <w:rsid w:val="00AC60D5"/>
    <w:rsid w:val="00AC6284"/>
    <w:rsid w:val="00AC67AC"/>
    <w:rsid w:val="00AC71B9"/>
    <w:rsid w:val="00AC77F7"/>
    <w:rsid w:val="00AD3674"/>
    <w:rsid w:val="00AD3AAA"/>
    <w:rsid w:val="00AD4FE4"/>
    <w:rsid w:val="00AD6350"/>
    <w:rsid w:val="00AD671D"/>
    <w:rsid w:val="00AD7BF9"/>
    <w:rsid w:val="00AE0B4B"/>
    <w:rsid w:val="00AE1B5E"/>
    <w:rsid w:val="00AE2BB5"/>
    <w:rsid w:val="00AE5C09"/>
    <w:rsid w:val="00AE5DA4"/>
    <w:rsid w:val="00AE5EEB"/>
    <w:rsid w:val="00AE62BF"/>
    <w:rsid w:val="00AF01E4"/>
    <w:rsid w:val="00AF0346"/>
    <w:rsid w:val="00AF1679"/>
    <w:rsid w:val="00AF1CB4"/>
    <w:rsid w:val="00AF2840"/>
    <w:rsid w:val="00AF2C7E"/>
    <w:rsid w:val="00AF35B9"/>
    <w:rsid w:val="00AF4C14"/>
    <w:rsid w:val="00AF5282"/>
    <w:rsid w:val="00AF57E1"/>
    <w:rsid w:val="00AF7EF5"/>
    <w:rsid w:val="00B00118"/>
    <w:rsid w:val="00B003B8"/>
    <w:rsid w:val="00B020AD"/>
    <w:rsid w:val="00B022B6"/>
    <w:rsid w:val="00B02619"/>
    <w:rsid w:val="00B026B1"/>
    <w:rsid w:val="00B038A3"/>
    <w:rsid w:val="00B0502A"/>
    <w:rsid w:val="00B0619D"/>
    <w:rsid w:val="00B062FE"/>
    <w:rsid w:val="00B06439"/>
    <w:rsid w:val="00B07F38"/>
    <w:rsid w:val="00B10A61"/>
    <w:rsid w:val="00B11153"/>
    <w:rsid w:val="00B1186E"/>
    <w:rsid w:val="00B11EA5"/>
    <w:rsid w:val="00B11EF5"/>
    <w:rsid w:val="00B13463"/>
    <w:rsid w:val="00B156F0"/>
    <w:rsid w:val="00B15A7B"/>
    <w:rsid w:val="00B15B08"/>
    <w:rsid w:val="00B15F20"/>
    <w:rsid w:val="00B15FC6"/>
    <w:rsid w:val="00B16655"/>
    <w:rsid w:val="00B16DA5"/>
    <w:rsid w:val="00B176CB"/>
    <w:rsid w:val="00B17D6A"/>
    <w:rsid w:val="00B20342"/>
    <w:rsid w:val="00B20BA4"/>
    <w:rsid w:val="00B212C1"/>
    <w:rsid w:val="00B2192E"/>
    <w:rsid w:val="00B21D08"/>
    <w:rsid w:val="00B221D9"/>
    <w:rsid w:val="00B224D0"/>
    <w:rsid w:val="00B22CA5"/>
    <w:rsid w:val="00B24595"/>
    <w:rsid w:val="00B259E9"/>
    <w:rsid w:val="00B25D4E"/>
    <w:rsid w:val="00B26863"/>
    <w:rsid w:val="00B30713"/>
    <w:rsid w:val="00B3086D"/>
    <w:rsid w:val="00B30B3F"/>
    <w:rsid w:val="00B317A5"/>
    <w:rsid w:val="00B32291"/>
    <w:rsid w:val="00B33281"/>
    <w:rsid w:val="00B33B93"/>
    <w:rsid w:val="00B351BA"/>
    <w:rsid w:val="00B363EF"/>
    <w:rsid w:val="00B378D5"/>
    <w:rsid w:val="00B420C3"/>
    <w:rsid w:val="00B422BD"/>
    <w:rsid w:val="00B42647"/>
    <w:rsid w:val="00B428BD"/>
    <w:rsid w:val="00B42910"/>
    <w:rsid w:val="00B429CF"/>
    <w:rsid w:val="00B43A0B"/>
    <w:rsid w:val="00B44EC3"/>
    <w:rsid w:val="00B4566E"/>
    <w:rsid w:val="00B46345"/>
    <w:rsid w:val="00B46AD1"/>
    <w:rsid w:val="00B47F9A"/>
    <w:rsid w:val="00B50270"/>
    <w:rsid w:val="00B51C3E"/>
    <w:rsid w:val="00B51E0D"/>
    <w:rsid w:val="00B51EAC"/>
    <w:rsid w:val="00B521AB"/>
    <w:rsid w:val="00B52375"/>
    <w:rsid w:val="00B527A9"/>
    <w:rsid w:val="00B533EE"/>
    <w:rsid w:val="00B53CA6"/>
    <w:rsid w:val="00B5524F"/>
    <w:rsid w:val="00B5568E"/>
    <w:rsid w:val="00B57090"/>
    <w:rsid w:val="00B57AA1"/>
    <w:rsid w:val="00B57B61"/>
    <w:rsid w:val="00B57F7B"/>
    <w:rsid w:val="00B60550"/>
    <w:rsid w:val="00B60642"/>
    <w:rsid w:val="00B60CCF"/>
    <w:rsid w:val="00B61567"/>
    <w:rsid w:val="00B61D7B"/>
    <w:rsid w:val="00B63AA7"/>
    <w:rsid w:val="00B63B4C"/>
    <w:rsid w:val="00B64AB4"/>
    <w:rsid w:val="00B67A48"/>
    <w:rsid w:val="00B67DE9"/>
    <w:rsid w:val="00B7219F"/>
    <w:rsid w:val="00B7266B"/>
    <w:rsid w:val="00B72FD2"/>
    <w:rsid w:val="00B737DD"/>
    <w:rsid w:val="00B745FB"/>
    <w:rsid w:val="00B765C8"/>
    <w:rsid w:val="00B765E1"/>
    <w:rsid w:val="00B76FAF"/>
    <w:rsid w:val="00B77E93"/>
    <w:rsid w:val="00B8059C"/>
    <w:rsid w:val="00B81570"/>
    <w:rsid w:val="00B81E84"/>
    <w:rsid w:val="00B82A84"/>
    <w:rsid w:val="00B82B2F"/>
    <w:rsid w:val="00B831D8"/>
    <w:rsid w:val="00B83911"/>
    <w:rsid w:val="00B83C49"/>
    <w:rsid w:val="00B8434A"/>
    <w:rsid w:val="00B844C3"/>
    <w:rsid w:val="00B84600"/>
    <w:rsid w:val="00B8504E"/>
    <w:rsid w:val="00B852BD"/>
    <w:rsid w:val="00B86CD8"/>
    <w:rsid w:val="00B87823"/>
    <w:rsid w:val="00B91967"/>
    <w:rsid w:val="00B9219F"/>
    <w:rsid w:val="00B93F57"/>
    <w:rsid w:val="00B940C4"/>
    <w:rsid w:val="00B942D4"/>
    <w:rsid w:val="00B97620"/>
    <w:rsid w:val="00B9765E"/>
    <w:rsid w:val="00BA17FA"/>
    <w:rsid w:val="00BA2CB0"/>
    <w:rsid w:val="00BA3244"/>
    <w:rsid w:val="00BA3E96"/>
    <w:rsid w:val="00BA4A9C"/>
    <w:rsid w:val="00BA5242"/>
    <w:rsid w:val="00BB136E"/>
    <w:rsid w:val="00BB13A0"/>
    <w:rsid w:val="00BB1906"/>
    <w:rsid w:val="00BB22A7"/>
    <w:rsid w:val="00BB3F0A"/>
    <w:rsid w:val="00BB417F"/>
    <w:rsid w:val="00BB5E6A"/>
    <w:rsid w:val="00BB6C62"/>
    <w:rsid w:val="00BC06B8"/>
    <w:rsid w:val="00BC101F"/>
    <w:rsid w:val="00BC3861"/>
    <w:rsid w:val="00BC3FDB"/>
    <w:rsid w:val="00BC458C"/>
    <w:rsid w:val="00BC4844"/>
    <w:rsid w:val="00BC5AEF"/>
    <w:rsid w:val="00BC62B0"/>
    <w:rsid w:val="00BC6EDA"/>
    <w:rsid w:val="00BC7B24"/>
    <w:rsid w:val="00BD231C"/>
    <w:rsid w:val="00BD3500"/>
    <w:rsid w:val="00BD47FB"/>
    <w:rsid w:val="00BD4E9C"/>
    <w:rsid w:val="00BD6136"/>
    <w:rsid w:val="00BD6236"/>
    <w:rsid w:val="00BE0BBB"/>
    <w:rsid w:val="00BE1E2C"/>
    <w:rsid w:val="00BE2A82"/>
    <w:rsid w:val="00BE3005"/>
    <w:rsid w:val="00BE30DB"/>
    <w:rsid w:val="00BE4657"/>
    <w:rsid w:val="00BE5932"/>
    <w:rsid w:val="00BF02FD"/>
    <w:rsid w:val="00BF19F2"/>
    <w:rsid w:val="00BF2435"/>
    <w:rsid w:val="00BF248A"/>
    <w:rsid w:val="00BF260F"/>
    <w:rsid w:val="00BF35E1"/>
    <w:rsid w:val="00BF38E2"/>
    <w:rsid w:val="00BF4BEC"/>
    <w:rsid w:val="00BF636F"/>
    <w:rsid w:val="00BF795F"/>
    <w:rsid w:val="00C00D10"/>
    <w:rsid w:val="00C024E5"/>
    <w:rsid w:val="00C02F1A"/>
    <w:rsid w:val="00C035A6"/>
    <w:rsid w:val="00C03D83"/>
    <w:rsid w:val="00C070DF"/>
    <w:rsid w:val="00C101EF"/>
    <w:rsid w:val="00C124BF"/>
    <w:rsid w:val="00C12919"/>
    <w:rsid w:val="00C13317"/>
    <w:rsid w:val="00C13330"/>
    <w:rsid w:val="00C13DF7"/>
    <w:rsid w:val="00C149EC"/>
    <w:rsid w:val="00C15112"/>
    <w:rsid w:val="00C169D2"/>
    <w:rsid w:val="00C176EE"/>
    <w:rsid w:val="00C17D58"/>
    <w:rsid w:val="00C2013D"/>
    <w:rsid w:val="00C20DA8"/>
    <w:rsid w:val="00C21883"/>
    <w:rsid w:val="00C2223E"/>
    <w:rsid w:val="00C23CDE"/>
    <w:rsid w:val="00C2424B"/>
    <w:rsid w:val="00C25D7C"/>
    <w:rsid w:val="00C25E1B"/>
    <w:rsid w:val="00C2649E"/>
    <w:rsid w:val="00C26FA7"/>
    <w:rsid w:val="00C27049"/>
    <w:rsid w:val="00C30AA2"/>
    <w:rsid w:val="00C331F2"/>
    <w:rsid w:val="00C34D61"/>
    <w:rsid w:val="00C35D9C"/>
    <w:rsid w:val="00C362BC"/>
    <w:rsid w:val="00C40E91"/>
    <w:rsid w:val="00C4263E"/>
    <w:rsid w:val="00C436E6"/>
    <w:rsid w:val="00C44B13"/>
    <w:rsid w:val="00C466DA"/>
    <w:rsid w:val="00C50EDF"/>
    <w:rsid w:val="00C516C7"/>
    <w:rsid w:val="00C525DF"/>
    <w:rsid w:val="00C55569"/>
    <w:rsid w:val="00C63017"/>
    <w:rsid w:val="00C6355E"/>
    <w:rsid w:val="00C6402F"/>
    <w:rsid w:val="00C647A2"/>
    <w:rsid w:val="00C64A31"/>
    <w:rsid w:val="00C653F9"/>
    <w:rsid w:val="00C65625"/>
    <w:rsid w:val="00C65A16"/>
    <w:rsid w:val="00C708CB"/>
    <w:rsid w:val="00C70B15"/>
    <w:rsid w:val="00C719A3"/>
    <w:rsid w:val="00C725C9"/>
    <w:rsid w:val="00C73EDC"/>
    <w:rsid w:val="00C74655"/>
    <w:rsid w:val="00C74E5B"/>
    <w:rsid w:val="00C75038"/>
    <w:rsid w:val="00C806C6"/>
    <w:rsid w:val="00C8162E"/>
    <w:rsid w:val="00C82851"/>
    <w:rsid w:val="00C82DA6"/>
    <w:rsid w:val="00C84AD7"/>
    <w:rsid w:val="00C873C3"/>
    <w:rsid w:val="00C87653"/>
    <w:rsid w:val="00C87B7A"/>
    <w:rsid w:val="00C90D36"/>
    <w:rsid w:val="00C91E50"/>
    <w:rsid w:val="00C92525"/>
    <w:rsid w:val="00C92BC1"/>
    <w:rsid w:val="00C96D85"/>
    <w:rsid w:val="00CA02B7"/>
    <w:rsid w:val="00CA11B1"/>
    <w:rsid w:val="00CA307B"/>
    <w:rsid w:val="00CA331D"/>
    <w:rsid w:val="00CA3472"/>
    <w:rsid w:val="00CA34E6"/>
    <w:rsid w:val="00CA4BAA"/>
    <w:rsid w:val="00CA51AE"/>
    <w:rsid w:val="00CA575F"/>
    <w:rsid w:val="00CA6102"/>
    <w:rsid w:val="00CA6166"/>
    <w:rsid w:val="00CA7989"/>
    <w:rsid w:val="00CB34FC"/>
    <w:rsid w:val="00CB477B"/>
    <w:rsid w:val="00CB4B7A"/>
    <w:rsid w:val="00CB5D47"/>
    <w:rsid w:val="00CB61F4"/>
    <w:rsid w:val="00CB6C49"/>
    <w:rsid w:val="00CB77B2"/>
    <w:rsid w:val="00CC0135"/>
    <w:rsid w:val="00CC120B"/>
    <w:rsid w:val="00CC24B7"/>
    <w:rsid w:val="00CC25DA"/>
    <w:rsid w:val="00CC3AA1"/>
    <w:rsid w:val="00CC40E0"/>
    <w:rsid w:val="00CC47C5"/>
    <w:rsid w:val="00CC4903"/>
    <w:rsid w:val="00CC5E04"/>
    <w:rsid w:val="00CC5F52"/>
    <w:rsid w:val="00CC770F"/>
    <w:rsid w:val="00CD0E53"/>
    <w:rsid w:val="00CD18F6"/>
    <w:rsid w:val="00CD1C9A"/>
    <w:rsid w:val="00CD227A"/>
    <w:rsid w:val="00CD3191"/>
    <w:rsid w:val="00CD3280"/>
    <w:rsid w:val="00CD32F3"/>
    <w:rsid w:val="00CD36FD"/>
    <w:rsid w:val="00CD3AED"/>
    <w:rsid w:val="00CD4EE0"/>
    <w:rsid w:val="00CD5165"/>
    <w:rsid w:val="00CD5719"/>
    <w:rsid w:val="00CD5A24"/>
    <w:rsid w:val="00CD6516"/>
    <w:rsid w:val="00CD6A00"/>
    <w:rsid w:val="00CD6C4F"/>
    <w:rsid w:val="00CD6EDB"/>
    <w:rsid w:val="00CD74D6"/>
    <w:rsid w:val="00CD74F0"/>
    <w:rsid w:val="00CD7E76"/>
    <w:rsid w:val="00CE069B"/>
    <w:rsid w:val="00CE11E0"/>
    <w:rsid w:val="00CE1440"/>
    <w:rsid w:val="00CE1B34"/>
    <w:rsid w:val="00CE3F90"/>
    <w:rsid w:val="00CE42FA"/>
    <w:rsid w:val="00CE4784"/>
    <w:rsid w:val="00CE4E30"/>
    <w:rsid w:val="00CE5CCA"/>
    <w:rsid w:val="00CE5D96"/>
    <w:rsid w:val="00CE608B"/>
    <w:rsid w:val="00CE687A"/>
    <w:rsid w:val="00CE6B5F"/>
    <w:rsid w:val="00CE6FCA"/>
    <w:rsid w:val="00CE74F9"/>
    <w:rsid w:val="00CE7AE7"/>
    <w:rsid w:val="00CF038C"/>
    <w:rsid w:val="00CF05FB"/>
    <w:rsid w:val="00CF07FE"/>
    <w:rsid w:val="00CF2D5C"/>
    <w:rsid w:val="00CF47F0"/>
    <w:rsid w:val="00CF5D40"/>
    <w:rsid w:val="00CF66FA"/>
    <w:rsid w:val="00CF70FB"/>
    <w:rsid w:val="00CF7923"/>
    <w:rsid w:val="00D00F14"/>
    <w:rsid w:val="00D01328"/>
    <w:rsid w:val="00D01713"/>
    <w:rsid w:val="00D03733"/>
    <w:rsid w:val="00D0569E"/>
    <w:rsid w:val="00D05EEC"/>
    <w:rsid w:val="00D06664"/>
    <w:rsid w:val="00D06DA6"/>
    <w:rsid w:val="00D06E98"/>
    <w:rsid w:val="00D072DD"/>
    <w:rsid w:val="00D074EB"/>
    <w:rsid w:val="00D07968"/>
    <w:rsid w:val="00D118CC"/>
    <w:rsid w:val="00D119D4"/>
    <w:rsid w:val="00D120C7"/>
    <w:rsid w:val="00D12EB9"/>
    <w:rsid w:val="00D13EC1"/>
    <w:rsid w:val="00D14BBE"/>
    <w:rsid w:val="00D14DC0"/>
    <w:rsid w:val="00D154E9"/>
    <w:rsid w:val="00D15732"/>
    <w:rsid w:val="00D15794"/>
    <w:rsid w:val="00D158C9"/>
    <w:rsid w:val="00D15BF0"/>
    <w:rsid w:val="00D164DC"/>
    <w:rsid w:val="00D17F65"/>
    <w:rsid w:val="00D17FC8"/>
    <w:rsid w:val="00D2086A"/>
    <w:rsid w:val="00D21370"/>
    <w:rsid w:val="00D2173C"/>
    <w:rsid w:val="00D21D2B"/>
    <w:rsid w:val="00D22D6A"/>
    <w:rsid w:val="00D230AB"/>
    <w:rsid w:val="00D24B23"/>
    <w:rsid w:val="00D25467"/>
    <w:rsid w:val="00D257A4"/>
    <w:rsid w:val="00D25926"/>
    <w:rsid w:val="00D2779C"/>
    <w:rsid w:val="00D27C2D"/>
    <w:rsid w:val="00D330E0"/>
    <w:rsid w:val="00D3320F"/>
    <w:rsid w:val="00D339DA"/>
    <w:rsid w:val="00D3436E"/>
    <w:rsid w:val="00D353F5"/>
    <w:rsid w:val="00D3650A"/>
    <w:rsid w:val="00D372BF"/>
    <w:rsid w:val="00D37704"/>
    <w:rsid w:val="00D379C5"/>
    <w:rsid w:val="00D43A4A"/>
    <w:rsid w:val="00D43A55"/>
    <w:rsid w:val="00D442EF"/>
    <w:rsid w:val="00D44EDB"/>
    <w:rsid w:val="00D45327"/>
    <w:rsid w:val="00D4589A"/>
    <w:rsid w:val="00D458CF"/>
    <w:rsid w:val="00D46C24"/>
    <w:rsid w:val="00D46F5F"/>
    <w:rsid w:val="00D51CA6"/>
    <w:rsid w:val="00D52C3F"/>
    <w:rsid w:val="00D536FE"/>
    <w:rsid w:val="00D53A91"/>
    <w:rsid w:val="00D55CCE"/>
    <w:rsid w:val="00D6091D"/>
    <w:rsid w:val="00D625D1"/>
    <w:rsid w:val="00D62960"/>
    <w:rsid w:val="00D638AD"/>
    <w:rsid w:val="00D6430D"/>
    <w:rsid w:val="00D64497"/>
    <w:rsid w:val="00D64819"/>
    <w:rsid w:val="00D6486C"/>
    <w:rsid w:val="00D64B0E"/>
    <w:rsid w:val="00D6513E"/>
    <w:rsid w:val="00D66824"/>
    <w:rsid w:val="00D66BC7"/>
    <w:rsid w:val="00D71608"/>
    <w:rsid w:val="00D73496"/>
    <w:rsid w:val="00D73EEA"/>
    <w:rsid w:val="00D73F55"/>
    <w:rsid w:val="00D75502"/>
    <w:rsid w:val="00D7722D"/>
    <w:rsid w:val="00D81AF8"/>
    <w:rsid w:val="00D825F2"/>
    <w:rsid w:val="00D84574"/>
    <w:rsid w:val="00D84E67"/>
    <w:rsid w:val="00D84E7B"/>
    <w:rsid w:val="00D852AC"/>
    <w:rsid w:val="00D85A3B"/>
    <w:rsid w:val="00D85E74"/>
    <w:rsid w:val="00D8635E"/>
    <w:rsid w:val="00D869CD"/>
    <w:rsid w:val="00D86AA6"/>
    <w:rsid w:val="00D87270"/>
    <w:rsid w:val="00D87905"/>
    <w:rsid w:val="00D909CF"/>
    <w:rsid w:val="00D923EE"/>
    <w:rsid w:val="00D93AE7"/>
    <w:rsid w:val="00D960E0"/>
    <w:rsid w:val="00D96336"/>
    <w:rsid w:val="00D97B96"/>
    <w:rsid w:val="00D97C33"/>
    <w:rsid w:val="00DA0D70"/>
    <w:rsid w:val="00DA0ED6"/>
    <w:rsid w:val="00DA1895"/>
    <w:rsid w:val="00DA2D9F"/>
    <w:rsid w:val="00DA3372"/>
    <w:rsid w:val="00DA4EF1"/>
    <w:rsid w:val="00DA781F"/>
    <w:rsid w:val="00DA78AA"/>
    <w:rsid w:val="00DA7D6D"/>
    <w:rsid w:val="00DB1A71"/>
    <w:rsid w:val="00DB203C"/>
    <w:rsid w:val="00DB5407"/>
    <w:rsid w:val="00DB5689"/>
    <w:rsid w:val="00DB61FA"/>
    <w:rsid w:val="00DB6FB1"/>
    <w:rsid w:val="00DB7467"/>
    <w:rsid w:val="00DC0A16"/>
    <w:rsid w:val="00DC1D04"/>
    <w:rsid w:val="00DC278E"/>
    <w:rsid w:val="00DC2B62"/>
    <w:rsid w:val="00DC34CE"/>
    <w:rsid w:val="00DC39D9"/>
    <w:rsid w:val="00DC3AEE"/>
    <w:rsid w:val="00DC5241"/>
    <w:rsid w:val="00DC7617"/>
    <w:rsid w:val="00DC78E1"/>
    <w:rsid w:val="00DD24EC"/>
    <w:rsid w:val="00DD2B17"/>
    <w:rsid w:val="00DD2B93"/>
    <w:rsid w:val="00DD3264"/>
    <w:rsid w:val="00DD37FF"/>
    <w:rsid w:val="00DD3FB6"/>
    <w:rsid w:val="00DD4454"/>
    <w:rsid w:val="00DD4681"/>
    <w:rsid w:val="00DD57AF"/>
    <w:rsid w:val="00DD783B"/>
    <w:rsid w:val="00DE0D44"/>
    <w:rsid w:val="00DE1DD6"/>
    <w:rsid w:val="00DE2645"/>
    <w:rsid w:val="00DE345E"/>
    <w:rsid w:val="00DE3478"/>
    <w:rsid w:val="00DE4D0F"/>
    <w:rsid w:val="00DE5D0E"/>
    <w:rsid w:val="00DE5D19"/>
    <w:rsid w:val="00DE5E86"/>
    <w:rsid w:val="00DE6523"/>
    <w:rsid w:val="00DE6DDA"/>
    <w:rsid w:val="00DE731C"/>
    <w:rsid w:val="00DF0A40"/>
    <w:rsid w:val="00DF0BBA"/>
    <w:rsid w:val="00DF21BD"/>
    <w:rsid w:val="00DF240B"/>
    <w:rsid w:val="00DF2F79"/>
    <w:rsid w:val="00DF35F8"/>
    <w:rsid w:val="00DF4B62"/>
    <w:rsid w:val="00DF5209"/>
    <w:rsid w:val="00DF56A3"/>
    <w:rsid w:val="00DF5FB9"/>
    <w:rsid w:val="00DF61C3"/>
    <w:rsid w:val="00DF68E1"/>
    <w:rsid w:val="00DF6EDB"/>
    <w:rsid w:val="00E01367"/>
    <w:rsid w:val="00E01D6C"/>
    <w:rsid w:val="00E05CD0"/>
    <w:rsid w:val="00E05D26"/>
    <w:rsid w:val="00E05E4A"/>
    <w:rsid w:val="00E06545"/>
    <w:rsid w:val="00E10429"/>
    <w:rsid w:val="00E10EEA"/>
    <w:rsid w:val="00E11F1D"/>
    <w:rsid w:val="00E127E9"/>
    <w:rsid w:val="00E15AC9"/>
    <w:rsid w:val="00E172B0"/>
    <w:rsid w:val="00E17C3B"/>
    <w:rsid w:val="00E20C47"/>
    <w:rsid w:val="00E20EF2"/>
    <w:rsid w:val="00E21B99"/>
    <w:rsid w:val="00E221CF"/>
    <w:rsid w:val="00E23786"/>
    <w:rsid w:val="00E23BA6"/>
    <w:rsid w:val="00E25884"/>
    <w:rsid w:val="00E258C9"/>
    <w:rsid w:val="00E26113"/>
    <w:rsid w:val="00E27BC8"/>
    <w:rsid w:val="00E27C0F"/>
    <w:rsid w:val="00E3039C"/>
    <w:rsid w:val="00E30FCC"/>
    <w:rsid w:val="00E31044"/>
    <w:rsid w:val="00E31D33"/>
    <w:rsid w:val="00E31F8E"/>
    <w:rsid w:val="00E320FB"/>
    <w:rsid w:val="00E33749"/>
    <w:rsid w:val="00E33D7C"/>
    <w:rsid w:val="00E33DA3"/>
    <w:rsid w:val="00E341CF"/>
    <w:rsid w:val="00E3488A"/>
    <w:rsid w:val="00E34962"/>
    <w:rsid w:val="00E350E6"/>
    <w:rsid w:val="00E36B36"/>
    <w:rsid w:val="00E36DFB"/>
    <w:rsid w:val="00E419D1"/>
    <w:rsid w:val="00E42531"/>
    <w:rsid w:val="00E4558F"/>
    <w:rsid w:val="00E45F9E"/>
    <w:rsid w:val="00E47138"/>
    <w:rsid w:val="00E47C88"/>
    <w:rsid w:val="00E50947"/>
    <w:rsid w:val="00E50A8B"/>
    <w:rsid w:val="00E51171"/>
    <w:rsid w:val="00E52E88"/>
    <w:rsid w:val="00E53ED1"/>
    <w:rsid w:val="00E55459"/>
    <w:rsid w:val="00E55E1D"/>
    <w:rsid w:val="00E6015A"/>
    <w:rsid w:val="00E60520"/>
    <w:rsid w:val="00E60AD1"/>
    <w:rsid w:val="00E62B0B"/>
    <w:rsid w:val="00E64329"/>
    <w:rsid w:val="00E66724"/>
    <w:rsid w:val="00E66FC8"/>
    <w:rsid w:val="00E70A08"/>
    <w:rsid w:val="00E717EC"/>
    <w:rsid w:val="00E721DD"/>
    <w:rsid w:val="00E72D85"/>
    <w:rsid w:val="00E73F7C"/>
    <w:rsid w:val="00E7560F"/>
    <w:rsid w:val="00E7586C"/>
    <w:rsid w:val="00E77812"/>
    <w:rsid w:val="00E807DB"/>
    <w:rsid w:val="00E81251"/>
    <w:rsid w:val="00E81B6C"/>
    <w:rsid w:val="00E821BD"/>
    <w:rsid w:val="00E8257C"/>
    <w:rsid w:val="00E82E09"/>
    <w:rsid w:val="00E858EC"/>
    <w:rsid w:val="00E85F6D"/>
    <w:rsid w:val="00E874F0"/>
    <w:rsid w:val="00E9157D"/>
    <w:rsid w:val="00E91814"/>
    <w:rsid w:val="00E92A5B"/>
    <w:rsid w:val="00E93AB3"/>
    <w:rsid w:val="00E93B02"/>
    <w:rsid w:val="00E96E6B"/>
    <w:rsid w:val="00E9747F"/>
    <w:rsid w:val="00EA0639"/>
    <w:rsid w:val="00EA0D44"/>
    <w:rsid w:val="00EA1D6D"/>
    <w:rsid w:val="00EA4365"/>
    <w:rsid w:val="00EB02B7"/>
    <w:rsid w:val="00EB0318"/>
    <w:rsid w:val="00EB1917"/>
    <w:rsid w:val="00EB1AA8"/>
    <w:rsid w:val="00EB365C"/>
    <w:rsid w:val="00EB390B"/>
    <w:rsid w:val="00EB42DF"/>
    <w:rsid w:val="00EB4D43"/>
    <w:rsid w:val="00EB53F6"/>
    <w:rsid w:val="00EC03A0"/>
    <w:rsid w:val="00EC2007"/>
    <w:rsid w:val="00EC2336"/>
    <w:rsid w:val="00EC2C85"/>
    <w:rsid w:val="00EC3D77"/>
    <w:rsid w:val="00EC3F7C"/>
    <w:rsid w:val="00EC4891"/>
    <w:rsid w:val="00EC6619"/>
    <w:rsid w:val="00EC6BC0"/>
    <w:rsid w:val="00ED168E"/>
    <w:rsid w:val="00ED30BC"/>
    <w:rsid w:val="00ED3CFD"/>
    <w:rsid w:val="00ED520D"/>
    <w:rsid w:val="00ED5D4D"/>
    <w:rsid w:val="00ED662A"/>
    <w:rsid w:val="00ED6671"/>
    <w:rsid w:val="00ED6974"/>
    <w:rsid w:val="00ED7288"/>
    <w:rsid w:val="00EE028F"/>
    <w:rsid w:val="00EE12BD"/>
    <w:rsid w:val="00EE2EBE"/>
    <w:rsid w:val="00EE358E"/>
    <w:rsid w:val="00EE4B25"/>
    <w:rsid w:val="00EE5BD8"/>
    <w:rsid w:val="00EE5E38"/>
    <w:rsid w:val="00EE7AC1"/>
    <w:rsid w:val="00EF09AE"/>
    <w:rsid w:val="00EF0BAD"/>
    <w:rsid w:val="00EF0D18"/>
    <w:rsid w:val="00EF156F"/>
    <w:rsid w:val="00EF15DF"/>
    <w:rsid w:val="00EF21A3"/>
    <w:rsid w:val="00EF3605"/>
    <w:rsid w:val="00EF4807"/>
    <w:rsid w:val="00EF4B91"/>
    <w:rsid w:val="00EF4D25"/>
    <w:rsid w:val="00EF4EDB"/>
    <w:rsid w:val="00EF6AB2"/>
    <w:rsid w:val="00EF7167"/>
    <w:rsid w:val="00EF773B"/>
    <w:rsid w:val="00EF7B61"/>
    <w:rsid w:val="00F01281"/>
    <w:rsid w:val="00F018B4"/>
    <w:rsid w:val="00F028B4"/>
    <w:rsid w:val="00F0318F"/>
    <w:rsid w:val="00F05654"/>
    <w:rsid w:val="00F05ACB"/>
    <w:rsid w:val="00F06B0B"/>
    <w:rsid w:val="00F07609"/>
    <w:rsid w:val="00F07D22"/>
    <w:rsid w:val="00F1074E"/>
    <w:rsid w:val="00F122C4"/>
    <w:rsid w:val="00F12A49"/>
    <w:rsid w:val="00F12E89"/>
    <w:rsid w:val="00F12F4A"/>
    <w:rsid w:val="00F1463D"/>
    <w:rsid w:val="00F16131"/>
    <w:rsid w:val="00F17062"/>
    <w:rsid w:val="00F17F6D"/>
    <w:rsid w:val="00F2098D"/>
    <w:rsid w:val="00F20A90"/>
    <w:rsid w:val="00F22CD6"/>
    <w:rsid w:val="00F24A14"/>
    <w:rsid w:val="00F25052"/>
    <w:rsid w:val="00F25A92"/>
    <w:rsid w:val="00F263FB"/>
    <w:rsid w:val="00F26CE2"/>
    <w:rsid w:val="00F309CB"/>
    <w:rsid w:val="00F31239"/>
    <w:rsid w:val="00F32809"/>
    <w:rsid w:val="00F32EC4"/>
    <w:rsid w:val="00F3377E"/>
    <w:rsid w:val="00F33D73"/>
    <w:rsid w:val="00F33E9E"/>
    <w:rsid w:val="00F346F3"/>
    <w:rsid w:val="00F34EFE"/>
    <w:rsid w:val="00F3649F"/>
    <w:rsid w:val="00F36738"/>
    <w:rsid w:val="00F3711B"/>
    <w:rsid w:val="00F41B31"/>
    <w:rsid w:val="00F41C4C"/>
    <w:rsid w:val="00F42BC4"/>
    <w:rsid w:val="00F43A30"/>
    <w:rsid w:val="00F44DD8"/>
    <w:rsid w:val="00F45443"/>
    <w:rsid w:val="00F45B5A"/>
    <w:rsid w:val="00F45F18"/>
    <w:rsid w:val="00F46195"/>
    <w:rsid w:val="00F4791D"/>
    <w:rsid w:val="00F51EFE"/>
    <w:rsid w:val="00F547B7"/>
    <w:rsid w:val="00F549CD"/>
    <w:rsid w:val="00F557CC"/>
    <w:rsid w:val="00F55EC6"/>
    <w:rsid w:val="00F60C18"/>
    <w:rsid w:val="00F6147A"/>
    <w:rsid w:val="00F617C3"/>
    <w:rsid w:val="00F63577"/>
    <w:rsid w:val="00F637A7"/>
    <w:rsid w:val="00F6457E"/>
    <w:rsid w:val="00F6508D"/>
    <w:rsid w:val="00F662D8"/>
    <w:rsid w:val="00F66B7A"/>
    <w:rsid w:val="00F6742F"/>
    <w:rsid w:val="00F67D27"/>
    <w:rsid w:val="00F67F9E"/>
    <w:rsid w:val="00F71841"/>
    <w:rsid w:val="00F72801"/>
    <w:rsid w:val="00F72D9E"/>
    <w:rsid w:val="00F747A7"/>
    <w:rsid w:val="00F75A81"/>
    <w:rsid w:val="00F7729B"/>
    <w:rsid w:val="00F800AD"/>
    <w:rsid w:val="00F808B8"/>
    <w:rsid w:val="00F80D46"/>
    <w:rsid w:val="00F8148A"/>
    <w:rsid w:val="00F8188D"/>
    <w:rsid w:val="00F82E90"/>
    <w:rsid w:val="00F842F1"/>
    <w:rsid w:val="00F84462"/>
    <w:rsid w:val="00F84D67"/>
    <w:rsid w:val="00F86FE2"/>
    <w:rsid w:val="00F9059E"/>
    <w:rsid w:val="00F90B8D"/>
    <w:rsid w:val="00F90DBC"/>
    <w:rsid w:val="00F973EC"/>
    <w:rsid w:val="00F97A1E"/>
    <w:rsid w:val="00FA031C"/>
    <w:rsid w:val="00FA20E3"/>
    <w:rsid w:val="00FA28DA"/>
    <w:rsid w:val="00FA54F0"/>
    <w:rsid w:val="00FA6832"/>
    <w:rsid w:val="00FB00E4"/>
    <w:rsid w:val="00FB042B"/>
    <w:rsid w:val="00FB1666"/>
    <w:rsid w:val="00FB1A5E"/>
    <w:rsid w:val="00FB20C0"/>
    <w:rsid w:val="00FB2FED"/>
    <w:rsid w:val="00FB4314"/>
    <w:rsid w:val="00FB4683"/>
    <w:rsid w:val="00FB4747"/>
    <w:rsid w:val="00FB67EA"/>
    <w:rsid w:val="00FB6C21"/>
    <w:rsid w:val="00FB7231"/>
    <w:rsid w:val="00FB7C64"/>
    <w:rsid w:val="00FC0AFD"/>
    <w:rsid w:val="00FC3005"/>
    <w:rsid w:val="00FC5CB2"/>
    <w:rsid w:val="00FC61D9"/>
    <w:rsid w:val="00FC74B1"/>
    <w:rsid w:val="00FC7F77"/>
    <w:rsid w:val="00FD1E35"/>
    <w:rsid w:val="00FD20D5"/>
    <w:rsid w:val="00FD25C0"/>
    <w:rsid w:val="00FD29E1"/>
    <w:rsid w:val="00FD2CC6"/>
    <w:rsid w:val="00FD5688"/>
    <w:rsid w:val="00FD5ADE"/>
    <w:rsid w:val="00FD6E1D"/>
    <w:rsid w:val="00FD7F31"/>
    <w:rsid w:val="00FE039A"/>
    <w:rsid w:val="00FE08EC"/>
    <w:rsid w:val="00FE15B3"/>
    <w:rsid w:val="00FE18EF"/>
    <w:rsid w:val="00FE21DB"/>
    <w:rsid w:val="00FE3257"/>
    <w:rsid w:val="00FE326E"/>
    <w:rsid w:val="00FE40A4"/>
    <w:rsid w:val="00FE4B0B"/>
    <w:rsid w:val="00FE5F43"/>
    <w:rsid w:val="00FE5F5F"/>
    <w:rsid w:val="00FE647C"/>
    <w:rsid w:val="00FF0063"/>
    <w:rsid w:val="00FF029B"/>
    <w:rsid w:val="00FF0772"/>
    <w:rsid w:val="00FF081F"/>
    <w:rsid w:val="00FF6ACF"/>
    <w:rsid w:val="00FF7482"/>
    <w:rsid w:val="0791BD0C"/>
    <w:rsid w:val="098025B3"/>
    <w:rsid w:val="0BAF1A54"/>
    <w:rsid w:val="0FD6501C"/>
    <w:rsid w:val="10A88289"/>
    <w:rsid w:val="13BDBFBF"/>
    <w:rsid w:val="15BF56AD"/>
    <w:rsid w:val="1DD79D89"/>
    <w:rsid w:val="1DF94AF8"/>
    <w:rsid w:val="20F9D58F"/>
    <w:rsid w:val="2231D572"/>
    <w:rsid w:val="227E9D02"/>
    <w:rsid w:val="22E87DB7"/>
    <w:rsid w:val="25373E08"/>
    <w:rsid w:val="26F0FC93"/>
    <w:rsid w:val="272D35D7"/>
    <w:rsid w:val="2AF18A5C"/>
    <w:rsid w:val="2C2055DA"/>
    <w:rsid w:val="2D8A5677"/>
    <w:rsid w:val="2DA95946"/>
    <w:rsid w:val="2DB83FCE"/>
    <w:rsid w:val="367F238F"/>
    <w:rsid w:val="373A62C5"/>
    <w:rsid w:val="37DC91A2"/>
    <w:rsid w:val="393FBD3B"/>
    <w:rsid w:val="3F627A53"/>
    <w:rsid w:val="44E5E66A"/>
    <w:rsid w:val="49ED6373"/>
    <w:rsid w:val="4C6702E8"/>
    <w:rsid w:val="4CE1B5B6"/>
    <w:rsid w:val="5242456E"/>
    <w:rsid w:val="5290C7B6"/>
    <w:rsid w:val="53DCD8DD"/>
    <w:rsid w:val="54A1D436"/>
    <w:rsid w:val="550505C5"/>
    <w:rsid w:val="57FAE3EF"/>
    <w:rsid w:val="5A115B1F"/>
    <w:rsid w:val="5AB0724E"/>
    <w:rsid w:val="5BE3568B"/>
    <w:rsid w:val="5EDC9BD0"/>
    <w:rsid w:val="5EFF631A"/>
    <w:rsid w:val="5FAB90E7"/>
    <w:rsid w:val="607FBDB0"/>
    <w:rsid w:val="61195771"/>
    <w:rsid w:val="621F6606"/>
    <w:rsid w:val="6441B59A"/>
    <w:rsid w:val="64850419"/>
    <w:rsid w:val="64F1BAB6"/>
    <w:rsid w:val="668C6E78"/>
    <w:rsid w:val="6A65DA0C"/>
    <w:rsid w:val="6F36BA6A"/>
    <w:rsid w:val="6F974AF1"/>
    <w:rsid w:val="712BDDF7"/>
    <w:rsid w:val="73090129"/>
    <w:rsid w:val="76769451"/>
    <w:rsid w:val="77A04BDD"/>
    <w:rsid w:val="7B2DFE17"/>
    <w:rsid w:val="7B42B906"/>
    <w:rsid w:val="7BB8B2CC"/>
    <w:rsid w:val="7F1CA4BF"/>
    <w:rsid w:val="7FDD07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13575"/>
  <w15:docId w15:val="{10A9CAE6-E948-49A3-90F8-0BB43F86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0E0"/>
    <w:pPr>
      <w:overflowPunct w:val="0"/>
      <w:autoSpaceDE w:val="0"/>
      <w:autoSpaceDN w:val="0"/>
      <w:adjustRightInd w:val="0"/>
      <w:textAlignment w:val="baseline"/>
    </w:pPr>
    <w:rPr>
      <w:rFonts w:eastAsiaTheme="minorEastAsia"/>
      <w:sz w:val="24"/>
      <w:szCs w:val="24"/>
    </w:rPr>
  </w:style>
  <w:style w:type="paragraph" w:styleId="Heading1">
    <w:name w:val="heading 1"/>
    <w:basedOn w:val="Normal"/>
    <w:next w:val="Normal"/>
    <w:qFormat/>
    <w:rsid w:val="001A0577"/>
    <w:pPr>
      <w:keepNext/>
      <w:spacing w:before="360" w:line="280" w:lineRule="exact"/>
      <w:outlineLvl w:val="0"/>
    </w:pPr>
    <w:rPr>
      <w:b/>
      <w:caps/>
      <w:kern w:val="28"/>
      <w:sz w:val="28"/>
    </w:rPr>
  </w:style>
  <w:style w:type="paragraph" w:styleId="Heading2">
    <w:name w:val="heading 2"/>
    <w:basedOn w:val="Normal"/>
    <w:next w:val="Normal"/>
    <w:qFormat/>
    <w:rsid w:val="001A0577"/>
    <w:pPr>
      <w:keepNext/>
      <w:spacing w:before="240" w:after="120" w:line="280" w:lineRule="exact"/>
      <w:outlineLvl w:val="1"/>
    </w:pPr>
    <w:rPr>
      <w:b/>
    </w:rPr>
  </w:style>
  <w:style w:type="paragraph" w:styleId="Heading3">
    <w:name w:val="heading 3"/>
    <w:basedOn w:val="Normal"/>
    <w:next w:val="Normal"/>
    <w:qFormat/>
    <w:rsid w:val="00244711"/>
    <w:pPr>
      <w:keepNext/>
      <w:numPr>
        <w:ilvl w:val="2"/>
        <w:numId w:val="3"/>
      </w:numPr>
      <w:spacing w:before="120" w:after="120"/>
      <w:outlineLvl w:val="2"/>
    </w:pPr>
    <w:rPr>
      <w:b/>
      <w:i/>
      <w:iCs/>
    </w:rPr>
  </w:style>
  <w:style w:type="paragraph" w:styleId="Heading4">
    <w:name w:val="heading 4"/>
    <w:basedOn w:val="Normal"/>
    <w:next w:val="Normal"/>
    <w:link w:val="Heading4Char"/>
    <w:qFormat/>
    <w:rsid w:val="00244711"/>
    <w:pPr>
      <w:keepNext/>
      <w:numPr>
        <w:ilvl w:val="3"/>
        <w:numId w:val="3"/>
      </w:numPr>
      <w:outlineLvl w:val="3"/>
    </w:pPr>
    <w:rPr>
      <w:i/>
      <w:iCs/>
    </w:rPr>
  </w:style>
  <w:style w:type="paragraph" w:styleId="Heading5">
    <w:name w:val="heading 5"/>
    <w:basedOn w:val="Normal"/>
    <w:next w:val="Normal"/>
    <w:qFormat/>
    <w:rsid w:val="00244711"/>
    <w:pPr>
      <w:numPr>
        <w:ilvl w:val="4"/>
        <w:numId w:val="3"/>
      </w:numPr>
      <w:spacing w:before="240" w:after="60"/>
      <w:outlineLvl w:val="4"/>
    </w:pPr>
    <w:rPr>
      <w:b/>
      <w:bCs/>
      <w:i/>
      <w:iCs/>
      <w:sz w:val="26"/>
      <w:szCs w:val="26"/>
    </w:rPr>
  </w:style>
  <w:style w:type="paragraph" w:styleId="Heading6">
    <w:name w:val="heading 6"/>
    <w:basedOn w:val="Normal"/>
    <w:next w:val="Normal"/>
    <w:qFormat/>
    <w:rsid w:val="00945BCB"/>
    <w:pPr>
      <w:keepNext/>
      <w:numPr>
        <w:ilvl w:val="5"/>
        <w:numId w:val="3"/>
      </w:numPr>
      <w:outlineLvl w:val="5"/>
    </w:pPr>
    <w:rPr>
      <w:rFonts w:ascii="Times" w:hAnsi="Times"/>
      <w:b/>
      <w:color w:val="3366FF"/>
      <w:sz w:val="22"/>
      <w:u w:val="double"/>
    </w:rPr>
  </w:style>
  <w:style w:type="paragraph" w:styleId="Heading7">
    <w:name w:val="heading 7"/>
    <w:basedOn w:val="Normal"/>
    <w:next w:val="Normal"/>
    <w:qFormat/>
    <w:rsid w:val="00945BCB"/>
    <w:pPr>
      <w:keepNext/>
      <w:numPr>
        <w:ilvl w:val="6"/>
        <w:numId w:val="3"/>
      </w:numPr>
      <w:outlineLvl w:val="6"/>
    </w:pPr>
    <w:rPr>
      <w:rFonts w:ascii="Times" w:hAnsi="Times"/>
      <w:bCs/>
      <w:color w:val="3366FF"/>
      <w:sz w:val="22"/>
      <w:u w:val="double"/>
    </w:rPr>
  </w:style>
  <w:style w:type="paragraph" w:styleId="Heading8">
    <w:name w:val="heading 8"/>
    <w:basedOn w:val="Normal"/>
    <w:next w:val="Normal"/>
    <w:qFormat/>
    <w:rsid w:val="00945BCB"/>
    <w:pPr>
      <w:keepNext/>
      <w:numPr>
        <w:ilvl w:val="7"/>
        <w:numId w:val="3"/>
      </w:numPr>
      <w:outlineLvl w:val="7"/>
    </w:pPr>
    <w:rPr>
      <w:b/>
      <w:sz w:val="22"/>
    </w:rPr>
  </w:style>
  <w:style w:type="paragraph" w:styleId="Heading9">
    <w:name w:val="heading 9"/>
    <w:basedOn w:val="Normal"/>
    <w:next w:val="Normal"/>
    <w:qFormat/>
    <w:rsid w:val="00945BCB"/>
    <w:pPr>
      <w:keepNext/>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DNormal">
    <w:name w:val="CLD Normal"/>
    <w:basedOn w:val="Normal"/>
    <w:uiPriority w:val="6"/>
    <w:qFormat/>
    <w:rsid w:val="000A690A"/>
    <w:pPr>
      <w:spacing w:after="240"/>
      <w:jc w:val="both"/>
    </w:pPr>
  </w:style>
  <w:style w:type="paragraph" w:customStyle="1" w:styleId="CLDBulletList">
    <w:name w:val="CLD Bullet List"/>
    <w:basedOn w:val="CLDNormal"/>
    <w:rsid w:val="00534AF6"/>
    <w:pPr>
      <w:numPr>
        <w:numId w:val="1"/>
      </w:numPr>
      <w:spacing w:before="20" w:after="20"/>
    </w:pPr>
    <w:rPr>
      <w:color w:val="7030A0"/>
    </w:rPr>
  </w:style>
  <w:style w:type="paragraph" w:customStyle="1" w:styleId="Figure">
    <w:name w:val="Figure"/>
    <w:basedOn w:val="Normal"/>
    <w:next w:val="Normal"/>
    <w:rsid w:val="00244711"/>
    <w:pPr>
      <w:spacing w:before="240" w:after="360"/>
    </w:pPr>
    <w:rPr>
      <w:color w:val="000000"/>
    </w:rPr>
  </w:style>
  <w:style w:type="paragraph" w:customStyle="1" w:styleId="CLDFigure">
    <w:name w:val="CLD Figure"/>
    <w:basedOn w:val="Figure"/>
    <w:uiPriority w:val="7"/>
    <w:qFormat/>
    <w:rsid w:val="00244711"/>
  </w:style>
  <w:style w:type="paragraph" w:styleId="Footer">
    <w:name w:val="footer"/>
    <w:link w:val="FooterChar"/>
    <w:autoRedefine/>
    <w:rsid w:val="00CC40E0"/>
    <w:pPr>
      <w:jc w:val="center"/>
    </w:pPr>
    <w:rPr>
      <w:rFonts w:eastAsiaTheme="majorEastAsia"/>
    </w:rPr>
  </w:style>
  <w:style w:type="character" w:customStyle="1" w:styleId="FooterChar">
    <w:name w:val="Footer Char"/>
    <w:link w:val="Footer"/>
    <w:rsid w:val="00244711"/>
    <w:rPr>
      <w:rFonts w:eastAsiaTheme="majorEastAsia"/>
    </w:rPr>
  </w:style>
  <w:style w:type="paragraph" w:customStyle="1" w:styleId="CLDFooter">
    <w:name w:val="CLD Footer"/>
    <w:basedOn w:val="Footer"/>
    <w:uiPriority w:val="7"/>
    <w:qFormat/>
    <w:rsid w:val="00244711"/>
    <w:pPr>
      <w:tabs>
        <w:tab w:val="right" w:pos="8800"/>
      </w:tabs>
    </w:pPr>
  </w:style>
  <w:style w:type="paragraph" w:customStyle="1" w:styleId="CLDHeading1">
    <w:name w:val="CLD Heading 1"/>
    <w:basedOn w:val="Heading1"/>
    <w:uiPriority w:val="2"/>
    <w:qFormat/>
    <w:rsid w:val="00971272"/>
    <w:pPr>
      <w:overflowPunct/>
      <w:autoSpaceDE/>
      <w:autoSpaceDN/>
      <w:adjustRightInd/>
      <w:spacing w:after="240" w:line="240" w:lineRule="auto"/>
      <w:ind w:left="425" w:hanging="425"/>
      <w:jc w:val="both"/>
      <w:textAlignment w:val="auto"/>
    </w:pPr>
    <w:rPr>
      <w:rFonts w:cs="Arial"/>
      <w:bCs/>
      <w:kern w:val="0"/>
      <w:szCs w:val="28"/>
    </w:rPr>
  </w:style>
  <w:style w:type="paragraph" w:customStyle="1" w:styleId="CLDHeading2">
    <w:name w:val="CLD Heading 2"/>
    <w:basedOn w:val="Heading2"/>
    <w:uiPriority w:val="3"/>
    <w:qFormat/>
    <w:rsid w:val="00755FFF"/>
    <w:pPr>
      <w:overflowPunct/>
      <w:autoSpaceDE/>
      <w:autoSpaceDN/>
      <w:adjustRightInd/>
      <w:spacing w:before="360" w:after="240" w:line="240" w:lineRule="auto"/>
      <w:ind w:left="426" w:hanging="426"/>
      <w:textAlignment w:val="auto"/>
    </w:pPr>
    <w:rPr>
      <w:rFonts w:ascii="Times New Roman Bold" w:hAnsi="Times New Roman Bold" w:cs="Arial"/>
      <w:bCs/>
      <w:sz w:val="28"/>
      <w:szCs w:val="28"/>
    </w:rPr>
  </w:style>
  <w:style w:type="paragraph" w:customStyle="1" w:styleId="CLDHeading3">
    <w:name w:val="CLD Heading 3"/>
    <w:basedOn w:val="Heading3"/>
    <w:uiPriority w:val="4"/>
    <w:qFormat/>
    <w:rsid w:val="001B38CA"/>
    <w:pPr>
      <w:spacing w:before="240"/>
    </w:pPr>
    <w:rPr>
      <w:i w:val="0"/>
    </w:rPr>
  </w:style>
  <w:style w:type="paragraph" w:customStyle="1" w:styleId="CLDHeading4">
    <w:name w:val="CLD Heading 4"/>
    <w:basedOn w:val="Heading4"/>
    <w:uiPriority w:val="5"/>
    <w:qFormat/>
    <w:rsid w:val="0061058F"/>
    <w:pPr>
      <w:numPr>
        <w:ilvl w:val="0"/>
        <w:numId w:val="0"/>
      </w:numPr>
      <w:overflowPunct/>
      <w:autoSpaceDE/>
      <w:autoSpaceDN/>
      <w:adjustRightInd/>
      <w:spacing w:before="120" w:after="120"/>
      <w:textAlignment w:val="auto"/>
    </w:pPr>
    <w:rPr>
      <w:rFonts w:cs="Arial"/>
      <w:bCs/>
      <w:iCs w:val="0"/>
    </w:rPr>
  </w:style>
  <w:style w:type="paragraph" w:customStyle="1" w:styleId="CLDNormalBold">
    <w:name w:val="CLD Normal Bold"/>
    <w:basedOn w:val="CLDNormal"/>
    <w:rsid w:val="00244711"/>
    <w:rPr>
      <w:b/>
    </w:rPr>
  </w:style>
  <w:style w:type="paragraph" w:customStyle="1" w:styleId="CLDNumberList">
    <w:name w:val="CLD Number List"/>
    <w:basedOn w:val="CLDNormal"/>
    <w:rsid w:val="00244711"/>
    <w:pPr>
      <w:numPr>
        <w:numId w:val="2"/>
      </w:numPr>
    </w:pPr>
  </w:style>
  <w:style w:type="character" w:customStyle="1" w:styleId="Heading4Char">
    <w:name w:val="Heading 4 Char"/>
    <w:link w:val="Heading4"/>
    <w:rsid w:val="00EB4D43"/>
    <w:rPr>
      <w:rFonts w:eastAsiaTheme="minorEastAsia"/>
      <w:i/>
      <w:iCs/>
      <w:sz w:val="24"/>
      <w:szCs w:val="24"/>
    </w:rPr>
  </w:style>
  <w:style w:type="paragraph" w:customStyle="1" w:styleId="FigureFootnote">
    <w:name w:val="Figure Footnote"/>
    <w:basedOn w:val="Normal"/>
    <w:next w:val="Normal"/>
    <w:rsid w:val="00244711"/>
    <w:pPr>
      <w:spacing w:before="240" w:after="360"/>
    </w:pPr>
    <w:rPr>
      <w:color w:val="000000"/>
    </w:rPr>
  </w:style>
  <w:style w:type="paragraph" w:customStyle="1" w:styleId="TableFootnote">
    <w:name w:val="Table Footnote"/>
    <w:basedOn w:val="FigureFootnote"/>
    <w:next w:val="Normal"/>
    <w:semiHidden/>
    <w:rsid w:val="00244711"/>
    <w:pPr>
      <w:overflowPunct/>
      <w:autoSpaceDE/>
      <w:autoSpaceDN/>
      <w:adjustRightInd/>
      <w:spacing w:before="0" w:after="0"/>
      <w:textAlignment w:val="auto"/>
    </w:pPr>
    <w:rPr>
      <w:color w:val="auto"/>
      <w:sz w:val="20"/>
    </w:rPr>
  </w:style>
  <w:style w:type="paragraph" w:customStyle="1" w:styleId="CLDTableFootnote">
    <w:name w:val="CLD Table Footnote"/>
    <w:basedOn w:val="TableFootnote"/>
    <w:uiPriority w:val="7"/>
    <w:qFormat/>
    <w:rsid w:val="00244711"/>
    <w:pPr>
      <w:spacing w:before="40"/>
    </w:pPr>
  </w:style>
  <w:style w:type="paragraph" w:customStyle="1" w:styleId="TableSpace">
    <w:name w:val="Table Space"/>
    <w:basedOn w:val="Figure"/>
    <w:next w:val="Normal"/>
    <w:semiHidden/>
    <w:rsid w:val="00244711"/>
    <w:pPr>
      <w:overflowPunct/>
      <w:autoSpaceDE/>
      <w:autoSpaceDN/>
      <w:adjustRightInd/>
      <w:spacing w:before="0" w:after="480"/>
      <w:textAlignment w:val="auto"/>
    </w:pPr>
    <w:rPr>
      <w:color w:val="auto"/>
      <w:sz w:val="20"/>
    </w:rPr>
  </w:style>
  <w:style w:type="paragraph" w:customStyle="1" w:styleId="CLDTableSpaceListSpace">
    <w:name w:val="CLD Table Space/List Space"/>
    <w:basedOn w:val="TableSpace"/>
    <w:uiPriority w:val="7"/>
    <w:qFormat/>
    <w:rsid w:val="00244711"/>
    <w:pPr>
      <w:spacing w:after="120"/>
    </w:pPr>
  </w:style>
  <w:style w:type="paragraph" w:customStyle="1" w:styleId="TableText">
    <w:name w:val="Table Text"/>
    <w:basedOn w:val="Figure"/>
    <w:semiHidden/>
    <w:rsid w:val="00244711"/>
    <w:pPr>
      <w:overflowPunct/>
      <w:autoSpaceDE/>
      <w:autoSpaceDN/>
      <w:adjustRightInd/>
      <w:spacing w:before="0" w:after="0"/>
      <w:textAlignment w:val="auto"/>
    </w:pPr>
    <w:rPr>
      <w:snapToGrid w:val="0"/>
      <w:color w:val="auto"/>
      <w:sz w:val="20"/>
    </w:rPr>
  </w:style>
  <w:style w:type="paragraph" w:styleId="Revision">
    <w:name w:val="Revision"/>
    <w:hidden/>
    <w:uiPriority w:val="99"/>
    <w:semiHidden/>
    <w:rsid w:val="00361911"/>
    <w:rPr>
      <w:sz w:val="24"/>
      <w:lang w:val="en-AU"/>
    </w:rPr>
  </w:style>
  <w:style w:type="paragraph" w:customStyle="1" w:styleId="CLDTableTextListText">
    <w:name w:val="CLD Table Text/List Text"/>
    <w:basedOn w:val="TableText"/>
    <w:uiPriority w:val="7"/>
    <w:qFormat/>
    <w:rsid w:val="00132BE4"/>
    <w:pPr>
      <w:spacing w:before="20" w:after="20"/>
    </w:pPr>
  </w:style>
  <w:style w:type="paragraph" w:customStyle="1" w:styleId="FigureTitle">
    <w:name w:val="Figure Title"/>
    <w:basedOn w:val="Normal"/>
    <w:next w:val="Figure"/>
    <w:semiHidden/>
    <w:rsid w:val="00244711"/>
    <w:pPr>
      <w:keepNext/>
      <w:spacing w:before="360"/>
    </w:pPr>
    <w:rPr>
      <w:b/>
      <w:color w:val="000000"/>
    </w:rPr>
  </w:style>
  <w:style w:type="paragraph" w:customStyle="1" w:styleId="TableTitle">
    <w:name w:val="Table Title"/>
    <w:basedOn w:val="FigureTitle"/>
    <w:next w:val="TableText"/>
    <w:semiHidden/>
    <w:rsid w:val="00244711"/>
  </w:style>
  <w:style w:type="paragraph" w:customStyle="1" w:styleId="CLDTableTitle">
    <w:name w:val="CLD Table Title"/>
    <w:basedOn w:val="TableTitle"/>
    <w:uiPriority w:val="7"/>
    <w:qFormat/>
    <w:rsid w:val="00244711"/>
    <w:pPr>
      <w:keepLines/>
      <w:spacing w:before="120"/>
    </w:pPr>
  </w:style>
  <w:style w:type="paragraph" w:customStyle="1" w:styleId="CLDTITLE">
    <w:name w:val="CLD TITLE"/>
    <w:basedOn w:val="Normal"/>
    <w:qFormat/>
    <w:rsid w:val="00D01328"/>
    <w:pPr>
      <w:outlineLvl w:val="0"/>
    </w:pPr>
    <w:rPr>
      <w:b/>
      <w:kern w:val="28"/>
      <w:sz w:val="40"/>
    </w:rPr>
  </w:style>
  <w:style w:type="character" w:customStyle="1" w:styleId="CLDTradename">
    <w:name w:val="CLD Tradename"/>
    <w:rsid w:val="00244711"/>
    <w:rPr>
      <w:b/>
      <w:sz w:val="32"/>
      <w:lang w:val="en-GB" w:eastAsia="en-US"/>
    </w:rPr>
  </w:style>
  <w:style w:type="character" w:styleId="CommentReference">
    <w:name w:val="annotation reference"/>
    <w:uiPriority w:val="99"/>
    <w:rsid w:val="00244711"/>
    <w:rPr>
      <w:sz w:val="16"/>
      <w:szCs w:val="16"/>
    </w:rPr>
  </w:style>
  <w:style w:type="character" w:styleId="PageNumber">
    <w:name w:val="page number"/>
    <w:rsid w:val="00244711"/>
  </w:style>
  <w:style w:type="table" w:styleId="TableGrid">
    <w:name w:val="Table Grid"/>
    <w:basedOn w:val="TableNormal"/>
    <w:uiPriority w:val="59"/>
    <w:rsid w:val="00CC40E0"/>
    <w:pPr>
      <w:overflowPunct w:val="0"/>
      <w:autoSpaceDE w:val="0"/>
      <w:autoSpaceDN w:val="0"/>
      <w:adjustRightInd w:val="0"/>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semiHidden/>
    <w:rsid w:val="00244711"/>
    <w:pPr>
      <w:keepNext/>
    </w:pPr>
    <w:rPr>
      <w:b/>
      <w:bCs/>
    </w:rPr>
  </w:style>
  <w:style w:type="paragraph" w:customStyle="1" w:styleId="TableTitleCont">
    <w:name w:val="Table Title Cont"/>
    <w:basedOn w:val="TableTitle"/>
    <w:next w:val="TableText"/>
    <w:semiHidden/>
    <w:rsid w:val="00244711"/>
    <w:pPr>
      <w:spacing w:before="0"/>
    </w:pPr>
    <w:rPr>
      <w:b w:val="0"/>
    </w:rPr>
  </w:style>
  <w:style w:type="paragraph" w:styleId="CommentText">
    <w:name w:val="annotation text"/>
    <w:aliases w:val="Annotationtext, Car17, Car17 Car, Char, Char Char,Char,Char Char,Char Char Char,Char Char1,Comment Text Char Char,Comment Text Char Char Char,Comment Text Char Char Char Char,Comment Text Char Char1,Comment Text Char1, Car17 Car Car,Char13"/>
    <w:basedOn w:val="Normal"/>
    <w:link w:val="CommentTextChar"/>
    <w:qFormat/>
    <w:rsid w:val="00D01713"/>
    <w:rPr>
      <w:sz w:val="20"/>
    </w:rPr>
  </w:style>
  <w:style w:type="character" w:customStyle="1" w:styleId="CommentTextChar">
    <w:name w:val="Comment Text Char"/>
    <w:aliases w:val="Annotationtext Char, Car17 Char, Car17 Car Char, Char Char1, Char Char Char,Char Char2,Char Char Char1,Char Char Char Char,Char Char1 Char,Comment Text Char Char Char1,Comment Text Char Char Char Char1,Comment Text Char Char1 Char"/>
    <w:basedOn w:val="DefaultParagraphFont"/>
    <w:link w:val="CommentText"/>
    <w:qFormat/>
    <w:rsid w:val="00D01713"/>
    <w:rPr>
      <w:rFonts w:eastAsiaTheme="minorEastAsia"/>
      <w:szCs w:val="24"/>
    </w:rPr>
  </w:style>
  <w:style w:type="paragraph" w:styleId="CommentSubject">
    <w:name w:val="annotation subject"/>
    <w:basedOn w:val="Normal"/>
    <w:link w:val="CommentSubjectChar"/>
    <w:rsid w:val="00CC40E0"/>
    <w:rPr>
      <w:b/>
      <w:bCs/>
      <w:sz w:val="20"/>
      <w:szCs w:val="20"/>
    </w:rPr>
  </w:style>
  <w:style w:type="character" w:customStyle="1" w:styleId="CommentSubjectChar">
    <w:name w:val="Comment Subject Char"/>
    <w:basedOn w:val="CommentTextChar"/>
    <w:link w:val="CommentSubject"/>
    <w:rsid w:val="00D01713"/>
    <w:rPr>
      <w:rFonts w:eastAsiaTheme="minorEastAsia"/>
      <w:b/>
      <w:bCs/>
      <w:szCs w:val="24"/>
      <w:lang w:val="en-GB"/>
    </w:rPr>
  </w:style>
  <w:style w:type="character" w:styleId="Hyperlink">
    <w:name w:val="Hyperlink"/>
    <w:basedOn w:val="DefaultParagraphFont"/>
    <w:rsid w:val="00CC40E0"/>
    <w:rPr>
      <w:color w:val="0000FF"/>
      <w:u w:val="none"/>
    </w:rPr>
  </w:style>
  <w:style w:type="character" w:styleId="FollowedHyperlink">
    <w:name w:val="FollowedHyperlink"/>
    <w:basedOn w:val="DefaultParagraphFont"/>
    <w:rsid w:val="00FD6E1D"/>
    <w:rPr>
      <w:color w:val="800080" w:themeColor="followedHyperlink"/>
      <w:u w:val="single"/>
    </w:rPr>
  </w:style>
  <w:style w:type="paragraph" w:styleId="BalloonText">
    <w:name w:val="Balloon Text"/>
    <w:basedOn w:val="Normal"/>
    <w:link w:val="BalloonTextChar"/>
    <w:rsid w:val="00CC40E0"/>
    <w:rPr>
      <w:rFonts w:ascii="Tahoma" w:hAnsi="Tahoma" w:cs="Tahoma"/>
      <w:sz w:val="16"/>
      <w:szCs w:val="16"/>
    </w:rPr>
  </w:style>
  <w:style w:type="character" w:customStyle="1" w:styleId="BalloonTextChar">
    <w:name w:val="Balloon Text Char"/>
    <w:basedOn w:val="DefaultParagraphFont"/>
    <w:link w:val="BalloonText"/>
    <w:rsid w:val="00643055"/>
    <w:rPr>
      <w:rFonts w:ascii="Tahoma" w:eastAsiaTheme="minorEastAsia" w:hAnsi="Tahoma" w:cs="Tahoma"/>
      <w:sz w:val="16"/>
      <w:szCs w:val="16"/>
    </w:rPr>
  </w:style>
  <w:style w:type="paragraph" w:customStyle="1" w:styleId="Default">
    <w:name w:val="Default"/>
    <w:rsid w:val="00ED662A"/>
    <w:pPr>
      <w:autoSpaceDE w:val="0"/>
      <w:autoSpaceDN w:val="0"/>
      <w:adjustRightInd w:val="0"/>
    </w:pPr>
    <w:rPr>
      <w:rFonts w:ascii="Cambria" w:hAnsi="Cambria" w:cs="Cambria"/>
      <w:color w:val="000000"/>
      <w:sz w:val="24"/>
      <w:szCs w:val="24"/>
    </w:rPr>
  </w:style>
  <w:style w:type="paragraph" w:styleId="Header">
    <w:name w:val="header"/>
    <w:link w:val="HeaderChar"/>
    <w:rsid w:val="00CC40E0"/>
    <w:pPr>
      <w:tabs>
        <w:tab w:val="right" w:pos="9000"/>
      </w:tabs>
    </w:pPr>
    <w:rPr>
      <w:rFonts w:eastAsiaTheme="minorEastAsia" w:cs="Arial"/>
    </w:rPr>
  </w:style>
  <w:style w:type="character" w:customStyle="1" w:styleId="HeaderChar">
    <w:name w:val="Header Char"/>
    <w:basedOn w:val="DefaultParagraphFont"/>
    <w:link w:val="Header"/>
    <w:rsid w:val="00030516"/>
    <w:rPr>
      <w:rFonts w:eastAsiaTheme="minorEastAsia" w:cs="Arial"/>
    </w:rPr>
  </w:style>
  <w:style w:type="table" w:customStyle="1" w:styleId="TableGrid1">
    <w:name w:val="Table Grid1"/>
    <w:basedOn w:val="TableNormal"/>
    <w:next w:val="TableGrid"/>
    <w:uiPriority w:val="59"/>
    <w:rsid w:val="001D5643"/>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1278B"/>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5E594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rsid w:val="00CA3472"/>
    <w:pPr>
      <w:spacing w:after="240"/>
    </w:pPr>
    <w:rPr>
      <w:rFonts w:eastAsiaTheme="minorEastAsia"/>
      <w:sz w:val="24"/>
      <w:szCs w:val="24"/>
    </w:rPr>
  </w:style>
  <w:style w:type="paragraph" w:customStyle="1" w:styleId="AuthSig">
    <w:name w:val="AuthSig"/>
    <w:rsid w:val="00CA3472"/>
    <w:pPr>
      <w:tabs>
        <w:tab w:val="right" w:pos="9000"/>
      </w:tabs>
    </w:pPr>
    <w:rPr>
      <w:rFonts w:eastAsiaTheme="minorEastAsia"/>
      <w:sz w:val="24"/>
      <w:szCs w:val="24"/>
    </w:rPr>
  </w:style>
  <w:style w:type="paragraph" w:styleId="Caption">
    <w:name w:val="caption"/>
    <w:next w:val="Paragraph"/>
    <w:qFormat/>
    <w:rsid w:val="00CA3472"/>
    <w:pPr>
      <w:keepNext/>
      <w:tabs>
        <w:tab w:val="left" w:pos="1152"/>
      </w:tabs>
      <w:spacing w:before="120" w:after="120"/>
      <w:ind w:left="1152" w:hanging="1152"/>
    </w:pPr>
    <w:rPr>
      <w:rFonts w:eastAsiaTheme="minorEastAsia" w:cs="Arial"/>
      <w:b/>
      <w:bCs/>
      <w:sz w:val="24"/>
      <w:szCs w:val="24"/>
    </w:rPr>
  </w:style>
  <w:style w:type="paragraph" w:customStyle="1" w:styleId="EquationFootnote">
    <w:name w:val="Equation Footnote"/>
    <w:next w:val="Paragraph"/>
    <w:rsid w:val="00CA3472"/>
    <w:rPr>
      <w:rFonts w:eastAsiaTheme="minorEastAsia"/>
      <w:sz w:val="24"/>
    </w:rPr>
  </w:style>
  <w:style w:type="character" w:customStyle="1" w:styleId="ExampleText">
    <w:name w:val="Example Text"/>
    <w:rsid w:val="00CA3472"/>
    <w:rPr>
      <w:color w:val="FF0000"/>
    </w:rPr>
  </w:style>
  <w:style w:type="character" w:styleId="EndnoteReference">
    <w:name w:val="endnote reference"/>
    <w:rsid w:val="00CA3472"/>
    <w:rPr>
      <w:rFonts w:ascii="Times New Roman" w:hAnsi="Times New Roman" w:cs="Arial"/>
      <w:vertAlign w:val="superscript"/>
    </w:rPr>
  </w:style>
  <w:style w:type="paragraph" w:styleId="EndnoteText">
    <w:name w:val="endnote text"/>
    <w:link w:val="EndnoteTextChar"/>
    <w:rsid w:val="00CA3472"/>
    <w:pPr>
      <w:spacing w:after="240"/>
      <w:ind w:left="461" w:hanging="461"/>
    </w:pPr>
    <w:rPr>
      <w:sz w:val="24"/>
    </w:rPr>
  </w:style>
  <w:style w:type="character" w:customStyle="1" w:styleId="EndnoteTextChar">
    <w:name w:val="Endnote Text Char"/>
    <w:basedOn w:val="DefaultParagraphFont"/>
    <w:link w:val="EndnoteText"/>
    <w:rsid w:val="00CA3472"/>
    <w:rPr>
      <w:sz w:val="24"/>
    </w:rPr>
  </w:style>
  <w:style w:type="character" w:styleId="FootnoteReference">
    <w:name w:val="footnote reference"/>
    <w:rsid w:val="00CA3472"/>
    <w:rPr>
      <w:vertAlign w:val="superscript"/>
    </w:rPr>
  </w:style>
  <w:style w:type="paragraph" w:styleId="FootnoteText">
    <w:name w:val="footnote text"/>
    <w:link w:val="FootnoteTextChar"/>
    <w:rsid w:val="00CA3472"/>
    <w:pPr>
      <w:spacing w:after="120"/>
      <w:ind w:firstLine="461"/>
    </w:pPr>
    <w:rPr>
      <w:rFonts w:eastAsiaTheme="minorEastAsia"/>
    </w:rPr>
  </w:style>
  <w:style w:type="character" w:customStyle="1" w:styleId="FootnoteTextChar">
    <w:name w:val="Footnote Text Char"/>
    <w:basedOn w:val="DefaultParagraphFont"/>
    <w:link w:val="FootnoteText"/>
    <w:rsid w:val="00CA3472"/>
    <w:rPr>
      <w:rFonts w:eastAsiaTheme="minorEastAsia"/>
    </w:rPr>
  </w:style>
  <w:style w:type="character" w:customStyle="1" w:styleId="Instructions">
    <w:name w:val="Instructions"/>
    <w:rsid w:val="00CA3472"/>
    <w:rPr>
      <w:i/>
      <w:iCs/>
      <w:color w:val="008000"/>
    </w:rPr>
  </w:style>
  <w:style w:type="paragraph" w:customStyle="1" w:styleId="ListAlpha">
    <w:name w:val="List Alpha"/>
    <w:rsid w:val="00CA3472"/>
    <w:pPr>
      <w:numPr>
        <w:numId w:val="14"/>
      </w:numPr>
      <w:spacing w:after="240"/>
    </w:pPr>
    <w:rPr>
      <w:rFonts w:eastAsiaTheme="minorEastAsia"/>
      <w:sz w:val="24"/>
      <w:szCs w:val="24"/>
    </w:rPr>
  </w:style>
  <w:style w:type="paragraph" w:customStyle="1" w:styleId="ListAlpha2">
    <w:name w:val="List Alpha 2"/>
    <w:rsid w:val="00CA3472"/>
    <w:pPr>
      <w:numPr>
        <w:numId w:val="15"/>
      </w:numPr>
      <w:spacing w:after="240"/>
    </w:pPr>
    <w:rPr>
      <w:rFonts w:eastAsiaTheme="minorEastAsia"/>
      <w:sz w:val="24"/>
      <w:szCs w:val="24"/>
    </w:rPr>
  </w:style>
  <w:style w:type="paragraph" w:customStyle="1" w:styleId="ListAlpha3">
    <w:name w:val="List Alpha 3"/>
    <w:rsid w:val="00CA3472"/>
    <w:pPr>
      <w:numPr>
        <w:numId w:val="16"/>
      </w:numPr>
      <w:spacing w:after="240"/>
    </w:pPr>
    <w:rPr>
      <w:rFonts w:eastAsiaTheme="minorEastAsia"/>
      <w:sz w:val="24"/>
      <w:szCs w:val="24"/>
    </w:rPr>
  </w:style>
  <w:style w:type="paragraph" w:customStyle="1" w:styleId="ListAlpha4">
    <w:name w:val="List Alpha 4"/>
    <w:rsid w:val="00CA3472"/>
    <w:pPr>
      <w:numPr>
        <w:numId w:val="17"/>
      </w:numPr>
      <w:spacing w:after="240"/>
    </w:pPr>
    <w:rPr>
      <w:rFonts w:eastAsiaTheme="minorEastAsia"/>
      <w:sz w:val="24"/>
      <w:szCs w:val="24"/>
    </w:rPr>
  </w:style>
  <w:style w:type="paragraph" w:customStyle="1" w:styleId="ListAlphaTable">
    <w:name w:val="List Alpha Table"/>
    <w:rsid w:val="00CA3472"/>
    <w:pPr>
      <w:numPr>
        <w:numId w:val="20"/>
      </w:numPr>
    </w:pPr>
    <w:rPr>
      <w:rFonts w:eastAsiaTheme="minorEastAsia"/>
    </w:rPr>
  </w:style>
  <w:style w:type="paragraph" w:styleId="ListBullet">
    <w:name w:val="List Bullet"/>
    <w:uiPriority w:val="99"/>
    <w:qFormat/>
    <w:rsid w:val="00CA3472"/>
    <w:pPr>
      <w:numPr>
        <w:numId w:val="4"/>
      </w:numPr>
      <w:spacing w:after="240"/>
    </w:pPr>
    <w:rPr>
      <w:rFonts w:eastAsiaTheme="minorEastAsia"/>
      <w:sz w:val="24"/>
      <w:szCs w:val="24"/>
    </w:rPr>
  </w:style>
  <w:style w:type="paragraph" w:styleId="ListBullet2">
    <w:name w:val="List Bullet 2"/>
    <w:uiPriority w:val="99"/>
    <w:qFormat/>
    <w:rsid w:val="00CA3472"/>
    <w:pPr>
      <w:numPr>
        <w:numId w:val="5"/>
      </w:numPr>
      <w:spacing w:after="240"/>
    </w:pPr>
    <w:rPr>
      <w:rFonts w:eastAsiaTheme="minorEastAsia"/>
      <w:sz w:val="24"/>
      <w:szCs w:val="24"/>
    </w:rPr>
  </w:style>
  <w:style w:type="paragraph" w:styleId="ListBullet3">
    <w:name w:val="List Bullet 3"/>
    <w:uiPriority w:val="99"/>
    <w:qFormat/>
    <w:rsid w:val="00CA3472"/>
    <w:pPr>
      <w:numPr>
        <w:numId w:val="6"/>
      </w:numPr>
      <w:spacing w:after="240"/>
    </w:pPr>
    <w:rPr>
      <w:rFonts w:eastAsiaTheme="minorEastAsia"/>
      <w:sz w:val="24"/>
      <w:szCs w:val="24"/>
    </w:rPr>
  </w:style>
  <w:style w:type="paragraph" w:styleId="ListBullet4">
    <w:name w:val="List Bullet 4"/>
    <w:rsid w:val="00CA3472"/>
    <w:pPr>
      <w:numPr>
        <w:numId w:val="7"/>
      </w:numPr>
      <w:spacing w:after="240"/>
    </w:pPr>
    <w:rPr>
      <w:rFonts w:eastAsiaTheme="minorEastAsia"/>
      <w:sz w:val="24"/>
      <w:szCs w:val="24"/>
    </w:rPr>
  </w:style>
  <w:style w:type="paragraph" w:styleId="ListBullet5">
    <w:name w:val="List Bullet 5"/>
    <w:rsid w:val="00CA3472"/>
    <w:pPr>
      <w:numPr>
        <w:numId w:val="8"/>
      </w:numPr>
      <w:spacing w:after="240"/>
    </w:pPr>
    <w:rPr>
      <w:rFonts w:eastAsiaTheme="minorEastAsia"/>
      <w:sz w:val="24"/>
    </w:rPr>
  </w:style>
  <w:style w:type="paragraph" w:customStyle="1" w:styleId="ListBulletTable">
    <w:name w:val="List Bullet Table"/>
    <w:rsid w:val="00CA3472"/>
    <w:pPr>
      <w:numPr>
        <w:numId w:val="21"/>
      </w:numPr>
    </w:pPr>
    <w:rPr>
      <w:rFonts w:eastAsiaTheme="minorEastAsia"/>
    </w:rPr>
  </w:style>
  <w:style w:type="paragraph" w:styleId="ListNumber">
    <w:name w:val="List Number"/>
    <w:rsid w:val="00CA3472"/>
    <w:pPr>
      <w:numPr>
        <w:numId w:val="9"/>
      </w:numPr>
      <w:spacing w:after="240"/>
    </w:pPr>
    <w:rPr>
      <w:rFonts w:eastAsiaTheme="minorEastAsia"/>
      <w:sz w:val="24"/>
      <w:szCs w:val="24"/>
    </w:rPr>
  </w:style>
  <w:style w:type="paragraph" w:styleId="ListNumber2">
    <w:name w:val="List Number 2"/>
    <w:rsid w:val="00CA3472"/>
    <w:pPr>
      <w:numPr>
        <w:numId w:val="10"/>
      </w:numPr>
      <w:spacing w:after="240"/>
    </w:pPr>
    <w:rPr>
      <w:rFonts w:eastAsiaTheme="minorEastAsia"/>
      <w:sz w:val="24"/>
      <w:szCs w:val="24"/>
    </w:rPr>
  </w:style>
  <w:style w:type="paragraph" w:styleId="ListNumber3">
    <w:name w:val="List Number 3"/>
    <w:rsid w:val="00CA3472"/>
    <w:pPr>
      <w:numPr>
        <w:numId w:val="11"/>
      </w:numPr>
      <w:spacing w:after="240"/>
    </w:pPr>
    <w:rPr>
      <w:rFonts w:eastAsiaTheme="minorEastAsia"/>
      <w:sz w:val="24"/>
      <w:szCs w:val="24"/>
    </w:rPr>
  </w:style>
  <w:style w:type="paragraph" w:styleId="ListNumber4">
    <w:name w:val="List Number 4"/>
    <w:rsid w:val="00CA3472"/>
    <w:pPr>
      <w:numPr>
        <w:numId w:val="12"/>
      </w:numPr>
      <w:spacing w:after="240"/>
    </w:pPr>
    <w:rPr>
      <w:rFonts w:eastAsiaTheme="minorEastAsia"/>
      <w:sz w:val="24"/>
      <w:szCs w:val="24"/>
    </w:rPr>
  </w:style>
  <w:style w:type="paragraph" w:styleId="ListNumber5">
    <w:name w:val="List Number 5"/>
    <w:rsid w:val="00CA3472"/>
    <w:pPr>
      <w:numPr>
        <w:numId w:val="13"/>
      </w:numPr>
      <w:spacing w:after="240"/>
    </w:pPr>
    <w:rPr>
      <w:rFonts w:eastAsiaTheme="minorEastAsia"/>
      <w:sz w:val="24"/>
      <w:szCs w:val="24"/>
    </w:rPr>
  </w:style>
  <w:style w:type="paragraph" w:customStyle="1" w:styleId="ListNumberTable">
    <w:name w:val="List Number Table"/>
    <w:rsid w:val="00CA3472"/>
    <w:pPr>
      <w:numPr>
        <w:numId w:val="19"/>
      </w:numPr>
    </w:pPr>
    <w:rPr>
      <w:rFonts w:eastAsiaTheme="minorEastAsia"/>
    </w:rPr>
  </w:style>
  <w:style w:type="paragraph" w:customStyle="1" w:styleId="ParagraphCentered">
    <w:name w:val="Paragraph Centered"/>
    <w:rsid w:val="00CA3472"/>
    <w:pPr>
      <w:spacing w:after="240"/>
      <w:jc w:val="center"/>
    </w:pPr>
    <w:rPr>
      <w:rFonts w:eastAsiaTheme="minorEastAsia"/>
      <w:bCs/>
      <w:sz w:val="24"/>
      <w:szCs w:val="24"/>
    </w:rPr>
  </w:style>
  <w:style w:type="character" w:customStyle="1" w:styleId="TableText12">
    <w:name w:val="TableText 12"/>
    <w:basedOn w:val="DefaultParagraphFont"/>
    <w:rsid w:val="00CA3472"/>
    <w:rPr>
      <w:rFonts w:ascii="Times New Roman" w:hAnsi="Times New Roman"/>
      <w:sz w:val="24"/>
    </w:rPr>
  </w:style>
  <w:style w:type="paragraph" w:customStyle="1" w:styleId="RefText">
    <w:name w:val="RefText"/>
    <w:rsid w:val="00CA3472"/>
    <w:pPr>
      <w:numPr>
        <w:numId w:val="18"/>
      </w:numPr>
      <w:spacing w:after="240"/>
    </w:pPr>
    <w:rPr>
      <w:rFonts w:eastAsiaTheme="minorEastAsia"/>
      <w:sz w:val="24"/>
      <w:szCs w:val="24"/>
    </w:rPr>
  </w:style>
  <w:style w:type="paragraph" w:styleId="TableofFigures">
    <w:name w:val="table of figures"/>
    <w:basedOn w:val="Paragraph"/>
    <w:next w:val="Paragraph"/>
    <w:autoRedefine/>
    <w:uiPriority w:val="99"/>
    <w:rsid w:val="00CA3472"/>
    <w:pPr>
      <w:keepLines/>
      <w:tabs>
        <w:tab w:val="right" w:leader="dot" w:pos="9000"/>
      </w:tabs>
      <w:spacing w:before="120" w:after="120"/>
      <w:ind w:left="1872" w:right="576" w:hanging="1872"/>
    </w:pPr>
    <w:rPr>
      <w:color w:val="0000FF"/>
    </w:rPr>
  </w:style>
  <w:style w:type="paragraph" w:customStyle="1" w:styleId="TableTextCenterSpace">
    <w:name w:val="TableText Center Space"/>
    <w:rsid w:val="00CA3472"/>
    <w:pPr>
      <w:spacing w:before="60" w:after="60"/>
      <w:jc w:val="center"/>
    </w:pPr>
    <w:rPr>
      <w:rFonts w:eastAsiaTheme="minorEastAsia"/>
    </w:rPr>
  </w:style>
  <w:style w:type="paragraph" w:customStyle="1" w:styleId="TableTextCentered">
    <w:name w:val="TableText Centered"/>
    <w:rsid w:val="00CA3472"/>
    <w:pPr>
      <w:jc w:val="center"/>
    </w:pPr>
    <w:rPr>
      <w:rFonts w:eastAsiaTheme="minorEastAsia"/>
    </w:rPr>
  </w:style>
  <w:style w:type="paragraph" w:customStyle="1" w:styleId="TableTextColHead">
    <w:name w:val="TableText Col Head"/>
    <w:rsid w:val="00CA3472"/>
    <w:pPr>
      <w:jc w:val="center"/>
    </w:pPr>
    <w:rPr>
      <w:rFonts w:eastAsiaTheme="minorEastAsia"/>
      <w:b/>
    </w:rPr>
  </w:style>
  <w:style w:type="paragraph" w:customStyle="1" w:styleId="TableTextColHeadSpace">
    <w:name w:val="TableText Col Head Space"/>
    <w:next w:val="TableTextCentered"/>
    <w:rsid w:val="00CA3472"/>
    <w:pPr>
      <w:spacing w:before="60" w:after="60"/>
      <w:jc w:val="center"/>
    </w:pPr>
    <w:rPr>
      <w:rFonts w:eastAsiaTheme="minorEastAsia"/>
      <w:b/>
    </w:rPr>
  </w:style>
  <w:style w:type="paragraph" w:customStyle="1" w:styleId="TableTextSpace">
    <w:name w:val="TableText Space"/>
    <w:rsid w:val="00CA3472"/>
    <w:pPr>
      <w:spacing w:before="60" w:after="60"/>
    </w:pPr>
    <w:rPr>
      <w:rFonts w:eastAsiaTheme="minorEastAsia"/>
    </w:rPr>
  </w:style>
  <w:style w:type="paragraph" w:styleId="Title">
    <w:name w:val="Title"/>
    <w:next w:val="Paragraph"/>
    <w:link w:val="TitleChar"/>
    <w:qFormat/>
    <w:rsid w:val="00CA3472"/>
    <w:pPr>
      <w:spacing w:before="240" w:after="240"/>
      <w:jc w:val="center"/>
    </w:pPr>
    <w:rPr>
      <w:rFonts w:eastAsiaTheme="minorEastAsia" w:cs="Arial"/>
      <w:b/>
      <w:bCs/>
      <w:caps/>
      <w:kern w:val="28"/>
      <w:sz w:val="24"/>
      <w:szCs w:val="32"/>
    </w:rPr>
  </w:style>
  <w:style w:type="character" w:customStyle="1" w:styleId="TitleChar">
    <w:name w:val="Title Char"/>
    <w:basedOn w:val="DefaultParagraphFont"/>
    <w:link w:val="Title"/>
    <w:rsid w:val="00CA3472"/>
    <w:rPr>
      <w:rFonts w:eastAsiaTheme="minorEastAsia" w:cs="Arial"/>
      <w:b/>
      <w:bCs/>
      <w:caps/>
      <w:kern w:val="28"/>
      <w:sz w:val="24"/>
      <w:szCs w:val="32"/>
    </w:rPr>
  </w:style>
  <w:style w:type="paragraph" w:styleId="TOC1">
    <w:name w:val="toc 1"/>
    <w:basedOn w:val="Paragraph"/>
    <w:next w:val="Paragraph"/>
    <w:autoRedefine/>
    <w:uiPriority w:val="39"/>
    <w:rsid w:val="00CA3472"/>
    <w:pPr>
      <w:keepLines/>
      <w:tabs>
        <w:tab w:val="right" w:leader="dot" w:pos="9000"/>
      </w:tabs>
      <w:spacing w:before="120" w:after="120"/>
      <w:ind w:left="288" w:right="576" w:hanging="288"/>
    </w:pPr>
    <w:rPr>
      <w:caps/>
      <w:color w:val="0000FF"/>
    </w:rPr>
  </w:style>
  <w:style w:type="paragraph" w:styleId="TOC2">
    <w:name w:val="toc 2"/>
    <w:basedOn w:val="Paragraph"/>
    <w:next w:val="Paragraph"/>
    <w:autoRedefine/>
    <w:uiPriority w:val="39"/>
    <w:rsid w:val="00CA3472"/>
    <w:pPr>
      <w:keepLines/>
      <w:tabs>
        <w:tab w:val="right" w:leader="dot" w:pos="9000"/>
      </w:tabs>
      <w:spacing w:after="120"/>
      <w:ind w:left="864" w:right="576" w:hanging="288"/>
    </w:pPr>
    <w:rPr>
      <w:color w:val="0000FF"/>
    </w:rPr>
  </w:style>
  <w:style w:type="paragraph" w:styleId="TOC3">
    <w:name w:val="toc 3"/>
    <w:basedOn w:val="Paragraph"/>
    <w:next w:val="Paragraph"/>
    <w:autoRedefine/>
    <w:uiPriority w:val="39"/>
    <w:rsid w:val="00CA3472"/>
    <w:pPr>
      <w:keepLines/>
      <w:tabs>
        <w:tab w:val="right" w:leader="dot" w:pos="9000"/>
      </w:tabs>
      <w:spacing w:after="120"/>
      <w:ind w:left="1440" w:right="576" w:hanging="288"/>
    </w:pPr>
    <w:rPr>
      <w:color w:val="0000FF"/>
    </w:rPr>
  </w:style>
  <w:style w:type="paragraph" w:styleId="TOC4">
    <w:name w:val="toc 4"/>
    <w:basedOn w:val="Paragraph"/>
    <w:next w:val="Paragraph"/>
    <w:autoRedefine/>
    <w:uiPriority w:val="39"/>
    <w:rsid w:val="00CA3472"/>
    <w:pPr>
      <w:keepLines/>
      <w:tabs>
        <w:tab w:val="right" w:leader="dot" w:pos="9000"/>
      </w:tabs>
      <w:spacing w:after="120"/>
      <w:ind w:left="2304" w:right="576" w:hanging="288"/>
    </w:pPr>
    <w:rPr>
      <w:color w:val="0000FF"/>
    </w:rPr>
  </w:style>
  <w:style w:type="paragraph" w:customStyle="1" w:styleId="TOCX1">
    <w:name w:val="TOCX 1"/>
    <w:rsid w:val="00CA3472"/>
    <w:pPr>
      <w:tabs>
        <w:tab w:val="left" w:pos="648"/>
        <w:tab w:val="right" w:leader="dot" w:pos="9000"/>
      </w:tabs>
      <w:spacing w:before="60" w:after="60"/>
      <w:ind w:left="547" w:right="-288" w:hanging="547"/>
    </w:pPr>
    <w:rPr>
      <w:rFonts w:eastAsiaTheme="minorEastAsia"/>
      <w:caps/>
      <w:sz w:val="24"/>
    </w:rPr>
  </w:style>
  <w:style w:type="paragraph" w:customStyle="1" w:styleId="TOCX2">
    <w:name w:val="TOCX 2"/>
    <w:rsid w:val="00CA3472"/>
    <w:pPr>
      <w:tabs>
        <w:tab w:val="left" w:pos="936"/>
        <w:tab w:val="right" w:leader="dot" w:pos="9000"/>
      </w:tabs>
      <w:spacing w:before="60" w:after="60"/>
      <w:ind w:left="792" w:right="-288" w:hanging="547"/>
    </w:pPr>
    <w:rPr>
      <w:rFonts w:eastAsiaTheme="minorEastAsia"/>
      <w:sz w:val="24"/>
    </w:rPr>
  </w:style>
  <w:style w:type="character" w:customStyle="1" w:styleId="TableText9">
    <w:name w:val="TableText 9"/>
    <w:basedOn w:val="DefaultParagraphFont"/>
    <w:rsid w:val="00CA3472"/>
    <w:rPr>
      <w:rFonts w:ascii="Times New Roman" w:hAnsi="Times New Roman"/>
      <w:sz w:val="18"/>
    </w:rPr>
  </w:style>
  <w:style w:type="paragraph" w:customStyle="1" w:styleId="TitlePage">
    <w:name w:val="Title Page"/>
    <w:rsid w:val="00CA3472"/>
    <w:pPr>
      <w:jc w:val="center"/>
    </w:pPr>
    <w:rPr>
      <w:rFonts w:eastAsiaTheme="minorEastAsia"/>
      <w:b/>
      <w:sz w:val="24"/>
    </w:rPr>
  </w:style>
  <w:style w:type="paragraph" w:customStyle="1" w:styleId="TableText0">
    <w:name w:val="TableText"/>
    <w:rsid w:val="00CA3472"/>
    <w:rPr>
      <w:rFonts w:eastAsiaTheme="minorEastAsia" w:cs="Arial"/>
    </w:rPr>
  </w:style>
  <w:style w:type="paragraph" w:customStyle="1" w:styleId="TableTextFootnote">
    <w:name w:val="TableText Footnote"/>
    <w:rsid w:val="00CA3472"/>
    <w:pPr>
      <w:tabs>
        <w:tab w:val="left" w:pos="360"/>
      </w:tabs>
    </w:pPr>
    <w:rPr>
      <w:rFonts w:eastAsiaTheme="minorEastAsia"/>
    </w:rPr>
  </w:style>
  <w:style w:type="character" w:customStyle="1" w:styleId="BlueText">
    <w:name w:val="Blue Text"/>
    <w:basedOn w:val="DefaultParagraphFont"/>
    <w:rsid w:val="00CA3472"/>
    <w:rPr>
      <w:color w:val="0000FF"/>
    </w:rPr>
  </w:style>
  <w:style w:type="paragraph" w:customStyle="1" w:styleId="ListNoBullet">
    <w:name w:val="List No Bullet"/>
    <w:rsid w:val="00CA3472"/>
    <w:rPr>
      <w:rFonts w:eastAsiaTheme="minorEastAsia"/>
      <w:sz w:val="24"/>
    </w:rPr>
  </w:style>
  <w:style w:type="paragraph" w:customStyle="1" w:styleId="TOCHeadingCentered">
    <w:name w:val="TOC Heading Centered"/>
    <w:basedOn w:val="Paragraph"/>
    <w:next w:val="Paragraph"/>
    <w:autoRedefine/>
    <w:rsid w:val="00CA3472"/>
    <w:pPr>
      <w:keepNext/>
      <w:spacing w:before="120" w:after="120"/>
      <w:jc w:val="center"/>
      <w:outlineLvl w:val="0"/>
    </w:pPr>
    <w:rPr>
      <w:b/>
      <w:caps/>
    </w:rPr>
  </w:style>
  <w:style w:type="paragraph" w:customStyle="1" w:styleId="ListofFigures">
    <w:name w:val="List of Figures"/>
    <w:basedOn w:val="Paragraph"/>
    <w:next w:val="Paragraph"/>
    <w:rsid w:val="00CA3472"/>
    <w:pPr>
      <w:keepNext/>
      <w:spacing w:before="120" w:after="120"/>
      <w:jc w:val="center"/>
      <w:outlineLvl w:val="0"/>
    </w:pPr>
    <w:rPr>
      <w:b/>
      <w:caps/>
    </w:rPr>
  </w:style>
  <w:style w:type="paragraph" w:customStyle="1" w:styleId="ListofTables">
    <w:name w:val="List of Tables"/>
    <w:basedOn w:val="Paragraph"/>
    <w:next w:val="Paragraph"/>
    <w:rsid w:val="00CA3472"/>
    <w:pPr>
      <w:keepNext/>
      <w:spacing w:before="120" w:after="120"/>
      <w:jc w:val="center"/>
      <w:outlineLvl w:val="0"/>
    </w:pPr>
    <w:rPr>
      <w:b/>
      <w:caps/>
    </w:rPr>
  </w:style>
  <w:style w:type="paragraph" w:customStyle="1" w:styleId="SupportiveAppendices">
    <w:name w:val="Supportive Appendices"/>
    <w:basedOn w:val="Heading2"/>
    <w:next w:val="Paragraph"/>
    <w:autoRedefine/>
    <w:rsid w:val="00CA3472"/>
    <w:pPr>
      <w:spacing w:before="120" w:line="240" w:lineRule="auto"/>
    </w:pPr>
    <w:rPr>
      <w:rFonts w:ascii="Times New Roman Bold" w:hAnsi="Times New Roman Bold" w:cs="Arial"/>
      <w:bCs/>
      <w:kern w:val="28"/>
      <w:szCs w:val="26"/>
      <w:lang w:eastAsia="zh-CN"/>
    </w:rPr>
  </w:style>
  <w:style w:type="paragraph" w:customStyle="1" w:styleId="SupportiveTable">
    <w:name w:val="Supportive Table"/>
    <w:basedOn w:val="Heading2"/>
    <w:next w:val="Paragraph"/>
    <w:autoRedefine/>
    <w:rsid w:val="00CA3472"/>
    <w:pPr>
      <w:spacing w:before="120" w:line="240" w:lineRule="auto"/>
    </w:pPr>
    <w:rPr>
      <w:rFonts w:ascii="Times New Roman Bold" w:hAnsi="Times New Roman Bold" w:cs="Arial"/>
      <w:bCs/>
      <w:kern w:val="28"/>
      <w:szCs w:val="26"/>
      <w:lang w:eastAsia="zh-CN"/>
    </w:rPr>
  </w:style>
  <w:style w:type="paragraph" w:customStyle="1" w:styleId="SupportiveFigure">
    <w:name w:val="Supportive Figure"/>
    <w:basedOn w:val="Heading2"/>
    <w:next w:val="Paragraph"/>
    <w:autoRedefine/>
    <w:rsid w:val="00CA3472"/>
    <w:pPr>
      <w:spacing w:before="120" w:line="240" w:lineRule="auto"/>
    </w:pPr>
    <w:rPr>
      <w:rFonts w:ascii="Times New Roman Bold" w:hAnsi="Times New Roman Bold" w:cs="Arial"/>
      <w:bCs/>
      <w:kern w:val="28"/>
      <w:szCs w:val="26"/>
      <w:lang w:eastAsia="zh-CN"/>
    </w:rPr>
  </w:style>
  <w:style w:type="paragraph" w:customStyle="1" w:styleId="ASCII">
    <w:name w:val="ASCII"/>
    <w:basedOn w:val="Paragraph"/>
    <w:autoRedefine/>
    <w:rsid w:val="00CA3472"/>
    <w:pPr>
      <w:spacing w:after="0" w:line="150" w:lineRule="exact"/>
    </w:pPr>
    <w:rPr>
      <w:rFonts w:ascii="Courier New" w:hAnsi="Courier New"/>
      <w:sz w:val="15"/>
    </w:rPr>
  </w:style>
  <w:style w:type="character" w:styleId="LineNumber">
    <w:name w:val="line number"/>
    <w:basedOn w:val="DefaultParagraphFont"/>
    <w:rsid w:val="00CA3472"/>
  </w:style>
  <w:style w:type="paragraph" w:customStyle="1" w:styleId="CaptionCrossReference">
    <w:name w:val="Caption CrossReference"/>
    <w:basedOn w:val="Paragraph"/>
    <w:autoRedefine/>
    <w:rsid w:val="00CA3472"/>
    <w:pPr>
      <w:keepNext/>
      <w:spacing w:before="120" w:after="120"/>
    </w:pPr>
    <w:rPr>
      <w:b/>
      <w:kern w:val="28"/>
    </w:rPr>
  </w:style>
  <w:style w:type="paragraph" w:customStyle="1" w:styleId="TableAnnotationReference">
    <w:name w:val="Table Annotation Reference"/>
    <w:basedOn w:val="Paragraph"/>
    <w:autoRedefine/>
    <w:rsid w:val="00CA3472"/>
    <w:rPr>
      <w:vertAlign w:val="superscript"/>
    </w:rPr>
  </w:style>
  <w:style w:type="character" w:styleId="Emphasis">
    <w:name w:val="Emphasis"/>
    <w:basedOn w:val="DefaultParagraphFont"/>
    <w:uiPriority w:val="20"/>
    <w:qFormat/>
    <w:rsid w:val="00CA3472"/>
    <w:rPr>
      <w:i/>
      <w:iCs/>
    </w:rPr>
  </w:style>
  <w:style w:type="paragraph" w:customStyle="1" w:styleId="ListofAppendices">
    <w:name w:val="List of Appendices"/>
    <w:basedOn w:val="Paragraph"/>
    <w:next w:val="Paragraph"/>
    <w:rsid w:val="00CA3472"/>
    <w:pPr>
      <w:keepNext/>
      <w:spacing w:before="120" w:after="120"/>
      <w:jc w:val="center"/>
      <w:outlineLvl w:val="0"/>
    </w:pPr>
    <w:rPr>
      <w:b/>
      <w:caps/>
    </w:rPr>
  </w:style>
  <w:style w:type="paragraph" w:styleId="TOCHeading">
    <w:name w:val="TOC Heading"/>
    <w:basedOn w:val="Heading1"/>
    <w:next w:val="Normal"/>
    <w:uiPriority w:val="39"/>
    <w:semiHidden/>
    <w:unhideWhenUsed/>
    <w:qFormat/>
    <w:rsid w:val="00CA3472"/>
    <w:pPr>
      <w:keepLines/>
      <w:spacing w:before="480" w:line="276" w:lineRule="auto"/>
      <w:outlineLvl w:val="9"/>
    </w:pPr>
    <w:rPr>
      <w:rFonts w:asciiTheme="majorHAnsi" w:eastAsiaTheme="majorEastAsia" w:hAnsiTheme="majorHAnsi" w:cstheme="majorBidi"/>
      <w:bCs/>
      <w:caps w:val="0"/>
      <w:color w:val="365F91" w:themeColor="accent1" w:themeShade="BF"/>
      <w:kern w:val="0"/>
      <w:szCs w:val="28"/>
      <w:lang w:eastAsia="ja-JP"/>
    </w:rPr>
  </w:style>
  <w:style w:type="paragraph" w:styleId="BodyText">
    <w:name w:val="Body Text"/>
    <w:basedOn w:val="Normal"/>
    <w:link w:val="BodyTextChar"/>
    <w:rsid w:val="00CA3472"/>
    <w:pPr>
      <w:spacing w:after="120"/>
    </w:pPr>
  </w:style>
  <w:style w:type="character" w:customStyle="1" w:styleId="BodyTextChar">
    <w:name w:val="Body Text Char"/>
    <w:basedOn w:val="DefaultParagraphFont"/>
    <w:link w:val="BodyText"/>
    <w:rsid w:val="00CA3472"/>
    <w:rPr>
      <w:rFonts w:eastAsiaTheme="minorEastAsia"/>
      <w:sz w:val="24"/>
      <w:szCs w:val="24"/>
    </w:rPr>
  </w:style>
  <w:style w:type="character" w:styleId="UnresolvedMention">
    <w:name w:val="Unresolved Mention"/>
    <w:basedOn w:val="DefaultParagraphFont"/>
    <w:uiPriority w:val="99"/>
    <w:unhideWhenUsed/>
    <w:rsid w:val="00DD2B93"/>
    <w:rPr>
      <w:color w:val="605E5C"/>
      <w:shd w:val="clear" w:color="auto" w:fill="E1DFDD"/>
    </w:rPr>
  </w:style>
  <w:style w:type="character" w:styleId="Mention">
    <w:name w:val="Mention"/>
    <w:basedOn w:val="DefaultParagraphFont"/>
    <w:uiPriority w:val="99"/>
    <w:unhideWhenUsed/>
    <w:rsid w:val="00DD2B93"/>
    <w:rPr>
      <w:color w:val="2B579A"/>
      <w:shd w:val="clear" w:color="auto" w:fill="E1DFDD"/>
    </w:rPr>
  </w:style>
  <w:style w:type="character" w:customStyle="1" w:styleId="normaltextrun">
    <w:name w:val="normaltextrun"/>
    <w:basedOn w:val="DefaultParagraphFont"/>
    <w:rsid w:val="00A15640"/>
  </w:style>
  <w:style w:type="character" w:customStyle="1" w:styleId="eop">
    <w:name w:val="eop"/>
    <w:basedOn w:val="DefaultParagraphFont"/>
    <w:rsid w:val="00A15640"/>
  </w:style>
  <w:style w:type="paragraph" w:customStyle="1" w:styleId="H1RTF">
    <w:name w:val="H1RTF"/>
    <w:basedOn w:val="Heading1"/>
    <w:uiPriority w:val="1"/>
    <w:qFormat/>
    <w:rsid w:val="00FC3005"/>
    <w:pPr>
      <w:keepNext w:val="0"/>
      <w:widowControl w:val="0"/>
      <w:overflowPunct/>
      <w:spacing w:before="0" w:line="240" w:lineRule="auto"/>
      <w:textAlignment w:val="auto"/>
    </w:pPr>
    <w:rPr>
      <w:rFonts w:ascii="Courier New" w:eastAsia="Times New Roman" w:hAnsi="Courier New" w:cs="Courier New"/>
      <w:b w:val="0"/>
      <w:caps w:val="0"/>
      <w:kern w:val="0"/>
      <w:sz w:val="18"/>
      <w:szCs w:val="18"/>
    </w:rPr>
  </w:style>
  <w:style w:type="paragraph" w:customStyle="1" w:styleId="H2RTF">
    <w:name w:val="H2RTF"/>
    <w:basedOn w:val="Heading2"/>
    <w:uiPriority w:val="2"/>
    <w:qFormat/>
    <w:rsid w:val="00FC3005"/>
    <w:pPr>
      <w:keepNext w:val="0"/>
      <w:widowControl w:val="0"/>
      <w:overflowPunct/>
      <w:spacing w:before="0" w:after="0" w:line="240" w:lineRule="auto"/>
      <w:textAlignment w:val="auto"/>
    </w:pPr>
    <w:rPr>
      <w:rFonts w:ascii="Courier New" w:eastAsia="Times New Roman" w:hAnsi="Courier New" w:cs="Courier New"/>
      <w:b w:val="0"/>
      <w:sz w:val="18"/>
      <w:szCs w:val="18"/>
    </w:rPr>
  </w:style>
  <w:style w:type="character" w:customStyle="1" w:styleId="underline">
    <w:name w:val="underline"/>
    <w:basedOn w:val="DefaultParagraphFont"/>
    <w:rsid w:val="00A615C1"/>
  </w:style>
  <w:style w:type="character" w:customStyle="1" w:styleId="italics">
    <w:name w:val="italics"/>
    <w:basedOn w:val="DefaultParagraphFont"/>
    <w:rsid w:val="00A615C1"/>
  </w:style>
  <w:style w:type="paragraph" w:customStyle="1" w:styleId="first">
    <w:name w:val="first"/>
    <w:basedOn w:val="Normal"/>
    <w:rsid w:val="001636E8"/>
    <w:pPr>
      <w:overflowPunct/>
      <w:autoSpaceDE/>
      <w:autoSpaceDN/>
      <w:adjustRightInd/>
      <w:spacing w:before="100" w:beforeAutospacing="1" w:after="100" w:afterAutospacing="1"/>
      <w:textAlignment w:val="auto"/>
    </w:pPr>
    <w:rPr>
      <w:rFonts w:eastAsia="Times New Roman"/>
      <w:lang w:val="en-GB" w:eastAsia="en-GB"/>
    </w:rPr>
  </w:style>
  <w:style w:type="paragraph" w:styleId="NormalWeb">
    <w:name w:val="Normal (Web)"/>
    <w:basedOn w:val="Normal"/>
    <w:uiPriority w:val="99"/>
    <w:semiHidden/>
    <w:unhideWhenUsed/>
    <w:rsid w:val="001636E8"/>
    <w:pPr>
      <w:overflowPunct/>
      <w:autoSpaceDE/>
      <w:autoSpaceDN/>
      <w:adjustRightInd/>
      <w:spacing w:before="100" w:beforeAutospacing="1" w:after="100" w:afterAutospacing="1"/>
      <w:textAlignment w:val="auto"/>
    </w:pPr>
    <w:rPr>
      <w:rFonts w:eastAsia="Times New Roman"/>
      <w:lang w:val="en-GB" w:eastAsia="en-GB"/>
    </w:rPr>
  </w:style>
  <w:style w:type="paragraph" w:customStyle="1" w:styleId="SageBodyText">
    <w:name w:val="Sage Body Text"/>
    <w:link w:val="SageBodyTextChar"/>
    <w:rsid w:val="00E874F0"/>
    <w:pPr>
      <w:spacing w:before="240"/>
    </w:pPr>
    <w:rPr>
      <w:rFonts w:eastAsia="Arial Unicode MS"/>
      <w:sz w:val="24"/>
      <w:szCs w:val="24"/>
      <w:lang w:val="en-GB" w:eastAsia="zh-TW"/>
    </w:rPr>
  </w:style>
  <w:style w:type="character" w:customStyle="1" w:styleId="SageBodyTextChar">
    <w:name w:val="Sage Body Text Char"/>
    <w:link w:val="SageBodyText"/>
    <w:rsid w:val="00E874F0"/>
    <w:rPr>
      <w:rFonts w:eastAsia="Arial Unicode MS"/>
      <w:sz w:val="24"/>
      <w:szCs w:val="24"/>
      <w:lang w:val="en-GB" w:eastAsia="zh-TW"/>
    </w:rPr>
  </w:style>
  <w:style w:type="paragraph" w:customStyle="1" w:styleId="TableFigureAppendixText1">
    <w:name w:val="Table/Figure/Appendix Text 1"/>
    <w:basedOn w:val="Normal"/>
    <w:rsid w:val="00C25D7C"/>
    <w:pPr>
      <w:widowControl w:val="0"/>
      <w:overflowPunct/>
      <w:autoSpaceDE/>
      <w:autoSpaceDN/>
      <w:adjustRightInd/>
      <w:spacing w:line="0" w:lineRule="atLeast"/>
      <w:jc w:val="both"/>
      <w:textAlignment w:val="auto"/>
    </w:pPr>
    <w:rPr>
      <w:rFonts w:eastAsia="MS Mincho"/>
      <w:kern w:val="2"/>
      <w:sz w:val="22"/>
      <w:lang w:eastAsia="ja-JP"/>
    </w:rPr>
  </w:style>
  <w:style w:type="numbering" w:customStyle="1" w:styleId="ListBullets">
    <w:name w:val="ListBullets"/>
    <w:uiPriority w:val="99"/>
    <w:locked/>
    <w:rsid w:val="00F75A8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0116">
      <w:bodyDiv w:val="1"/>
      <w:marLeft w:val="0"/>
      <w:marRight w:val="0"/>
      <w:marTop w:val="0"/>
      <w:marBottom w:val="0"/>
      <w:divBdr>
        <w:top w:val="none" w:sz="0" w:space="0" w:color="auto"/>
        <w:left w:val="none" w:sz="0" w:space="0" w:color="auto"/>
        <w:bottom w:val="none" w:sz="0" w:space="0" w:color="auto"/>
        <w:right w:val="none" w:sz="0" w:space="0" w:color="auto"/>
      </w:divBdr>
    </w:div>
    <w:div w:id="166527962">
      <w:bodyDiv w:val="1"/>
      <w:marLeft w:val="0"/>
      <w:marRight w:val="0"/>
      <w:marTop w:val="0"/>
      <w:marBottom w:val="0"/>
      <w:divBdr>
        <w:top w:val="none" w:sz="0" w:space="0" w:color="auto"/>
        <w:left w:val="none" w:sz="0" w:space="0" w:color="auto"/>
        <w:bottom w:val="none" w:sz="0" w:space="0" w:color="auto"/>
        <w:right w:val="none" w:sz="0" w:space="0" w:color="auto"/>
      </w:divBdr>
    </w:div>
    <w:div w:id="477456607">
      <w:bodyDiv w:val="1"/>
      <w:marLeft w:val="0"/>
      <w:marRight w:val="0"/>
      <w:marTop w:val="0"/>
      <w:marBottom w:val="0"/>
      <w:divBdr>
        <w:top w:val="none" w:sz="0" w:space="0" w:color="auto"/>
        <w:left w:val="none" w:sz="0" w:space="0" w:color="auto"/>
        <w:bottom w:val="none" w:sz="0" w:space="0" w:color="auto"/>
        <w:right w:val="none" w:sz="0" w:space="0" w:color="auto"/>
      </w:divBdr>
    </w:div>
    <w:div w:id="556670280">
      <w:bodyDiv w:val="1"/>
      <w:marLeft w:val="0"/>
      <w:marRight w:val="0"/>
      <w:marTop w:val="0"/>
      <w:marBottom w:val="0"/>
      <w:divBdr>
        <w:top w:val="none" w:sz="0" w:space="0" w:color="auto"/>
        <w:left w:val="none" w:sz="0" w:space="0" w:color="auto"/>
        <w:bottom w:val="none" w:sz="0" w:space="0" w:color="auto"/>
        <w:right w:val="none" w:sz="0" w:space="0" w:color="auto"/>
      </w:divBdr>
    </w:div>
    <w:div w:id="1542401310">
      <w:bodyDiv w:val="1"/>
      <w:marLeft w:val="0"/>
      <w:marRight w:val="0"/>
      <w:marTop w:val="0"/>
      <w:marBottom w:val="0"/>
      <w:divBdr>
        <w:top w:val="none" w:sz="0" w:space="0" w:color="auto"/>
        <w:left w:val="none" w:sz="0" w:space="0" w:color="auto"/>
        <w:bottom w:val="none" w:sz="0" w:space="0" w:color="auto"/>
        <w:right w:val="none" w:sz="0" w:space="0" w:color="auto"/>
      </w:divBdr>
    </w:div>
    <w:div w:id="1545019867">
      <w:bodyDiv w:val="1"/>
      <w:marLeft w:val="0"/>
      <w:marRight w:val="0"/>
      <w:marTop w:val="0"/>
      <w:marBottom w:val="0"/>
      <w:divBdr>
        <w:top w:val="none" w:sz="0" w:space="0" w:color="auto"/>
        <w:left w:val="none" w:sz="0" w:space="0" w:color="auto"/>
        <w:bottom w:val="none" w:sz="0" w:space="0" w:color="auto"/>
        <w:right w:val="none" w:sz="0" w:space="0" w:color="auto"/>
      </w:divBdr>
    </w:div>
    <w:div w:id="1623920712">
      <w:bodyDiv w:val="1"/>
      <w:marLeft w:val="0"/>
      <w:marRight w:val="0"/>
      <w:marTop w:val="0"/>
      <w:marBottom w:val="0"/>
      <w:divBdr>
        <w:top w:val="none" w:sz="0" w:space="0" w:color="auto"/>
        <w:left w:val="none" w:sz="0" w:space="0" w:color="auto"/>
        <w:bottom w:val="none" w:sz="0" w:space="0" w:color="auto"/>
        <w:right w:val="none" w:sz="0" w:space="0" w:color="auto"/>
      </w:divBdr>
    </w:div>
    <w:div w:id="202882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tga.gov.au/reporting-problems"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ga.gov.au/reporting-problem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PREDICT\PREDICT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875f30b8-aca8-44f4-a54f-f1a1cac6d079">
      <UserInfo>
        <DisplayName>PFE BHVN Alliance Rimegepant Members</DisplayName>
        <AccountId>7</AccountId>
        <AccountType/>
      </UserInfo>
      <UserInfo>
        <DisplayName>Compton, Anthony</DisplayName>
        <AccountId>963</AccountId>
        <AccountType/>
      </UserInfo>
      <UserInfo>
        <DisplayName>Liu, Jing</DisplayName>
        <AccountId>37</AccountId>
        <AccountType/>
      </UserInfo>
      <UserInfo>
        <DisplayName>Gorka, Lindsey Saunders</DisplayName>
        <AccountId>482</AccountId>
        <AccountType/>
      </UserInfo>
      <UserInfo>
        <DisplayName>Nottelman, Heidi</DisplayName>
        <AccountId>475</AccountId>
        <AccountType/>
      </UserInfo>
    </SharedWithUsers>
    <TaxCatchAll xmlns="875f30b8-aca8-44f4-a54f-f1a1cac6d079" xsi:nil="true"/>
    <lcf76f155ced4ddcb4097134ff3c332f xmlns="3c1869d4-4699-4bfc-b0f5-52c88f69a487">
      <Terms xmlns="http://schemas.microsoft.com/office/infopath/2007/PartnerControls"/>
    </lcf76f155ced4ddcb4097134ff3c332f>
    <Date xmlns="3c1869d4-4699-4bfc-b0f5-52c88f69a4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BE595EB530F664D8020BBE32E970189" ma:contentTypeVersion="16" ma:contentTypeDescription="Create a new document." ma:contentTypeScope="" ma:versionID="0cd3022a97a462853f6c41bf7035f2ed">
  <xsd:schema xmlns:xsd="http://www.w3.org/2001/XMLSchema" xmlns:xs="http://www.w3.org/2001/XMLSchema" xmlns:p="http://schemas.microsoft.com/office/2006/metadata/properties" xmlns:ns2="3c1869d4-4699-4bfc-b0f5-52c88f69a487" xmlns:ns3="875f30b8-aca8-44f4-a54f-f1a1cac6d079" targetNamespace="http://schemas.microsoft.com/office/2006/metadata/properties" ma:root="true" ma:fieldsID="b77d288247e37f74ab6b14776466bf37" ns2:_="" ns3:_="">
    <xsd:import namespace="3c1869d4-4699-4bfc-b0f5-52c88f69a487"/>
    <xsd:import namespace="875f30b8-aca8-44f4-a54f-f1a1cac6d0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869d4-4699-4bfc-b0f5-52c88f69a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5f30b8-aca8-44f4-a54f-f1a1cac6d0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22f323-468d-4b9b-b92b-1dec6f6c66f7}" ma:internalName="TaxCatchAll" ma:showField="CatchAllData" ma:web="875f30b8-aca8-44f4-a54f-f1a1cac6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B6BD7-7A55-4AFD-834D-0BB2C95B93BC}">
  <ds:schemaRefs>
    <ds:schemaRef ds:uri="http://schemas.openxmlformats.org/officeDocument/2006/bibliography"/>
  </ds:schemaRefs>
</ds:datastoreItem>
</file>

<file path=customXml/itemProps2.xml><?xml version="1.0" encoding="utf-8"?>
<ds:datastoreItem xmlns:ds="http://schemas.openxmlformats.org/officeDocument/2006/customXml" ds:itemID="{DBF03078-3F3F-4D2F-B2B5-D5EE4A9F9F67}">
  <ds:schemaRefs>
    <ds:schemaRef ds:uri="http://schemas.microsoft.com/office/2006/metadata/properties"/>
    <ds:schemaRef ds:uri="http://schemas.microsoft.com/office/infopath/2007/PartnerControls"/>
    <ds:schemaRef ds:uri="875f30b8-aca8-44f4-a54f-f1a1cac6d079"/>
    <ds:schemaRef ds:uri="3c1869d4-4699-4bfc-b0f5-52c88f69a487"/>
  </ds:schemaRefs>
</ds:datastoreItem>
</file>

<file path=customXml/itemProps3.xml><?xml version="1.0" encoding="utf-8"?>
<ds:datastoreItem xmlns:ds="http://schemas.openxmlformats.org/officeDocument/2006/customXml" ds:itemID="{AC52BF09-4FC6-4F6C-8851-D78B8E76CFC8}">
  <ds:schemaRefs>
    <ds:schemaRef ds:uri="http://schemas.microsoft.com/sharepoint/v3/contenttype/forms"/>
  </ds:schemaRefs>
</ds:datastoreItem>
</file>

<file path=customXml/itemProps4.xml><?xml version="1.0" encoding="utf-8"?>
<ds:datastoreItem xmlns:ds="http://schemas.openxmlformats.org/officeDocument/2006/customXml" ds:itemID="{0D129B1F-0DA7-4543-815D-AFC5FED3B4F0}">
  <ds:schemaRefs>
    <ds:schemaRef ds:uri="http://schemas.microsoft.com/office/2006/metadata/longProperties"/>
  </ds:schemaRefs>
</ds:datastoreItem>
</file>

<file path=customXml/itemProps5.xml><?xml version="1.0" encoding="utf-8"?>
<ds:datastoreItem xmlns:ds="http://schemas.openxmlformats.org/officeDocument/2006/customXml" ds:itemID="{C618AC4C-B3F2-4EE7-AC96-3958FC448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869d4-4699-4bfc-b0f5-52c88f69a487"/>
    <ds:schemaRef ds:uri="875f30b8-aca8-44f4-a54f-f1a1cac6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PREDICT2.dotm</Template>
  <TotalTime>6</TotalTime>
  <Pages>17</Pages>
  <Words>4970</Words>
  <Characters>28530</Characters>
  <Application>Microsoft Office Word</Application>
  <DocSecurity>0</DocSecurity>
  <Lines>559</Lines>
  <Paragraphs>286</Paragraphs>
  <ScaleCrop>false</ScaleCrop>
  <HeadingPairs>
    <vt:vector size="2" baseType="variant">
      <vt:variant>
        <vt:lpstr>Title</vt:lpstr>
      </vt:variant>
      <vt:variant>
        <vt:i4>1</vt:i4>
      </vt:variant>
    </vt:vector>
  </HeadingPairs>
  <TitlesOfParts>
    <vt:vector size="1" baseType="lpstr">
      <vt:lpstr>PI Template</vt:lpstr>
    </vt:vector>
  </TitlesOfParts>
  <Company>Pharmacia &amp; Upjohn</Company>
  <LinksUpToDate>false</LinksUpToDate>
  <CharactersWithSpaces>33214</CharactersWithSpaces>
  <SharedDoc>false</SharedDoc>
  <HLinks>
    <vt:vector size="12" baseType="variant">
      <vt:variant>
        <vt:i4>5898317</vt:i4>
      </vt:variant>
      <vt:variant>
        <vt:i4>3</vt:i4>
      </vt:variant>
      <vt:variant>
        <vt:i4>0</vt:i4>
      </vt:variant>
      <vt:variant>
        <vt:i4>5</vt:i4>
      </vt:variant>
      <vt:variant>
        <vt:lpwstr>http://www.tga.gov.au/reporting-problems</vt:lpwstr>
      </vt:variant>
      <vt:variant>
        <vt:lpwstr/>
      </vt:variant>
      <vt:variant>
        <vt:i4>5898317</vt:i4>
      </vt:variant>
      <vt:variant>
        <vt:i4>0</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Nurtec ODT</dc:title>
  <dc:subject>Genotropin Product Info</dc:subject>
  <dc:creator>Pharmacia &amp; Upjohn</dc:creator>
  <cp:keywords/>
  <cp:lastModifiedBy>LACK, Janet</cp:lastModifiedBy>
  <cp:revision>3</cp:revision>
  <cp:lastPrinted>2015-03-12T19:11:00Z</cp:lastPrinted>
  <dcterms:created xsi:type="dcterms:W3CDTF">2024-03-04T01:05:00Z</dcterms:created>
  <dcterms:modified xsi:type="dcterms:W3CDTF">2024-03-04T01:11:00Z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oup">
    <vt:lpwstr>Regulatory Affairs</vt:lpwstr>
  </property>
  <property fmtid="{D5CDD505-2E9C-101B-9397-08002B2CF9AE}" pid="3" name="Confirmation of Learning">
    <vt:lpwstr/>
  </property>
  <property fmtid="{D5CDD505-2E9C-101B-9397-08002B2CF9AE}" pid="4" name="ContentType">
    <vt:lpwstr>Document</vt:lpwstr>
  </property>
  <property fmtid="{D5CDD505-2E9C-101B-9397-08002B2CF9AE}" pid="5" name="Category">
    <vt:lpwstr>LPDs &amp; CMIs</vt:lpwstr>
  </property>
  <property fmtid="{D5CDD505-2E9C-101B-9397-08002B2CF9AE}" pid="6" name="Subcategory1">
    <vt:lpwstr/>
  </property>
  <property fmtid="{D5CDD505-2E9C-101B-9397-08002B2CF9AE}" pid="7" name="ContentTypeId">
    <vt:lpwstr>0x0101008BE595EB530F664D8020BBE32E970189</vt:lpwstr>
  </property>
  <property fmtid="{D5CDD505-2E9C-101B-9397-08002B2CF9AE}" pid="8" name="MSIP_Label_4791b42f-c435-42ca-9531-75a3f42aae3d_Enabled">
    <vt:lpwstr>true</vt:lpwstr>
  </property>
  <property fmtid="{D5CDD505-2E9C-101B-9397-08002B2CF9AE}" pid="9" name="MSIP_Label_4791b42f-c435-42ca-9531-75a3f42aae3d_SetDate">
    <vt:lpwstr>2022-12-13T04:46:27Z</vt:lpwstr>
  </property>
  <property fmtid="{D5CDD505-2E9C-101B-9397-08002B2CF9AE}" pid="10" name="MSIP_Label_4791b42f-c435-42ca-9531-75a3f42aae3d_Method">
    <vt:lpwstr>Privileged</vt:lpwstr>
  </property>
  <property fmtid="{D5CDD505-2E9C-101B-9397-08002B2CF9AE}" pid="11" name="MSIP_Label_4791b42f-c435-42ca-9531-75a3f42aae3d_Name">
    <vt:lpwstr>4791b42f-c435-42ca-9531-75a3f42aae3d</vt:lpwstr>
  </property>
  <property fmtid="{D5CDD505-2E9C-101B-9397-08002B2CF9AE}" pid="12" name="MSIP_Label_4791b42f-c435-42ca-9531-75a3f42aae3d_SiteId">
    <vt:lpwstr>7a916015-20ae-4ad1-9170-eefd915e9272</vt:lpwstr>
  </property>
  <property fmtid="{D5CDD505-2E9C-101B-9397-08002B2CF9AE}" pid="13" name="MSIP_Label_4791b42f-c435-42ca-9531-75a3f42aae3d_ActionId">
    <vt:lpwstr>0793beca-f8b2-4bf6-8032-f96ac1311305</vt:lpwstr>
  </property>
  <property fmtid="{D5CDD505-2E9C-101B-9397-08002B2CF9AE}" pid="14" name="MSIP_Label_4791b42f-c435-42ca-9531-75a3f42aae3d_ContentBits">
    <vt:lpwstr>0</vt:lpwstr>
  </property>
  <property fmtid="{D5CDD505-2E9C-101B-9397-08002B2CF9AE}" pid="15" name="MediaServiceImageTags">
    <vt:lpwstr/>
  </property>
</Properties>
</file>