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55384C70" w:rsidR="00F02AEC" w:rsidRPr="00215D48" w:rsidRDefault="00346EC2" w:rsidP="007452E8">
            <w:pPr>
              <w:pStyle w:val="Title"/>
            </w:pPr>
            <w:r w:rsidRPr="00346EC2">
              <w:t xml:space="preserve">Australian Public Assessment Report for </w:t>
            </w:r>
            <w:proofErr w:type="spellStart"/>
            <w:r w:rsidR="00CF1CE4">
              <w:t>Vegzelma</w:t>
            </w:r>
            <w:proofErr w:type="spellEnd"/>
          </w:p>
        </w:tc>
      </w:tr>
      <w:tr w:rsidR="00F02AEC" w:rsidRPr="00215D48" w14:paraId="318A40A3" w14:textId="77777777" w:rsidTr="00346EC2">
        <w:trPr>
          <w:trHeight w:val="995"/>
        </w:trPr>
        <w:tc>
          <w:tcPr>
            <w:tcW w:w="8720" w:type="dxa"/>
          </w:tcPr>
          <w:p w14:paraId="1AA7C701" w14:textId="14120722" w:rsidR="00F02AEC" w:rsidRPr="00215D48" w:rsidRDefault="00346EC2" w:rsidP="007452E8">
            <w:pPr>
              <w:pStyle w:val="Subtitle"/>
              <w:ind w:left="0"/>
            </w:pPr>
            <w:r w:rsidRPr="00346EC2">
              <w:t xml:space="preserve">Active ingredient: </w:t>
            </w:r>
            <w:r w:rsidR="00CF1CE4">
              <w:t>Bevacizumab</w:t>
            </w:r>
          </w:p>
        </w:tc>
      </w:tr>
      <w:tr w:rsidR="00346EC2" w:rsidRPr="00215D48" w14:paraId="362CCAE4" w14:textId="77777777" w:rsidTr="007452E8">
        <w:trPr>
          <w:trHeight w:val="1916"/>
        </w:trPr>
        <w:tc>
          <w:tcPr>
            <w:tcW w:w="8720" w:type="dxa"/>
          </w:tcPr>
          <w:p w14:paraId="709C45C0" w14:textId="3E0C4330" w:rsidR="00346EC2" w:rsidRPr="00215D48" w:rsidRDefault="00346EC2" w:rsidP="007452E8">
            <w:pPr>
              <w:pStyle w:val="Subtitle"/>
              <w:ind w:left="0"/>
            </w:pPr>
            <w:r w:rsidRPr="00346EC2">
              <w:t xml:space="preserve">Sponsor: </w:t>
            </w:r>
            <w:proofErr w:type="spellStart"/>
            <w:r w:rsidR="00CF1CE4">
              <w:t>Celltrion</w:t>
            </w:r>
            <w:proofErr w:type="spellEnd"/>
            <w:r w:rsidR="00CF1CE4">
              <w:t xml:space="preserve"> Healthcare Australia Pty Ltd</w:t>
            </w:r>
          </w:p>
        </w:tc>
      </w:tr>
      <w:tr w:rsidR="00F02AEC" w:rsidRPr="00215D48" w14:paraId="37F2AA1F" w14:textId="77777777" w:rsidTr="007452E8">
        <w:tc>
          <w:tcPr>
            <w:tcW w:w="8720" w:type="dxa"/>
          </w:tcPr>
          <w:p w14:paraId="1FDE8DCD" w14:textId="7C5658B8" w:rsidR="00F02AEC" w:rsidRPr="00215D48" w:rsidRDefault="007C62BC" w:rsidP="007452E8">
            <w:pPr>
              <w:pStyle w:val="Date"/>
            </w:pPr>
            <w:r>
              <w:t>February</w:t>
            </w:r>
            <w:r w:rsidR="00CF1CE4">
              <w:t xml:space="preserve"> 2024</w:t>
            </w:r>
          </w:p>
        </w:tc>
      </w:tr>
    </w:tbl>
    <w:p w14:paraId="73752706" w14:textId="77777777" w:rsidR="00F02AEC" w:rsidRPr="00215D48" w:rsidRDefault="00F02AEC" w:rsidP="007452E8">
      <w:pPr>
        <w:pStyle w:val="ListBullet"/>
        <w:numPr>
          <w:ilvl w:val="0"/>
          <w:numId w:val="0"/>
        </w:numPr>
        <w:sectPr w:rsidR="00F02AEC" w:rsidRPr="00215D48" w:rsidSect="0000623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35B7A87E"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5"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462B50E1"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6"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287167BF" w:rsidR="00175CD8" w:rsidRPr="00346EC2" w:rsidRDefault="00F02AEC" w:rsidP="00346EC2">
      <w:pPr>
        <w:pStyle w:val="LegalCopy"/>
        <w:rPr>
          <w:rFonts w:cs="Arial"/>
        </w:rPr>
      </w:pPr>
      <w:r w:rsidRPr="00215D48">
        <w:rPr>
          <w:rFonts w:cs="Arial"/>
        </w:rPr>
        <w:t>© Commonwealth of Australia 20</w:t>
      </w:r>
      <w:r>
        <w:rPr>
          <w:rFonts w:cs="Arial"/>
        </w:rPr>
        <w:t>2</w:t>
      </w:r>
      <w:r w:rsidR="00C90965">
        <w:rPr>
          <w:rFonts w:cs="Arial"/>
        </w:rPr>
        <w:t>4</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7"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eastAsiaTheme="minorEastAsia"/>
          <w:szCs w:val="20"/>
        </w:rPr>
      </w:sdtEndPr>
      <w:sdtContent>
        <w:p w14:paraId="0A6ADA2B" w14:textId="77777777" w:rsidR="00F02AEC" w:rsidRPr="00215D48" w:rsidRDefault="00F02AEC" w:rsidP="007452E8">
          <w:pPr>
            <w:pStyle w:val="NonTOCheading2"/>
          </w:pPr>
          <w:r w:rsidRPr="00215D48">
            <w:t>Contents</w:t>
          </w:r>
        </w:p>
        <w:p w14:paraId="36B6ED50" w14:textId="467E9822" w:rsidR="00726341" w:rsidRDefault="00F02AEC">
          <w:pPr>
            <w:pStyle w:val="TOC1"/>
            <w:rPr>
              <w:rFonts w:asciiTheme="minorHAnsi" w:eastAsiaTheme="minorEastAsia" w:hAnsiTheme="minorHAnsi" w:cstheme="minorBidi"/>
              <w:b w:val="0"/>
              <w:noProof/>
              <w:color w:val="auto"/>
              <w:sz w:val="22"/>
              <w:szCs w:val="22"/>
              <w:lang w:eastAsia="en-AU"/>
            </w:rPr>
          </w:pPr>
          <w:r w:rsidRPr="00215D48">
            <w:fldChar w:fldCharType="begin"/>
          </w:r>
          <w:r w:rsidRPr="00215D48">
            <w:instrText xml:space="preserve"> TOC \h \z \u \t "Heading 2,1,Heading 3,2,Heading 4,3" </w:instrText>
          </w:r>
          <w:r w:rsidRPr="00215D48">
            <w:fldChar w:fldCharType="separate"/>
          </w:r>
          <w:hyperlink w:anchor="_Toc156210049" w:history="1">
            <w:r w:rsidR="00726341" w:rsidRPr="008B5084">
              <w:rPr>
                <w:rStyle w:val="Hyperlink"/>
                <w:noProof/>
              </w:rPr>
              <w:t>List of abbreviations</w:t>
            </w:r>
            <w:r w:rsidR="00726341">
              <w:rPr>
                <w:noProof/>
                <w:webHidden/>
              </w:rPr>
              <w:tab/>
            </w:r>
            <w:r w:rsidR="00726341">
              <w:rPr>
                <w:noProof/>
                <w:webHidden/>
              </w:rPr>
              <w:fldChar w:fldCharType="begin"/>
            </w:r>
            <w:r w:rsidR="00726341">
              <w:rPr>
                <w:noProof/>
                <w:webHidden/>
              </w:rPr>
              <w:instrText xml:space="preserve"> PAGEREF _Toc156210049 \h </w:instrText>
            </w:r>
            <w:r w:rsidR="00726341">
              <w:rPr>
                <w:noProof/>
                <w:webHidden/>
              </w:rPr>
            </w:r>
            <w:r w:rsidR="00726341">
              <w:rPr>
                <w:noProof/>
                <w:webHidden/>
              </w:rPr>
              <w:fldChar w:fldCharType="separate"/>
            </w:r>
            <w:r w:rsidR="003E0D9C">
              <w:rPr>
                <w:noProof/>
                <w:webHidden/>
              </w:rPr>
              <w:t>4</w:t>
            </w:r>
            <w:r w:rsidR="00726341">
              <w:rPr>
                <w:noProof/>
                <w:webHidden/>
              </w:rPr>
              <w:fldChar w:fldCharType="end"/>
            </w:r>
          </w:hyperlink>
        </w:p>
        <w:p w14:paraId="22BAF141" w14:textId="31208820" w:rsidR="00726341" w:rsidRDefault="006D24F9">
          <w:pPr>
            <w:pStyle w:val="TOC1"/>
            <w:rPr>
              <w:rFonts w:asciiTheme="minorHAnsi" w:eastAsiaTheme="minorEastAsia" w:hAnsiTheme="minorHAnsi" w:cstheme="minorBidi"/>
              <w:b w:val="0"/>
              <w:noProof/>
              <w:color w:val="auto"/>
              <w:sz w:val="22"/>
              <w:szCs w:val="22"/>
              <w:lang w:eastAsia="en-AU"/>
            </w:rPr>
          </w:pPr>
          <w:hyperlink w:anchor="_Toc156210050" w:history="1">
            <w:r w:rsidR="00726341" w:rsidRPr="008B5084">
              <w:rPr>
                <w:rStyle w:val="Hyperlink"/>
                <w:noProof/>
              </w:rPr>
              <w:t>Product submission</w:t>
            </w:r>
            <w:r w:rsidR="00726341">
              <w:rPr>
                <w:noProof/>
                <w:webHidden/>
              </w:rPr>
              <w:tab/>
            </w:r>
            <w:r w:rsidR="00726341">
              <w:rPr>
                <w:noProof/>
                <w:webHidden/>
              </w:rPr>
              <w:fldChar w:fldCharType="begin"/>
            </w:r>
            <w:r w:rsidR="00726341">
              <w:rPr>
                <w:noProof/>
                <w:webHidden/>
              </w:rPr>
              <w:instrText xml:space="preserve"> PAGEREF _Toc156210050 \h </w:instrText>
            </w:r>
            <w:r w:rsidR="00726341">
              <w:rPr>
                <w:noProof/>
                <w:webHidden/>
              </w:rPr>
            </w:r>
            <w:r w:rsidR="00726341">
              <w:rPr>
                <w:noProof/>
                <w:webHidden/>
              </w:rPr>
              <w:fldChar w:fldCharType="separate"/>
            </w:r>
            <w:r w:rsidR="003E0D9C">
              <w:rPr>
                <w:noProof/>
                <w:webHidden/>
              </w:rPr>
              <w:t>5</w:t>
            </w:r>
            <w:r w:rsidR="00726341">
              <w:rPr>
                <w:noProof/>
                <w:webHidden/>
              </w:rPr>
              <w:fldChar w:fldCharType="end"/>
            </w:r>
          </w:hyperlink>
        </w:p>
        <w:p w14:paraId="78C60042" w14:textId="168828C9" w:rsidR="00726341" w:rsidRDefault="006D24F9">
          <w:pPr>
            <w:pStyle w:val="TOC2"/>
            <w:rPr>
              <w:rFonts w:asciiTheme="minorHAnsi" w:eastAsiaTheme="minorEastAsia" w:hAnsiTheme="minorHAnsi" w:cstheme="minorBidi"/>
              <w:b w:val="0"/>
              <w:noProof/>
              <w:color w:val="auto"/>
              <w:sz w:val="22"/>
              <w:szCs w:val="22"/>
              <w:lang w:eastAsia="en-AU"/>
            </w:rPr>
          </w:pPr>
          <w:hyperlink w:anchor="_Toc156210051" w:history="1">
            <w:r w:rsidR="00726341" w:rsidRPr="008B5084">
              <w:rPr>
                <w:rStyle w:val="Hyperlink"/>
                <w:noProof/>
                <w:lang w:eastAsia="en-AU"/>
              </w:rPr>
              <w:t>Submission details</w:t>
            </w:r>
            <w:r w:rsidR="00726341">
              <w:rPr>
                <w:noProof/>
                <w:webHidden/>
              </w:rPr>
              <w:tab/>
            </w:r>
            <w:r w:rsidR="00726341">
              <w:rPr>
                <w:noProof/>
                <w:webHidden/>
              </w:rPr>
              <w:fldChar w:fldCharType="begin"/>
            </w:r>
            <w:r w:rsidR="00726341">
              <w:rPr>
                <w:noProof/>
                <w:webHidden/>
              </w:rPr>
              <w:instrText xml:space="preserve"> PAGEREF _Toc156210051 \h </w:instrText>
            </w:r>
            <w:r w:rsidR="00726341">
              <w:rPr>
                <w:noProof/>
                <w:webHidden/>
              </w:rPr>
            </w:r>
            <w:r w:rsidR="00726341">
              <w:rPr>
                <w:noProof/>
                <w:webHidden/>
              </w:rPr>
              <w:fldChar w:fldCharType="separate"/>
            </w:r>
            <w:r w:rsidR="003E0D9C">
              <w:rPr>
                <w:noProof/>
                <w:webHidden/>
              </w:rPr>
              <w:t>5</w:t>
            </w:r>
            <w:r w:rsidR="00726341">
              <w:rPr>
                <w:noProof/>
                <w:webHidden/>
              </w:rPr>
              <w:fldChar w:fldCharType="end"/>
            </w:r>
          </w:hyperlink>
        </w:p>
        <w:p w14:paraId="5F04E646" w14:textId="50E4A85B" w:rsidR="00726341" w:rsidRDefault="006D24F9">
          <w:pPr>
            <w:pStyle w:val="TOC2"/>
            <w:rPr>
              <w:rFonts w:asciiTheme="minorHAnsi" w:eastAsiaTheme="minorEastAsia" w:hAnsiTheme="minorHAnsi" w:cstheme="minorBidi"/>
              <w:b w:val="0"/>
              <w:noProof/>
              <w:color w:val="auto"/>
              <w:sz w:val="22"/>
              <w:szCs w:val="22"/>
              <w:lang w:eastAsia="en-AU"/>
            </w:rPr>
          </w:pPr>
          <w:hyperlink w:anchor="_Toc156210052" w:history="1">
            <w:r w:rsidR="00726341" w:rsidRPr="008B5084">
              <w:rPr>
                <w:rStyle w:val="Hyperlink"/>
                <w:noProof/>
              </w:rPr>
              <w:t>Product background</w:t>
            </w:r>
            <w:r w:rsidR="00726341">
              <w:rPr>
                <w:noProof/>
                <w:webHidden/>
              </w:rPr>
              <w:tab/>
            </w:r>
            <w:r w:rsidR="00726341">
              <w:rPr>
                <w:noProof/>
                <w:webHidden/>
              </w:rPr>
              <w:fldChar w:fldCharType="begin"/>
            </w:r>
            <w:r w:rsidR="00726341">
              <w:rPr>
                <w:noProof/>
                <w:webHidden/>
              </w:rPr>
              <w:instrText xml:space="preserve"> PAGEREF _Toc156210052 \h </w:instrText>
            </w:r>
            <w:r w:rsidR="00726341">
              <w:rPr>
                <w:noProof/>
                <w:webHidden/>
              </w:rPr>
            </w:r>
            <w:r w:rsidR="00726341">
              <w:rPr>
                <w:noProof/>
                <w:webHidden/>
              </w:rPr>
              <w:fldChar w:fldCharType="separate"/>
            </w:r>
            <w:r w:rsidR="003E0D9C">
              <w:rPr>
                <w:noProof/>
                <w:webHidden/>
              </w:rPr>
              <w:t>7</w:t>
            </w:r>
            <w:r w:rsidR="00726341">
              <w:rPr>
                <w:noProof/>
                <w:webHidden/>
              </w:rPr>
              <w:fldChar w:fldCharType="end"/>
            </w:r>
          </w:hyperlink>
        </w:p>
        <w:p w14:paraId="5A0306D6" w14:textId="682C94DD" w:rsidR="00726341" w:rsidRDefault="006D24F9">
          <w:pPr>
            <w:pStyle w:val="TOC2"/>
            <w:rPr>
              <w:rFonts w:asciiTheme="minorHAnsi" w:eastAsiaTheme="minorEastAsia" w:hAnsiTheme="minorHAnsi" w:cstheme="minorBidi"/>
              <w:b w:val="0"/>
              <w:noProof/>
              <w:color w:val="auto"/>
              <w:sz w:val="22"/>
              <w:szCs w:val="22"/>
              <w:lang w:eastAsia="en-AU"/>
            </w:rPr>
          </w:pPr>
          <w:hyperlink w:anchor="_Toc156210053" w:history="1">
            <w:r w:rsidR="00726341" w:rsidRPr="008B5084">
              <w:rPr>
                <w:rStyle w:val="Hyperlink"/>
                <w:noProof/>
              </w:rPr>
              <w:t>Regulatory status</w:t>
            </w:r>
            <w:r w:rsidR="00726341">
              <w:rPr>
                <w:noProof/>
                <w:webHidden/>
              </w:rPr>
              <w:tab/>
            </w:r>
            <w:r w:rsidR="00726341">
              <w:rPr>
                <w:noProof/>
                <w:webHidden/>
              </w:rPr>
              <w:fldChar w:fldCharType="begin"/>
            </w:r>
            <w:r w:rsidR="00726341">
              <w:rPr>
                <w:noProof/>
                <w:webHidden/>
              </w:rPr>
              <w:instrText xml:space="preserve"> PAGEREF _Toc156210053 \h </w:instrText>
            </w:r>
            <w:r w:rsidR="00726341">
              <w:rPr>
                <w:noProof/>
                <w:webHidden/>
              </w:rPr>
            </w:r>
            <w:r w:rsidR="00726341">
              <w:rPr>
                <w:noProof/>
                <w:webHidden/>
              </w:rPr>
              <w:fldChar w:fldCharType="separate"/>
            </w:r>
            <w:r w:rsidR="003E0D9C">
              <w:rPr>
                <w:noProof/>
                <w:webHidden/>
              </w:rPr>
              <w:t>8</w:t>
            </w:r>
            <w:r w:rsidR="00726341">
              <w:rPr>
                <w:noProof/>
                <w:webHidden/>
              </w:rPr>
              <w:fldChar w:fldCharType="end"/>
            </w:r>
          </w:hyperlink>
        </w:p>
        <w:p w14:paraId="412A1FCD" w14:textId="702651B3" w:rsidR="00726341" w:rsidRDefault="006D24F9">
          <w:pPr>
            <w:pStyle w:val="TOC3"/>
            <w:rPr>
              <w:rFonts w:asciiTheme="minorHAnsi" w:eastAsiaTheme="minorEastAsia" w:hAnsiTheme="minorHAnsi" w:cstheme="minorBidi"/>
              <w:b w:val="0"/>
              <w:noProof/>
              <w:color w:val="auto"/>
              <w:szCs w:val="22"/>
              <w:lang w:eastAsia="en-AU"/>
            </w:rPr>
          </w:pPr>
          <w:hyperlink w:anchor="_Toc156210054" w:history="1">
            <w:r w:rsidR="00726341" w:rsidRPr="008B5084">
              <w:rPr>
                <w:rStyle w:val="Hyperlink"/>
                <w:noProof/>
              </w:rPr>
              <w:t>Australian regulatory status</w:t>
            </w:r>
            <w:r w:rsidR="00726341">
              <w:rPr>
                <w:noProof/>
                <w:webHidden/>
              </w:rPr>
              <w:tab/>
            </w:r>
            <w:r w:rsidR="00726341">
              <w:rPr>
                <w:noProof/>
                <w:webHidden/>
              </w:rPr>
              <w:fldChar w:fldCharType="begin"/>
            </w:r>
            <w:r w:rsidR="00726341">
              <w:rPr>
                <w:noProof/>
                <w:webHidden/>
              </w:rPr>
              <w:instrText xml:space="preserve"> PAGEREF _Toc156210054 \h </w:instrText>
            </w:r>
            <w:r w:rsidR="00726341">
              <w:rPr>
                <w:noProof/>
                <w:webHidden/>
              </w:rPr>
            </w:r>
            <w:r w:rsidR="00726341">
              <w:rPr>
                <w:noProof/>
                <w:webHidden/>
              </w:rPr>
              <w:fldChar w:fldCharType="separate"/>
            </w:r>
            <w:r w:rsidR="003E0D9C">
              <w:rPr>
                <w:noProof/>
                <w:webHidden/>
              </w:rPr>
              <w:t>8</w:t>
            </w:r>
            <w:r w:rsidR="00726341">
              <w:rPr>
                <w:noProof/>
                <w:webHidden/>
              </w:rPr>
              <w:fldChar w:fldCharType="end"/>
            </w:r>
          </w:hyperlink>
        </w:p>
        <w:p w14:paraId="0812D012" w14:textId="1088AD59" w:rsidR="00726341" w:rsidRDefault="006D24F9">
          <w:pPr>
            <w:pStyle w:val="TOC3"/>
            <w:rPr>
              <w:rFonts w:asciiTheme="minorHAnsi" w:eastAsiaTheme="minorEastAsia" w:hAnsiTheme="minorHAnsi" w:cstheme="minorBidi"/>
              <w:b w:val="0"/>
              <w:noProof/>
              <w:color w:val="auto"/>
              <w:szCs w:val="22"/>
              <w:lang w:eastAsia="en-AU"/>
            </w:rPr>
          </w:pPr>
          <w:hyperlink w:anchor="_Toc156210055" w:history="1">
            <w:r w:rsidR="00726341" w:rsidRPr="008B5084">
              <w:rPr>
                <w:rStyle w:val="Hyperlink"/>
                <w:noProof/>
              </w:rPr>
              <w:t>Foreign regulatory status</w:t>
            </w:r>
            <w:r w:rsidR="00726341">
              <w:rPr>
                <w:noProof/>
                <w:webHidden/>
              </w:rPr>
              <w:tab/>
            </w:r>
            <w:r w:rsidR="00726341">
              <w:rPr>
                <w:noProof/>
                <w:webHidden/>
              </w:rPr>
              <w:fldChar w:fldCharType="begin"/>
            </w:r>
            <w:r w:rsidR="00726341">
              <w:rPr>
                <w:noProof/>
                <w:webHidden/>
              </w:rPr>
              <w:instrText xml:space="preserve"> PAGEREF _Toc156210055 \h </w:instrText>
            </w:r>
            <w:r w:rsidR="00726341">
              <w:rPr>
                <w:noProof/>
                <w:webHidden/>
              </w:rPr>
            </w:r>
            <w:r w:rsidR="00726341">
              <w:rPr>
                <w:noProof/>
                <w:webHidden/>
              </w:rPr>
              <w:fldChar w:fldCharType="separate"/>
            </w:r>
            <w:r w:rsidR="003E0D9C">
              <w:rPr>
                <w:noProof/>
                <w:webHidden/>
              </w:rPr>
              <w:t>9</w:t>
            </w:r>
            <w:r w:rsidR="00726341">
              <w:rPr>
                <w:noProof/>
                <w:webHidden/>
              </w:rPr>
              <w:fldChar w:fldCharType="end"/>
            </w:r>
          </w:hyperlink>
        </w:p>
        <w:p w14:paraId="54C4F8C9" w14:textId="65988297" w:rsidR="00726341" w:rsidRDefault="006D24F9">
          <w:pPr>
            <w:pStyle w:val="TOC1"/>
            <w:rPr>
              <w:rFonts w:asciiTheme="minorHAnsi" w:eastAsiaTheme="minorEastAsia" w:hAnsiTheme="minorHAnsi" w:cstheme="minorBidi"/>
              <w:b w:val="0"/>
              <w:noProof/>
              <w:color w:val="auto"/>
              <w:sz w:val="22"/>
              <w:szCs w:val="22"/>
              <w:lang w:eastAsia="en-AU"/>
            </w:rPr>
          </w:pPr>
          <w:hyperlink w:anchor="_Toc156210056" w:history="1">
            <w:r w:rsidR="00726341" w:rsidRPr="008B5084">
              <w:rPr>
                <w:rStyle w:val="Hyperlink"/>
                <w:noProof/>
              </w:rPr>
              <w:t>Registration timeline</w:t>
            </w:r>
            <w:r w:rsidR="00726341">
              <w:rPr>
                <w:noProof/>
                <w:webHidden/>
              </w:rPr>
              <w:tab/>
            </w:r>
            <w:r w:rsidR="00726341">
              <w:rPr>
                <w:noProof/>
                <w:webHidden/>
              </w:rPr>
              <w:fldChar w:fldCharType="begin"/>
            </w:r>
            <w:r w:rsidR="00726341">
              <w:rPr>
                <w:noProof/>
                <w:webHidden/>
              </w:rPr>
              <w:instrText xml:space="preserve"> PAGEREF _Toc156210056 \h </w:instrText>
            </w:r>
            <w:r w:rsidR="00726341">
              <w:rPr>
                <w:noProof/>
                <w:webHidden/>
              </w:rPr>
            </w:r>
            <w:r w:rsidR="00726341">
              <w:rPr>
                <w:noProof/>
                <w:webHidden/>
              </w:rPr>
              <w:fldChar w:fldCharType="separate"/>
            </w:r>
            <w:r w:rsidR="003E0D9C">
              <w:rPr>
                <w:noProof/>
                <w:webHidden/>
              </w:rPr>
              <w:t>10</w:t>
            </w:r>
            <w:r w:rsidR="00726341">
              <w:rPr>
                <w:noProof/>
                <w:webHidden/>
              </w:rPr>
              <w:fldChar w:fldCharType="end"/>
            </w:r>
          </w:hyperlink>
        </w:p>
        <w:p w14:paraId="23892458" w14:textId="45565435" w:rsidR="00726341" w:rsidRDefault="006D24F9">
          <w:pPr>
            <w:pStyle w:val="TOC1"/>
            <w:rPr>
              <w:rFonts w:asciiTheme="minorHAnsi" w:eastAsiaTheme="minorEastAsia" w:hAnsiTheme="minorHAnsi" w:cstheme="minorBidi"/>
              <w:b w:val="0"/>
              <w:noProof/>
              <w:color w:val="auto"/>
              <w:sz w:val="22"/>
              <w:szCs w:val="22"/>
              <w:lang w:eastAsia="en-AU"/>
            </w:rPr>
          </w:pPr>
          <w:hyperlink w:anchor="_Toc156210057" w:history="1">
            <w:r w:rsidR="00726341" w:rsidRPr="008B5084">
              <w:rPr>
                <w:rStyle w:val="Hyperlink"/>
                <w:noProof/>
              </w:rPr>
              <w:t>Submission overview and risk/benefit assessment</w:t>
            </w:r>
            <w:r w:rsidR="00726341">
              <w:rPr>
                <w:noProof/>
                <w:webHidden/>
              </w:rPr>
              <w:tab/>
            </w:r>
            <w:r w:rsidR="00726341">
              <w:rPr>
                <w:noProof/>
                <w:webHidden/>
              </w:rPr>
              <w:fldChar w:fldCharType="begin"/>
            </w:r>
            <w:r w:rsidR="00726341">
              <w:rPr>
                <w:noProof/>
                <w:webHidden/>
              </w:rPr>
              <w:instrText xml:space="preserve"> PAGEREF _Toc156210057 \h </w:instrText>
            </w:r>
            <w:r w:rsidR="00726341">
              <w:rPr>
                <w:noProof/>
                <w:webHidden/>
              </w:rPr>
            </w:r>
            <w:r w:rsidR="00726341">
              <w:rPr>
                <w:noProof/>
                <w:webHidden/>
              </w:rPr>
              <w:fldChar w:fldCharType="separate"/>
            </w:r>
            <w:r w:rsidR="003E0D9C">
              <w:rPr>
                <w:noProof/>
                <w:webHidden/>
              </w:rPr>
              <w:t>11</w:t>
            </w:r>
            <w:r w:rsidR="00726341">
              <w:rPr>
                <w:noProof/>
                <w:webHidden/>
              </w:rPr>
              <w:fldChar w:fldCharType="end"/>
            </w:r>
          </w:hyperlink>
        </w:p>
        <w:p w14:paraId="5F43F7F8" w14:textId="1BE961C1" w:rsidR="00726341" w:rsidRDefault="006D24F9">
          <w:pPr>
            <w:pStyle w:val="TOC2"/>
            <w:rPr>
              <w:rFonts w:asciiTheme="minorHAnsi" w:eastAsiaTheme="minorEastAsia" w:hAnsiTheme="minorHAnsi" w:cstheme="minorBidi"/>
              <w:b w:val="0"/>
              <w:noProof/>
              <w:color w:val="auto"/>
              <w:sz w:val="22"/>
              <w:szCs w:val="22"/>
              <w:lang w:eastAsia="en-AU"/>
            </w:rPr>
          </w:pPr>
          <w:hyperlink w:anchor="_Toc156210058" w:history="1">
            <w:r w:rsidR="00726341" w:rsidRPr="008B5084">
              <w:rPr>
                <w:rStyle w:val="Hyperlink"/>
                <w:noProof/>
              </w:rPr>
              <w:t>Quality</w:t>
            </w:r>
            <w:r w:rsidR="00726341">
              <w:rPr>
                <w:noProof/>
                <w:webHidden/>
              </w:rPr>
              <w:tab/>
            </w:r>
            <w:r w:rsidR="00726341">
              <w:rPr>
                <w:noProof/>
                <w:webHidden/>
              </w:rPr>
              <w:fldChar w:fldCharType="begin"/>
            </w:r>
            <w:r w:rsidR="00726341">
              <w:rPr>
                <w:noProof/>
                <w:webHidden/>
              </w:rPr>
              <w:instrText xml:space="preserve"> PAGEREF _Toc156210058 \h </w:instrText>
            </w:r>
            <w:r w:rsidR="00726341">
              <w:rPr>
                <w:noProof/>
                <w:webHidden/>
              </w:rPr>
            </w:r>
            <w:r w:rsidR="00726341">
              <w:rPr>
                <w:noProof/>
                <w:webHidden/>
              </w:rPr>
              <w:fldChar w:fldCharType="separate"/>
            </w:r>
            <w:r w:rsidR="003E0D9C">
              <w:rPr>
                <w:noProof/>
                <w:webHidden/>
              </w:rPr>
              <w:t>11</w:t>
            </w:r>
            <w:r w:rsidR="00726341">
              <w:rPr>
                <w:noProof/>
                <w:webHidden/>
              </w:rPr>
              <w:fldChar w:fldCharType="end"/>
            </w:r>
          </w:hyperlink>
        </w:p>
        <w:p w14:paraId="4D8CC12E" w14:textId="5CE7F5A6" w:rsidR="00726341" w:rsidRDefault="006D24F9">
          <w:pPr>
            <w:pStyle w:val="TOC2"/>
            <w:rPr>
              <w:rFonts w:asciiTheme="minorHAnsi" w:eastAsiaTheme="minorEastAsia" w:hAnsiTheme="minorHAnsi" w:cstheme="minorBidi"/>
              <w:b w:val="0"/>
              <w:noProof/>
              <w:color w:val="auto"/>
              <w:sz w:val="22"/>
              <w:szCs w:val="22"/>
              <w:lang w:eastAsia="en-AU"/>
            </w:rPr>
          </w:pPr>
          <w:hyperlink w:anchor="_Toc156210059" w:history="1">
            <w:r w:rsidR="00726341" w:rsidRPr="008B5084">
              <w:rPr>
                <w:rStyle w:val="Hyperlink"/>
                <w:noProof/>
              </w:rPr>
              <w:t>Nonclinical</w:t>
            </w:r>
            <w:r w:rsidR="00726341">
              <w:rPr>
                <w:noProof/>
                <w:webHidden/>
              </w:rPr>
              <w:tab/>
            </w:r>
            <w:r w:rsidR="00726341">
              <w:rPr>
                <w:noProof/>
                <w:webHidden/>
              </w:rPr>
              <w:fldChar w:fldCharType="begin"/>
            </w:r>
            <w:r w:rsidR="00726341">
              <w:rPr>
                <w:noProof/>
                <w:webHidden/>
              </w:rPr>
              <w:instrText xml:space="preserve"> PAGEREF _Toc156210059 \h </w:instrText>
            </w:r>
            <w:r w:rsidR="00726341">
              <w:rPr>
                <w:noProof/>
                <w:webHidden/>
              </w:rPr>
            </w:r>
            <w:r w:rsidR="00726341">
              <w:rPr>
                <w:noProof/>
                <w:webHidden/>
              </w:rPr>
              <w:fldChar w:fldCharType="separate"/>
            </w:r>
            <w:r w:rsidR="003E0D9C">
              <w:rPr>
                <w:noProof/>
                <w:webHidden/>
              </w:rPr>
              <w:t>12</w:t>
            </w:r>
            <w:r w:rsidR="00726341">
              <w:rPr>
                <w:noProof/>
                <w:webHidden/>
              </w:rPr>
              <w:fldChar w:fldCharType="end"/>
            </w:r>
          </w:hyperlink>
        </w:p>
        <w:p w14:paraId="2BDBE49E" w14:textId="6357DD30" w:rsidR="00726341" w:rsidRDefault="006D24F9">
          <w:pPr>
            <w:pStyle w:val="TOC2"/>
            <w:rPr>
              <w:rFonts w:asciiTheme="minorHAnsi" w:eastAsiaTheme="minorEastAsia" w:hAnsiTheme="minorHAnsi" w:cstheme="minorBidi"/>
              <w:b w:val="0"/>
              <w:noProof/>
              <w:color w:val="auto"/>
              <w:sz w:val="22"/>
              <w:szCs w:val="22"/>
              <w:lang w:eastAsia="en-AU"/>
            </w:rPr>
          </w:pPr>
          <w:hyperlink w:anchor="_Toc156210060" w:history="1">
            <w:r w:rsidR="00726341" w:rsidRPr="008B5084">
              <w:rPr>
                <w:rStyle w:val="Hyperlink"/>
                <w:noProof/>
              </w:rPr>
              <w:t>Clinical</w:t>
            </w:r>
            <w:r w:rsidR="00726341">
              <w:rPr>
                <w:noProof/>
                <w:webHidden/>
              </w:rPr>
              <w:tab/>
            </w:r>
            <w:r w:rsidR="00726341">
              <w:rPr>
                <w:noProof/>
                <w:webHidden/>
              </w:rPr>
              <w:fldChar w:fldCharType="begin"/>
            </w:r>
            <w:r w:rsidR="00726341">
              <w:rPr>
                <w:noProof/>
                <w:webHidden/>
              </w:rPr>
              <w:instrText xml:space="preserve"> PAGEREF _Toc156210060 \h </w:instrText>
            </w:r>
            <w:r w:rsidR="00726341">
              <w:rPr>
                <w:noProof/>
                <w:webHidden/>
              </w:rPr>
            </w:r>
            <w:r w:rsidR="00726341">
              <w:rPr>
                <w:noProof/>
                <w:webHidden/>
              </w:rPr>
              <w:fldChar w:fldCharType="separate"/>
            </w:r>
            <w:r w:rsidR="003E0D9C">
              <w:rPr>
                <w:noProof/>
                <w:webHidden/>
              </w:rPr>
              <w:t>12</w:t>
            </w:r>
            <w:r w:rsidR="00726341">
              <w:rPr>
                <w:noProof/>
                <w:webHidden/>
              </w:rPr>
              <w:fldChar w:fldCharType="end"/>
            </w:r>
          </w:hyperlink>
        </w:p>
        <w:p w14:paraId="2DDE523F" w14:textId="3CCD5D7E" w:rsidR="00726341" w:rsidRDefault="006D24F9">
          <w:pPr>
            <w:pStyle w:val="TOC3"/>
            <w:rPr>
              <w:rFonts w:asciiTheme="minorHAnsi" w:eastAsiaTheme="minorEastAsia" w:hAnsiTheme="minorHAnsi" w:cstheme="minorBidi"/>
              <w:b w:val="0"/>
              <w:noProof/>
              <w:color w:val="auto"/>
              <w:szCs w:val="22"/>
              <w:lang w:eastAsia="en-AU"/>
            </w:rPr>
          </w:pPr>
          <w:hyperlink w:anchor="_Toc156210061" w:history="1">
            <w:r w:rsidR="00726341" w:rsidRPr="008B5084">
              <w:rPr>
                <w:rStyle w:val="Hyperlink"/>
                <w:noProof/>
              </w:rPr>
              <w:t>Summary of clinical studies</w:t>
            </w:r>
            <w:r w:rsidR="00726341">
              <w:rPr>
                <w:noProof/>
                <w:webHidden/>
              </w:rPr>
              <w:tab/>
            </w:r>
            <w:r w:rsidR="00726341">
              <w:rPr>
                <w:noProof/>
                <w:webHidden/>
              </w:rPr>
              <w:fldChar w:fldCharType="begin"/>
            </w:r>
            <w:r w:rsidR="00726341">
              <w:rPr>
                <w:noProof/>
                <w:webHidden/>
              </w:rPr>
              <w:instrText xml:space="preserve"> PAGEREF _Toc156210061 \h </w:instrText>
            </w:r>
            <w:r w:rsidR="00726341">
              <w:rPr>
                <w:noProof/>
                <w:webHidden/>
              </w:rPr>
            </w:r>
            <w:r w:rsidR="00726341">
              <w:rPr>
                <w:noProof/>
                <w:webHidden/>
              </w:rPr>
              <w:fldChar w:fldCharType="separate"/>
            </w:r>
            <w:r w:rsidR="003E0D9C">
              <w:rPr>
                <w:noProof/>
                <w:webHidden/>
              </w:rPr>
              <w:t>12</w:t>
            </w:r>
            <w:r w:rsidR="00726341">
              <w:rPr>
                <w:noProof/>
                <w:webHidden/>
              </w:rPr>
              <w:fldChar w:fldCharType="end"/>
            </w:r>
          </w:hyperlink>
        </w:p>
        <w:p w14:paraId="4506145A" w14:textId="7612342B" w:rsidR="00726341" w:rsidRDefault="006D24F9">
          <w:pPr>
            <w:pStyle w:val="TOC3"/>
            <w:rPr>
              <w:rFonts w:asciiTheme="minorHAnsi" w:eastAsiaTheme="minorEastAsia" w:hAnsiTheme="minorHAnsi" w:cstheme="minorBidi"/>
              <w:b w:val="0"/>
              <w:noProof/>
              <w:color w:val="auto"/>
              <w:szCs w:val="22"/>
              <w:lang w:eastAsia="en-AU"/>
            </w:rPr>
          </w:pPr>
          <w:hyperlink w:anchor="_Toc156210062" w:history="1">
            <w:r w:rsidR="00726341" w:rsidRPr="008B5084">
              <w:rPr>
                <w:rStyle w:val="Hyperlink"/>
                <w:noProof/>
              </w:rPr>
              <w:t>Bioequivalence to innovator product</w:t>
            </w:r>
            <w:r w:rsidR="00726341">
              <w:rPr>
                <w:noProof/>
                <w:webHidden/>
              </w:rPr>
              <w:tab/>
            </w:r>
            <w:r w:rsidR="00726341">
              <w:rPr>
                <w:noProof/>
                <w:webHidden/>
              </w:rPr>
              <w:fldChar w:fldCharType="begin"/>
            </w:r>
            <w:r w:rsidR="00726341">
              <w:rPr>
                <w:noProof/>
                <w:webHidden/>
              </w:rPr>
              <w:instrText xml:space="preserve"> PAGEREF _Toc156210062 \h </w:instrText>
            </w:r>
            <w:r w:rsidR="00726341">
              <w:rPr>
                <w:noProof/>
                <w:webHidden/>
              </w:rPr>
            </w:r>
            <w:r w:rsidR="00726341">
              <w:rPr>
                <w:noProof/>
                <w:webHidden/>
              </w:rPr>
              <w:fldChar w:fldCharType="separate"/>
            </w:r>
            <w:r w:rsidR="003E0D9C">
              <w:rPr>
                <w:noProof/>
                <w:webHidden/>
              </w:rPr>
              <w:t>13</w:t>
            </w:r>
            <w:r w:rsidR="00726341">
              <w:rPr>
                <w:noProof/>
                <w:webHidden/>
              </w:rPr>
              <w:fldChar w:fldCharType="end"/>
            </w:r>
          </w:hyperlink>
        </w:p>
        <w:p w14:paraId="154795E4" w14:textId="2D88898F" w:rsidR="00726341" w:rsidRDefault="006D24F9">
          <w:pPr>
            <w:pStyle w:val="TOC3"/>
            <w:rPr>
              <w:rFonts w:asciiTheme="minorHAnsi" w:eastAsiaTheme="minorEastAsia" w:hAnsiTheme="minorHAnsi" w:cstheme="minorBidi"/>
              <w:b w:val="0"/>
              <w:noProof/>
              <w:color w:val="auto"/>
              <w:szCs w:val="22"/>
              <w:lang w:eastAsia="en-AU"/>
            </w:rPr>
          </w:pPr>
          <w:hyperlink w:anchor="_Toc156210063" w:history="1">
            <w:r w:rsidR="00726341" w:rsidRPr="008B5084">
              <w:rPr>
                <w:rStyle w:val="Hyperlink"/>
                <w:noProof/>
              </w:rPr>
              <w:t>Clinical comparison with innovator product</w:t>
            </w:r>
            <w:r w:rsidR="00726341">
              <w:rPr>
                <w:noProof/>
                <w:webHidden/>
              </w:rPr>
              <w:tab/>
            </w:r>
            <w:r w:rsidR="00726341">
              <w:rPr>
                <w:noProof/>
                <w:webHidden/>
              </w:rPr>
              <w:fldChar w:fldCharType="begin"/>
            </w:r>
            <w:r w:rsidR="00726341">
              <w:rPr>
                <w:noProof/>
                <w:webHidden/>
              </w:rPr>
              <w:instrText xml:space="preserve"> PAGEREF _Toc156210063 \h </w:instrText>
            </w:r>
            <w:r w:rsidR="00726341">
              <w:rPr>
                <w:noProof/>
                <w:webHidden/>
              </w:rPr>
            </w:r>
            <w:r w:rsidR="00726341">
              <w:rPr>
                <w:noProof/>
                <w:webHidden/>
              </w:rPr>
              <w:fldChar w:fldCharType="separate"/>
            </w:r>
            <w:r w:rsidR="003E0D9C">
              <w:rPr>
                <w:noProof/>
                <w:webHidden/>
              </w:rPr>
              <w:t>13</w:t>
            </w:r>
            <w:r w:rsidR="00726341">
              <w:rPr>
                <w:noProof/>
                <w:webHidden/>
              </w:rPr>
              <w:fldChar w:fldCharType="end"/>
            </w:r>
          </w:hyperlink>
        </w:p>
        <w:p w14:paraId="764E1375" w14:textId="6FF4F77B" w:rsidR="00726341" w:rsidRDefault="006D24F9">
          <w:pPr>
            <w:pStyle w:val="TOC3"/>
            <w:rPr>
              <w:rFonts w:asciiTheme="minorHAnsi" w:eastAsiaTheme="minorEastAsia" w:hAnsiTheme="minorHAnsi" w:cstheme="minorBidi"/>
              <w:b w:val="0"/>
              <w:noProof/>
              <w:color w:val="auto"/>
              <w:szCs w:val="22"/>
              <w:lang w:eastAsia="en-AU"/>
            </w:rPr>
          </w:pPr>
          <w:hyperlink w:anchor="_Toc156210064" w:history="1">
            <w:r w:rsidR="00726341" w:rsidRPr="008B5084">
              <w:rPr>
                <w:rStyle w:val="Hyperlink"/>
                <w:noProof/>
              </w:rPr>
              <w:t>Safety</w:t>
            </w:r>
            <w:r w:rsidR="00726341">
              <w:rPr>
                <w:noProof/>
                <w:webHidden/>
              </w:rPr>
              <w:tab/>
            </w:r>
            <w:r w:rsidR="00726341">
              <w:rPr>
                <w:noProof/>
                <w:webHidden/>
              </w:rPr>
              <w:fldChar w:fldCharType="begin"/>
            </w:r>
            <w:r w:rsidR="00726341">
              <w:rPr>
                <w:noProof/>
                <w:webHidden/>
              </w:rPr>
              <w:instrText xml:space="preserve"> PAGEREF _Toc156210064 \h </w:instrText>
            </w:r>
            <w:r w:rsidR="00726341">
              <w:rPr>
                <w:noProof/>
                <w:webHidden/>
              </w:rPr>
            </w:r>
            <w:r w:rsidR="00726341">
              <w:rPr>
                <w:noProof/>
                <w:webHidden/>
              </w:rPr>
              <w:fldChar w:fldCharType="separate"/>
            </w:r>
            <w:r w:rsidR="003E0D9C">
              <w:rPr>
                <w:noProof/>
                <w:webHidden/>
              </w:rPr>
              <w:t>16</w:t>
            </w:r>
            <w:r w:rsidR="00726341">
              <w:rPr>
                <w:noProof/>
                <w:webHidden/>
              </w:rPr>
              <w:fldChar w:fldCharType="end"/>
            </w:r>
          </w:hyperlink>
        </w:p>
        <w:p w14:paraId="2C4D6238" w14:textId="10152CDD" w:rsidR="00726341" w:rsidRDefault="006D24F9">
          <w:pPr>
            <w:pStyle w:val="TOC2"/>
            <w:rPr>
              <w:rFonts w:asciiTheme="minorHAnsi" w:eastAsiaTheme="minorEastAsia" w:hAnsiTheme="minorHAnsi" w:cstheme="minorBidi"/>
              <w:b w:val="0"/>
              <w:noProof/>
              <w:color w:val="auto"/>
              <w:sz w:val="22"/>
              <w:szCs w:val="22"/>
              <w:lang w:eastAsia="en-AU"/>
            </w:rPr>
          </w:pPr>
          <w:hyperlink w:anchor="_Toc156210065" w:history="1">
            <w:r w:rsidR="00726341" w:rsidRPr="008B5084">
              <w:rPr>
                <w:rStyle w:val="Hyperlink"/>
                <w:noProof/>
                <w:lang w:eastAsia="en-AU"/>
              </w:rPr>
              <w:t>Risk management plan</w:t>
            </w:r>
            <w:r w:rsidR="00726341">
              <w:rPr>
                <w:noProof/>
                <w:webHidden/>
              </w:rPr>
              <w:tab/>
            </w:r>
            <w:r w:rsidR="00726341">
              <w:rPr>
                <w:noProof/>
                <w:webHidden/>
              </w:rPr>
              <w:fldChar w:fldCharType="begin"/>
            </w:r>
            <w:r w:rsidR="00726341">
              <w:rPr>
                <w:noProof/>
                <w:webHidden/>
              </w:rPr>
              <w:instrText xml:space="preserve"> PAGEREF _Toc156210065 \h </w:instrText>
            </w:r>
            <w:r w:rsidR="00726341">
              <w:rPr>
                <w:noProof/>
                <w:webHidden/>
              </w:rPr>
            </w:r>
            <w:r w:rsidR="00726341">
              <w:rPr>
                <w:noProof/>
                <w:webHidden/>
              </w:rPr>
              <w:fldChar w:fldCharType="separate"/>
            </w:r>
            <w:r w:rsidR="003E0D9C">
              <w:rPr>
                <w:noProof/>
                <w:webHidden/>
              </w:rPr>
              <w:t>18</w:t>
            </w:r>
            <w:r w:rsidR="00726341">
              <w:rPr>
                <w:noProof/>
                <w:webHidden/>
              </w:rPr>
              <w:fldChar w:fldCharType="end"/>
            </w:r>
          </w:hyperlink>
        </w:p>
        <w:p w14:paraId="2FBDDBC8" w14:textId="6A12042B" w:rsidR="00726341" w:rsidRDefault="006D24F9">
          <w:pPr>
            <w:pStyle w:val="TOC2"/>
            <w:rPr>
              <w:rFonts w:asciiTheme="minorHAnsi" w:eastAsiaTheme="minorEastAsia" w:hAnsiTheme="minorHAnsi" w:cstheme="minorBidi"/>
              <w:b w:val="0"/>
              <w:noProof/>
              <w:color w:val="auto"/>
              <w:sz w:val="22"/>
              <w:szCs w:val="22"/>
              <w:lang w:eastAsia="en-AU"/>
            </w:rPr>
          </w:pPr>
          <w:hyperlink w:anchor="_Toc156210066" w:history="1">
            <w:r w:rsidR="00726341" w:rsidRPr="008B5084">
              <w:rPr>
                <w:rStyle w:val="Hyperlink"/>
                <w:noProof/>
              </w:rPr>
              <w:t>Risk-benefit analysis</w:t>
            </w:r>
            <w:r w:rsidR="00726341">
              <w:rPr>
                <w:noProof/>
                <w:webHidden/>
              </w:rPr>
              <w:tab/>
            </w:r>
            <w:r w:rsidR="00726341">
              <w:rPr>
                <w:noProof/>
                <w:webHidden/>
              </w:rPr>
              <w:fldChar w:fldCharType="begin"/>
            </w:r>
            <w:r w:rsidR="00726341">
              <w:rPr>
                <w:noProof/>
                <w:webHidden/>
              </w:rPr>
              <w:instrText xml:space="preserve"> PAGEREF _Toc156210066 \h </w:instrText>
            </w:r>
            <w:r w:rsidR="00726341">
              <w:rPr>
                <w:noProof/>
                <w:webHidden/>
              </w:rPr>
            </w:r>
            <w:r w:rsidR="00726341">
              <w:rPr>
                <w:noProof/>
                <w:webHidden/>
              </w:rPr>
              <w:fldChar w:fldCharType="separate"/>
            </w:r>
            <w:r w:rsidR="003E0D9C">
              <w:rPr>
                <w:noProof/>
                <w:webHidden/>
              </w:rPr>
              <w:t>18</w:t>
            </w:r>
            <w:r w:rsidR="00726341">
              <w:rPr>
                <w:noProof/>
                <w:webHidden/>
              </w:rPr>
              <w:fldChar w:fldCharType="end"/>
            </w:r>
          </w:hyperlink>
        </w:p>
        <w:p w14:paraId="21A54E8A" w14:textId="5036E1ED" w:rsidR="00726341" w:rsidRDefault="006D24F9">
          <w:pPr>
            <w:pStyle w:val="TOC3"/>
            <w:rPr>
              <w:rFonts w:asciiTheme="minorHAnsi" w:eastAsiaTheme="minorEastAsia" w:hAnsiTheme="minorHAnsi" w:cstheme="minorBidi"/>
              <w:b w:val="0"/>
              <w:noProof/>
              <w:color w:val="auto"/>
              <w:szCs w:val="22"/>
              <w:lang w:eastAsia="en-AU"/>
            </w:rPr>
          </w:pPr>
          <w:hyperlink w:anchor="_Toc156210067" w:history="1">
            <w:r w:rsidR="00726341" w:rsidRPr="008B5084">
              <w:rPr>
                <w:rStyle w:val="Hyperlink"/>
                <w:noProof/>
              </w:rPr>
              <w:t>Delegate’s considerations</w:t>
            </w:r>
            <w:r w:rsidR="00726341">
              <w:rPr>
                <w:noProof/>
                <w:webHidden/>
              </w:rPr>
              <w:tab/>
            </w:r>
            <w:r w:rsidR="00726341">
              <w:rPr>
                <w:noProof/>
                <w:webHidden/>
              </w:rPr>
              <w:fldChar w:fldCharType="begin"/>
            </w:r>
            <w:r w:rsidR="00726341">
              <w:rPr>
                <w:noProof/>
                <w:webHidden/>
              </w:rPr>
              <w:instrText xml:space="preserve"> PAGEREF _Toc156210067 \h </w:instrText>
            </w:r>
            <w:r w:rsidR="00726341">
              <w:rPr>
                <w:noProof/>
                <w:webHidden/>
              </w:rPr>
            </w:r>
            <w:r w:rsidR="00726341">
              <w:rPr>
                <w:noProof/>
                <w:webHidden/>
              </w:rPr>
              <w:fldChar w:fldCharType="separate"/>
            </w:r>
            <w:r w:rsidR="003E0D9C">
              <w:rPr>
                <w:noProof/>
                <w:webHidden/>
              </w:rPr>
              <w:t>18</w:t>
            </w:r>
            <w:r w:rsidR="00726341">
              <w:rPr>
                <w:noProof/>
                <w:webHidden/>
              </w:rPr>
              <w:fldChar w:fldCharType="end"/>
            </w:r>
          </w:hyperlink>
        </w:p>
        <w:p w14:paraId="5DC2D787" w14:textId="6486280C" w:rsidR="00726341" w:rsidRDefault="006D24F9">
          <w:pPr>
            <w:pStyle w:val="TOC3"/>
            <w:rPr>
              <w:rFonts w:asciiTheme="minorHAnsi" w:eastAsiaTheme="minorEastAsia" w:hAnsiTheme="minorHAnsi" w:cstheme="minorBidi"/>
              <w:b w:val="0"/>
              <w:noProof/>
              <w:color w:val="auto"/>
              <w:szCs w:val="22"/>
              <w:lang w:eastAsia="en-AU"/>
            </w:rPr>
          </w:pPr>
          <w:hyperlink w:anchor="_Toc156210068" w:history="1">
            <w:r w:rsidR="00726341" w:rsidRPr="008B5084">
              <w:rPr>
                <w:rStyle w:val="Hyperlink"/>
                <w:noProof/>
              </w:rPr>
              <w:t>Proposed action</w:t>
            </w:r>
            <w:r w:rsidR="00726341">
              <w:rPr>
                <w:noProof/>
                <w:webHidden/>
              </w:rPr>
              <w:tab/>
            </w:r>
            <w:r w:rsidR="00726341">
              <w:rPr>
                <w:noProof/>
                <w:webHidden/>
              </w:rPr>
              <w:fldChar w:fldCharType="begin"/>
            </w:r>
            <w:r w:rsidR="00726341">
              <w:rPr>
                <w:noProof/>
                <w:webHidden/>
              </w:rPr>
              <w:instrText xml:space="preserve"> PAGEREF _Toc156210068 \h </w:instrText>
            </w:r>
            <w:r w:rsidR="00726341">
              <w:rPr>
                <w:noProof/>
                <w:webHidden/>
              </w:rPr>
            </w:r>
            <w:r w:rsidR="00726341">
              <w:rPr>
                <w:noProof/>
                <w:webHidden/>
              </w:rPr>
              <w:fldChar w:fldCharType="separate"/>
            </w:r>
            <w:r w:rsidR="003E0D9C">
              <w:rPr>
                <w:noProof/>
                <w:webHidden/>
              </w:rPr>
              <w:t>18</w:t>
            </w:r>
            <w:r w:rsidR="00726341">
              <w:rPr>
                <w:noProof/>
                <w:webHidden/>
              </w:rPr>
              <w:fldChar w:fldCharType="end"/>
            </w:r>
          </w:hyperlink>
        </w:p>
        <w:p w14:paraId="16D33641" w14:textId="09BB443B" w:rsidR="00726341" w:rsidRDefault="006D24F9">
          <w:pPr>
            <w:pStyle w:val="TOC3"/>
            <w:rPr>
              <w:rFonts w:asciiTheme="minorHAnsi" w:eastAsiaTheme="minorEastAsia" w:hAnsiTheme="minorHAnsi" w:cstheme="minorBidi"/>
              <w:b w:val="0"/>
              <w:noProof/>
              <w:color w:val="auto"/>
              <w:szCs w:val="22"/>
              <w:lang w:eastAsia="en-AU"/>
            </w:rPr>
          </w:pPr>
          <w:hyperlink w:anchor="_Toc156210069" w:history="1">
            <w:r w:rsidR="00726341" w:rsidRPr="008B5084">
              <w:rPr>
                <w:rStyle w:val="Hyperlink"/>
                <w:noProof/>
              </w:rPr>
              <w:t>Advisory Committee considerations</w:t>
            </w:r>
            <w:r w:rsidR="00726341">
              <w:rPr>
                <w:noProof/>
                <w:webHidden/>
              </w:rPr>
              <w:tab/>
            </w:r>
            <w:r w:rsidR="00726341">
              <w:rPr>
                <w:noProof/>
                <w:webHidden/>
              </w:rPr>
              <w:fldChar w:fldCharType="begin"/>
            </w:r>
            <w:r w:rsidR="00726341">
              <w:rPr>
                <w:noProof/>
                <w:webHidden/>
              </w:rPr>
              <w:instrText xml:space="preserve"> PAGEREF _Toc156210069 \h </w:instrText>
            </w:r>
            <w:r w:rsidR="00726341">
              <w:rPr>
                <w:noProof/>
                <w:webHidden/>
              </w:rPr>
            </w:r>
            <w:r w:rsidR="00726341">
              <w:rPr>
                <w:noProof/>
                <w:webHidden/>
              </w:rPr>
              <w:fldChar w:fldCharType="separate"/>
            </w:r>
            <w:r w:rsidR="003E0D9C">
              <w:rPr>
                <w:noProof/>
                <w:webHidden/>
              </w:rPr>
              <w:t>18</w:t>
            </w:r>
            <w:r w:rsidR="00726341">
              <w:rPr>
                <w:noProof/>
                <w:webHidden/>
              </w:rPr>
              <w:fldChar w:fldCharType="end"/>
            </w:r>
          </w:hyperlink>
        </w:p>
        <w:p w14:paraId="3FD517C8" w14:textId="7035462D" w:rsidR="00726341" w:rsidRDefault="006D24F9">
          <w:pPr>
            <w:pStyle w:val="TOC1"/>
            <w:rPr>
              <w:rFonts w:asciiTheme="minorHAnsi" w:eastAsiaTheme="minorEastAsia" w:hAnsiTheme="minorHAnsi" w:cstheme="minorBidi"/>
              <w:b w:val="0"/>
              <w:noProof/>
              <w:color w:val="auto"/>
              <w:sz w:val="22"/>
              <w:szCs w:val="22"/>
              <w:lang w:eastAsia="en-AU"/>
            </w:rPr>
          </w:pPr>
          <w:hyperlink w:anchor="_Toc156210070" w:history="1">
            <w:r w:rsidR="00726341" w:rsidRPr="008B5084">
              <w:rPr>
                <w:rStyle w:val="Hyperlink"/>
                <w:noProof/>
              </w:rPr>
              <w:t>Outcome</w:t>
            </w:r>
            <w:r w:rsidR="00726341">
              <w:rPr>
                <w:noProof/>
                <w:webHidden/>
              </w:rPr>
              <w:tab/>
            </w:r>
            <w:r w:rsidR="00726341">
              <w:rPr>
                <w:noProof/>
                <w:webHidden/>
              </w:rPr>
              <w:fldChar w:fldCharType="begin"/>
            </w:r>
            <w:r w:rsidR="00726341">
              <w:rPr>
                <w:noProof/>
                <w:webHidden/>
              </w:rPr>
              <w:instrText xml:space="preserve"> PAGEREF _Toc156210070 \h </w:instrText>
            </w:r>
            <w:r w:rsidR="00726341">
              <w:rPr>
                <w:noProof/>
                <w:webHidden/>
              </w:rPr>
            </w:r>
            <w:r w:rsidR="00726341">
              <w:rPr>
                <w:noProof/>
                <w:webHidden/>
              </w:rPr>
              <w:fldChar w:fldCharType="separate"/>
            </w:r>
            <w:r w:rsidR="003E0D9C">
              <w:rPr>
                <w:noProof/>
                <w:webHidden/>
              </w:rPr>
              <w:t>19</w:t>
            </w:r>
            <w:r w:rsidR="00726341">
              <w:rPr>
                <w:noProof/>
                <w:webHidden/>
              </w:rPr>
              <w:fldChar w:fldCharType="end"/>
            </w:r>
          </w:hyperlink>
        </w:p>
        <w:p w14:paraId="6CFE2806" w14:textId="46D215C6" w:rsidR="00726341" w:rsidRDefault="006D24F9">
          <w:pPr>
            <w:pStyle w:val="TOC2"/>
            <w:rPr>
              <w:rFonts w:asciiTheme="minorHAnsi" w:eastAsiaTheme="minorEastAsia" w:hAnsiTheme="minorHAnsi" w:cstheme="minorBidi"/>
              <w:b w:val="0"/>
              <w:noProof/>
              <w:color w:val="auto"/>
              <w:sz w:val="22"/>
              <w:szCs w:val="22"/>
              <w:lang w:eastAsia="en-AU"/>
            </w:rPr>
          </w:pPr>
          <w:hyperlink w:anchor="_Toc156210071" w:history="1">
            <w:r w:rsidR="00726341" w:rsidRPr="008B5084">
              <w:rPr>
                <w:rStyle w:val="Hyperlink"/>
                <w:noProof/>
              </w:rPr>
              <w:t>Specific conditions of registration applying to these goods</w:t>
            </w:r>
            <w:r w:rsidR="00726341">
              <w:rPr>
                <w:noProof/>
                <w:webHidden/>
              </w:rPr>
              <w:tab/>
            </w:r>
            <w:r w:rsidR="00726341">
              <w:rPr>
                <w:noProof/>
                <w:webHidden/>
              </w:rPr>
              <w:fldChar w:fldCharType="begin"/>
            </w:r>
            <w:r w:rsidR="00726341">
              <w:rPr>
                <w:noProof/>
                <w:webHidden/>
              </w:rPr>
              <w:instrText xml:space="preserve"> PAGEREF _Toc156210071 \h </w:instrText>
            </w:r>
            <w:r w:rsidR="00726341">
              <w:rPr>
                <w:noProof/>
                <w:webHidden/>
              </w:rPr>
            </w:r>
            <w:r w:rsidR="00726341">
              <w:rPr>
                <w:noProof/>
                <w:webHidden/>
              </w:rPr>
              <w:fldChar w:fldCharType="separate"/>
            </w:r>
            <w:r w:rsidR="003E0D9C">
              <w:rPr>
                <w:noProof/>
                <w:webHidden/>
              </w:rPr>
              <w:t>20</w:t>
            </w:r>
            <w:r w:rsidR="00726341">
              <w:rPr>
                <w:noProof/>
                <w:webHidden/>
              </w:rPr>
              <w:fldChar w:fldCharType="end"/>
            </w:r>
          </w:hyperlink>
        </w:p>
        <w:p w14:paraId="6D525C3F" w14:textId="049A164A" w:rsidR="00726341" w:rsidRDefault="006D24F9">
          <w:pPr>
            <w:pStyle w:val="TOC1"/>
            <w:rPr>
              <w:rFonts w:asciiTheme="minorHAnsi" w:eastAsiaTheme="minorEastAsia" w:hAnsiTheme="minorHAnsi" w:cstheme="minorBidi"/>
              <w:b w:val="0"/>
              <w:noProof/>
              <w:color w:val="auto"/>
              <w:sz w:val="22"/>
              <w:szCs w:val="22"/>
              <w:lang w:eastAsia="en-AU"/>
            </w:rPr>
          </w:pPr>
          <w:hyperlink w:anchor="_Toc156210072" w:history="1">
            <w:r w:rsidR="00726341" w:rsidRPr="008B5084">
              <w:rPr>
                <w:rStyle w:val="Hyperlink"/>
                <w:noProof/>
              </w:rPr>
              <w:t>Attachment 1. Product Information</w:t>
            </w:r>
            <w:r w:rsidR="00726341">
              <w:rPr>
                <w:noProof/>
                <w:webHidden/>
              </w:rPr>
              <w:tab/>
            </w:r>
            <w:r w:rsidR="00726341">
              <w:rPr>
                <w:noProof/>
                <w:webHidden/>
              </w:rPr>
              <w:fldChar w:fldCharType="begin"/>
            </w:r>
            <w:r w:rsidR="00726341">
              <w:rPr>
                <w:noProof/>
                <w:webHidden/>
              </w:rPr>
              <w:instrText xml:space="preserve"> PAGEREF _Toc156210072 \h </w:instrText>
            </w:r>
            <w:r w:rsidR="00726341">
              <w:rPr>
                <w:noProof/>
                <w:webHidden/>
              </w:rPr>
            </w:r>
            <w:r w:rsidR="00726341">
              <w:rPr>
                <w:noProof/>
                <w:webHidden/>
              </w:rPr>
              <w:fldChar w:fldCharType="separate"/>
            </w:r>
            <w:r w:rsidR="003E0D9C">
              <w:rPr>
                <w:noProof/>
                <w:webHidden/>
              </w:rPr>
              <w:t>20</w:t>
            </w:r>
            <w:r w:rsidR="00726341">
              <w:rPr>
                <w:noProof/>
                <w:webHidden/>
              </w:rPr>
              <w:fldChar w:fldCharType="end"/>
            </w:r>
          </w:hyperlink>
        </w:p>
        <w:p w14:paraId="77659F2D" w14:textId="0BA9D6A6"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0" w:name="_Toc98931917"/>
      <w:bookmarkStart w:id="1" w:name="_Toc103679287"/>
      <w:bookmarkStart w:id="2" w:name="_Toc156210049"/>
      <w:bookmarkStart w:id="3" w:name="_Toc323739589"/>
      <w:bookmarkStart w:id="4" w:name="_Toc356305216"/>
      <w:r>
        <w:lastRenderedPageBreak/>
        <w:t>List of abbreviations</w:t>
      </w:r>
      <w:bookmarkEnd w:id="0"/>
      <w:bookmarkEnd w:id="1"/>
      <w:bookmarkEnd w:id="2"/>
    </w:p>
    <w:tbl>
      <w:tblPr>
        <w:tblStyle w:val="TableTGAblue2023"/>
        <w:tblW w:w="5000" w:type="pct"/>
        <w:tblLook w:val="04A0" w:firstRow="1" w:lastRow="0" w:firstColumn="1" w:lastColumn="0" w:noHBand="0" w:noVBand="1"/>
      </w:tblPr>
      <w:tblGrid>
        <w:gridCol w:w="2174"/>
        <w:gridCol w:w="6886"/>
      </w:tblGrid>
      <w:tr w:rsidR="00324B33" w:rsidRPr="00D01DDB" w14:paraId="2117AEF6" w14:textId="77777777" w:rsidTr="00BD5DB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207B6A7" w14:textId="67F7D360" w:rsidR="00324B33" w:rsidRPr="00D01DDB" w:rsidRDefault="00324B33" w:rsidP="00324B33">
            <w:pPr>
              <w:rPr>
                <w:szCs w:val="22"/>
              </w:rPr>
            </w:pPr>
            <w:r w:rsidRPr="00D01DDB">
              <w:rPr>
                <w:szCs w:val="22"/>
              </w:rPr>
              <w:t>Abbreviation</w:t>
            </w:r>
          </w:p>
        </w:tc>
        <w:tc>
          <w:tcPr>
            <w:tcW w:w="3800" w:type="pct"/>
          </w:tcPr>
          <w:p w14:paraId="4CF6D0CD" w14:textId="2974FA0B"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Meaning</w:t>
            </w:r>
          </w:p>
        </w:tc>
      </w:tr>
      <w:tr w:rsidR="00324B33" w:rsidRPr="00D01DDB" w14:paraId="16C5C8C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6DE09A4" w14:textId="07A94E9E" w:rsidR="00324B33" w:rsidRPr="00D01DDB" w:rsidRDefault="00324B33" w:rsidP="00324B33">
            <w:pPr>
              <w:rPr>
                <w:szCs w:val="22"/>
              </w:rPr>
            </w:pPr>
            <w:r w:rsidRPr="00D01DDB">
              <w:rPr>
                <w:szCs w:val="22"/>
              </w:rPr>
              <w:t>ACM</w:t>
            </w:r>
          </w:p>
        </w:tc>
        <w:tc>
          <w:tcPr>
            <w:tcW w:w="3800" w:type="pct"/>
          </w:tcPr>
          <w:p w14:paraId="4F24A873" w14:textId="0539B5FB"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Advisory Committee on Medicines</w:t>
            </w:r>
          </w:p>
        </w:tc>
      </w:tr>
      <w:tr w:rsidR="00324B33" w:rsidRPr="00D01DDB" w14:paraId="35340A5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D8B9F80" w14:textId="287DC0CA" w:rsidR="00324B33" w:rsidRPr="00D01DDB" w:rsidRDefault="00324B33" w:rsidP="00324B33">
            <w:pPr>
              <w:rPr>
                <w:szCs w:val="22"/>
              </w:rPr>
            </w:pPr>
            <w:r w:rsidRPr="00D01DDB">
              <w:rPr>
                <w:szCs w:val="22"/>
              </w:rPr>
              <w:t>ACV</w:t>
            </w:r>
          </w:p>
        </w:tc>
        <w:tc>
          <w:tcPr>
            <w:tcW w:w="3800" w:type="pct"/>
          </w:tcPr>
          <w:p w14:paraId="5072E244" w14:textId="7B59D1A8"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Advisory Committee on Vaccines</w:t>
            </w:r>
          </w:p>
        </w:tc>
      </w:tr>
      <w:tr w:rsidR="00324B33" w:rsidRPr="00D01DDB" w14:paraId="6965466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3A7AEA" w14:textId="6D49EBE6" w:rsidR="00324B33" w:rsidRPr="00D01DDB" w:rsidRDefault="00324B33" w:rsidP="00324B33">
            <w:pPr>
              <w:rPr>
                <w:szCs w:val="22"/>
              </w:rPr>
            </w:pPr>
            <w:r w:rsidRPr="00D01DDB">
              <w:rPr>
                <w:szCs w:val="22"/>
              </w:rPr>
              <w:t>ARTG</w:t>
            </w:r>
          </w:p>
        </w:tc>
        <w:tc>
          <w:tcPr>
            <w:tcW w:w="3800" w:type="pct"/>
          </w:tcPr>
          <w:p w14:paraId="228A203A" w14:textId="47EBCFA3"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Australian Register of Therapeutic Goods</w:t>
            </w:r>
          </w:p>
        </w:tc>
      </w:tr>
      <w:tr w:rsidR="00AF673B" w:rsidRPr="00D01DDB" w14:paraId="2F249E3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4671018" w14:textId="089588AD" w:rsidR="00AF673B" w:rsidRPr="00D01DDB" w:rsidRDefault="00AF673B" w:rsidP="00324B33">
            <w:pPr>
              <w:rPr>
                <w:szCs w:val="22"/>
              </w:rPr>
            </w:pPr>
            <w:r>
              <w:rPr>
                <w:szCs w:val="22"/>
              </w:rPr>
              <w:t>CI</w:t>
            </w:r>
          </w:p>
        </w:tc>
        <w:tc>
          <w:tcPr>
            <w:tcW w:w="3800" w:type="pct"/>
          </w:tcPr>
          <w:p w14:paraId="10E15272" w14:textId="5A91A3F2" w:rsidR="00AF673B" w:rsidRPr="00D01DDB" w:rsidRDefault="00AF673B" w:rsidP="00324B33">
            <w:pPr>
              <w:cnfStyle w:val="000000000000" w:firstRow="0" w:lastRow="0" w:firstColumn="0" w:lastColumn="0" w:oddVBand="0" w:evenVBand="0" w:oddHBand="0" w:evenHBand="0" w:firstRowFirstColumn="0" w:firstRowLastColumn="0" w:lastRowFirstColumn="0" w:lastRowLastColumn="0"/>
              <w:rPr>
                <w:szCs w:val="22"/>
              </w:rPr>
            </w:pPr>
            <w:r>
              <w:t>Confidence interval</w:t>
            </w:r>
          </w:p>
        </w:tc>
      </w:tr>
      <w:tr w:rsidR="00395140" w:rsidRPr="00D01DDB" w14:paraId="7694A4E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AC18809" w14:textId="14711A93" w:rsidR="00395140" w:rsidRPr="00D01DDB" w:rsidRDefault="00395140" w:rsidP="00324B33">
            <w:pPr>
              <w:rPr>
                <w:szCs w:val="22"/>
              </w:rPr>
            </w:pPr>
            <w:r w:rsidRPr="00D01DDB">
              <w:rPr>
                <w:szCs w:val="22"/>
              </w:rPr>
              <w:t>CMI</w:t>
            </w:r>
          </w:p>
        </w:tc>
        <w:tc>
          <w:tcPr>
            <w:tcW w:w="3800" w:type="pct"/>
          </w:tcPr>
          <w:p w14:paraId="5D8C9DF5" w14:textId="60C23379" w:rsidR="00395140" w:rsidRPr="00D01DDB" w:rsidRDefault="00395140"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Consumer Medicines Information</w:t>
            </w:r>
          </w:p>
        </w:tc>
      </w:tr>
      <w:tr w:rsidR="00324B33" w:rsidRPr="00D01DDB" w14:paraId="7B87377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CE05B04" w14:textId="0D6731AA" w:rsidR="00324B33" w:rsidRPr="00D01DDB" w:rsidRDefault="00324B33" w:rsidP="00324B33">
            <w:pPr>
              <w:rPr>
                <w:szCs w:val="22"/>
              </w:rPr>
            </w:pPr>
            <w:r w:rsidRPr="00D01DDB">
              <w:rPr>
                <w:szCs w:val="22"/>
              </w:rPr>
              <w:t>DLP</w:t>
            </w:r>
          </w:p>
        </w:tc>
        <w:tc>
          <w:tcPr>
            <w:tcW w:w="3800" w:type="pct"/>
          </w:tcPr>
          <w:p w14:paraId="26109D0B" w14:textId="4AE8F60A"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Data lock point</w:t>
            </w:r>
          </w:p>
        </w:tc>
      </w:tr>
      <w:tr w:rsidR="006B23EF" w:rsidRPr="00D01DDB" w14:paraId="7230BDE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1166A90" w14:textId="5281CACB" w:rsidR="006B23EF" w:rsidRPr="00D01DDB" w:rsidRDefault="006B23EF" w:rsidP="00324B33">
            <w:pPr>
              <w:rPr>
                <w:szCs w:val="22"/>
              </w:rPr>
            </w:pPr>
            <w:r>
              <w:rPr>
                <w:szCs w:val="22"/>
              </w:rPr>
              <w:t>EMA</w:t>
            </w:r>
          </w:p>
        </w:tc>
        <w:tc>
          <w:tcPr>
            <w:tcW w:w="3800" w:type="pct"/>
          </w:tcPr>
          <w:p w14:paraId="34030056" w14:textId="27F32B8C" w:rsidR="006B23EF" w:rsidRPr="00D01DDB" w:rsidRDefault="006B23E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European Medicines Agency</w:t>
            </w:r>
          </w:p>
        </w:tc>
      </w:tr>
      <w:tr w:rsidR="00461754" w:rsidRPr="00D01DDB" w14:paraId="1CFEDC2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FE13EAC" w14:textId="20C98CD0" w:rsidR="00461754" w:rsidRPr="00461754" w:rsidRDefault="00461754" w:rsidP="00461754">
            <w:r w:rsidRPr="00461754">
              <w:rPr>
                <w:szCs w:val="20"/>
              </w:rPr>
              <w:t>NSCLC</w:t>
            </w:r>
          </w:p>
        </w:tc>
        <w:tc>
          <w:tcPr>
            <w:tcW w:w="3800" w:type="pct"/>
          </w:tcPr>
          <w:p w14:paraId="2F2E444C" w14:textId="51009B96" w:rsidR="00461754" w:rsidRDefault="00461754" w:rsidP="00461754">
            <w:pPr>
              <w:cnfStyle w:val="000000000000" w:firstRow="0" w:lastRow="0" w:firstColumn="0" w:lastColumn="0" w:oddVBand="0" w:evenVBand="0" w:oddHBand="0" w:evenHBand="0" w:firstRowFirstColumn="0" w:firstRowLastColumn="0" w:lastRowFirstColumn="0" w:lastRowLastColumn="0"/>
            </w:pPr>
            <w:r>
              <w:rPr>
                <w:szCs w:val="20"/>
              </w:rPr>
              <w:t>N</w:t>
            </w:r>
            <w:r w:rsidRPr="00461754">
              <w:rPr>
                <w:szCs w:val="20"/>
              </w:rPr>
              <w:t>on-</w:t>
            </w:r>
            <w:r>
              <w:rPr>
                <w:szCs w:val="20"/>
              </w:rPr>
              <w:t>s</w:t>
            </w:r>
            <w:r w:rsidRPr="00461754">
              <w:rPr>
                <w:szCs w:val="20"/>
              </w:rPr>
              <w:t xml:space="preserve">mall </w:t>
            </w:r>
            <w:r>
              <w:rPr>
                <w:szCs w:val="20"/>
              </w:rPr>
              <w:t>c</w:t>
            </w:r>
            <w:r w:rsidRPr="00461754">
              <w:rPr>
                <w:szCs w:val="20"/>
              </w:rPr>
              <w:t xml:space="preserve">ell </w:t>
            </w:r>
            <w:r>
              <w:rPr>
                <w:szCs w:val="20"/>
              </w:rPr>
              <w:t>l</w:t>
            </w:r>
            <w:r w:rsidRPr="00461754">
              <w:rPr>
                <w:szCs w:val="20"/>
              </w:rPr>
              <w:t xml:space="preserve">ung </w:t>
            </w:r>
            <w:r>
              <w:rPr>
                <w:szCs w:val="20"/>
              </w:rPr>
              <w:t>c</w:t>
            </w:r>
            <w:r w:rsidRPr="00461754">
              <w:rPr>
                <w:szCs w:val="20"/>
              </w:rPr>
              <w:t>ancer</w:t>
            </w:r>
          </w:p>
        </w:tc>
      </w:tr>
      <w:tr w:rsidR="00461754" w:rsidRPr="00D01DDB" w14:paraId="25EB802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D4506C4" w14:textId="56D089A7" w:rsidR="00461754" w:rsidRDefault="00461754" w:rsidP="00461754">
            <w:pPr>
              <w:rPr>
                <w:szCs w:val="22"/>
              </w:rPr>
            </w:pPr>
            <w:r w:rsidRPr="00461754">
              <w:rPr>
                <w:szCs w:val="20"/>
              </w:rPr>
              <w:t>nsNSCLC</w:t>
            </w:r>
          </w:p>
        </w:tc>
        <w:tc>
          <w:tcPr>
            <w:tcW w:w="3800" w:type="pct"/>
          </w:tcPr>
          <w:p w14:paraId="7C2155F5" w14:textId="218FF59C" w:rsidR="00461754" w:rsidRDefault="00461754" w:rsidP="00461754">
            <w:pPr>
              <w:cnfStyle w:val="000000000000" w:firstRow="0" w:lastRow="0" w:firstColumn="0" w:lastColumn="0" w:oddVBand="0" w:evenVBand="0" w:oddHBand="0" w:evenHBand="0" w:firstRowFirstColumn="0" w:firstRowLastColumn="0" w:lastRowFirstColumn="0" w:lastRowLastColumn="0"/>
              <w:rPr>
                <w:szCs w:val="22"/>
              </w:rPr>
            </w:pPr>
            <w:r>
              <w:rPr>
                <w:szCs w:val="20"/>
              </w:rPr>
              <w:t>N</w:t>
            </w:r>
            <w:r w:rsidRPr="00461754">
              <w:rPr>
                <w:szCs w:val="20"/>
              </w:rPr>
              <w:t xml:space="preserve">on-squamous </w:t>
            </w:r>
            <w:r>
              <w:rPr>
                <w:szCs w:val="20"/>
              </w:rPr>
              <w:t>n</w:t>
            </w:r>
            <w:r w:rsidRPr="00461754">
              <w:rPr>
                <w:szCs w:val="20"/>
              </w:rPr>
              <w:t>on-</w:t>
            </w:r>
            <w:r>
              <w:rPr>
                <w:szCs w:val="20"/>
              </w:rPr>
              <w:t>s</w:t>
            </w:r>
            <w:r w:rsidRPr="00461754">
              <w:rPr>
                <w:szCs w:val="20"/>
              </w:rPr>
              <w:t xml:space="preserve">mall </w:t>
            </w:r>
            <w:r>
              <w:rPr>
                <w:szCs w:val="20"/>
              </w:rPr>
              <w:t>c</w:t>
            </w:r>
            <w:r w:rsidRPr="00461754">
              <w:rPr>
                <w:szCs w:val="20"/>
              </w:rPr>
              <w:t xml:space="preserve">ell </w:t>
            </w:r>
            <w:r>
              <w:rPr>
                <w:szCs w:val="20"/>
              </w:rPr>
              <w:t>l</w:t>
            </w:r>
            <w:r w:rsidRPr="00461754">
              <w:rPr>
                <w:szCs w:val="20"/>
              </w:rPr>
              <w:t xml:space="preserve">ung </w:t>
            </w:r>
            <w:r>
              <w:rPr>
                <w:szCs w:val="20"/>
              </w:rPr>
              <w:t>c</w:t>
            </w:r>
            <w:r w:rsidRPr="00461754">
              <w:rPr>
                <w:szCs w:val="20"/>
              </w:rPr>
              <w:t>ancer</w:t>
            </w:r>
          </w:p>
        </w:tc>
      </w:tr>
      <w:tr w:rsidR="00461754" w:rsidRPr="00D01DDB" w14:paraId="06E3490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4F66B55" w14:textId="2F0301E0" w:rsidR="00461754" w:rsidRDefault="00461754" w:rsidP="00461754">
            <w:pPr>
              <w:rPr>
                <w:szCs w:val="22"/>
              </w:rPr>
            </w:pPr>
            <w:r>
              <w:rPr>
                <w:szCs w:val="22"/>
              </w:rPr>
              <w:t>ORR</w:t>
            </w:r>
          </w:p>
        </w:tc>
        <w:tc>
          <w:tcPr>
            <w:tcW w:w="3800" w:type="pct"/>
          </w:tcPr>
          <w:p w14:paraId="1C8073B3" w14:textId="2E017AF6" w:rsidR="00461754" w:rsidRDefault="00461754" w:rsidP="00461754">
            <w:pPr>
              <w:cnfStyle w:val="000000000000" w:firstRow="0" w:lastRow="0" w:firstColumn="0" w:lastColumn="0" w:oddVBand="0" w:evenVBand="0" w:oddHBand="0" w:evenHBand="0" w:firstRowFirstColumn="0" w:firstRowLastColumn="0" w:lastRowFirstColumn="0" w:lastRowLastColumn="0"/>
              <w:rPr>
                <w:szCs w:val="22"/>
              </w:rPr>
            </w:pPr>
            <w:r>
              <w:t>O</w:t>
            </w:r>
            <w:r w:rsidRPr="008E0518">
              <w:t>bjective response rate</w:t>
            </w:r>
          </w:p>
        </w:tc>
      </w:tr>
      <w:tr w:rsidR="00461754" w:rsidRPr="00D01DDB" w14:paraId="5C9093A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9A5F242" w14:textId="15BD0797" w:rsidR="00461754" w:rsidRDefault="00461754" w:rsidP="00461754">
            <w:pPr>
              <w:rPr>
                <w:szCs w:val="22"/>
              </w:rPr>
            </w:pPr>
            <w:r>
              <w:rPr>
                <w:szCs w:val="22"/>
              </w:rPr>
              <w:t>OS</w:t>
            </w:r>
          </w:p>
        </w:tc>
        <w:tc>
          <w:tcPr>
            <w:tcW w:w="3800" w:type="pct"/>
          </w:tcPr>
          <w:p w14:paraId="1E4BC9FC" w14:textId="769EA128" w:rsidR="00461754" w:rsidRDefault="00461754" w:rsidP="00461754">
            <w:pPr>
              <w:cnfStyle w:val="000000000000" w:firstRow="0" w:lastRow="0" w:firstColumn="0" w:lastColumn="0" w:oddVBand="0" w:evenVBand="0" w:oddHBand="0" w:evenHBand="0" w:firstRowFirstColumn="0" w:firstRowLastColumn="0" w:lastRowFirstColumn="0" w:lastRowLastColumn="0"/>
            </w:pPr>
            <w:r>
              <w:t>Overall survival</w:t>
            </w:r>
          </w:p>
        </w:tc>
      </w:tr>
      <w:tr w:rsidR="00461754" w:rsidRPr="00D01DDB" w14:paraId="68B8307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5740A65" w14:textId="60116946" w:rsidR="00461754" w:rsidRDefault="00461754" w:rsidP="00461754">
            <w:pPr>
              <w:rPr>
                <w:szCs w:val="22"/>
              </w:rPr>
            </w:pPr>
            <w:r>
              <w:rPr>
                <w:szCs w:val="22"/>
              </w:rPr>
              <w:t>PFS</w:t>
            </w:r>
          </w:p>
        </w:tc>
        <w:tc>
          <w:tcPr>
            <w:tcW w:w="3800" w:type="pct"/>
          </w:tcPr>
          <w:p w14:paraId="2FBFB60F" w14:textId="3A41B039" w:rsidR="00461754" w:rsidRDefault="00461754" w:rsidP="00461754">
            <w:pPr>
              <w:cnfStyle w:val="000000000000" w:firstRow="0" w:lastRow="0" w:firstColumn="0" w:lastColumn="0" w:oddVBand="0" w:evenVBand="0" w:oddHBand="0" w:evenHBand="0" w:firstRowFirstColumn="0" w:firstRowLastColumn="0" w:lastRowFirstColumn="0" w:lastRowLastColumn="0"/>
            </w:pPr>
            <w:r>
              <w:t>Progression</w:t>
            </w:r>
            <w:r>
              <w:noBreakHyphen/>
              <w:t>free survival</w:t>
            </w:r>
          </w:p>
        </w:tc>
      </w:tr>
      <w:tr w:rsidR="00461754" w:rsidRPr="00D01DDB" w14:paraId="2756B6F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2AA960E" w14:textId="72403C37" w:rsidR="00461754" w:rsidRPr="00D01DDB" w:rsidRDefault="00461754" w:rsidP="00461754">
            <w:pPr>
              <w:rPr>
                <w:szCs w:val="22"/>
              </w:rPr>
            </w:pPr>
            <w:r w:rsidRPr="00D01DDB">
              <w:rPr>
                <w:szCs w:val="22"/>
              </w:rPr>
              <w:t>PI</w:t>
            </w:r>
          </w:p>
        </w:tc>
        <w:tc>
          <w:tcPr>
            <w:tcW w:w="3800" w:type="pct"/>
          </w:tcPr>
          <w:p w14:paraId="354B5DB5" w14:textId="3DAE38C1" w:rsidR="00461754" w:rsidRPr="00D01DDB" w:rsidRDefault="00461754" w:rsidP="00461754">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Product Information</w:t>
            </w:r>
          </w:p>
        </w:tc>
      </w:tr>
      <w:tr w:rsidR="00FB0EC1" w:rsidRPr="00D01DDB" w14:paraId="280E576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34E273D" w14:textId="7CDDB5A0" w:rsidR="00FB0EC1" w:rsidRPr="00D01DDB" w:rsidRDefault="00FB0EC1" w:rsidP="00461754">
            <w:pPr>
              <w:rPr>
                <w:szCs w:val="22"/>
              </w:rPr>
            </w:pPr>
            <w:r>
              <w:rPr>
                <w:szCs w:val="22"/>
              </w:rPr>
              <w:t>PK</w:t>
            </w:r>
          </w:p>
        </w:tc>
        <w:tc>
          <w:tcPr>
            <w:tcW w:w="3800" w:type="pct"/>
          </w:tcPr>
          <w:p w14:paraId="38441CB7" w14:textId="215CF03D" w:rsidR="00FB0EC1" w:rsidRPr="00D01DDB" w:rsidRDefault="00FB0EC1" w:rsidP="00461754">
            <w:pPr>
              <w:cnfStyle w:val="000000000000" w:firstRow="0" w:lastRow="0" w:firstColumn="0" w:lastColumn="0" w:oddVBand="0" w:evenVBand="0" w:oddHBand="0" w:evenHBand="0" w:firstRowFirstColumn="0" w:firstRowLastColumn="0" w:lastRowFirstColumn="0" w:lastRowLastColumn="0"/>
              <w:rPr>
                <w:szCs w:val="22"/>
              </w:rPr>
            </w:pPr>
            <w:r>
              <w:rPr>
                <w:szCs w:val="22"/>
              </w:rPr>
              <w:t>Pharmacokinetic(s)</w:t>
            </w:r>
          </w:p>
        </w:tc>
      </w:tr>
      <w:tr w:rsidR="00461754" w:rsidRPr="00D01DDB" w14:paraId="3D3C703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6FC5D65" w14:textId="2915A0B8" w:rsidR="00461754" w:rsidRPr="00D01DDB" w:rsidRDefault="00461754" w:rsidP="00461754">
            <w:pPr>
              <w:rPr>
                <w:szCs w:val="22"/>
              </w:rPr>
            </w:pPr>
            <w:r w:rsidRPr="00D01DDB">
              <w:rPr>
                <w:szCs w:val="22"/>
              </w:rPr>
              <w:t>PSUR</w:t>
            </w:r>
          </w:p>
        </w:tc>
        <w:tc>
          <w:tcPr>
            <w:tcW w:w="3800" w:type="pct"/>
          </w:tcPr>
          <w:p w14:paraId="4A97D112" w14:textId="3DC38D82" w:rsidR="00461754" w:rsidRPr="00D01DDB" w:rsidRDefault="00461754" w:rsidP="00461754">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Periodic safety update report</w:t>
            </w:r>
          </w:p>
        </w:tc>
      </w:tr>
      <w:tr w:rsidR="00461754" w:rsidRPr="00D01DDB" w14:paraId="07F3695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390BCA" w14:textId="201D691B" w:rsidR="00461754" w:rsidRPr="00D01DDB" w:rsidRDefault="00461754" w:rsidP="00461754">
            <w:pPr>
              <w:rPr>
                <w:szCs w:val="22"/>
              </w:rPr>
            </w:pPr>
            <w:r w:rsidRPr="00D01DDB">
              <w:rPr>
                <w:szCs w:val="22"/>
              </w:rPr>
              <w:t>RMP</w:t>
            </w:r>
          </w:p>
        </w:tc>
        <w:tc>
          <w:tcPr>
            <w:tcW w:w="3800" w:type="pct"/>
          </w:tcPr>
          <w:p w14:paraId="2C862F75" w14:textId="2355E842" w:rsidR="00461754" w:rsidRPr="00D01DDB" w:rsidRDefault="00461754" w:rsidP="00461754">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Risk management plan</w:t>
            </w:r>
          </w:p>
        </w:tc>
      </w:tr>
      <w:tr w:rsidR="00461754" w:rsidRPr="00D01DDB" w14:paraId="49AA2A2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825E902" w14:textId="757F14A4" w:rsidR="00461754" w:rsidRPr="00D01DDB" w:rsidRDefault="00461754" w:rsidP="00461754">
            <w:pPr>
              <w:rPr>
                <w:szCs w:val="22"/>
              </w:rPr>
            </w:pPr>
            <w:r>
              <w:rPr>
                <w:szCs w:val="22"/>
              </w:rPr>
              <w:t>TEAE</w:t>
            </w:r>
          </w:p>
        </w:tc>
        <w:tc>
          <w:tcPr>
            <w:tcW w:w="3800" w:type="pct"/>
          </w:tcPr>
          <w:p w14:paraId="2168B9BC" w14:textId="6D735AD0" w:rsidR="00461754" w:rsidRPr="00D01DDB" w:rsidRDefault="00461754" w:rsidP="00461754">
            <w:pPr>
              <w:cnfStyle w:val="000000000000" w:firstRow="0" w:lastRow="0" w:firstColumn="0" w:lastColumn="0" w:oddVBand="0" w:evenVBand="0" w:oddHBand="0" w:evenHBand="0" w:firstRowFirstColumn="0" w:firstRowLastColumn="0" w:lastRowFirstColumn="0" w:lastRowLastColumn="0"/>
              <w:rPr>
                <w:szCs w:val="22"/>
              </w:rPr>
            </w:pPr>
            <w:r>
              <w:t>Treatment-emergent adverse event</w:t>
            </w:r>
          </w:p>
        </w:tc>
      </w:tr>
      <w:tr w:rsidR="00461754" w:rsidRPr="00D01DDB" w14:paraId="254AC9B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74FC2A0" w14:textId="41297C79" w:rsidR="00461754" w:rsidRPr="00D01DDB" w:rsidRDefault="00461754" w:rsidP="00461754">
            <w:pPr>
              <w:rPr>
                <w:szCs w:val="22"/>
              </w:rPr>
            </w:pPr>
            <w:r w:rsidRPr="00D01DDB">
              <w:rPr>
                <w:szCs w:val="22"/>
              </w:rPr>
              <w:t>TGA</w:t>
            </w:r>
          </w:p>
        </w:tc>
        <w:tc>
          <w:tcPr>
            <w:tcW w:w="3800" w:type="pct"/>
          </w:tcPr>
          <w:p w14:paraId="29EA6BA3" w14:textId="6F99059F" w:rsidR="00461754" w:rsidRPr="00D01DDB" w:rsidRDefault="00461754" w:rsidP="00461754">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Therapeutic Goods Administration</w:t>
            </w:r>
          </w:p>
        </w:tc>
      </w:tr>
    </w:tbl>
    <w:p w14:paraId="7378F926" w14:textId="77777777" w:rsidR="00324B33"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5" w:name="_Toc103679288"/>
      <w:bookmarkStart w:id="6" w:name="_Toc156210050"/>
      <w:r>
        <w:lastRenderedPageBreak/>
        <w:t>Product submission</w:t>
      </w:r>
      <w:bookmarkEnd w:id="5"/>
      <w:bookmarkEnd w:id="6"/>
    </w:p>
    <w:p w14:paraId="21D559DF" w14:textId="77777777" w:rsidR="00324B33" w:rsidRDefault="00324B33" w:rsidP="00324B33">
      <w:pPr>
        <w:pStyle w:val="Heading3"/>
        <w:rPr>
          <w:lang w:eastAsia="en-AU"/>
        </w:rPr>
      </w:pPr>
      <w:bookmarkStart w:id="7" w:name="_Toc247691502"/>
      <w:bookmarkStart w:id="8" w:name="_Toc314842483"/>
      <w:bookmarkStart w:id="9" w:name="_Toc103679289"/>
      <w:bookmarkStart w:id="10" w:name="_Toc156210051"/>
      <w:r>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16A02839" w:rsidR="00324B33" w:rsidRPr="00BD5DBD" w:rsidRDefault="00324B33" w:rsidP="007452E8">
            <w:pPr>
              <w:rPr>
                <w:i/>
                <w:szCs w:val="22"/>
              </w:rPr>
            </w:pPr>
            <w:r w:rsidRPr="00BD5DBD">
              <w:rPr>
                <w:i/>
                <w:szCs w:val="22"/>
              </w:rPr>
              <w:t>Type of submission:</w:t>
            </w:r>
          </w:p>
        </w:tc>
        <w:tc>
          <w:tcPr>
            <w:tcW w:w="3423" w:type="pct"/>
          </w:tcPr>
          <w:p w14:paraId="4F07C303" w14:textId="5A957C33" w:rsidR="00324B33" w:rsidRPr="00BD5DBD" w:rsidRDefault="00324B33" w:rsidP="007452E8">
            <w:pPr>
              <w:rPr>
                <w:szCs w:val="22"/>
              </w:rPr>
            </w:pPr>
            <w:bookmarkStart w:id="11" w:name="_Hlk160007073"/>
            <w:r w:rsidRPr="00BD5DBD">
              <w:rPr>
                <w:szCs w:val="22"/>
              </w:rPr>
              <w:t xml:space="preserve">New </w:t>
            </w:r>
            <w:r w:rsidR="00CF1CE4">
              <w:rPr>
                <w:szCs w:val="22"/>
              </w:rPr>
              <w:t>biosimilar medicine</w:t>
            </w:r>
            <w:bookmarkEnd w:id="11"/>
          </w:p>
        </w:tc>
      </w:tr>
      <w:tr w:rsidR="00324B33" w:rsidRPr="00BD5DBD" w14:paraId="13482B61" w14:textId="77777777" w:rsidTr="00F865A7">
        <w:tc>
          <w:tcPr>
            <w:tcW w:w="1577" w:type="pct"/>
          </w:tcPr>
          <w:p w14:paraId="2C427FCF" w14:textId="70DDA129" w:rsidR="00324B33" w:rsidRPr="00BD5DBD" w:rsidRDefault="00324B33" w:rsidP="007452E8">
            <w:pPr>
              <w:rPr>
                <w:i/>
                <w:szCs w:val="22"/>
              </w:rPr>
            </w:pPr>
            <w:r w:rsidRPr="00BD5DBD">
              <w:rPr>
                <w:i/>
                <w:szCs w:val="22"/>
              </w:rPr>
              <w:t>Product name:</w:t>
            </w:r>
          </w:p>
        </w:tc>
        <w:tc>
          <w:tcPr>
            <w:tcW w:w="3423" w:type="pct"/>
          </w:tcPr>
          <w:p w14:paraId="0E2DEF76" w14:textId="486CA1E8" w:rsidR="00324B33" w:rsidRPr="00BD5DBD" w:rsidRDefault="00CF1CE4" w:rsidP="007452E8">
            <w:pPr>
              <w:rPr>
                <w:szCs w:val="22"/>
              </w:rPr>
            </w:pPr>
            <w:r>
              <w:rPr>
                <w:szCs w:val="22"/>
              </w:rPr>
              <w:t>Vegzelma</w:t>
            </w:r>
          </w:p>
        </w:tc>
      </w:tr>
      <w:tr w:rsidR="00324B33" w:rsidRPr="00BD5DBD" w14:paraId="01255B5B" w14:textId="77777777" w:rsidTr="00F865A7">
        <w:tc>
          <w:tcPr>
            <w:tcW w:w="1577" w:type="pct"/>
          </w:tcPr>
          <w:p w14:paraId="52B4F3D7" w14:textId="5F013EBC" w:rsidR="00324B33" w:rsidRPr="00BD5DBD" w:rsidRDefault="00324B33" w:rsidP="007452E8">
            <w:pPr>
              <w:rPr>
                <w:i/>
                <w:szCs w:val="22"/>
              </w:rPr>
            </w:pPr>
            <w:r w:rsidRPr="00BD5DBD">
              <w:rPr>
                <w:i/>
                <w:szCs w:val="22"/>
              </w:rPr>
              <w:t>Active ingredient:</w:t>
            </w:r>
          </w:p>
        </w:tc>
        <w:tc>
          <w:tcPr>
            <w:tcW w:w="3423" w:type="pct"/>
          </w:tcPr>
          <w:p w14:paraId="78EBD9A2" w14:textId="15D6BA71" w:rsidR="00324B33" w:rsidRDefault="007953CD" w:rsidP="007452E8">
            <w:pPr>
              <w:rPr>
                <w:szCs w:val="22"/>
              </w:rPr>
            </w:pPr>
            <w:r>
              <w:rPr>
                <w:szCs w:val="22"/>
              </w:rPr>
              <w:t>b</w:t>
            </w:r>
            <w:r w:rsidR="00CF1CE4">
              <w:rPr>
                <w:szCs w:val="22"/>
              </w:rPr>
              <w:t>evacizumab</w:t>
            </w:r>
          </w:p>
          <w:p w14:paraId="02FB6383" w14:textId="62010D50" w:rsidR="007953CD" w:rsidRPr="00BD5DBD" w:rsidRDefault="007953CD" w:rsidP="007452E8">
            <w:pPr>
              <w:rPr>
                <w:szCs w:val="22"/>
              </w:rPr>
            </w:pPr>
            <w:r>
              <w:rPr>
                <w:szCs w:val="22"/>
              </w:rPr>
              <w:t>sponsor’s code: CT-P16</w:t>
            </w:r>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36CEC8F6" w:rsidR="00324B33" w:rsidRPr="00BD5DBD" w:rsidRDefault="00324B33" w:rsidP="007452E8">
            <w:pPr>
              <w:rPr>
                <w:szCs w:val="22"/>
              </w:rPr>
            </w:pPr>
            <w:r w:rsidRPr="00BD5DBD">
              <w:rPr>
                <w:szCs w:val="22"/>
              </w:rPr>
              <w:t>Approved</w:t>
            </w:r>
          </w:p>
        </w:tc>
      </w:tr>
      <w:tr w:rsidR="00AE1947" w:rsidRPr="00BD5DBD" w14:paraId="32B72632" w14:textId="77777777" w:rsidTr="00F865A7">
        <w:tc>
          <w:tcPr>
            <w:tcW w:w="1577" w:type="pct"/>
          </w:tcPr>
          <w:p w14:paraId="332A5CD5" w14:textId="682CD1B3" w:rsidR="00AE1947" w:rsidRPr="00F34C91" w:rsidRDefault="00AE1947" w:rsidP="00C018DE">
            <w:r w:rsidRPr="00F34C91">
              <w:rPr>
                <w:i/>
                <w:szCs w:val="22"/>
              </w:rPr>
              <w:t>Date of decision:</w:t>
            </w:r>
          </w:p>
        </w:tc>
        <w:tc>
          <w:tcPr>
            <w:tcW w:w="3423" w:type="pct"/>
          </w:tcPr>
          <w:p w14:paraId="7B381CD6" w14:textId="7751EB8E" w:rsidR="00AE1947" w:rsidRPr="00BD5DBD" w:rsidRDefault="00860445" w:rsidP="00602658">
            <w:pPr>
              <w:rPr>
                <w:szCs w:val="22"/>
              </w:rPr>
            </w:pPr>
            <w:r w:rsidRPr="00F34C91">
              <w:rPr>
                <w:szCs w:val="22"/>
              </w:rPr>
              <w:t>30 August 2023</w:t>
            </w:r>
          </w:p>
        </w:tc>
      </w:tr>
      <w:tr w:rsidR="00324B33" w:rsidRPr="00BD5DBD" w14:paraId="60A25F5A" w14:textId="77777777" w:rsidTr="00F865A7">
        <w:tc>
          <w:tcPr>
            <w:tcW w:w="1577" w:type="pct"/>
          </w:tcPr>
          <w:p w14:paraId="5C5E4CBA" w14:textId="77777777" w:rsidR="00324B33" w:rsidRPr="00BD5DBD" w:rsidRDefault="00324B33" w:rsidP="007452E8">
            <w:pPr>
              <w:rPr>
                <w:i/>
                <w:szCs w:val="22"/>
              </w:rPr>
            </w:pPr>
            <w:r w:rsidRPr="00BD5DBD">
              <w:rPr>
                <w:i/>
                <w:szCs w:val="22"/>
              </w:rPr>
              <w:t>Date of entry onto ARTG:</w:t>
            </w:r>
          </w:p>
        </w:tc>
        <w:tc>
          <w:tcPr>
            <w:tcW w:w="3423" w:type="pct"/>
          </w:tcPr>
          <w:p w14:paraId="28B270E9" w14:textId="7CCFB0C4" w:rsidR="00324B33" w:rsidRPr="00BD5DBD" w:rsidRDefault="00B37671" w:rsidP="007452E8">
            <w:pPr>
              <w:rPr>
                <w:szCs w:val="22"/>
              </w:rPr>
            </w:pPr>
            <w:r>
              <w:rPr>
                <w:szCs w:val="22"/>
              </w:rPr>
              <w:t>5 September 2023</w:t>
            </w:r>
          </w:p>
        </w:tc>
      </w:tr>
      <w:tr w:rsidR="00324B33" w:rsidRPr="00BD5DBD" w14:paraId="547E08D7" w14:textId="77777777" w:rsidTr="00F865A7">
        <w:tc>
          <w:tcPr>
            <w:tcW w:w="1577" w:type="pct"/>
          </w:tcPr>
          <w:p w14:paraId="5030EF30" w14:textId="6800B613" w:rsidR="00324B33" w:rsidRPr="00BD5DBD" w:rsidRDefault="00324B33" w:rsidP="007452E8">
            <w:pPr>
              <w:rPr>
                <w:i/>
                <w:szCs w:val="22"/>
              </w:rPr>
            </w:pPr>
            <w:r w:rsidRPr="00BD5DBD">
              <w:rPr>
                <w:i/>
                <w:szCs w:val="22"/>
              </w:rPr>
              <w:t>ARTG numbers:</w:t>
            </w:r>
          </w:p>
        </w:tc>
        <w:tc>
          <w:tcPr>
            <w:tcW w:w="3423" w:type="pct"/>
          </w:tcPr>
          <w:p w14:paraId="0054E912" w14:textId="4CF0EF50" w:rsidR="00324B33" w:rsidRPr="00BD5DBD" w:rsidRDefault="00B37671" w:rsidP="007452E8">
            <w:pPr>
              <w:rPr>
                <w:szCs w:val="22"/>
              </w:rPr>
            </w:pPr>
            <w:r>
              <w:rPr>
                <w:szCs w:val="22"/>
              </w:rPr>
              <w:t>398631 and 398632</w:t>
            </w:r>
          </w:p>
        </w:tc>
      </w:tr>
      <w:tr w:rsidR="00324B33" w:rsidRPr="00BD5DBD" w14:paraId="7618393F" w14:textId="77777777" w:rsidTr="00F865A7">
        <w:tc>
          <w:tcPr>
            <w:tcW w:w="1577" w:type="pct"/>
          </w:tcPr>
          <w:p w14:paraId="02260DE2" w14:textId="0C99B55D" w:rsidR="00324B33" w:rsidRPr="00860445" w:rsidRDefault="00324B33" w:rsidP="00B37671">
            <w:pPr>
              <w:rPr>
                <w:i/>
                <w:szCs w:val="22"/>
              </w:rPr>
            </w:pPr>
            <w:r w:rsidRPr="00860445">
              <w:rPr>
                <w:rFonts w:ascii="Wingdings 3" w:hAnsi="Wingdings 3"/>
                <w:szCs w:val="22"/>
                <w:lang w:eastAsia="en-AU"/>
              </w:rPr>
              <w:t></w:t>
            </w:r>
            <w:hyperlink r:id="rId18" w:history="1">
              <w:r w:rsidRPr="00860445">
                <w:rPr>
                  <w:rStyle w:val="Hyperlink"/>
                  <w:i/>
                  <w:szCs w:val="22"/>
                </w:rPr>
                <w:t>Black Triangle Scheme</w:t>
              </w:r>
            </w:hyperlink>
          </w:p>
        </w:tc>
        <w:tc>
          <w:tcPr>
            <w:tcW w:w="3423" w:type="pct"/>
          </w:tcPr>
          <w:p w14:paraId="6FF3C6A2" w14:textId="403B53F4" w:rsidR="00324B33" w:rsidRPr="00BD5DBD" w:rsidRDefault="00324B33" w:rsidP="007452E8">
            <w:pPr>
              <w:rPr>
                <w:szCs w:val="22"/>
              </w:rPr>
            </w:pPr>
            <w:r w:rsidRPr="00860445">
              <w:rPr>
                <w:szCs w:val="22"/>
              </w:rPr>
              <w:t>No</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2729B7A0" w14:textId="0A6EABF8" w:rsidR="00B37671" w:rsidRDefault="00B37671" w:rsidP="007452E8">
            <w:r>
              <w:t>Celltrion Healthcare Australia Pty Ltd</w:t>
            </w:r>
          </w:p>
          <w:p w14:paraId="1486977F" w14:textId="25BCAF5D" w:rsidR="00B37671" w:rsidRDefault="00B37671" w:rsidP="007452E8">
            <w:r>
              <w:t>Suite 13-03</w:t>
            </w:r>
            <w:r w:rsidR="002D4A8F">
              <w:t>,</w:t>
            </w:r>
            <w:r>
              <w:t xml:space="preserve"> 31 Market Street</w:t>
            </w:r>
          </w:p>
          <w:p w14:paraId="68DD94B0" w14:textId="5195C6BE" w:rsidR="00324B33" w:rsidRPr="00BD5DBD" w:rsidRDefault="00B37671" w:rsidP="007452E8">
            <w:pPr>
              <w:rPr>
                <w:szCs w:val="22"/>
              </w:rPr>
            </w:pPr>
            <w:r>
              <w:t xml:space="preserve">Sydney </w:t>
            </w:r>
            <w:r w:rsidR="002D4A8F">
              <w:t xml:space="preserve">  </w:t>
            </w:r>
            <w:r>
              <w:t>NSW</w:t>
            </w:r>
            <w:r w:rsidR="002D4A8F">
              <w:t xml:space="preserve">  </w:t>
            </w:r>
            <w:r>
              <w:t xml:space="preserve"> 2000</w:t>
            </w:r>
          </w:p>
        </w:tc>
      </w:tr>
      <w:tr w:rsidR="00324B33" w:rsidRPr="00BD5DBD" w14:paraId="5322B989" w14:textId="77777777" w:rsidTr="00F865A7">
        <w:tc>
          <w:tcPr>
            <w:tcW w:w="1577" w:type="pct"/>
          </w:tcPr>
          <w:p w14:paraId="24F217E3" w14:textId="787181CA" w:rsidR="00324B33" w:rsidRPr="00BD5DBD" w:rsidRDefault="00324B33" w:rsidP="007452E8">
            <w:pPr>
              <w:rPr>
                <w:i/>
                <w:szCs w:val="22"/>
              </w:rPr>
            </w:pPr>
            <w:r w:rsidRPr="00BD5DBD">
              <w:rPr>
                <w:i/>
                <w:szCs w:val="22"/>
              </w:rPr>
              <w:t>Dose form:</w:t>
            </w:r>
          </w:p>
        </w:tc>
        <w:tc>
          <w:tcPr>
            <w:tcW w:w="3423" w:type="pct"/>
          </w:tcPr>
          <w:p w14:paraId="768B254C" w14:textId="6024D6E1" w:rsidR="00B37671" w:rsidRPr="00BD5DBD" w:rsidRDefault="00B37671" w:rsidP="00B37671">
            <w:pPr>
              <w:rPr>
                <w:szCs w:val="22"/>
              </w:rPr>
            </w:pPr>
            <w:r>
              <w:t>Solution for intravenous infusion</w:t>
            </w:r>
          </w:p>
        </w:tc>
      </w:tr>
      <w:tr w:rsidR="00324B33" w:rsidRPr="00BD5DBD" w14:paraId="115243E6" w14:textId="77777777" w:rsidTr="00F865A7">
        <w:tc>
          <w:tcPr>
            <w:tcW w:w="1577" w:type="pct"/>
          </w:tcPr>
          <w:p w14:paraId="7634B062" w14:textId="758FB571" w:rsidR="00324B33" w:rsidRPr="00BD5DBD" w:rsidRDefault="00324B33" w:rsidP="007452E8">
            <w:pPr>
              <w:rPr>
                <w:i/>
                <w:szCs w:val="22"/>
              </w:rPr>
            </w:pPr>
            <w:r w:rsidRPr="00BD5DBD">
              <w:rPr>
                <w:i/>
                <w:szCs w:val="22"/>
              </w:rPr>
              <w:t>Strengths:</w:t>
            </w:r>
          </w:p>
        </w:tc>
        <w:tc>
          <w:tcPr>
            <w:tcW w:w="3423" w:type="pct"/>
          </w:tcPr>
          <w:p w14:paraId="5E5F83DB" w14:textId="6C05DA10" w:rsidR="00324B33" w:rsidRPr="00BD5DBD" w:rsidRDefault="00B37671" w:rsidP="00B37671">
            <w:pPr>
              <w:rPr>
                <w:szCs w:val="22"/>
              </w:rPr>
            </w:pPr>
            <w:r>
              <w:t>400 mg/16 mL and 100 mg/4 mL</w:t>
            </w:r>
          </w:p>
        </w:tc>
      </w:tr>
      <w:tr w:rsidR="00324B33" w:rsidRPr="00BD5DBD" w14:paraId="34B07BA6" w14:textId="77777777" w:rsidTr="00F865A7">
        <w:tc>
          <w:tcPr>
            <w:tcW w:w="1577" w:type="pct"/>
          </w:tcPr>
          <w:p w14:paraId="1C039224" w14:textId="6CCE321D" w:rsidR="00324B33" w:rsidRPr="00BD5DBD" w:rsidRDefault="00324B33" w:rsidP="007452E8">
            <w:pPr>
              <w:rPr>
                <w:i/>
                <w:szCs w:val="22"/>
              </w:rPr>
            </w:pPr>
            <w:r w:rsidRPr="00BD5DBD">
              <w:rPr>
                <w:i/>
                <w:szCs w:val="22"/>
              </w:rPr>
              <w:t>Container:</w:t>
            </w:r>
          </w:p>
        </w:tc>
        <w:tc>
          <w:tcPr>
            <w:tcW w:w="3423" w:type="pct"/>
          </w:tcPr>
          <w:p w14:paraId="500A42C6" w14:textId="1CEAEB2F" w:rsidR="00324B33" w:rsidRPr="00BD5DBD" w:rsidRDefault="00B37671" w:rsidP="007452E8">
            <w:pPr>
              <w:rPr>
                <w:szCs w:val="22"/>
              </w:rPr>
            </w:pPr>
            <w:r>
              <w:rPr>
                <w:szCs w:val="22"/>
              </w:rPr>
              <w:t>Vials</w:t>
            </w:r>
          </w:p>
        </w:tc>
      </w:tr>
      <w:tr w:rsidR="00324B33" w:rsidRPr="00BD5DBD" w14:paraId="176B6773" w14:textId="77777777" w:rsidTr="00F865A7">
        <w:tc>
          <w:tcPr>
            <w:tcW w:w="1577" w:type="pct"/>
          </w:tcPr>
          <w:p w14:paraId="71846159" w14:textId="6518257E" w:rsidR="00324B33" w:rsidRPr="00BD5DBD" w:rsidRDefault="00324B33" w:rsidP="007452E8">
            <w:pPr>
              <w:rPr>
                <w:i/>
                <w:szCs w:val="22"/>
              </w:rPr>
            </w:pPr>
            <w:r w:rsidRPr="00BD5DBD">
              <w:rPr>
                <w:i/>
                <w:szCs w:val="22"/>
              </w:rPr>
              <w:t>Pack size:</w:t>
            </w:r>
          </w:p>
        </w:tc>
        <w:tc>
          <w:tcPr>
            <w:tcW w:w="3423" w:type="pct"/>
          </w:tcPr>
          <w:p w14:paraId="7E978F8F" w14:textId="566F43C5" w:rsidR="00324B33" w:rsidRPr="00BD5DBD" w:rsidRDefault="00B37671" w:rsidP="007452E8">
            <w:pPr>
              <w:rPr>
                <w:szCs w:val="22"/>
              </w:rPr>
            </w:pPr>
            <w:r>
              <w:rPr>
                <w:szCs w:val="22"/>
              </w:rPr>
              <w:t>One</w:t>
            </w:r>
            <w:r w:rsidR="005752F8">
              <w:rPr>
                <w:szCs w:val="22"/>
              </w:rPr>
              <w:t xml:space="preserve"> vial</w:t>
            </w:r>
          </w:p>
        </w:tc>
      </w:tr>
      <w:tr w:rsidR="00324B33" w:rsidRPr="00BD5DBD" w14:paraId="19A2544A" w14:textId="77777777" w:rsidTr="00F865A7">
        <w:tc>
          <w:tcPr>
            <w:tcW w:w="1577" w:type="pct"/>
          </w:tcPr>
          <w:p w14:paraId="0E6C5C0E" w14:textId="79F659CF" w:rsidR="00324B33" w:rsidRPr="00B37671" w:rsidRDefault="00324B33" w:rsidP="007452E8">
            <w:pPr>
              <w:rPr>
                <w:i/>
                <w:szCs w:val="22"/>
                <w:highlight w:val="yellow"/>
              </w:rPr>
            </w:pPr>
            <w:r w:rsidRPr="00461754">
              <w:rPr>
                <w:i/>
                <w:szCs w:val="22"/>
              </w:rPr>
              <w:t>Approved therapeutic use</w:t>
            </w:r>
            <w:r w:rsidR="002D4A8F">
              <w:rPr>
                <w:i/>
                <w:szCs w:val="22"/>
              </w:rPr>
              <w:t>s</w:t>
            </w:r>
            <w:r w:rsidRPr="00461754">
              <w:rPr>
                <w:i/>
                <w:szCs w:val="22"/>
              </w:rPr>
              <w:t>:</w:t>
            </w:r>
          </w:p>
        </w:tc>
        <w:tc>
          <w:tcPr>
            <w:tcW w:w="3423" w:type="pct"/>
          </w:tcPr>
          <w:p w14:paraId="035D81B8" w14:textId="77777777" w:rsidR="00461754" w:rsidRPr="00461754" w:rsidRDefault="00461754" w:rsidP="00461754">
            <w:pPr>
              <w:rPr>
                <w:b/>
                <w:bCs/>
                <w:i/>
                <w:iCs/>
                <w:szCs w:val="22"/>
              </w:rPr>
            </w:pPr>
            <w:r w:rsidRPr="00461754">
              <w:rPr>
                <w:b/>
                <w:bCs/>
                <w:i/>
                <w:iCs/>
                <w:szCs w:val="22"/>
              </w:rPr>
              <w:t>Metastatic Colorectal Cancer</w:t>
            </w:r>
          </w:p>
          <w:p w14:paraId="354613BC" w14:textId="77777777" w:rsidR="00461754" w:rsidRPr="00461754" w:rsidRDefault="00461754" w:rsidP="00461754">
            <w:pPr>
              <w:rPr>
                <w:i/>
                <w:iCs/>
                <w:szCs w:val="22"/>
              </w:rPr>
            </w:pPr>
            <w:bookmarkStart w:id="12" w:name="_Hlk160018116"/>
            <w:r w:rsidRPr="00461754">
              <w:rPr>
                <w:i/>
                <w:iCs/>
                <w:szCs w:val="22"/>
              </w:rPr>
              <w:t>Vegzelma (bevacizumab) in combination with fluoropyrimidine-based chemotherapy is indicated for the treatment of patients with metastatic colorectal cancer.</w:t>
            </w:r>
          </w:p>
          <w:bookmarkEnd w:id="12"/>
          <w:p w14:paraId="5C6FED5C" w14:textId="77777777" w:rsidR="00461754" w:rsidRPr="00461754" w:rsidRDefault="00461754" w:rsidP="00461754">
            <w:pPr>
              <w:rPr>
                <w:b/>
                <w:bCs/>
                <w:i/>
                <w:iCs/>
                <w:szCs w:val="22"/>
              </w:rPr>
            </w:pPr>
            <w:r w:rsidRPr="00461754">
              <w:rPr>
                <w:b/>
                <w:bCs/>
                <w:i/>
                <w:iCs/>
                <w:szCs w:val="22"/>
              </w:rPr>
              <w:t>Locally recurrent or metastatic Breast Cancer</w:t>
            </w:r>
          </w:p>
          <w:p w14:paraId="72B8D206" w14:textId="172E7C47" w:rsidR="00461754" w:rsidRPr="00461754" w:rsidRDefault="00461754" w:rsidP="00461754">
            <w:pPr>
              <w:rPr>
                <w:i/>
                <w:iCs/>
                <w:szCs w:val="22"/>
              </w:rPr>
            </w:pPr>
            <w:r w:rsidRPr="00461754">
              <w:rPr>
                <w:i/>
                <w:iCs/>
                <w:szCs w:val="22"/>
              </w:rPr>
              <w:t>Vegzelma (bevacizumab) in combination with paclitaxel is indicated for the first-line treatment of metastatic breast cancer in patients in whom an anthracycline-based therapy is contraindicated. (</w:t>
            </w:r>
            <w:proofErr w:type="gramStart"/>
            <w:r w:rsidRPr="00461754">
              <w:rPr>
                <w:i/>
                <w:iCs/>
                <w:szCs w:val="22"/>
              </w:rPr>
              <w:t>see</w:t>
            </w:r>
            <w:proofErr w:type="gramEnd"/>
            <w:r w:rsidRPr="00461754">
              <w:rPr>
                <w:i/>
                <w:iCs/>
                <w:szCs w:val="22"/>
              </w:rPr>
              <w:t xml:space="preserve"> Section 5.1 Clinical Trials).</w:t>
            </w:r>
          </w:p>
          <w:p w14:paraId="375E25E5" w14:textId="77777777" w:rsidR="00461754" w:rsidRPr="00461754" w:rsidRDefault="00461754" w:rsidP="00461754">
            <w:pPr>
              <w:rPr>
                <w:b/>
                <w:bCs/>
                <w:i/>
                <w:iCs/>
                <w:szCs w:val="22"/>
              </w:rPr>
            </w:pPr>
            <w:r w:rsidRPr="00461754">
              <w:rPr>
                <w:b/>
                <w:bCs/>
                <w:i/>
                <w:iCs/>
                <w:szCs w:val="22"/>
              </w:rPr>
              <w:t xml:space="preserve">Advanced, </w:t>
            </w:r>
            <w:proofErr w:type="gramStart"/>
            <w:r w:rsidRPr="00461754">
              <w:rPr>
                <w:b/>
                <w:bCs/>
                <w:i/>
                <w:iCs/>
                <w:szCs w:val="22"/>
              </w:rPr>
              <w:t>metastatic</w:t>
            </w:r>
            <w:proofErr w:type="gramEnd"/>
            <w:r w:rsidRPr="00461754">
              <w:rPr>
                <w:b/>
                <w:bCs/>
                <w:i/>
                <w:iCs/>
                <w:szCs w:val="22"/>
              </w:rPr>
              <w:t xml:space="preserve"> or recurrent non-squamous Non-Small Cell Lung Cancer (NSCLC)</w:t>
            </w:r>
          </w:p>
          <w:p w14:paraId="0D1FDB00" w14:textId="72AC7E0E" w:rsidR="00461754" w:rsidRPr="00461754" w:rsidRDefault="00461754" w:rsidP="00461754">
            <w:pPr>
              <w:rPr>
                <w:i/>
                <w:iCs/>
                <w:szCs w:val="22"/>
              </w:rPr>
            </w:pPr>
            <w:r w:rsidRPr="00461754">
              <w:rPr>
                <w:i/>
                <w:iCs/>
                <w:szCs w:val="22"/>
              </w:rPr>
              <w:t xml:space="preserve">Vegzelma (bevacizumab), in combination with carboplatin and paclitaxel, is indicated for first-line treatment of patients with unresectable advanced, </w:t>
            </w:r>
            <w:proofErr w:type="gramStart"/>
            <w:r w:rsidRPr="00461754">
              <w:rPr>
                <w:i/>
                <w:iCs/>
                <w:szCs w:val="22"/>
              </w:rPr>
              <w:t>metastatic</w:t>
            </w:r>
            <w:proofErr w:type="gramEnd"/>
            <w:r w:rsidRPr="00461754">
              <w:rPr>
                <w:i/>
                <w:iCs/>
                <w:szCs w:val="22"/>
              </w:rPr>
              <w:t xml:space="preserve"> or recurrent, non-squamous, non- small cell lung cancer.</w:t>
            </w:r>
          </w:p>
          <w:p w14:paraId="1A214B05" w14:textId="77777777" w:rsidR="00461754" w:rsidRPr="00461754" w:rsidRDefault="00461754" w:rsidP="00461754">
            <w:pPr>
              <w:rPr>
                <w:b/>
                <w:bCs/>
                <w:i/>
                <w:iCs/>
                <w:szCs w:val="22"/>
              </w:rPr>
            </w:pPr>
            <w:r w:rsidRPr="00461754">
              <w:rPr>
                <w:b/>
                <w:bCs/>
                <w:i/>
                <w:iCs/>
                <w:szCs w:val="22"/>
              </w:rPr>
              <w:t>Advanced and/or metastatic Renal Cell Cancer</w:t>
            </w:r>
          </w:p>
          <w:p w14:paraId="0A47C541" w14:textId="77777777" w:rsidR="00461754" w:rsidRPr="00461754" w:rsidRDefault="00461754" w:rsidP="00461754">
            <w:pPr>
              <w:rPr>
                <w:i/>
                <w:iCs/>
                <w:szCs w:val="22"/>
              </w:rPr>
            </w:pPr>
            <w:r w:rsidRPr="00461754">
              <w:rPr>
                <w:i/>
                <w:iCs/>
                <w:szCs w:val="22"/>
              </w:rPr>
              <w:t>Vegzelma (bevacizumab) in combination with interferon alfa-2a is indicated for treatment of patients with advanced and/or metastatic renal cell cancer.</w:t>
            </w:r>
          </w:p>
          <w:p w14:paraId="7E66F832" w14:textId="77777777" w:rsidR="00461754" w:rsidRPr="00461754" w:rsidRDefault="00461754" w:rsidP="00461754">
            <w:pPr>
              <w:rPr>
                <w:b/>
                <w:bCs/>
                <w:i/>
                <w:iCs/>
                <w:szCs w:val="22"/>
              </w:rPr>
            </w:pPr>
            <w:r w:rsidRPr="00461754">
              <w:rPr>
                <w:b/>
                <w:bCs/>
                <w:i/>
                <w:iCs/>
                <w:szCs w:val="22"/>
              </w:rPr>
              <w:lastRenderedPageBreak/>
              <w:t>Grade IV Glioma</w:t>
            </w:r>
          </w:p>
          <w:p w14:paraId="471A9284" w14:textId="0F690688" w:rsidR="00461754" w:rsidRPr="00461754" w:rsidRDefault="00461754" w:rsidP="00461754">
            <w:pPr>
              <w:rPr>
                <w:i/>
                <w:iCs/>
                <w:szCs w:val="22"/>
              </w:rPr>
            </w:pPr>
            <w:r w:rsidRPr="00461754">
              <w:rPr>
                <w:i/>
                <w:iCs/>
                <w:szCs w:val="22"/>
              </w:rPr>
              <w:t>Vegzelma (bevacizumab) as a single agent, is indicated for the treatment of patients with Grade IV glioma after relapse or disease progression after standard therapy, including chemotherapy.</w:t>
            </w:r>
          </w:p>
          <w:p w14:paraId="6173A306" w14:textId="77777777" w:rsidR="00461754" w:rsidRPr="00461754" w:rsidRDefault="00461754" w:rsidP="00461754">
            <w:pPr>
              <w:rPr>
                <w:b/>
                <w:bCs/>
                <w:i/>
                <w:iCs/>
                <w:szCs w:val="22"/>
              </w:rPr>
            </w:pPr>
            <w:r w:rsidRPr="00461754">
              <w:rPr>
                <w:b/>
                <w:bCs/>
                <w:i/>
                <w:iCs/>
                <w:szCs w:val="22"/>
              </w:rPr>
              <w:t>Epithelial Ovarian, Fallopian Tube or Primary Peritoneal Cancer</w:t>
            </w:r>
          </w:p>
          <w:p w14:paraId="7CC1E90D" w14:textId="7F02A7C2" w:rsidR="00461754" w:rsidRPr="00461754" w:rsidRDefault="00461754" w:rsidP="00461754">
            <w:pPr>
              <w:rPr>
                <w:i/>
                <w:iCs/>
                <w:szCs w:val="22"/>
              </w:rPr>
            </w:pPr>
            <w:r w:rsidRPr="00461754">
              <w:rPr>
                <w:i/>
                <w:iCs/>
                <w:szCs w:val="22"/>
              </w:rPr>
              <w:t>Vegzelma (bevacizumab) in combination with carboplatin and paclitaxel, is indicated for first-line treatment of patients with advanced (FIGO stages IIIB, IIIC and IV) epithelial ovarian, fallopian tube, or primary peritoneal cancer.</w:t>
            </w:r>
          </w:p>
          <w:p w14:paraId="361686D8" w14:textId="77777777" w:rsidR="00461754" w:rsidRPr="00461754" w:rsidRDefault="00461754" w:rsidP="00461754">
            <w:pPr>
              <w:rPr>
                <w:b/>
                <w:bCs/>
                <w:i/>
                <w:iCs/>
                <w:szCs w:val="22"/>
              </w:rPr>
            </w:pPr>
            <w:r w:rsidRPr="00461754">
              <w:rPr>
                <w:b/>
                <w:bCs/>
                <w:i/>
                <w:iCs/>
                <w:szCs w:val="22"/>
              </w:rPr>
              <w:t>Recurrent Epithelial Ovarian, Fallopian Tube or Primary Peritoneal Cancer</w:t>
            </w:r>
          </w:p>
          <w:p w14:paraId="5DF556E3" w14:textId="433E58AE" w:rsidR="00461754" w:rsidRPr="00461754" w:rsidRDefault="00461754" w:rsidP="00461754">
            <w:pPr>
              <w:rPr>
                <w:i/>
                <w:iCs/>
                <w:szCs w:val="22"/>
              </w:rPr>
            </w:pPr>
            <w:r w:rsidRPr="00461754">
              <w:rPr>
                <w:i/>
                <w:iCs/>
                <w:szCs w:val="22"/>
              </w:rPr>
              <w:t xml:space="preserve">Vegzelma (bevacizumab), in combination with carboplatin and paclitaxel or in combination with carboplatin and gemcitabine, is indicated for the treatment of patients with first recurrence of </w:t>
            </w:r>
            <w:r w:rsidRPr="00CF50D5">
              <w:rPr>
                <w:b/>
                <w:bCs/>
                <w:i/>
                <w:iCs/>
                <w:szCs w:val="22"/>
              </w:rPr>
              <w:t>platinum-sensitive</w:t>
            </w:r>
            <w:r w:rsidRPr="00461754">
              <w:rPr>
                <w:i/>
                <w:iCs/>
                <w:szCs w:val="22"/>
              </w:rPr>
              <w:t>, epithelial ovarian, fallopian tube, or primary peritoneal cancer who have not received prior bevacizumab or other VEGF targeted angiogenesis inhibitors.</w:t>
            </w:r>
          </w:p>
          <w:p w14:paraId="43848E15" w14:textId="500435F6" w:rsidR="00461754" w:rsidRPr="00461754" w:rsidRDefault="00461754" w:rsidP="00461754">
            <w:pPr>
              <w:rPr>
                <w:i/>
                <w:iCs/>
                <w:szCs w:val="22"/>
              </w:rPr>
            </w:pPr>
            <w:r w:rsidRPr="00461754">
              <w:rPr>
                <w:i/>
                <w:iCs/>
                <w:szCs w:val="22"/>
              </w:rPr>
              <w:t xml:space="preserve">Vegzelma (bevacizumab) in combination with paclitaxel, topotecan or pegylated liposomal doxorubicin is indicated for the treatment of patients with recurrent, platinum-resistant epithelial ovarian, fallopian tube, or primary peritoneal cancer who have received no more than two prior chemotherapy </w:t>
            </w:r>
            <w:proofErr w:type="gramStart"/>
            <w:r w:rsidRPr="00461754">
              <w:rPr>
                <w:i/>
                <w:iCs/>
                <w:szCs w:val="22"/>
              </w:rPr>
              <w:t>regimens, and</w:t>
            </w:r>
            <w:proofErr w:type="gramEnd"/>
            <w:r w:rsidRPr="00461754">
              <w:rPr>
                <w:i/>
                <w:iCs/>
                <w:szCs w:val="22"/>
              </w:rPr>
              <w:t xml:space="preserve"> have not received any prior anti-angiogenic therapy including bevacizumab.</w:t>
            </w:r>
          </w:p>
          <w:p w14:paraId="4F4B8489" w14:textId="77777777" w:rsidR="00461754" w:rsidRPr="00461754" w:rsidRDefault="00461754" w:rsidP="00461754">
            <w:pPr>
              <w:rPr>
                <w:b/>
                <w:bCs/>
                <w:i/>
                <w:iCs/>
                <w:szCs w:val="22"/>
              </w:rPr>
            </w:pPr>
            <w:r w:rsidRPr="00461754">
              <w:rPr>
                <w:b/>
                <w:bCs/>
                <w:i/>
                <w:iCs/>
                <w:szCs w:val="22"/>
              </w:rPr>
              <w:t>Cervical Cancer</w:t>
            </w:r>
          </w:p>
          <w:p w14:paraId="6E143E2E" w14:textId="5552AB38" w:rsidR="00324B33" w:rsidRPr="00461754" w:rsidRDefault="00461754" w:rsidP="00461754">
            <w:pPr>
              <w:rPr>
                <w:i/>
                <w:iCs/>
                <w:szCs w:val="22"/>
              </w:rPr>
            </w:pPr>
            <w:r w:rsidRPr="00461754">
              <w:rPr>
                <w:i/>
                <w:iCs/>
                <w:szCs w:val="22"/>
              </w:rPr>
              <w:t xml:space="preserve">Vegzelma (bevacizumab) in combination with paclitaxel and cisplatin is indicated for the treatment of persistent, </w:t>
            </w:r>
            <w:proofErr w:type="gramStart"/>
            <w:r w:rsidRPr="00461754">
              <w:rPr>
                <w:i/>
                <w:iCs/>
                <w:szCs w:val="22"/>
              </w:rPr>
              <w:t>recurrent</w:t>
            </w:r>
            <w:proofErr w:type="gramEnd"/>
            <w:r w:rsidRPr="00461754">
              <w:rPr>
                <w:i/>
                <w:iCs/>
                <w:szCs w:val="22"/>
              </w:rPr>
              <w:t xml:space="preserve"> or metastatic carcinoma of the cervix. Vegzelma (bevacizumab) in combination with paclitaxel and topotecan is an acceptable alternative where cisplatin is not tolerated or not indicated.</w:t>
            </w:r>
          </w:p>
        </w:tc>
      </w:tr>
      <w:tr w:rsidR="00324B33" w:rsidRPr="00BD5DBD" w14:paraId="5AFDEED3" w14:textId="77777777" w:rsidTr="00F865A7">
        <w:tc>
          <w:tcPr>
            <w:tcW w:w="1577" w:type="pct"/>
          </w:tcPr>
          <w:p w14:paraId="03884BD1" w14:textId="3CBB369B" w:rsidR="00324B33" w:rsidRPr="00BD5DBD" w:rsidRDefault="00324B33" w:rsidP="007452E8">
            <w:pPr>
              <w:rPr>
                <w:i/>
                <w:szCs w:val="22"/>
              </w:rPr>
            </w:pPr>
            <w:r w:rsidRPr="00BD5DBD">
              <w:rPr>
                <w:i/>
                <w:szCs w:val="22"/>
              </w:rPr>
              <w:lastRenderedPageBreak/>
              <w:t>Route of administration:</w:t>
            </w:r>
          </w:p>
        </w:tc>
        <w:tc>
          <w:tcPr>
            <w:tcW w:w="3423" w:type="pct"/>
          </w:tcPr>
          <w:p w14:paraId="1ED1357E" w14:textId="4A28846B" w:rsidR="00324B33" w:rsidRPr="00BD5DBD" w:rsidRDefault="00B37671" w:rsidP="007452E8">
            <w:pPr>
              <w:rPr>
                <w:szCs w:val="22"/>
              </w:rPr>
            </w:pPr>
            <w:r>
              <w:rPr>
                <w:szCs w:val="22"/>
              </w:rPr>
              <w:t>Intravenous infusion</w:t>
            </w:r>
          </w:p>
        </w:tc>
      </w:tr>
      <w:tr w:rsidR="00324B33" w:rsidRPr="00BD5DBD" w14:paraId="70D7E9FA" w14:textId="77777777" w:rsidTr="00F865A7">
        <w:tc>
          <w:tcPr>
            <w:tcW w:w="1577" w:type="pct"/>
          </w:tcPr>
          <w:p w14:paraId="5ABFFC80" w14:textId="77777777" w:rsidR="00324B33" w:rsidRPr="00EA1572" w:rsidRDefault="00324B33" w:rsidP="007452E8">
            <w:pPr>
              <w:rPr>
                <w:i/>
                <w:szCs w:val="22"/>
              </w:rPr>
            </w:pPr>
            <w:r w:rsidRPr="00EA1572">
              <w:rPr>
                <w:i/>
                <w:szCs w:val="22"/>
              </w:rPr>
              <w:t>Dosage:</w:t>
            </w:r>
          </w:p>
        </w:tc>
        <w:tc>
          <w:tcPr>
            <w:tcW w:w="3423" w:type="pct"/>
          </w:tcPr>
          <w:p w14:paraId="454AB054" w14:textId="0767DEF9" w:rsidR="004D59CD" w:rsidRPr="00EA1572" w:rsidRDefault="004D59CD" w:rsidP="007452E8">
            <w:r w:rsidRPr="00EA1572">
              <w:t xml:space="preserve">The recommended dosage is based on multiple factors, including the condition being treated, </w:t>
            </w:r>
            <w:r w:rsidR="00F34C91" w:rsidRPr="00EA1572">
              <w:t>patient’s</w:t>
            </w:r>
            <w:r w:rsidRPr="00EA1572">
              <w:t xml:space="preserve"> body weight</w:t>
            </w:r>
            <w:r w:rsidR="00F34C91" w:rsidRPr="00EA1572">
              <w:t>, line of treatment, and cycle of treatment</w:t>
            </w:r>
            <w:r w:rsidRPr="00EA1572">
              <w:t>.</w:t>
            </w:r>
          </w:p>
          <w:p w14:paraId="25E2AF5D" w14:textId="41E4FF22" w:rsidR="004D59CD" w:rsidRPr="00EA1572" w:rsidRDefault="00F34C91" w:rsidP="007452E8">
            <w:pPr>
              <w:rPr>
                <w:szCs w:val="22"/>
              </w:rPr>
            </w:pPr>
            <w:r w:rsidRPr="00EA1572">
              <w:t>Vegzelma</w:t>
            </w:r>
            <w:r w:rsidR="004D59CD" w:rsidRPr="00EA1572">
              <w:t xml:space="preserve"> should be administered under the supervision of a physician experienced in the use of anti-neoplastic medicinal products.</w:t>
            </w:r>
          </w:p>
          <w:p w14:paraId="3D0B2D5C" w14:textId="48C97B06" w:rsidR="00324B33" w:rsidRPr="00BD5DBD" w:rsidRDefault="00324B33" w:rsidP="007452E8">
            <w:pPr>
              <w:rPr>
                <w:szCs w:val="22"/>
              </w:rPr>
            </w:pPr>
            <w:r w:rsidRPr="00EA1572">
              <w:rPr>
                <w:szCs w:val="22"/>
              </w:rPr>
              <w:t xml:space="preserve">For information regarding dosage, </w:t>
            </w:r>
            <w:r w:rsidR="004D59CD" w:rsidRPr="00EA1572">
              <w:rPr>
                <w:szCs w:val="22"/>
              </w:rPr>
              <w:t xml:space="preserve">including </w:t>
            </w:r>
            <w:r w:rsidR="00F34C91" w:rsidRPr="00EA1572">
              <w:rPr>
                <w:szCs w:val="22"/>
              </w:rPr>
              <w:t xml:space="preserve">dose reduction, special populations, and preparation of infusion, </w:t>
            </w:r>
            <w:r w:rsidRPr="00EA1572">
              <w:rPr>
                <w:szCs w:val="22"/>
              </w:rPr>
              <w:t>refer to the Product Information.</w:t>
            </w:r>
          </w:p>
        </w:tc>
      </w:tr>
      <w:tr w:rsidR="0017005C" w:rsidRPr="00BD5DBD" w14:paraId="7B7BB6AE" w14:textId="77777777" w:rsidTr="00F865A7">
        <w:tc>
          <w:tcPr>
            <w:tcW w:w="1577" w:type="pct"/>
          </w:tcPr>
          <w:p w14:paraId="3A76AFF7" w14:textId="7C436DD9" w:rsidR="0017005C" w:rsidRPr="00F34C91" w:rsidRDefault="0070330F" w:rsidP="0017005C">
            <w:r w:rsidRPr="00F34C91">
              <w:rPr>
                <w:i/>
                <w:szCs w:val="22"/>
              </w:rPr>
              <w:t>Pregnancy category:</w:t>
            </w:r>
          </w:p>
        </w:tc>
        <w:tc>
          <w:tcPr>
            <w:tcW w:w="3423" w:type="pct"/>
          </w:tcPr>
          <w:p w14:paraId="7C64AC2E" w14:textId="77777777" w:rsidR="00F34C91" w:rsidRPr="00F34C91" w:rsidRDefault="00F34C91" w:rsidP="007967C3">
            <w:r w:rsidRPr="00F34C91">
              <w:t>D</w:t>
            </w:r>
          </w:p>
          <w:p w14:paraId="7AF9DA6D" w14:textId="62D87E60" w:rsidR="0070330F" w:rsidRPr="00F34C91" w:rsidRDefault="00F34C91" w:rsidP="00F34C91">
            <w:r w:rsidRPr="00F34C91">
              <w:rPr>
                <w:shd w:val="clear" w:color="auto" w:fill="FFFFFF"/>
              </w:rPr>
              <w:t xml:space="preserve">Drugs which have caused, are suspected to have caused or may be expected to cause, an increased incidence of human fetal </w:t>
            </w:r>
            <w:r w:rsidRPr="00F34C91">
              <w:rPr>
                <w:shd w:val="clear" w:color="auto" w:fill="FFFFFF"/>
              </w:rPr>
              <w:lastRenderedPageBreak/>
              <w:t>malformations or irreversible damage. These drugs may also have adverse pharmacological effects. Accompanying texts should be consulted for further details.</w:t>
            </w:r>
          </w:p>
          <w:p w14:paraId="76497789" w14:textId="71267D12" w:rsidR="0017005C" w:rsidRPr="00BD5DBD" w:rsidRDefault="0070330F" w:rsidP="00306E72">
            <w:pPr>
              <w:rPr>
                <w:szCs w:val="22"/>
              </w:rPr>
            </w:pPr>
            <w:r w:rsidRPr="00F34C91">
              <w:rPr>
                <w:szCs w:val="22"/>
              </w:rPr>
              <w:t xml:space="preserve">The use of any medicine during pregnancy requires careful consideration of both risks and benefits by the treating health professional. </w:t>
            </w:r>
            <w:r w:rsidR="00721059" w:rsidRPr="00F34C91">
              <w:rPr>
                <w:szCs w:val="22"/>
              </w:rPr>
              <w:t xml:space="preserve">The </w:t>
            </w:r>
            <w:hyperlink r:id="rId19" w:history="1">
              <w:r w:rsidR="00721059" w:rsidRPr="00F34C91">
                <w:rPr>
                  <w:rStyle w:val="Hyperlink"/>
                  <w:szCs w:val="22"/>
                </w:rPr>
                <w:t>pregnancy database</w:t>
              </w:r>
            </w:hyperlink>
            <w:r w:rsidR="00387984" w:rsidRPr="00F34C91">
              <w:t xml:space="preserve"> </w:t>
            </w:r>
            <w:r w:rsidRPr="00F34C91">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20" w:history="1">
              <w:r w:rsidRPr="00F34C91">
                <w:rPr>
                  <w:rStyle w:val="Hyperlink"/>
                  <w:szCs w:val="22"/>
                </w:rPr>
                <w:t>obstetric drug information services</w:t>
              </w:r>
            </w:hyperlink>
            <w:r w:rsidRPr="00F34C91">
              <w:rPr>
                <w:szCs w:val="22"/>
              </w:rPr>
              <w:t xml:space="preserve"> in your </w:t>
            </w:r>
            <w:r w:rsidR="00306E72" w:rsidRPr="00F34C91">
              <w:rPr>
                <w:szCs w:val="22"/>
              </w:rPr>
              <w:t>s</w:t>
            </w:r>
            <w:r w:rsidRPr="00F34C91">
              <w:rPr>
                <w:szCs w:val="22"/>
              </w:rPr>
              <w:t xml:space="preserve">tate or </w:t>
            </w:r>
            <w:r w:rsidR="00306E72" w:rsidRPr="00F34C91">
              <w:rPr>
                <w:szCs w:val="22"/>
              </w:rPr>
              <w:t>t</w:t>
            </w:r>
            <w:r w:rsidRPr="00F34C91">
              <w:rPr>
                <w:szCs w:val="22"/>
              </w:rPr>
              <w:t>erritory.</w:t>
            </w:r>
          </w:p>
        </w:tc>
      </w:tr>
    </w:tbl>
    <w:p w14:paraId="51F2479F" w14:textId="1E34B277" w:rsidR="00324B33" w:rsidRDefault="00324B33" w:rsidP="00324B33">
      <w:pPr>
        <w:pStyle w:val="Heading3"/>
      </w:pPr>
      <w:bookmarkStart w:id="13" w:name="_Toc247691503"/>
      <w:bookmarkStart w:id="14" w:name="_Toc314842484"/>
      <w:bookmarkStart w:id="15" w:name="_Toc103679290"/>
      <w:bookmarkStart w:id="16" w:name="_Toc156210052"/>
      <w:r>
        <w:lastRenderedPageBreak/>
        <w:t>Product background</w:t>
      </w:r>
      <w:bookmarkEnd w:id="13"/>
      <w:bookmarkEnd w:id="14"/>
      <w:bookmarkEnd w:id="15"/>
      <w:bookmarkEnd w:id="16"/>
    </w:p>
    <w:p w14:paraId="59BF31D1" w14:textId="458295B3" w:rsidR="001500A8" w:rsidRPr="00065839" w:rsidRDefault="00324B33" w:rsidP="00065839">
      <w:r w:rsidRPr="00065839">
        <w:t xml:space="preserve">This AusPAR describes the submission by </w:t>
      </w:r>
      <w:r w:rsidR="00B0367E">
        <w:rPr>
          <w:rFonts w:cs="Cambria"/>
          <w:szCs w:val="22"/>
        </w:rPr>
        <w:t>Celltrion Healthcare Australia Pty Ltd</w:t>
      </w:r>
      <w:r w:rsidR="00B0367E" w:rsidRPr="00065839">
        <w:t xml:space="preserve"> </w:t>
      </w:r>
      <w:r w:rsidRPr="00065839">
        <w:t xml:space="preserve">(the sponsor) to register </w:t>
      </w:r>
      <w:r w:rsidR="00CF50D5" w:rsidRPr="00CF50D5">
        <w:t>V</w:t>
      </w:r>
      <w:r w:rsidR="00CF50D5">
        <w:t>egzelma (</w:t>
      </w:r>
      <w:r w:rsidR="00CF50D5" w:rsidRPr="00CF50D5">
        <w:t>bevacizumab</w:t>
      </w:r>
      <w:r w:rsidR="00CF50D5">
        <w:t>)</w:t>
      </w:r>
      <w:r w:rsidR="00CF50D5" w:rsidRPr="00CF50D5">
        <w:t xml:space="preserve"> 100</w:t>
      </w:r>
      <w:r w:rsidR="00CF50D5">
        <w:t> </w:t>
      </w:r>
      <w:r w:rsidR="00CF50D5" w:rsidRPr="00CF50D5">
        <w:t>mg/4</w:t>
      </w:r>
      <w:r w:rsidR="00CF50D5">
        <w:t> </w:t>
      </w:r>
      <w:r w:rsidR="00CF50D5" w:rsidRPr="00CF50D5">
        <w:t xml:space="preserve">mL </w:t>
      </w:r>
      <w:r w:rsidR="00CF50D5">
        <w:t xml:space="preserve">and 400 mg/16 mL </w:t>
      </w:r>
      <w:r w:rsidR="00CF50D5" w:rsidRPr="00CF50D5">
        <w:t>solution for intravenous infusion</w:t>
      </w:r>
      <w:r w:rsidR="00CF50D5">
        <w:t xml:space="preserve"> in</w:t>
      </w:r>
      <w:r w:rsidR="00CF50D5" w:rsidRPr="00CF50D5">
        <w:t xml:space="preserve"> vial</w:t>
      </w:r>
      <w:r w:rsidR="00CF50D5">
        <w:t>s</w:t>
      </w:r>
      <w:r w:rsidRPr="00065839">
        <w:t xml:space="preserve"> for the following proposed indication</w:t>
      </w:r>
      <w:r w:rsidR="00B0367E">
        <w:t>s</w:t>
      </w:r>
      <w:r w:rsidRPr="00065839">
        <w:t>:</w:t>
      </w:r>
      <w:r w:rsidR="00D63760" w:rsidRPr="00065839">
        <w:rPr>
          <w:vertAlign w:val="superscript"/>
        </w:rPr>
        <w:footnoteReference w:id="1"/>
      </w:r>
    </w:p>
    <w:p w14:paraId="04053DA2" w14:textId="77777777" w:rsidR="00CF50D5" w:rsidRPr="00461754" w:rsidRDefault="00CF50D5" w:rsidP="00CF50D5">
      <w:pPr>
        <w:ind w:left="720"/>
        <w:rPr>
          <w:b/>
          <w:bCs/>
          <w:i/>
          <w:iCs/>
          <w:szCs w:val="22"/>
        </w:rPr>
      </w:pPr>
      <w:r w:rsidRPr="00461754">
        <w:rPr>
          <w:b/>
          <w:bCs/>
          <w:i/>
          <w:iCs/>
          <w:szCs w:val="22"/>
        </w:rPr>
        <w:t>Metastatic Colorectal Cancer</w:t>
      </w:r>
    </w:p>
    <w:p w14:paraId="581A269F" w14:textId="77777777" w:rsidR="00CF50D5" w:rsidRPr="00461754" w:rsidRDefault="00CF50D5" w:rsidP="00CF50D5">
      <w:pPr>
        <w:ind w:left="720"/>
        <w:rPr>
          <w:i/>
          <w:iCs/>
          <w:szCs w:val="22"/>
        </w:rPr>
      </w:pPr>
      <w:r w:rsidRPr="00461754">
        <w:rPr>
          <w:i/>
          <w:iCs/>
          <w:szCs w:val="22"/>
        </w:rPr>
        <w:t>Vegzelma (bevacizumab) in combination with fluoropyrimidine-based chemotherapy is indicated for the treatment of patients with metastatic colorectal cancer.</w:t>
      </w:r>
    </w:p>
    <w:p w14:paraId="7E48997E" w14:textId="77777777" w:rsidR="00CF50D5" w:rsidRPr="00461754" w:rsidRDefault="00CF50D5" w:rsidP="00CF50D5">
      <w:pPr>
        <w:ind w:left="720"/>
        <w:rPr>
          <w:b/>
          <w:bCs/>
          <w:i/>
          <w:iCs/>
          <w:szCs w:val="22"/>
        </w:rPr>
      </w:pPr>
      <w:r w:rsidRPr="00461754">
        <w:rPr>
          <w:b/>
          <w:bCs/>
          <w:i/>
          <w:iCs/>
          <w:szCs w:val="22"/>
        </w:rPr>
        <w:t>Locally recurrent or metastatic Breast Cancer</w:t>
      </w:r>
    </w:p>
    <w:p w14:paraId="42358104" w14:textId="77777777" w:rsidR="00CF50D5" w:rsidRPr="00461754" w:rsidRDefault="00CF50D5" w:rsidP="00CF50D5">
      <w:pPr>
        <w:ind w:left="720"/>
        <w:rPr>
          <w:i/>
          <w:iCs/>
          <w:szCs w:val="22"/>
        </w:rPr>
      </w:pPr>
      <w:r w:rsidRPr="00461754">
        <w:rPr>
          <w:i/>
          <w:iCs/>
          <w:szCs w:val="22"/>
        </w:rPr>
        <w:t>Vegzelma (bevacizumab) in combination with paclitaxel is indicated for the first-line treatment of metastatic breast cancer in patients in whom an anthracycline-based therapy is contraindicated. (</w:t>
      </w:r>
      <w:proofErr w:type="gramStart"/>
      <w:r w:rsidRPr="00461754">
        <w:rPr>
          <w:i/>
          <w:iCs/>
          <w:szCs w:val="22"/>
        </w:rPr>
        <w:t>see</w:t>
      </w:r>
      <w:proofErr w:type="gramEnd"/>
      <w:r w:rsidRPr="00461754">
        <w:rPr>
          <w:i/>
          <w:iCs/>
          <w:szCs w:val="22"/>
        </w:rPr>
        <w:t xml:space="preserve"> Section 5.1 Clinical Trials).</w:t>
      </w:r>
    </w:p>
    <w:p w14:paraId="19A3553D" w14:textId="77777777" w:rsidR="00CF50D5" w:rsidRPr="00461754" w:rsidRDefault="00CF50D5" w:rsidP="00CF50D5">
      <w:pPr>
        <w:ind w:left="720"/>
        <w:rPr>
          <w:b/>
          <w:bCs/>
          <w:i/>
          <w:iCs/>
          <w:szCs w:val="22"/>
        </w:rPr>
      </w:pPr>
      <w:r w:rsidRPr="00461754">
        <w:rPr>
          <w:b/>
          <w:bCs/>
          <w:i/>
          <w:iCs/>
          <w:szCs w:val="22"/>
        </w:rPr>
        <w:t xml:space="preserve">Advanced, </w:t>
      </w:r>
      <w:proofErr w:type="gramStart"/>
      <w:r w:rsidRPr="00461754">
        <w:rPr>
          <w:b/>
          <w:bCs/>
          <w:i/>
          <w:iCs/>
          <w:szCs w:val="22"/>
        </w:rPr>
        <w:t>metastatic</w:t>
      </w:r>
      <w:proofErr w:type="gramEnd"/>
      <w:r w:rsidRPr="00461754">
        <w:rPr>
          <w:b/>
          <w:bCs/>
          <w:i/>
          <w:iCs/>
          <w:szCs w:val="22"/>
        </w:rPr>
        <w:t xml:space="preserve"> or recurrent non-squamous Non-Small Cell Lung Cancer (NSCLC)</w:t>
      </w:r>
    </w:p>
    <w:p w14:paraId="2A09D662" w14:textId="77777777" w:rsidR="00CF50D5" w:rsidRPr="00461754" w:rsidRDefault="00CF50D5" w:rsidP="00CF50D5">
      <w:pPr>
        <w:ind w:left="720"/>
        <w:rPr>
          <w:i/>
          <w:iCs/>
          <w:szCs w:val="22"/>
        </w:rPr>
      </w:pPr>
      <w:r w:rsidRPr="00461754">
        <w:rPr>
          <w:i/>
          <w:iCs/>
          <w:szCs w:val="22"/>
        </w:rPr>
        <w:t xml:space="preserve">Vegzelma (bevacizumab), in combination with carboplatin and paclitaxel, is indicated for first-line treatment of patients with unresectable advanced, </w:t>
      </w:r>
      <w:proofErr w:type="gramStart"/>
      <w:r w:rsidRPr="00461754">
        <w:rPr>
          <w:i/>
          <w:iCs/>
          <w:szCs w:val="22"/>
        </w:rPr>
        <w:t>metastatic</w:t>
      </w:r>
      <w:proofErr w:type="gramEnd"/>
      <w:r w:rsidRPr="00461754">
        <w:rPr>
          <w:i/>
          <w:iCs/>
          <w:szCs w:val="22"/>
        </w:rPr>
        <w:t xml:space="preserve"> or recurrent, non-squamous, non- small cell lung cancer.</w:t>
      </w:r>
    </w:p>
    <w:p w14:paraId="5672438B" w14:textId="77777777" w:rsidR="00CF50D5" w:rsidRPr="00461754" w:rsidRDefault="00CF50D5" w:rsidP="00CF50D5">
      <w:pPr>
        <w:ind w:left="720"/>
        <w:rPr>
          <w:b/>
          <w:bCs/>
          <w:i/>
          <w:iCs/>
          <w:szCs w:val="22"/>
        </w:rPr>
      </w:pPr>
      <w:r w:rsidRPr="00461754">
        <w:rPr>
          <w:b/>
          <w:bCs/>
          <w:i/>
          <w:iCs/>
          <w:szCs w:val="22"/>
        </w:rPr>
        <w:t>Advanced and/or metastatic Renal Cell Cancer</w:t>
      </w:r>
    </w:p>
    <w:p w14:paraId="78961272" w14:textId="77777777" w:rsidR="00CF50D5" w:rsidRPr="00461754" w:rsidRDefault="00CF50D5" w:rsidP="00CF50D5">
      <w:pPr>
        <w:ind w:left="720"/>
        <w:rPr>
          <w:i/>
          <w:iCs/>
          <w:szCs w:val="22"/>
        </w:rPr>
      </w:pPr>
      <w:r w:rsidRPr="00461754">
        <w:rPr>
          <w:i/>
          <w:iCs/>
          <w:szCs w:val="22"/>
        </w:rPr>
        <w:t>Vegzelma (bevacizumab) in combination with interferon alfa-2a is indicated for treatment of patients with advanced and/or metastatic renal cell cancer.</w:t>
      </w:r>
    </w:p>
    <w:p w14:paraId="304E8F49" w14:textId="77777777" w:rsidR="00CF50D5" w:rsidRPr="00461754" w:rsidRDefault="00CF50D5" w:rsidP="00CF50D5">
      <w:pPr>
        <w:ind w:left="720"/>
        <w:rPr>
          <w:b/>
          <w:bCs/>
          <w:i/>
          <w:iCs/>
          <w:szCs w:val="22"/>
        </w:rPr>
      </w:pPr>
      <w:r w:rsidRPr="00461754">
        <w:rPr>
          <w:b/>
          <w:bCs/>
          <w:i/>
          <w:iCs/>
          <w:szCs w:val="22"/>
        </w:rPr>
        <w:t>Grade IV Glioma</w:t>
      </w:r>
    </w:p>
    <w:p w14:paraId="50DB9E56" w14:textId="77777777" w:rsidR="00CF50D5" w:rsidRPr="00461754" w:rsidRDefault="00CF50D5" w:rsidP="00CF50D5">
      <w:pPr>
        <w:ind w:left="720"/>
        <w:rPr>
          <w:i/>
          <w:iCs/>
          <w:szCs w:val="22"/>
        </w:rPr>
      </w:pPr>
      <w:r w:rsidRPr="00461754">
        <w:rPr>
          <w:i/>
          <w:iCs/>
          <w:szCs w:val="22"/>
        </w:rPr>
        <w:t>Vegzelma (bevacizumab) as a single agent, is indicated for the treatment of patients with Grade IV glioma after relapse or disease progression after standard therapy, including chemotherapy.</w:t>
      </w:r>
    </w:p>
    <w:p w14:paraId="145639A3" w14:textId="77777777" w:rsidR="00CF50D5" w:rsidRPr="00461754" w:rsidRDefault="00CF50D5" w:rsidP="00CF50D5">
      <w:pPr>
        <w:ind w:left="720"/>
        <w:rPr>
          <w:b/>
          <w:bCs/>
          <w:i/>
          <w:iCs/>
          <w:szCs w:val="22"/>
        </w:rPr>
      </w:pPr>
      <w:r w:rsidRPr="00461754">
        <w:rPr>
          <w:b/>
          <w:bCs/>
          <w:i/>
          <w:iCs/>
          <w:szCs w:val="22"/>
        </w:rPr>
        <w:t>Epithelial Ovarian, Fallopian Tube or Primary Peritoneal Cancer</w:t>
      </w:r>
    </w:p>
    <w:p w14:paraId="4AEDE760" w14:textId="77777777" w:rsidR="00CF50D5" w:rsidRPr="00461754" w:rsidRDefault="00CF50D5" w:rsidP="00CF50D5">
      <w:pPr>
        <w:ind w:left="720"/>
        <w:rPr>
          <w:i/>
          <w:iCs/>
          <w:szCs w:val="22"/>
        </w:rPr>
      </w:pPr>
      <w:r w:rsidRPr="00461754">
        <w:rPr>
          <w:i/>
          <w:iCs/>
          <w:szCs w:val="22"/>
        </w:rPr>
        <w:t>Vegzelma (bevacizumab) in combination with carboplatin and paclitaxel, is indicated for first-line treatment of patients with advanced (FIGO stages IIIB, IIIC and IV) epithelial ovarian, fallopian tube, or primary peritoneal cancer.</w:t>
      </w:r>
    </w:p>
    <w:p w14:paraId="23D21A74" w14:textId="77777777" w:rsidR="00CF50D5" w:rsidRPr="00461754" w:rsidRDefault="00CF50D5" w:rsidP="00CF50D5">
      <w:pPr>
        <w:ind w:left="720"/>
        <w:rPr>
          <w:b/>
          <w:bCs/>
          <w:i/>
          <w:iCs/>
          <w:szCs w:val="22"/>
        </w:rPr>
      </w:pPr>
      <w:r w:rsidRPr="00461754">
        <w:rPr>
          <w:b/>
          <w:bCs/>
          <w:i/>
          <w:iCs/>
          <w:szCs w:val="22"/>
        </w:rPr>
        <w:t>Recurrent Epithelial Ovarian, Fallopian Tube or Primary Peritoneal Cancer</w:t>
      </w:r>
    </w:p>
    <w:p w14:paraId="4E4DA00B" w14:textId="77777777" w:rsidR="00CF50D5" w:rsidRPr="00461754" w:rsidRDefault="00CF50D5" w:rsidP="00CF50D5">
      <w:pPr>
        <w:ind w:left="720"/>
        <w:rPr>
          <w:i/>
          <w:iCs/>
          <w:szCs w:val="22"/>
        </w:rPr>
      </w:pPr>
      <w:r w:rsidRPr="00461754">
        <w:rPr>
          <w:i/>
          <w:iCs/>
          <w:szCs w:val="22"/>
        </w:rPr>
        <w:lastRenderedPageBreak/>
        <w:t xml:space="preserve">Vegzelma (bevacizumab), in combination with carboplatin and paclitaxel or in combination with carboplatin and gemcitabine, is indicated for the treatment of patients with first recurrence of </w:t>
      </w:r>
      <w:r w:rsidRPr="00CF50D5">
        <w:rPr>
          <w:b/>
          <w:bCs/>
          <w:i/>
          <w:iCs/>
          <w:szCs w:val="22"/>
        </w:rPr>
        <w:t>platinum-sensitive</w:t>
      </w:r>
      <w:r w:rsidRPr="00461754">
        <w:rPr>
          <w:i/>
          <w:iCs/>
          <w:szCs w:val="22"/>
        </w:rPr>
        <w:t>, epithelial ovarian, fallopian tube, or primary peritoneal cancer who have not received prior bevacizumab or other VEGF targeted angiogenesis inhibitors.</w:t>
      </w:r>
    </w:p>
    <w:p w14:paraId="13019FEA" w14:textId="77777777" w:rsidR="00CF50D5" w:rsidRPr="00461754" w:rsidRDefault="00CF50D5" w:rsidP="00CF50D5">
      <w:pPr>
        <w:ind w:left="720"/>
        <w:rPr>
          <w:i/>
          <w:iCs/>
          <w:szCs w:val="22"/>
        </w:rPr>
      </w:pPr>
      <w:r w:rsidRPr="00461754">
        <w:rPr>
          <w:i/>
          <w:iCs/>
          <w:szCs w:val="22"/>
        </w:rPr>
        <w:t xml:space="preserve">Vegzelma (bevacizumab) in combination with paclitaxel, topotecan or pegylated liposomal doxorubicin is indicated for the treatment of patients with recurrent, platinum-resistant epithelial ovarian, fallopian tube, or primary peritoneal cancer who have received no more than two prior chemotherapy </w:t>
      </w:r>
      <w:proofErr w:type="gramStart"/>
      <w:r w:rsidRPr="00461754">
        <w:rPr>
          <w:i/>
          <w:iCs/>
          <w:szCs w:val="22"/>
        </w:rPr>
        <w:t>regimens, and</w:t>
      </w:r>
      <w:proofErr w:type="gramEnd"/>
      <w:r w:rsidRPr="00461754">
        <w:rPr>
          <w:i/>
          <w:iCs/>
          <w:szCs w:val="22"/>
        </w:rPr>
        <w:t xml:space="preserve"> have not received any prior anti-angiogenic therapy including bevacizumab.</w:t>
      </w:r>
    </w:p>
    <w:p w14:paraId="40608649" w14:textId="77777777" w:rsidR="00CF50D5" w:rsidRPr="00461754" w:rsidRDefault="00CF50D5" w:rsidP="00CF50D5">
      <w:pPr>
        <w:ind w:left="720"/>
        <w:rPr>
          <w:b/>
          <w:bCs/>
          <w:i/>
          <w:iCs/>
          <w:szCs w:val="22"/>
        </w:rPr>
      </w:pPr>
      <w:r w:rsidRPr="00461754">
        <w:rPr>
          <w:b/>
          <w:bCs/>
          <w:i/>
          <w:iCs/>
          <w:szCs w:val="22"/>
        </w:rPr>
        <w:t>Cervical Cancer</w:t>
      </w:r>
    </w:p>
    <w:p w14:paraId="5DD7CB0A" w14:textId="42C2DAFC" w:rsidR="009032CA" w:rsidRDefault="00CF50D5" w:rsidP="00CF50D5">
      <w:pPr>
        <w:ind w:left="720"/>
        <w:rPr>
          <w:i/>
          <w:color w:val="007099"/>
        </w:rPr>
      </w:pPr>
      <w:r w:rsidRPr="00461754">
        <w:rPr>
          <w:i/>
          <w:iCs/>
          <w:szCs w:val="22"/>
        </w:rPr>
        <w:t xml:space="preserve">Vegzelma (bevacizumab) in combination with paclitaxel and cisplatin is indicated for the treatment of persistent, </w:t>
      </w:r>
      <w:proofErr w:type="gramStart"/>
      <w:r w:rsidRPr="00461754">
        <w:rPr>
          <w:i/>
          <w:iCs/>
          <w:szCs w:val="22"/>
        </w:rPr>
        <w:t>recurrent</w:t>
      </w:r>
      <w:proofErr w:type="gramEnd"/>
      <w:r w:rsidRPr="00461754">
        <w:rPr>
          <w:i/>
          <w:iCs/>
          <w:szCs w:val="22"/>
        </w:rPr>
        <w:t xml:space="preserve"> or metastatic carcinoma of the cervix. Vegzelma (bevacizumab) in combination with paclitaxel and topotecan is an acceptable alternative where cisplatin is not tolerated or not indicated.</w:t>
      </w:r>
    </w:p>
    <w:p w14:paraId="708D0033" w14:textId="513A3227" w:rsidR="009032CA" w:rsidRDefault="00D4307B" w:rsidP="009032CA">
      <w:pPr>
        <w:rPr>
          <w:b/>
          <w:bCs/>
          <w:lang w:val="en-US"/>
        </w:rPr>
      </w:pPr>
      <w:r w:rsidRPr="007C62BC">
        <w:rPr>
          <w:szCs w:val="22"/>
        </w:rPr>
        <w:t>Vegzelma</w:t>
      </w:r>
      <w:r w:rsidRPr="007C62BC">
        <w:t xml:space="preserve"> (</w:t>
      </w:r>
      <w:r w:rsidR="007C62BC">
        <w:t>b</w:t>
      </w:r>
      <w:r w:rsidR="009032CA" w:rsidRPr="003375A7">
        <w:t>evacizumab</w:t>
      </w:r>
      <w:r>
        <w:t>)</w:t>
      </w:r>
      <w:r w:rsidR="009032CA" w:rsidRPr="003375A7">
        <w:t xml:space="preserve"> is a recombinant humanised monoclonal antibody that binds specifically to all</w:t>
      </w:r>
      <w:r w:rsidR="009032CA">
        <w:t xml:space="preserve"> </w:t>
      </w:r>
      <w:r w:rsidR="009032CA" w:rsidRPr="003375A7">
        <w:t>soluble forms of human vascular endothelial growth factor (VEGF), neutralising its biological</w:t>
      </w:r>
      <w:r w:rsidR="009032CA">
        <w:t xml:space="preserve"> </w:t>
      </w:r>
      <w:r w:rsidR="009032CA" w:rsidRPr="003375A7">
        <w:t>activity and acting as an anti-neoplastic agent.</w:t>
      </w:r>
      <w:r w:rsidR="009032CA">
        <w:t xml:space="preserve"> </w:t>
      </w:r>
      <w:r w:rsidR="009032CA" w:rsidRPr="003375A7">
        <w:t>Neutralising the biological</w:t>
      </w:r>
      <w:r w:rsidR="009032CA">
        <w:t xml:space="preserve"> </w:t>
      </w:r>
      <w:r w:rsidR="009032CA" w:rsidRPr="003375A7">
        <w:t>activity of VEGF</w:t>
      </w:r>
      <w:r w:rsidR="00F31963">
        <w:t xml:space="preserve">, </w:t>
      </w:r>
      <w:r w:rsidR="00F31963" w:rsidRPr="003375A7">
        <w:t>the key driver of</w:t>
      </w:r>
      <w:r w:rsidR="00F31963">
        <w:t xml:space="preserve"> </w:t>
      </w:r>
      <w:r w:rsidR="00F31963" w:rsidRPr="003375A7">
        <w:t>vasculogenesis and angiogenesis</w:t>
      </w:r>
      <w:r w:rsidR="00F31963">
        <w:t xml:space="preserve">, </w:t>
      </w:r>
      <w:r w:rsidR="009032CA" w:rsidRPr="003375A7">
        <w:t>regresses the vascularisation of tumours, normalises remaining tumour</w:t>
      </w:r>
      <w:r w:rsidR="009032CA">
        <w:t xml:space="preserve"> </w:t>
      </w:r>
      <w:r w:rsidR="009032CA" w:rsidRPr="003375A7">
        <w:t>vasculature, and inhibits the formation of new tumour vasculature, thereby inhibiting tumour</w:t>
      </w:r>
      <w:r w:rsidR="009032CA">
        <w:t xml:space="preserve"> </w:t>
      </w:r>
      <w:r w:rsidR="009032CA" w:rsidRPr="003375A7">
        <w:t>growth.</w:t>
      </w:r>
    </w:p>
    <w:p w14:paraId="6CA9F1A9" w14:textId="7AE064E3" w:rsidR="006B23EF" w:rsidRDefault="009032CA" w:rsidP="009032CA">
      <w:pPr>
        <w:rPr>
          <w:lang w:val="en-US"/>
        </w:rPr>
      </w:pPr>
      <w:r>
        <w:rPr>
          <w:lang w:val="en-US"/>
        </w:rPr>
        <w:t>The proposed indications are the same as those approved for the innovator product, A</w:t>
      </w:r>
      <w:r w:rsidR="00F31963">
        <w:rPr>
          <w:lang w:val="en-US"/>
        </w:rPr>
        <w:t>vastin</w:t>
      </w:r>
      <w:r>
        <w:rPr>
          <w:lang w:val="en-US"/>
        </w:rPr>
        <w:t>.</w:t>
      </w:r>
      <w:r w:rsidR="00F31963">
        <w:rPr>
          <w:rStyle w:val="FootnoteReference"/>
          <w:lang w:val="en-US"/>
        </w:rPr>
        <w:footnoteReference w:id="2"/>
      </w:r>
    </w:p>
    <w:p w14:paraId="68E01924" w14:textId="49541390" w:rsidR="00F27779" w:rsidRPr="00B0367E" w:rsidRDefault="00F27779" w:rsidP="00CB6813">
      <w:pPr>
        <w:rPr>
          <w:i/>
        </w:rPr>
      </w:pPr>
      <w:bookmarkStart w:id="17" w:name="_Toc314842485"/>
      <w:bookmarkStart w:id="18" w:name="_Toc247691504"/>
      <w:r>
        <w:t xml:space="preserve">With </w:t>
      </w:r>
      <w:r w:rsidR="00770014">
        <w:t xml:space="preserve">the expiry of the </w:t>
      </w:r>
      <w:r>
        <w:t xml:space="preserve">patent </w:t>
      </w:r>
      <w:r w:rsidR="00770014">
        <w:t xml:space="preserve">for bevacizumab </w:t>
      </w:r>
      <w:r>
        <w:t xml:space="preserve">there are </w:t>
      </w:r>
      <w:r w:rsidR="00770014">
        <w:t xml:space="preserve">now </w:t>
      </w:r>
      <w:r w:rsidR="00143D18">
        <w:t xml:space="preserve">several </w:t>
      </w:r>
      <w:hyperlink r:id="rId21" w:history="1">
        <w:r w:rsidR="00143D18">
          <w:rPr>
            <w:rStyle w:val="Hyperlink"/>
          </w:rPr>
          <w:t>biosimilar medicines</w:t>
        </w:r>
      </w:hyperlink>
      <w:r w:rsidR="00143D18">
        <w:t xml:space="preserve"> </w:t>
      </w:r>
      <w:r>
        <w:t xml:space="preserve">of </w:t>
      </w:r>
      <w:r w:rsidRPr="00B0367E">
        <w:t xml:space="preserve">bevacizumab </w:t>
      </w:r>
      <w:r w:rsidR="00860445" w:rsidRPr="00B0367E">
        <w:t xml:space="preserve">registered </w:t>
      </w:r>
      <w:r w:rsidRPr="00B0367E">
        <w:t xml:space="preserve">in </w:t>
      </w:r>
      <w:r w:rsidR="00860445" w:rsidRPr="00B0367E">
        <w:t>the ARTG.</w:t>
      </w:r>
    </w:p>
    <w:p w14:paraId="0D615854" w14:textId="77777777" w:rsidR="00324B33" w:rsidRPr="003F31A2" w:rsidRDefault="00324B33" w:rsidP="00324B33">
      <w:pPr>
        <w:pStyle w:val="Heading3"/>
      </w:pPr>
      <w:bookmarkStart w:id="19" w:name="_Toc103679291"/>
      <w:bookmarkStart w:id="20" w:name="_Toc156210053"/>
      <w:r>
        <w:t>Regulatory status</w:t>
      </w:r>
      <w:bookmarkEnd w:id="17"/>
      <w:bookmarkEnd w:id="18"/>
      <w:bookmarkEnd w:id="19"/>
      <w:bookmarkEnd w:id="20"/>
    </w:p>
    <w:p w14:paraId="72C889D6" w14:textId="7E200950" w:rsidR="0017005C" w:rsidRPr="00BD5DBD" w:rsidRDefault="0017005C" w:rsidP="00741AB9">
      <w:pPr>
        <w:pStyle w:val="Heading4"/>
      </w:pPr>
      <w:bookmarkStart w:id="21" w:name="_Toc156210054"/>
      <w:r w:rsidRPr="00BD5DBD">
        <w:t>Australian regulatory</w:t>
      </w:r>
      <w:r>
        <w:t xml:space="preserve"> sta</w:t>
      </w:r>
      <w:r w:rsidR="0025785B">
        <w:t>t</w:t>
      </w:r>
      <w:r>
        <w:t>us</w:t>
      </w:r>
      <w:bookmarkEnd w:id="21"/>
    </w:p>
    <w:p w14:paraId="6A8633FA" w14:textId="5162EC68" w:rsidR="00324B33" w:rsidRDefault="00324B33" w:rsidP="00324B33">
      <w:pPr>
        <w:rPr>
          <w:szCs w:val="22"/>
        </w:rPr>
      </w:pPr>
      <w:r w:rsidRPr="00BD5DBD">
        <w:rPr>
          <w:szCs w:val="22"/>
        </w:rPr>
        <w:t>This product is considered a new biosimilar medicine for Australian regulatory purposes.</w:t>
      </w:r>
    </w:p>
    <w:p w14:paraId="79EC0762" w14:textId="742B8EDD" w:rsidR="00C133AB" w:rsidRDefault="00C133AB" w:rsidP="00C52B7B">
      <w:pPr>
        <w:rPr>
          <w:szCs w:val="22"/>
        </w:rPr>
      </w:pPr>
      <w:r w:rsidRPr="00BD5DBD">
        <w:rPr>
          <w:szCs w:val="22"/>
        </w:rPr>
        <w:t xml:space="preserve">This submission was submitted through the TGA’s </w:t>
      </w:r>
      <w:hyperlink r:id="rId22" w:history="1">
        <w:r w:rsidRPr="00BD5DBD">
          <w:rPr>
            <w:rStyle w:val="Hyperlink"/>
            <w:szCs w:val="22"/>
          </w:rPr>
          <w:t>Comparable Overseas Regulator</w:t>
        </w:r>
      </w:hyperlink>
      <w:r w:rsidRPr="00BD5DBD">
        <w:rPr>
          <w:szCs w:val="22"/>
        </w:rPr>
        <w:t xml:space="preserve"> </w:t>
      </w:r>
      <w:r w:rsidRPr="00B0367E">
        <w:rPr>
          <w:szCs w:val="22"/>
        </w:rPr>
        <w:t>B (COR-B)</w:t>
      </w:r>
      <w:r w:rsidRPr="00BD5DBD">
        <w:rPr>
          <w:szCs w:val="22"/>
        </w:rPr>
        <w:t xml:space="preserve"> process, using evaluation reports from </w:t>
      </w:r>
      <w:r w:rsidR="006B23EF">
        <w:rPr>
          <w:szCs w:val="22"/>
        </w:rPr>
        <w:t>the European Medicines Agency (EMA).</w:t>
      </w:r>
    </w:p>
    <w:p w14:paraId="4EF17E89" w14:textId="12FF8904" w:rsidR="0099479C" w:rsidRPr="0099479C" w:rsidRDefault="0099479C" w:rsidP="0099479C">
      <w:r w:rsidRPr="0099479C">
        <w:t xml:space="preserve">For COR report-based applications indications must be equivalent, but not necessarily identical. Acceptable differences between the approved and proposed indication are limited to minor changes in the wording or minor differences in expression, </w:t>
      </w:r>
      <w:proofErr w:type="gramStart"/>
      <w:r w:rsidRPr="0099479C">
        <w:t>as long as</w:t>
      </w:r>
      <w:proofErr w:type="gramEnd"/>
      <w:r w:rsidRPr="0099479C">
        <w:t xml:space="preserve"> the text describes the same dosing range, patient </w:t>
      </w:r>
      <w:r w:rsidR="003E0D9C" w:rsidRPr="0099479C">
        <w:t>population,</w:t>
      </w:r>
      <w:r w:rsidRPr="0099479C">
        <w:t xml:space="preserve"> and outcome. For a biosimilar product such as Vegzelma, the proposed indication must be identical to the indication approved for the originator in Australia.</w:t>
      </w:r>
    </w:p>
    <w:p w14:paraId="5433B22A" w14:textId="70380DF4" w:rsidR="0099479C" w:rsidRDefault="0099479C" w:rsidP="0099479C">
      <w:r w:rsidRPr="00ED1478">
        <w:t xml:space="preserve">In this case Vegzelma is not approved for use in Grade IV Glioma in the European Union but </w:t>
      </w:r>
      <w:r w:rsidR="00ED1478" w:rsidRPr="00ED1478">
        <w:t>the innovator product Avastin is</w:t>
      </w:r>
      <w:r w:rsidRPr="00ED1478">
        <w:t xml:space="preserve"> approved for th</w:t>
      </w:r>
      <w:r w:rsidR="00ED1478" w:rsidRPr="00ED1478">
        <w:t xml:space="preserve">is indication </w:t>
      </w:r>
      <w:r w:rsidRPr="00ED1478">
        <w:t>in Australia</w:t>
      </w:r>
      <w:r w:rsidR="00ED1478" w:rsidRPr="00ED1478">
        <w:t xml:space="preserve">. </w:t>
      </w:r>
      <w:r w:rsidRPr="00ED1478">
        <w:t xml:space="preserve">Grade IV Glioma was proposed to be indicated for Vegzelma in </w:t>
      </w:r>
      <w:r w:rsidR="00ED1478" w:rsidRPr="00ED1478">
        <w:t xml:space="preserve">Australia. </w:t>
      </w:r>
      <w:r w:rsidRPr="00ED1478">
        <w:t>The sponsor was asked to justify th</w:t>
      </w:r>
      <w:r w:rsidR="00ED1478" w:rsidRPr="00ED1478">
        <w:t>e omission in Europe.</w:t>
      </w:r>
      <w:r w:rsidRPr="00ED1478">
        <w:t xml:space="preserve"> </w:t>
      </w:r>
      <w:r w:rsidR="004C6EA5" w:rsidRPr="00ED1478">
        <w:t>Additionally,</w:t>
      </w:r>
      <w:r w:rsidRPr="00ED1478">
        <w:t xml:space="preserve"> there are minor dosing differences for the advanced, </w:t>
      </w:r>
      <w:proofErr w:type="gramStart"/>
      <w:r w:rsidRPr="00ED1478">
        <w:lastRenderedPageBreak/>
        <w:t>metastatic</w:t>
      </w:r>
      <w:proofErr w:type="gramEnd"/>
      <w:r w:rsidRPr="00ED1478">
        <w:t xml:space="preserve"> or recurrent </w:t>
      </w:r>
      <w:r w:rsidR="00461754" w:rsidRPr="00ED1478">
        <w:t>non-squamous non-small cell lung cancer (nsNSCLC)</w:t>
      </w:r>
      <w:r w:rsidRPr="00ED1478">
        <w:t xml:space="preserve"> indication: the recommended</w:t>
      </w:r>
      <w:r w:rsidRPr="0099479C">
        <w:t xml:space="preserve"> dose of Vegzelma is 7.5</w:t>
      </w:r>
      <w:r>
        <w:t> </w:t>
      </w:r>
      <w:r w:rsidRPr="0099479C">
        <w:t>mg/kg or 15</w:t>
      </w:r>
      <w:r>
        <w:t> </w:t>
      </w:r>
      <w:r w:rsidRPr="0099479C">
        <w:t xml:space="preserve">mg/kg every 3 weeks in the EU </w:t>
      </w:r>
      <w:r>
        <w:t>compared with</w:t>
      </w:r>
      <w:r w:rsidRPr="0099479C">
        <w:t xml:space="preserve"> 15</w:t>
      </w:r>
      <w:r>
        <w:t> </w:t>
      </w:r>
      <w:r w:rsidRPr="0099479C">
        <w:t>mg/kg every 3 weeks in Australia.</w:t>
      </w:r>
      <w:r w:rsidR="00ED1478">
        <w:t xml:space="preserve"> </w:t>
      </w:r>
      <w:r w:rsidRPr="0099479C">
        <w:t>Given these differences, the submission did not fully adhere to the administrative requirements of a COR submission, though it was evaluated according to those requirements.</w:t>
      </w:r>
    </w:p>
    <w:p w14:paraId="012B9FFB" w14:textId="77777777" w:rsidR="002D4A8F" w:rsidRDefault="002D4A8F" w:rsidP="002D4A8F">
      <w:pPr>
        <w:pStyle w:val="Heading4"/>
      </w:pPr>
      <w:bookmarkStart w:id="22" w:name="_Toc156210055"/>
      <w:r>
        <w:t>Foreign</w:t>
      </w:r>
      <w:r w:rsidRPr="00BD5DBD">
        <w:t xml:space="preserve"> regulatory</w:t>
      </w:r>
      <w:r>
        <w:t xml:space="preserve"> status</w:t>
      </w:r>
      <w:bookmarkEnd w:id="22"/>
    </w:p>
    <w:p w14:paraId="7FDF4A0B" w14:textId="48FDE6BD" w:rsidR="008F4A62" w:rsidRPr="0017005C" w:rsidRDefault="008F4A62" w:rsidP="008F4A62">
      <w:r w:rsidRPr="00BD5DBD">
        <w:rPr>
          <w:szCs w:val="22"/>
        </w:rPr>
        <w:t xml:space="preserve">At the time the TGA considered this submission, a similar submission had been </w:t>
      </w:r>
      <w:r>
        <w:rPr>
          <w:szCs w:val="22"/>
        </w:rPr>
        <w:t xml:space="preserve">considered by other regulatory agencies. </w:t>
      </w:r>
      <w:r w:rsidRPr="00BD5DBD">
        <w:rPr>
          <w:szCs w:val="22"/>
        </w:rPr>
        <w:t>The following table summarises these submissions and provides the indications where approved.</w:t>
      </w:r>
    </w:p>
    <w:p w14:paraId="19B9E0AC" w14:textId="257A855D" w:rsidR="00324B33" w:rsidRDefault="00324B33" w:rsidP="00324B33">
      <w:pPr>
        <w:pStyle w:val="TableTitle"/>
      </w:pPr>
      <w:bookmarkStart w:id="23" w:name="_Ref99705479"/>
      <w:r>
        <w:t xml:space="preserve">Table </w:t>
      </w:r>
      <w:r w:rsidR="006D24F9">
        <w:fldChar w:fldCharType="begin"/>
      </w:r>
      <w:r w:rsidR="006D24F9">
        <w:instrText xml:space="preserve"> SEQ Table \* ARABIC </w:instrText>
      </w:r>
      <w:r w:rsidR="006D24F9">
        <w:fldChar w:fldCharType="separate"/>
      </w:r>
      <w:r w:rsidR="003E0D9C">
        <w:rPr>
          <w:noProof/>
        </w:rPr>
        <w:t>1</w:t>
      </w:r>
      <w:r w:rsidR="006D24F9">
        <w:rPr>
          <w:noProof/>
        </w:rPr>
        <w:fldChar w:fldCharType="end"/>
      </w:r>
      <w:bookmarkEnd w:id="23"/>
      <w:r>
        <w:t>: International regulatory status</w:t>
      </w:r>
      <w:r w:rsidR="007C62BC">
        <w:t xml:space="preserve"> at the time of TGA approval</w:t>
      </w:r>
    </w:p>
    <w:tbl>
      <w:tblPr>
        <w:tblStyle w:val="TableTGAblue2023"/>
        <w:tblW w:w="5000" w:type="pct"/>
        <w:tblLook w:val="04A0" w:firstRow="1" w:lastRow="0" w:firstColumn="1" w:lastColumn="0" w:noHBand="0" w:noVBand="1"/>
      </w:tblPr>
      <w:tblGrid>
        <w:gridCol w:w="1461"/>
        <w:gridCol w:w="1654"/>
        <w:gridCol w:w="1701"/>
        <w:gridCol w:w="13"/>
        <w:gridCol w:w="4231"/>
      </w:tblGrid>
      <w:tr w:rsidR="007C62BC" w:rsidRPr="00D01DDB" w14:paraId="405E5D78" w14:textId="16839333" w:rsidTr="00D61B58">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806" w:type="pct"/>
          </w:tcPr>
          <w:p w14:paraId="185B099B" w14:textId="7A4C0E6C" w:rsidR="00324B33" w:rsidRPr="00D01DDB" w:rsidRDefault="00324B33" w:rsidP="00324B33">
            <w:pPr>
              <w:rPr>
                <w:szCs w:val="22"/>
              </w:rPr>
            </w:pPr>
            <w:r w:rsidRPr="00D01DDB">
              <w:rPr>
                <w:szCs w:val="22"/>
              </w:rPr>
              <w:t>Region</w:t>
            </w:r>
          </w:p>
        </w:tc>
        <w:tc>
          <w:tcPr>
            <w:tcW w:w="913" w:type="pct"/>
          </w:tcPr>
          <w:p w14:paraId="778C35C7" w14:textId="52D23C8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Submission date</w:t>
            </w:r>
          </w:p>
        </w:tc>
        <w:tc>
          <w:tcPr>
            <w:tcW w:w="946" w:type="pct"/>
            <w:gridSpan w:val="2"/>
          </w:tcPr>
          <w:p w14:paraId="58F81584" w14:textId="66689ABF"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Status</w:t>
            </w:r>
          </w:p>
        </w:tc>
        <w:tc>
          <w:tcPr>
            <w:tcW w:w="2335" w:type="pct"/>
          </w:tcPr>
          <w:p w14:paraId="50B2D435" w14:textId="560588D2"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Approved indications</w:t>
            </w:r>
          </w:p>
        </w:tc>
      </w:tr>
      <w:tr w:rsidR="007C62BC" w:rsidRPr="00D01DDB" w14:paraId="38D24E86" w14:textId="77777777" w:rsidTr="00D61B58">
        <w:trPr>
          <w:cantSplit w:val="0"/>
        </w:trPr>
        <w:tc>
          <w:tcPr>
            <w:cnfStyle w:val="001000000000" w:firstRow="0" w:lastRow="0" w:firstColumn="1" w:lastColumn="0" w:oddVBand="0" w:evenVBand="0" w:oddHBand="0" w:evenHBand="0" w:firstRowFirstColumn="0" w:firstRowLastColumn="0" w:lastRowFirstColumn="0" w:lastRowLastColumn="0"/>
            <w:tcW w:w="806" w:type="pct"/>
          </w:tcPr>
          <w:p w14:paraId="4C540DE5" w14:textId="5B5A72B8" w:rsidR="00324B33" w:rsidRPr="00D01DDB" w:rsidRDefault="006B23EF" w:rsidP="00324B33">
            <w:pPr>
              <w:rPr>
                <w:szCs w:val="22"/>
              </w:rPr>
            </w:pPr>
            <w:r>
              <w:rPr>
                <w:szCs w:val="22"/>
              </w:rPr>
              <w:t>European Union</w:t>
            </w:r>
          </w:p>
        </w:tc>
        <w:tc>
          <w:tcPr>
            <w:tcW w:w="913" w:type="pct"/>
          </w:tcPr>
          <w:p w14:paraId="4FA5DDA9" w14:textId="0C9C1AEC" w:rsidR="00324B33" w:rsidRPr="00D01DDB" w:rsidRDefault="00CF50D5"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20 January 2022</w:t>
            </w:r>
          </w:p>
        </w:tc>
        <w:tc>
          <w:tcPr>
            <w:tcW w:w="946" w:type="pct"/>
            <w:gridSpan w:val="2"/>
          </w:tcPr>
          <w:p w14:paraId="29358393" w14:textId="23C375E6"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 xml:space="preserve">Approved on </w:t>
            </w:r>
            <w:r w:rsidR="006B23EF">
              <w:rPr>
                <w:szCs w:val="22"/>
              </w:rPr>
              <w:t>18 August 2022</w:t>
            </w:r>
          </w:p>
        </w:tc>
        <w:tc>
          <w:tcPr>
            <w:tcW w:w="2335" w:type="pct"/>
          </w:tcPr>
          <w:p w14:paraId="5A8824B5" w14:textId="317C4FFD" w:rsidR="00B5029F" w:rsidRPr="00B5029F" w:rsidRDefault="00B5029F" w:rsidP="00B5029F">
            <w:pPr>
              <w:cnfStyle w:val="000000000000" w:firstRow="0" w:lastRow="0" w:firstColumn="0" w:lastColumn="0" w:oddVBand="0" w:evenVBand="0" w:oddHBand="0" w:evenHBand="0" w:firstRowFirstColumn="0" w:firstRowLastColumn="0" w:lastRowFirstColumn="0" w:lastRowLastColumn="0"/>
              <w:rPr>
                <w:i/>
                <w:iCs/>
                <w:szCs w:val="22"/>
              </w:rPr>
            </w:pPr>
            <w:r w:rsidRPr="00B5029F">
              <w:rPr>
                <w:i/>
                <w:iCs/>
                <w:szCs w:val="22"/>
              </w:rPr>
              <w:t>Metastatic carcinoma of the colon or rectum</w:t>
            </w:r>
          </w:p>
          <w:p w14:paraId="33F511CA" w14:textId="09156A9D" w:rsidR="00B5029F" w:rsidRPr="00B5029F" w:rsidRDefault="00B5029F" w:rsidP="00B5029F">
            <w:pPr>
              <w:cnfStyle w:val="000000000000" w:firstRow="0" w:lastRow="0" w:firstColumn="0" w:lastColumn="0" w:oddVBand="0" w:evenVBand="0" w:oddHBand="0" w:evenHBand="0" w:firstRowFirstColumn="0" w:firstRowLastColumn="0" w:lastRowFirstColumn="0" w:lastRowLastColumn="0"/>
              <w:rPr>
                <w:i/>
                <w:iCs/>
                <w:szCs w:val="22"/>
              </w:rPr>
            </w:pPr>
            <w:r w:rsidRPr="00B5029F">
              <w:rPr>
                <w:i/>
                <w:iCs/>
                <w:szCs w:val="22"/>
              </w:rPr>
              <w:t>Metastatic breast cancer</w:t>
            </w:r>
          </w:p>
          <w:p w14:paraId="5BB84AA6" w14:textId="77777777" w:rsidR="00B5029F" w:rsidRPr="00B5029F" w:rsidRDefault="00B5029F" w:rsidP="00B5029F">
            <w:pPr>
              <w:cnfStyle w:val="000000000000" w:firstRow="0" w:lastRow="0" w:firstColumn="0" w:lastColumn="0" w:oddVBand="0" w:evenVBand="0" w:oddHBand="0" w:evenHBand="0" w:firstRowFirstColumn="0" w:firstRowLastColumn="0" w:lastRowFirstColumn="0" w:lastRowLastColumn="0"/>
              <w:rPr>
                <w:i/>
                <w:iCs/>
                <w:szCs w:val="22"/>
              </w:rPr>
            </w:pPr>
            <w:r w:rsidRPr="00B5029F">
              <w:rPr>
                <w:i/>
                <w:iCs/>
                <w:szCs w:val="22"/>
              </w:rPr>
              <w:t>Non-small cell lung cancer (NSCLC)</w:t>
            </w:r>
          </w:p>
          <w:p w14:paraId="48149B18" w14:textId="15A7CA60" w:rsidR="00B5029F" w:rsidRPr="00B5029F" w:rsidRDefault="00B5029F" w:rsidP="00B5029F">
            <w:pPr>
              <w:cnfStyle w:val="000000000000" w:firstRow="0" w:lastRow="0" w:firstColumn="0" w:lastColumn="0" w:oddVBand="0" w:evenVBand="0" w:oddHBand="0" w:evenHBand="0" w:firstRowFirstColumn="0" w:firstRowLastColumn="0" w:lastRowFirstColumn="0" w:lastRowLastColumn="0"/>
              <w:rPr>
                <w:i/>
                <w:iCs/>
                <w:szCs w:val="22"/>
              </w:rPr>
            </w:pPr>
            <w:r w:rsidRPr="00B5029F">
              <w:rPr>
                <w:i/>
                <w:iCs/>
                <w:szCs w:val="22"/>
              </w:rPr>
              <w:t>Advanced and/or metastatic renal cell cancer</w:t>
            </w:r>
          </w:p>
          <w:p w14:paraId="598ECAEC" w14:textId="77777777" w:rsidR="00B5029F" w:rsidRPr="00B5029F" w:rsidRDefault="00B5029F" w:rsidP="00B5029F">
            <w:pPr>
              <w:cnfStyle w:val="000000000000" w:firstRow="0" w:lastRow="0" w:firstColumn="0" w:lastColumn="0" w:oddVBand="0" w:evenVBand="0" w:oddHBand="0" w:evenHBand="0" w:firstRowFirstColumn="0" w:firstRowLastColumn="0" w:lastRowFirstColumn="0" w:lastRowLastColumn="0"/>
              <w:rPr>
                <w:i/>
                <w:iCs/>
                <w:szCs w:val="22"/>
              </w:rPr>
            </w:pPr>
            <w:r w:rsidRPr="00B5029F">
              <w:rPr>
                <w:i/>
                <w:iCs/>
                <w:szCs w:val="22"/>
              </w:rPr>
              <w:t>Epithelial ovarian, fallopian tube and primary peritoneal cancer</w:t>
            </w:r>
          </w:p>
          <w:p w14:paraId="05055674" w14:textId="1E59F0E1" w:rsidR="00324B33" w:rsidRPr="00E51430" w:rsidRDefault="00B5029F" w:rsidP="00E51430">
            <w:pPr>
              <w:cnfStyle w:val="000000000000" w:firstRow="0" w:lastRow="0" w:firstColumn="0" w:lastColumn="0" w:oddVBand="0" w:evenVBand="0" w:oddHBand="0" w:evenHBand="0" w:firstRowFirstColumn="0" w:firstRowLastColumn="0" w:lastRowFirstColumn="0" w:lastRowLastColumn="0"/>
              <w:rPr>
                <w:i/>
                <w:iCs/>
                <w:szCs w:val="22"/>
              </w:rPr>
            </w:pPr>
            <w:r w:rsidRPr="00B5029F">
              <w:rPr>
                <w:i/>
                <w:iCs/>
                <w:szCs w:val="22"/>
              </w:rPr>
              <w:t>Cervical cancer</w:t>
            </w:r>
          </w:p>
        </w:tc>
      </w:tr>
      <w:tr w:rsidR="00514E73" w:rsidRPr="00D01DDB" w14:paraId="08986B0B" w14:textId="77777777" w:rsidTr="00C92AAC">
        <w:trPr>
          <w:cantSplit w:val="0"/>
        </w:trPr>
        <w:tc>
          <w:tcPr>
            <w:cnfStyle w:val="001000000000" w:firstRow="0" w:lastRow="0" w:firstColumn="1" w:lastColumn="0" w:oddVBand="0" w:evenVBand="0" w:oddHBand="0" w:evenHBand="0" w:firstRowFirstColumn="0" w:firstRowLastColumn="0" w:lastRowFirstColumn="0" w:lastRowLastColumn="0"/>
            <w:tcW w:w="806" w:type="pct"/>
          </w:tcPr>
          <w:p w14:paraId="34C955B8" w14:textId="77777777" w:rsidR="00514E73" w:rsidRPr="00D01DDB" w:rsidRDefault="00514E73" w:rsidP="00C92AAC">
            <w:pPr>
              <w:rPr>
                <w:szCs w:val="22"/>
              </w:rPr>
            </w:pPr>
            <w:r>
              <w:rPr>
                <w:szCs w:val="22"/>
              </w:rPr>
              <w:t>United Kingdom</w:t>
            </w:r>
          </w:p>
        </w:tc>
        <w:tc>
          <w:tcPr>
            <w:tcW w:w="913" w:type="pct"/>
          </w:tcPr>
          <w:p w14:paraId="2AEA56C0" w14:textId="77777777" w:rsidR="00514E73" w:rsidRPr="00D01DDB" w:rsidRDefault="00514E73" w:rsidP="00C92AAC">
            <w:pPr>
              <w:cnfStyle w:val="000000000000" w:firstRow="0" w:lastRow="0" w:firstColumn="0" w:lastColumn="0" w:oddVBand="0" w:evenVBand="0" w:oddHBand="0" w:evenHBand="0" w:firstRowFirstColumn="0" w:firstRowLastColumn="0" w:lastRowFirstColumn="0" w:lastRowLastColumn="0"/>
              <w:rPr>
                <w:szCs w:val="22"/>
              </w:rPr>
            </w:pPr>
            <w:r>
              <w:rPr>
                <w:szCs w:val="22"/>
              </w:rPr>
              <w:t>28 June 2022</w:t>
            </w:r>
          </w:p>
        </w:tc>
        <w:tc>
          <w:tcPr>
            <w:tcW w:w="939" w:type="pct"/>
          </w:tcPr>
          <w:p w14:paraId="7B0ED498" w14:textId="77777777" w:rsidR="00514E73" w:rsidRPr="00D01DDB" w:rsidRDefault="00514E73" w:rsidP="00C92AAC">
            <w:pPr>
              <w:cnfStyle w:val="000000000000" w:firstRow="0" w:lastRow="0" w:firstColumn="0" w:lastColumn="0" w:oddVBand="0" w:evenVBand="0" w:oddHBand="0" w:evenHBand="0" w:firstRowFirstColumn="0" w:firstRowLastColumn="0" w:lastRowFirstColumn="0" w:lastRowLastColumn="0"/>
              <w:rPr>
                <w:szCs w:val="22"/>
              </w:rPr>
            </w:pPr>
            <w:r>
              <w:rPr>
                <w:szCs w:val="22"/>
              </w:rPr>
              <w:t>Approved on 16 September 2022</w:t>
            </w:r>
          </w:p>
        </w:tc>
        <w:tc>
          <w:tcPr>
            <w:tcW w:w="2342" w:type="pct"/>
            <w:gridSpan w:val="2"/>
          </w:tcPr>
          <w:p w14:paraId="02FECB0D" w14:textId="610B8756" w:rsidR="00514E73" w:rsidRPr="003615EE" w:rsidRDefault="00514E73" w:rsidP="00C92AAC">
            <w:pPr>
              <w:cnfStyle w:val="000000000000" w:firstRow="0" w:lastRow="0" w:firstColumn="0" w:lastColumn="0" w:oddVBand="0" w:evenVBand="0" w:oddHBand="0" w:evenHBand="0" w:firstRowFirstColumn="0" w:firstRowLastColumn="0" w:lastRowFirstColumn="0" w:lastRowLastColumn="0"/>
              <w:rPr>
                <w:i/>
                <w:iCs/>
                <w:szCs w:val="22"/>
              </w:rPr>
            </w:pPr>
            <w:r w:rsidRPr="003615EE">
              <w:rPr>
                <w:i/>
                <w:iCs/>
                <w:szCs w:val="22"/>
              </w:rPr>
              <w:t>Metastatic carcinoma of the colon or rectum</w:t>
            </w:r>
          </w:p>
          <w:p w14:paraId="03C060B5" w14:textId="1253CC81" w:rsidR="00514E73" w:rsidRPr="003615EE" w:rsidRDefault="00514E73" w:rsidP="00C92AAC">
            <w:pPr>
              <w:cnfStyle w:val="000000000000" w:firstRow="0" w:lastRow="0" w:firstColumn="0" w:lastColumn="0" w:oddVBand="0" w:evenVBand="0" w:oddHBand="0" w:evenHBand="0" w:firstRowFirstColumn="0" w:firstRowLastColumn="0" w:lastRowFirstColumn="0" w:lastRowLastColumn="0"/>
              <w:rPr>
                <w:i/>
                <w:iCs/>
                <w:szCs w:val="22"/>
              </w:rPr>
            </w:pPr>
            <w:r w:rsidRPr="003615EE">
              <w:rPr>
                <w:i/>
                <w:iCs/>
                <w:szCs w:val="22"/>
              </w:rPr>
              <w:t>Metastatic breast cancer</w:t>
            </w:r>
          </w:p>
          <w:p w14:paraId="064AAEF7" w14:textId="77777777" w:rsidR="00514E73" w:rsidRPr="003615EE" w:rsidRDefault="00514E73" w:rsidP="00C92AAC">
            <w:pPr>
              <w:cnfStyle w:val="000000000000" w:firstRow="0" w:lastRow="0" w:firstColumn="0" w:lastColumn="0" w:oddVBand="0" w:evenVBand="0" w:oddHBand="0" w:evenHBand="0" w:firstRowFirstColumn="0" w:firstRowLastColumn="0" w:lastRowFirstColumn="0" w:lastRowLastColumn="0"/>
              <w:rPr>
                <w:i/>
                <w:iCs/>
                <w:szCs w:val="22"/>
              </w:rPr>
            </w:pPr>
            <w:r w:rsidRPr="003615EE">
              <w:rPr>
                <w:i/>
                <w:iCs/>
                <w:szCs w:val="22"/>
              </w:rPr>
              <w:t>Non-small cell lung cancer (NSCLC)</w:t>
            </w:r>
          </w:p>
          <w:p w14:paraId="7A26EE78" w14:textId="33D937AC" w:rsidR="00514E73" w:rsidRPr="003615EE" w:rsidRDefault="00514E73" w:rsidP="00C92AAC">
            <w:pPr>
              <w:cnfStyle w:val="000000000000" w:firstRow="0" w:lastRow="0" w:firstColumn="0" w:lastColumn="0" w:oddVBand="0" w:evenVBand="0" w:oddHBand="0" w:evenHBand="0" w:firstRowFirstColumn="0" w:firstRowLastColumn="0" w:lastRowFirstColumn="0" w:lastRowLastColumn="0"/>
              <w:rPr>
                <w:i/>
                <w:iCs/>
                <w:szCs w:val="22"/>
              </w:rPr>
            </w:pPr>
            <w:r w:rsidRPr="003615EE">
              <w:rPr>
                <w:i/>
                <w:iCs/>
                <w:szCs w:val="22"/>
              </w:rPr>
              <w:t>Advanced and/or metastatic renal cell cancer</w:t>
            </w:r>
          </w:p>
          <w:p w14:paraId="42975DBE" w14:textId="77777777" w:rsidR="00514E73" w:rsidRPr="003615EE" w:rsidRDefault="00514E73" w:rsidP="00C92AAC">
            <w:pPr>
              <w:cnfStyle w:val="000000000000" w:firstRow="0" w:lastRow="0" w:firstColumn="0" w:lastColumn="0" w:oddVBand="0" w:evenVBand="0" w:oddHBand="0" w:evenHBand="0" w:firstRowFirstColumn="0" w:firstRowLastColumn="0" w:lastRowFirstColumn="0" w:lastRowLastColumn="0"/>
              <w:rPr>
                <w:i/>
                <w:iCs/>
                <w:szCs w:val="22"/>
              </w:rPr>
            </w:pPr>
            <w:r w:rsidRPr="003615EE">
              <w:rPr>
                <w:i/>
                <w:iCs/>
                <w:szCs w:val="22"/>
              </w:rPr>
              <w:t>Epithelial ovarian, fallopian tube and primary peritoneal cancer</w:t>
            </w:r>
          </w:p>
          <w:p w14:paraId="43F42767" w14:textId="77777777" w:rsidR="00514E73" w:rsidRPr="00D01DDB" w:rsidRDefault="00514E73" w:rsidP="00C92AAC">
            <w:pPr>
              <w:cnfStyle w:val="000000000000" w:firstRow="0" w:lastRow="0" w:firstColumn="0" w:lastColumn="0" w:oddVBand="0" w:evenVBand="0" w:oddHBand="0" w:evenHBand="0" w:firstRowFirstColumn="0" w:firstRowLastColumn="0" w:lastRowFirstColumn="0" w:lastRowLastColumn="0"/>
              <w:rPr>
                <w:szCs w:val="22"/>
              </w:rPr>
            </w:pPr>
            <w:r w:rsidRPr="003615EE">
              <w:rPr>
                <w:i/>
                <w:iCs/>
                <w:szCs w:val="22"/>
              </w:rPr>
              <w:t>Cervical cancer</w:t>
            </w:r>
          </w:p>
        </w:tc>
      </w:tr>
      <w:tr w:rsidR="0060765C" w:rsidRPr="00D01DDB" w14:paraId="34FBD127" w14:textId="77777777" w:rsidTr="00D61B58">
        <w:trPr>
          <w:cantSplit w:val="0"/>
        </w:trPr>
        <w:tc>
          <w:tcPr>
            <w:cnfStyle w:val="001000000000" w:firstRow="0" w:lastRow="0" w:firstColumn="1" w:lastColumn="0" w:oddVBand="0" w:evenVBand="0" w:oddHBand="0" w:evenHBand="0" w:firstRowFirstColumn="0" w:firstRowLastColumn="0" w:lastRowFirstColumn="0" w:lastRowLastColumn="0"/>
            <w:tcW w:w="806" w:type="pct"/>
          </w:tcPr>
          <w:p w14:paraId="70166CDE" w14:textId="4F9371D2" w:rsidR="0060765C" w:rsidRPr="00D01DDB" w:rsidRDefault="0060765C" w:rsidP="0060765C">
            <w:pPr>
              <w:rPr>
                <w:szCs w:val="22"/>
              </w:rPr>
            </w:pPr>
            <w:r>
              <w:rPr>
                <w:szCs w:val="22"/>
              </w:rPr>
              <w:t>United States of America</w:t>
            </w:r>
          </w:p>
        </w:tc>
        <w:tc>
          <w:tcPr>
            <w:tcW w:w="913" w:type="pct"/>
          </w:tcPr>
          <w:p w14:paraId="275B7FE1" w14:textId="4AF7376B" w:rsidR="0060765C" w:rsidRPr="00D01DDB" w:rsidRDefault="0060765C" w:rsidP="0060765C">
            <w:pPr>
              <w:cnfStyle w:val="000000000000" w:firstRow="0" w:lastRow="0" w:firstColumn="0" w:lastColumn="0" w:oddVBand="0" w:evenVBand="0" w:oddHBand="0" w:evenHBand="0" w:firstRowFirstColumn="0" w:firstRowLastColumn="0" w:lastRowFirstColumn="0" w:lastRowLastColumn="0"/>
              <w:rPr>
                <w:szCs w:val="22"/>
              </w:rPr>
            </w:pPr>
            <w:r>
              <w:rPr>
                <w:szCs w:val="22"/>
              </w:rPr>
              <w:t>30 September 2021</w:t>
            </w:r>
          </w:p>
        </w:tc>
        <w:tc>
          <w:tcPr>
            <w:tcW w:w="946" w:type="pct"/>
            <w:gridSpan w:val="2"/>
          </w:tcPr>
          <w:p w14:paraId="7C459EB2" w14:textId="42D7A9CB" w:rsidR="0060765C" w:rsidRPr="00D01DDB" w:rsidRDefault="0060765C" w:rsidP="006D24F9">
            <w:pPr>
              <w:cnfStyle w:val="000000000000" w:firstRow="0" w:lastRow="0" w:firstColumn="0" w:lastColumn="0" w:oddVBand="0" w:evenVBand="0" w:oddHBand="0" w:evenHBand="0" w:firstRowFirstColumn="0" w:firstRowLastColumn="0" w:lastRowFirstColumn="0" w:lastRowLastColumn="0"/>
              <w:rPr>
                <w:szCs w:val="22"/>
              </w:rPr>
            </w:pPr>
            <w:r>
              <w:rPr>
                <w:szCs w:val="22"/>
              </w:rPr>
              <w:t>Approved on 27 September 2022</w:t>
            </w:r>
          </w:p>
        </w:tc>
        <w:tc>
          <w:tcPr>
            <w:tcW w:w="2335" w:type="pct"/>
          </w:tcPr>
          <w:p w14:paraId="66BB428B" w14:textId="065EAC01" w:rsidR="0060765C" w:rsidRPr="0056307D" w:rsidRDefault="0060765C" w:rsidP="0060765C">
            <w:pPr>
              <w:cnfStyle w:val="000000000000" w:firstRow="0" w:lastRow="0" w:firstColumn="0" w:lastColumn="0" w:oddVBand="0" w:evenVBand="0" w:oddHBand="0" w:evenHBand="0" w:firstRowFirstColumn="0" w:firstRowLastColumn="0" w:lastRowFirstColumn="0" w:lastRowLastColumn="0"/>
              <w:rPr>
                <w:i/>
                <w:iCs/>
              </w:rPr>
            </w:pPr>
            <w:r w:rsidRPr="0056307D">
              <w:rPr>
                <w:i/>
                <w:iCs/>
              </w:rPr>
              <w:t xml:space="preserve">Metastatic </w:t>
            </w:r>
            <w:r w:rsidR="00A114C7" w:rsidRPr="0056307D">
              <w:rPr>
                <w:i/>
                <w:iCs/>
              </w:rPr>
              <w:t>c</w:t>
            </w:r>
            <w:r w:rsidRPr="0056307D">
              <w:rPr>
                <w:i/>
                <w:iCs/>
              </w:rPr>
              <w:t xml:space="preserve">olorectal </w:t>
            </w:r>
            <w:r w:rsidR="00A114C7" w:rsidRPr="0056307D">
              <w:rPr>
                <w:i/>
                <w:iCs/>
              </w:rPr>
              <w:t>c</w:t>
            </w:r>
            <w:r w:rsidRPr="0056307D">
              <w:rPr>
                <w:i/>
                <w:iCs/>
              </w:rPr>
              <w:t>ancer</w:t>
            </w:r>
          </w:p>
          <w:p w14:paraId="38F4AEEE" w14:textId="044B06BD" w:rsidR="0060765C" w:rsidRPr="0056307D" w:rsidRDefault="0060765C" w:rsidP="0060765C">
            <w:pPr>
              <w:cnfStyle w:val="000000000000" w:firstRow="0" w:lastRow="0" w:firstColumn="0" w:lastColumn="0" w:oddVBand="0" w:evenVBand="0" w:oddHBand="0" w:evenHBand="0" w:firstRowFirstColumn="0" w:firstRowLastColumn="0" w:lastRowFirstColumn="0" w:lastRowLastColumn="0"/>
              <w:rPr>
                <w:i/>
                <w:iCs/>
              </w:rPr>
            </w:pPr>
            <w:r w:rsidRPr="0056307D">
              <w:rPr>
                <w:i/>
                <w:iCs/>
              </w:rPr>
              <w:t>First-</w:t>
            </w:r>
            <w:r w:rsidR="00A114C7" w:rsidRPr="0056307D">
              <w:rPr>
                <w:i/>
                <w:iCs/>
              </w:rPr>
              <w:t>l</w:t>
            </w:r>
            <w:r w:rsidRPr="0056307D">
              <w:rPr>
                <w:i/>
                <w:iCs/>
              </w:rPr>
              <w:t xml:space="preserve">ine </w:t>
            </w:r>
            <w:r w:rsidR="00A114C7" w:rsidRPr="0056307D">
              <w:rPr>
                <w:i/>
                <w:iCs/>
              </w:rPr>
              <w:t>n</w:t>
            </w:r>
            <w:r w:rsidRPr="0056307D">
              <w:rPr>
                <w:i/>
                <w:iCs/>
              </w:rPr>
              <w:t>on-</w:t>
            </w:r>
            <w:r w:rsidR="00A114C7" w:rsidRPr="0056307D">
              <w:rPr>
                <w:i/>
                <w:iCs/>
              </w:rPr>
              <w:t>s</w:t>
            </w:r>
            <w:r w:rsidRPr="0056307D">
              <w:rPr>
                <w:i/>
                <w:iCs/>
              </w:rPr>
              <w:t xml:space="preserve">quamous </w:t>
            </w:r>
            <w:r w:rsidR="00A114C7" w:rsidRPr="0056307D">
              <w:rPr>
                <w:i/>
                <w:iCs/>
              </w:rPr>
              <w:t>n</w:t>
            </w:r>
            <w:r w:rsidRPr="0056307D">
              <w:rPr>
                <w:i/>
                <w:iCs/>
              </w:rPr>
              <w:t>on</w:t>
            </w:r>
            <w:r w:rsidR="00A114C7" w:rsidRPr="0056307D">
              <w:rPr>
                <w:i/>
                <w:iCs/>
              </w:rPr>
              <w:noBreakHyphen/>
              <w:t>s</w:t>
            </w:r>
            <w:r w:rsidRPr="0056307D">
              <w:rPr>
                <w:i/>
                <w:iCs/>
              </w:rPr>
              <w:t xml:space="preserve">mall </w:t>
            </w:r>
            <w:r w:rsidR="00A114C7" w:rsidRPr="0056307D">
              <w:rPr>
                <w:i/>
                <w:iCs/>
              </w:rPr>
              <w:t>c</w:t>
            </w:r>
            <w:r w:rsidRPr="0056307D">
              <w:rPr>
                <w:i/>
                <w:iCs/>
              </w:rPr>
              <w:t xml:space="preserve">ell </w:t>
            </w:r>
            <w:r w:rsidR="00A114C7" w:rsidRPr="0056307D">
              <w:rPr>
                <w:i/>
                <w:iCs/>
              </w:rPr>
              <w:t>l</w:t>
            </w:r>
            <w:r w:rsidRPr="0056307D">
              <w:rPr>
                <w:i/>
                <w:iCs/>
              </w:rPr>
              <w:t xml:space="preserve">ung </w:t>
            </w:r>
            <w:r w:rsidR="00A114C7" w:rsidRPr="0056307D">
              <w:rPr>
                <w:i/>
                <w:iCs/>
              </w:rPr>
              <w:t>c</w:t>
            </w:r>
            <w:r w:rsidRPr="0056307D">
              <w:rPr>
                <w:i/>
                <w:iCs/>
              </w:rPr>
              <w:t>ancer</w:t>
            </w:r>
          </w:p>
          <w:p w14:paraId="1DE7B189" w14:textId="4E049F6F" w:rsidR="0060765C" w:rsidRPr="0056307D" w:rsidRDefault="0060765C" w:rsidP="0060765C">
            <w:pPr>
              <w:cnfStyle w:val="000000000000" w:firstRow="0" w:lastRow="0" w:firstColumn="0" w:lastColumn="0" w:oddVBand="0" w:evenVBand="0" w:oddHBand="0" w:evenHBand="0" w:firstRowFirstColumn="0" w:firstRowLastColumn="0" w:lastRowFirstColumn="0" w:lastRowLastColumn="0"/>
              <w:rPr>
                <w:i/>
                <w:iCs/>
              </w:rPr>
            </w:pPr>
            <w:r w:rsidRPr="0056307D">
              <w:rPr>
                <w:i/>
                <w:iCs/>
              </w:rPr>
              <w:t xml:space="preserve">Recurrent </w:t>
            </w:r>
            <w:r w:rsidR="00A114C7" w:rsidRPr="0056307D">
              <w:rPr>
                <w:i/>
                <w:iCs/>
              </w:rPr>
              <w:t>g</w:t>
            </w:r>
            <w:r w:rsidRPr="0056307D">
              <w:rPr>
                <w:i/>
                <w:iCs/>
              </w:rPr>
              <w:t>lioblastoma</w:t>
            </w:r>
          </w:p>
          <w:p w14:paraId="5C929CC6" w14:textId="008C4441" w:rsidR="0060765C" w:rsidRPr="0056307D" w:rsidRDefault="0060765C" w:rsidP="0060765C">
            <w:pPr>
              <w:cnfStyle w:val="000000000000" w:firstRow="0" w:lastRow="0" w:firstColumn="0" w:lastColumn="0" w:oddVBand="0" w:evenVBand="0" w:oddHBand="0" w:evenHBand="0" w:firstRowFirstColumn="0" w:firstRowLastColumn="0" w:lastRowFirstColumn="0" w:lastRowLastColumn="0"/>
              <w:rPr>
                <w:i/>
                <w:iCs/>
              </w:rPr>
            </w:pPr>
            <w:r w:rsidRPr="0056307D">
              <w:rPr>
                <w:i/>
                <w:iCs/>
              </w:rPr>
              <w:t xml:space="preserve">Metastatic </w:t>
            </w:r>
            <w:r w:rsidR="00A114C7" w:rsidRPr="0056307D">
              <w:rPr>
                <w:i/>
                <w:iCs/>
              </w:rPr>
              <w:t>r</w:t>
            </w:r>
            <w:r w:rsidRPr="0056307D">
              <w:rPr>
                <w:i/>
                <w:iCs/>
              </w:rPr>
              <w:t xml:space="preserve">enal </w:t>
            </w:r>
            <w:r w:rsidR="00A114C7" w:rsidRPr="0056307D">
              <w:rPr>
                <w:i/>
                <w:iCs/>
              </w:rPr>
              <w:t>c</w:t>
            </w:r>
            <w:r w:rsidRPr="0056307D">
              <w:rPr>
                <w:i/>
                <w:iCs/>
              </w:rPr>
              <w:t xml:space="preserve">ell </w:t>
            </w:r>
            <w:r w:rsidR="00A114C7" w:rsidRPr="0056307D">
              <w:rPr>
                <w:i/>
                <w:iCs/>
              </w:rPr>
              <w:t>c</w:t>
            </w:r>
            <w:r w:rsidRPr="0056307D">
              <w:rPr>
                <w:i/>
                <w:iCs/>
              </w:rPr>
              <w:t>arcinoma</w:t>
            </w:r>
          </w:p>
          <w:p w14:paraId="7F95471F" w14:textId="34B70736" w:rsidR="0060765C" w:rsidRPr="0056307D" w:rsidRDefault="0060765C" w:rsidP="0060765C">
            <w:pPr>
              <w:cnfStyle w:val="000000000000" w:firstRow="0" w:lastRow="0" w:firstColumn="0" w:lastColumn="0" w:oddVBand="0" w:evenVBand="0" w:oddHBand="0" w:evenHBand="0" w:firstRowFirstColumn="0" w:firstRowLastColumn="0" w:lastRowFirstColumn="0" w:lastRowLastColumn="0"/>
              <w:rPr>
                <w:i/>
                <w:iCs/>
              </w:rPr>
            </w:pPr>
            <w:r w:rsidRPr="0056307D">
              <w:rPr>
                <w:i/>
                <w:iCs/>
              </w:rPr>
              <w:t xml:space="preserve">Persistent, </w:t>
            </w:r>
            <w:r w:rsidR="00A114C7" w:rsidRPr="0056307D">
              <w:rPr>
                <w:i/>
                <w:iCs/>
              </w:rPr>
              <w:t>r</w:t>
            </w:r>
            <w:r w:rsidRPr="0056307D">
              <w:rPr>
                <w:i/>
                <w:iCs/>
              </w:rPr>
              <w:t xml:space="preserve">ecurrent, or </w:t>
            </w:r>
            <w:r w:rsidR="00A114C7" w:rsidRPr="0056307D">
              <w:rPr>
                <w:i/>
                <w:iCs/>
              </w:rPr>
              <w:t>m</w:t>
            </w:r>
            <w:r w:rsidRPr="0056307D">
              <w:rPr>
                <w:i/>
                <w:iCs/>
              </w:rPr>
              <w:t xml:space="preserve">etastatic </w:t>
            </w:r>
            <w:r w:rsidR="00A114C7" w:rsidRPr="0056307D">
              <w:rPr>
                <w:i/>
                <w:iCs/>
              </w:rPr>
              <w:t>c</w:t>
            </w:r>
            <w:r w:rsidRPr="0056307D">
              <w:rPr>
                <w:i/>
                <w:iCs/>
              </w:rPr>
              <w:t xml:space="preserve">ervical </w:t>
            </w:r>
            <w:r w:rsidR="00A114C7" w:rsidRPr="0056307D">
              <w:rPr>
                <w:i/>
                <w:iCs/>
              </w:rPr>
              <w:t>c</w:t>
            </w:r>
            <w:r w:rsidRPr="0056307D">
              <w:rPr>
                <w:i/>
                <w:iCs/>
              </w:rPr>
              <w:t>ancer</w:t>
            </w:r>
          </w:p>
          <w:p w14:paraId="15E60934" w14:textId="6C9C70C4" w:rsidR="0060765C" w:rsidRPr="00D01DDB" w:rsidRDefault="00A114C7" w:rsidP="00A114C7">
            <w:pPr>
              <w:cnfStyle w:val="000000000000" w:firstRow="0" w:lastRow="0" w:firstColumn="0" w:lastColumn="0" w:oddVBand="0" w:evenVBand="0" w:oddHBand="0" w:evenHBand="0" w:firstRowFirstColumn="0" w:firstRowLastColumn="0" w:lastRowFirstColumn="0" w:lastRowLastColumn="0"/>
              <w:rPr>
                <w:szCs w:val="22"/>
              </w:rPr>
            </w:pPr>
            <w:r w:rsidRPr="00C92AAC">
              <w:rPr>
                <w:i/>
                <w:iCs/>
                <w:szCs w:val="22"/>
              </w:rPr>
              <w:t>Epithelial ovarian, fallopian tube and primary peritoneal cancer</w:t>
            </w:r>
          </w:p>
        </w:tc>
      </w:tr>
      <w:tr w:rsidR="00514E73" w:rsidRPr="00D01DDB" w14:paraId="30A0F096" w14:textId="77777777" w:rsidTr="00C92AAC">
        <w:trPr>
          <w:cantSplit w:val="0"/>
        </w:trPr>
        <w:tc>
          <w:tcPr>
            <w:cnfStyle w:val="001000000000" w:firstRow="0" w:lastRow="0" w:firstColumn="1" w:lastColumn="0" w:oddVBand="0" w:evenVBand="0" w:oddHBand="0" w:evenHBand="0" w:firstRowFirstColumn="0" w:firstRowLastColumn="0" w:lastRowFirstColumn="0" w:lastRowLastColumn="0"/>
            <w:tcW w:w="806" w:type="pct"/>
          </w:tcPr>
          <w:p w14:paraId="7F94285E" w14:textId="77777777" w:rsidR="00514E73" w:rsidRPr="00D01DDB" w:rsidRDefault="00514E73" w:rsidP="00C92AAC">
            <w:pPr>
              <w:rPr>
                <w:szCs w:val="22"/>
              </w:rPr>
            </w:pPr>
            <w:r>
              <w:rPr>
                <w:szCs w:val="22"/>
              </w:rPr>
              <w:lastRenderedPageBreak/>
              <w:t>Korea</w:t>
            </w:r>
          </w:p>
        </w:tc>
        <w:tc>
          <w:tcPr>
            <w:tcW w:w="913" w:type="pct"/>
          </w:tcPr>
          <w:p w14:paraId="71DDA8B0" w14:textId="77777777" w:rsidR="00514E73" w:rsidRPr="00D01DDB" w:rsidRDefault="00514E73" w:rsidP="00C92AAC">
            <w:pPr>
              <w:cnfStyle w:val="000000000000" w:firstRow="0" w:lastRow="0" w:firstColumn="0" w:lastColumn="0" w:oddVBand="0" w:evenVBand="0" w:oddHBand="0" w:evenHBand="0" w:firstRowFirstColumn="0" w:firstRowLastColumn="0" w:lastRowFirstColumn="0" w:lastRowLastColumn="0"/>
              <w:rPr>
                <w:szCs w:val="22"/>
              </w:rPr>
            </w:pPr>
            <w:r>
              <w:rPr>
                <w:szCs w:val="22"/>
              </w:rPr>
              <w:t>29 September 2021</w:t>
            </w:r>
          </w:p>
        </w:tc>
        <w:tc>
          <w:tcPr>
            <w:tcW w:w="946" w:type="pct"/>
            <w:gridSpan w:val="2"/>
          </w:tcPr>
          <w:p w14:paraId="5F9D6298" w14:textId="77777777" w:rsidR="00514E73" w:rsidRPr="00D01DDB" w:rsidRDefault="00514E73" w:rsidP="00C92AAC">
            <w:pPr>
              <w:cnfStyle w:val="000000000000" w:firstRow="0" w:lastRow="0" w:firstColumn="0" w:lastColumn="0" w:oddVBand="0" w:evenVBand="0" w:oddHBand="0" w:evenHBand="0" w:firstRowFirstColumn="0" w:firstRowLastColumn="0" w:lastRowFirstColumn="0" w:lastRowLastColumn="0"/>
              <w:rPr>
                <w:szCs w:val="22"/>
              </w:rPr>
            </w:pPr>
            <w:r>
              <w:rPr>
                <w:szCs w:val="22"/>
              </w:rPr>
              <w:t>Approved on 28 September 2022</w:t>
            </w:r>
          </w:p>
        </w:tc>
        <w:tc>
          <w:tcPr>
            <w:tcW w:w="2335" w:type="pct"/>
          </w:tcPr>
          <w:p w14:paraId="33DC4865" w14:textId="2F398DEA" w:rsidR="00514E73" w:rsidRPr="003615EE" w:rsidRDefault="00514E73" w:rsidP="00C92AAC">
            <w:pPr>
              <w:cnfStyle w:val="000000000000" w:firstRow="0" w:lastRow="0" w:firstColumn="0" w:lastColumn="0" w:oddVBand="0" w:evenVBand="0" w:oddHBand="0" w:evenHBand="0" w:firstRowFirstColumn="0" w:firstRowLastColumn="0" w:lastRowFirstColumn="0" w:lastRowLastColumn="0"/>
              <w:rPr>
                <w:i/>
                <w:iCs/>
                <w:szCs w:val="22"/>
              </w:rPr>
            </w:pPr>
            <w:r w:rsidRPr="003615EE">
              <w:rPr>
                <w:i/>
                <w:iCs/>
                <w:szCs w:val="22"/>
              </w:rPr>
              <w:t>Metastatic carcinoma of the colon or rectum</w:t>
            </w:r>
          </w:p>
          <w:p w14:paraId="24D2291A" w14:textId="4E0607F9" w:rsidR="00514E73" w:rsidRPr="003615EE" w:rsidRDefault="00514E73" w:rsidP="00C92AAC">
            <w:pPr>
              <w:cnfStyle w:val="000000000000" w:firstRow="0" w:lastRow="0" w:firstColumn="0" w:lastColumn="0" w:oddVBand="0" w:evenVBand="0" w:oddHBand="0" w:evenHBand="0" w:firstRowFirstColumn="0" w:firstRowLastColumn="0" w:lastRowFirstColumn="0" w:lastRowLastColumn="0"/>
              <w:rPr>
                <w:i/>
                <w:iCs/>
                <w:szCs w:val="22"/>
              </w:rPr>
            </w:pPr>
            <w:r w:rsidRPr="003615EE">
              <w:rPr>
                <w:i/>
                <w:iCs/>
                <w:szCs w:val="22"/>
              </w:rPr>
              <w:t>Metastatic breast cancer</w:t>
            </w:r>
          </w:p>
          <w:p w14:paraId="2D7F9F31" w14:textId="77777777" w:rsidR="00514E73" w:rsidRPr="003615EE" w:rsidRDefault="00514E73" w:rsidP="00C92AAC">
            <w:pPr>
              <w:cnfStyle w:val="000000000000" w:firstRow="0" w:lastRow="0" w:firstColumn="0" w:lastColumn="0" w:oddVBand="0" w:evenVBand="0" w:oddHBand="0" w:evenHBand="0" w:firstRowFirstColumn="0" w:firstRowLastColumn="0" w:lastRowFirstColumn="0" w:lastRowLastColumn="0"/>
              <w:rPr>
                <w:i/>
                <w:iCs/>
                <w:szCs w:val="22"/>
              </w:rPr>
            </w:pPr>
            <w:r w:rsidRPr="003615EE">
              <w:rPr>
                <w:i/>
                <w:iCs/>
                <w:szCs w:val="22"/>
              </w:rPr>
              <w:t>Non-small cell lung cancer (NSCLC)</w:t>
            </w:r>
          </w:p>
          <w:p w14:paraId="140ADEFD" w14:textId="586CBD9D" w:rsidR="00514E73" w:rsidRPr="003615EE" w:rsidRDefault="00514E73" w:rsidP="00C92AAC">
            <w:pPr>
              <w:cnfStyle w:val="000000000000" w:firstRow="0" w:lastRow="0" w:firstColumn="0" w:lastColumn="0" w:oddVBand="0" w:evenVBand="0" w:oddHBand="0" w:evenHBand="0" w:firstRowFirstColumn="0" w:firstRowLastColumn="0" w:lastRowFirstColumn="0" w:lastRowLastColumn="0"/>
              <w:rPr>
                <w:i/>
                <w:iCs/>
                <w:szCs w:val="22"/>
              </w:rPr>
            </w:pPr>
            <w:r w:rsidRPr="003615EE">
              <w:rPr>
                <w:i/>
                <w:iCs/>
                <w:szCs w:val="22"/>
              </w:rPr>
              <w:t>Advanced and/or metastatic renal cell cancer</w:t>
            </w:r>
          </w:p>
          <w:p w14:paraId="00194EA1" w14:textId="77777777" w:rsidR="00514E73" w:rsidRPr="003615EE" w:rsidRDefault="00514E73" w:rsidP="00C92AAC">
            <w:pPr>
              <w:cnfStyle w:val="000000000000" w:firstRow="0" w:lastRow="0" w:firstColumn="0" w:lastColumn="0" w:oddVBand="0" w:evenVBand="0" w:oddHBand="0" w:evenHBand="0" w:firstRowFirstColumn="0" w:firstRowLastColumn="0" w:lastRowFirstColumn="0" w:lastRowLastColumn="0"/>
              <w:rPr>
                <w:i/>
                <w:iCs/>
                <w:szCs w:val="22"/>
              </w:rPr>
            </w:pPr>
            <w:r w:rsidRPr="003615EE">
              <w:rPr>
                <w:i/>
                <w:iCs/>
                <w:szCs w:val="22"/>
              </w:rPr>
              <w:t>Epithelial ovarian, fallopian tube and primary peritoneal cancer</w:t>
            </w:r>
          </w:p>
          <w:p w14:paraId="65EA2B3C" w14:textId="77777777" w:rsidR="00514E73" w:rsidRPr="003615EE" w:rsidRDefault="00514E73" w:rsidP="00C92AAC">
            <w:pPr>
              <w:cnfStyle w:val="000000000000" w:firstRow="0" w:lastRow="0" w:firstColumn="0" w:lastColumn="0" w:oddVBand="0" w:evenVBand="0" w:oddHBand="0" w:evenHBand="0" w:firstRowFirstColumn="0" w:firstRowLastColumn="0" w:lastRowFirstColumn="0" w:lastRowLastColumn="0"/>
              <w:rPr>
                <w:i/>
                <w:iCs/>
                <w:szCs w:val="22"/>
              </w:rPr>
            </w:pPr>
            <w:r w:rsidRPr="003615EE">
              <w:rPr>
                <w:i/>
                <w:iCs/>
                <w:szCs w:val="22"/>
              </w:rPr>
              <w:t>Grade IV Glioma</w:t>
            </w:r>
          </w:p>
          <w:p w14:paraId="63899834" w14:textId="77777777" w:rsidR="00514E73" w:rsidRPr="00D01DDB" w:rsidRDefault="00514E73" w:rsidP="00C92AAC">
            <w:pPr>
              <w:cnfStyle w:val="000000000000" w:firstRow="0" w:lastRow="0" w:firstColumn="0" w:lastColumn="0" w:oddVBand="0" w:evenVBand="0" w:oddHBand="0" w:evenHBand="0" w:firstRowFirstColumn="0" w:firstRowLastColumn="0" w:lastRowFirstColumn="0" w:lastRowLastColumn="0"/>
              <w:rPr>
                <w:szCs w:val="22"/>
              </w:rPr>
            </w:pPr>
            <w:r w:rsidRPr="003615EE">
              <w:rPr>
                <w:i/>
                <w:iCs/>
                <w:szCs w:val="22"/>
              </w:rPr>
              <w:t>Cervical cancer</w:t>
            </w:r>
          </w:p>
        </w:tc>
      </w:tr>
      <w:tr w:rsidR="00514E73" w:rsidRPr="00D01DDB" w14:paraId="38DD335F" w14:textId="77777777" w:rsidTr="00C92AAC">
        <w:trPr>
          <w:cantSplit w:val="0"/>
        </w:trPr>
        <w:tc>
          <w:tcPr>
            <w:cnfStyle w:val="001000000000" w:firstRow="0" w:lastRow="0" w:firstColumn="1" w:lastColumn="0" w:oddVBand="0" w:evenVBand="0" w:oddHBand="0" w:evenHBand="0" w:firstRowFirstColumn="0" w:firstRowLastColumn="0" w:lastRowFirstColumn="0" w:lastRowLastColumn="0"/>
            <w:tcW w:w="806" w:type="pct"/>
          </w:tcPr>
          <w:p w14:paraId="5017F91E" w14:textId="77777777" w:rsidR="00514E73" w:rsidRPr="00D01DDB" w:rsidRDefault="00514E73" w:rsidP="00C92AAC">
            <w:pPr>
              <w:rPr>
                <w:szCs w:val="22"/>
              </w:rPr>
            </w:pPr>
            <w:r>
              <w:rPr>
                <w:szCs w:val="22"/>
              </w:rPr>
              <w:t>Canada</w:t>
            </w:r>
          </w:p>
        </w:tc>
        <w:tc>
          <w:tcPr>
            <w:tcW w:w="913" w:type="pct"/>
          </w:tcPr>
          <w:p w14:paraId="42BCC964" w14:textId="77777777" w:rsidR="00514E73" w:rsidRPr="00D01DDB" w:rsidRDefault="00514E73" w:rsidP="00C92AAC">
            <w:pPr>
              <w:cnfStyle w:val="000000000000" w:firstRow="0" w:lastRow="0" w:firstColumn="0" w:lastColumn="0" w:oddVBand="0" w:evenVBand="0" w:oddHBand="0" w:evenHBand="0" w:firstRowFirstColumn="0" w:firstRowLastColumn="0" w:lastRowFirstColumn="0" w:lastRowLastColumn="0"/>
              <w:rPr>
                <w:szCs w:val="22"/>
              </w:rPr>
            </w:pPr>
            <w:r>
              <w:rPr>
                <w:szCs w:val="22"/>
              </w:rPr>
              <w:t>27 December 2021</w:t>
            </w:r>
          </w:p>
        </w:tc>
        <w:tc>
          <w:tcPr>
            <w:tcW w:w="946" w:type="pct"/>
            <w:gridSpan w:val="2"/>
          </w:tcPr>
          <w:p w14:paraId="5F86E4D5" w14:textId="77777777" w:rsidR="00514E73" w:rsidRPr="00D01DDB" w:rsidRDefault="00514E73" w:rsidP="00C92AAC">
            <w:pPr>
              <w:cnfStyle w:val="000000000000" w:firstRow="0" w:lastRow="0" w:firstColumn="0" w:lastColumn="0" w:oddVBand="0" w:evenVBand="0" w:oddHBand="0" w:evenHBand="0" w:firstRowFirstColumn="0" w:firstRowLastColumn="0" w:lastRowFirstColumn="0" w:lastRowLastColumn="0"/>
              <w:rPr>
                <w:szCs w:val="22"/>
              </w:rPr>
            </w:pPr>
            <w:r>
              <w:rPr>
                <w:szCs w:val="22"/>
              </w:rPr>
              <w:t>Approved on 3 January 2023</w:t>
            </w:r>
          </w:p>
        </w:tc>
        <w:tc>
          <w:tcPr>
            <w:tcW w:w="2335" w:type="pct"/>
          </w:tcPr>
          <w:p w14:paraId="5505A19C" w14:textId="5EB307ED" w:rsidR="00514E73" w:rsidRPr="00D61B58" w:rsidRDefault="00514E73" w:rsidP="00C92AAC">
            <w:pPr>
              <w:cnfStyle w:val="000000000000" w:firstRow="0" w:lastRow="0" w:firstColumn="0" w:lastColumn="0" w:oddVBand="0" w:evenVBand="0" w:oddHBand="0" w:evenHBand="0" w:firstRowFirstColumn="0" w:firstRowLastColumn="0" w:lastRowFirstColumn="0" w:lastRowLastColumn="0"/>
              <w:rPr>
                <w:i/>
                <w:iCs/>
              </w:rPr>
            </w:pPr>
            <w:r w:rsidRPr="00D61B58">
              <w:rPr>
                <w:i/>
                <w:iCs/>
              </w:rPr>
              <w:t xml:space="preserve">Metastatic </w:t>
            </w:r>
            <w:r w:rsidR="0056307D">
              <w:rPr>
                <w:i/>
                <w:iCs/>
              </w:rPr>
              <w:t>c</w:t>
            </w:r>
            <w:r w:rsidRPr="00D61B58">
              <w:rPr>
                <w:i/>
                <w:iCs/>
              </w:rPr>
              <w:t xml:space="preserve">olorectal </w:t>
            </w:r>
            <w:r w:rsidR="0056307D">
              <w:rPr>
                <w:i/>
                <w:iCs/>
              </w:rPr>
              <w:t>c</w:t>
            </w:r>
            <w:r w:rsidRPr="00D61B58">
              <w:rPr>
                <w:i/>
                <w:iCs/>
              </w:rPr>
              <w:t>ancer</w:t>
            </w:r>
          </w:p>
          <w:p w14:paraId="5415BC88" w14:textId="4FE45D27" w:rsidR="00514E73" w:rsidRPr="00D61B58" w:rsidRDefault="00514E73" w:rsidP="00C92AAC">
            <w:pPr>
              <w:cnfStyle w:val="000000000000" w:firstRow="0" w:lastRow="0" w:firstColumn="0" w:lastColumn="0" w:oddVBand="0" w:evenVBand="0" w:oddHBand="0" w:evenHBand="0" w:firstRowFirstColumn="0" w:firstRowLastColumn="0" w:lastRowFirstColumn="0" w:lastRowLastColumn="0"/>
              <w:rPr>
                <w:i/>
                <w:iCs/>
              </w:rPr>
            </w:pPr>
            <w:r w:rsidRPr="00D61B58">
              <w:rPr>
                <w:i/>
                <w:iCs/>
              </w:rPr>
              <w:t xml:space="preserve">Locally </w:t>
            </w:r>
            <w:r w:rsidR="0056307D">
              <w:rPr>
                <w:i/>
                <w:iCs/>
              </w:rPr>
              <w:t>a</w:t>
            </w:r>
            <w:r w:rsidRPr="00D61B58">
              <w:rPr>
                <w:i/>
                <w:iCs/>
              </w:rPr>
              <w:t xml:space="preserve">dvanced, </w:t>
            </w:r>
            <w:proofErr w:type="gramStart"/>
            <w:r w:rsidR="0056307D">
              <w:rPr>
                <w:i/>
                <w:iCs/>
              </w:rPr>
              <w:t>m</w:t>
            </w:r>
            <w:r w:rsidRPr="00D61B58">
              <w:rPr>
                <w:i/>
                <w:iCs/>
              </w:rPr>
              <w:t>etastatic</w:t>
            </w:r>
            <w:proofErr w:type="gramEnd"/>
            <w:r w:rsidRPr="00D61B58">
              <w:rPr>
                <w:i/>
                <w:iCs/>
              </w:rPr>
              <w:t xml:space="preserve"> or </w:t>
            </w:r>
            <w:r w:rsidR="0056307D">
              <w:rPr>
                <w:i/>
                <w:iCs/>
              </w:rPr>
              <w:t>r</w:t>
            </w:r>
            <w:r w:rsidRPr="00D61B58">
              <w:rPr>
                <w:i/>
                <w:iCs/>
              </w:rPr>
              <w:t xml:space="preserve">ecurrent </w:t>
            </w:r>
            <w:r w:rsidR="0056307D">
              <w:rPr>
                <w:i/>
                <w:iCs/>
              </w:rPr>
              <w:t>n</w:t>
            </w:r>
            <w:r w:rsidRPr="00D61B58">
              <w:rPr>
                <w:i/>
                <w:iCs/>
              </w:rPr>
              <w:t>on-</w:t>
            </w:r>
            <w:r w:rsidR="0056307D">
              <w:rPr>
                <w:i/>
                <w:iCs/>
              </w:rPr>
              <w:t>s</w:t>
            </w:r>
            <w:r w:rsidRPr="00D61B58">
              <w:rPr>
                <w:i/>
                <w:iCs/>
              </w:rPr>
              <w:t xml:space="preserve">mall </w:t>
            </w:r>
            <w:r w:rsidR="0056307D">
              <w:rPr>
                <w:i/>
                <w:iCs/>
              </w:rPr>
              <w:t>c</w:t>
            </w:r>
            <w:r w:rsidRPr="00D61B58">
              <w:rPr>
                <w:i/>
                <w:iCs/>
              </w:rPr>
              <w:t xml:space="preserve">ell </w:t>
            </w:r>
            <w:r w:rsidR="0056307D">
              <w:rPr>
                <w:i/>
                <w:iCs/>
              </w:rPr>
              <w:t>l</w:t>
            </w:r>
            <w:r w:rsidRPr="00D61B58">
              <w:rPr>
                <w:i/>
                <w:iCs/>
              </w:rPr>
              <w:t xml:space="preserve">ung </w:t>
            </w:r>
            <w:r w:rsidR="0056307D">
              <w:rPr>
                <w:i/>
                <w:iCs/>
              </w:rPr>
              <w:t>c</w:t>
            </w:r>
            <w:r w:rsidRPr="00D61B58">
              <w:rPr>
                <w:i/>
                <w:iCs/>
              </w:rPr>
              <w:t>ancer (NSCLC)</w:t>
            </w:r>
          </w:p>
          <w:p w14:paraId="60EE8598" w14:textId="17545C22" w:rsidR="00514E73" w:rsidRPr="00D61B58" w:rsidRDefault="00514E73" w:rsidP="00C92AAC">
            <w:pPr>
              <w:cnfStyle w:val="000000000000" w:firstRow="0" w:lastRow="0" w:firstColumn="0" w:lastColumn="0" w:oddVBand="0" w:evenVBand="0" w:oddHBand="0" w:evenHBand="0" w:firstRowFirstColumn="0" w:firstRowLastColumn="0" w:lastRowFirstColumn="0" w:lastRowLastColumn="0"/>
              <w:rPr>
                <w:i/>
                <w:iCs/>
              </w:rPr>
            </w:pPr>
            <w:r w:rsidRPr="00D61B58">
              <w:rPr>
                <w:i/>
                <w:iCs/>
              </w:rPr>
              <w:t>Platinum-</w:t>
            </w:r>
            <w:r w:rsidR="0056307D">
              <w:rPr>
                <w:i/>
                <w:iCs/>
              </w:rPr>
              <w:t>s</w:t>
            </w:r>
            <w:r w:rsidRPr="00D61B58">
              <w:rPr>
                <w:i/>
                <w:iCs/>
              </w:rPr>
              <w:t xml:space="preserve">ensitive </w:t>
            </w:r>
            <w:r w:rsidR="0056307D">
              <w:rPr>
                <w:i/>
                <w:iCs/>
              </w:rPr>
              <w:t>r</w:t>
            </w:r>
            <w:r w:rsidRPr="00D61B58">
              <w:rPr>
                <w:i/>
                <w:iCs/>
              </w:rPr>
              <w:t xml:space="preserve">ecurrent </w:t>
            </w:r>
            <w:r w:rsidR="0056307D">
              <w:rPr>
                <w:i/>
                <w:iCs/>
              </w:rPr>
              <w:t>e</w:t>
            </w:r>
            <w:r w:rsidRPr="00D61B58">
              <w:rPr>
                <w:i/>
                <w:iCs/>
              </w:rPr>
              <w:t xml:space="preserve">pithelial </w:t>
            </w:r>
            <w:r w:rsidR="0056307D">
              <w:rPr>
                <w:i/>
                <w:iCs/>
              </w:rPr>
              <w:t>o</w:t>
            </w:r>
            <w:r w:rsidRPr="00D61B58">
              <w:rPr>
                <w:i/>
                <w:iCs/>
              </w:rPr>
              <w:t xml:space="preserve">varian, </w:t>
            </w:r>
            <w:r w:rsidR="0056307D">
              <w:rPr>
                <w:i/>
                <w:iCs/>
              </w:rPr>
              <w:t>f</w:t>
            </w:r>
            <w:r w:rsidRPr="00D61B58">
              <w:rPr>
                <w:i/>
                <w:iCs/>
              </w:rPr>
              <w:t xml:space="preserve">allopian </w:t>
            </w:r>
            <w:r w:rsidR="0056307D">
              <w:rPr>
                <w:i/>
                <w:iCs/>
              </w:rPr>
              <w:t>t</w:t>
            </w:r>
            <w:r w:rsidRPr="00D61B58">
              <w:rPr>
                <w:i/>
                <w:iCs/>
              </w:rPr>
              <w:t xml:space="preserve">ube and </w:t>
            </w:r>
            <w:r w:rsidR="0056307D">
              <w:rPr>
                <w:i/>
                <w:iCs/>
              </w:rPr>
              <w:t>p</w:t>
            </w:r>
            <w:r w:rsidRPr="00D61B58">
              <w:rPr>
                <w:i/>
                <w:iCs/>
              </w:rPr>
              <w:t xml:space="preserve">rimary </w:t>
            </w:r>
            <w:r w:rsidR="0056307D">
              <w:rPr>
                <w:i/>
                <w:iCs/>
              </w:rPr>
              <w:t>p</w:t>
            </w:r>
            <w:r w:rsidRPr="00D61B58">
              <w:rPr>
                <w:i/>
                <w:iCs/>
              </w:rPr>
              <w:t xml:space="preserve">eritoneal </w:t>
            </w:r>
            <w:r w:rsidR="0056307D">
              <w:rPr>
                <w:i/>
                <w:iCs/>
              </w:rPr>
              <w:t>c</w:t>
            </w:r>
            <w:r w:rsidRPr="00D61B58">
              <w:rPr>
                <w:i/>
                <w:iCs/>
              </w:rPr>
              <w:t>ancer</w:t>
            </w:r>
          </w:p>
          <w:p w14:paraId="39881068" w14:textId="62B78D52" w:rsidR="00514E73" w:rsidRPr="00D61B58" w:rsidRDefault="00514E73" w:rsidP="00C92AAC">
            <w:pPr>
              <w:cnfStyle w:val="000000000000" w:firstRow="0" w:lastRow="0" w:firstColumn="0" w:lastColumn="0" w:oddVBand="0" w:evenVBand="0" w:oddHBand="0" w:evenHBand="0" w:firstRowFirstColumn="0" w:firstRowLastColumn="0" w:lastRowFirstColumn="0" w:lastRowLastColumn="0"/>
              <w:rPr>
                <w:i/>
                <w:iCs/>
              </w:rPr>
            </w:pPr>
            <w:r w:rsidRPr="00D61B58">
              <w:rPr>
                <w:i/>
                <w:iCs/>
              </w:rPr>
              <w:t>Platinum-</w:t>
            </w:r>
            <w:r w:rsidR="0056307D">
              <w:rPr>
                <w:i/>
                <w:iCs/>
              </w:rPr>
              <w:t>r</w:t>
            </w:r>
            <w:r w:rsidRPr="00D61B58">
              <w:rPr>
                <w:i/>
                <w:iCs/>
              </w:rPr>
              <w:t xml:space="preserve">esistant </w:t>
            </w:r>
            <w:r w:rsidR="0056307D">
              <w:rPr>
                <w:i/>
                <w:iCs/>
              </w:rPr>
              <w:t>r</w:t>
            </w:r>
            <w:r w:rsidRPr="00D61B58">
              <w:rPr>
                <w:i/>
                <w:iCs/>
              </w:rPr>
              <w:t xml:space="preserve">ecurrent </w:t>
            </w:r>
            <w:r w:rsidR="0056307D">
              <w:rPr>
                <w:i/>
                <w:iCs/>
              </w:rPr>
              <w:t>e</w:t>
            </w:r>
            <w:r w:rsidRPr="00D61B58">
              <w:rPr>
                <w:i/>
                <w:iCs/>
              </w:rPr>
              <w:t xml:space="preserve">pithelial </w:t>
            </w:r>
            <w:r w:rsidR="0056307D">
              <w:rPr>
                <w:i/>
                <w:iCs/>
              </w:rPr>
              <w:t>o</w:t>
            </w:r>
            <w:r w:rsidRPr="00D61B58">
              <w:rPr>
                <w:i/>
                <w:iCs/>
              </w:rPr>
              <w:t xml:space="preserve">varian, </w:t>
            </w:r>
            <w:r w:rsidR="0056307D">
              <w:rPr>
                <w:i/>
                <w:iCs/>
              </w:rPr>
              <w:t>f</w:t>
            </w:r>
            <w:r w:rsidRPr="00D61B58">
              <w:rPr>
                <w:i/>
                <w:iCs/>
              </w:rPr>
              <w:t xml:space="preserve">allopian </w:t>
            </w:r>
            <w:r w:rsidR="0056307D">
              <w:rPr>
                <w:i/>
                <w:iCs/>
              </w:rPr>
              <w:t>t</w:t>
            </w:r>
            <w:r w:rsidRPr="00D61B58">
              <w:rPr>
                <w:i/>
                <w:iCs/>
              </w:rPr>
              <w:t xml:space="preserve">ube and </w:t>
            </w:r>
            <w:r w:rsidR="0056307D">
              <w:rPr>
                <w:i/>
                <w:iCs/>
              </w:rPr>
              <w:t>p</w:t>
            </w:r>
            <w:r w:rsidRPr="00D61B58">
              <w:rPr>
                <w:i/>
                <w:iCs/>
              </w:rPr>
              <w:t xml:space="preserve">rimary </w:t>
            </w:r>
            <w:r w:rsidR="0056307D">
              <w:rPr>
                <w:i/>
                <w:iCs/>
              </w:rPr>
              <w:t>p</w:t>
            </w:r>
            <w:r w:rsidRPr="00D61B58">
              <w:rPr>
                <w:i/>
                <w:iCs/>
              </w:rPr>
              <w:t xml:space="preserve">eritoneal </w:t>
            </w:r>
            <w:r w:rsidR="0056307D">
              <w:rPr>
                <w:i/>
                <w:iCs/>
              </w:rPr>
              <w:t>c</w:t>
            </w:r>
            <w:r w:rsidRPr="00D61B58">
              <w:rPr>
                <w:i/>
                <w:iCs/>
              </w:rPr>
              <w:t>ancer</w:t>
            </w:r>
          </w:p>
          <w:p w14:paraId="33EA26BF" w14:textId="67619624" w:rsidR="00514E73" w:rsidRPr="00D01DDB" w:rsidRDefault="00514E73" w:rsidP="00C92AAC">
            <w:pPr>
              <w:cnfStyle w:val="000000000000" w:firstRow="0" w:lastRow="0" w:firstColumn="0" w:lastColumn="0" w:oddVBand="0" w:evenVBand="0" w:oddHBand="0" w:evenHBand="0" w:firstRowFirstColumn="0" w:firstRowLastColumn="0" w:lastRowFirstColumn="0" w:lastRowLastColumn="0"/>
              <w:rPr>
                <w:szCs w:val="22"/>
              </w:rPr>
            </w:pPr>
            <w:r w:rsidRPr="00D61B58">
              <w:rPr>
                <w:i/>
                <w:iCs/>
              </w:rPr>
              <w:t xml:space="preserve">Malignant </w:t>
            </w:r>
            <w:r w:rsidR="0056307D">
              <w:rPr>
                <w:i/>
                <w:iCs/>
              </w:rPr>
              <w:t>g</w:t>
            </w:r>
            <w:r w:rsidRPr="00D61B58">
              <w:rPr>
                <w:i/>
                <w:iCs/>
              </w:rPr>
              <w:t xml:space="preserve">lioma (WHO Grade IV) - </w:t>
            </w:r>
            <w:r w:rsidR="0056307D">
              <w:rPr>
                <w:i/>
                <w:iCs/>
              </w:rPr>
              <w:t>g</w:t>
            </w:r>
            <w:r w:rsidRPr="00D61B58">
              <w:rPr>
                <w:i/>
                <w:iCs/>
              </w:rPr>
              <w:t>lioblastoma</w:t>
            </w:r>
          </w:p>
        </w:tc>
      </w:tr>
      <w:tr w:rsidR="00514E73" w:rsidRPr="00D01DDB" w14:paraId="073E1FB2" w14:textId="77777777" w:rsidTr="00C92AAC">
        <w:trPr>
          <w:cantSplit w:val="0"/>
        </w:trPr>
        <w:tc>
          <w:tcPr>
            <w:cnfStyle w:val="001000000000" w:firstRow="0" w:lastRow="0" w:firstColumn="1" w:lastColumn="0" w:oddVBand="0" w:evenVBand="0" w:oddHBand="0" w:evenHBand="0" w:firstRowFirstColumn="0" w:firstRowLastColumn="0" w:lastRowFirstColumn="0" w:lastRowLastColumn="0"/>
            <w:tcW w:w="806" w:type="pct"/>
          </w:tcPr>
          <w:p w14:paraId="5D7E510F" w14:textId="77777777" w:rsidR="00514E73" w:rsidRPr="00D01DDB" w:rsidRDefault="00514E73" w:rsidP="00C92AAC">
            <w:pPr>
              <w:rPr>
                <w:szCs w:val="22"/>
              </w:rPr>
            </w:pPr>
            <w:r>
              <w:rPr>
                <w:szCs w:val="22"/>
              </w:rPr>
              <w:t>Brazil</w:t>
            </w:r>
          </w:p>
        </w:tc>
        <w:tc>
          <w:tcPr>
            <w:tcW w:w="913" w:type="pct"/>
          </w:tcPr>
          <w:p w14:paraId="51F88217" w14:textId="77777777" w:rsidR="00514E73" w:rsidRPr="00D01DDB" w:rsidRDefault="00514E73" w:rsidP="00C92AAC">
            <w:pPr>
              <w:cnfStyle w:val="000000000000" w:firstRow="0" w:lastRow="0" w:firstColumn="0" w:lastColumn="0" w:oddVBand="0" w:evenVBand="0" w:oddHBand="0" w:evenHBand="0" w:firstRowFirstColumn="0" w:firstRowLastColumn="0" w:lastRowFirstColumn="0" w:lastRowLastColumn="0"/>
              <w:rPr>
                <w:szCs w:val="22"/>
              </w:rPr>
            </w:pPr>
            <w:r>
              <w:rPr>
                <w:szCs w:val="22"/>
              </w:rPr>
              <w:t>20 January 2022</w:t>
            </w:r>
          </w:p>
        </w:tc>
        <w:tc>
          <w:tcPr>
            <w:tcW w:w="946" w:type="pct"/>
            <w:gridSpan w:val="2"/>
          </w:tcPr>
          <w:p w14:paraId="45A39DCC" w14:textId="77777777" w:rsidR="00514E73" w:rsidRPr="00D01DDB" w:rsidRDefault="00514E73" w:rsidP="00C92AAC">
            <w:pPr>
              <w:cnfStyle w:val="000000000000" w:firstRow="0" w:lastRow="0" w:firstColumn="0" w:lastColumn="0" w:oddVBand="0" w:evenVBand="0" w:oddHBand="0" w:evenHBand="0" w:firstRowFirstColumn="0" w:firstRowLastColumn="0" w:lastRowFirstColumn="0" w:lastRowLastColumn="0"/>
              <w:rPr>
                <w:szCs w:val="22"/>
              </w:rPr>
            </w:pPr>
            <w:r w:rsidRPr="00967E8A">
              <w:rPr>
                <w:szCs w:val="22"/>
              </w:rPr>
              <w:t>Under consideration</w:t>
            </w:r>
          </w:p>
        </w:tc>
        <w:tc>
          <w:tcPr>
            <w:tcW w:w="2335" w:type="pct"/>
          </w:tcPr>
          <w:p w14:paraId="30E97519" w14:textId="77777777" w:rsidR="00514E73" w:rsidRPr="00D01DDB" w:rsidRDefault="00514E73" w:rsidP="00C92AAC">
            <w:pPr>
              <w:cnfStyle w:val="000000000000" w:firstRow="0" w:lastRow="0" w:firstColumn="0" w:lastColumn="0" w:oddVBand="0" w:evenVBand="0" w:oddHBand="0" w:evenHBand="0" w:firstRowFirstColumn="0" w:firstRowLastColumn="0" w:lastRowFirstColumn="0" w:lastRowLastColumn="0"/>
              <w:rPr>
                <w:szCs w:val="22"/>
              </w:rPr>
            </w:pPr>
          </w:p>
        </w:tc>
      </w:tr>
    </w:tbl>
    <w:p w14:paraId="6D92589C" w14:textId="09786CEF" w:rsidR="00324B33" w:rsidRDefault="00324B33" w:rsidP="00324B33">
      <w:pPr>
        <w:pStyle w:val="Heading2"/>
      </w:pPr>
      <w:bookmarkStart w:id="24" w:name="_Toc504480011"/>
      <w:bookmarkStart w:id="25" w:name="_Toc103679293"/>
      <w:bookmarkStart w:id="26" w:name="_Toc156210056"/>
      <w:r>
        <w:t>Registration timeline</w:t>
      </w:r>
      <w:bookmarkEnd w:id="24"/>
      <w:bookmarkEnd w:id="25"/>
      <w:bookmarkEnd w:id="26"/>
    </w:p>
    <w:p w14:paraId="225E3D87" w14:textId="1F3070CE" w:rsidR="00324B33" w:rsidRPr="00BD5DBD" w:rsidRDefault="00324B33" w:rsidP="00324B33">
      <w:pPr>
        <w:rPr>
          <w:szCs w:val="22"/>
        </w:rPr>
      </w:pPr>
      <w:r w:rsidRPr="00BD5DBD">
        <w:rPr>
          <w:szCs w:val="22"/>
        </w:rPr>
        <w:t>The following table captures the key steps and dates for this submission.</w:t>
      </w:r>
    </w:p>
    <w:p w14:paraId="6BB76942" w14:textId="07A699FE" w:rsidR="00477C4E" w:rsidRPr="00BD5DBD" w:rsidRDefault="00477C4E" w:rsidP="00324B33">
      <w:pPr>
        <w:rPr>
          <w:szCs w:val="22"/>
        </w:rPr>
      </w:pPr>
      <w:r w:rsidRPr="00BD5DBD">
        <w:rPr>
          <w:szCs w:val="22"/>
        </w:rPr>
        <w:t xml:space="preserve">This submission was evaluated under the </w:t>
      </w:r>
      <w:hyperlink r:id="rId23" w:history="1">
        <w:r w:rsidRPr="00BD5DBD">
          <w:rPr>
            <w:rStyle w:val="Hyperlink"/>
            <w:szCs w:val="22"/>
          </w:rPr>
          <w:t>standard prescription medicines registration process</w:t>
        </w:r>
      </w:hyperlink>
      <w:r w:rsidRPr="00BD5DBD">
        <w:rPr>
          <w:szCs w:val="22"/>
        </w:rPr>
        <w:t>.</w:t>
      </w:r>
    </w:p>
    <w:p w14:paraId="44628C5F" w14:textId="72EC2186" w:rsidR="00324B33" w:rsidRDefault="00324B33" w:rsidP="002C1232">
      <w:pPr>
        <w:pStyle w:val="TableTitle"/>
      </w:pPr>
      <w:r w:rsidRPr="002C1232">
        <w:t xml:space="preserve">Table </w:t>
      </w:r>
      <w:r w:rsidR="006D24F9">
        <w:fldChar w:fldCharType="begin"/>
      </w:r>
      <w:r w:rsidR="006D24F9">
        <w:instrText xml:space="preserve"> SEQ Table \* ARABIC </w:instrText>
      </w:r>
      <w:r w:rsidR="006D24F9">
        <w:fldChar w:fldCharType="separate"/>
      </w:r>
      <w:r w:rsidR="003E0D9C">
        <w:rPr>
          <w:noProof/>
        </w:rPr>
        <w:t>2</w:t>
      </w:r>
      <w:r w:rsidR="006D24F9">
        <w:rPr>
          <w:noProof/>
        </w:rPr>
        <w:fldChar w:fldCharType="end"/>
      </w:r>
      <w:r w:rsidRPr="002C1232">
        <w:t>: Timeline for Submission PM-202</w:t>
      </w:r>
      <w:r w:rsidR="007851AF">
        <w:t>2-04193</w:t>
      </w:r>
      <w:r w:rsidRPr="002C1232">
        <w:t>-1-</w:t>
      </w:r>
      <w:r w:rsidR="007851AF">
        <w:t>4</w:t>
      </w:r>
    </w:p>
    <w:tbl>
      <w:tblPr>
        <w:tblStyle w:val="TableTGAblue2023"/>
        <w:tblW w:w="8642" w:type="dxa"/>
        <w:tblLook w:val="04A0" w:firstRow="1" w:lastRow="0" w:firstColumn="1" w:lastColumn="0" w:noHBand="0" w:noVBand="1"/>
      </w:tblPr>
      <w:tblGrid>
        <w:gridCol w:w="6091"/>
        <w:gridCol w:w="2551"/>
      </w:tblGrid>
      <w:tr w:rsidR="00324B33" w:rsidRPr="00D01DDB" w14:paraId="6C59BE9C" w14:textId="77777777" w:rsidTr="006D2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16D80E78" w14:textId="3EC0CCAF" w:rsidR="00324B33" w:rsidRPr="00D01DDB" w:rsidRDefault="00324B33" w:rsidP="00324B33">
            <w:pPr>
              <w:rPr>
                <w:szCs w:val="22"/>
              </w:rPr>
            </w:pPr>
            <w:r w:rsidRPr="00D01DDB">
              <w:rPr>
                <w:szCs w:val="22"/>
              </w:rPr>
              <w:t>Description</w:t>
            </w:r>
          </w:p>
        </w:tc>
        <w:tc>
          <w:tcPr>
            <w:tcW w:w="2551"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6D24F9">
        <w:tc>
          <w:tcPr>
            <w:cnfStyle w:val="001000000000" w:firstRow="0" w:lastRow="0" w:firstColumn="1" w:lastColumn="0" w:oddVBand="0" w:evenVBand="0" w:oddHBand="0" w:evenHBand="0" w:firstRowFirstColumn="0" w:firstRowLastColumn="0" w:lastRowFirstColumn="0" w:lastRowLastColumn="0"/>
            <w:tcW w:w="6091" w:type="dxa"/>
          </w:tcPr>
          <w:p w14:paraId="759D2A12" w14:textId="0D705F83" w:rsidR="00324B33" w:rsidRPr="00E679D1" w:rsidRDefault="00324B33" w:rsidP="00E679D1">
            <w:r w:rsidRPr="00E679D1">
              <w:t>Submission dossier accepted and first round evaluation commenced</w:t>
            </w:r>
          </w:p>
        </w:tc>
        <w:tc>
          <w:tcPr>
            <w:tcW w:w="2551" w:type="dxa"/>
          </w:tcPr>
          <w:p w14:paraId="2963D9D8" w14:textId="3A1A9314" w:rsidR="00324B33" w:rsidRPr="00D01DDB" w:rsidRDefault="007851A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30 November 2022</w:t>
            </w:r>
          </w:p>
        </w:tc>
      </w:tr>
      <w:tr w:rsidR="00324B33" w:rsidRPr="00D01DDB" w14:paraId="53437815" w14:textId="77777777" w:rsidTr="006D24F9">
        <w:tc>
          <w:tcPr>
            <w:cnfStyle w:val="001000000000" w:firstRow="0" w:lastRow="0" w:firstColumn="1" w:lastColumn="0" w:oddVBand="0" w:evenVBand="0" w:oddHBand="0" w:evenHBand="0" w:firstRowFirstColumn="0" w:firstRowLastColumn="0" w:lastRowFirstColumn="0" w:lastRowLastColumn="0"/>
            <w:tcW w:w="6091" w:type="dxa"/>
          </w:tcPr>
          <w:p w14:paraId="4C037D4E" w14:textId="2B0CE255" w:rsidR="00324B33" w:rsidRPr="00E679D1" w:rsidRDefault="00324B33" w:rsidP="00E679D1">
            <w:r w:rsidRPr="00E679D1">
              <w:t>First round evaluation completed</w:t>
            </w:r>
          </w:p>
        </w:tc>
        <w:tc>
          <w:tcPr>
            <w:tcW w:w="2551" w:type="dxa"/>
          </w:tcPr>
          <w:p w14:paraId="3CEAFAAB" w14:textId="04C2B271" w:rsidR="00324B33" w:rsidRPr="00D01DDB" w:rsidRDefault="007907E5"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15 June 2023</w:t>
            </w:r>
          </w:p>
        </w:tc>
      </w:tr>
      <w:tr w:rsidR="00324B33" w:rsidRPr="00D01DDB" w14:paraId="60DA57CC" w14:textId="77777777" w:rsidTr="006D24F9">
        <w:tc>
          <w:tcPr>
            <w:cnfStyle w:val="001000000000" w:firstRow="0" w:lastRow="0" w:firstColumn="1" w:lastColumn="0" w:oddVBand="0" w:evenVBand="0" w:oddHBand="0" w:evenHBand="0" w:firstRowFirstColumn="0" w:firstRowLastColumn="0" w:lastRowFirstColumn="0" w:lastRowLastColumn="0"/>
            <w:tcW w:w="6091" w:type="dxa"/>
          </w:tcPr>
          <w:p w14:paraId="02EA1147" w14:textId="2853A422" w:rsidR="00324B33" w:rsidRPr="00E679D1" w:rsidRDefault="00324B33" w:rsidP="00E679D1">
            <w:r w:rsidRPr="00E679D1">
              <w:t>Sponsor provides responses on questions raised in first round evaluation</w:t>
            </w:r>
          </w:p>
        </w:tc>
        <w:tc>
          <w:tcPr>
            <w:tcW w:w="2551" w:type="dxa"/>
          </w:tcPr>
          <w:p w14:paraId="68A577C1" w14:textId="0AF8F96E" w:rsidR="00324B33" w:rsidRPr="00D01DDB" w:rsidRDefault="007907E5"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14 July 2023</w:t>
            </w:r>
          </w:p>
        </w:tc>
      </w:tr>
      <w:tr w:rsidR="00324B33" w:rsidRPr="00D01DDB" w14:paraId="767E33A4" w14:textId="77777777" w:rsidTr="006D24F9">
        <w:tc>
          <w:tcPr>
            <w:cnfStyle w:val="001000000000" w:firstRow="0" w:lastRow="0" w:firstColumn="1" w:lastColumn="0" w:oddVBand="0" w:evenVBand="0" w:oddHBand="0" w:evenHBand="0" w:firstRowFirstColumn="0" w:firstRowLastColumn="0" w:lastRowFirstColumn="0" w:lastRowLastColumn="0"/>
            <w:tcW w:w="6091" w:type="dxa"/>
          </w:tcPr>
          <w:p w14:paraId="4AFC5B50" w14:textId="2BCC6A3E" w:rsidR="00324B33" w:rsidRPr="00E679D1" w:rsidRDefault="00324B33" w:rsidP="00E679D1">
            <w:r w:rsidRPr="00E679D1">
              <w:t>Second round evaluation completed</w:t>
            </w:r>
          </w:p>
        </w:tc>
        <w:tc>
          <w:tcPr>
            <w:tcW w:w="2551" w:type="dxa"/>
          </w:tcPr>
          <w:p w14:paraId="4E47DF62" w14:textId="6EB6BD23" w:rsidR="00324B33" w:rsidRPr="00D01DDB" w:rsidRDefault="007907E5"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 August 2023</w:t>
            </w:r>
          </w:p>
        </w:tc>
      </w:tr>
      <w:tr w:rsidR="00020FF2" w:rsidRPr="00D01DDB" w14:paraId="6BE6DD33" w14:textId="77777777" w:rsidTr="006D24F9">
        <w:tc>
          <w:tcPr>
            <w:cnfStyle w:val="001000000000" w:firstRow="0" w:lastRow="0" w:firstColumn="1" w:lastColumn="0" w:oddVBand="0" w:evenVBand="0" w:oddHBand="0" w:evenHBand="0" w:firstRowFirstColumn="0" w:firstRowLastColumn="0" w:lastRowFirstColumn="0" w:lastRowLastColumn="0"/>
            <w:tcW w:w="6091" w:type="dxa"/>
          </w:tcPr>
          <w:p w14:paraId="14764CC8" w14:textId="43DE44A7" w:rsidR="00020FF2" w:rsidRPr="00E679D1" w:rsidRDefault="00020FF2" w:rsidP="00020FF2">
            <w:r>
              <w:t xml:space="preserve">Sponsor’s </w:t>
            </w:r>
            <w:r w:rsidRPr="00020FF2">
              <w:t>notification to the TGA of errors/omissions in evaluation reports</w:t>
            </w:r>
          </w:p>
        </w:tc>
        <w:tc>
          <w:tcPr>
            <w:tcW w:w="2551" w:type="dxa"/>
          </w:tcPr>
          <w:p w14:paraId="196C5433" w14:textId="16CF182D" w:rsidR="00020FF2" w:rsidRPr="00D01DDB" w:rsidRDefault="007907E5"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9 August 2023</w:t>
            </w:r>
          </w:p>
        </w:tc>
      </w:tr>
      <w:tr w:rsidR="00324B33" w:rsidRPr="00D01DDB" w14:paraId="302FCB45" w14:textId="77777777" w:rsidTr="006D24F9">
        <w:tc>
          <w:tcPr>
            <w:cnfStyle w:val="001000000000" w:firstRow="0" w:lastRow="0" w:firstColumn="1" w:lastColumn="0" w:oddVBand="0" w:evenVBand="0" w:oddHBand="0" w:evenHBand="0" w:firstRowFirstColumn="0" w:firstRowLastColumn="0" w:lastRowFirstColumn="0" w:lastRowLastColumn="0"/>
            <w:tcW w:w="6091" w:type="dxa"/>
          </w:tcPr>
          <w:p w14:paraId="716E9DC1" w14:textId="34E6346E" w:rsidR="00324B33" w:rsidRPr="00D01DDB" w:rsidRDefault="00324B33" w:rsidP="00324B33">
            <w:pPr>
              <w:rPr>
                <w:szCs w:val="22"/>
              </w:rPr>
            </w:pPr>
            <w:r w:rsidRPr="00D01DDB">
              <w:rPr>
                <w:szCs w:val="22"/>
              </w:rPr>
              <w:lastRenderedPageBreak/>
              <w:t>Delegate’s</w:t>
            </w:r>
            <w:r w:rsidR="00500D68">
              <w:rPr>
                <w:rStyle w:val="FootnoteReference"/>
                <w:szCs w:val="22"/>
              </w:rPr>
              <w:footnoteReference w:id="3"/>
            </w:r>
            <w:r w:rsidRPr="00D01DDB">
              <w:rPr>
                <w:szCs w:val="22"/>
              </w:rPr>
              <w:t xml:space="preserve"> Overall benefit-risk assessment</w:t>
            </w:r>
          </w:p>
        </w:tc>
        <w:tc>
          <w:tcPr>
            <w:tcW w:w="2551" w:type="dxa"/>
          </w:tcPr>
          <w:p w14:paraId="3BA6EF79" w14:textId="53AE854D" w:rsidR="00324B33" w:rsidRPr="00D01DDB" w:rsidRDefault="007851A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15 August 2023</w:t>
            </w:r>
          </w:p>
        </w:tc>
      </w:tr>
      <w:tr w:rsidR="00324B33" w:rsidRPr="00D01DDB" w14:paraId="5754F7AC" w14:textId="77777777" w:rsidTr="006D24F9">
        <w:tc>
          <w:tcPr>
            <w:cnfStyle w:val="001000000000" w:firstRow="0" w:lastRow="0" w:firstColumn="1" w:lastColumn="0" w:oddVBand="0" w:evenVBand="0" w:oddHBand="0" w:evenHBand="0" w:firstRowFirstColumn="0" w:firstRowLastColumn="0" w:lastRowFirstColumn="0" w:lastRowLastColumn="0"/>
            <w:tcW w:w="6091" w:type="dxa"/>
          </w:tcPr>
          <w:p w14:paraId="789DE187" w14:textId="123446EE" w:rsidR="00324B33" w:rsidRPr="00E679D1" w:rsidRDefault="00324B33" w:rsidP="00E679D1">
            <w:r w:rsidRPr="00E679D1">
              <w:t>Advisory Committee meeting</w:t>
            </w:r>
          </w:p>
        </w:tc>
        <w:tc>
          <w:tcPr>
            <w:tcW w:w="2551" w:type="dxa"/>
          </w:tcPr>
          <w:p w14:paraId="5BE1EDE7" w14:textId="69E85334" w:rsidR="00324B33" w:rsidRPr="00D01DDB" w:rsidRDefault="007851A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Not applicable</w:t>
            </w:r>
          </w:p>
        </w:tc>
      </w:tr>
      <w:tr w:rsidR="00324B33" w:rsidRPr="00D01DDB" w14:paraId="6E5D32FE" w14:textId="77777777" w:rsidTr="006D24F9">
        <w:tc>
          <w:tcPr>
            <w:cnfStyle w:val="001000000000" w:firstRow="0" w:lastRow="0" w:firstColumn="1" w:lastColumn="0" w:oddVBand="0" w:evenVBand="0" w:oddHBand="0" w:evenHBand="0" w:firstRowFirstColumn="0" w:firstRowLastColumn="0" w:lastRowFirstColumn="0" w:lastRowLastColumn="0"/>
            <w:tcW w:w="6091" w:type="dxa"/>
          </w:tcPr>
          <w:p w14:paraId="4E95C44C" w14:textId="7A91C710" w:rsidR="00324B33" w:rsidRPr="00E679D1" w:rsidRDefault="00324B33" w:rsidP="00E679D1">
            <w:r w:rsidRPr="00E679D1">
              <w:t>Registration decision (Outcome)</w:t>
            </w:r>
          </w:p>
        </w:tc>
        <w:tc>
          <w:tcPr>
            <w:tcW w:w="2551" w:type="dxa"/>
          </w:tcPr>
          <w:p w14:paraId="62987ABD" w14:textId="49750202" w:rsidR="00324B33" w:rsidRPr="00D01DDB" w:rsidRDefault="007851A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30 August 2023</w:t>
            </w:r>
          </w:p>
        </w:tc>
      </w:tr>
      <w:tr w:rsidR="00324B33" w:rsidRPr="00D01DDB" w14:paraId="6DDCDDA4" w14:textId="77777777" w:rsidTr="006D24F9">
        <w:tc>
          <w:tcPr>
            <w:cnfStyle w:val="001000000000" w:firstRow="0" w:lastRow="0" w:firstColumn="1" w:lastColumn="0" w:oddVBand="0" w:evenVBand="0" w:oddHBand="0" w:evenHBand="0" w:firstRowFirstColumn="0" w:firstRowLastColumn="0" w:lastRowFirstColumn="0" w:lastRowLastColumn="0"/>
            <w:tcW w:w="6091" w:type="dxa"/>
          </w:tcPr>
          <w:p w14:paraId="192FD19D" w14:textId="3612A2E7" w:rsidR="00324B33" w:rsidRPr="00E679D1" w:rsidRDefault="0013132F" w:rsidP="00E679D1">
            <w:r w:rsidRPr="00E679D1">
              <w:t xml:space="preserve">Administrative activities and registration </w:t>
            </w:r>
            <w:r w:rsidR="005C4B46" w:rsidRPr="00E679D1">
              <w:t xml:space="preserve">in </w:t>
            </w:r>
            <w:r w:rsidRPr="00E679D1">
              <w:t>the ARTG completed</w:t>
            </w:r>
          </w:p>
        </w:tc>
        <w:tc>
          <w:tcPr>
            <w:tcW w:w="2551" w:type="dxa"/>
          </w:tcPr>
          <w:p w14:paraId="5A8923FD" w14:textId="7FE9E7FE" w:rsidR="00324B33" w:rsidRPr="00D01DDB" w:rsidRDefault="007851A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5 September 2023</w:t>
            </w:r>
          </w:p>
        </w:tc>
      </w:tr>
      <w:tr w:rsidR="00324B33" w:rsidRPr="00D01DDB" w14:paraId="56D922E2" w14:textId="77777777" w:rsidTr="006D24F9">
        <w:tc>
          <w:tcPr>
            <w:cnfStyle w:val="001000000000" w:firstRow="0" w:lastRow="0" w:firstColumn="1" w:lastColumn="0" w:oddVBand="0" w:evenVBand="0" w:oddHBand="0" w:evenHBand="0" w:firstRowFirstColumn="0" w:firstRowLastColumn="0" w:lastRowFirstColumn="0" w:lastRowLastColumn="0"/>
            <w:tcW w:w="6091" w:type="dxa"/>
          </w:tcPr>
          <w:p w14:paraId="787FD8DD" w14:textId="0E0CF97F" w:rsidR="00324B33" w:rsidRPr="00E679D1" w:rsidRDefault="00324B33" w:rsidP="00E679D1">
            <w:r w:rsidRPr="00E679D1">
              <w:t>Number of working days from submission dossier acceptance to registration decision*</w:t>
            </w:r>
          </w:p>
        </w:tc>
        <w:tc>
          <w:tcPr>
            <w:tcW w:w="2551" w:type="dxa"/>
          </w:tcPr>
          <w:p w14:paraId="5BAF9FA1" w14:textId="39C481CA" w:rsidR="00324B33" w:rsidRPr="00D01DDB" w:rsidRDefault="007851A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138</w:t>
            </w:r>
          </w:p>
        </w:tc>
      </w:tr>
    </w:tbl>
    <w:p w14:paraId="47E88CFC" w14:textId="52215AAF" w:rsidR="00433318" w:rsidRDefault="00433318" w:rsidP="00854D98">
      <w:pPr>
        <w:pStyle w:val="TableDescription"/>
      </w:pPr>
      <w:r w:rsidRPr="00B0367E">
        <w:t>* The COR-B process has a 175 working day evaluation and decision timeframe.</w:t>
      </w:r>
    </w:p>
    <w:p w14:paraId="220925F1" w14:textId="77777777" w:rsidR="00C22214" w:rsidRPr="00792A32" w:rsidRDefault="00C22214" w:rsidP="00C22214">
      <w:pPr>
        <w:pStyle w:val="Heading2"/>
      </w:pPr>
      <w:bookmarkStart w:id="27" w:name="_Toc196046504"/>
      <w:bookmarkStart w:id="28" w:name="_Toc247691527"/>
      <w:bookmarkStart w:id="29" w:name="_Toc314842510"/>
      <w:bookmarkStart w:id="30" w:name="_Toc103679294"/>
      <w:bookmarkStart w:id="31" w:name="_Toc156210057"/>
      <w:r w:rsidRPr="00006FAB">
        <w:t xml:space="preserve">Submission overview </w:t>
      </w:r>
      <w:r w:rsidRPr="00792A32">
        <w:t xml:space="preserve">and </w:t>
      </w:r>
      <w:r>
        <w:t>r</w:t>
      </w:r>
      <w:r w:rsidRPr="00792A32">
        <w:t>isk/</w:t>
      </w:r>
      <w:r>
        <w:t>b</w:t>
      </w:r>
      <w:r w:rsidRPr="00792A32">
        <w:t xml:space="preserve">enefit </w:t>
      </w:r>
      <w:r>
        <w:t>a</w:t>
      </w:r>
      <w:r w:rsidRPr="00792A32">
        <w:t>ssessment</w:t>
      </w:r>
      <w:bookmarkEnd w:id="27"/>
      <w:bookmarkEnd w:id="28"/>
      <w:bookmarkEnd w:id="29"/>
      <w:bookmarkEnd w:id="30"/>
      <w:bookmarkEnd w:id="31"/>
    </w:p>
    <w:p w14:paraId="540151FC" w14:textId="77777777" w:rsidR="00C22214" w:rsidRPr="00BD5DBD" w:rsidRDefault="00C22214" w:rsidP="00BD5DBD">
      <w:pPr>
        <w:rPr>
          <w:szCs w:val="22"/>
        </w:rPr>
      </w:pPr>
      <w:bookmarkStart w:id="32" w:name="_Toc247691528"/>
      <w:bookmarkStart w:id="33" w:name="_Toc314842511"/>
      <w:r w:rsidRPr="00BD5DBD">
        <w:rPr>
          <w:szCs w:val="22"/>
        </w:rPr>
        <w:t>A summary of the TGA’s assessment for this submission is provided below.</w:t>
      </w:r>
    </w:p>
    <w:p w14:paraId="5F5FAA14" w14:textId="77777777" w:rsidR="00C22214" w:rsidRPr="00BD5DBD" w:rsidRDefault="00C22214" w:rsidP="00C22214">
      <w:pPr>
        <w:rPr>
          <w:szCs w:val="22"/>
        </w:rPr>
      </w:pPr>
      <w:r w:rsidRPr="00BD5DBD">
        <w:rPr>
          <w:szCs w:val="22"/>
        </w:rPr>
        <w:t>This section is a TGA summary of wording used in TGA’s evaluation report, which discussed numerous aspects of overseas evaluation reports and included some information that was commercial-in-confidence.</w:t>
      </w:r>
    </w:p>
    <w:p w14:paraId="37F5A1C0" w14:textId="77777777" w:rsidR="00C22214" w:rsidRDefault="00C22214" w:rsidP="00C22214">
      <w:pPr>
        <w:pStyle w:val="Heading3"/>
      </w:pPr>
      <w:bookmarkStart w:id="34" w:name="_Toc103679295"/>
      <w:bookmarkStart w:id="35" w:name="_Toc156210058"/>
      <w:r>
        <w:t>Quality</w:t>
      </w:r>
      <w:bookmarkEnd w:id="32"/>
      <w:bookmarkEnd w:id="33"/>
      <w:bookmarkEnd w:id="34"/>
      <w:bookmarkEnd w:id="35"/>
    </w:p>
    <w:p w14:paraId="13A26365" w14:textId="5D68AAE0" w:rsidR="0099479C" w:rsidRDefault="0099479C" w:rsidP="0099479C">
      <w:r w:rsidRPr="0099479C">
        <w:t>There are no objections on quality grounds to the approval of V</w:t>
      </w:r>
      <w:r>
        <w:t>egzelma</w:t>
      </w:r>
      <w:r w:rsidRPr="0099479C">
        <w:t>.</w:t>
      </w:r>
    </w:p>
    <w:p w14:paraId="57CBC706" w14:textId="7B4BB4E3" w:rsidR="0099479C" w:rsidRPr="00EA1572" w:rsidRDefault="007953CD" w:rsidP="00EA1572">
      <w:pPr>
        <w:rPr>
          <w:highlight w:val="cyan"/>
        </w:rPr>
      </w:pPr>
      <w:r w:rsidRPr="00EA1572">
        <w:t>The sponsor’s code for the active ingredient is CT-P16.</w:t>
      </w:r>
      <w:r w:rsidR="00EA1572" w:rsidRPr="00EA1572">
        <w:t xml:space="preserve"> CT-P16 </w:t>
      </w:r>
      <w:r w:rsidR="0099479C" w:rsidRPr="00EA1572">
        <w:t xml:space="preserve">is a recombinant humanised monoclonal immunoglobulin G1 antibody. Like other </w:t>
      </w:r>
      <w:r w:rsidRPr="00EA1572">
        <w:t xml:space="preserve">immunoglobulins of the </w:t>
      </w:r>
      <w:r w:rsidR="0099479C" w:rsidRPr="00EA1572">
        <w:t>G1 subclass, CT-P16 is a glycoprotein with one N-linked glycosylation site in the CH2 domain of each heavy chain.</w:t>
      </w:r>
      <w:r w:rsidR="00EA1572" w:rsidRPr="00EA1572">
        <w:t xml:space="preserve"> </w:t>
      </w:r>
      <w:r w:rsidR="00EA1572">
        <w:t xml:space="preserve">The </w:t>
      </w:r>
      <w:r w:rsidR="00EA1572" w:rsidRPr="00EA1572">
        <w:t xml:space="preserve">molecular weight </w:t>
      </w:r>
      <w:r w:rsidR="00E51430">
        <w:t>is</w:t>
      </w:r>
      <w:r w:rsidR="00EA1572" w:rsidRPr="00EA1572">
        <w:t xml:space="preserve"> approximately 149 </w:t>
      </w:r>
      <w:r w:rsidR="00E51430">
        <w:t>kDa</w:t>
      </w:r>
      <w:r w:rsidR="00EA1572" w:rsidRPr="00EA1572">
        <w:t>.</w:t>
      </w:r>
    </w:p>
    <w:p w14:paraId="52D8779A" w14:textId="26EAE834" w:rsidR="0099479C" w:rsidRPr="0099479C" w:rsidRDefault="00D4785F" w:rsidP="0099479C">
      <w:r>
        <w:t xml:space="preserve">Vegzelma </w:t>
      </w:r>
      <w:r w:rsidR="0099479C" w:rsidRPr="0099479C">
        <w:t>and A</w:t>
      </w:r>
      <w:r w:rsidR="007953CD">
        <w:t>vastin</w:t>
      </w:r>
      <w:r w:rsidR="0099479C" w:rsidRPr="0099479C">
        <w:t xml:space="preserve"> are identical with respect to pharmaceutical form, concentration and composition, and route of administration.</w:t>
      </w:r>
    </w:p>
    <w:p w14:paraId="709E1F8B" w14:textId="1C36A62D" w:rsidR="0099479C" w:rsidRPr="0099479C" w:rsidRDefault="0099479C" w:rsidP="0099479C">
      <w:r w:rsidRPr="0099479C">
        <w:t>Comprehensive characterisation studies support biosimilarity between Vegzelma and EU-approved Avastin with respect to the structural, physicochemical, and biological properties. Proposed Vegzelma lots were shown to be highly comparable to EU-approved Avastin lots.</w:t>
      </w:r>
    </w:p>
    <w:p w14:paraId="558758EA" w14:textId="1170F691" w:rsidR="0099479C" w:rsidRDefault="0099479C" w:rsidP="0099479C">
      <w:r w:rsidRPr="0099479C">
        <w:t>A bridging study demonstrated comparability between the reference medicinal product registered in Australia using EU-approved and Australia-registered Avastin. Two primary areas of comparability study for EU-approved and Australia-registered Avastin</w:t>
      </w:r>
      <w:r w:rsidR="007953CD">
        <w:t xml:space="preserve"> </w:t>
      </w:r>
      <w:r w:rsidR="007953CD" w:rsidRPr="0099479C">
        <w:t>were estimated in the report</w:t>
      </w:r>
      <w:r w:rsidRPr="0099479C">
        <w:t>: physicochemical characteri</w:t>
      </w:r>
      <w:r w:rsidR="007953CD">
        <w:t>s</w:t>
      </w:r>
      <w:r w:rsidRPr="0099479C">
        <w:t xml:space="preserve">ation including primary, higher order structure, </w:t>
      </w:r>
      <w:r w:rsidRPr="00726341">
        <w:t xml:space="preserve">heterogeneity, </w:t>
      </w:r>
      <w:proofErr w:type="gramStart"/>
      <w:r w:rsidRPr="00726341">
        <w:t>contents</w:t>
      </w:r>
      <w:proofErr w:type="gramEnd"/>
      <w:r w:rsidRPr="00726341">
        <w:t xml:space="preserve"> and purity/impurity studies</w:t>
      </w:r>
      <w:r w:rsidR="007953CD" w:rsidRPr="00726341">
        <w:t>;</w:t>
      </w:r>
      <w:r w:rsidRPr="00726341">
        <w:t xml:space="preserve"> biological functionality of cell-based</w:t>
      </w:r>
      <w:r w:rsidRPr="0099479C">
        <w:t xml:space="preserve"> potency and binding affinity</w:t>
      </w:r>
      <w:r w:rsidR="007953CD">
        <w:t xml:space="preserve">. </w:t>
      </w:r>
      <w:r w:rsidRPr="0099479C">
        <w:t>Overall, the results demonstrated comparability between EU-approved and Australia-registered Avastin both in physicochemical attributes and biological activities. The characterisation studies supporting biosimilarity between Vegzelma and EU-approved Avastin can be viewed as biosimilarity between Vegzelma and Australia-approved Avastin.</w:t>
      </w:r>
    </w:p>
    <w:p w14:paraId="6C5C09E9" w14:textId="2EFC1A0C" w:rsidR="00C20D31" w:rsidRPr="00417724" w:rsidRDefault="007953CD" w:rsidP="00417724">
      <w:r w:rsidRPr="00417724">
        <w:lastRenderedPageBreak/>
        <w:t xml:space="preserve">The drug product is a sterile colourless solution containing 400 mg or 100 mg of </w:t>
      </w:r>
      <w:r w:rsidRPr="00585B93">
        <w:t>bevacizumab presented in 20 mL and 4 mL Type I borosilicate glass vials. The nominal concentration of the solution is 25.0 mg/mL</w:t>
      </w:r>
      <w:r w:rsidR="00C25262" w:rsidRPr="00585B93">
        <w:t xml:space="preserve">. </w:t>
      </w:r>
      <w:r w:rsidR="00EA1572" w:rsidRPr="00585B93">
        <w:t xml:space="preserve">At the proposed storage condition of </w:t>
      </w:r>
      <w:r w:rsidR="00417724" w:rsidRPr="00585B93">
        <w:t xml:space="preserve">2 to 8°C the shelf life is </w:t>
      </w:r>
      <w:r w:rsidR="00FD1D78">
        <w:t xml:space="preserve">48 months for the 400 mg drug product and </w:t>
      </w:r>
      <w:r w:rsidR="00585B93" w:rsidRPr="00585B93">
        <w:t>24 months</w:t>
      </w:r>
      <w:r w:rsidR="00FD1D78">
        <w:t xml:space="preserve"> for the 100 mg drug product</w:t>
      </w:r>
      <w:r w:rsidR="00585B93" w:rsidRPr="00585B93">
        <w:t>.</w:t>
      </w:r>
    </w:p>
    <w:p w14:paraId="00151F08" w14:textId="77777777" w:rsidR="0056307D" w:rsidRDefault="0099479C" w:rsidP="0056307D">
      <w:r>
        <w:t>The Quality evaluation recommended conditions of registration relating to laboratory testing, Certified Product Details, and compliance with Certified Product Details.</w:t>
      </w:r>
      <w:bookmarkStart w:id="36" w:name="_Toc314842512"/>
      <w:bookmarkStart w:id="37" w:name="_Toc103679296"/>
      <w:bookmarkStart w:id="38" w:name="_Toc156210059"/>
    </w:p>
    <w:p w14:paraId="2BE90AAE" w14:textId="517B3E62" w:rsidR="00C22214" w:rsidRDefault="00C22214" w:rsidP="00C22214">
      <w:pPr>
        <w:pStyle w:val="Heading3"/>
      </w:pPr>
      <w:r>
        <w:t>Nonclinical</w:t>
      </w:r>
      <w:bookmarkEnd w:id="36"/>
      <w:bookmarkEnd w:id="37"/>
      <w:bookmarkEnd w:id="38"/>
    </w:p>
    <w:p w14:paraId="451FDA93" w14:textId="3EB573B1" w:rsidR="00C25262" w:rsidRPr="00C25262" w:rsidRDefault="00C25262" w:rsidP="00C25262">
      <w:r w:rsidRPr="00C25262">
        <w:t>The nonclinical dossier contained comparative analytical method validation studies and a repeat-dose toxicity study. The scope of the nonclinical program is adequate under the relevant EU guideline.</w:t>
      </w:r>
      <w:r>
        <w:rPr>
          <w:rStyle w:val="FootnoteReference"/>
        </w:rPr>
        <w:footnoteReference w:id="4"/>
      </w:r>
      <w:r w:rsidRPr="00C25262">
        <w:t xml:space="preserve"> These studies were conducted using the EU-sourced Avastin as the reference product. No</w:t>
      </w:r>
      <w:r w:rsidR="00705C82">
        <w:t xml:space="preserve"> nonclinical</w:t>
      </w:r>
      <w:r w:rsidRPr="00C25262">
        <w:t xml:space="preserve"> data were provided </w:t>
      </w:r>
      <w:r w:rsidR="00585B93">
        <w:t xml:space="preserve">to the TGA </w:t>
      </w:r>
      <w:r w:rsidRPr="00C25262">
        <w:t xml:space="preserve">to verify the comparability of the EU-sourced and Australian-sourced Avastin. Comparative in vitro pharmacology studies were submitted </w:t>
      </w:r>
      <w:r w:rsidR="00705C82">
        <w:t>as quality data</w:t>
      </w:r>
      <w:r w:rsidRPr="00C25262">
        <w:t xml:space="preserve"> and evaluated </w:t>
      </w:r>
      <w:r w:rsidR="00705C82">
        <w:t xml:space="preserve">as part of </w:t>
      </w:r>
      <w:r w:rsidRPr="00C25262">
        <w:t xml:space="preserve">the </w:t>
      </w:r>
      <w:r w:rsidR="00705C82">
        <w:t>quality</w:t>
      </w:r>
      <w:r w:rsidRPr="00C25262">
        <w:t xml:space="preserve"> evaluat</w:t>
      </w:r>
      <w:r w:rsidR="00705C82">
        <w:t>ion</w:t>
      </w:r>
      <w:r w:rsidRPr="00C25262">
        <w:t>.</w:t>
      </w:r>
    </w:p>
    <w:p w14:paraId="14610018" w14:textId="519AABE9" w:rsidR="00C25262" w:rsidRPr="00C25262" w:rsidRDefault="00C25262" w:rsidP="00C25262">
      <w:r w:rsidRPr="00C25262">
        <w:t>A comparative G</w:t>
      </w:r>
      <w:r w:rsidR="00705C82">
        <w:t>ood Laboratory Practice</w:t>
      </w:r>
      <w:r w:rsidRPr="00C25262">
        <w:t xml:space="preserve">-compliant 4-week repeat-dose toxicity study was conducted in young cynomolgus monkeys. The toxicity profile of Vegzelma was compared with that of EU-Avastin (10 and 50 mg/kg/day twice weekly). The choice of species and duration of the study were acceptable as they allowed for a sufficient </w:t>
      </w:r>
      <w:proofErr w:type="gramStart"/>
      <w:r w:rsidRPr="00C25262">
        <w:t>period of time</w:t>
      </w:r>
      <w:proofErr w:type="gramEnd"/>
      <w:r w:rsidRPr="00C25262">
        <w:t xml:space="preserve"> for the development of treatment-related changes seen with the innovator. The intravenous route of administration was used for both test items.</w:t>
      </w:r>
      <w:r w:rsidR="00705C82">
        <w:t xml:space="preserve"> </w:t>
      </w:r>
      <w:r w:rsidRPr="00C25262">
        <w:t>No unexpected toxicity findings were observed.</w:t>
      </w:r>
      <w:r w:rsidR="00585B93">
        <w:t xml:space="preserve"> </w:t>
      </w:r>
      <w:r w:rsidRPr="00C25262">
        <w:t xml:space="preserve">No meaningful </w:t>
      </w:r>
      <w:r w:rsidRPr="00585B93">
        <w:t xml:space="preserve">differences between Vegzelma and </w:t>
      </w:r>
      <w:r w:rsidR="00585B93" w:rsidRPr="00585B93">
        <w:t xml:space="preserve">EU-Avastin </w:t>
      </w:r>
      <w:r w:rsidRPr="00585B93">
        <w:t>were observed in the comparative toxicity study</w:t>
      </w:r>
      <w:r w:rsidRPr="00C25262">
        <w:t xml:space="preserve"> including toxicokinetics</w:t>
      </w:r>
      <w:r w:rsidR="00705C82">
        <w:t>.</w:t>
      </w:r>
    </w:p>
    <w:p w14:paraId="35B580A5" w14:textId="69B9BE44" w:rsidR="00C22214" w:rsidRDefault="00C22214" w:rsidP="008804CF">
      <w:pPr>
        <w:pStyle w:val="Heading3"/>
      </w:pPr>
      <w:bookmarkStart w:id="39" w:name="_Toc247691530"/>
      <w:bookmarkStart w:id="40" w:name="_Toc314842513"/>
      <w:bookmarkStart w:id="41" w:name="_Toc103679297"/>
      <w:bookmarkStart w:id="42" w:name="_Toc156210060"/>
      <w:r>
        <w:t>Clinical</w:t>
      </w:r>
      <w:bookmarkEnd w:id="39"/>
      <w:bookmarkEnd w:id="40"/>
      <w:bookmarkEnd w:id="41"/>
      <w:bookmarkEnd w:id="42"/>
    </w:p>
    <w:p w14:paraId="32B0DEDA" w14:textId="77777777" w:rsidR="00C22214" w:rsidRPr="00433318" w:rsidRDefault="00C22214" w:rsidP="00433318">
      <w:pPr>
        <w:pStyle w:val="Heading4"/>
      </w:pPr>
      <w:bookmarkStart w:id="43" w:name="_Toc98931928"/>
      <w:bookmarkStart w:id="44" w:name="_Toc156210061"/>
      <w:r>
        <w:t>Summary of clinical studies</w:t>
      </w:r>
      <w:bookmarkEnd w:id="43"/>
      <w:bookmarkEnd w:id="44"/>
    </w:p>
    <w:p w14:paraId="46622364" w14:textId="2A6A811D" w:rsidR="00C22214" w:rsidRPr="00BD5DBD" w:rsidRDefault="00C22214" w:rsidP="00C22214">
      <w:pPr>
        <w:rPr>
          <w:szCs w:val="22"/>
        </w:rPr>
      </w:pPr>
      <w:r w:rsidRPr="00BD5DBD">
        <w:rPr>
          <w:szCs w:val="22"/>
        </w:rPr>
        <w:t>The clinical dossier consisted of</w:t>
      </w:r>
      <w:r w:rsidR="007357B9" w:rsidRPr="00BD5DBD">
        <w:rPr>
          <w:szCs w:val="22"/>
        </w:rPr>
        <w:t>:</w:t>
      </w:r>
    </w:p>
    <w:p w14:paraId="711AF9CD" w14:textId="3C1B3ED1" w:rsidR="00ED1478" w:rsidRDefault="00705C82" w:rsidP="00C22214">
      <w:pPr>
        <w:pStyle w:val="ListBullet"/>
        <w:rPr>
          <w:szCs w:val="22"/>
        </w:rPr>
      </w:pPr>
      <w:r>
        <w:rPr>
          <w:szCs w:val="22"/>
        </w:rPr>
        <w:t>two</w:t>
      </w:r>
      <w:r w:rsidR="00C22214" w:rsidRPr="00BD5DBD">
        <w:rPr>
          <w:szCs w:val="22"/>
        </w:rPr>
        <w:t xml:space="preserve"> Phase I studies</w:t>
      </w:r>
      <w:r>
        <w:rPr>
          <w:szCs w:val="22"/>
        </w:rPr>
        <w:t>:</w:t>
      </w:r>
    </w:p>
    <w:p w14:paraId="7CF3B75D" w14:textId="782D2922" w:rsidR="00ED1478" w:rsidRDefault="00705C82" w:rsidP="00ED1478">
      <w:pPr>
        <w:pStyle w:val="ListBullet2"/>
      </w:pPr>
      <w:r>
        <w:t>CT-P16 1.1</w:t>
      </w:r>
      <w:r w:rsidR="00ED1478">
        <w:t xml:space="preserve">, a randomised, double-blind, 3-arm, parallel group, single-dose study to compare the </w:t>
      </w:r>
      <w:r w:rsidR="00FB0EC1">
        <w:t>pharmacokinetics (</w:t>
      </w:r>
      <w:r w:rsidR="00ED1478">
        <w:t>PK</w:t>
      </w:r>
      <w:r w:rsidR="00FB0EC1">
        <w:t>)</w:t>
      </w:r>
      <w:r w:rsidR="00ED1478">
        <w:t xml:space="preserve"> and safety of </w:t>
      </w:r>
      <w:r w:rsidR="00FB0EC1">
        <w:t>3</w:t>
      </w:r>
      <w:r w:rsidR="00ED1478">
        <w:t xml:space="preserve"> formulations of bevacizumab (CT-P16, EU-Avastin and US-Avastin) in healthy male subjects. This study provided the pivotal PK outcomes to demonstrate bioequivalence between CT-P16, EU-Avastin, and US-Avastin.</w:t>
      </w:r>
    </w:p>
    <w:p w14:paraId="3DF49722" w14:textId="781839D1" w:rsidR="00C22214" w:rsidRPr="00BD5DBD" w:rsidRDefault="00705C82" w:rsidP="00ED1478">
      <w:pPr>
        <w:pStyle w:val="ListBullet2"/>
      </w:pPr>
      <w:r>
        <w:t>CT-</w:t>
      </w:r>
      <w:r w:rsidR="00A833D5">
        <w:t>P</w:t>
      </w:r>
      <w:r>
        <w:t xml:space="preserve">16 1.2, </w:t>
      </w:r>
      <w:r w:rsidR="00ED1478">
        <w:t>a randomised, double-blind, parallel group, single-dose study to compare the PK and safety of CT-P16 and EU-Avastin in healthy Japanese male subjects.</w:t>
      </w:r>
    </w:p>
    <w:p w14:paraId="6B56CB17" w14:textId="58171E7C" w:rsidR="00C22214" w:rsidRDefault="00705C82" w:rsidP="00C22214">
      <w:pPr>
        <w:pStyle w:val="ListBullet"/>
        <w:rPr>
          <w:szCs w:val="22"/>
        </w:rPr>
      </w:pPr>
      <w:r>
        <w:rPr>
          <w:szCs w:val="22"/>
        </w:rPr>
        <w:t>one</w:t>
      </w:r>
      <w:r w:rsidR="00C22214" w:rsidRPr="00BD5DBD">
        <w:rPr>
          <w:szCs w:val="22"/>
        </w:rPr>
        <w:t xml:space="preserve"> Phase II</w:t>
      </w:r>
      <w:r>
        <w:rPr>
          <w:szCs w:val="22"/>
        </w:rPr>
        <w:t>I</w:t>
      </w:r>
      <w:r w:rsidR="00C22214" w:rsidRPr="00BD5DBD">
        <w:rPr>
          <w:szCs w:val="22"/>
        </w:rPr>
        <w:t xml:space="preserve"> stud</w:t>
      </w:r>
      <w:r>
        <w:rPr>
          <w:szCs w:val="22"/>
        </w:rPr>
        <w:t>y, CR-</w:t>
      </w:r>
      <w:r w:rsidR="00ED1478">
        <w:rPr>
          <w:szCs w:val="22"/>
        </w:rPr>
        <w:t>P</w:t>
      </w:r>
      <w:r>
        <w:rPr>
          <w:szCs w:val="22"/>
        </w:rPr>
        <w:t>16 3.1, the therapeutic similarity study</w:t>
      </w:r>
      <w:r w:rsidR="00ED1478">
        <w:rPr>
          <w:szCs w:val="22"/>
        </w:rPr>
        <w:t xml:space="preserve">. This was a </w:t>
      </w:r>
      <w:r w:rsidR="00ED1478">
        <w:t>double-blind, randomised, active-controlled, parallel group study to compare efficacy and safety of CT-P16 and EU-Avastin as first-line treatment for metastatic or recurrent nsNSCLC. This study provides comparative PK data (trough serum concentrations following repeated intravenous infusion) and long-term immunogenicity</w:t>
      </w:r>
      <w:r>
        <w:rPr>
          <w:szCs w:val="22"/>
        </w:rPr>
        <w:t>.</w:t>
      </w:r>
    </w:p>
    <w:p w14:paraId="15642CB5" w14:textId="4D104709" w:rsidR="00705C82" w:rsidRDefault="00705C82" w:rsidP="00671B9F">
      <w:r w:rsidRPr="00705C82">
        <w:lastRenderedPageBreak/>
        <w:t>There were no paediatric data. The clinical studies were stated to have been conducted in accordance with Good Clinical Practice Guidelines.</w:t>
      </w:r>
    </w:p>
    <w:p w14:paraId="216113E2" w14:textId="77777777" w:rsidR="008E0518" w:rsidRPr="008E0518" w:rsidRDefault="008E0518" w:rsidP="008E0518">
      <w:pPr>
        <w:pStyle w:val="Heading4"/>
      </w:pPr>
      <w:bookmarkStart w:id="45" w:name="_Toc156210062"/>
      <w:r w:rsidRPr="008E0518">
        <w:t>Bioequivalence to innovator product</w:t>
      </w:r>
      <w:bookmarkEnd w:id="45"/>
    </w:p>
    <w:p w14:paraId="24448FA8" w14:textId="12E46518" w:rsidR="008E0518" w:rsidRDefault="008E0518" w:rsidP="008E0518">
      <w:r>
        <w:t>S</w:t>
      </w:r>
      <w:r w:rsidRPr="008E0518">
        <w:t>tudy CT-P16</w:t>
      </w:r>
      <w:r w:rsidR="00AB1BE2">
        <w:t xml:space="preserve"> 1.1</w:t>
      </w:r>
      <w:r>
        <w:t xml:space="preserve"> was </w:t>
      </w:r>
      <w:r w:rsidR="00E23F0D">
        <w:t xml:space="preserve">the </w:t>
      </w:r>
      <w:r w:rsidRPr="008E0518">
        <w:t xml:space="preserve">pivotal </w:t>
      </w:r>
      <w:r>
        <w:t>PK</w:t>
      </w:r>
      <w:r w:rsidRPr="008E0518">
        <w:t xml:space="preserve"> study</w:t>
      </w:r>
      <w:r>
        <w:t>.</w:t>
      </w:r>
      <w:r w:rsidRPr="008E0518">
        <w:t xml:space="preserve"> Comparative PK results are shown below.</w:t>
      </w:r>
    </w:p>
    <w:p w14:paraId="72FCAE03" w14:textId="5C639F0D" w:rsidR="008E0518" w:rsidRPr="008E0518" w:rsidRDefault="008E0518" w:rsidP="008E0518">
      <w:pPr>
        <w:pStyle w:val="FigureTitle"/>
      </w:pPr>
      <w:r>
        <w:t xml:space="preserve">Figure </w:t>
      </w:r>
      <w:r w:rsidR="006D24F9">
        <w:fldChar w:fldCharType="begin"/>
      </w:r>
      <w:r w:rsidR="006D24F9">
        <w:instrText xml:space="preserve"> SEQ Figure \* ARABIC </w:instrText>
      </w:r>
      <w:r w:rsidR="006D24F9">
        <w:fldChar w:fldCharType="separate"/>
      </w:r>
      <w:r w:rsidR="003E0D9C">
        <w:rPr>
          <w:noProof/>
        </w:rPr>
        <w:t>1</w:t>
      </w:r>
      <w:r w:rsidR="006D24F9">
        <w:rPr>
          <w:noProof/>
        </w:rPr>
        <w:fldChar w:fldCharType="end"/>
      </w:r>
      <w:r>
        <w:t>: Study CT-P16 1.1 Statistical analysis of serum pharmacokinetic parameters for</w:t>
      </w:r>
      <w:r w:rsidR="00957040">
        <w:t xml:space="preserve"> bevacizumab (ANCOVA) (pharmacokinetic population)</w:t>
      </w:r>
    </w:p>
    <w:p w14:paraId="63BFE366" w14:textId="77777777" w:rsidR="008E0518" w:rsidRPr="008E0518" w:rsidRDefault="008E0518" w:rsidP="008E0518">
      <w:r w:rsidRPr="008E0518">
        <w:rPr>
          <w:noProof/>
        </w:rPr>
        <w:drawing>
          <wp:inline distT="0" distB="0" distL="0" distR="0" wp14:anchorId="009C067B" wp14:editId="33AB53E5">
            <wp:extent cx="5730875" cy="1396365"/>
            <wp:effectExtent l="0" t="0" r="3175" b="0"/>
            <wp:docPr id="2" name="Picture 2" descr="Three PK parameters (AUC from time zero to infinity; AUC from time zero to last quantifiable concentration; C max) are provided for CT-P16, EU-approved Avastin and US-licensed Avastin. Ratios between these 3 products also provi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ree PK parameters (AUC from time zero to infinity; AUC from time zero to last quantifiable concentration; C max) are provided for CT-P16, EU-approved Avastin and US-licensed Avastin. Ratios between these 3 products also provid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0875" cy="1396365"/>
                    </a:xfrm>
                    <a:prstGeom prst="rect">
                      <a:avLst/>
                    </a:prstGeom>
                    <a:noFill/>
                  </pic:spPr>
                </pic:pic>
              </a:graphicData>
            </a:graphic>
          </wp:inline>
        </w:drawing>
      </w:r>
    </w:p>
    <w:p w14:paraId="0BD47BCB" w14:textId="69AAEC97" w:rsidR="00957040" w:rsidRPr="00726341" w:rsidRDefault="008E0518" w:rsidP="00957040">
      <w:pPr>
        <w:pStyle w:val="FigureDescription"/>
      </w:pPr>
      <w:r w:rsidRPr="008E0518">
        <w:t>Abbreviations: ANCOVA = analysis of covariance; AUC</w:t>
      </w:r>
      <w:r w:rsidRPr="00957040">
        <w:rPr>
          <w:vertAlign w:val="subscript"/>
        </w:rPr>
        <w:t>0-inf</w:t>
      </w:r>
      <w:r w:rsidRPr="008E0518">
        <w:t xml:space="preserve"> = area under the concentration-time curve from time zero to infinity; AUC</w:t>
      </w:r>
      <w:r w:rsidRPr="00957040">
        <w:rPr>
          <w:vertAlign w:val="subscript"/>
        </w:rPr>
        <w:t>0-last</w:t>
      </w:r>
      <w:r w:rsidR="004C6EA5">
        <w:t xml:space="preserve"> </w:t>
      </w:r>
      <w:r w:rsidRPr="008E0518">
        <w:t>= area under the concentration-time curve from time zero to the last quantifiable concentration; CI = confidence interval; C</w:t>
      </w:r>
      <w:r w:rsidRPr="00957040">
        <w:rPr>
          <w:vertAlign w:val="subscript"/>
        </w:rPr>
        <w:t>max</w:t>
      </w:r>
      <w:r w:rsidRPr="008E0518">
        <w:t xml:space="preserve"> = maximum serum concentration; </w:t>
      </w:r>
      <w:r w:rsidR="00957040" w:rsidRPr="00957040">
        <w:t xml:space="preserve">EMA = European Medicines </w:t>
      </w:r>
      <w:r w:rsidR="00957040" w:rsidRPr="00726341">
        <w:t xml:space="preserve">Agency; </w:t>
      </w:r>
      <w:r w:rsidRPr="00726341">
        <w:t xml:space="preserve">EU = European Union; </w:t>
      </w:r>
      <w:r w:rsidR="00957040" w:rsidRPr="00726341">
        <w:t xml:space="preserve">λz = Terminal elimination rate constant; </w:t>
      </w:r>
      <w:r w:rsidRPr="00726341">
        <w:t>LS = least squares; PK =</w:t>
      </w:r>
      <w:r w:rsidR="004C6EA5">
        <w:t> </w:t>
      </w:r>
      <w:r w:rsidRPr="00726341">
        <w:t>pharmacokinetic; US = United States.</w:t>
      </w:r>
    </w:p>
    <w:p w14:paraId="5383B504" w14:textId="71BB42E9" w:rsidR="008E0518" w:rsidRPr="00726341" w:rsidRDefault="008E0518" w:rsidP="00957040">
      <w:pPr>
        <w:pStyle w:val="FigureDescription"/>
      </w:pPr>
      <w:r w:rsidRPr="00726341">
        <w:t>Note: Ratio of geometric means was calculated by backed transforming difference of LS means calculated using an ANCOVA model with treatment as a fixed effect and body weight (</w:t>
      </w:r>
      <w:r w:rsidR="00957040" w:rsidRPr="00726341">
        <w:t>less than</w:t>
      </w:r>
      <w:r w:rsidRPr="00726341">
        <w:t xml:space="preserve"> 70 kg versus 70 kg</w:t>
      </w:r>
      <w:r w:rsidR="00957040" w:rsidRPr="00726341">
        <w:t xml:space="preserve"> and over</w:t>
      </w:r>
      <w:r w:rsidRPr="00726341">
        <w:t xml:space="preserve">) assessed on Day </w:t>
      </w:r>
      <w:r w:rsidR="00957040" w:rsidRPr="00726341">
        <w:t>−</w:t>
      </w:r>
      <w:r w:rsidRPr="00726341">
        <w:t>1 and study site as covariates.</w:t>
      </w:r>
    </w:p>
    <w:p w14:paraId="7EC4490B" w14:textId="3488C712" w:rsidR="008E0518" w:rsidRPr="00726341" w:rsidRDefault="008E0518" w:rsidP="00957040">
      <w:pPr>
        <w:pStyle w:val="FigureDescription"/>
      </w:pPr>
      <w:r w:rsidRPr="00726341">
        <w:rPr>
          <w:vertAlign w:val="superscript"/>
        </w:rPr>
        <w:t>1</w:t>
      </w:r>
      <w:r w:rsidRPr="00726341">
        <w:t xml:space="preserve"> For 4 subjects (</w:t>
      </w:r>
      <w:r w:rsidR="00957040" w:rsidRPr="00726341">
        <w:t xml:space="preserve">one in </w:t>
      </w:r>
      <w:r w:rsidRPr="00726341">
        <w:t xml:space="preserve">the CT-P16 treatment group; </w:t>
      </w:r>
      <w:r w:rsidR="00957040" w:rsidRPr="00726341">
        <w:t xml:space="preserve">one in </w:t>
      </w:r>
      <w:r w:rsidRPr="00726341">
        <w:t xml:space="preserve">the EU-approved Avastin treatment group; </w:t>
      </w:r>
      <w:r w:rsidR="00957040" w:rsidRPr="00726341">
        <w:t xml:space="preserve">2 </w:t>
      </w:r>
      <w:r w:rsidRPr="00726341">
        <w:t>in the US licensed Avastin treatment group), AUC</w:t>
      </w:r>
      <w:r w:rsidRPr="00726341">
        <w:rPr>
          <w:vertAlign w:val="subscript"/>
        </w:rPr>
        <w:t xml:space="preserve">0-inf </w:t>
      </w:r>
      <w:r w:rsidRPr="00726341">
        <w:t>values were excluded from statistical analysis since the interval used to determine λz interval was less than 1.5-fold the estimated half-life</w:t>
      </w:r>
      <w:r w:rsidR="00727899" w:rsidRPr="00726341">
        <w:t>.</w:t>
      </w:r>
    </w:p>
    <w:p w14:paraId="4B332F18" w14:textId="5D4347B4" w:rsidR="008E0518" w:rsidRDefault="008E0518" w:rsidP="00957040">
      <w:pPr>
        <w:pStyle w:val="FigureDescription"/>
      </w:pPr>
      <w:r w:rsidRPr="00726341">
        <w:rPr>
          <w:vertAlign w:val="superscript"/>
        </w:rPr>
        <w:t>2</w:t>
      </w:r>
      <w:r w:rsidRPr="00726341">
        <w:t xml:space="preserve"> For 5 subjects (</w:t>
      </w:r>
      <w:r w:rsidR="00957040" w:rsidRPr="00726341">
        <w:t>one</w:t>
      </w:r>
      <w:r w:rsidRPr="00726341">
        <w:t xml:space="preserve"> in the CT-P16 treatment group; </w:t>
      </w:r>
      <w:r w:rsidR="00957040" w:rsidRPr="00726341">
        <w:t>4</w:t>
      </w:r>
      <w:r w:rsidRPr="00726341">
        <w:t xml:space="preserve"> in the US-licensed Avastin treatment group), AUC</w:t>
      </w:r>
      <w:r w:rsidRPr="00726341">
        <w:rPr>
          <w:vertAlign w:val="subscript"/>
        </w:rPr>
        <w:t>0-last</w:t>
      </w:r>
      <w:r w:rsidRPr="00957040">
        <w:rPr>
          <w:vertAlign w:val="subscript"/>
        </w:rPr>
        <w:t xml:space="preserve"> </w:t>
      </w:r>
      <w:r w:rsidRPr="008E0518">
        <w:t xml:space="preserve">values were excluded from statistical summary since they </w:t>
      </w:r>
      <w:r w:rsidR="004C6EA5" w:rsidRPr="008E0518">
        <w:t>withdrew,</w:t>
      </w:r>
      <w:r w:rsidRPr="008E0518">
        <w:t xml:space="preserve"> and the last PK samples of these subjects were collected earlier than the planned time (Day 99) according to EMA guidance.</w:t>
      </w:r>
    </w:p>
    <w:p w14:paraId="413CD8E3" w14:textId="77777777" w:rsidR="00957040" w:rsidRPr="008E0518" w:rsidRDefault="00957040" w:rsidP="00957040">
      <w:pPr>
        <w:pStyle w:val="FigureDescription"/>
      </w:pPr>
    </w:p>
    <w:p w14:paraId="05A28E8E" w14:textId="1D04D899" w:rsidR="008E0518" w:rsidRPr="008E0518" w:rsidRDefault="00AF673B" w:rsidP="008E0518">
      <w:r>
        <w:t>T</w:t>
      </w:r>
      <w:r w:rsidR="008E0518" w:rsidRPr="008E0518">
        <w:t xml:space="preserve">he primary PK parameters were comparable across the 3 treatment groups, with small inter-subject variability. The 90% </w:t>
      </w:r>
      <w:r>
        <w:t>confidence intervals</w:t>
      </w:r>
      <w:r w:rsidR="008E0518" w:rsidRPr="008E0518">
        <w:t xml:space="preserve"> </w:t>
      </w:r>
      <w:r>
        <w:t xml:space="preserve">(CI) </w:t>
      </w:r>
      <w:r w:rsidR="008E0518" w:rsidRPr="008E0518">
        <w:t>for the geometric mean ratios of AUC</w:t>
      </w:r>
      <w:r w:rsidR="008E0518" w:rsidRPr="00AF673B">
        <w:rPr>
          <w:vertAlign w:val="subscript"/>
        </w:rPr>
        <w:t xml:space="preserve">0-inf, </w:t>
      </w:r>
      <w:r w:rsidR="008E0518" w:rsidRPr="008E0518">
        <w:t>AUC</w:t>
      </w:r>
      <w:r w:rsidR="008E0518" w:rsidRPr="00AF673B">
        <w:rPr>
          <w:vertAlign w:val="subscript"/>
        </w:rPr>
        <w:t>0</w:t>
      </w:r>
      <w:r>
        <w:rPr>
          <w:vertAlign w:val="subscript"/>
        </w:rPr>
        <w:noBreakHyphen/>
      </w:r>
      <w:r w:rsidR="008E0518" w:rsidRPr="00AF673B">
        <w:rPr>
          <w:vertAlign w:val="subscript"/>
        </w:rPr>
        <w:t>last</w:t>
      </w:r>
      <w:r w:rsidR="008E0518" w:rsidRPr="008E0518">
        <w:t>, and C</w:t>
      </w:r>
      <w:r w:rsidR="008E0518" w:rsidRPr="00AF673B">
        <w:rPr>
          <w:vertAlign w:val="subscript"/>
        </w:rPr>
        <w:t>max</w:t>
      </w:r>
      <w:r w:rsidR="008E0518" w:rsidRPr="008E0518">
        <w:t xml:space="preserve"> were contained within the predefined bioequivalence margin of 80.00</w:t>
      </w:r>
      <w:r>
        <w:t xml:space="preserve"> to </w:t>
      </w:r>
      <w:r w:rsidR="008E0518" w:rsidRPr="008E0518">
        <w:t xml:space="preserve">125.00% (including 100.00%) for CT-P16/EU-Avastin and CT-P16/US-Avastin comparisons. For the comparison of AUCs of EU-Avastin and US-Avastin, the 90% </w:t>
      </w:r>
      <w:r>
        <w:t>CIs</w:t>
      </w:r>
      <w:r w:rsidR="008E0518" w:rsidRPr="008E0518">
        <w:t xml:space="preserve"> were within 80.00 </w:t>
      </w:r>
      <w:r>
        <w:t xml:space="preserve">to </w:t>
      </w:r>
      <w:r w:rsidR="008E0518" w:rsidRPr="008E0518">
        <w:t>125.00% however did not include 100.00%.</w:t>
      </w:r>
    </w:p>
    <w:p w14:paraId="4843811A" w14:textId="7E7DC77F" w:rsidR="008E0518" w:rsidRPr="008E0518" w:rsidRDefault="008E0518" w:rsidP="008E0518">
      <w:r w:rsidRPr="008E0518">
        <w:t xml:space="preserve">Study CT-P16 1.2 was a supportive PK study enrolling 46 Japanese men. Similarity of CT-P16 and EU-Avastin was demonstrated, with the 90% CIs for the geometric mean ratios of </w:t>
      </w:r>
      <w:r w:rsidR="00AF673B" w:rsidRPr="008E0518">
        <w:t>AUC</w:t>
      </w:r>
      <w:r w:rsidR="00AF673B" w:rsidRPr="00AF673B">
        <w:rPr>
          <w:vertAlign w:val="subscript"/>
        </w:rPr>
        <w:t xml:space="preserve">0-inf, </w:t>
      </w:r>
      <w:r w:rsidR="00AF673B" w:rsidRPr="008E0518">
        <w:t>AUC</w:t>
      </w:r>
      <w:r w:rsidR="00AF673B" w:rsidRPr="00AF673B">
        <w:rPr>
          <w:vertAlign w:val="subscript"/>
        </w:rPr>
        <w:t>0</w:t>
      </w:r>
      <w:r w:rsidR="00AF673B">
        <w:rPr>
          <w:vertAlign w:val="subscript"/>
        </w:rPr>
        <w:noBreakHyphen/>
      </w:r>
      <w:r w:rsidR="00AF673B" w:rsidRPr="00AF673B">
        <w:rPr>
          <w:vertAlign w:val="subscript"/>
        </w:rPr>
        <w:t>last</w:t>
      </w:r>
      <w:r w:rsidR="00AF673B" w:rsidRPr="008E0518">
        <w:t>, and C</w:t>
      </w:r>
      <w:r w:rsidR="00AF673B" w:rsidRPr="00AF673B">
        <w:rPr>
          <w:vertAlign w:val="subscript"/>
        </w:rPr>
        <w:t>max</w:t>
      </w:r>
      <w:r w:rsidR="00AF673B" w:rsidRPr="008E0518">
        <w:t xml:space="preserve"> </w:t>
      </w:r>
      <w:r w:rsidRPr="008E0518">
        <w:t xml:space="preserve">within 80.00 </w:t>
      </w:r>
      <w:r w:rsidR="00E23F0D">
        <w:t>to</w:t>
      </w:r>
      <w:r w:rsidRPr="008E0518">
        <w:t xml:space="preserve"> 125.00%.</w:t>
      </w:r>
    </w:p>
    <w:p w14:paraId="60BCA007" w14:textId="77777777" w:rsidR="008E0518" w:rsidRPr="008E0518" w:rsidRDefault="008E0518" w:rsidP="008E0518">
      <w:pPr>
        <w:pStyle w:val="Heading4"/>
      </w:pPr>
      <w:bookmarkStart w:id="46" w:name="_Toc156210063"/>
      <w:r w:rsidRPr="008E0518">
        <w:t>Clinical comparison with innovator product</w:t>
      </w:r>
      <w:bookmarkEnd w:id="46"/>
    </w:p>
    <w:p w14:paraId="3F5427BA" w14:textId="79229EFA" w:rsidR="008E0518" w:rsidRPr="008E0518" w:rsidRDefault="008E0518" w:rsidP="008E0518">
      <w:r w:rsidRPr="008E0518">
        <w:t xml:space="preserve">Study CT-P16 3.1 is an ongoing Phase III, randomised, double-blind, active-controlled, parallel-group, multinational, multicentre study comparing the efficacy, </w:t>
      </w:r>
      <w:r w:rsidR="003E0D9C" w:rsidRPr="008E0518">
        <w:t>PK,</w:t>
      </w:r>
      <w:r w:rsidRPr="008E0518">
        <w:t xml:space="preserve"> and safety of CT-P16 and EU-Avastin when co-administered with paclitaxel and carboplatin as first-line treatment in subjects </w:t>
      </w:r>
      <w:r w:rsidRPr="00E23F0D">
        <w:t>with metastatic or recurrent nsNSCLC. The study was conducted at 164 sites in 21 countries</w:t>
      </w:r>
      <w:r w:rsidRPr="008E0518">
        <w:t xml:space="preserve"> commencing 1 February 2019.</w:t>
      </w:r>
    </w:p>
    <w:p w14:paraId="27B0057E" w14:textId="77777777" w:rsidR="004C6EA5" w:rsidRDefault="008E0518" w:rsidP="003E0D9C">
      <w:r w:rsidRPr="008E0518">
        <w:lastRenderedPageBreak/>
        <w:t>There were 689 subjects randomised in 1:1 ratio to receive CT-P16 or EU-Avastin 15</w:t>
      </w:r>
      <w:r w:rsidR="00577256">
        <w:t> </w:t>
      </w:r>
      <w:r w:rsidRPr="008E0518">
        <w:t xml:space="preserve">mg/kg </w:t>
      </w:r>
      <w:r w:rsidR="00577256">
        <w:t>intravenous</w:t>
      </w:r>
      <w:r w:rsidRPr="008E0518">
        <w:t xml:space="preserve"> every 3 weeks, with randomisation stratified by country, sex, disease status and </w:t>
      </w:r>
      <w:r w:rsidRPr="008F6B6C">
        <w:t>ECOG P</w:t>
      </w:r>
      <w:r w:rsidR="00E23F0D" w:rsidRPr="008F6B6C">
        <w:t>erformance Status</w:t>
      </w:r>
      <w:r w:rsidRPr="008F6B6C">
        <w:t>.</w:t>
      </w:r>
      <w:r w:rsidR="00577256" w:rsidRPr="008F6B6C">
        <w:rPr>
          <w:rStyle w:val="FootnoteReference"/>
        </w:rPr>
        <w:footnoteReference w:id="5"/>
      </w:r>
      <w:r w:rsidRPr="008F6B6C">
        <w:t xml:space="preserve"> Study drug was administered concomitantly with </w:t>
      </w:r>
      <w:r w:rsidR="00577256" w:rsidRPr="008F6B6C">
        <w:t>intravenous</w:t>
      </w:r>
      <w:r w:rsidRPr="008F6B6C">
        <w:t xml:space="preserve"> paclitaxel and </w:t>
      </w:r>
      <w:r w:rsidR="00577256" w:rsidRPr="008F6B6C">
        <w:t>intravenous</w:t>
      </w:r>
      <w:r w:rsidRPr="008F6B6C">
        <w:t xml:space="preserve"> carboplatin during the Induction Study Period (at least 4 and up to 6 cycles, </w:t>
      </w:r>
      <w:r w:rsidR="00577256" w:rsidRPr="008F6B6C">
        <w:t xml:space="preserve">that is, </w:t>
      </w:r>
      <w:r w:rsidRPr="008F6B6C">
        <w:t>up to 18 weeks).</w:t>
      </w:r>
      <w:r w:rsidR="007476ED" w:rsidRPr="008F6B6C">
        <w:rPr>
          <w:rStyle w:val="FootnoteReference"/>
        </w:rPr>
        <w:footnoteReference w:id="6"/>
      </w:r>
      <w:r w:rsidRPr="008F6B6C">
        <w:t xml:space="preserve"> Subjects with controlled disease then entered the Maintenance</w:t>
      </w:r>
      <w:r w:rsidRPr="008E0518">
        <w:t xml:space="preserve"> Study Period and received CT-P16 or EU-Avastin as monotherapy until disease progression or unacceptable toxicity. The study design is shown below</w:t>
      </w:r>
      <w:r w:rsidR="009D6F8B">
        <w:t>.</w:t>
      </w:r>
    </w:p>
    <w:p w14:paraId="5685E01A" w14:textId="3015991E" w:rsidR="00AF673B" w:rsidRDefault="00AF673B" w:rsidP="003615EE">
      <w:pPr>
        <w:pStyle w:val="FigureTitle"/>
      </w:pPr>
      <w:r>
        <w:t xml:space="preserve">Figure </w:t>
      </w:r>
      <w:r w:rsidR="006D24F9">
        <w:fldChar w:fldCharType="begin"/>
      </w:r>
      <w:r w:rsidR="006D24F9">
        <w:instrText xml:space="preserve"> SEQ Figure \* ARABIC </w:instrText>
      </w:r>
      <w:r w:rsidR="006D24F9">
        <w:fldChar w:fldCharType="separate"/>
      </w:r>
      <w:r w:rsidR="003E0D9C">
        <w:rPr>
          <w:noProof/>
        </w:rPr>
        <w:t>2</w:t>
      </w:r>
      <w:r w:rsidR="006D24F9">
        <w:rPr>
          <w:noProof/>
        </w:rPr>
        <w:fldChar w:fldCharType="end"/>
      </w:r>
      <w:r>
        <w:t>: Study CT-P16 3</w:t>
      </w:r>
      <w:r w:rsidR="00577256">
        <w:t>.</w:t>
      </w:r>
      <w:r>
        <w:t xml:space="preserve">1 </w:t>
      </w:r>
      <w:r w:rsidR="00AC55C1">
        <w:t>S</w:t>
      </w:r>
      <w:r>
        <w:t>chematic</w:t>
      </w:r>
      <w:r w:rsidR="00AC55C1">
        <w:t xml:space="preserve"> of study design</w:t>
      </w:r>
    </w:p>
    <w:p w14:paraId="39BAA475" w14:textId="2A045515" w:rsidR="009B4A03" w:rsidRPr="008E0518" w:rsidRDefault="009B4A03" w:rsidP="002D7CD6">
      <w:r>
        <w:rPr>
          <w:noProof/>
        </w:rPr>
        <w:drawing>
          <wp:inline distT="0" distB="0" distL="0" distR="0" wp14:anchorId="14641A5C" wp14:editId="4C9F54BC">
            <wp:extent cx="5759450" cy="3102610"/>
            <wp:effectExtent l="0" t="0" r="0" b="2540"/>
            <wp:docPr id="1" name="Picture 1" descr="Schematic shows: randomisation; induction period; maintenance period; follow-up period (up to approximately 3 years from last patient enrolled). Notes follow the di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ematic shows: randomisation; induction period; maintenance period; follow-up period (up to approximately 3 years from last patient enrolled). Notes follow the diagram. "/>
                    <pic:cNvPicPr/>
                  </pic:nvPicPr>
                  <pic:blipFill>
                    <a:blip r:embed="rId25"/>
                    <a:stretch>
                      <a:fillRect/>
                    </a:stretch>
                  </pic:blipFill>
                  <pic:spPr>
                    <a:xfrm>
                      <a:off x="0" y="0"/>
                      <a:ext cx="5759450" cy="3102610"/>
                    </a:xfrm>
                    <a:prstGeom prst="rect">
                      <a:avLst/>
                    </a:prstGeom>
                  </pic:spPr>
                </pic:pic>
              </a:graphicData>
            </a:graphic>
          </wp:inline>
        </w:drawing>
      </w:r>
    </w:p>
    <w:p w14:paraId="453702F8" w14:textId="14CAFA04" w:rsidR="008E0518" w:rsidRPr="008E0518" w:rsidRDefault="008E0518" w:rsidP="008E0518">
      <w:r w:rsidRPr="008E0518">
        <w:t xml:space="preserve">The primary objective was to demonstrate that CT-P16 was </w:t>
      </w:r>
      <w:proofErr w:type="gramStart"/>
      <w:r w:rsidRPr="008E0518">
        <w:t>similar to</w:t>
      </w:r>
      <w:proofErr w:type="gramEnd"/>
      <w:r w:rsidRPr="008E0518">
        <w:t xml:space="preserve"> EU-Avastin in terms of efficacy as determined by objective response rate (ORR) during the Induction Study Period. The primary efficacy endpoint was ORR based on the best overall response during the Induction </w:t>
      </w:r>
      <w:r w:rsidRPr="009D6F8B">
        <w:t>Study Period by Response Evaluation Criteria in Solid Tumours (RECIST) version 1.1.</w:t>
      </w:r>
      <w:r w:rsidR="009D6F8B" w:rsidRPr="009D6F8B">
        <w:rPr>
          <w:rStyle w:val="FootnoteReference"/>
        </w:rPr>
        <w:footnoteReference w:id="7"/>
      </w:r>
      <w:r w:rsidRPr="008E0518">
        <w:t xml:space="preserve"> Secondary endpoints included response duration, </w:t>
      </w:r>
      <w:r w:rsidR="00552F0A">
        <w:t>progression</w:t>
      </w:r>
      <w:r w:rsidR="00552F0A">
        <w:noBreakHyphen/>
        <w:t>free survival (</w:t>
      </w:r>
      <w:r w:rsidRPr="008E0518">
        <w:t>PFS</w:t>
      </w:r>
      <w:r w:rsidR="00552F0A">
        <w:t>)</w:t>
      </w:r>
      <w:r w:rsidRPr="008E0518">
        <w:t xml:space="preserve"> and </w:t>
      </w:r>
      <w:r w:rsidR="00552F0A">
        <w:t>overall survival (</w:t>
      </w:r>
      <w:r w:rsidRPr="008E0518">
        <w:t>OS</w:t>
      </w:r>
      <w:r w:rsidR="00552F0A">
        <w:t>)</w:t>
      </w:r>
      <w:r w:rsidRPr="008E0518">
        <w:t>. A blinded independent tumour review committee was used to review the images for tumour responses. Images were also reviewed locally in a blinded manner for eligibility and treatment practice.</w:t>
      </w:r>
    </w:p>
    <w:p w14:paraId="6A79B670" w14:textId="20A46289" w:rsidR="008E0518" w:rsidRPr="008E0518" w:rsidRDefault="008E0518" w:rsidP="008E0518">
      <w:r w:rsidRPr="008E0518">
        <w:lastRenderedPageBreak/>
        <w:t xml:space="preserve">The equivalence margin for ORR of </w:t>
      </w:r>
      <w:r w:rsidR="00552F0A">
        <w:t>−</w:t>
      </w:r>
      <w:r w:rsidRPr="008E0518">
        <w:t xml:space="preserve">12.5% to 12.5% is </w:t>
      </w:r>
      <w:proofErr w:type="gramStart"/>
      <w:r w:rsidRPr="008E0518">
        <w:t>similar to</w:t>
      </w:r>
      <w:proofErr w:type="gramEnd"/>
      <w:r w:rsidRPr="008E0518">
        <w:t xml:space="preserve"> the margin previously applied for other bevacizumab biosimilars for demonstrating similar efficacy in first-line NSCLC indication. The margin was constructed using a meta-analysis of historical studies with the </w:t>
      </w:r>
      <w:r w:rsidRPr="00EC2BBF">
        <w:t xml:space="preserve">reference product and was agreed with EMA via </w:t>
      </w:r>
      <w:r w:rsidR="00EC2BBF" w:rsidRPr="00BB7C75">
        <w:rPr>
          <w:szCs w:val="22"/>
        </w:rPr>
        <w:t>Committee for Medicinal Products for Human Use (CHMP)</w:t>
      </w:r>
      <w:r w:rsidRPr="00EC2BBF">
        <w:t xml:space="preserve"> Scientific Advice. According to the meta</w:t>
      </w:r>
      <w:r w:rsidR="00552F0A" w:rsidRPr="00EC2BBF">
        <w:t>-</w:t>
      </w:r>
      <w:r w:rsidRPr="008E0518">
        <w:t xml:space="preserve">analysis across 4 trials, randomised bevacizumab, added to chemotherapy, increases the probability of objective response by at least 12.89 percentage points (based on lower limit of 95% </w:t>
      </w:r>
      <w:r w:rsidR="00552F0A">
        <w:t>CI</w:t>
      </w:r>
      <w:r w:rsidRPr="008E0518">
        <w:t>s). Thereby, the proposed margin is believed to preserve at least some positive fraction of the originator’s efficacy.</w:t>
      </w:r>
    </w:p>
    <w:p w14:paraId="1D73C376" w14:textId="500C0492" w:rsidR="008E0518" w:rsidRPr="008E0518" w:rsidRDefault="008E0518" w:rsidP="008E0518">
      <w:r w:rsidRPr="008E0518">
        <w:t xml:space="preserve">The primary endpoint of the study was met. The risk difference (CT-P16 </w:t>
      </w:r>
      <w:r w:rsidR="00552F0A">
        <w:t>−</w:t>
      </w:r>
      <w:r w:rsidRPr="008E0518">
        <w:t xml:space="preserve"> EU-Avastin) for ORR at the end of the Induction Study Period was 0.40 (95% CI: </w:t>
      </w:r>
      <w:r w:rsidR="00552F0A">
        <w:t>−</w:t>
      </w:r>
      <w:r w:rsidRPr="008E0518">
        <w:t xml:space="preserve">7.02, 7.83) </w:t>
      </w:r>
      <w:r w:rsidR="009B4A03" w:rsidRPr="008E0518">
        <w:t xml:space="preserve">for the </w:t>
      </w:r>
      <w:r w:rsidR="009B4A03">
        <w:t>intent</w:t>
      </w:r>
      <w:r w:rsidR="009B4A03">
        <w:noBreakHyphen/>
        <w:t>to</w:t>
      </w:r>
      <w:r w:rsidR="009B4A03">
        <w:noBreakHyphen/>
        <w:t>treat p</w:t>
      </w:r>
      <w:r w:rsidR="009B4A03" w:rsidRPr="008E0518">
        <w:t xml:space="preserve">opulation </w:t>
      </w:r>
      <w:r w:rsidRPr="008E0518">
        <w:t xml:space="preserve">and </w:t>
      </w:r>
      <w:r w:rsidR="00552F0A">
        <w:t>−</w:t>
      </w:r>
      <w:r w:rsidRPr="008E0518">
        <w:t xml:space="preserve">1.90 (95% CI: </w:t>
      </w:r>
      <w:r w:rsidR="00552F0A">
        <w:t>−</w:t>
      </w:r>
      <w:r w:rsidRPr="008E0518">
        <w:t xml:space="preserve">9.80, 6.00) for the </w:t>
      </w:r>
      <w:r w:rsidR="009B4A03">
        <w:t>per-protocol p</w:t>
      </w:r>
      <w:r w:rsidRPr="008E0518">
        <w:t>opulation, with the 95% CIs contained within the pre-specified equivalence margin (</w:t>
      </w:r>
      <w:r w:rsidR="00552F0A">
        <w:t>−</w:t>
      </w:r>
      <w:r w:rsidRPr="008E0518">
        <w:t xml:space="preserve">12.5 to 12.5) for both analyses. Efficacy results are </w:t>
      </w:r>
      <w:r w:rsidR="00552F0A">
        <w:t>shown</w:t>
      </w:r>
      <w:r w:rsidRPr="008E0518">
        <w:t xml:space="preserve"> below.</w:t>
      </w:r>
    </w:p>
    <w:p w14:paraId="3849A68B" w14:textId="3C19B40D" w:rsidR="00552F0A" w:rsidRDefault="00552F0A" w:rsidP="00552F0A">
      <w:pPr>
        <w:pStyle w:val="FigureTitle"/>
        <w:keepNext/>
      </w:pPr>
      <w:r>
        <w:t xml:space="preserve">Figure </w:t>
      </w:r>
      <w:r w:rsidR="006D24F9">
        <w:fldChar w:fldCharType="begin"/>
      </w:r>
      <w:r w:rsidR="006D24F9">
        <w:instrText xml:space="preserve"> SEQ Figure \* ARABIC </w:instrText>
      </w:r>
      <w:r w:rsidR="006D24F9">
        <w:fldChar w:fldCharType="separate"/>
      </w:r>
      <w:r w:rsidR="003E0D9C">
        <w:rPr>
          <w:noProof/>
        </w:rPr>
        <w:t>3</w:t>
      </w:r>
      <w:r w:rsidR="006D24F9">
        <w:rPr>
          <w:noProof/>
        </w:rPr>
        <w:fldChar w:fldCharType="end"/>
      </w:r>
      <w:r>
        <w:t xml:space="preserve">: Study CT-P16 3.1 Objective response rate and </w:t>
      </w:r>
      <w:proofErr w:type="gramStart"/>
      <w:r>
        <w:t>B</w:t>
      </w:r>
      <w:r w:rsidR="009D6F8B">
        <w:t>est</w:t>
      </w:r>
      <w:proofErr w:type="gramEnd"/>
      <w:r w:rsidR="009D6F8B">
        <w:t xml:space="preserve"> overall response</w:t>
      </w:r>
      <w:r>
        <w:t xml:space="preserve"> during the Induction Study Period (</w:t>
      </w:r>
      <w:r w:rsidR="009B4A03">
        <w:t>c</w:t>
      </w:r>
      <w:r>
        <w:t>entral</w:t>
      </w:r>
      <w:r w:rsidR="009B4A03">
        <w:t xml:space="preserve"> review)</w:t>
      </w:r>
      <w:r>
        <w:t xml:space="preserve"> (I</w:t>
      </w:r>
      <w:r w:rsidR="00A833D5">
        <w:t>ntent-To-Treat</w:t>
      </w:r>
      <w:r>
        <w:t xml:space="preserve"> and P</w:t>
      </w:r>
      <w:r w:rsidR="00A833D5">
        <w:t>er-Protocol</w:t>
      </w:r>
      <w:r>
        <w:t xml:space="preserve"> populations)</w:t>
      </w:r>
    </w:p>
    <w:p w14:paraId="362D058A" w14:textId="0A0916ED" w:rsidR="009B4A03" w:rsidRPr="008E0518" w:rsidRDefault="009B4A03" w:rsidP="006D24F9">
      <w:r>
        <w:rPr>
          <w:noProof/>
        </w:rPr>
        <w:drawing>
          <wp:inline distT="0" distB="0" distL="0" distR="0" wp14:anchorId="19C149A8" wp14:editId="03F52B06">
            <wp:extent cx="5759450" cy="5349240"/>
            <wp:effectExtent l="0" t="0" r="0" b="3810"/>
            <wp:docPr id="6" name="Picture 6" descr="ORR provided for ITT and PP populations for CT-P16 and EU-Avastin. Best overall response data presented as: complete response, partial response, stable disease, progressive disease, inevaluable, missing. Notes follow the tab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RR provided for ITT and PP populations for CT-P16 and EU-Avastin. Best overall response data presented as: complete response, partial response, stable disease, progressive disease, inevaluable, missing. Notes follow the tabulation."/>
                    <pic:cNvPicPr/>
                  </pic:nvPicPr>
                  <pic:blipFill>
                    <a:blip r:embed="rId26"/>
                    <a:stretch>
                      <a:fillRect/>
                    </a:stretch>
                  </pic:blipFill>
                  <pic:spPr>
                    <a:xfrm>
                      <a:off x="0" y="0"/>
                      <a:ext cx="5759450" cy="5349240"/>
                    </a:xfrm>
                    <a:prstGeom prst="rect">
                      <a:avLst/>
                    </a:prstGeom>
                  </pic:spPr>
                </pic:pic>
              </a:graphicData>
            </a:graphic>
          </wp:inline>
        </w:drawing>
      </w:r>
    </w:p>
    <w:p w14:paraId="22B2C430" w14:textId="19B9B92C" w:rsidR="008E0518" w:rsidRPr="008E0518" w:rsidRDefault="008E0518" w:rsidP="008E0518">
      <w:r w:rsidRPr="008E0518">
        <w:t>Comparisons of the secondary efficacy measures of PFS and OS were consistent with the ORR results.</w:t>
      </w:r>
    </w:p>
    <w:p w14:paraId="3F1D3875" w14:textId="77777777" w:rsidR="008E0518" w:rsidRPr="008E0518" w:rsidRDefault="008E0518" w:rsidP="008E0518">
      <w:pPr>
        <w:pStyle w:val="Heading4"/>
      </w:pPr>
      <w:bookmarkStart w:id="47" w:name="_Toc156210064"/>
      <w:r w:rsidRPr="008E0518">
        <w:lastRenderedPageBreak/>
        <w:t>Safety</w:t>
      </w:r>
      <w:bookmarkEnd w:id="47"/>
    </w:p>
    <w:p w14:paraId="5F0BC43B" w14:textId="1349EF44" w:rsidR="008E0518" w:rsidRPr="008E0518" w:rsidRDefault="008E0518" w:rsidP="008E0518">
      <w:r w:rsidRPr="008E0518">
        <w:t>The Safety Population comprised 876 subjects: 689 nsNSCLC patients in Study CT-P16 3.1</w:t>
      </w:r>
      <w:r w:rsidR="004E0AEF">
        <w:t>;</w:t>
      </w:r>
      <w:r w:rsidRPr="008E0518">
        <w:t xml:space="preserve"> 141 healthy male subjects in Study CT-P16 1.1</w:t>
      </w:r>
      <w:r w:rsidR="004E0AEF">
        <w:t>;</w:t>
      </w:r>
      <w:r w:rsidRPr="008E0518">
        <w:t xml:space="preserve"> and 46 healthy male subjects in Study CT-P16 1.2. Comparative safety data, from Study CT-P16 3.1, was available from 345 nsNSCLC patients randomised to CT-P16 and 344 to Avastin. Of these, 246 patients received at least 6 months exposure (induction </w:t>
      </w:r>
      <w:r w:rsidR="004E0AEF">
        <w:t xml:space="preserve">plus at least </w:t>
      </w:r>
      <w:r w:rsidRPr="008E0518">
        <w:t xml:space="preserve">3 maintenance cycles). A follow-up safety assessment included 148 (21.5%) patients who completed </w:t>
      </w:r>
      <w:r w:rsidR="00A833D5">
        <w:t>one</w:t>
      </w:r>
      <w:r w:rsidRPr="008E0518">
        <w:t xml:space="preserve"> year of treatment (</w:t>
      </w:r>
      <w:r w:rsidR="004E0AEF">
        <w:t xml:space="preserve">at least 12 </w:t>
      </w:r>
      <w:r w:rsidRPr="008E0518">
        <w:t>Maintenance Cycle</w:t>
      </w:r>
      <w:r w:rsidR="004E0AEF">
        <w:t>s</w:t>
      </w:r>
      <w:r w:rsidRPr="008E0518">
        <w:t>).</w:t>
      </w:r>
    </w:p>
    <w:p w14:paraId="61740291" w14:textId="5F090CE0" w:rsidR="008E0518" w:rsidRPr="008E0518" w:rsidRDefault="008E0518" w:rsidP="008E0518">
      <w:r w:rsidRPr="008E0518">
        <w:t xml:space="preserve">Exposure to study drug was not balanced between the 2 treatment groups. After Cycle 1, a higher proportion of subjects were exposed </w:t>
      </w:r>
      <w:r w:rsidR="004E0AEF">
        <w:t xml:space="preserve">to </w:t>
      </w:r>
      <w:r w:rsidRPr="008E0518">
        <w:t>CT-P16 than EU-Avastin during the Induction Study Period (76.2% CT-P16 v</w:t>
      </w:r>
      <w:r w:rsidR="004E0AEF">
        <w:t>ersu</w:t>
      </w:r>
      <w:r w:rsidRPr="008E0518">
        <w:t>s 69.8% Avastin), and during the Maintenance Study Period up to Cycle 9 when the difference was 34.2% CT-P16 v</w:t>
      </w:r>
      <w:r w:rsidR="004E0AEF">
        <w:t>ersu</w:t>
      </w:r>
      <w:r w:rsidRPr="008E0518">
        <w:t>s 30.5% Avastin. The dose intensities of study drug and chemotherapy were comparable for CT-P16 and EU-Avastin groups.</w:t>
      </w:r>
    </w:p>
    <w:p w14:paraId="21459E13" w14:textId="39792E73" w:rsidR="004E0AEF" w:rsidRDefault="004E0AEF" w:rsidP="004E0AEF">
      <w:pPr>
        <w:pStyle w:val="FigureTitle"/>
        <w:keepNext/>
      </w:pPr>
      <w:r w:rsidRPr="00342513">
        <w:t xml:space="preserve">Figure </w:t>
      </w:r>
      <w:r w:rsidR="006D24F9">
        <w:fldChar w:fldCharType="begin"/>
      </w:r>
      <w:r w:rsidR="006D24F9">
        <w:instrText xml:space="preserve"> SEQ Figure \* ARABIC </w:instrText>
      </w:r>
      <w:r w:rsidR="006D24F9">
        <w:fldChar w:fldCharType="separate"/>
      </w:r>
      <w:r w:rsidR="003E0D9C">
        <w:rPr>
          <w:noProof/>
        </w:rPr>
        <w:t>4</w:t>
      </w:r>
      <w:r w:rsidR="006D24F9">
        <w:rPr>
          <w:noProof/>
        </w:rPr>
        <w:fldChar w:fldCharType="end"/>
      </w:r>
      <w:r w:rsidRPr="00342513">
        <w:t>: Study CT-P16 3.1 Overview of adverse events (safety population)</w:t>
      </w:r>
    </w:p>
    <w:p w14:paraId="46E0CCA6" w14:textId="07CBD5E7" w:rsidR="00342513" w:rsidRDefault="00342513" w:rsidP="006D24F9">
      <w:r>
        <w:rPr>
          <w:noProof/>
        </w:rPr>
        <w:drawing>
          <wp:inline distT="0" distB="0" distL="0" distR="0" wp14:anchorId="70A5777B" wp14:editId="5DBB73A9">
            <wp:extent cx="5430741" cy="5812749"/>
            <wp:effectExtent l="0" t="0" r="0" b="0"/>
            <wp:docPr id="8" name="Picture 8" descr="Tabulation of adverse events as at cut-off of 221 September 2021. CT-P16 and EU-Avastin for induction period, maintenance period, and whole period (including follow-up). Total number TEAEs; % patients with at least 1 TEAE; % patients with Grade 3 or higher TEAE;  % patients with at least 1 serious TEAE; % patients with TEAE leading to discontinuation; % patients with TEAE leading to death. Includes Related and Unrelated for 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ulation of adverse events as at cut-off of 221 September 2021. CT-P16 and EU-Avastin for induction period, maintenance period, and whole period (including follow-up). Total number TEAEs; % patients with at least 1 TEAE; % patients with Grade 3 or higher TEAE;  % patients with at least 1 serious TEAE; % patients with TEAE leading to discontinuation; % patients with TEAE leading to death. Includes Related and Unrelated for each."/>
                    <pic:cNvPicPr/>
                  </pic:nvPicPr>
                  <pic:blipFill>
                    <a:blip r:embed="rId27"/>
                    <a:stretch>
                      <a:fillRect/>
                    </a:stretch>
                  </pic:blipFill>
                  <pic:spPr>
                    <a:xfrm>
                      <a:off x="0" y="0"/>
                      <a:ext cx="5436946" cy="5819391"/>
                    </a:xfrm>
                    <a:prstGeom prst="rect">
                      <a:avLst/>
                    </a:prstGeom>
                  </pic:spPr>
                </pic:pic>
              </a:graphicData>
            </a:graphic>
          </wp:inline>
        </w:drawing>
      </w:r>
    </w:p>
    <w:p w14:paraId="29C01E9E" w14:textId="4982A4E1" w:rsidR="00342513" w:rsidRDefault="00342513" w:rsidP="00342513">
      <w:pPr>
        <w:pStyle w:val="FigureDescription"/>
      </w:pPr>
      <w:r>
        <w:t>Abbreviations: CSR = clinical study report</w:t>
      </w:r>
    </w:p>
    <w:p w14:paraId="31D9A7C1" w14:textId="1B725149" w:rsidR="00342513" w:rsidRDefault="00342513" w:rsidP="00342513">
      <w:pPr>
        <w:pStyle w:val="FigureDescription"/>
      </w:pPr>
      <w:r w:rsidRPr="00342513">
        <w:rPr>
          <w:vertAlign w:val="superscript"/>
        </w:rPr>
        <w:t>1</w:t>
      </w:r>
      <w:r>
        <w:t xml:space="preserve"> Whole Study Period includes data from Follow-up Period in addition to Induction Study Period and Maintenance Study Period.</w:t>
      </w:r>
    </w:p>
    <w:p w14:paraId="3D0E25BE" w14:textId="6A016C5E" w:rsidR="008E0518" w:rsidRPr="008E0518" w:rsidRDefault="008E0518" w:rsidP="008E0518">
      <w:r w:rsidRPr="008E0518">
        <w:lastRenderedPageBreak/>
        <w:t xml:space="preserve">At least </w:t>
      </w:r>
      <w:r w:rsidR="004E0AEF">
        <w:t>one treatment-emergent adverse event (</w:t>
      </w:r>
      <w:r w:rsidRPr="008E0518">
        <w:t>TEAE</w:t>
      </w:r>
      <w:r w:rsidR="004E0AEF">
        <w:t>)</w:t>
      </w:r>
      <w:r w:rsidRPr="008E0518">
        <w:t xml:space="preserve"> was reported for a higher proportion of CT-P16 patients (96.2% v</w:t>
      </w:r>
      <w:r w:rsidR="004E0AEF">
        <w:t>ersus</w:t>
      </w:r>
      <w:r w:rsidRPr="008E0518">
        <w:t xml:space="preserve"> 93.0%), both during the Induction (95.1% v</w:t>
      </w:r>
      <w:r w:rsidR="004E0AEF">
        <w:t>ersus</w:t>
      </w:r>
      <w:r w:rsidRPr="008E0518">
        <w:t xml:space="preserve"> 91.6%) and Maintenance (50.7% v</w:t>
      </w:r>
      <w:r w:rsidR="004E0AEF">
        <w:t>ersu</w:t>
      </w:r>
      <w:r w:rsidRPr="008E0518">
        <w:t xml:space="preserve">s 45.1%) Study Periods. The </w:t>
      </w:r>
      <w:proofErr w:type="gramStart"/>
      <w:r w:rsidRPr="008E0518">
        <w:t>most commonly reported</w:t>
      </w:r>
      <w:proofErr w:type="gramEnd"/>
      <w:r w:rsidRPr="008E0518">
        <w:t xml:space="preserve"> </w:t>
      </w:r>
      <w:r w:rsidR="00A833D5">
        <w:t>preferred terms</w:t>
      </w:r>
      <w:r w:rsidR="004A61DC">
        <w:t xml:space="preserve"> (PT)</w:t>
      </w:r>
      <w:r w:rsidR="00A833D5">
        <w:rPr>
          <w:rStyle w:val="FootnoteReference"/>
        </w:rPr>
        <w:footnoteReference w:id="8"/>
      </w:r>
      <w:r w:rsidR="00A833D5">
        <w:t xml:space="preserve"> </w:t>
      </w:r>
      <w:r w:rsidRPr="008E0518">
        <w:t>were alopecia (63.8% v</w:t>
      </w:r>
      <w:r w:rsidR="004E0AEF">
        <w:t>ersus</w:t>
      </w:r>
      <w:r w:rsidRPr="008E0518">
        <w:t xml:space="preserve"> 63.4%), anaemia (31.6% v</w:t>
      </w:r>
      <w:r w:rsidR="004E0AEF">
        <w:t>ersus</w:t>
      </w:r>
      <w:r w:rsidRPr="008E0518">
        <w:t xml:space="preserve"> 27.0%), neutropenia (21.7% v</w:t>
      </w:r>
      <w:r w:rsidR="004E0AEF">
        <w:t>ersus</w:t>
      </w:r>
      <w:r w:rsidRPr="008E0518">
        <w:t xml:space="preserve"> 16.0%) and nausea (21.4% v</w:t>
      </w:r>
      <w:r w:rsidR="004E0AEF">
        <w:t>ersus</w:t>
      </w:r>
      <w:r w:rsidRPr="008E0518">
        <w:t xml:space="preserve"> 18.9%).</w:t>
      </w:r>
    </w:p>
    <w:p w14:paraId="62CAB7F2" w14:textId="4BE2FD25" w:rsidR="008E0518" w:rsidRPr="008E0518" w:rsidRDefault="008E0518" w:rsidP="008E0518">
      <w:r w:rsidRPr="008E0518">
        <w:t xml:space="preserve">There was a 5% </w:t>
      </w:r>
      <w:r w:rsidR="004E0AEF">
        <w:t xml:space="preserve">or more </w:t>
      </w:r>
      <w:r w:rsidRPr="008E0518">
        <w:t>higher incidence of TEAEs for the CT-P16 group v</w:t>
      </w:r>
      <w:r w:rsidR="004E0AEF">
        <w:t>ersus</w:t>
      </w:r>
      <w:r w:rsidRPr="008E0518">
        <w:t xml:space="preserve"> EU-Avastin </w:t>
      </w:r>
      <w:r w:rsidRPr="004A61DC">
        <w:t>group for the following SOCs:</w:t>
      </w:r>
      <w:r w:rsidR="00A833D5" w:rsidRPr="004A61DC">
        <w:rPr>
          <w:rStyle w:val="FootnoteReference"/>
        </w:rPr>
        <w:footnoteReference w:id="9"/>
      </w:r>
      <w:r w:rsidRPr="004A61DC">
        <w:t xml:space="preserve"> Blood and lymphatic disorders (50.4% v</w:t>
      </w:r>
      <w:r w:rsidR="004E0AEF" w:rsidRPr="004A61DC">
        <w:t>ersus</w:t>
      </w:r>
      <w:r w:rsidRPr="004A61DC">
        <w:t xml:space="preserve"> 42.2%), General</w:t>
      </w:r>
      <w:r w:rsidRPr="008E0518">
        <w:t xml:space="preserve"> disorders and administration site conditions (41.2% v</w:t>
      </w:r>
      <w:r w:rsidR="004E0AEF">
        <w:t>ersus</w:t>
      </w:r>
      <w:r w:rsidRPr="008E0518">
        <w:t xml:space="preserve"> 34.9%) and Nervous system disorders (52.5% v</w:t>
      </w:r>
      <w:r w:rsidR="004E0AEF">
        <w:t>ersus</w:t>
      </w:r>
      <w:r w:rsidRPr="008E0518">
        <w:t xml:space="preserve"> 47.4%).</w:t>
      </w:r>
    </w:p>
    <w:p w14:paraId="15FFBB86" w14:textId="6DD58A41" w:rsidR="008E0518" w:rsidRPr="008E0518" w:rsidRDefault="008E0518" w:rsidP="008E0518">
      <w:r w:rsidRPr="008E0518">
        <w:t>T</w:t>
      </w:r>
      <w:r w:rsidR="004A61DC">
        <w:t>reatment-emergent adverse events</w:t>
      </w:r>
      <w:r w:rsidRPr="008E0518">
        <w:t xml:space="preserve"> considered related to study drug were reported for a comparable proportion of patients in each group (51.6% v</w:t>
      </w:r>
      <w:r w:rsidR="004E0AEF">
        <w:t>ersus</w:t>
      </w:r>
      <w:r w:rsidRPr="008E0518">
        <w:t xml:space="preserve"> 50.6%), with proteinuria the most frequent treatment-related PT (10.4% v</w:t>
      </w:r>
      <w:r w:rsidR="004E0AEF">
        <w:t>ersus</w:t>
      </w:r>
      <w:r w:rsidRPr="008E0518">
        <w:t xml:space="preserve"> 9.3%). There were 43.8% CT-P16 and 41.9% EU-Avastin patients with Grade 3</w:t>
      </w:r>
      <w:r w:rsidR="004E0AEF">
        <w:t xml:space="preserve"> or higher</w:t>
      </w:r>
      <w:r w:rsidRPr="008E0518">
        <w:t xml:space="preserve"> TEAEs,</w:t>
      </w:r>
      <w:r w:rsidR="004E0AEF">
        <w:rPr>
          <w:rStyle w:val="FootnoteReference"/>
        </w:rPr>
        <w:footnoteReference w:id="10"/>
      </w:r>
      <w:r w:rsidRPr="008E0518">
        <w:t xml:space="preserve"> most commonly neutropenia (10.4% v</w:t>
      </w:r>
      <w:r w:rsidR="004E0AEF">
        <w:t>ersu</w:t>
      </w:r>
      <w:r w:rsidRPr="008E0518">
        <w:t xml:space="preserve">s 7.3%). The Grade 3 </w:t>
      </w:r>
      <w:r w:rsidR="004E0AEF">
        <w:t xml:space="preserve">or higher </w:t>
      </w:r>
      <w:r w:rsidRPr="008E0518">
        <w:t>events of dyspnoea (2.0% [n = 7] v</w:t>
      </w:r>
      <w:r w:rsidR="004E0AEF">
        <w:t>ersus</w:t>
      </w:r>
      <w:r w:rsidRPr="008E0518">
        <w:t xml:space="preserve"> 0.0%) and pulmonary embolism (1.7% [n = 6] v</w:t>
      </w:r>
      <w:r w:rsidR="004E0AEF">
        <w:t>ersus</w:t>
      </w:r>
      <w:r w:rsidRPr="008E0518">
        <w:t xml:space="preserve"> 0.9% [n = 3]) were higher in the CT-P16 group. There was no clear explanation for the imbalance of </w:t>
      </w:r>
      <w:r w:rsidR="004E0AEF">
        <w:t>pulmonary embolism</w:t>
      </w:r>
      <w:r w:rsidRPr="008E0518">
        <w:t xml:space="preserve"> between the groups, though the incidences in both groups were within the range of other bevacizumab biosimilar studies in nsNSCLC patients and were not considered sufficient to preclude biosimilarity in terms of safety.</w:t>
      </w:r>
    </w:p>
    <w:p w14:paraId="0EC9B9C8" w14:textId="3C9BD382" w:rsidR="008E0518" w:rsidRPr="008E0518" w:rsidRDefault="008E0518" w:rsidP="008E0518">
      <w:r w:rsidRPr="004A61DC">
        <w:t>As noted in the PI</w:t>
      </w:r>
      <w:r w:rsidR="004A61DC" w:rsidRPr="004A61DC">
        <w:t>s</w:t>
      </w:r>
      <w:r w:rsidRPr="004A61DC">
        <w:t xml:space="preserve"> for </w:t>
      </w:r>
      <w:r w:rsidR="004A61DC" w:rsidRPr="004A61DC">
        <w:t>other registered bevacizumab medicines</w:t>
      </w:r>
      <w:r w:rsidRPr="004A61DC">
        <w:t xml:space="preserve">, </w:t>
      </w:r>
      <w:r w:rsidR="004E0AEF" w:rsidRPr="004A61DC">
        <w:t>‘</w:t>
      </w:r>
      <w:r w:rsidRPr="004A61DC">
        <w:t xml:space="preserve">Grade 3-5 venous thromboembolic events have been reported in up to 10.6% of patients treated with chemotherapy plus </w:t>
      </w:r>
      <w:r w:rsidR="004A61DC" w:rsidRPr="004A61DC">
        <w:t>bevacizumab</w:t>
      </w:r>
      <w:r w:rsidRPr="004A61DC">
        <w:t xml:space="preserve"> compared with up to 5.4% in patients with chemotherapy alone</w:t>
      </w:r>
      <w:r w:rsidR="004E0AEF" w:rsidRPr="004A61DC">
        <w:t>’</w:t>
      </w:r>
      <w:r w:rsidRPr="004A61DC">
        <w:t>.</w:t>
      </w:r>
    </w:p>
    <w:p w14:paraId="6BE8E6AD" w14:textId="2850A190" w:rsidR="008E0518" w:rsidRPr="008E0518" w:rsidRDefault="008E0518" w:rsidP="008E0518">
      <w:r w:rsidRPr="008E0518">
        <w:t>There were no between-group differences in the proportion of subjects with treatment-</w:t>
      </w:r>
      <w:r w:rsidRPr="00EA1572">
        <w:t xml:space="preserve">emergent </w:t>
      </w:r>
      <w:r w:rsidR="00EA1572" w:rsidRPr="00EA1572">
        <w:t xml:space="preserve">serious </w:t>
      </w:r>
      <w:r w:rsidRPr="00EA1572">
        <w:t>AEs (20.0% v</w:t>
      </w:r>
      <w:r w:rsidR="004E0AEF" w:rsidRPr="00EA1572">
        <w:t>ersu</w:t>
      </w:r>
      <w:r w:rsidRPr="00EA1572">
        <w:t xml:space="preserve">s 21.2%), treatment-related </w:t>
      </w:r>
      <w:r w:rsidR="00EA1572">
        <w:t xml:space="preserve">serious </w:t>
      </w:r>
      <w:r w:rsidRPr="00EA1572">
        <w:t>AEs (5.2% v</w:t>
      </w:r>
      <w:r w:rsidR="004E0AEF" w:rsidRPr="00EA1572">
        <w:t>ersu</w:t>
      </w:r>
      <w:r w:rsidRPr="00EA1572">
        <w:t>s 6.7%) and</w:t>
      </w:r>
      <w:r w:rsidRPr="008E0518">
        <w:t xml:space="preserve"> deaths (6.7% v</w:t>
      </w:r>
      <w:r w:rsidR="004E0AEF">
        <w:t>ersu</w:t>
      </w:r>
      <w:r w:rsidRPr="008E0518">
        <w:t xml:space="preserve">s 7.0%). Pneumonia was the most common treatment-emergent </w:t>
      </w:r>
      <w:r w:rsidR="00EA1572">
        <w:t xml:space="preserve">serious </w:t>
      </w:r>
      <w:r w:rsidRPr="008E0518">
        <w:t>AE in both groups (2.3% v</w:t>
      </w:r>
      <w:r w:rsidR="004E0AEF">
        <w:t>ersu</w:t>
      </w:r>
      <w:r w:rsidRPr="008E0518">
        <w:t xml:space="preserve">s 2.9%). Deaths considered related to study treatment by the </w:t>
      </w:r>
      <w:r w:rsidR="008C6AD2">
        <w:t>i</w:t>
      </w:r>
      <w:r w:rsidRPr="008E0518">
        <w:t>nvestigator were lower in the CT-P16 group (0.9% v</w:t>
      </w:r>
      <w:r w:rsidR="008C6AD2">
        <w:t>ersu</w:t>
      </w:r>
      <w:r w:rsidRPr="008E0518">
        <w:t>s 2.0%).</w:t>
      </w:r>
    </w:p>
    <w:p w14:paraId="60E65D74" w14:textId="660816FD" w:rsidR="008E0518" w:rsidRPr="008E0518" w:rsidRDefault="008E0518" w:rsidP="008E0518">
      <w:r w:rsidRPr="00EA1572">
        <w:t xml:space="preserve">Immunogenicity assessment was considered insufficient by the EMA Assessor, and the adequacy of the assay in Study CT-P16 3.1 questionable, with the EMA Assessor noting the inability of the </w:t>
      </w:r>
      <w:r w:rsidR="00342513" w:rsidRPr="00EA1572">
        <w:t>neutralising antibody</w:t>
      </w:r>
      <w:r w:rsidRPr="00EA1572">
        <w:t xml:space="preserve"> assay to detect </w:t>
      </w:r>
      <w:r w:rsidR="00342513" w:rsidRPr="00EA1572">
        <w:t xml:space="preserve">neutralising antibody </w:t>
      </w:r>
      <w:r w:rsidRPr="00EA1572">
        <w:t>at levels lower than 2000 ng/mL in any patients</w:t>
      </w:r>
      <w:r w:rsidRPr="008E0518">
        <w:t xml:space="preserve">. As the prevalence of </w:t>
      </w:r>
      <w:r w:rsidR="00D14699">
        <w:t>anti-drug antibody</w:t>
      </w:r>
      <w:r w:rsidRPr="008E0518">
        <w:t xml:space="preserve"> was low, neither of these issues were pursued further.</w:t>
      </w:r>
    </w:p>
    <w:p w14:paraId="2858B006" w14:textId="77777777" w:rsidR="00C22214" w:rsidRDefault="00C22214" w:rsidP="006D24F9">
      <w:pPr>
        <w:pStyle w:val="Heading3"/>
        <w:pageBreakBefore/>
        <w:rPr>
          <w:lang w:eastAsia="en-AU"/>
        </w:rPr>
      </w:pPr>
      <w:bookmarkStart w:id="48" w:name="_Toc314842514"/>
      <w:bookmarkStart w:id="49" w:name="_Toc103679298"/>
      <w:bookmarkStart w:id="50" w:name="_Toc156210065"/>
      <w:r>
        <w:rPr>
          <w:lang w:eastAsia="en-AU"/>
        </w:rPr>
        <w:lastRenderedPageBreak/>
        <w:t>Risk management plan</w:t>
      </w:r>
      <w:bookmarkEnd w:id="48"/>
      <w:bookmarkEnd w:id="49"/>
      <w:bookmarkEnd w:id="50"/>
    </w:p>
    <w:p w14:paraId="0908AE06" w14:textId="697913D1" w:rsidR="00FA1BC9" w:rsidRPr="00BD5DBD" w:rsidRDefault="00FA1BC9" w:rsidP="00FA1BC9">
      <w:pPr>
        <w:rPr>
          <w:szCs w:val="22"/>
        </w:rPr>
      </w:pPr>
      <w:bookmarkStart w:id="51" w:name="_Toc247691531"/>
      <w:bookmarkStart w:id="52" w:name="_Toc314842515"/>
      <w:bookmarkStart w:id="53" w:name="_Toc103679299"/>
      <w:r w:rsidRPr="00BD5DBD">
        <w:rPr>
          <w:szCs w:val="22"/>
        </w:rPr>
        <w:t>The sponsor is required to comply with product vigilance and risk minimisation requirements.</w:t>
      </w:r>
    </w:p>
    <w:p w14:paraId="2D08CB50" w14:textId="5608F589" w:rsidR="00FA1BC9" w:rsidRPr="00BD5DBD" w:rsidRDefault="00FA1BC9" w:rsidP="00FA1BC9">
      <w:pPr>
        <w:rPr>
          <w:szCs w:val="22"/>
        </w:rPr>
      </w:pPr>
      <w:r w:rsidRPr="00BD5DBD">
        <w:rPr>
          <w:szCs w:val="22"/>
        </w:rPr>
        <w:t xml:space="preserve">The TGA decided a </w:t>
      </w:r>
      <w:r w:rsidR="00671B9F">
        <w:rPr>
          <w:szCs w:val="22"/>
        </w:rPr>
        <w:t>risk management plan (</w:t>
      </w:r>
      <w:r w:rsidRPr="00BD5DBD">
        <w:rPr>
          <w:szCs w:val="22"/>
        </w:rPr>
        <w:t>RMP</w:t>
      </w:r>
      <w:r w:rsidR="00671B9F">
        <w:rPr>
          <w:szCs w:val="22"/>
        </w:rPr>
        <w:t>)</w:t>
      </w:r>
      <w:r w:rsidRPr="00BD5DBD">
        <w:rPr>
          <w:szCs w:val="22"/>
        </w:rPr>
        <w:t xml:space="preserve"> was not required </w:t>
      </w:r>
      <w:r w:rsidR="00671B9F">
        <w:rPr>
          <w:szCs w:val="22"/>
        </w:rPr>
        <w:t xml:space="preserve">to be evaluated, as </w:t>
      </w:r>
      <w:r w:rsidR="00671B9F">
        <w:t xml:space="preserve">no additional pharmacovigilance activity or additional risk minimisation activity is currently conducted for the innovator, and the biosimilar will have the same indications, dosage form, </w:t>
      </w:r>
      <w:r w:rsidR="003E0D9C">
        <w:t>strengths,</w:t>
      </w:r>
      <w:r w:rsidR="00671B9F">
        <w:t xml:space="preserve"> and route of administration as the innovator product. </w:t>
      </w:r>
      <w:r w:rsidR="0017005C">
        <w:rPr>
          <w:szCs w:val="22"/>
        </w:rPr>
        <w:t>S</w:t>
      </w:r>
      <w:r w:rsidRPr="00BD5DBD">
        <w:rPr>
          <w:szCs w:val="22"/>
        </w:rPr>
        <w:t xml:space="preserve">ee </w:t>
      </w:r>
      <w:hyperlink r:id="rId28" w:history="1">
        <w:r w:rsidRPr="00BD5DBD">
          <w:rPr>
            <w:rStyle w:val="Hyperlink"/>
            <w:szCs w:val="22"/>
          </w:rPr>
          <w:t>TGA’s guidance</w:t>
        </w:r>
      </w:hyperlink>
      <w:r w:rsidRPr="00BD5DBD">
        <w:rPr>
          <w:szCs w:val="22"/>
        </w:rPr>
        <w:t xml:space="preserve"> on ‘when an RMP is required’</w:t>
      </w:r>
      <w:r w:rsidR="0061217D">
        <w:rPr>
          <w:szCs w:val="22"/>
        </w:rPr>
        <w:t>.</w:t>
      </w:r>
    </w:p>
    <w:p w14:paraId="74A4F87F" w14:textId="77777777" w:rsidR="00C22214" w:rsidRDefault="00C22214" w:rsidP="00C22214">
      <w:pPr>
        <w:pStyle w:val="Heading3"/>
      </w:pPr>
      <w:bookmarkStart w:id="54" w:name="_Toc156210066"/>
      <w:r>
        <w:t>Risk-benefit analysis</w:t>
      </w:r>
      <w:bookmarkEnd w:id="51"/>
      <w:bookmarkEnd w:id="52"/>
      <w:bookmarkEnd w:id="53"/>
      <w:bookmarkEnd w:id="54"/>
    </w:p>
    <w:p w14:paraId="77DE2655" w14:textId="77777777" w:rsidR="00C22214" w:rsidRDefault="00C22214" w:rsidP="00C22214">
      <w:pPr>
        <w:pStyle w:val="Heading4"/>
      </w:pPr>
      <w:bookmarkStart w:id="55" w:name="_Toc98931932"/>
      <w:bookmarkStart w:id="56" w:name="_Toc156210067"/>
      <w:r>
        <w:t>Delegate’s considerations</w:t>
      </w:r>
      <w:bookmarkEnd w:id="55"/>
      <w:bookmarkEnd w:id="56"/>
    </w:p>
    <w:p w14:paraId="1691A973" w14:textId="68688BBB" w:rsidR="00671B9F" w:rsidRPr="00671B9F" w:rsidRDefault="00671B9F" w:rsidP="00671B9F">
      <w:r w:rsidRPr="00671B9F">
        <w:t>The sponsor submitted a comparability study between the reference medicinal product registered in Australia using EU-approved and Australia-registered Avastin. Physicochemical and biological comparability between Avastin registered in the EU and Australia has been satisfactorily demonstrated.</w:t>
      </w:r>
    </w:p>
    <w:p w14:paraId="2B9D76CC" w14:textId="04997B1C" w:rsidR="008E0518" w:rsidRDefault="00671B9F" w:rsidP="00671B9F">
      <w:r w:rsidRPr="00671B9F">
        <w:t>The primary objective of a comparative clinical study in a biosimilar development program is not to establish efficacy but to assess for clinically meaningful differences. The primary endpoint selected should be sufficiently sensitive to assess for clinically meaningful differences between the products. As such, it is not scientifically necessary for the primary endpoint in a comparative clinical study to be the same as the endpoint used to demonstrate efficacy of the reference product</w:t>
      </w:r>
      <w:r w:rsidR="00C86F07">
        <w:t>.</w:t>
      </w:r>
      <w:r w:rsidRPr="00671B9F">
        <w:rPr>
          <w:vertAlign w:val="superscript"/>
        </w:rPr>
        <w:footnoteReference w:id="11"/>
      </w:r>
      <w:r w:rsidRPr="00671B9F">
        <w:t xml:space="preserve"> Of note the primary efficacy endpoint in the pivotal study to demonstrate efficacy of </w:t>
      </w:r>
      <w:r w:rsidRPr="00C86F07">
        <w:t xml:space="preserve">Avastin in NSCLC was OS with PFS and ORR as secondary endpoints. </w:t>
      </w:r>
      <w:r w:rsidR="004C6EA5" w:rsidRPr="00C86F07">
        <w:t>Additionally,</w:t>
      </w:r>
      <w:r w:rsidRPr="00C86F07">
        <w:t xml:space="preserve"> the population</w:t>
      </w:r>
      <w:r w:rsidRPr="00671B9F">
        <w:t xml:space="preserve"> selected was suitable for comparisons and the nsNSCLC population was chosen to demonstrate comparability in other biosimilar bevacizumab products. The ORR demonstrated similarity according to protocol</w:t>
      </w:r>
      <w:r w:rsidR="00C86F07">
        <w:noBreakHyphen/>
      </w:r>
      <w:r w:rsidRPr="00671B9F">
        <w:t>specified bounds, satisfying the requirement for efficacy comparable to that of the originator product.</w:t>
      </w:r>
    </w:p>
    <w:p w14:paraId="6D1E7179" w14:textId="52E33EDC" w:rsidR="00671B9F" w:rsidRPr="00671B9F" w:rsidRDefault="00671B9F" w:rsidP="00671B9F">
      <w:r w:rsidRPr="00671B9F">
        <w:t>There were no safety signals to suggest that the safety of Vegzelma would be clinically significantly different from that of the originator bevacizumab product.</w:t>
      </w:r>
    </w:p>
    <w:p w14:paraId="43F420D9" w14:textId="2A149D1B" w:rsidR="00671B9F" w:rsidRPr="00671B9F" w:rsidRDefault="008E0518" w:rsidP="00671B9F">
      <w:r>
        <w:t xml:space="preserve">The Delegate </w:t>
      </w:r>
      <w:r w:rsidR="00671B9F" w:rsidRPr="00671B9F">
        <w:t>note</w:t>
      </w:r>
      <w:r>
        <w:t>d</w:t>
      </w:r>
      <w:r w:rsidR="00671B9F" w:rsidRPr="00671B9F">
        <w:t xml:space="preserve"> that the clinical evaluator considered that only those indications accepted by the EMA should be eligible for inclusion in the P</w:t>
      </w:r>
      <w:r w:rsidR="00C86F07">
        <w:t>roduct Information (P</w:t>
      </w:r>
      <w:r w:rsidR="00671B9F" w:rsidRPr="00671B9F">
        <w:t>I</w:t>
      </w:r>
      <w:r w:rsidR="00C86F07">
        <w:t>)</w:t>
      </w:r>
      <w:r w:rsidR="00671B9F" w:rsidRPr="00671B9F">
        <w:t xml:space="preserve"> for Vegzelma. </w:t>
      </w:r>
      <w:r>
        <w:t>The Delegate</w:t>
      </w:r>
      <w:r w:rsidR="00671B9F" w:rsidRPr="00671B9F">
        <w:t xml:space="preserve"> disagree</w:t>
      </w:r>
      <w:r>
        <w:t>d</w:t>
      </w:r>
      <w:r w:rsidR="00671B9F" w:rsidRPr="00671B9F">
        <w:t xml:space="preserve"> and accept</w:t>
      </w:r>
      <w:r>
        <w:t>ed</w:t>
      </w:r>
      <w:r w:rsidR="00671B9F" w:rsidRPr="00671B9F">
        <w:t xml:space="preserve"> the justification provided by the sponsor</w:t>
      </w:r>
      <w:r>
        <w:t>,</w:t>
      </w:r>
      <w:r w:rsidR="00671B9F" w:rsidRPr="00671B9F">
        <w:t xml:space="preserve"> which was based on extrapolation of clinical efficacy and safety based on the overall evidence of comparability. It </w:t>
      </w:r>
      <w:r>
        <w:t>was</w:t>
      </w:r>
      <w:r w:rsidR="00671B9F" w:rsidRPr="00671B9F">
        <w:t xml:space="preserve"> also noted that the TGA has previously accepted all Australian indications of bevacizumab </w:t>
      </w:r>
      <w:r w:rsidR="00C86F07">
        <w:t xml:space="preserve">(Avastin) </w:t>
      </w:r>
      <w:r w:rsidR="00671B9F" w:rsidRPr="00671B9F">
        <w:t>for other biosimilar bevacizumab products. There is no evidence that bevacizumab has a unique mechanism of action in glioma.</w:t>
      </w:r>
    </w:p>
    <w:p w14:paraId="3916F296" w14:textId="77777777" w:rsidR="00C22214" w:rsidRDefault="00C22214" w:rsidP="00C22214">
      <w:pPr>
        <w:pStyle w:val="Heading4"/>
      </w:pPr>
      <w:bookmarkStart w:id="57" w:name="_Toc98931933"/>
      <w:bookmarkStart w:id="58" w:name="_Toc156210068"/>
      <w:r w:rsidRPr="00D23139">
        <w:t>Proposed action</w:t>
      </w:r>
      <w:bookmarkEnd w:id="57"/>
      <w:bookmarkEnd w:id="58"/>
    </w:p>
    <w:p w14:paraId="1F694596" w14:textId="0C9D901C" w:rsidR="00C22214" w:rsidRPr="00BD5DBD" w:rsidRDefault="00C22214" w:rsidP="00C22214">
      <w:pPr>
        <w:rPr>
          <w:szCs w:val="22"/>
        </w:rPr>
      </w:pPr>
      <w:r w:rsidRPr="00BD5DBD">
        <w:rPr>
          <w:szCs w:val="22"/>
        </w:rPr>
        <w:t xml:space="preserve">The </w:t>
      </w:r>
      <w:r w:rsidR="008E0518">
        <w:rPr>
          <w:szCs w:val="22"/>
        </w:rPr>
        <w:t>Delegate proposed to approve Vegzelma.</w:t>
      </w:r>
    </w:p>
    <w:p w14:paraId="318CFABC" w14:textId="77777777" w:rsidR="00C22214" w:rsidRPr="00F73346" w:rsidRDefault="00C22214" w:rsidP="00C22214">
      <w:pPr>
        <w:pStyle w:val="Heading4"/>
      </w:pPr>
      <w:bookmarkStart w:id="59" w:name="_Toc98931936"/>
      <w:bookmarkStart w:id="60" w:name="_Toc156210069"/>
      <w:bookmarkStart w:id="61" w:name="_Toc247691532"/>
      <w:bookmarkStart w:id="62" w:name="_Toc314842516"/>
      <w:r w:rsidRPr="00F73346">
        <w:t>Advisory Committee considerations</w:t>
      </w:r>
      <w:bookmarkEnd w:id="59"/>
      <w:bookmarkEnd w:id="60"/>
    </w:p>
    <w:p w14:paraId="15E2951C" w14:textId="5EFE5311" w:rsidR="00C22214" w:rsidRDefault="00C22214" w:rsidP="00C22214">
      <w:pPr>
        <w:rPr>
          <w:szCs w:val="22"/>
        </w:rPr>
      </w:pPr>
      <w:r w:rsidRPr="00BD5DBD">
        <w:rPr>
          <w:szCs w:val="22"/>
        </w:rPr>
        <w:t xml:space="preserve">The Delegate did not refer this submission to the </w:t>
      </w:r>
      <w:hyperlink r:id="rId29" w:history="1">
        <w:r w:rsidR="00F27779" w:rsidRPr="00BD5DBD">
          <w:rPr>
            <w:rStyle w:val="Hyperlink"/>
            <w:szCs w:val="22"/>
          </w:rPr>
          <w:t>Advisory Committee on Medicines (ACM)</w:t>
        </w:r>
      </w:hyperlink>
      <w:r w:rsidRPr="00BD5DBD">
        <w:rPr>
          <w:szCs w:val="22"/>
        </w:rPr>
        <w:t xml:space="preserve"> for advice.</w:t>
      </w:r>
    </w:p>
    <w:p w14:paraId="307F236C" w14:textId="77777777" w:rsidR="00C22214" w:rsidRPr="002E238E" w:rsidRDefault="00C22214" w:rsidP="00C22214">
      <w:pPr>
        <w:pStyle w:val="Heading2"/>
      </w:pPr>
      <w:bookmarkStart w:id="63" w:name="_Toc103679300"/>
      <w:bookmarkStart w:id="64" w:name="_Toc156210070"/>
      <w:r>
        <w:lastRenderedPageBreak/>
        <w:t>Outcome</w:t>
      </w:r>
      <w:bookmarkEnd w:id="61"/>
      <w:bookmarkEnd w:id="62"/>
      <w:bookmarkEnd w:id="63"/>
      <w:bookmarkEnd w:id="64"/>
    </w:p>
    <w:p w14:paraId="4EF22939" w14:textId="551C2627" w:rsidR="00C22214" w:rsidRPr="0017005C" w:rsidRDefault="00C22214" w:rsidP="0006104E">
      <w:r w:rsidRPr="0017005C">
        <w:t xml:space="preserve">Based on a review of quality, safety, and efficacy, the TGA </w:t>
      </w:r>
      <w:r w:rsidR="00B46DFB">
        <w:t>decided to</w:t>
      </w:r>
      <w:r w:rsidRPr="0017005C">
        <w:t xml:space="preserve"> regist</w:t>
      </w:r>
      <w:r w:rsidR="00B46DFB">
        <w:t>er</w:t>
      </w:r>
      <w:r w:rsidRPr="0017005C">
        <w:t xml:space="preserve"> </w:t>
      </w:r>
      <w:r w:rsidR="008E612E" w:rsidRPr="00CF50D5">
        <w:t>V</w:t>
      </w:r>
      <w:r w:rsidR="008E612E">
        <w:t>egzelma (</w:t>
      </w:r>
      <w:r w:rsidR="008E612E" w:rsidRPr="00CF50D5">
        <w:t>bevacizumab</w:t>
      </w:r>
      <w:r w:rsidR="008E612E">
        <w:t>)</w:t>
      </w:r>
      <w:r w:rsidR="008E612E" w:rsidRPr="00CF50D5">
        <w:t xml:space="preserve"> 100</w:t>
      </w:r>
      <w:r w:rsidR="008E612E">
        <w:t> </w:t>
      </w:r>
      <w:r w:rsidR="008E612E" w:rsidRPr="00CF50D5">
        <w:t>mg/4</w:t>
      </w:r>
      <w:r w:rsidR="008E612E">
        <w:t> </w:t>
      </w:r>
      <w:r w:rsidR="008E612E" w:rsidRPr="00CF50D5">
        <w:t xml:space="preserve">mL </w:t>
      </w:r>
      <w:r w:rsidR="008E612E">
        <w:t xml:space="preserve">and 400 mg/16 mL </w:t>
      </w:r>
      <w:r w:rsidR="008E612E" w:rsidRPr="00CF50D5">
        <w:t>solution for intravenous infusion</w:t>
      </w:r>
      <w:r w:rsidR="008E612E">
        <w:t xml:space="preserve"> in</w:t>
      </w:r>
      <w:r w:rsidR="008E612E" w:rsidRPr="00CF50D5">
        <w:t xml:space="preserve"> vial</w:t>
      </w:r>
      <w:r w:rsidR="008E612E">
        <w:t>s</w:t>
      </w:r>
      <w:r w:rsidRPr="0017005C">
        <w:t>, indicated for:</w:t>
      </w:r>
    </w:p>
    <w:p w14:paraId="05B89B4E" w14:textId="77777777" w:rsidR="00C86F07" w:rsidRPr="00461754" w:rsidRDefault="00C86F07" w:rsidP="00C86F07">
      <w:pPr>
        <w:ind w:left="720"/>
        <w:rPr>
          <w:b/>
          <w:bCs/>
          <w:i/>
          <w:iCs/>
          <w:szCs w:val="22"/>
        </w:rPr>
      </w:pPr>
      <w:r w:rsidRPr="00461754">
        <w:rPr>
          <w:b/>
          <w:bCs/>
          <w:i/>
          <w:iCs/>
          <w:szCs w:val="22"/>
        </w:rPr>
        <w:t>Metastatic Colorectal Cancer</w:t>
      </w:r>
    </w:p>
    <w:p w14:paraId="162AB30A" w14:textId="77777777" w:rsidR="00C86F07" w:rsidRPr="00461754" w:rsidRDefault="00C86F07" w:rsidP="00C86F07">
      <w:pPr>
        <w:ind w:left="720"/>
        <w:rPr>
          <w:i/>
          <w:iCs/>
          <w:szCs w:val="22"/>
        </w:rPr>
      </w:pPr>
      <w:r w:rsidRPr="00461754">
        <w:rPr>
          <w:i/>
          <w:iCs/>
          <w:szCs w:val="22"/>
        </w:rPr>
        <w:t>Vegzelma (bevacizumab) in combination with fluoropyrimidine-based chemotherapy is indicated for the treatment of patients with metastatic colorectal cancer.</w:t>
      </w:r>
    </w:p>
    <w:p w14:paraId="7F2346D8" w14:textId="77777777" w:rsidR="00C86F07" w:rsidRPr="00461754" w:rsidRDefault="00C86F07" w:rsidP="00C86F07">
      <w:pPr>
        <w:ind w:left="720"/>
        <w:rPr>
          <w:b/>
          <w:bCs/>
          <w:i/>
          <w:iCs/>
          <w:szCs w:val="22"/>
        </w:rPr>
      </w:pPr>
      <w:r w:rsidRPr="00461754">
        <w:rPr>
          <w:b/>
          <w:bCs/>
          <w:i/>
          <w:iCs/>
          <w:szCs w:val="22"/>
        </w:rPr>
        <w:t>Locally recurrent or metastatic Breast Cancer</w:t>
      </w:r>
    </w:p>
    <w:p w14:paraId="0761BFDD" w14:textId="77777777" w:rsidR="00C86F07" w:rsidRPr="00461754" w:rsidRDefault="00C86F07" w:rsidP="00C86F07">
      <w:pPr>
        <w:ind w:left="720"/>
        <w:rPr>
          <w:i/>
          <w:iCs/>
          <w:szCs w:val="22"/>
        </w:rPr>
      </w:pPr>
      <w:r w:rsidRPr="00461754">
        <w:rPr>
          <w:i/>
          <w:iCs/>
          <w:szCs w:val="22"/>
        </w:rPr>
        <w:t>Vegzelma (bevacizumab) in combination with paclitaxel is indicated for the first-line treatment of metastatic breast cancer in patients in whom an anthracycline-based therapy is contraindicated. (</w:t>
      </w:r>
      <w:proofErr w:type="gramStart"/>
      <w:r w:rsidRPr="00461754">
        <w:rPr>
          <w:i/>
          <w:iCs/>
          <w:szCs w:val="22"/>
        </w:rPr>
        <w:t>see</w:t>
      </w:r>
      <w:proofErr w:type="gramEnd"/>
      <w:r w:rsidRPr="00461754">
        <w:rPr>
          <w:i/>
          <w:iCs/>
          <w:szCs w:val="22"/>
        </w:rPr>
        <w:t xml:space="preserve"> Section 5.1 Clinical Trials).</w:t>
      </w:r>
    </w:p>
    <w:p w14:paraId="4C0A2A45" w14:textId="77777777" w:rsidR="00C86F07" w:rsidRPr="00461754" w:rsidRDefault="00C86F07" w:rsidP="00C86F07">
      <w:pPr>
        <w:ind w:left="720"/>
        <w:rPr>
          <w:b/>
          <w:bCs/>
          <w:i/>
          <w:iCs/>
          <w:szCs w:val="22"/>
        </w:rPr>
      </w:pPr>
      <w:r w:rsidRPr="00461754">
        <w:rPr>
          <w:b/>
          <w:bCs/>
          <w:i/>
          <w:iCs/>
          <w:szCs w:val="22"/>
        </w:rPr>
        <w:t xml:space="preserve">Advanced, </w:t>
      </w:r>
      <w:proofErr w:type="gramStart"/>
      <w:r w:rsidRPr="00461754">
        <w:rPr>
          <w:b/>
          <w:bCs/>
          <w:i/>
          <w:iCs/>
          <w:szCs w:val="22"/>
        </w:rPr>
        <w:t>metastatic</w:t>
      </w:r>
      <w:proofErr w:type="gramEnd"/>
      <w:r w:rsidRPr="00461754">
        <w:rPr>
          <w:b/>
          <w:bCs/>
          <w:i/>
          <w:iCs/>
          <w:szCs w:val="22"/>
        </w:rPr>
        <w:t xml:space="preserve"> or recurrent non-squamous Non-Small Cell Lung Cancer (NSCLC)</w:t>
      </w:r>
    </w:p>
    <w:p w14:paraId="3D04809E" w14:textId="77777777" w:rsidR="00C86F07" w:rsidRPr="00461754" w:rsidRDefault="00C86F07" w:rsidP="00C86F07">
      <w:pPr>
        <w:ind w:left="720"/>
        <w:rPr>
          <w:i/>
          <w:iCs/>
          <w:szCs w:val="22"/>
        </w:rPr>
      </w:pPr>
      <w:r w:rsidRPr="00461754">
        <w:rPr>
          <w:i/>
          <w:iCs/>
          <w:szCs w:val="22"/>
        </w:rPr>
        <w:t xml:space="preserve">Vegzelma (bevacizumab), in combination with carboplatin and paclitaxel, is indicated for first-line treatment of patients with unresectable advanced, </w:t>
      </w:r>
      <w:proofErr w:type="gramStart"/>
      <w:r w:rsidRPr="00461754">
        <w:rPr>
          <w:i/>
          <w:iCs/>
          <w:szCs w:val="22"/>
        </w:rPr>
        <w:t>metastatic</w:t>
      </w:r>
      <w:proofErr w:type="gramEnd"/>
      <w:r w:rsidRPr="00461754">
        <w:rPr>
          <w:i/>
          <w:iCs/>
          <w:szCs w:val="22"/>
        </w:rPr>
        <w:t xml:space="preserve"> or recurrent, non-squamous, non- small cell lung cancer.</w:t>
      </w:r>
    </w:p>
    <w:p w14:paraId="70C70849" w14:textId="77777777" w:rsidR="00C86F07" w:rsidRPr="00461754" w:rsidRDefault="00C86F07" w:rsidP="00C86F07">
      <w:pPr>
        <w:ind w:left="720"/>
        <w:rPr>
          <w:b/>
          <w:bCs/>
          <w:i/>
          <w:iCs/>
          <w:szCs w:val="22"/>
        </w:rPr>
      </w:pPr>
      <w:r w:rsidRPr="00461754">
        <w:rPr>
          <w:b/>
          <w:bCs/>
          <w:i/>
          <w:iCs/>
          <w:szCs w:val="22"/>
        </w:rPr>
        <w:t>Advanced and/or metastatic Renal Cell Cancer</w:t>
      </w:r>
    </w:p>
    <w:p w14:paraId="1E95BF06" w14:textId="21FBE275" w:rsidR="00C86F07" w:rsidRDefault="00C86F07" w:rsidP="00C86F07">
      <w:pPr>
        <w:ind w:left="720"/>
        <w:rPr>
          <w:i/>
          <w:iCs/>
          <w:szCs w:val="22"/>
        </w:rPr>
      </w:pPr>
      <w:r w:rsidRPr="00461754">
        <w:rPr>
          <w:i/>
          <w:iCs/>
          <w:szCs w:val="22"/>
        </w:rPr>
        <w:t>Vegzelma (bevacizumab) in combination with interferon alfa-2a is indicated for treatment of patients with advanced and/or metastatic renal cell cancer.</w:t>
      </w:r>
    </w:p>
    <w:p w14:paraId="3762AF44" w14:textId="77777777" w:rsidR="00C86F07" w:rsidRPr="00461754" w:rsidRDefault="00C86F07" w:rsidP="00C86F07">
      <w:pPr>
        <w:ind w:left="720"/>
        <w:rPr>
          <w:b/>
          <w:bCs/>
          <w:i/>
          <w:iCs/>
          <w:szCs w:val="22"/>
        </w:rPr>
      </w:pPr>
      <w:r w:rsidRPr="00461754">
        <w:rPr>
          <w:b/>
          <w:bCs/>
          <w:i/>
          <w:iCs/>
          <w:szCs w:val="22"/>
        </w:rPr>
        <w:t>Grade IV Glioma</w:t>
      </w:r>
    </w:p>
    <w:p w14:paraId="5FEA9A65" w14:textId="77777777" w:rsidR="00C86F07" w:rsidRPr="00461754" w:rsidRDefault="00C86F07" w:rsidP="00C86F07">
      <w:pPr>
        <w:ind w:left="720"/>
        <w:rPr>
          <w:i/>
          <w:iCs/>
          <w:szCs w:val="22"/>
        </w:rPr>
      </w:pPr>
      <w:r w:rsidRPr="00461754">
        <w:rPr>
          <w:i/>
          <w:iCs/>
          <w:szCs w:val="22"/>
        </w:rPr>
        <w:t>Vegzelma (bevacizumab) as a single agent, is indicated for the treatment of patients with Grade IV glioma after relapse or disease progression after standard therapy, including chemotherapy.</w:t>
      </w:r>
    </w:p>
    <w:p w14:paraId="4631F499" w14:textId="77777777" w:rsidR="00C86F07" w:rsidRPr="00461754" w:rsidRDefault="00C86F07" w:rsidP="00C86F07">
      <w:pPr>
        <w:ind w:left="720"/>
        <w:rPr>
          <w:b/>
          <w:bCs/>
          <w:i/>
          <w:iCs/>
          <w:szCs w:val="22"/>
        </w:rPr>
      </w:pPr>
      <w:r w:rsidRPr="00461754">
        <w:rPr>
          <w:b/>
          <w:bCs/>
          <w:i/>
          <w:iCs/>
          <w:szCs w:val="22"/>
        </w:rPr>
        <w:t>Epithelial Ovarian, Fallopian Tube or Primary Peritoneal Cancer</w:t>
      </w:r>
    </w:p>
    <w:p w14:paraId="05817E9B" w14:textId="77777777" w:rsidR="00C86F07" w:rsidRPr="00461754" w:rsidRDefault="00C86F07" w:rsidP="00C86F07">
      <w:pPr>
        <w:ind w:left="720"/>
        <w:rPr>
          <w:i/>
          <w:iCs/>
          <w:szCs w:val="22"/>
        </w:rPr>
      </w:pPr>
      <w:r w:rsidRPr="00461754">
        <w:rPr>
          <w:i/>
          <w:iCs/>
          <w:szCs w:val="22"/>
        </w:rPr>
        <w:t>Vegzelma (bevacizumab) in combination with carboplatin and paclitaxel, is indicated for first-line treatment of patients with advanced (FIGO stages IIIB, IIIC and IV) epithelial ovarian, fallopian tube, or primary peritoneal cancer.</w:t>
      </w:r>
    </w:p>
    <w:p w14:paraId="53E2BECC" w14:textId="77777777" w:rsidR="00C86F07" w:rsidRPr="00461754" w:rsidRDefault="00C86F07" w:rsidP="00C86F07">
      <w:pPr>
        <w:ind w:left="720"/>
        <w:rPr>
          <w:b/>
          <w:bCs/>
          <w:i/>
          <w:iCs/>
          <w:szCs w:val="22"/>
        </w:rPr>
      </w:pPr>
      <w:r w:rsidRPr="00461754">
        <w:rPr>
          <w:b/>
          <w:bCs/>
          <w:i/>
          <w:iCs/>
          <w:szCs w:val="22"/>
        </w:rPr>
        <w:t>Recurrent Epithelial Ovarian, Fallopian Tube or Primary Peritoneal Cancer</w:t>
      </w:r>
    </w:p>
    <w:p w14:paraId="3CBE84AE" w14:textId="77777777" w:rsidR="00C86F07" w:rsidRPr="00461754" w:rsidRDefault="00C86F07" w:rsidP="00C86F07">
      <w:pPr>
        <w:ind w:left="720"/>
        <w:rPr>
          <w:i/>
          <w:iCs/>
          <w:szCs w:val="22"/>
        </w:rPr>
      </w:pPr>
      <w:r w:rsidRPr="00461754">
        <w:rPr>
          <w:i/>
          <w:iCs/>
          <w:szCs w:val="22"/>
        </w:rPr>
        <w:t xml:space="preserve">Vegzelma (bevacizumab), in combination with carboplatin and paclitaxel or in combination with carboplatin and gemcitabine, is indicated for the treatment of patients with first recurrence of </w:t>
      </w:r>
      <w:r w:rsidRPr="00CF50D5">
        <w:rPr>
          <w:b/>
          <w:bCs/>
          <w:i/>
          <w:iCs/>
          <w:szCs w:val="22"/>
        </w:rPr>
        <w:t>platinum-sensitive</w:t>
      </w:r>
      <w:r w:rsidRPr="00461754">
        <w:rPr>
          <w:i/>
          <w:iCs/>
          <w:szCs w:val="22"/>
        </w:rPr>
        <w:t>, epithelial ovarian, fallopian tube, or primary peritoneal cancer who have not received prior bevacizumab or other VEGF targeted angiogenesis inhibitors.</w:t>
      </w:r>
    </w:p>
    <w:p w14:paraId="73F4E89D" w14:textId="77777777" w:rsidR="00C86F07" w:rsidRPr="00461754" w:rsidRDefault="00C86F07" w:rsidP="00C86F07">
      <w:pPr>
        <w:ind w:left="720"/>
        <w:rPr>
          <w:i/>
          <w:iCs/>
          <w:szCs w:val="22"/>
        </w:rPr>
      </w:pPr>
      <w:r w:rsidRPr="00461754">
        <w:rPr>
          <w:i/>
          <w:iCs/>
          <w:szCs w:val="22"/>
        </w:rPr>
        <w:t xml:space="preserve">Vegzelma (bevacizumab) in combination with paclitaxel, topotecan or pegylated liposomal doxorubicin is indicated for the treatment of patients with recurrent, platinum-resistant epithelial ovarian, fallopian tube, or primary peritoneal cancer who have received no more than two prior chemotherapy </w:t>
      </w:r>
      <w:proofErr w:type="gramStart"/>
      <w:r w:rsidRPr="00461754">
        <w:rPr>
          <w:i/>
          <w:iCs/>
          <w:szCs w:val="22"/>
        </w:rPr>
        <w:t>regimens, and</w:t>
      </w:r>
      <w:proofErr w:type="gramEnd"/>
      <w:r w:rsidRPr="00461754">
        <w:rPr>
          <w:i/>
          <w:iCs/>
          <w:szCs w:val="22"/>
        </w:rPr>
        <w:t xml:space="preserve"> have not received any prior anti-angiogenic therapy including bevacizumab.</w:t>
      </w:r>
    </w:p>
    <w:p w14:paraId="158CD456" w14:textId="77777777" w:rsidR="00C86F07" w:rsidRPr="00461754" w:rsidRDefault="00C86F07" w:rsidP="00C86F07">
      <w:pPr>
        <w:ind w:left="720"/>
        <w:rPr>
          <w:b/>
          <w:bCs/>
          <w:i/>
          <w:iCs/>
          <w:szCs w:val="22"/>
        </w:rPr>
      </w:pPr>
      <w:r w:rsidRPr="00461754">
        <w:rPr>
          <w:b/>
          <w:bCs/>
          <w:i/>
          <w:iCs/>
          <w:szCs w:val="22"/>
        </w:rPr>
        <w:t>Cervical Cancer</w:t>
      </w:r>
    </w:p>
    <w:p w14:paraId="572B68DC" w14:textId="56BAA01D" w:rsidR="00C86F07" w:rsidRPr="00461754" w:rsidRDefault="00C86F07" w:rsidP="00C86F07">
      <w:pPr>
        <w:ind w:left="720"/>
        <w:rPr>
          <w:i/>
          <w:iCs/>
          <w:szCs w:val="22"/>
        </w:rPr>
      </w:pPr>
      <w:r w:rsidRPr="00461754">
        <w:rPr>
          <w:i/>
          <w:iCs/>
          <w:szCs w:val="22"/>
        </w:rPr>
        <w:t xml:space="preserve">Vegzelma (bevacizumab) in combination with paclitaxel and cisplatin is indicated for the treatment of persistent, </w:t>
      </w:r>
      <w:proofErr w:type="gramStart"/>
      <w:r w:rsidRPr="00461754">
        <w:rPr>
          <w:i/>
          <w:iCs/>
          <w:szCs w:val="22"/>
        </w:rPr>
        <w:t>recurrent</w:t>
      </w:r>
      <w:proofErr w:type="gramEnd"/>
      <w:r w:rsidRPr="00461754">
        <w:rPr>
          <w:i/>
          <w:iCs/>
          <w:szCs w:val="22"/>
        </w:rPr>
        <w:t xml:space="preserve"> or metastatic carcinoma of the cervix. Vegzelma (bevacizumab) in combination with paclitaxel and topotecan is an acceptable alternative where cisplatin is not tolerated or not indicated.</w:t>
      </w:r>
    </w:p>
    <w:p w14:paraId="0D732DA4" w14:textId="77777777" w:rsidR="00854D98" w:rsidRPr="00D23139" w:rsidRDefault="00854D98" w:rsidP="00854D98">
      <w:pPr>
        <w:pStyle w:val="Heading3"/>
      </w:pPr>
      <w:bookmarkStart w:id="65" w:name="_Toc103679301"/>
      <w:bookmarkStart w:id="66" w:name="_Toc156210071"/>
      <w:r w:rsidRPr="00D23139">
        <w:lastRenderedPageBreak/>
        <w:t>Specific conditions of registration applying to these goods</w:t>
      </w:r>
      <w:bookmarkEnd w:id="65"/>
      <w:bookmarkEnd w:id="66"/>
    </w:p>
    <w:p w14:paraId="7908F93A" w14:textId="15488D58" w:rsidR="00C86F07" w:rsidRDefault="00C86F07" w:rsidP="00C86F07">
      <w:pPr>
        <w:pStyle w:val="ListBullet"/>
      </w:pPr>
      <w:r>
        <w:t>Laboratory testing and compliance with Certified Product Details (CPD):</w:t>
      </w:r>
    </w:p>
    <w:p w14:paraId="64F505E0" w14:textId="21E9AEE6" w:rsidR="00C86F07" w:rsidRDefault="00C86F07" w:rsidP="00C86F07">
      <w:pPr>
        <w:pStyle w:val="ListBullet2"/>
      </w:pPr>
      <w:r>
        <w:t>All batches of Vegzelma</w:t>
      </w:r>
      <w:r>
        <w:rPr>
          <w:rFonts w:ascii="Cambria-BoldItalic" w:hAnsi="Cambria-BoldItalic" w:cs="Cambria-BoldItalic"/>
          <w:b/>
          <w:bCs/>
          <w:i/>
          <w:iCs/>
        </w:rPr>
        <w:t xml:space="preserve"> </w:t>
      </w:r>
      <w:r>
        <w:t>bevacizumab 100 mg/4 mL and 400 mg/16 mL concentrate solution for intravenous infusion, vial supplied in Australia must comply with the product details and specifications approved during evaluation and detailed in the CPD.</w:t>
      </w:r>
    </w:p>
    <w:p w14:paraId="72260CD1" w14:textId="496C483B" w:rsidR="00C86F07" w:rsidRDefault="00C86F07" w:rsidP="00C86F07">
      <w:pPr>
        <w:pStyle w:val="ListBullet2"/>
      </w:pPr>
      <w:r>
        <w:t xml:space="preserve">When requested by the TGA, the sponsor should be prepared to provide product samples, specified reference materials and documentary evidence to enable the TGA to conduct laboratory testing on the Product. Outcomes of laboratory testing are published biannually in the TGA Database of Laboratory Testing Results </w:t>
      </w:r>
      <w:r>
        <w:rPr>
          <w:color w:val="0000FF"/>
        </w:rPr>
        <w:t xml:space="preserve">http://www.tga.gov.au/ws-labs-index </w:t>
      </w:r>
      <w:r>
        <w:t>and periodically in testing reports on the TGA website.</w:t>
      </w:r>
    </w:p>
    <w:p w14:paraId="1DA4E197" w14:textId="772F1DD6" w:rsidR="00C86F07" w:rsidRPr="00C86F07" w:rsidRDefault="00C86F07" w:rsidP="00C86F07">
      <w:pPr>
        <w:pStyle w:val="ListBullet"/>
      </w:pPr>
      <w:r>
        <w:t xml:space="preserve">The Certified Product Details (CPD), as described in Guidance 7: Certified Product Details of the Australian Regulatory Guidelines for Prescription Medicines (ARGPM) </w:t>
      </w:r>
      <w:r>
        <w:rPr>
          <w:color w:val="0000FF"/>
        </w:rPr>
        <w:t>http://www.tga.gov.au/industry/pm-argpmguidance-7.htm</w:t>
      </w:r>
      <w:r>
        <w:t>, in PDF format,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451DC3FC" w14:textId="2D1EC6E2" w:rsidR="00C22214" w:rsidRDefault="00C22214" w:rsidP="00C22214">
      <w:pPr>
        <w:pStyle w:val="Heading2"/>
      </w:pPr>
      <w:bookmarkStart w:id="67" w:name="_Toc103679303"/>
      <w:bookmarkStart w:id="68" w:name="_Toc156210072"/>
      <w:r>
        <w:t>Attachment 1. Product Information</w:t>
      </w:r>
      <w:bookmarkEnd w:id="67"/>
      <w:bookmarkEnd w:id="68"/>
    </w:p>
    <w:p w14:paraId="74F59983" w14:textId="58B0AE41" w:rsidR="00675F81" w:rsidRPr="00BD5DBD" w:rsidRDefault="00675F81" w:rsidP="00675F81">
      <w:pPr>
        <w:rPr>
          <w:szCs w:val="22"/>
        </w:rPr>
      </w:pPr>
      <w:r w:rsidRPr="00BD5DBD">
        <w:rPr>
          <w:szCs w:val="22"/>
        </w:rPr>
        <w:t xml:space="preserve">The </w:t>
      </w:r>
      <w:hyperlink r:id="rId30" w:history="1">
        <w:r w:rsidRPr="00BD5DBD">
          <w:rPr>
            <w:rStyle w:val="Hyperlink"/>
            <w:szCs w:val="22"/>
          </w:rPr>
          <w:t>Product Information</w:t>
        </w:r>
      </w:hyperlink>
      <w:r w:rsidRPr="00BD5DBD">
        <w:rPr>
          <w:szCs w:val="22"/>
        </w:rPr>
        <w:t xml:space="preserve"> (</w:t>
      </w:r>
      <w:hyperlink r:id="rId31" w:history="1">
        <w:r w:rsidRPr="00BD5DBD">
          <w:rPr>
            <w:rStyle w:val="Hyperlink"/>
            <w:szCs w:val="22"/>
          </w:rPr>
          <w:t>PI</w:t>
        </w:r>
      </w:hyperlink>
      <w:r w:rsidRPr="00BD5DBD">
        <w:rPr>
          <w:szCs w:val="22"/>
        </w:rPr>
        <w:t>) approved with the submission</w:t>
      </w:r>
      <w:r w:rsidR="0017005C" w:rsidRPr="0017005C">
        <w:rPr>
          <w:szCs w:val="22"/>
        </w:rPr>
        <w:t xml:space="preserve"> </w:t>
      </w:r>
      <w:r w:rsidR="0017005C" w:rsidRPr="00BD5DBD">
        <w:rPr>
          <w:szCs w:val="22"/>
        </w:rPr>
        <w:t xml:space="preserve">for </w:t>
      </w:r>
      <w:r w:rsidR="00213F2F">
        <w:rPr>
          <w:szCs w:val="22"/>
        </w:rPr>
        <w:t>Vegzelma</w:t>
      </w:r>
      <w:r w:rsidR="003163BC">
        <w:t xml:space="preserve"> </w:t>
      </w:r>
      <w:r w:rsidRPr="00BD5DBD">
        <w:rPr>
          <w:szCs w:val="22"/>
        </w:rPr>
        <w:t xml:space="preserve">which is described in this AusPAR can be found as Attachment 1. </w:t>
      </w:r>
      <w:r w:rsidR="0025785B">
        <w:t xml:space="preserve">It may have been superseded. </w:t>
      </w:r>
      <w:r w:rsidRPr="00BD5DBD">
        <w:rPr>
          <w:szCs w:val="22"/>
        </w:rPr>
        <w:t xml:space="preserve">For the most recent PI and </w:t>
      </w:r>
      <w:hyperlink r:id="rId32" w:history="1">
        <w:r w:rsidRPr="00BD5DBD">
          <w:rPr>
            <w:rStyle w:val="Hyperlink"/>
            <w:szCs w:val="22"/>
          </w:rPr>
          <w:t>Consumer Medicines Information</w:t>
        </w:r>
      </w:hyperlink>
      <w:r w:rsidRPr="00BD5DBD">
        <w:rPr>
          <w:szCs w:val="22"/>
        </w:rPr>
        <w:t xml:space="preserve"> (CMI), please refer to the TGA </w:t>
      </w:r>
      <w:hyperlink r:id="rId33" w:history="1">
        <w:r w:rsidRPr="00BD5DBD">
          <w:rPr>
            <w:rStyle w:val="Hyperlink"/>
            <w:szCs w:val="22"/>
          </w:rPr>
          <w:t>PI/CMI search facility.</w:t>
        </w:r>
      </w:hyperlink>
    </w:p>
    <w:p w14:paraId="40740B65" w14:textId="5819D664" w:rsidR="00C22214" w:rsidRPr="008B4DA3" w:rsidRDefault="00C22214" w:rsidP="00C22214">
      <w:pPr>
        <w:autoSpaceDE w:val="0"/>
        <w:autoSpaceDN w:val="0"/>
        <w:adjustRightInd w:val="0"/>
        <w:spacing w:after="0"/>
      </w:pPr>
    </w:p>
    <w:p w14:paraId="53357BF3" w14:textId="276457B5" w:rsidR="00C22214" w:rsidRDefault="00C22214" w:rsidP="00C22214">
      <w:pPr>
        <w:rPr>
          <w:lang w:eastAsia="ja-JP"/>
        </w:rPr>
        <w:sectPr w:rsidR="00C22214" w:rsidSect="00006230">
          <w:headerReference w:type="default" r:id="rId34"/>
          <w:footerReference w:type="default" r:id="rId35"/>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4C21A2A2" w:rsidR="00F02AEC" w:rsidRDefault="00F02AEC">
            <w:pPr>
              <w:pStyle w:val="Address"/>
              <w:jc w:val="center"/>
              <w:rPr>
                <w:sz w:val="22"/>
                <w:szCs w:val="22"/>
              </w:rPr>
            </w:pPr>
            <w:r w:rsidRPr="00215D48">
              <w:t xml:space="preserve">Email: </w:t>
            </w:r>
            <w:hyperlink r:id="rId36"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533D80F" w14:textId="76546837" w:rsidR="00F02AEC" w:rsidRPr="00215D48" w:rsidRDefault="006D24F9">
            <w:pPr>
              <w:pStyle w:val="Address"/>
              <w:jc w:val="center"/>
              <w:rPr>
                <w:rStyle w:val="Hyperlink"/>
                <w:b/>
                <w:color w:val="auto"/>
                <w:sz w:val="22"/>
              </w:rPr>
            </w:pPr>
            <w:hyperlink r:id="rId37" w:history="1">
              <w:r w:rsidR="00F02AEC"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215D48">
              <w:t>Reference/Publication #</w:t>
            </w:r>
          </w:p>
        </w:tc>
      </w:tr>
    </w:tbl>
    <w:p w14:paraId="788B80FD" w14:textId="77777777" w:rsidR="007452E8" w:rsidRDefault="007452E8"/>
    <w:sectPr w:rsidR="007452E8" w:rsidSect="00006230">
      <w:headerReference w:type="first" r:id="rId38"/>
      <w:footerReference w:type="first" r:id="rId39"/>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3EA6" w14:textId="77777777" w:rsidR="005D7F44" w:rsidRDefault="005D7F44" w:rsidP="00F02AEC">
      <w:pPr>
        <w:spacing w:after="0" w:line="240" w:lineRule="auto"/>
      </w:pPr>
      <w:r>
        <w:separator/>
      </w:r>
    </w:p>
  </w:endnote>
  <w:endnote w:type="continuationSeparator" w:id="0">
    <w:p w14:paraId="4A313A99" w14:textId="77777777" w:rsidR="005D7F44" w:rsidRDefault="005D7F44"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NewRoman">
    <w:altName w:val="Malgun Gothic"/>
    <w:panose1 w:val="00000000000000000000"/>
    <w:charset w:val="00"/>
    <w:family w:val="auto"/>
    <w:notTrueType/>
    <w:pitch w:val="default"/>
    <w:sig w:usb0="00000003" w:usb1="080F0000" w:usb2="00000010" w:usb3="00000000" w:csb0="00120001" w:csb1="00000000"/>
  </w:font>
  <w:font w:name="Cambria-Bold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6D24F9">
                <w:fldChar w:fldCharType="begin"/>
              </w:r>
              <w:r w:rsidR="006D24F9">
                <w:instrText xml:space="preserve"> NUMPAGES  </w:instrText>
              </w:r>
              <w:r w:rsidR="006D24F9">
                <w:fldChar w:fldCharType="separate"/>
              </w:r>
              <w:r>
                <w:rPr>
                  <w:noProof/>
                </w:rPr>
                <w:t>2</w:t>
              </w:r>
              <w:r w:rsidR="006D24F9">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0CDAE781" w:rsidR="007452E8" w:rsidRPr="004A3084" w:rsidRDefault="007452E8" w:rsidP="007452E8">
          <w:pPr>
            <w:pStyle w:val="Footer"/>
          </w:pPr>
          <w:r w:rsidRPr="00487162">
            <w:t>AusPA</w:t>
          </w:r>
          <w:r>
            <w:t xml:space="preserve">R - </w:t>
          </w:r>
          <w:r w:rsidR="00CF1CE4">
            <w:t>Vegzelma</w:t>
          </w:r>
          <w:r>
            <w:t xml:space="preserve"> -</w:t>
          </w:r>
          <w:r w:rsidRPr="00460036">
            <w:t xml:space="preserve"> </w:t>
          </w:r>
          <w:r w:rsidR="00CF1CE4">
            <w:t>bevacizumab</w:t>
          </w:r>
          <w:r w:rsidRPr="00460036">
            <w:t xml:space="preserve"> </w:t>
          </w:r>
          <w:r w:rsidR="00CF1CE4">
            <w:t>–</w:t>
          </w:r>
          <w:r>
            <w:t xml:space="preserve"> </w:t>
          </w:r>
          <w:r w:rsidR="00CF1CE4">
            <w:t>Celltrion Healthcare Australia Pty Ltd</w:t>
          </w:r>
          <w:r>
            <w:t xml:space="preserve"> - PM-202</w:t>
          </w:r>
          <w:r w:rsidR="00CF1CE4">
            <w:t>2</w:t>
          </w:r>
          <w:r w:rsidRPr="00487162">
            <w:t>-</w:t>
          </w:r>
          <w:r w:rsidR="00CF1CE4">
            <w:t>04193-1-4</w:t>
          </w:r>
          <w:r>
            <w:br/>
          </w:r>
          <w:r w:rsidR="002F3506">
            <w:t>Final 22 February 2024</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rsidR="006D24F9">
                <w:fldChar w:fldCharType="begin"/>
              </w:r>
              <w:r w:rsidR="006D24F9">
                <w:instrText xml:space="preserve"> NUMPAGES  </w:instrText>
              </w:r>
              <w:r w:rsidR="006D24F9">
                <w:fldChar w:fldCharType="separate"/>
              </w:r>
              <w:r w:rsidR="006D6B44">
                <w:rPr>
                  <w:noProof/>
                </w:rPr>
                <w:t>17</w:t>
              </w:r>
              <w:r w:rsidR="006D24F9">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70932" w14:textId="77777777" w:rsidR="005D7F44" w:rsidRDefault="005D7F44" w:rsidP="00F02AEC">
      <w:pPr>
        <w:spacing w:after="0" w:line="240" w:lineRule="auto"/>
      </w:pPr>
      <w:r>
        <w:separator/>
      </w:r>
    </w:p>
  </w:footnote>
  <w:footnote w:type="continuationSeparator" w:id="0">
    <w:p w14:paraId="3FF937DF" w14:textId="77777777" w:rsidR="005D7F44" w:rsidRDefault="005D7F44" w:rsidP="00F02AEC">
      <w:pPr>
        <w:spacing w:after="0" w:line="240" w:lineRule="auto"/>
      </w:pPr>
      <w:r>
        <w:continuationSeparator/>
      </w:r>
    </w:p>
  </w:footnote>
  <w:footnote w:id="1">
    <w:p w14:paraId="68402A9B" w14:textId="42E6F8E0" w:rsidR="007452E8" w:rsidRPr="00A93DC6" w:rsidRDefault="007452E8">
      <w:pPr>
        <w:pStyle w:val="FootnoteText"/>
        <w:rPr>
          <w:lang w:val="en-GB"/>
        </w:rPr>
      </w:pPr>
      <w:r>
        <w:rPr>
          <w:rStyle w:val="FootnoteReference"/>
        </w:rPr>
        <w:footnoteRef/>
      </w:r>
      <w:r>
        <w:t xml:space="preserve"> </w:t>
      </w:r>
      <w:r w:rsidR="00FB236E">
        <w:t>This is the original indication proposed by the sponsor</w:t>
      </w:r>
      <w:r w:rsidR="00FB236E">
        <w:rPr>
          <w:lang w:val="en-GB"/>
        </w:rPr>
        <w:t xml:space="preserve"> when the TGA commenced the evaluation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 xml:space="preserve">e TGA and registered </w:t>
      </w:r>
      <w:r w:rsidR="005C4B46">
        <w:rPr>
          <w:lang w:val="en-GB"/>
        </w:rPr>
        <w:t xml:space="preserve">in </w:t>
      </w:r>
      <w:r w:rsidR="00FB236E">
        <w:rPr>
          <w:lang w:val="en-GB"/>
        </w:rPr>
        <w:t>the Australian Register of Therapeutic Goods.</w:t>
      </w:r>
    </w:p>
  </w:footnote>
  <w:footnote w:id="2">
    <w:p w14:paraId="3902E355" w14:textId="4DAFE23D" w:rsidR="00F31963" w:rsidRDefault="00F31963">
      <w:pPr>
        <w:pStyle w:val="FootnoteText"/>
      </w:pPr>
      <w:r>
        <w:rPr>
          <w:rStyle w:val="FootnoteReference"/>
        </w:rPr>
        <w:footnoteRef/>
      </w:r>
      <w:r>
        <w:t xml:space="preserve"> </w:t>
      </w:r>
      <w:r w:rsidRPr="00407D16">
        <w:t>Bevacizumab, under the tradename Avastin, was first registered in the ARTG in February 2005 for the sponsor Roche Product Pty Ltd. In early 2021</w:t>
      </w:r>
      <w:r w:rsidR="002D4A8F">
        <w:t xml:space="preserve"> Roche</w:t>
      </w:r>
      <w:r w:rsidRPr="00407D16">
        <w:t xml:space="preserve"> announced that Avastin was to be discontinued. </w:t>
      </w:r>
      <w:r w:rsidR="00407D16" w:rsidRPr="00407D16">
        <w:t xml:space="preserve">Avastin was registered in the ARTG at the time </w:t>
      </w:r>
      <w:r w:rsidR="002D4A8F">
        <w:t xml:space="preserve">that the </w:t>
      </w:r>
      <w:r w:rsidR="00407D16" w:rsidRPr="00407D16">
        <w:t xml:space="preserve">Vegzelma </w:t>
      </w:r>
      <w:r w:rsidR="002D4A8F">
        <w:t>application was submitted to the TGA. H</w:t>
      </w:r>
      <w:r w:rsidR="00407D16" w:rsidRPr="00407D16">
        <w:t xml:space="preserve">owever, Avastin was cancelled from the ARTG by </w:t>
      </w:r>
      <w:r w:rsidR="002D4A8F">
        <w:t xml:space="preserve">Roche on </w:t>
      </w:r>
      <w:r w:rsidR="00407D16" w:rsidRPr="00407D16">
        <w:t>3 August 2023</w:t>
      </w:r>
      <w:r w:rsidR="002D4A8F">
        <w:t>.</w:t>
      </w:r>
      <w:r w:rsidRPr="00407D16">
        <w:t xml:space="preserve"> The 7 AusPARs published for Avastin for various extensions of indications continue to be available on the TGA website.</w:t>
      </w:r>
    </w:p>
  </w:footnote>
  <w:footnote w:id="3">
    <w:p w14:paraId="224CD836" w14:textId="780E5415" w:rsidR="00500D68" w:rsidRDefault="00500D68">
      <w:pPr>
        <w:pStyle w:val="FootnoteText"/>
      </w:pPr>
      <w:r>
        <w:rPr>
          <w:rStyle w:val="FootnoteReference"/>
        </w:rPr>
        <w:footnoteRef/>
      </w:r>
      <w:r>
        <w:t xml:space="preserve"> </w:t>
      </w:r>
      <w:r w:rsidR="00AD0111">
        <w:t>In this report the ‘</w:t>
      </w:r>
      <w:r w:rsidR="00AD0111" w:rsidRPr="00C133A3">
        <w:t>Delegate</w:t>
      </w:r>
      <w:r w:rsidR="00AD0111">
        <w:t>’</w:t>
      </w:r>
      <w:r w:rsidR="00AD0111" w:rsidRPr="00C133A3">
        <w:t xml:space="preserve"> </w:t>
      </w:r>
      <w:r w:rsidR="00AD0111">
        <w:t xml:space="preserve">is the </w:t>
      </w:r>
      <w:r w:rsidR="00AD0111" w:rsidRPr="00C133A3">
        <w:t xml:space="preserve">Delegate of the Secretary of the Department of Health and Aged Care who </w:t>
      </w:r>
      <w:r w:rsidR="00AD0111">
        <w:t>decided the submission</w:t>
      </w:r>
      <w:r w:rsidR="00AD0111" w:rsidRPr="00C133A3">
        <w:t xml:space="preserve"> under section 25 of the Act.</w:t>
      </w:r>
    </w:p>
  </w:footnote>
  <w:footnote w:id="4">
    <w:p w14:paraId="17393BDD" w14:textId="44E256BF" w:rsidR="00C25262" w:rsidRDefault="00C25262" w:rsidP="00BB7C75">
      <w:pPr>
        <w:pStyle w:val="FootnoteText"/>
      </w:pPr>
      <w:r>
        <w:rPr>
          <w:rStyle w:val="FootnoteReference"/>
        </w:rPr>
        <w:footnoteRef/>
      </w:r>
      <w:r>
        <w:t xml:space="preserve"> </w:t>
      </w:r>
      <w:r w:rsidR="00BB7C75" w:rsidRPr="00BB7C75">
        <w:rPr>
          <w:szCs w:val="22"/>
        </w:rPr>
        <w:t xml:space="preserve">Committee for Medicinal Products for Human Use (CHMP). Guideline on similar biological medicinal products containing monoclonal antibodies – non-clinical and clinical issues. Effective in Australia </w:t>
      </w:r>
      <w:r w:rsidR="003E0D9C">
        <w:rPr>
          <w:szCs w:val="22"/>
        </w:rPr>
        <w:t>from</w:t>
      </w:r>
      <w:r w:rsidR="00BB7C75" w:rsidRPr="00BB7C75">
        <w:rPr>
          <w:szCs w:val="22"/>
        </w:rPr>
        <w:t xml:space="preserve"> 17 August 2015. EMA/CHMP/BMWP/403543/2010</w:t>
      </w:r>
      <w:r w:rsidR="003E0D9C">
        <w:rPr>
          <w:szCs w:val="22"/>
        </w:rPr>
        <w:t>.</w:t>
      </w:r>
    </w:p>
  </w:footnote>
  <w:footnote w:id="5">
    <w:p w14:paraId="52234D13" w14:textId="22A41A67" w:rsidR="00577256" w:rsidRDefault="00577256" w:rsidP="00E23F0D">
      <w:pPr>
        <w:pStyle w:val="FootnoteText"/>
      </w:pPr>
      <w:r>
        <w:rPr>
          <w:rStyle w:val="FootnoteReference"/>
        </w:rPr>
        <w:footnoteRef/>
      </w:r>
      <w:r>
        <w:t xml:space="preserve"> </w:t>
      </w:r>
      <w:r w:rsidR="00E23F0D">
        <w:t xml:space="preserve">Eastern Cooperative Oncology Group Performance Status: The ECOG has developed criteria used by doctors and researchers to assess how a patient's disease is progressing, assess how the disease affects the patient’s daily living, and to determine appropriate treatment and prognosis. The ECOG Performance Status Scale is as follows: Grade 0 = Fully active, able to carry on all pre-disease performance without restriction; Grade 1 = Restricted in physically strenuous activity but ambulatory and able to carry out work of a light or sedentary nature, for example, light </w:t>
      </w:r>
      <w:proofErr w:type="gramStart"/>
      <w:r w:rsidR="00E23F0D">
        <w:t>house work</w:t>
      </w:r>
      <w:proofErr w:type="gramEnd"/>
      <w:r w:rsidR="00E23F0D">
        <w:t>, office work; Grade 2 = Ambulatory and capable of all selfcare but unable to carry out any work activities. Up and about more than 50% of waking hours; Grade 3 = Capable of only limited selfcare, confined to bed or chair more than 50% of waking hours; Grade 4 = Completely disabled. Cannot carry on any selfcare. Totally confined to bed or chair; Grade 5 = Dead.</w:t>
      </w:r>
    </w:p>
  </w:footnote>
  <w:footnote w:id="6">
    <w:p w14:paraId="52DCAC1E" w14:textId="4EE1D795" w:rsidR="007476ED" w:rsidRDefault="007476ED">
      <w:pPr>
        <w:pStyle w:val="FootnoteText"/>
      </w:pPr>
      <w:r>
        <w:rPr>
          <w:rStyle w:val="FootnoteReference"/>
        </w:rPr>
        <w:footnoteRef/>
      </w:r>
      <w:r>
        <w:t xml:space="preserve"> Paclitaxel is registered in the ARTG under multiple brand names and for multiple indications</w:t>
      </w:r>
      <w:r w:rsidR="008F6B6C">
        <w:t>.</w:t>
      </w:r>
      <w:r>
        <w:t xml:space="preserve"> Carboplatin </w:t>
      </w:r>
      <w:r w:rsidR="008F6B6C">
        <w:t>is registered in the ARTG under multiple brand names and for multiple indications.</w:t>
      </w:r>
    </w:p>
  </w:footnote>
  <w:footnote w:id="7">
    <w:p w14:paraId="31218737" w14:textId="6893E8F4" w:rsidR="009D6F8B" w:rsidRDefault="009D6F8B">
      <w:pPr>
        <w:pStyle w:val="FootnoteText"/>
      </w:pPr>
      <w:r>
        <w:rPr>
          <w:rStyle w:val="FootnoteReference"/>
        </w:rPr>
        <w:footnoteRef/>
      </w:r>
      <w:r>
        <w:t xml:space="preserve"> </w:t>
      </w:r>
      <w:r w:rsidRPr="009D6F8B">
        <w:t xml:space="preserve">The Response Evaluation Criteria </w:t>
      </w:r>
      <w:proofErr w:type="gramStart"/>
      <w:r w:rsidRPr="009D6F8B">
        <w:t>In</w:t>
      </w:r>
      <w:proofErr w:type="gramEnd"/>
      <w:r w:rsidRPr="009D6F8B">
        <w:t xml:space="preserve"> Solid Tumours (RECIST) is a voluntary international standard with unified and easily applicable criteria to define when a patient's tumour has improved ('respond'), stayed the same ('stabilise'), or worsened ('progress') during treatment. The criteria were published in 2000</w:t>
      </w:r>
      <w:r>
        <w:t xml:space="preserve"> (and updated in 2009)</w:t>
      </w:r>
      <w:r w:rsidRPr="009D6F8B">
        <w:t xml:space="preserve"> by an international collaboration including the</w:t>
      </w:r>
      <w:r>
        <w:t xml:space="preserve"> </w:t>
      </w:r>
      <w:r w:rsidRPr="009D6F8B">
        <w:t>European Organisation for Research and Treatment of Cancer</w:t>
      </w:r>
      <w:r>
        <w:t xml:space="preserve"> </w:t>
      </w:r>
      <w:r w:rsidRPr="009D6F8B">
        <w:t>(EORTC),</w:t>
      </w:r>
      <w:r>
        <w:t xml:space="preserve"> US </w:t>
      </w:r>
      <w:r w:rsidRPr="009D6F8B">
        <w:t>National Cancer Institute</w:t>
      </w:r>
      <w:r>
        <w:t xml:space="preserve"> </w:t>
      </w:r>
      <w:r w:rsidRPr="009D6F8B">
        <w:t>(NCI) and the</w:t>
      </w:r>
      <w:r>
        <w:t xml:space="preserve"> </w:t>
      </w:r>
      <w:r w:rsidRPr="009D6F8B">
        <w:t>National Cancer Institute of Canada</w:t>
      </w:r>
      <w:r>
        <w:t xml:space="preserve"> </w:t>
      </w:r>
      <w:r w:rsidRPr="009D6F8B">
        <w:t>Clinical Trials Group. Today, the majority of</w:t>
      </w:r>
      <w:r>
        <w:t xml:space="preserve"> </w:t>
      </w:r>
      <w:r w:rsidRPr="009D6F8B">
        <w:t>clinical trials</w:t>
      </w:r>
      <w:r>
        <w:t xml:space="preserve"> </w:t>
      </w:r>
      <w:r w:rsidRPr="009D6F8B">
        <w:t>evaluating cancer treatments for objective response in solid tumours use RECIST.</w:t>
      </w:r>
    </w:p>
  </w:footnote>
  <w:footnote w:id="8">
    <w:p w14:paraId="5DAE6D01" w14:textId="61F76761" w:rsidR="00A833D5" w:rsidRDefault="00A833D5">
      <w:pPr>
        <w:pStyle w:val="FootnoteText"/>
      </w:pPr>
      <w:r>
        <w:rPr>
          <w:rStyle w:val="FootnoteReference"/>
        </w:rPr>
        <w:footnoteRef/>
      </w:r>
      <w:r>
        <w:t xml:space="preserve"> </w:t>
      </w:r>
      <w:r w:rsidRPr="00920E08">
        <w:t>The Medical</w:t>
      </w:r>
      <w:r w:rsidRPr="00246538">
        <w:t xml:space="preserve"> Dictionary for Regulatory Activities (MedDRA) is an internationally used set of terms relating to medical conditions, </w:t>
      </w:r>
      <w:proofErr w:type="gramStart"/>
      <w:r w:rsidRPr="00246538">
        <w:t>medicines</w:t>
      </w:r>
      <w:proofErr w:type="gramEnd"/>
      <w:r w:rsidRPr="00246538">
        <w:t xml:space="preserve"> and medical devices. It was created to assist regulators with sharing information. It is also used by industry, academics, health professionals and other organisations that communicate medical information.</w:t>
      </w:r>
      <w:r>
        <w:t xml:space="preserve"> </w:t>
      </w:r>
      <w:r w:rsidRPr="000526FB">
        <w:t>In MedDRA, p</w:t>
      </w:r>
      <w:r w:rsidRPr="000526FB">
        <w:rPr>
          <w:rFonts w:eastAsia="TimesNewRoman" w:cs="TimesNewRoman"/>
          <w:lang w:val="en-GB"/>
        </w:rPr>
        <w:t>referred terms (PT) are single concepts for symptoms, signs, disease diagnosis, therapeutic indications,</w:t>
      </w:r>
      <w:r>
        <w:rPr>
          <w:rFonts w:eastAsia="TimesNewRoman" w:cs="TimesNewRoman"/>
          <w:lang w:val="en-GB"/>
        </w:rPr>
        <w:t xml:space="preserve"> investigations, procedures, and characteristics. There are over 20,000 preferred terms.</w:t>
      </w:r>
    </w:p>
  </w:footnote>
  <w:footnote w:id="9">
    <w:p w14:paraId="5E164DFB" w14:textId="34D6421C" w:rsidR="00A833D5" w:rsidRDefault="00A833D5">
      <w:pPr>
        <w:pStyle w:val="FootnoteText"/>
      </w:pPr>
      <w:r>
        <w:rPr>
          <w:rStyle w:val="FootnoteReference"/>
        </w:rPr>
        <w:footnoteRef/>
      </w:r>
      <w:r>
        <w:t xml:space="preserve"> </w:t>
      </w:r>
      <w:r>
        <w:rPr>
          <w:rFonts w:eastAsia="TimesNewRoman" w:cs="TimesNewRoman"/>
          <w:lang w:val="en-GB"/>
        </w:rPr>
        <w:t xml:space="preserve">In MedDRA, </w:t>
      </w:r>
      <w:r w:rsidRPr="00920E08">
        <w:t xml:space="preserve">System Organ Class (SOC) is the highest level of the MedDRA terminology for classification of adverse events. </w:t>
      </w:r>
      <w:r>
        <w:t>There are 27 classes.</w:t>
      </w:r>
    </w:p>
  </w:footnote>
  <w:footnote w:id="10">
    <w:p w14:paraId="4172DE68" w14:textId="1D403833" w:rsidR="004E0AEF" w:rsidRDefault="004E0AEF">
      <w:pPr>
        <w:pStyle w:val="FootnoteText"/>
      </w:pPr>
      <w:r>
        <w:rPr>
          <w:rStyle w:val="FootnoteReference"/>
        </w:rPr>
        <w:footnoteRef/>
      </w:r>
      <w:r>
        <w:t xml:space="preserve"> </w:t>
      </w:r>
      <w:r w:rsidR="004A61DC">
        <w:t xml:space="preserve">The adverse event severity grading </w:t>
      </w:r>
      <w:r w:rsidR="00A76856">
        <w:t>used</w:t>
      </w:r>
      <w:r w:rsidR="004A61DC">
        <w:t xml:space="preserve"> US National Cancer Institute Common Terminology Criteria for Adverse Events (NCI CTCAE) v</w:t>
      </w:r>
      <w:r w:rsidR="00A76856">
        <w:t>5</w:t>
      </w:r>
      <w:r w:rsidR="004A61DC">
        <w:t xml:space="preserve"> </w:t>
      </w:r>
      <w:r w:rsidR="00A76856">
        <w:t>scale</w:t>
      </w:r>
      <w:r w:rsidR="004A61DC">
        <w:t xml:space="preserve"> for assessing adverse event severity. In general: Grade 1 = Mild; Grade 2 = Moderate; Grade 3 = Severe or medically significant but not immediately life-threatening; Grade 4 = Life-threatening consequences; Grade 5 = Death related to AE.</w:t>
      </w:r>
    </w:p>
  </w:footnote>
  <w:footnote w:id="11">
    <w:p w14:paraId="2D6CD7F3" w14:textId="4A7200AC" w:rsidR="00671B9F" w:rsidRPr="00671B9F" w:rsidRDefault="00671B9F" w:rsidP="00671B9F">
      <w:pPr>
        <w:pStyle w:val="FootnoteText"/>
      </w:pPr>
      <w:r>
        <w:rPr>
          <w:rStyle w:val="FootnoteReference"/>
        </w:rPr>
        <w:footnoteRef/>
      </w:r>
      <w:r w:rsidRPr="00671B9F">
        <w:t xml:space="preserve"> He K, Chen H, Gwise T, Casak S, Lemery S, Keegan P, </w:t>
      </w:r>
      <w:r>
        <w:t>et al.</w:t>
      </w:r>
      <w:r w:rsidRPr="00671B9F">
        <w:t xml:space="preserve"> Statistical Considerations in Evaluating a Biosimilar Product in an Oncology Clinical Study</w:t>
      </w:r>
      <w:r w:rsidRPr="00671B9F">
        <w:rPr>
          <w:i/>
          <w:iCs/>
        </w:rPr>
        <w:t>. Clin Cancer Res.</w:t>
      </w:r>
      <w:r w:rsidRPr="00671B9F">
        <w:t xml:space="preserve"> 2016;22(21):5167-5170. doi: 10.1158/1078-0432.CCR-16-1010.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6D24F9"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7452E8" w:rsidRDefault="007452E8" w:rsidP="007452E8">
    <w:pPr>
      <w:rPr>
        <w:noProof/>
      </w:rPr>
    </w:pPr>
    <w:r>
      <w:rPr>
        <w:noProof/>
        <w:lang w:val="en-GB" w:eastAsia="en-GB"/>
      </w:rPr>
      <w:drawing>
        <wp:anchor distT="0" distB="0" distL="114300" distR="114300" simplePos="0" relativeHeight="251661312"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val="en-GB" w:eastAsia="en-GB"/>
      </w:rPr>
      <w:drawing>
        <wp:anchor distT="0" distB="0" distL="114300" distR="114300" simplePos="0" relativeHeight="251660288"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5"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1" w15:restartNumberingAfterBreak="0">
    <w:nsid w:val="78F47E0C"/>
    <w:multiLevelType w:val="hybridMultilevel"/>
    <w:tmpl w:val="8E32AD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3"/>
  </w:num>
  <w:num w:numId="2" w16cid:durableId="1856573705">
    <w:abstractNumId w:val="0"/>
  </w:num>
  <w:num w:numId="3" w16cid:durableId="357703499">
    <w:abstractNumId w:val="2"/>
  </w:num>
  <w:num w:numId="4" w16cid:durableId="1869176708">
    <w:abstractNumId w:val="9"/>
  </w:num>
  <w:num w:numId="5" w16cid:durableId="1652950129">
    <w:abstractNumId w:val="5"/>
  </w:num>
  <w:num w:numId="6" w16cid:durableId="1053193207">
    <w:abstractNumId w:val="7"/>
  </w:num>
  <w:num w:numId="7" w16cid:durableId="201135927">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8"/>
  </w:num>
  <w:num w:numId="9" w16cid:durableId="173421270">
    <w:abstractNumId w:val="1"/>
  </w:num>
  <w:num w:numId="10" w16cid:durableId="2108043357">
    <w:abstractNumId w:val="4"/>
  </w:num>
  <w:num w:numId="11" w16cid:durableId="1725904230">
    <w:abstractNumId w:val="6"/>
  </w:num>
  <w:num w:numId="12" w16cid:durableId="141579354">
    <w:abstractNumId w:val="10"/>
  </w:num>
  <w:num w:numId="13" w16cid:durableId="283735081">
    <w:abstractNumId w:val="12"/>
  </w:num>
  <w:num w:numId="14" w16cid:durableId="20037783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4431"/>
    <w:rsid w:val="00005062"/>
    <w:rsid w:val="00006230"/>
    <w:rsid w:val="0001064C"/>
    <w:rsid w:val="0001384A"/>
    <w:rsid w:val="00020FF2"/>
    <w:rsid w:val="000324E0"/>
    <w:rsid w:val="00032A0F"/>
    <w:rsid w:val="00040D8D"/>
    <w:rsid w:val="000414E7"/>
    <w:rsid w:val="00046423"/>
    <w:rsid w:val="00047716"/>
    <w:rsid w:val="0006104E"/>
    <w:rsid w:val="000640BD"/>
    <w:rsid w:val="00065839"/>
    <w:rsid w:val="00065FDF"/>
    <w:rsid w:val="00077844"/>
    <w:rsid w:val="00090510"/>
    <w:rsid w:val="000917AE"/>
    <w:rsid w:val="00094B81"/>
    <w:rsid w:val="000975AA"/>
    <w:rsid w:val="000B6B15"/>
    <w:rsid w:val="000C0A2A"/>
    <w:rsid w:val="000C25A7"/>
    <w:rsid w:val="000D78EC"/>
    <w:rsid w:val="000D7934"/>
    <w:rsid w:val="000E2597"/>
    <w:rsid w:val="000E6746"/>
    <w:rsid w:val="000F7B51"/>
    <w:rsid w:val="00101BEE"/>
    <w:rsid w:val="00101CE6"/>
    <w:rsid w:val="00101FB1"/>
    <w:rsid w:val="0010558A"/>
    <w:rsid w:val="001101FF"/>
    <w:rsid w:val="00121BFC"/>
    <w:rsid w:val="0012473C"/>
    <w:rsid w:val="00127A74"/>
    <w:rsid w:val="0013132F"/>
    <w:rsid w:val="0013306D"/>
    <w:rsid w:val="0013528C"/>
    <w:rsid w:val="00143D18"/>
    <w:rsid w:val="001442A2"/>
    <w:rsid w:val="001468CA"/>
    <w:rsid w:val="001500A8"/>
    <w:rsid w:val="00155D85"/>
    <w:rsid w:val="00165D28"/>
    <w:rsid w:val="0017005C"/>
    <w:rsid w:val="00175CD8"/>
    <w:rsid w:val="00182BD8"/>
    <w:rsid w:val="001A76F9"/>
    <w:rsid w:val="001B06FF"/>
    <w:rsid w:val="001B1703"/>
    <w:rsid w:val="001C1C2E"/>
    <w:rsid w:val="001C31A1"/>
    <w:rsid w:val="001C3FA2"/>
    <w:rsid w:val="001C5EE2"/>
    <w:rsid w:val="001D0077"/>
    <w:rsid w:val="001E0773"/>
    <w:rsid w:val="001E407B"/>
    <w:rsid w:val="001E7FC6"/>
    <w:rsid w:val="001F2502"/>
    <w:rsid w:val="001F70A5"/>
    <w:rsid w:val="0020235D"/>
    <w:rsid w:val="0020369B"/>
    <w:rsid w:val="00207B4D"/>
    <w:rsid w:val="002117B1"/>
    <w:rsid w:val="00213F2F"/>
    <w:rsid w:val="00217CCE"/>
    <w:rsid w:val="00220187"/>
    <w:rsid w:val="002203B1"/>
    <w:rsid w:val="00226F39"/>
    <w:rsid w:val="00231149"/>
    <w:rsid w:val="002334AD"/>
    <w:rsid w:val="002369E7"/>
    <w:rsid w:val="00241B60"/>
    <w:rsid w:val="0025785B"/>
    <w:rsid w:val="00257969"/>
    <w:rsid w:val="00280048"/>
    <w:rsid w:val="0028489E"/>
    <w:rsid w:val="002848DE"/>
    <w:rsid w:val="0028794E"/>
    <w:rsid w:val="002A5841"/>
    <w:rsid w:val="002B1EDF"/>
    <w:rsid w:val="002B2061"/>
    <w:rsid w:val="002B2DED"/>
    <w:rsid w:val="002C1232"/>
    <w:rsid w:val="002C1E44"/>
    <w:rsid w:val="002C5C92"/>
    <w:rsid w:val="002C5E29"/>
    <w:rsid w:val="002D0478"/>
    <w:rsid w:val="002D4A8F"/>
    <w:rsid w:val="002D7127"/>
    <w:rsid w:val="002D7CD6"/>
    <w:rsid w:val="002E537E"/>
    <w:rsid w:val="002F3506"/>
    <w:rsid w:val="002F599E"/>
    <w:rsid w:val="003008D8"/>
    <w:rsid w:val="00301D9A"/>
    <w:rsid w:val="00303959"/>
    <w:rsid w:val="00306E72"/>
    <w:rsid w:val="00312AC3"/>
    <w:rsid w:val="00314430"/>
    <w:rsid w:val="003163BC"/>
    <w:rsid w:val="0032351A"/>
    <w:rsid w:val="00324B33"/>
    <w:rsid w:val="00327488"/>
    <w:rsid w:val="00333891"/>
    <w:rsid w:val="00336FE1"/>
    <w:rsid w:val="00342513"/>
    <w:rsid w:val="00342D56"/>
    <w:rsid w:val="003453D3"/>
    <w:rsid w:val="003456E7"/>
    <w:rsid w:val="00346EC2"/>
    <w:rsid w:val="003477F9"/>
    <w:rsid w:val="0035444D"/>
    <w:rsid w:val="00356D62"/>
    <w:rsid w:val="00357320"/>
    <w:rsid w:val="003615EE"/>
    <w:rsid w:val="003634AE"/>
    <w:rsid w:val="00363EE3"/>
    <w:rsid w:val="00364192"/>
    <w:rsid w:val="003735F3"/>
    <w:rsid w:val="00374729"/>
    <w:rsid w:val="00382452"/>
    <w:rsid w:val="00387298"/>
    <w:rsid w:val="00387984"/>
    <w:rsid w:val="00395140"/>
    <w:rsid w:val="003A2422"/>
    <w:rsid w:val="003B149C"/>
    <w:rsid w:val="003C0FDB"/>
    <w:rsid w:val="003C1192"/>
    <w:rsid w:val="003C55E2"/>
    <w:rsid w:val="003C63D5"/>
    <w:rsid w:val="003C7AA8"/>
    <w:rsid w:val="003D71A1"/>
    <w:rsid w:val="003E0D9C"/>
    <w:rsid w:val="004011E8"/>
    <w:rsid w:val="00407D16"/>
    <w:rsid w:val="0041688F"/>
    <w:rsid w:val="00417724"/>
    <w:rsid w:val="0042376F"/>
    <w:rsid w:val="004246B8"/>
    <w:rsid w:val="004248F1"/>
    <w:rsid w:val="00433318"/>
    <w:rsid w:val="00442A56"/>
    <w:rsid w:val="004444B0"/>
    <w:rsid w:val="0045060B"/>
    <w:rsid w:val="00461754"/>
    <w:rsid w:val="004626FF"/>
    <w:rsid w:val="00470A52"/>
    <w:rsid w:val="00471BD5"/>
    <w:rsid w:val="00477C4E"/>
    <w:rsid w:val="00477F07"/>
    <w:rsid w:val="00481503"/>
    <w:rsid w:val="00481D12"/>
    <w:rsid w:val="004854A6"/>
    <w:rsid w:val="004861E3"/>
    <w:rsid w:val="00491A55"/>
    <w:rsid w:val="00494C3E"/>
    <w:rsid w:val="00497DF1"/>
    <w:rsid w:val="004A318E"/>
    <w:rsid w:val="004A57E8"/>
    <w:rsid w:val="004A61DC"/>
    <w:rsid w:val="004B3081"/>
    <w:rsid w:val="004B4A09"/>
    <w:rsid w:val="004C41CE"/>
    <w:rsid w:val="004C631B"/>
    <w:rsid w:val="004C6EA5"/>
    <w:rsid w:val="004D2F00"/>
    <w:rsid w:val="004D31D8"/>
    <w:rsid w:val="004D5388"/>
    <w:rsid w:val="004D59CD"/>
    <w:rsid w:val="004E0AEF"/>
    <w:rsid w:val="004E7F16"/>
    <w:rsid w:val="004F18EC"/>
    <w:rsid w:val="00500D68"/>
    <w:rsid w:val="00514E73"/>
    <w:rsid w:val="00530F33"/>
    <w:rsid w:val="0053377D"/>
    <w:rsid w:val="00535DFE"/>
    <w:rsid w:val="005373B5"/>
    <w:rsid w:val="00537AB7"/>
    <w:rsid w:val="0054669B"/>
    <w:rsid w:val="00552F0A"/>
    <w:rsid w:val="005610D1"/>
    <w:rsid w:val="00562F42"/>
    <w:rsid w:val="0056307D"/>
    <w:rsid w:val="00565739"/>
    <w:rsid w:val="0056766D"/>
    <w:rsid w:val="00575215"/>
    <w:rsid w:val="005752F8"/>
    <w:rsid w:val="00577256"/>
    <w:rsid w:val="005800E0"/>
    <w:rsid w:val="0058575E"/>
    <w:rsid w:val="00585B93"/>
    <w:rsid w:val="0058783C"/>
    <w:rsid w:val="005911AE"/>
    <w:rsid w:val="005926E2"/>
    <w:rsid w:val="0059313A"/>
    <w:rsid w:val="005A54EA"/>
    <w:rsid w:val="005B023F"/>
    <w:rsid w:val="005B02A2"/>
    <w:rsid w:val="005B1417"/>
    <w:rsid w:val="005B69CF"/>
    <w:rsid w:val="005C3F07"/>
    <w:rsid w:val="005C411E"/>
    <w:rsid w:val="005C4B46"/>
    <w:rsid w:val="005C5DC5"/>
    <w:rsid w:val="005D2089"/>
    <w:rsid w:val="005D7514"/>
    <w:rsid w:val="005D7F44"/>
    <w:rsid w:val="005E0FC6"/>
    <w:rsid w:val="005E1A7B"/>
    <w:rsid w:val="005E231F"/>
    <w:rsid w:val="00602D6E"/>
    <w:rsid w:val="00605C05"/>
    <w:rsid w:val="0060765C"/>
    <w:rsid w:val="00611351"/>
    <w:rsid w:val="0061217D"/>
    <w:rsid w:val="00613095"/>
    <w:rsid w:val="00617E19"/>
    <w:rsid w:val="006277A1"/>
    <w:rsid w:val="00631E0C"/>
    <w:rsid w:val="00633BD7"/>
    <w:rsid w:val="00634580"/>
    <w:rsid w:val="00634884"/>
    <w:rsid w:val="006351D9"/>
    <w:rsid w:val="00637130"/>
    <w:rsid w:val="00637F0E"/>
    <w:rsid w:val="006423F2"/>
    <w:rsid w:val="00650234"/>
    <w:rsid w:val="0066044B"/>
    <w:rsid w:val="006630AA"/>
    <w:rsid w:val="00663544"/>
    <w:rsid w:val="00666539"/>
    <w:rsid w:val="00666911"/>
    <w:rsid w:val="00671B9F"/>
    <w:rsid w:val="00675F81"/>
    <w:rsid w:val="0068143E"/>
    <w:rsid w:val="0068507D"/>
    <w:rsid w:val="00691AF2"/>
    <w:rsid w:val="00692B80"/>
    <w:rsid w:val="00692CCD"/>
    <w:rsid w:val="00692D51"/>
    <w:rsid w:val="00694DD7"/>
    <w:rsid w:val="00695ACC"/>
    <w:rsid w:val="0069636B"/>
    <w:rsid w:val="006A1762"/>
    <w:rsid w:val="006A1F0B"/>
    <w:rsid w:val="006A277A"/>
    <w:rsid w:val="006A5973"/>
    <w:rsid w:val="006B23EF"/>
    <w:rsid w:val="006B7126"/>
    <w:rsid w:val="006C6B86"/>
    <w:rsid w:val="006D24F9"/>
    <w:rsid w:val="006D4553"/>
    <w:rsid w:val="006D4A35"/>
    <w:rsid w:val="006D6B44"/>
    <w:rsid w:val="006E27FE"/>
    <w:rsid w:val="00701110"/>
    <w:rsid w:val="00702E91"/>
    <w:rsid w:val="0070330F"/>
    <w:rsid w:val="00703624"/>
    <w:rsid w:val="007046ED"/>
    <w:rsid w:val="00705C82"/>
    <w:rsid w:val="007072A1"/>
    <w:rsid w:val="00710BC5"/>
    <w:rsid w:val="007121CA"/>
    <w:rsid w:val="0072003B"/>
    <w:rsid w:val="00721059"/>
    <w:rsid w:val="007211E6"/>
    <w:rsid w:val="007220C4"/>
    <w:rsid w:val="00726341"/>
    <w:rsid w:val="00727899"/>
    <w:rsid w:val="00732361"/>
    <w:rsid w:val="007357B9"/>
    <w:rsid w:val="00741AB9"/>
    <w:rsid w:val="00742D03"/>
    <w:rsid w:val="00744216"/>
    <w:rsid w:val="007452E8"/>
    <w:rsid w:val="00746990"/>
    <w:rsid w:val="00747093"/>
    <w:rsid w:val="007476ED"/>
    <w:rsid w:val="00750D70"/>
    <w:rsid w:val="007575D0"/>
    <w:rsid w:val="007662E0"/>
    <w:rsid w:val="00770014"/>
    <w:rsid w:val="00776E9C"/>
    <w:rsid w:val="007816D8"/>
    <w:rsid w:val="00784150"/>
    <w:rsid w:val="007851AF"/>
    <w:rsid w:val="007907E5"/>
    <w:rsid w:val="00793272"/>
    <w:rsid w:val="00794B64"/>
    <w:rsid w:val="007953CD"/>
    <w:rsid w:val="007967C3"/>
    <w:rsid w:val="007A0A33"/>
    <w:rsid w:val="007A13FF"/>
    <w:rsid w:val="007B04DE"/>
    <w:rsid w:val="007B0AE6"/>
    <w:rsid w:val="007C0F0B"/>
    <w:rsid w:val="007C57BC"/>
    <w:rsid w:val="007C62BC"/>
    <w:rsid w:val="007D04CA"/>
    <w:rsid w:val="007D0A2B"/>
    <w:rsid w:val="007D12A1"/>
    <w:rsid w:val="007D40E5"/>
    <w:rsid w:val="007D4138"/>
    <w:rsid w:val="007E4178"/>
    <w:rsid w:val="007E5CCF"/>
    <w:rsid w:val="007F0A77"/>
    <w:rsid w:val="007F50D3"/>
    <w:rsid w:val="007F6B1F"/>
    <w:rsid w:val="00804897"/>
    <w:rsid w:val="00820DAA"/>
    <w:rsid w:val="008329DB"/>
    <w:rsid w:val="008361C5"/>
    <w:rsid w:val="0083628F"/>
    <w:rsid w:val="00837AB9"/>
    <w:rsid w:val="00850637"/>
    <w:rsid w:val="00854D98"/>
    <w:rsid w:val="00854D9C"/>
    <w:rsid w:val="0085751E"/>
    <w:rsid w:val="00860445"/>
    <w:rsid w:val="00860B29"/>
    <w:rsid w:val="008622E8"/>
    <w:rsid w:val="008640E9"/>
    <w:rsid w:val="008645EE"/>
    <w:rsid w:val="00870144"/>
    <w:rsid w:val="00873D7A"/>
    <w:rsid w:val="00877CB3"/>
    <w:rsid w:val="008804CF"/>
    <w:rsid w:val="00882D58"/>
    <w:rsid w:val="00882F19"/>
    <w:rsid w:val="00883B59"/>
    <w:rsid w:val="00883D35"/>
    <w:rsid w:val="00884569"/>
    <w:rsid w:val="00887A51"/>
    <w:rsid w:val="00890376"/>
    <w:rsid w:val="00890D9B"/>
    <w:rsid w:val="00891C6C"/>
    <w:rsid w:val="00893CCD"/>
    <w:rsid w:val="008964B3"/>
    <w:rsid w:val="008A418A"/>
    <w:rsid w:val="008B1CB5"/>
    <w:rsid w:val="008C2D69"/>
    <w:rsid w:val="008C49C6"/>
    <w:rsid w:val="008C6AD2"/>
    <w:rsid w:val="008C754C"/>
    <w:rsid w:val="008D56C9"/>
    <w:rsid w:val="008D6A54"/>
    <w:rsid w:val="008E0518"/>
    <w:rsid w:val="008E2585"/>
    <w:rsid w:val="008E2D7A"/>
    <w:rsid w:val="008E612E"/>
    <w:rsid w:val="008F3215"/>
    <w:rsid w:val="008F4A62"/>
    <w:rsid w:val="008F6B6C"/>
    <w:rsid w:val="008F7256"/>
    <w:rsid w:val="009032CA"/>
    <w:rsid w:val="0090424C"/>
    <w:rsid w:val="0090605E"/>
    <w:rsid w:val="009108CE"/>
    <w:rsid w:val="00915A9F"/>
    <w:rsid w:val="00917D1E"/>
    <w:rsid w:val="00930D58"/>
    <w:rsid w:val="00935AAA"/>
    <w:rsid w:val="0095031E"/>
    <w:rsid w:val="00954297"/>
    <w:rsid w:val="00957040"/>
    <w:rsid w:val="00960A56"/>
    <w:rsid w:val="00966EF1"/>
    <w:rsid w:val="00967223"/>
    <w:rsid w:val="009751F7"/>
    <w:rsid w:val="0098350E"/>
    <w:rsid w:val="0099404F"/>
    <w:rsid w:val="0099479C"/>
    <w:rsid w:val="00996FA5"/>
    <w:rsid w:val="009B4A03"/>
    <w:rsid w:val="009B5662"/>
    <w:rsid w:val="009C2069"/>
    <w:rsid w:val="009C2211"/>
    <w:rsid w:val="009C40E8"/>
    <w:rsid w:val="009C45C5"/>
    <w:rsid w:val="009D6F8B"/>
    <w:rsid w:val="009E6858"/>
    <w:rsid w:val="009E6F8C"/>
    <w:rsid w:val="009F405F"/>
    <w:rsid w:val="00A01C56"/>
    <w:rsid w:val="00A114C7"/>
    <w:rsid w:val="00A32C50"/>
    <w:rsid w:val="00A358E7"/>
    <w:rsid w:val="00A4380B"/>
    <w:rsid w:val="00A44D10"/>
    <w:rsid w:val="00A51A2D"/>
    <w:rsid w:val="00A51CDA"/>
    <w:rsid w:val="00A5596B"/>
    <w:rsid w:val="00A63C07"/>
    <w:rsid w:val="00A63D9B"/>
    <w:rsid w:val="00A704DC"/>
    <w:rsid w:val="00A76856"/>
    <w:rsid w:val="00A833D5"/>
    <w:rsid w:val="00A93DC6"/>
    <w:rsid w:val="00A9411A"/>
    <w:rsid w:val="00A954F8"/>
    <w:rsid w:val="00AA4A4B"/>
    <w:rsid w:val="00AA6682"/>
    <w:rsid w:val="00AB1BE2"/>
    <w:rsid w:val="00AB6FBA"/>
    <w:rsid w:val="00AB7C5C"/>
    <w:rsid w:val="00AB7CBF"/>
    <w:rsid w:val="00AC55C1"/>
    <w:rsid w:val="00AC613A"/>
    <w:rsid w:val="00AD0111"/>
    <w:rsid w:val="00AD4C72"/>
    <w:rsid w:val="00AD5451"/>
    <w:rsid w:val="00AE1947"/>
    <w:rsid w:val="00AF1C8B"/>
    <w:rsid w:val="00AF299B"/>
    <w:rsid w:val="00AF673B"/>
    <w:rsid w:val="00AF7E43"/>
    <w:rsid w:val="00B02AE0"/>
    <w:rsid w:val="00B0367E"/>
    <w:rsid w:val="00B05326"/>
    <w:rsid w:val="00B07B3E"/>
    <w:rsid w:val="00B14545"/>
    <w:rsid w:val="00B14E60"/>
    <w:rsid w:val="00B17BA2"/>
    <w:rsid w:val="00B26DC3"/>
    <w:rsid w:val="00B30B9D"/>
    <w:rsid w:val="00B37671"/>
    <w:rsid w:val="00B4574D"/>
    <w:rsid w:val="00B45A35"/>
    <w:rsid w:val="00B468E1"/>
    <w:rsid w:val="00B46BC0"/>
    <w:rsid w:val="00B46DFB"/>
    <w:rsid w:val="00B5029F"/>
    <w:rsid w:val="00B5141B"/>
    <w:rsid w:val="00B55681"/>
    <w:rsid w:val="00B57AAD"/>
    <w:rsid w:val="00B72B16"/>
    <w:rsid w:val="00B80408"/>
    <w:rsid w:val="00B80D54"/>
    <w:rsid w:val="00B81397"/>
    <w:rsid w:val="00B925DB"/>
    <w:rsid w:val="00B967FF"/>
    <w:rsid w:val="00B974B9"/>
    <w:rsid w:val="00BA3F6D"/>
    <w:rsid w:val="00BA4BE6"/>
    <w:rsid w:val="00BA4FC0"/>
    <w:rsid w:val="00BA5152"/>
    <w:rsid w:val="00BA61E0"/>
    <w:rsid w:val="00BA7F7D"/>
    <w:rsid w:val="00BB1C14"/>
    <w:rsid w:val="00BB6847"/>
    <w:rsid w:val="00BB7C75"/>
    <w:rsid w:val="00BB7F8F"/>
    <w:rsid w:val="00BC716A"/>
    <w:rsid w:val="00BD07DF"/>
    <w:rsid w:val="00BD26F4"/>
    <w:rsid w:val="00BD5DBD"/>
    <w:rsid w:val="00BD5DF6"/>
    <w:rsid w:val="00BE0041"/>
    <w:rsid w:val="00BE640F"/>
    <w:rsid w:val="00BF4638"/>
    <w:rsid w:val="00C018DE"/>
    <w:rsid w:val="00C059D0"/>
    <w:rsid w:val="00C07551"/>
    <w:rsid w:val="00C1109F"/>
    <w:rsid w:val="00C12D65"/>
    <w:rsid w:val="00C133AB"/>
    <w:rsid w:val="00C20B56"/>
    <w:rsid w:val="00C20D31"/>
    <w:rsid w:val="00C22214"/>
    <w:rsid w:val="00C25262"/>
    <w:rsid w:val="00C26F72"/>
    <w:rsid w:val="00C309A7"/>
    <w:rsid w:val="00C325FC"/>
    <w:rsid w:val="00C335AB"/>
    <w:rsid w:val="00C407AB"/>
    <w:rsid w:val="00C52B7B"/>
    <w:rsid w:val="00C547CD"/>
    <w:rsid w:val="00C570FF"/>
    <w:rsid w:val="00C57CEA"/>
    <w:rsid w:val="00C60FEC"/>
    <w:rsid w:val="00C6574E"/>
    <w:rsid w:val="00C707FD"/>
    <w:rsid w:val="00C76DEB"/>
    <w:rsid w:val="00C816C6"/>
    <w:rsid w:val="00C863A7"/>
    <w:rsid w:val="00C86F07"/>
    <w:rsid w:val="00C903F4"/>
    <w:rsid w:val="00C90965"/>
    <w:rsid w:val="00C912F4"/>
    <w:rsid w:val="00C9156F"/>
    <w:rsid w:val="00C931C1"/>
    <w:rsid w:val="00C9581A"/>
    <w:rsid w:val="00C97D29"/>
    <w:rsid w:val="00CB0550"/>
    <w:rsid w:val="00CB6813"/>
    <w:rsid w:val="00CF1CE4"/>
    <w:rsid w:val="00CF50D5"/>
    <w:rsid w:val="00CF60C5"/>
    <w:rsid w:val="00CF6A55"/>
    <w:rsid w:val="00CF6DC6"/>
    <w:rsid w:val="00CF6DCF"/>
    <w:rsid w:val="00D01DDB"/>
    <w:rsid w:val="00D03D0B"/>
    <w:rsid w:val="00D078BE"/>
    <w:rsid w:val="00D13F8A"/>
    <w:rsid w:val="00D14699"/>
    <w:rsid w:val="00D16F60"/>
    <w:rsid w:val="00D22981"/>
    <w:rsid w:val="00D3349B"/>
    <w:rsid w:val="00D35F11"/>
    <w:rsid w:val="00D424A8"/>
    <w:rsid w:val="00D4307B"/>
    <w:rsid w:val="00D4785F"/>
    <w:rsid w:val="00D6036F"/>
    <w:rsid w:val="00D61B58"/>
    <w:rsid w:val="00D62877"/>
    <w:rsid w:val="00D63760"/>
    <w:rsid w:val="00D6703F"/>
    <w:rsid w:val="00D734EB"/>
    <w:rsid w:val="00D82713"/>
    <w:rsid w:val="00D86F00"/>
    <w:rsid w:val="00D918D5"/>
    <w:rsid w:val="00D94C8E"/>
    <w:rsid w:val="00DB0989"/>
    <w:rsid w:val="00DB1372"/>
    <w:rsid w:val="00DB192C"/>
    <w:rsid w:val="00DB1CF3"/>
    <w:rsid w:val="00DB5425"/>
    <w:rsid w:val="00DB72A6"/>
    <w:rsid w:val="00DC6611"/>
    <w:rsid w:val="00DE1344"/>
    <w:rsid w:val="00DF5BFE"/>
    <w:rsid w:val="00E01E1E"/>
    <w:rsid w:val="00E0523F"/>
    <w:rsid w:val="00E1469C"/>
    <w:rsid w:val="00E23E50"/>
    <w:rsid w:val="00E23F0D"/>
    <w:rsid w:val="00E26213"/>
    <w:rsid w:val="00E274DF"/>
    <w:rsid w:val="00E34D66"/>
    <w:rsid w:val="00E362C4"/>
    <w:rsid w:val="00E46CC2"/>
    <w:rsid w:val="00E47E0C"/>
    <w:rsid w:val="00E51430"/>
    <w:rsid w:val="00E51813"/>
    <w:rsid w:val="00E52C0B"/>
    <w:rsid w:val="00E537A1"/>
    <w:rsid w:val="00E53D3F"/>
    <w:rsid w:val="00E5579B"/>
    <w:rsid w:val="00E57FF4"/>
    <w:rsid w:val="00E679D1"/>
    <w:rsid w:val="00E67C1C"/>
    <w:rsid w:val="00E819D2"/>
    <w:rsid w:val="00E91F11"/>
    <w:rsid w:val="00E9706D"/>
    <w:rsid w:val="00EA1572"/>
    <w:rsid w:val="00EA3AF4"/>
    <w:rsid w:val="00EC2BBF"/>
    <w:rsid w:val="00ED1478"/>
    <w:rsid w:val="00EE15B7"/>
    <w:rsid w:val="00EF3F0B"/>
    <w:rsid w:val="00EF5583"/>
    <w:rsid w:val="00F0289D"/>
    <w:rsid w:val="00F02AEC"/>
    <w:rsid w:val="00F07572"/>
    <w:rsid w:val="00F157FC"/>
    <w:rsid w:val="00F27779"/>
    <w:rsid w:val="00F30371"/>
    <w:rsid w:val="00F30AF3"/>
    <w:rsid w:val="00F31963"/>
    <w:rsid w:val="00F34C91"/>
    <w:rsid w:val="00F43CD1"/>
    <w:rsid w:val="00F45AE0"/>
    <w:rsid w:val="00F60CF2"/>
    <w:rsid w:val="00F657B4"/>
    <w:rsid w:val="00F7649F"/>
    <w:rsid w:val="00F8083B"/>
    <w:rsid w:val="00F865A7"/>
    <w:rsid w:val="00FA0754"/>
    <w:rsid w:val="00FA1BC9"/>
    <w:rsid w:val="00FA49C3"/>
    <w:rsid w:val="00FB0EC1"/>
    <w:rsid w:val="00FB236E"/>
    <w:rsid w:val="00FB3F7B"/>
    <w:rsid w:val="00FB4C2A"/>
    <w:rsid w:val="00FC2107"/>
    <w:rsid w:val="00FC4043"/>
    <w:rsid w:val="00FC48FE"/>
    <w:rsid w:val="00FC6F56"/>
    <w:rsid w:val="00FD1D78"/>
    <w:rsid w:val="00FE087C"/>
    <w:rsid w:val="00FE79A0"/>
    <w:rsid w:val="00FF0939"/>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rPr>
      <w:rFonts w:ascii="Cambria" w:hAnsi="Cambria"/>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uiPriority w:val="99"/>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uiPriority w:val="99"/>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FC6F56"/>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paragraph" w:customStyle="1" w:styleId="pf0">
    <w:name w:val="pf0"/>
    <w:basedOn w:val="Normal"/>
    <w:rsid w:val="0035732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3573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811797298">
      <w:bodyDiv w:val="1"/>
      <w:marLeft w:val="0"/>
      <w:marRight w:val="0"/>
      <w:marTop w:val="0"/>
      <w:marBottom w:val="0"/>
      <w:divBdr>
        <w:top w:val="none" w:sz="0" w:space="0" w:color="auto"/>
        <w:left w:val="none" w:sz="0" w:space="0" w:color="auto"/>
        <w:bottom w:val="none" w:sz="0" w:space="0" w:color="auto"/>
        <w:right w:val="none" w:sz="0" w:space="0" w:color="auto"/>
      </w:divBdr>
    </w:div>
    <w:div w:id="1277634136">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ga.gov.au/black-triangle-scheme" TargetMode="External"/><Relationship Id="rId26" Type="http://schemas.openxmlformats.org/officeDocument/2006/relationships/image" Target="media/image6.png"/><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tga.gov.au/resources/resource/guidance/biosimilar-medicines-regulation"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ga.copyright@tga.gov.au" TargetMode="External"/><Relationship Id="rId25" Type="http://schemas.openxmlformats.org/officeDocument/2006/relationships/image" Target="media/image5.png"/><Relationship Id="rId33" Type="http://schemas.openxmlformats.org/officeDocument/2006/relationships/hyperlink" Target="https://www.tga.gov.au/picmi-search-facility"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tga.gov.au/australian-public-assessment-report-auspar-guidance" TargetMode="External"/><Relationship Id="rId20" Type="http://schemas.openxmlformats.org/officeDocument/2006/relationships/hyperlink" Target="https://www.tga.gov.au/obstetric-drug-information-services" TargetMode="External"/><Relationship Id="rId29" Type="http://schemas.openxmlformats.org/officeDocument/2006/relationships/hyperlink" Target="https://www.tga.gov.au/committee/advisory-committee-medicines-ac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https://www.tga.gov.au/products/australian-register-therapeutic-goods-artg/consumer-medicines-information-cmi" TargetMode="External"/><Relationship Id="rId37" Type="http://schemas.openxmlformats.org/officeDocument/2006/relationships/hyperlink" Target="https://www.tga.gov.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ga.gov.au/" TargetMode="External"/><Relationship Id="rId23" Type="http://schemas.openxmlformats.org/officeDocument/2006/relationships/hyperlink" Target="https://www.tga.gov.au/how-we-regulate/supply-therapeutic-good-0/supply-prescription-medicine/application-process/prescription-medicines-registration-process" TargetMode="External"/><Relationship Id="rId28" Type="http://schemas.openxmlformats.org/officeDocument/2006/relationships/hyperlink" Target="https://www.tga.gov.au/resources/resource/guidance/risk-management-plans-medicines-and-biologicals/when-rmp-required" TargetMode="External"/><Relationship Id="rId36" Type="http://schemas.openxmlformats.org/officeDocument/2006/relationships/hyperlink" Target="mailto:info@tga.gov.au" TargetMode="External"/><Relationship Id="rId10" Type="http://schemas.openxmlformats.org/officeDocument/2006/relationships/endnotes" Target="endnotes.xml"/><Relationship Id="rId19" Type="http://schemas.openxmlformats.org/officeDocument/2006/relationships/hyperlink" Target="https://www.tga.gov.au/products/medicines/find-information-about-medicine/prescribing-medicines-pregnancy-database" TargetMode="External"/><Relationship Id="rId31" Type="http://schemas.openxmlformats.org/officeDocument/2006/relationships/hyperlink" Target="https://www.tga.gov.au/products/australian-register-therapeutic-goods-artg/product-information-o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comparable-overseas-regulators-cors-timeframes-and-milestones" TargetMode="External"/><Relationship Id="rId27" Type="http://schemas.openxmlformats.org/officeDocument/2006/relationships/image" Target="media/image7.png"/><Relationship Id="rId30" Type="http://schemas.openxmlformats.org/officeDocument/2006/relationships/hyperlink" Target="https://www.tga.gov.au/products/australian-register-therapeutic-goods-artg/product-information-one"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4E65842D469A429474DC408262B134" ma:contentTypeVersion="18" ma:contentTypeDescription="Create a new document." ma:contentTypeScope="" ma:versionID="9e72329402ad8566eb16b9302bbb1184">
  <xsd:schema xmlns:xsd="http://www.w3.org/2001/XMLSchema" xmlns:xs="http://www.w3.org/2001/XMLSchema" xmlns:p="http://schemas.microsoft.com/office/2006/metadata/properties" xmlns:ns2="89b15a63-38c8-4eea-9abd-342bc08182bf" xmlns:ns3="3e1aaea5-0fcd-4400-8b2f-fe3903c1dab1" targetNamespace="http://schemas.microsoft.com/office/2006/metadata/properties" ma:root="true" ma:fieldsID="7e59293ea9f6d294f0a0456a675e0246" ns2:_="" ns3:_="">
    <xsd:import namespace="89b15a63-38c8-4eea-9abd-342bc08182bf"/>
    <xsd:import namespace="3e1aaea5-0fcd-4400-8b2f-fe3903c1da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15a63-38c8-4eea-9abd-342bc0818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18f4d-29cc-4a72-a7a1-3a190602c7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1aaea5-0fcd-4400-8b2f-fe3903c1da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9b6165-a65b-4eb2-83da-5065cba7965c}" ma:internalName="TaxCatchAll" ma:showField="CatchAllData" ma:web="3e1aaea5-0fcd-4400-8b2f-fe3903c1d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1aaea5-0fcd-4400-8b2f-fe3903c1dab1" xsi:nil="true"/>
    <lcf76f155ced4ddcb4097134ff3c332f xmlns="89b15a63-38c8-4eea-9abd-342bc08182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customXml/itemProps2.xml><?xml version="1.0" encoding="utf-8"?>
<ds:datastoreItem xmlns:ds="http://schemas.openxmlformats.org/officeDocument/2006/customXml" ds:itemID="{4679A3B2-420B-4ED9-94E8-330A3FC9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15a63-38c8-4eea-9abd-342bc08182bf"/>
    <ds:schemaRef ds:uri="3e1aaea5-0fcd-4400-8b2f-fe3903c1d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A4364-2164-4B9E-A760-E5EA9F8C8D50}">
  <ds:schemaRefs>
    <ds:schemaRef ds:uri="http://schemas.microsoft.com/sharepoint/v3/contenttype/forms"/>
  </ds:schemaRefs>
</ds:datastoreItem>
</file>

<file path=customXml/itemProps4.xml><?xml version="1.0" encoding="utf-8"?>
<ds:datastoreItem xmlns:ds="http://schemas.openxmlformats.org/officeDocument/2006/customXml" ds:itemID="{3176E854-BECE-41A2-AEC2-539819847715}">
  <ds:schemaRefs>
    <ds:schemaRef ds:uri="http://schemas.microsoft.com/office/2006/metadata/properties"/>
    <ds:schemaRef ds:uri="http://schemas.microsoft.com/office/infopath/2007/PartnerControls"/>
    <ds:schemaRef ds:uri="3e1aaea5-0fcd-4400-8b2f-fe3903c1dab1"/>
    <ds:schemaRef ds:uri="89b15a63-38c8-4eea-9abd-342bc08182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6187</Words>
  <Characters>35266</Characters>
  <Application>Microsoft Office Word</Application>
  <DocSecurity>0</DocSecurity>
  <Lines>293</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Australian public assessment report for</vt:lpstr>
      <vt:lpstr>Australian public assessment report for</vt:lpstr>
    </vt:vector>
  </TitlesOfParts>
  <Company>Department of Health and Aged Care</Company>
  <LinksUpToDate>false</LinksUpToDate>
  <CharactersWithSpaces>41371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Vegzelma</dc:title>
  <dc:subject>Prescription medicines</dc:subject>
  <dc:creator>Therapeutic Goods Administration</dc:creator>
  <cp:keywords/>
  <dc:description/>
  <cp:lastModifiedBy>LACK, Janet</cp:lastModifiedBy>
  <cp:revision>2</cp:revision>
  <dcterms:created xsi:type="dcterms:W3CDTF">2024-02-28T02:13:00Z</dcterms:created>
  <dcterms:modified xsi:type="dcterms:W3CDTF">2024-02-28T02:13:00Z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0x010100CD4E65842D469A429474DC408262B134</vt:lpwstr>
  </property>
  <property fmtid="{D5CDD505-2E9C-101B-9397-08002B2CF9AE}" pid="3" name="MediaServiceImageTags">
    <vt:lpwstr/>
  </property>
</Properties>
</file>