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ED72D84" w:rsidR="00F02AEC" w:rsidRPr="00215D48" w:rsidRDefault="00346EC2" w:rsidP="007452E8">
            <w:pPr>
              <w:pStyle w:val="Title"/>
            </w:pPr>
            <w:r w:rsidRPr="00346EC2">
              <w:t xml:space="preserve">Australian Public Assessment Report for </w:t>
            </w:r>
            <w:r w:rsidR="002D39B9" w:rsidRPr="002D39B9">
              <w:t>Retevmo</w:t>
            </w:r>
            <w:fldSimple w:instr=" DOCVARIABLE vault_nd_e020c44d-db40-4039-949a-4841406e27e3 \* MERGEFORMAT ">
              <w:r w:rsidR="00040953">
                <w:t xml:space="preserve"> </w:t>
              </w:r>
            </w:fldSimple>
          </w:p>
        </w:tc>
      </w:tr>
      <w:tr w:rsidR="00F02AEC" w:rsidRPr="00215D48" w14:paraId="318A40A3" w14:textId="77777777" w:rsidTr="00346EC2">
        <w:trPr>
          <w:trHeight w:val="995"/>
        </w:trPr>
        <w:tc>
          <w:tcPr>
            <w:tcW w:w="8720" w:type="dxa"/>
          </w:tcPr>
          <w:p w14:paraId="1AA7C701" w14:textId="05D5943E" w:rsidR="00F02AEC" w:rsidRPr="00215D48" w:rsidRDefault="00346EC2" w:rsidP="007452E8">
            <w:pPr>
              <w:pStyle w:val="Subtitle"/>
              <w:ind w:left="0"/>
            </w:pPr>
            <w:r w:rsidRPr="00346EC2">
              <w:t xml:space="preserve">Active ingredient/s: </w:t>
            </w:r>
            <w:r w:rsidR="002D39B9">
              <w:t>Selpercatinib</w:t>
            </w:r>
          </w:p>
        </w:tc>
      </w:tr>
      <w:tr w:rsidR="00346EC2" w:rsidRPr="00215D48" w14:paraId="362CCAE4" w14:textId="77777777" w:rsidTr="007452E8">
        <w:trPr>
          <w:trHeight w:val="1916"/>
        </w:trPr>
        <w:tc>
          <w:tcPr>
            <w:tcW w:w="8720" w:type="dxa"/>
          </w:tcPr>
          <w:p w14:paraId="709C45C0" w14:textId="2CE43FEB" w:rsidR="00346EC2" w:rsidRPr="00215D48" w:rsidRDefault="00346EC2" w:rsidP="007452E8">
            <w:pPr>
              <w:pStyle w:val="Subtitle"/>
              <w:ind w:left="0"/>
            </w:pPr>
            <w:r w:rsidRPr="00346EC2">
              <w:t xml:space="preserve">Sponsor: </w:t>
            </w:r>
            <w:r w:rsidR="002D39B9" w:rsidRPr="002D39B9">
              <w:t>Eli Lilly Australia Pty Ltd</w:t>
            </w:r>
          </w:p>
        </w:tc>
      </w:tr>
      <w:tr w:rsidR="00F02AEC" w:rsidRPr="00215D48" w14:paraId="37F2AA1F" w14:textId="77777777" w:rsidTr="007452E8">
        <w:tc>
          <w:tcPr>
            <w:tcW w:w="8720" w:type="dxa"/>
          </w:tcPr>
          <w:p w14:paraId="1FDE8DCD" w14:textId="4DDAB9A0" w:rsidR="00F02AEC" w:rsidRPr="00215D48" w:rsidRDefault="00B95A14" w:rsidP="007452E8">
            <w:pPr>
              <w:pStyle w:val="Date"/>
            </w:pPr>
            <w:r>
              <w:t>January 2024</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062C4F90" w:rsidR="00346EC2" w:rsidRPr="001F6CBA" w:rsidRDefault="00346EC2" w:rsidP="00346EC2">
      <w:pPr>
        <w:pStyle w:val="NonTOCHeading20"/>
      </w:pPr>
      <w:r w:rsidRPr="001F6CBA">
        <w:lastRenderedPageBreak/>
        <w:t>About the Therapeutic Goods Administration (TGA)</w:t>
      </w:r>
      <w:r w:rsidR="009F1197">
        <w:fldChar w:fldCharType="begin"/>
      </w:r>
      <w:r w:rsidR="009F1197">
        <w:instrText xml:space="preserve"> DOCVARIABLE vault_nd_ce37e803-ef53-4ad9-a46a-fdbd2d913922 \* MERGEFORMAT </w:instrText>
      </w:r>
      <w:r w:rsidR="009F1197">
        <w:fldChar w:fldCharType="separate"/>
      </w:r>
      <w:r w:rsidR="00040953">
        <w:t xml:space="preserve"> </w:t>
      </w:r>
      <w:r w:rsidR="009F1197">
        <w:fldChar w:fldCharType="end"/>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4E2ECBCF"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7B145090" w:rsidR="00346EC2" w:rsidRDefault="00346EC2" w:rsidP="00346EC2">
      <w:pPr>
        <w:pStyle w:val="NonTOCHeading20"/>
      </w:pPr>
      <w:r>
        <w:t>About AusPARs</w:t>
      </w:r>
      <w:fldSimple w:instr=" DOCVARIABLE vault_nd_2f24a52e-a616-4fae-90a9-78d4553ae9df \* MERGEFORMAT ">
        <w:r w:rsidR="00040953">
          <w:t xml:space="preserve"> </w:t>
        </w:r>
      </w:fldSimple>
    </w:p>
    <w:p w14:paraId="631B2209" w14:textId="5FC62209"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4FA343FA" w:rsidR="00F02AEC" w:rsidRPr="00E1198B" w:rsidRDefault="00F02AEC" w:rsidP="00FE087C">
      <w:pPr>
        <w:pStyle w:val="LegalSubheading"/>
        <w:spacing w:before="3600"/>
      </w:pPr>
      <w:r w:rsidRPr="00BA0DFC">
        <w:t>Copyright</w:t>
      </w:r>
      <w:r w:rsidR="009F1197">
        <w:fldChar w:fldCharType="begin"/>
      </w:r>
      <w:r w:rsidR="009F1197">
        <w:instrText xml:space="preserve"> DOCVARIABLE vault_nd_cadcb905-237e-4adf-a6cb-18e12e0b025d \* MERGEFORMAT </w:instrText>
      </w:r>
      <w:r w:rsidR="009F1197">
        <w:fldChar w:fldCharType="separate"/>
      </w:r>
      <w:r w:rsidR="00040953">
        <w:t xml:space="preserve"> </w:t>
      </w:r>
      <w:r w:rsidR="009F1197">
        <w:fldChar w:fldCharType="end"/>
      </w:r>
    </w:p>
    <w:p w14:paraId="170A8A5D" w14:textId="13F4FDB8" w:rsidR="00175CD8" w:rsidRPr="00346EC2" w:rsidRDefault="00F02AEC" w:rsidP="00346EC2">
      <w:pPr>
        <w:pStyle w:val="LegalCopy"/>
        <w:rPr>
          <w:rFonts w:cs="Arial"/>
        </w:rPr>
      </w:pPr>
      <w:r w:rsidRPr="00215D48">
        <w:rPr>
          <w:rFonts w:cs="Arial"/>
        </w:rPr>
        <w:t>© Commonwealth of Australia 20</w:t>
      </w:r>
      <w:r>
        <w:rPr>
          <w:rFonts w:cs="Arial"/>
        </w:rPr>
        <w:t>2</w:t>
      </w:r>
      <w:r w:rsidR="00B95A14">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393D40DD" w:rsidR="00F02AEC" w:rsidRPr="00215D48" w:rsidRDefault="00F02AEC" w:rsidP="007452E8">
          <w:pPr>
            <w:pStyle w:val="NonTOCheading2"/>
          </w:pPr>
          <w:r w:rsidRPr="00215D48">
            <w:t>Contents</w:t>
          </w:r>
          <w:r w:rsidR="009F1197">
            <w:fldChar w:fldCharType="begin"/>
          </w:r>
          <w:r w:rsidR="009F1197">
            <w:instrText xml:space="preserve"> DOCVARIABLE vault</w:instrText>
          </w:r>
          <w:r w:rsidR="009F1197">
            <w:instrText xml:space="preserve">_nd_724b04f9-e464-4749-a12a-9089a4027416 \* MERGEFORMAT </w:instrText>
          </w:r>
          <w:r w:rsidR="009F1197">
            <w:fldChar w:fldCharType="separate"/>
          </w:r>
          <w:r w:rsidR="00040953">
            <w:t xml:space="preserve"> </w:t>
          </w:r>
          <w:r w:rsidR="009F1197">
            <w:fldChar w:fldCharType="end"/>
          </w:r>
        </w:p>
        <w:p w14:paraId="29252D7A" w14:textId="0C074E5F" w:rsidR="005A23C0"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48531582" w:history="1">
            <w:r w:rsidR="005A23C0" w:rsidRPr="00B14BC2">
              <w:rPr>
                <w:rStyle w:val="Hyperlink"/>
                <w:noProof/>
              </w:rPr>
              <w:t>List of abbreviations</w:t>
            </w:r>
            <w:r w:rsidR="005A23C0">
              <w:rPr>
                <w:noProof/>
                <w:webHidden/>
              </w:rPr>
              <w:tab/>
            </w:r>
            <w:r w:rsidR="005A23C0">
              <w:rPr>
                <w:noProof/>
                <w:webHidden/>
              </w:rPr>
              <w:fldChar w:fldCharType="begin"/>
            </w:r>
            <w:r w:rsidR="005A23C0">
              <w:rPr>
                <w:noProof/>
                <w:webHidden/>
              </w:rPr>
              <w:instrText xml:space="preserve"> PAGEREF _Toc148531582 \h </w:instrText>
            </w:r>
            <w:r w:rsidR="005A23C0">
              <w:rPr>
                <w:noProof/>
                <w:webHidden/>
              </w:rPr>
            </w:r>
            <w:r w:rsidR="005A23C0">
              <w:rPr>
                <w:noProof/>
                <w:webHidden/>
              </w:rPr>
              <w:fldChar w:fldCharType="separate"/>
            </w:r>
            <w:r w:rsidR="005A23C0">
              <w:rPr>
                <w:noProof/>
                <w:webHidden/>
              </w:rPr>
              <w:t>4</w:t>
            </w:r>
            <w:r w:rsidR="005A23C0">
              <w:rPr>
                <w:noProof/>
                <w:webHidden/>
              </w:rPr>
              <w:fldChar w:fldCharType="end"/>
            </w:r>
          </w:hyperlink>
        </w:p>
        <w:p w14:paraId="124E7A0A" w14:textId="66AA9786" w:rsidR="005A23C0" w:rsidRDefault="009F1197">
          <w:pPr>
            <w:pStyle w:val="TOC1"/>
            <w:rPr>
              <w:rFonts w:asciiTheme="minorHAnsi" w:eastAsiaTheme="minorEastAsia" w:hAnsiTheme="minorHAnsi" w:cstheme="minorBidi"/>
              <w:b w:val="0"/>
              <w:noProof/>
              <w:color w:val="auto"/>
              <w:sz w:val="22"/>
              <w:szCs w:val="22"/>
              <w:lang w:eastAsia="en-AU"/>
            </w:rPr>
          </w:pPr>
          <w:hyperlink w:anchor="_Toc148531583" w:history="1">
            <w:r w:rsidR="005A23C0" w:rsidRPr="00B14BC2">
              <w:rPr>
                <w:rStyle w:val="Hyperlink"/>
                <w:noProof/>
              </w:rPr>
              <w:t>Product submission</w:t>
            </w:r>
            <w:r w:rsidR="005A23C0">
              <w:rPr>
                <w:noProof/>
                <w:webHidden/>
              </w:rPr>
              <w:tab/>
            </w:r>
            <w:r w:rsidR="005A23C0">
              <w:rPr>
                <w:noProof/>
                <w:webHidden/>
              </w:rPr>
              <w:fldChar w:fldCharType="begin"/>
            </w:r>
            <w:r w:rsidR="005A23C0">
              <w:rPr>
                <w:noProof/>
                <w:webHidden/>
              </w:rPr>
              <w:instrText xml:space="preserve"> PAGEREF _Toc148531583 \h </w:instrText>
            </w:r>
            <w:r w:rsidR="005A23C0">
              <w:rPr>
                <w:noProof/>
                <w:webHidden/>
              </w:rPr>
            </w:r>
            <w:r w:rsidR="005A23C0">
              <w:rPr>
                <w:noProof/>
                <w:webHidden/>
              </w:rPr>
              <w:fldChar w:fldCharType="separate"/>
            </w:r>
            <w:r w:rsidR="005A23C0">
              <w:rPr>
                <w:noProof/>
                <w:webHidden/>
              </w:rPr>
              <w:t>5</w:t>
            </w:r>
            <w:r w:rsidR="005A23C0">
              <w:rPr>
                <w:noProof/>
                <w:webHidden/>
              </w:rPr>
              <w:fldChar w:fldCharType="end"/>
            </w:r>
          </w:hyperlink>
        </w:p>
        <w:p w14:paraId="67AC8781" w14:textId="56098C21" w:rsidR="005A23C0" w:rsidRDefault="009F1197">
          <w:pPr>
            <w:pStyle w:val="TOC2"/>
            <w:rPr>
              <w:rFonts w:asciiTheme="minorHAnsi" w:eastAsiaTheme="minorEastAsia" w:hAnsiTheme="minorHAnsi" w:cstheme="minorBidi"/>
              <w:b w:val="0"/>
              <w:noProof/>
              <w:color w:val="auto"/>
              <w:sz w:val="22"/>
              <w:szCs w:val="22"/>
              <w:lang w:eastAsia="en-AU"/>
            </w:rPr>
          </w:pPr>
          <w:hyperlink w:anchor="_Toc148531584" w:history="1">
            <w:r w:rsidR="005A23C0" w:rsidRPr="00B14BC2">
              <w:rPr>
                <w:rStyle w:val="Hyperlink"/>
                <w:noProof/>
                <w:lang w:eastAsia="en-AU"/>
              </w:rPr>
              <w:t>Submission details</w:t>
            </w:r>
            <w:r w:rsidR="005A23C0">
              <w:rPr>
                <w:noProof/>
                <w:webHidden/>
              </w:rPr>
              <w:tab/>
            </w:r>
            <w:r w:rsidR="005A23C0">
              <w:rPr>
                <w:noProof/>
                <w:webHidden/>
              </w:rPr>
              <w:fldChar w:fldCharType="begin"/>
            </w:r>
            <w:r w:rsidR="005A23C0">
              <w:rPr>
                <w:noProof/>
                <w:webHidden/>
              </w:rPr>
              <w:instrText xml:space="preserve"> PAGEREF _Toc148531584 \h </w:instrText>
            </w:r>
            <w:r w:rsidR="005A23C0">
              <w:rPr>
                <w:noProof/>
                <w:webHidden/>
              </w:rPr>
            </w:r>
            <w:r w:rsidR="005A23C0">
              <w:rPr>
                <w:noProof/>
                <w:webHidden/>
              </w:rPr>
              <w:fldChar w:fldCharType="separate"/>
            </w:r>
            <w:r w:rsidR="005A23C0">
              <w:rPr>
                <w:noProof/>
                <w:webHidden/>
              </w:rPr>
              <w:t>5</w:t>
            </w:r>
            <w:r w:rsidR="005A23C0">
              <w:rPr>
                <w:noProof/>
                <w:webHidden/>
              </w:rPr>
              <w:fldChar w:fldCharType="end"/>
            </w:r>
          </w:hyperlink>
        </w:p>
        <w:p w14:paraId="60D750B4" w14:textId="7CB38158" w:rsidR="005A23C0" w:rsidRDefault="009F1197">
          <w:pPr>
            <w:pStyle w:val="TOC2"/>
            <w:rPr>
              <w:rFonts w:asciiTheme="minorHAnsi" w:eastAsiaTheme="minorEastAsia" w:hAnsiTheme="minorHAnsi" w:cstheme="minorBidi"/>
              <w:b w:val="0"/>
              <w:noProof/>
              <w:color w:val="auto"/>
              <w:sz w:val="22"/>
              <w:szCs w:val="22"/>
              <w:lang w:eastAsia="en-AU"/>
            </w:rPr>
          </w:pPr>
          <w:hyperlink w:anchor="_Toc148531585" w:history="1">
            <w:r w:rsidR="005A23C0" w:rsidRPr="00B14BC2">
              <w:rPr>
                <w:rStyle w:val="Hyperlink"/>
                <w:noProof/>
              </w:rPr>
              <w:t>Product background</w:t>
            </w:r>
            <w:r w:rsidR="005A23C0">
              <w:rPr>
                <w:noProof/>
                <w:webHidden/>
              </w:rPr>
              <w:tab/>
            </w:r>
            <w:r w:rsidR="005A23C0">
              <w:rPr>
                <w:noProof/>
                <w:webHidden/>
              </w:rPr>
              <w:fldChar w:fldCharType="begin"/>
            </w:r>
            <w:r w:rsidR="005A23C0">
              <w:rPr>
                <w:noProof/>
                <w:webHidden/>
              </w:rPr>
              <w:instrText xml:space="preserve"> PAGEREF _Toc148531585 \h </w:instrText>
            </w:r>
            <w:r w:rsidR="005A23C0">
              <w:rPr>
                <w:noProof/>
                <w:webHidden/>
              </w:rPr>
            </w:r>
            <w:r w:rsidR="005A23C0">
              <w:rPr>
                <w:noProof/>
                <w:webHidden/>
              </w:rPr>
              <w:fldChar w:fldCharType="separate"/>
            </w:r>
            <w:r w:rsidR="005A23C0">
              <w:rPr>
                <w:noProof/>
                <w:webHidden/>
              </w:rPr>
              <w:t>6</w:t>
            </w:r>
            <w:r w:rsidR="005A23C0">
              <w:rPr>
                <w:noProof/>
                <w:webHidden/>
              </w:rPr>
              <w:fldChar w:fldCharType="end"/>
            </w:r>
          </w:hyperlink>
        </w:p>
        <w:p w14:paraId="3F3FF85C" w14:textId="0008B254" w:rsidR="005A23C0" w:rsidRDefault="009F1197">
          <w:pPr>
            <w:pStyle w:val="TOC2"/>
            <w:rPr>
              <w:rFonts w:asciiTheme="minorHAnsi" w:eastAsiaTheme="minorEastAsia" w:hAnsiTheme="minorHAnsi" w:cstheme="minorBidi"/>
              <w:b w:val="0"/>
              <w:noProof/>
              <w:color w:val="auto"/>
              <w:sz w:val="22"/>
              <w:szCs w:val="22"/>
              <w:lang w:eastAsia="en-AU"/>
            </w:rPr>
          </w:pPr>
          <w:hyperlink w:anchor="_Toc148531586" w:history="1">
            <w:r w:rsidR="005A23C0" w:rsidRPr="00B14BC2">
              <w:rPr>
                <w:rStyle w:val="Hyperlink"/>
                <w:noProof/>
              </w:rPr>
              <w:t>Regulatory status</w:t>
            </w:r>
            <w:r w:rsidR="005A23C0">
              <w:rPr>
                <w:noProof/>
                <w:webHidden/>
              </w:rPr>
              <w:tab/>
            </w:r>
            <w:r w:rsidR="005A23C0">
              <w:rPr>
                <w:noProof/>
                <w:webHidden/>
              </w:rPr>
              <w:fldChar w:fldCharType="begin"/>
            </w:r>
            <w:r w:rsidR="005A23C0">
              <w:rPr>
                <w:noProof/>
                <w:webHidden/>
              </w:rPr>
              <w:instrText xml:space="preserve"> PAGEREF _Toc148531586 \h </w:instrText>
            </w:r>
            <w:r w:rsidR="005A23C0">
              <w:rPr>
                <w:noProof/>
                <w:webHidden/>
              </w:rPr>
            </w:r>
            <w:r w:rsidR="005A23C0">
              <w:rPr>
                <w:noProof/>
                <w:webHidden/>
              </w:rPr>
              <w:fldChar w:fldCharType="separate"/>
            </w:r>
            <w:r w:rsidR="005A23C0">
              <w:rPr>
                <w:noProof/>
                <w:webHidden/>
              </w:rPr>
              <w:t>7</w:t>
            </w:r>
            <w:r w:rsidR="005A23C0">
              <w:rPr>
                <w:noProof/>
                <w:webHidden/>
              </w:rPr>
              <w:fldChar w:fldCharType="end"/>
            </w:r>
          </w:hyperlink>
        </w:p>
        <w:p w14:paraId="1427BBA3" w14:textId="430C1010" w:rsidR="005A23C0" w:rsidRDefault="009F1197">
          <w:pPr>
            <w:pStyle w:val="TOC2"/>
            <w:rPr>
              <w:rFonts w:asciiTheme="minorHAnsi" w:eastAsiaTheme="minorEastAsia" w:hAnsiTheme="minorHAnsi" w:cstheme="minorBidi"/>
              <w:b w:val="0"/>
              <w:noProof/>
              <w:color w:val="auto"/>
              <w:sz w:val="22"/>
              <w:szCs w:val="22"/>
              <w:lang w:eastAsia="en-AU"/>
            </w:rPr>
          </w:pPr>
          <w:hyperlink w:anchor="_Toc148531587" w:history="1">
            <w:r w:rsidR="005A23C0" w:rsidRPr="00B14BC2">
              <w:rPr>
                <w:rStyle w:val="Hyperlink"/>
                <w:noProof/>
              </w:rPr>
              <w:t>Product Information</w:t>
            </w:r>
            <w:r w:rsidR="005A23C0">
              <w:rPr>
                <w:noProof/>
                <w:webHidden/>
              </w:rPr>
              <w:tab/>
            </w:r>
            <w:r w:rsidR="005A23C0">
              <w:rPr>
                <w:noProof/>
                <w:webHidden/>
              </w:rPr>
              <w:fldChar w:fldCharType="begin"/>
            </w:r>
            <w:r w:rsidR="005A23C0">
              <w:rPr>
                <w:noProof/>
                <w:webHidden/>
              </w:rPr>
              <w:instrText xml:space="preserve"> PAGEREF _Toc148531587 \h </w:instrText>
            </w:r>
            <w:r w:rsidR="005A23C0">
              <w:rPr>
                <w:noProof/>
                <w:webHidden/>
              </w:rPr>
            </w:r>
            <w:r w:rsidR="005A23C0">
              <w:rPr>
                <w:noProof/>
                <w:webHidden/>
              </w:rPr>
              <w:fldChar w:fldCharType="separate"/>
            </w:r>
            <w:r w:rsidR="005A23C0">
              <w:rPr>
                <w:noProof/>
                <w:webHidden/>
              </w:rPr>
              <w:t>7</w:t>
            </w:r>
            <w:r w:rsidR="005A23C0">
              <w:rPr>
                <w:noProof/>
                <w:webHidden/>
              </w:rPr>
              <w:fldChar w:fldCharType="end"/>
            </w:r>
          </w:hyperlink>
        </w:p>
        <w:p w14:paraId="53562A5D" w14:textId="30D1712D" w:rsidR="005A23C0" w:rsidRDefault="009F1197">
          <w:pPr>
            <w:pStyle w:val="TOC1"/>
            <w:rPr>
              <w:rFonts w:asciiTheme="minorHAnsi" w:eastAsiaTheme="minorEastAsia" w:hAnsiTheme="minorHAnsi" w:cstheme="minorBidi"/>
              <w:b w:val="0"/>
              <w:noProof/>
              <w:color w:val="auto"/>
              <w:sz w:val="22"/>
              <w:szCs w:val="22"/>
              <w:lang w:eastAsia="en-AU"/>
            </w:rPr>
          </w:pPr>
          <w:hyperlink w:anchor="_Toc148531588" w:history="1">
            <w:r w:rsidR="005A23C0" w:rsidRPr="00B14BC2">
              <w:rPr>
                <w:rStyle w:val="Hyperlink"/>
                <w:noProof/>
              </w:rPr>
              <w:t>Registration timeline</w:t>
            </w:r>
            <w:r w:rsidR="005A23C0">
              <w:rPr>
                <w:noProof/>
                <w:webHidden/>
              </w:rPr>
              <w:tab/>
            </w:r>
            <w:r w:rsidR="005A23C0">
              <w:rPr>
                <w:noProof/>
                <w:webHidden/>
              </w:rPr>
              <w:fldChar w:fldCharType="begin"/>
            </w:r>
            <w:r w:rsidR="005A23C0">
              <w:rPr>
                <w:noProof/>
                <w:webHidden/>
              </w:rPr>
              <w:instrText xml:space="preserve"> PAGEREF _Toc148531588 \h </w:instrText>
            </w:r>
            <w:r w:rsidR="005A23C0">
              <w:rPr>
                <w:noProof/>
                <w:webHidden/>
              </w:rPr>
            </w:r>
            <w:r w:rsidR="005A23C0">
              <w:rPr>
                <w:noProof/>
                <w:webHidden/>
              </w:rPr>
              <w:fldChar w:fldCharType="separate"/>
            </w:r>
            <w:r w:rsidR="005A23C0">
              <w:rPr>
                <w:noProof/>
                <w:webHidden/>
              </w:rPr>
              <w:t>7</w:t>
            </w:r>
            <w:r w:rsidR="005A23C0">
              <w:rPr>
                <w:noProof/>
                <w:webHidden/>
              </w:rPr>
              <w:fldChar w:fldCharType="end"/>
            </w:r>
          </w:hyperlink>
        </w:p>
        <w:p w14:paraId="2BA41CEF" w14:textId="7C38AE84" w:rsidR="005A23C0" w:rsidRDefault="009F1197">
          <w:pPr>
            <w:pStyle w:val="TOC1"/>
            <w:rPr>
              <w:rFonts w:asciiTheme="minorHAnsi" w:eastAsiaTheme="minorEastAsia" w:hAnsiTheme="minorHAnsi" w:cstheme="minorBidi"/>
              <w:b w:val="0"/>
              <w:noProof/>
              <w:color w:val="auto"/>
              <w:sz w:val="22"/>
              <w:szCs w:val="22"/>
              <w:lang w:eastAsia="en-AU"/>
            </w:rPr>
          </w:pPr>
          <w:hyperlink w:anchor="_Toc148531589" w:history="1">
            <w:r w:rsidR="005A23C0" w:rsidRPr="00B14BC2">
              <w:rPr>
                <w:rStyle w:val="Hyperlink"/>
                <w:noProof/>
              </w:rPr>
              <w:t>Submission overview and risk/benefit assessment</w:t>
            </w:r>
            <w:r w:rsidR="005A23C0">
              <w:rPr>
                <w:noProof/>
                <w:webHidden/>
              </w:rPr>
              <w:tab/>
            </w:r>
            <w:r w:rsidR="005A23C0">
              <w:rPr>
                <w:noProof/>
                <w:webHidden/>
              </w:rPr>
              <w:fldChar w:fldCharType="begin"/>
            </w:r>
            <w:r w:rsidR="005A23C0">
              <w:rPr>
                <w:noProof/>
                <w:webHidden/>
              </w:rPr>
              <w:instrText xml:space="preserve"> PAGEREF _Toc148531589 \h </w:instrText>
            </w:r>
            <w:r w:rsidR="005A23C0">
              <w:rPr>
                <w:noProof/>
                <w:webHidden/>
              </w:rPr>
            </w:r>
            <w:r w:rsidR="005A23C0">
              <w:rPr>
                <w:noProof/>
                <w:webHidden/>
              </w:rPr>
              <w:fldChar w:fldCharType="separate"/>
            </w:r>
            <w:r w:rsidR="005A23C0">
              <w:rPr>
                <w:noProof/>
                <w:webHidden/>
              </w:rPr>
              <w:t>8</w:t>
            </w:r>
            <w:r w:rsidR="005A23C0">
              <w:rPr>
                <w:noProof/>
                <w:webHidden/>
              </w:rPr>
              <w:fldChar w:fldCharType="end"/>
            </w:r>
          </w:hyperlink>
        </w:p>
        <w:p w14:paraId="51F6CCEC" w14:textId="172D4742" w:rsidR="005A23C0" w:rsidRDefault="009F1197">
          <w:pPr>
            <w:pStyle w:val="TOC2"/>
            <w:rPr>
              <w:rFonts w:asciiTheme="minorHAnsi" w:eastAsiaTheme="minorEastAsia" w:hAnsiTheme="minorHAnsi" w:cstheme="minorBidi"/>
              <w:b w:val="0"/>
              <w:noProof/>
              <w:color w:val="auto"/>
              <w:sz w:val="22"/>
              <w:szCs w:val="22"/>
              <w:lang w:eastAsia="en-AU"/>
            </w:rPr>
          </w:pPr>
          <w:hyperlink w:anchor="_Toc148531590" w:history="1">
            <w:r w:rsidR="005A23C0" w:rsidRPr="00B14BC2">
              <w:rPr>
                <w:rStyle w:val="Hyperlink"/>
                <w:noProof/>
              </w:rPr>
              <w:t>Quality</w:t>
            </w:r>
            <w:r w:rsidR="005A23C0">
              <w:rPr>
                <w:noProof/>
                <w:webHidden/>
              </w:rPr>
              <w:tab/>
            </w:r>
            <w:r w:rsidR="005A23C0">
              <w:rPr>
                <w:noProof/>
                <w:webHidden/>
              </w:rPr>
              <w:fldChar w:fldCharType="begin"/>
            </w:r>
            <w:r w:rsidR="005A23C0">
              <w:rPr>
                <w:noProof/>
                <w:webHidden/>
              </w:rPr>
              <w:instrText xml:space="preserve"> PAGEREF _Toc148531590 \h </w:instrText>
            </w:r>
            <w:r w:rsidR="005A23C0">
              <w:rPr>
                <w:noProof/>
                <w:webHidden/>
              </w:rPr>
            </w:r>
            <w:r w:rsidR="005A23C0">
              <w:rPr>
                <w:noProof/>
                <w:webHidden/>
              </w:rPr>
              <w:fldChar w:fldCharType="separate"/>
            </w:r>
            <w:r w:rsidR="005A23C0">
              <w:rPr>
                <w:noProof/>
                <w:webHidden/>
              </w:rPr>
              <w:t>8</w:t>
            </w:r>
            <w:r w:rsidR="005A23C0">
              <w:rPr>
                <w:noProof/>
                <w:webHidden/>
              </w:rPr>
              <w:fldChar w:fldCharType="end"/>
            </w:r>
          </w:hyperlink>
        </w:p>
        <w:p w14:paraId="04205A3F" w14:textId="5DD9231E" w:rsidR="005A23C0" w:rsidRDefault="009F1197">
          <w:pPr>
            <w:pStyle w:val="TOC2"/>
            <w:rPr>
              <w:rFonts w:asciiTheme="minorHAnsi" w:eastAsiaTheme="minorEastAsia" w:hAnsiTheme="minorHAnsi" w:cstheme="minorBidi"/>
              <w:b w:val="0"/>
              <w:noProof/>
              <w:color w:val="auto"/>
              <w:sz w:val="22"/>
              <w:szCs w:val="22"/>
              <w:lang w:eastAsia="en-AU"/>
            </w:rPr>
          </w:pPr>
          <w:hyperlink w:anchor="_Toc148531591" w:history="1">
            <w:r w:rsidR="005A23C0" w:rsidRPr="00B14BC2">
              <w:rPr>
                <w:rStyle w:val="Hyperlink"/>
                <w:noProof/>
              </w:rPr>
              <w:t>Nonclinical</w:t>
            </w:r>
            <w:r w:rsidR="005A23C0">
              <w:rPr>
                <w:noProof/>
                <w:webHidden/>
              </w:rPr>
              <w:tab/>
            </w:r>
            <w:r w:rsidR="005A23C0">
              <w:rPr>
                <w:noProof/>
                <w:webHidden/>
              </w:rPr>
              <w:fldChar w:fldCharType="begin"/>
            </w:r>
            <w:r w:rsidR="005A23C0">
              <w:rPr>
                <w:noProof/>
                <w:webHidden/>
              </w:rPr>
              <w:instrText xml:space="preserve"> PAGEREF _Toc148531591 \h </w:instrText>
            </w:r>
            <w:r w:rsidR="005A23C0">
              <w:rPr>
                <w:noProof/>
                <w:webHidden/>
              </w:rPr>
            </w:r>
            <w:r w:rsidR="005A23C0">
              <w:rPr>
                <w:noProof/>
                <w:webHidden/>
              </w:rPr>
              <w:fldChar w:fldCharType="separate"/>
            </w:r>
            <w:r w:rsidR="005A23C0">
              <w:rPr>
                <w:noProof/>
                <w:webHidden/>
              </w:rPr>
              <w:t>9</w:t>
            </w:r>
            <w:r w:rsidR="005A23C0">
              <w:rPr>
                <w:noProof/>
                <w:webHidden/>
              </w:rPr>
              <w:fldChar w:fldCharType="end"/>
            </w:r>
          </w:hyperlink>
        </w:p>
        <w:p w14:paraId="6832D490" w14:textId="1E18FE17" w:rsidR="005A23C0" w:rsidRDefault="009F1197">
          <w:pPr>
            <w:pStyle w:val="TOC2"/>
            <w:rPr>
              <w:rFonts w:asciiTheme="minorHAnsi" w:eastAsiaTheme="minorEastAsia" w:hAnsiTheme="minorHAnsi" w:cstheme="minorBidi"/>
              <w:b w:val="0"/>
              <w:noProof/>
              <w:color w:val="auto"/>
              <w:sz w:val="22"/>
              <w:szCs w:val="22"/>
              <w:lang w:eastAsia="en-AU"/>
            </w:rPr>
          </w:pPr>
          <w:hyperlink w:anchor="_Toc148531592" w:history="1">
            <w:r w:rsidR="005A23C0" w:rsidRPr="00B14BC2">
              <w:rPr>
                <w:rStyle w:val="Hyperlink"/>
                <w:noProof/>
              </w:rPr>
              <w:t>Clinical</w:t>
            </w:r>
            <w:r w:rsidR="005A23C0">
              <w:rPr>
                <w:noProof/>
                <w:webHidden/>
              </w:rPr>
              <w:tab/>
            </w:r>
            <w:r w:rsidR="005A23C0">
              <w:rPr>
                <w:noProof/>
                <w:webHidden/>
              </w:rPr>
              <w:fldChar w:fldCharType="begin"/>
            </w:r>
            <w:r w:rsidR="005A23C0">
              <w:rPr>
                <w:noProof/>
                <w:webHidden/>
              </w:rPr>
              <w:instrText xml:space="preserve"> PAGEREF _Toc148531592 \h </w:instrText>
            </w:r>
            <w:r w:rsidR="005A23C0">
              <w:rPr>
                <w:noProof/>
                <w:webHidden/>
              </w:rPr>
            </w:r>
            <w:r w:rsidR="005A23C0">
              <w:rPr>
                <w:noProof/>
                <w:webHidden/>
              </w:rPr>
              <w:fldChar w:fldCharType="separate"/>
            </w:r>
            <w:r w:rsidR="005A23C0">
              <w:rPr>
                <w:noProof/>
                <w:webHidden/>
              </w:rPr>
              <w:t>10</w:t>
            </w:r>
            <w:r w:rsidR="005A23C0">
              <w:rPr>
                <w:noProof/>
                <w:webHidden/>
              </w:rPr>
              <w:fldChar w:fldCharType="end"/>
            </w:r>
          </w:hyperlink>
        </w:p>
        <w:p w14:paraId="01118291" w14:textId="14430292" w:rsidR="005A23C0" w:rsidRDefault="009F1197">
          <w:pPr>
            <w:pStyle w:val="TOC3"/>
            <w:rPr>
              <w:rFonts w:asciiTheme="minorHAnsi" w:eastAsiaTheme="minorEastAsia" w:hAnsiTheme="minorHAnsi" w:cstheme="minorBidi"/>
              <w:b w:val="0"/>
              <w:noProof/>
              <w:color w:val="auto"/>
              <w:szCs w:val="22"/>
              <w:lang w:eastAsia="en-AU"/>
            </w:rPr>
          </w:pPr>
          <w:hyperlink w:anchor="_Toc148531593" w:history="1">
            <w:r w:rsidR="005A23C0" w:rsidRPr="00B14BC2">
              <w:rPr>
                <w:rStyle w:val="Hyperlink"/>
                <w:noProof/>
              </w:rPr>
              <w:t>Pharmacology</w:t>
            </w:r>
            <w:r w:rsidR="005A23C0">
              <w:rPr>
                <w:noProof/>
                <w:webHidden/>
              </w:rPr>
              <w:tab/>
            </w:r>
            <w:r w:rsidR="005A23C0">
              <w:rPr>
                <w:noProof/>
                <w:webHidden/>
              </w:rPr>
              <w:fldChar w:fldCharType="begin"/>
            </w:r>
            <w:r w:rsidR="005A23C0">
              <w:rPr>
                <w:noProof/>
                <w:webHidden/>
              </w:rPr>
              <w:instrText xml:space="preserve"> PAGEREF _Toc148531593 \h </w:instrText>
            </w:r>
            <w:r w:rsidR="005A23C0">
              <w:rPr>
                <w:noProof/>
                <w:webHidden/>
              </w:rPr>
            </w:r>
            <w:r w:rsidR="005A23C0">
              <w:rPr>
                <w:noProof/>
                <w:webHidden/>
              </w:rPr>
              <w:fldChar w:fldCharType="separate"/>
            </w:r>
            <w:r w:rsidR="005A23C0">
              <w:rPr>
                <w:noProof/>
                <w:webHidden/>
              </w:rPr>
              <w:t>10</w:t>
            </w:r>
            <w:r w:rsidR="005A23C0">
              <w:rPr>
                <w:noProof/>
                <w:webHidden/>
              </w:rPr>
              <w:fldChar w:fldCharType="end"/>
            </w:r>
          </w:hyperlink>
        </w:p>
        <w:p w14:paraId="17CA9785" w14:textId="27CB1186" w:rsidR="005A23C0" w:rsidRDefault="009F1197">
          <w:pPr>
            <w:pStyle w:val="TOC3"/>
            <w:rPr>
              <w:rFonts w:asciiTheme="minorHAnsi" w:eastAsiaTheme="minorEastAsia" w:hAnsiTheme="minorHAnsi" w:cstheme="minorBidi"/>
              <w:b w:val="0"/>
              <w:noProof/>
              <w:color w:val="auto"/>
              <w:szCs w:val="22"/>
              <w:lang w:eastAsia="en-AU"/>
            </w:rPr>
          </w:pPr>
          <w:hyperlink w:anchor="_Toc148531594" w:history="1">
            <w:r w:rsidR="005A23C0" w:rsidRPr="00B14BC2">
              <w:rPr>
                <w:rStyle w:val="Hyperlink"/>
                <w:noProof/>
              </w:rPr>
              <w:t>Efficacy</w:t>
            </w:r>
            <w:r w:rsidR="005A23C0">
              <w:rPr>
                <w:noProof/>
                <w:webHidden/>
              </w:rPr>
              <w:tab/>
            </w:r>
            <w:r w:rsidR="005A23C0">
              <w:rPr>
                <w:noProof/>
                <w:webHidden/>
              </w:rPr>
              <w:fldChar w:fldCharType="begin"/>
            </w:r>
            <w:r w:rsidR="005A23C0">
              <w:rPr>
                <w:noProof/>
                <w:webHidden/>
              </w:rPr>
              <w:instrText xml:space="preserve"> PAGEREF _Toc148531594 \h </w:instrText>
            </w:r>
            <w:r w:rsidR="005A23C0">
              <w:rPr>
                <w:noProof/>
                <w:webHidden/>
              </w:rPr>
            </w:r>
            <w:r w:rsidR="005A23C0">
              <w:rPr>
                <w:noProof/>
                <w:webHidden/>
              </w:rPr>
              <w:fldChar w:fldCharType="separate"/>
            </w:r>
            <w:r w:rsidR="005A23C0">
              <w:rPr>
                <w:noProof/>
                <w:webHidden/>
              </w:rPr>
              <w:t>11</w:t>
            </w:r>
            <w:r w:rsidR="005A23C0">
              <w:rPr>
                <w:noProof/>
                <w:webHidden/>
              </w:rPr>
              <w:fldChar w:fldCharType="end"/>
            </w:r>
          </w:hyperlink>
        </w:p>
        <w:p w14:paraId="52238E8D" w14:textId="084C2D24" w:rsidR="005A23C0" w:rsidRDefault="009F1197">
          <w:pPr>
            <w:pStyle w:val="TOC3"/>
            <w:rPr>
              <w:rFonts w:asciiTheme="minorHAnsi" w:eastAsiaTheme="minorEastAsia" w:hAnsiTheme="minorHAnsi" w:cstheme="minorBidi"/>
              <w:b w:val="0"/>
              <w:noProof/>
              <w:color w:val="auto"/>
              <w:szCs w:val="22"/>
              <w:lang w:eastAsia="en-AU"/>
            </w:rPr>
          </w:pPr>
          <w:hyperlink w:anchor="_Toc148531595" w:history="1">
            <w:r w:rsidR="005A23C0" w:rsidRPr="00B14BC2">
              <w:rPr>
                <w:rStyle w:val="Hyperlink"/>
                <w:noProof/>
              </w:rPr>
              <w:t>Safety</w:t>
            </w:r>
            <w:r w:rsidR="005A23C0">
              <w:rPr>
                <w:noProof/>
                <w:webHidden/>
              </w:rPr>
              <w:tab/>
            </w:r>
            <w:r w:rsidR="005A23C0">
              <w:rPr>
                <w:noProof/>
                <w:webHidden/>
              </w:rPr>
              <w:fldChar w:fldCharType="begin"/>
            </w:r>
            <w:r w:rsidR="005A23C0">
              <w:rPr>
                <w:noProof/>
                <w:webHidden/>
              </w:rPr>
              <w:instrText xml:space="preserve"> PAGEREF _Toc148531595 \h </w:instrText>
            </w:r>
            <w:r w:rsidR="005A23C0">
              <w:rPr>
                <w:noProof/>
                <w:webHidden/>
              </w:rPr>
            </w:r>
            <w:r w:rsidR="005A23C0">
              <w:rPr>
                <w:noProof/>
                <w:webHidden/>
              </w:rPr>
              <w:fldChar w:fldCharType="separate"/>
            </w:r>
            <w:r w:rsidR="005A23C0">
              <w:rPr>
                <w:noProof/>
                <w:webHidden/>
              </w:rPr>
              <w:t>15</w:t>
            </w:r>
            <w:r w:rsidR="005A23C0">
              <w:rPr>
                <w:noProof/>
                <w:webHidden/>
              </w:rPr>
              <w:fldChar w:fldCharType="end"/>
            </w:r>
          </w:hyperlink>
        </w:p>
        <w:p w14:paraId="39209645" w14:textId="1BF8219B" w:rsidR="005A23C0" w:rsidRDefault="009F1197">
          <w:pPr>
            <w:pStyle w:val="TOC2"/>
            <w:rPr>
              <w:rFonts w:asciiTheme="minorHAnsi" w:eastAsiaTheme="minorEastAsia" w:hAnsiTheme="minorHAnsi" w:cstheme="minorBidi"/>
              <w:b w:val="0"/>
              <w:noProof/>
              <w:color w:val="auto"/>
              <w:sz w:val="22"/>
              <w:szCs w:val="22"/>
              <w:lang w:eastAsia="en-AU"/>
            </w:rPr>
          </w:pPr>
          <w:hyperlink w:anchor="_Toc148531596" w:history="1">
            <w:r w:rsidR="005A23C0" w:rsidRPr="00B14BC2">
              <w:rPr>
                <w:rStyle w:val="Hyperlink"/>
                <w:noProof/>
                <w:lang w:eastAsia="en-AU"/>
              </w:rPr>
              <w:t>Risk management plan</w:t>
            </w:r>
            <w:r w:rsidR="005A23C0">
              <w:rPr>
                <w:noProof/>
                <w:webHidden/>
              </w:rPr>
              <w:tab/>
            </w:r>
            <w:r w:rsidR="005A23C0">
              <w:rPr>
                <w:noProof/>
                <w:webHidden/>
              </w:rPr>
              <w:fldChar w:fldCharType="begin"/>
            </w:r>
            <w:r w:rsidR="005A23C0">
              <w:rPr>
                <w:noProof/>
                <w:webHidden/>
              </w:rPr>
              <w:instrText xml:space="preserve"> PAGEREF _Toc148531596 \h </w:instrText>
            </w:r>
            <w:r w:rsidR="005A23C0">
              <w:rPr>
                <w:noProof/>
                <w:webHidden/>
              </w:rPr>
            </w:r>
            <w:r w:rsidR="005A23C0">
              <w:rPr>
                <w:noProof/>
                <w:webHidden/>
              </w:rPr>
              <w:fldChar w:fldCharType="separate"/>
            </w:r>
            <w:r w:rsidR="005A23C0">
              <w:rPr>
                <w:noProof/>
                <w:webHidden/>
              </w:rPr>
              <w:t>17</w:t>
            </w:r>
            <w:r w:rsidR="005A23C0">
              <w:rPr>
                <w:noProof/>
                <w:webHidden/>
              </w:rPr>
              <w:fldChar w:fldCharType="end"/>
            </w:r>
          </w:hyperlink>
        </w:p>
        <w:p w14:paraId="3231AB89" w14:textId="7BF4553B" w:rsidR="005A23C0" w:rsidRDefault="009F1197">
          <w:pPr>
            <w:pStyle w:val="TOC2"/>
            <w:rPr>
              <w:rFonts w:asciiTheme="minorHAnsi" w:eastAsiaTheme="minorEastAsia" w:hAnsiTheme="minorHAnsi" w:cstheme="minorBidi"/>
              <w:b w:val="0"/>
              <w:noProof/>
              <w:color w:val="auto"/>
              <w:sz w:val="22"/>
              <w:szCs w:val="22"/>
              <w:lang w:eastAsia="en-AU"/>
            </w:rPr>
          </w:pPr>
          <w:hyperlink w:anchor="_Toc148531597" w:history="1">
            <w:r w:rsidR="005A23C0" w:rsidRPr="00B14BC2">
              <w:rPr>
                <w:rStyle w:val="Hyperlink"/>
                <w:noProof/>
              </w:rPr>
              <w:t>Risk-benefit analysis</w:t>
            </w:r>
            <w:r w:rsidR="005A23C0">
              <w:rPr>
                <w:noProof/>
                <w:webHidden/>
              </w:rPr>
              <w:tab/>
            </w:r>
            <w:r w:rsidR="005A23C0">
              <w:rPr>
                <w:noProof/>
                <w:webHidden/>
              </w:rPr>
              <w:fldChar w:fldCharType="begin"/>
            </w:r>
            <w:r w:rsidR="005A23C0">
              <w:rPr>
                <w:noProof/>
                <w:webHidden/>
              </w:rPr>
              <w:instrText xml:space="preserve"> PAGEREF _Toc148531597 \h </w:instrText>
            </w:r>
            <w:r w:rsidR="005A23C0">
              <w:rPr>
                <w:noProof/>
                <w:webHidden/>
              </w:rPr>
            </w:r>
            <w:r w:rsidR="005A23C0">
              <w:rPr>
                <w:noProof/>
                <w:webHidden/>
              </w:rPr>
              <w:fldChar w:fldCharType="separate"/>
            </w:r>
            <w:r w:rsidR="005A23C0">
              <w:rPr>
                <w:noProof/>
                <w:webHidden/>
              </w:rPr>
              <w:t>18</w:t>
            </w:r>
            <w:r w:rsidR="005A23C0">
              <w:rPr>
                <w:noProof/>
                <w:webHidden/>
              </w:rPr>
              <w:fldChar w:fldCharType="end"/>
            </w:r>
          </w:hyperlink>
        </w:p>
        <w:p w14:paraId="368E71C6" w14:textId="26BA6037" w:rsidR="005A23C0" w:rsidRDefault="009F1197">
          <w:pPr>
            <w:pStyle w:val="TOC3"/>
            <w:rPr>
              <w:rFonts w:asciiTheme="minorHAnsi" w:eastAsiaTheme="minorEastAsia" w:hAnsiTheme="minorHAnsi" w:cstheme="minorBidi"/>
              <w:b w:val="0"/>
              <w:noProof/>
              <w:color w:val="auto"/>
              <w:szCs w:val="22"/>
              <w:lang w:eastAsia="en-AU"/>
            </w:rPr>
          </w:pPr>
          <w:hyperlink w:anchor="_Toc148531598" w:history="1">
            <w:r w:rsidR="005A23C0" w:rsidRPr="00B14BC2">
              <w:rPr>
                <w:rStyle w:val="Hyperlink"/>
                <w:noProof/>
              </w:rPr>
              <w:t>Delegate’s considerations</w:t>
            </w:r>
            <w:r w:rsidR="005A23C0">
              <w:rPr>
                <w:noProof/>
                <w:webHidden/>
              </w:rPr>
              <w:tab/>
            </w:r>
            <w:r w:rsidR="005A23C0">
              <w:rPr>
                <w:noProof/>
                <w:webHidden/>
              </w:rPr>
              <w:fldChar w:fldCharType="begin"/>
            </w:r>
            <w:r w:rsidR="005A23C0">
              <w:rPr>
                <w:noProof/>
                <w:webHidden/>
              </w:rPr>
              <w:instrText xml:space="preserve"> PAGEREF _Toc148531598 \h </w:instrText>
            </w:r>
            <w:r w:rsidR="005A23C0">
              <w:rPr>
                <w:noProof/>
                <w:webHidden/>
              </w:rPr>
            </w:r>
            <w:r w:rsidR="005A23C0">
              <w:rPr>
                <w:noProof/>
                <w:webHidden/>
              </w:rPr>
              <w:fldChar w:fldCharType="separate"/>
            </w:r>
            <w:r w:rsidR="005A23C0">
              <w:rPr>
                <w:noProof/>
                <w:webHidden/>
              </w:rPr>
              <w:t>18</w:t>
            </w:r>
            <w:r w:rsidR="005A23C0">
              <w:rPr>
                <w:noProof/>
                <w:webHidden/>
              </w:rPr>
              <w:fldChar w:fldCharType="end"/>
            </w:r>
          </w:hyperlink>
        </w:p>
        <w:p w14:paraId="11AF8BF4" w14:textId="3C6BD4C5" w:rsidR="005A23C0" w:rsidRDefault="009F1197">
          <w:pPr>
            <w:pStyle w:val="TOC3"/>
            <w:rPr>
              <w:rFonts w:asciiTheme="minorHAnsi" w:eastAsiaTheme="minorEastAsia" w:hAnsiTheme="minorHAnsi" w:cstheme="minorBidi"/>
              <w:b w:val="0"/>
              <w:noProof/>
              <w:color w:val="auto"/>
              <w:szCs w:val="22"/>
              <w:lang w:eastAsia="en-AU"/>
            </w:rPr>
          </w:pPr>
          <w:hyperlink w:anchor="_Toc148531599" w:history="1">
            <w:r w:rsidR="005A23C0" w:rsidRPr="00B14BC2">
              <w:rPr>
                <w:rStyle w:val="Hyperlink"/>
                <w:noProof/>
              </w:rPr>
              <w:t>Proposed action</w:t>
            </w:r>
            <w:r w:rsidR="005A23C0">
              <w:rPr>
                <w:noProof/>
                <w:webHidden/>
              </w:rPr>
              <w:tab/>
            </w:r>
            <w:r w:rsidR="005A23C0">
              <w:rPr>
                <w:noProof/>
                <w:webHidden/>
              </w:rPr>
              <w:fldChar w:fldCharType="begin"/>
            </w:r>
            <w:r w:rsidR="005A23C0">
              <w:rPr>
                <w:noProof/>
                <w:webHidden/>
              </w:rPr>
              <w:instrText xml:space="preserve"> PAGEREF _Toc148531599 \h </w:instrText>
            </w:r>
            <w:r w:rsidR="005A23C0">
              <w:rPr>
                <w:noProof/>
                <w:webHidden/>
              </w:rPr>
            </w:r>
            <w:r w:rsidR="005A23C0">
              <w:rPr>
                <w:noProof/>
                <w:webHidden/>
              </w:rPr>
              <w:fldChar w:fldCharType="separate"/>
            </w:r>
            <w:r w:rsidR="005A23C0">
              <w:rPr>
                <w:noProof/>
                <w:webHidden/>
              </w:rPr>
              <w:t>19</w:t>
            </w:r>
            <w:r w:rsidR="005A23C0">
              <w:rPr>
                <w:noProof/>
                <w:webHidden/>
              </w:rPr>
              <w:fldChar w:fldCharType="end"/>
            </w:r>
          </w:hyperlink>
        </w:p>
        <w:p w14:paraId="1698CD02" w14:textId="50FB7EA3" w:rsidR="005A23C0" w:rsidRDefault="009F1197">
          <w:pPr>
            <w:pStyle w:val="TOC3"/>
            <w:rPr>
              <w:rFonts w:asciiTheme="minorHAnsi" w:eastAsiaTheme="minorEastAsia" w:hAnsiTheme="minorHAnsi" w:cstheme="minorBidi"/>
              <w:b w:val="0"/>
              <w:noProof/>
              <w:color w:val="auto"/>
              <w:szCs w:val="22"/>
              <w:lang w:eastAsia="en-AU"/>
            </w:rPr>
          </w:pPr>
          <w:hyperlink w:anchor="_Toc148531600" w:history="1">
            <w:r w:rsidR="005A23C0" w:rsidRPr="00B14BC2">
              <w:rPr>
                <w:rStyle w:val="Hyperlink"/>
                <w:noProof/>
              </w:rPr>
              <w:t>Advisory Committee considerations</w:t>
            </w:r>
            <w:r w:rsidR="005A23C0">
              <w:rPr>
                <w:noProof/>
                <w:webHidden/>
              </w:rPr>
              <w:tab/>
            </w:r>
            <w:r w:rsidR="005A23C0">
              <w:rPr>
                <w:noProof/>
                <w:webHidden/>
              </w:rPr>
              <w:fldChar w:fldCharType="begin"/>
            </w:r>
            <w:r w:rsidR="005A23C0">
              <w:rPr>
                <w:noProof/>
                <w:webHidden/>
              </w:rPr>
              <w:instrText xml:space="preserve"> PAGEREF _Toc148531600 \h </w:instrText>
            </w:r>
            <w:r w:rsidR="005A23C0">
              <w:rPr>
                <w:noProof/>
                <w:webHidden/>
              </w:rPr>
            </w:r>
            <w:r w:rsidR="005A23C0">
              <w:rPr>
                <w:noProof/>
                <w:webHidden/>
              </w:rPr>
              <w:fldChar w:fldCharType="separate"/>
            </w:r>
            <w:r w:rsidR="005A23C0">
              <w:rPr>
                <w:noProof/>
                <w:webHidden/>
              </w:rPr>
              <w:t>19</w:t>
            </w:r>
            <w:r w:rsidR="005A23C0">
              <w:rPr>
                <w:noProof/>
                <w:webHidden/>
              </w:rPr>
              <w:fldChar w:fldCharType="end"/>
            </w:r>
          </w:hyperlink>
        </w:p>
        <w:p w14:paraId="7EFD967F" w14:textId="27275F5E" w:rsidR="005A23C0" w:rsidRDefault="009F1197">
          <w:pPr>
            <w:pStyle w:val="TOC1"/>
            <w:rPr>
              <w:rFonts w:asciiTheme="minorHAnsi" w:eastAsiaTheme="minorEastAsia" w:hAnsiTheme="minorHAnsi" w:cstheme="minorBidi"/>
              <w:b w:val="0"/>
              <w:noProof/>
              <w:color w:val="auto"/>
              <w:sz w:val="22"/>
              <w:szCs w:val="22"/>
              <w:lang w:eastAsia="en-AU"/>
            </w:rPr>
          </w:pPr>
          <w:hyperlink w:anchor="_Toc148531601" w:history="1">
            <w:r w:rsidR="005A23C0" w:rsidRPr="00B14BC2">
              <w:rPr>
                <w:rStyle w:val="Hyperlink"/>
                <w:noProof/>
              </w:rPr>
              <w:t>Outcome</w:t>
            </w:r>
            <w:r w:rsidR="005A23C0">
              <w:rPr>
                <w:noProof/>
                <w:webHidden/>
              </w:rPr>
              <w:tab/>
            </w:r>
            <w:r w:rsidR="005A23C0">
              <w:rPr>
                <w:noProof/>
                <w:webHidden/>
              </w:rPr>
              <w:fldChar w:fldCharType="begin"/>
            </w:r>
            <w:r w:rsidR="005A23C0">
              <w:rPr>
                <w:noProof/>
                <w:webHidden/>
              </w:rPr>
              <w:instrText xml:space="preserve"> PAGEREF _Toc148531601 \h </w:instrText>
            </w:r>
            <w:r w:rsidR="005A23C0">
              <w:rPr>
                <w:noProof/>
                <w:webHidden/>
              </w:rPr>
            </w:r>
            <w:r w:rsidR="005A23C0">
              <w:rPr>
                <w:noProof/>
                <w:webHidden/>
              </w:rPr>
              <w:fldChar w:fldCharType="separate"/>
            </w:r>
            <w:r w:rsidR="005A23C0">
              <w:rPr>
                <w:noProof/>
                <w:webHidden/>
              </w:rPr>
              <w:t>20</w:t>
            </w:r>
            <w:r w:rsidR="005A23C0">
              <w:rPr>
                <w:noProof/>
                <w:webHidden/>
              </w:rPr>
              <w:fldChar w:fldCharType="end"/>
            </w:r>
          </w:hyperlink>
        </w:p>
        <w:p w14:paraId="61837EFF" w14:textId="7A48AFF8" w:rsidR="005A23C0" w:rsidRDefault="009F1197">
          <w:pPr>
            <w:pStyle w:val="TOC2"/>
            <w:rPr>
              <w:rFonts w:asciiTheme="minorHAnsi" w:eastAsiaTheme="minorEastAsia" w:hAnsiTheme="minorHAnsi" w:cstheme="minorBidi"/>
              <w:b w:val="0"/>
              <w:noProof/>
              <w:color w:val="auto"/>
              <w:sz w:val="22"/>
              <w:szCs w:val="22"/>
              <w:lang w:eastAsia="en-AU"/>
            </w:rPr>
          </w:pPr>
          <w:hyperlink w:anchor="_Toc148531602" w:history="1">
            <w:r w:rsidR="005A23C0" w:rsidRPr="00B14BC2">
              <w:rPr>
                <w:rStyle w:val="Hyperlink"/>
                <w:noProof/>
              </w:rPr>
              <w:t>Specific conditions of registration applying to these goods</w:t>
            </w:r>
            <w:r w:rsidR="005A23C0">
              <w:rPr>
                <w:noProof/>
                <w:webHidden/>
              </w:rPr>
              <w:tab/>
            </w:r>
            <w:r w:rsidR="005A23C0">
              <w:rPr>
                <w:noProof/>
                <w:webHidden/>
              </w:rPr>
              <w:fldChar w:fldCharType="begin"/>
            </w:r>
            <w:r w:rsidR="005A23C0">
              <w:rPr>
                <w:noProof/>
                <w:webHidden/>
              </w:rPr>
              <w:instrText xml:space="preserve"> PAGEREF _Toc148531602 \h </w:instrText>
            </w:r>
            <w:r w:rsidR="005A23C0">
              <w:rPr>
                <w:noProof/>
                <w:webHidden/>
              </w:rPr>
            </w:r>
            <w:r w:rsidR="005A23C0">
              <w:rPr>
                <w:noProof/>
                <w:webHidden/>
              </w:rPr>
              <w:fldChar w:fldCharType="separate"/>
            </w:r>
            <w:r w:rsidR="005A23C0">
              <w:rPr>
                <w:noProof/>
                <w:webHidden/>
              </w:rPr>
              <w:t>20</w:t>
            </w:r>
            <w:r w:rsidR="005A23C0">
              <w:rPr>
                <w:noProof/>
                <w:webHidden/>
              </w:rPr>
              <w:fldChar w:fldCharType="end"/>
            </w:r>
          </w:hyperlink>
        </w:p>
        <w:p w14:paraId="0CABD608" w14:textId="2D8A63A2" w:rsidR="005A23C0" w:rsidRDefault="009F1197">
          <w:pPr>
            <w:pStyle w:val="TOC1"/>
            <w:rPr>
              <w:rFonts w:asciiTheme="minorHAnsi" w:eastAsiaTheme="minorEastAsia" w:hAnsiTheme="minorHAnsi" w:cstheme="minorBidi"/>
              <w:b w:val="0"/>
              <w:noProof/>
              <w:color w:val="auto"/>
              <w:sz w:val="22"/>
              <w:szCs w:val="22"/>
              <w:lang w:eastAsia="en-AU"/>
            </w:rPr>
          </w:pPr>
          <w:hyperlink w:anchor="_Toc148531603" w:history="1">
            <w:r w:rsidR="005A23C0" w:rsidRPr="00B14BC2">
              <w:rPr>
                <w:rStyle w:val="Hyperlink"/>
                <w:noProof/>
              </w:rPr>
              <w:t>Attachment 1. Product Information</w:t>
            </w:r>
            <w:r w:rsidR="005A23C0">
              <w:rPr>
                <w:noProof/>
                <w:webHidden/>
              </w:rPr>
              <w:tab/>
            </w:r>
            <w:r w:rsidR="005A23C0">
              <w:rPr>
                <w:noProof/>
                <w:webHidden/>
              </w:rPr>
              <w:fldChar w:fldCharType="begin"/>
            </w:r>
            <w:r w:rsidR="005A23C0">
              <w:rPr>
                <w:noProof/>
                <w:webHidden/>
              </w:rPr>
              <w:instrText xml:space="preserve"> PAGEREF _Toc148531603 \h </w:instrText>
            </w:r>
            <w:r w:rsidR="005A23C0">
              <w:rPr>
                <w:noProof/>
                <w:webHidden/>
              </w:rPr>
            </w:r>
            <w:r w:rsidR="005A23C0">
              <w:rPr>
                <w:noProof/>
                <w:webHidden/>
              </w:rPr>
              <w:fldChar w:fldCharType="separate"/>
            </w:r>
            <w:r w:rsidR="005A23C0">
              <w:rPr>
                <w:noProof/>
                <w:webHidden/>
              </w:rPr>
              <w:t>21</w:t>
            </w:r>
            <w:r w:rsidR="005A23C0">
              <w:rPr>
                <w:noProof/>
                <w:webHidden/>
              </w:rPr>
              <w:fldChar w:fldCharType="end"/>
            </w:r>
          </w:hyperlink>
        </w:p>
        <w:p w14:paraId="77659F2D" w14:textId="373E98C5"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49C5B639" w:rsidR="00324B33" w:rsidRPr="002D39B9" w:rsidRDefault="00324B33" w:rsidP="002D39B9">
      <w:pPr>
        <w:pStyle w:val="Heading2"/>
      </w:pPr>
      <w:bookmarkStart w:id="0" w:name="_Toc98931917"/>
      <w:bookmarkStart w:id="1" w:name="_Toc103679287"/>
      <w:bookmarkStart w:id="2" w:name="_Toc148531582"/>
      <w:bookmarkStart w:id="3" w:name="_Toc323739589"/>
      <w:bookmarkStart w:id="4" w:name="_Toc356305216"/>
      <w:r>
        <w:lastRenderedPageBreak/>
        <w:t>List of abbreviations</w:t>
      </w:r>
      <w:bookmarkEnd w:id="0"/>
      <w:bookmarkEnd w:id="1"/>
      <w:bookmarkEnd w:id="2"/>
      <w:r w:rsidR="00040953">
        <w:fldChar w:fldCharType="begin"/>
      </w:r>
      <w:r w:rsidR="00040953">
        <w:instrText xml:space="preserve"> DOCVARIABLE vault_nd_ad829bf0-3f78-40ac-b9ca-a646224f9e23 \* MERGEFORMAT </w:instrText>
      </w:r>
      <w:r w:rsidR="00040953">
        <w:fldChar w:fldCharType="separate"/>
      </w:r>
      <w:r w:rsidR="00040953">
        <w:t xml:space="preserve"> </w:t>
      </w:r>
      <w:r w:rsidR="00040953">
        <w:fldChar w:fldCharType="end"/>
      </w:r>
    </w:p>
    <w:tbl>
      <w:tblPr>
        <w:tblStyle w:val="TableTGAblue2023"/>
        <w:tblW w:w="5000" w:type="pct"/>
        <w:tblLook w:val="04A0" w:firstRow="1" w:lastRow="0" w:firstColumn="1" w:lastColumn="0" w:noHBand="0" w:noVBand="1"/>
      </w:tblPr>
      <w:tblGrid>
        <w:gridCol w:w="2174"/>
        <w:gridCol w:w="6886"/>
      </w:tblGrid>
      <w:tr w:rsidR="005A23C0" w:rsidRPr="00D01DDB" w14:paraId="66A7A2C3" w14:textId="77777777" w:rsidTr="00AB422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2632BA26" w14:textId="77777777" w:rsidR="005A23C0" w:rsidRPr="00D01DDB" w:rsidRDefault="005A23C0" w:rsidP="00AB4227">
            <w:pPr>
              <w:rPr>
                <w:szCs w:val="22"/>
              </w:rPr>
            </w:pPr>
            <w:r w:rsidRPr="00D01DDB">
              <w:rPr>
                <w:szCs w:val="22"/>
              </w:rPr>
              <w:t>Abbreviation</w:t>
            </w:r>
          </w:p>
        </w:tc>
        <w:tc>
          <w:tcPr>
            <w:tcW w:w="3800" w:type="pct"/>
          </w:tcPr>
          <w:p w14:paraId="031C103D" w14:textId="77777777" w:rsidR="005A23C0" w:rsidRPr="00D01DDB" w:rsidRDefault="005A23C0" w:rsidP="00AB4227">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5A23C0" w:rsidRPr="00D01DDB" w14:paraId="4ED5F4E6"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1C124C" w14:textId="77777777" w:rsidR="005A23C0" w:rsidRPr="00D01DDB" w:rsidRDefault="005A23C0" w:rsidP="00AB4227">
            <w:pPr>
              <w:rPr>
                <w:szCs w:val="22"/>
              </w:rPr>
            </w:pPr>
            <w:r w:rsidRPr="00D01DDB">
              <w:rPr>
                <w:szCs w:val="22"/>
              </w:rPr>
              <w:t>ACM</w:t>
            </w:r>
          </w:p>
        </w:tc>
        <w:tc>
          <w:tcPr>
            <w:tcW w:w="3800" w:type="pct"/>
          </w:tcPr>
          <w:p w14:paraId="77F6B6F6"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5A23C0" w:rsidRPr="00D01DDB" w14:paraId="7540272F"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210D60" w14:textId="77777777" w:rsidR="005A23C0" w:rsidRPr="00D01DDB" w:rsidRDefault="005A23C0" w:rsidP="00AB4227">
            <w:pPr>
              <w:rPr>
                <w:szCs w:val="22"/>
              </w:rPr>
            </w:pPr>
            <w:r w:rsidRPr="00D01DDB">
              <w:rPr>
                <w:szCs w:val="22"/>
              </w:rPr>
              <w:t>ARTG</w:t>
            </w:r>
          </w:p>
        </w:tc>
        <w:tc>
          <w:tcPr>
            <w:tcW w:w="3800" w:type="pct"/>
          </w:tcPr>
          <w:p w14:paraId="6C0ACBFA"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5A23C0" w:rsidRPr="00D01DDB" w14:paraId="5133EE7E"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2C3B13" w14:textId="77777777" w:rsidR="005A23C0" w:rsidRPr="00D01DDB" w:rsidRDefault="005A23C0" w:rsidP="00AB4227">
            <w:pPr>
              <w:rPr>
                <w:szCs w:val="22"/>
              </w:rPr>
            </w:pPr>
            <w:r w:rsidRPr="00D01DDB">
              <w:rPr>
                <w:szCs w:val="22"/>
              </w:rPr>
              <w:t>ASA</w:t>
            </w:r>
          </w:p>
        </w:tc>
        <w:tc>
          <w:tcPr>
            <w:tcW w:w="3800" w:type="pct"/>
          </w:tcPr>
          <w:p w14:paraId="70E30B43"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5A23C0" w:rsidRPr="00D01DDB" w14:paraId="2B26BDE6"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513A01" w14:textId="77777777" w:rsidR="005A23C0" w:rsidRPr="00D01DDB" w:rsidRDefault="005A23C0" w:rsidP="00AB4227">
            <w:pPr>
              <w:rPr>
                <w:szCs w:val="22"/>
              </w:rPr>
            </w:pPr>
            <w:r>
              <w:rPr>
                <w:szCs w:val="22"/>
              </w:rPr>
              <w:t>AUC</w:t>
            </w:r>
          </w:p>
        </w:tc>
        <w:tc>
          <w:tcPr>
            <w:tcW w:w="3800" w:type="pct"/>
          </w:tcPr>
          <w:p w14:paraId="572B1739"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Pr>
                <w:szCs w:val="22"/>
              </w:rPr>
              <w:t>Area under concentration time curve</w:t>
            </w:r>
          </w:p>
        </w:tc>
      </w:tr>
      <w:tr w:rsidR="005A23C0" w:rsidRPr="00D01DDB" w14:paraId="1B6974E0"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4FF261" w14:textId="77777777" w:rsidR="005A23C0" w:rsidRPr="00D01DDB" w:rsidRDefault="005A23C0" w:rsidP="00AB4227">
            <w:pPr>
              <w:rPr>
                <w:szCs w:val="22"/>
              </w:rPr>
            </w:pPr>
            <w:r>
              <w:rPr>
                <w:szCs w:val="22"/>
              </w:rPr>
              <w:t>C</w:t>
            </w:r>
            <w:r w:rsidRPr="00B16858">
              <w:rPr>
                <w:szCs w:val="22"/>
                <w:vertAlign w:val="subscript"/>
              </w:rPr>
              <w:t>max</w:t>
            </w:r>
          </w:p>
        </w:tc>
        <w:tc>
          <w:tcPr>
            <w:tcW w:w="3800" w:type="pct"/>
          </w:tcPr>
          <w:p w14:paraId="7E123433"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Pr>
                <w:szCs w:val="22"/>
              </w:rPr>
              <w:t>Maximum concentration</w:t>
            </w:r>
          </w:p>
        </w:tc>
      </w:tr>
      <w:tr w:rsidR="005A23C0" w:rsidRPr="00D01DDB" w14:paraId="3ABDCD4D"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B58207" w14:textId="77777777" w:rsidR="005A23C0" w:rsidRPr="00D01DDB" w:rsidRDefault="005A23C0" w:rsidP="00AB4227">
            <w:pPr>
              <w:rPr>
                <w:szCs w:val="22"/>
              </w:rPr>
            </w:pPr>
            <w:r w:rsidRPr="00D01DDB">
              <w:rPr>
                <w:szCs w:val="22"/>
              </w:rPr>
              <w:t>CMI</w:t>
            </w:r>
          </w:p>
        </w:tc>
        <w:tc>
          <w:tcPr>
            <w:tcW w:w="3800" w:type="pct"/>
          </w:tcPr>
          <w:p w14:paraId="494A196A"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5A23C0" w:rsidRPr="00D01DDB" w14:paraId="4DB1EF63"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79DBFD" w14:textId="77777777" w:rsidR="005A23C0" w:rsidRPr="00D01DDB" w:rsidRDefault="005A23C0" w:rsidP="00AB4227">
            <w:pPr>
              <w:rPr>
                <w:szCs w:val="22"/>
              </w:rPr>
            </w:pPr>
            <w:r w:rsidRPr="00D01DDB">
              <w:rPr>
                <w:szCs w:val="22"/>
              </w:rPr>
              <w:t>DLP</w:t>
            </w:r>
          </w:p>
        </w:tc>
        <w:tc>
          <w:tcPr>
            <w:tcW w:w="3800" w:type="pct"/>
          </w:tcPr>
          <w:p w14:paraId="43F94AA8"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5A23C0" w:rsidRPr="00D01DDB" w14:paraId="5B514198"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39996F" w14:textId="77777777" w:rsidR="005A23C0" w:rsidRPr="00D01DDB" w:rsidRDefault="005A23C0" w:rsidP="00AB4227">
            <w:pPr>
              <w:rPr>
                <w:szCs w:val="22"/>
              </w:rPr>
            </w:pPr>
            <w:r>
              <w:rPr>
                <w:szCs w:val="22"/>
              </w:rPr>
              <w:t>DOR</w:t>
            </w:r>
          </w:p>
        </w:tc>
        <w:tc>
          <w:tcPr>
            <w:tcW w:w="3800" w:type="pct"/>
          </w:tcPr>
          <w:p w14:paraId="42C00374"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Pr>
                <w:szCs w:val="22"/>
              </w:rPr>
              <w:t>Duration of response</w:t>
            </w:r>
          </w:p>
        </w:tc>
      </w:tr>
      <w:tr w:rsidR="005A23C0" w:rsidRPr="00D01DDB" w14:paraId="53504376"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E56DC" w14:textId="77777777" w:rsidR="005A23C0" w:rsidRPr="00D01DDB" w:rsidRDefault="005A23C0" w:rsidP="00AB4227">
            <w:pPr>
              <w:rPr>
                <w:szCs w:val="22"/>
              </w:rPr>
            </w:pPr>
            <w:r>
              <w:rPr>
                <w:szCs w:val="22"/>
              </w:rPr>
              <w:t>ECOG</w:t>
            </w:r>
          </w:p>
        </w:tc>
        <w:tc>
          <w:tcPr>
            <w:tcW w:w="3800" w:type="pct"/>
          </w:tcPr>
          <w:p w14:paraId="73670C50"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t>Eastern Cooperative Oncology Group</w:t>
            </w:r>
          </w:p>
        </w:tc>
      </w:tr>
      <w:tr w:rsidR="005A23C0" w:rsidRPr="00D01DDB" w14:paraId="3FC8EEEC"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8DD02" w14:textId="77777777" w:rsidR="005A23C0" w:rsidRPr="00D01DDB" w:rsidRDefault="005A23C0" w:rsidP="00AB4227">
            <w:pPr>
              <w:rPr>
                <w:szCs w:val="22"/>
              </w:rPr>
            </w:pPr>
            <w:r>
              <w:rPr>
                <w:szCs w:val="22"/>
              </w:rPr>
              <w:t>EU</w:t>
            </w:r>
          </w:p>
        </w:tc>
        <w:tc>
          <w:tcPr>
            <w:tcW w:w="3800" w:type="pct"/>
          </w:tcPr>
          <w:p w14:paraId="25837915"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5A23C0" w:rsidRPr="00D01DDB" w14:paraId="3EF092F1"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82BAD7" w14:textId="77777777" w:rsidR="005A23C0" w:rsidRPr="00D01DDB" w:rsidRDefault="005A23C0" w:rsidP="00AB4227">
            <w:pPr>
              <w:rPr>
                <w:szCs w:val="22"/>
              </w:rPr>
            </w:pPr>
            <w:r>
              <w:rPr>
                <w:szCs w:val="22"/>
              </w:rPr>
              <w:t>FDA</w:t>
            </w:r>
          </w:p>
        </w:tc>
        <w:tc>
          <w:tcPr>
            <w:tcW w:w="3800" w:type="pct"/>
          </w:tcPr>
          <w:p w14:paraId="24467B2F"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sidRPr="00BD5DBD">
              <w:rPr>
                <w:szCs w:val="22"/>
              </w:rPr>
              <w:t>Food and Drug Administration</w:t>
            </w:r>
            <w:r>
              <w:rPr>
                <w:szCs w:val="22"/>
              </w:rPr>
              <w:t xml:space="preserve"> (United States)</w:t>
            </w:r>
          </w:p>
        </w:tc>
      </w:tr>
      <w:tr w:rsidR="005A23C0" w:rsidRPr="00D01DDB" w14:paraId="3B6CDC89"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41EB5D" w14:textId="77777777" w:rsidR="005A23C0" w:rsidRPr="00D01DDB" w:rsidRDefault="005A23C0" w:rsidP="00AB4227">
            <w:pPr>
              <w:rPr>
                <w:szCs w:val="22"/>
              </w:rPr>
            </w:pPr>
            <w:r>
              <w:rPr>
                <w:szCs w:val="22"/>
              </w:rPr>
              <w:t>NSCLC</w:t>
            </w:r>
          </w:p>
        </w:tc>
        <w:tc>
          <w:tcPr>
            <w:tcW w:w="3800" w:type="pct"/>
          </w:tcPr>
          <w:p w14:paraId="31EF1106"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00067C">
              <w:rPr>
                <w:szCs w:val="22"/>
              </w:rPr>
              <w:t>on-small cell lung cancer</w:t>
            </w:r>
          </w:p>
        </w:tc>
      </w:tr>
      <w:tr w:rsidR="005A23C0" w:rsidRPr="00D01DDB" w14:paraId="5A03D817"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5546F0" w14:textId="77777777" w:rsidR="005A23C0" w:rsidRPr="00D01DDB" w:rsidRDefault="005A23C0" w:rsidP="00AB4227">
            <w:pPr>
              <w:rPr>
                <w:szCs w:val="22"/>
              </w:rPr>
            </w:pPr>
            <w:r>
              <w:rPr>
                <w:szCs w:val="22"/>
              </w:rPr>
              <w:t>ORR</w:t>
            </w:r>
          </w:p>
        </w:tc>
        <w:tc>
          <w:tcPr>
            <w:tcW w:w="3800" w:type="pct"/>
          </w:tcPr>
          <w:p w14:paraId="148F56DB"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Pr>
                <w:szCs w:val="22"/>
              </w:rPr>
              <w:t>Objective response rate</w:t>
            </w:r>
          </w:p>
        </w:tc>
      </w:tr>
      <w:tr w:rsidR="005A23C0" w:rsidRPr="00D01DDB" w14:paraId="53CE1BC1"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85BD99" w14:textId="77777777" w:rsidR="005A23C0" w:rsidRPr="00D01DDB" w:rsidRDefault="005A23C0" w:rsidP="00AB4227">
            <w:pPr>
              <w:rPr>
                <w:szCs w:val="22"/>
              </w:rPr>
            </w:pPr>
            <w:r>
              <w:rPr>
                <w:szCs w:val="22"/>
              </w:rPr>
              <w:t>OS</w:t>
            </w:r>
          </w:p>
        </w:tc>
        <w:tc>
          <w:tcPr>
            <w:tcW w:w="3800" w:type="pct"/>
          </w:tcPr>
          <w:p w14:paraId="05C78F38"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Pr>
                <w:szCs w:val="22"/>
              </w:rPr>
              <w:t>Overall survival</w:t>
            </w:r>
          </w:p>
        </w:tc>
      </w:tr>
      <w:tr w:rsidR="005A23C0" w:rsidRPr="00D01DDB" w14:paraId="1E1C4F88"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0B8EBC" w14:textId="77777777" w:rsidR="005A23C0" w:rsidRPr="00D01DDB" w:rsidRDefault="005A23C0" w:rsidP="00AB4227">
            <w:pPr>
              <w:rPr>
                <w:szCs w:val="22"/>
              </w:rPr>
            </w:pPr>
            <w:r>
              <w:rPr>
                <w:szCs w:val="22"/>
              </w:rPr>
              <w:t>PFS</w:t>
            </w:r>
          </w:p>
        </w:tc>
        <w:tc>
          <w:tcPr>
            <w:tcW w:w="3800" w:type="pct"/>
          </w:tcPr>
          <w:p w14:paraId="476F910C"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t>Progression-free survival</w:t>
            </w:r>
          </w:p>
        </w:tc>
      </w:tr>
      <w:tr w:rsidR="005A23C0" w:rsidRPr="00D01DDB" w14:paraId="632859A9"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23C389" w14:textId="77777777" w:rsidR="005A23C0" w:rsidRPr="00D01DDB" w:rsidRDefault="005A23C0" w:rsidP="00AB4227">
            <w:pPr>
              <w:rPr>
                <w:szCs w:val="22"/>
              </w:rPr>
            </w:pPr>
            <w:r w:rsidRPr="00D01DDB">
              <w:rPr>
                <w:szCs w:val="22"/>
              </w:rPr>
              <w:t>PI</w:t>
            </w:r>
          </w:p>
        </w:tc>
        <w:tc>
          <w:tcPr>
            <w:tcW w:w="3800" w:type="pct"/>
          </w:tcPr>
          <w:p w14:paraId="5A114246"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5A23C0" w:rsidRPr="00D01DDB" w14:paraId="6EB6D0A8"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048742" w14:textId="77777777" w:rsidR="005A23C0" w:rsidRPr="00D01DDB" w:rsidRDefault="005A23C0" w:rsidP="00AB4227">
            <w:pPr>
              <w:rPr>
                <w:szCs w:val="22"/>
              </w:rPr>
            </w:pPr>
            <w:r>
              <w:rPr>
                <w:szCs w:val="22"/>
              </w:rPr>
              <w:t>PK</w:t>
            </w:r>
          </w:p>
        </w:tc>
        <w:tc>
          <w:tcPr>
            <w:tcW w:w="3800" w:type="pct"/>
          </w:tcPr>
          <w:p w14:paraId="2EC5A0CE"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Pr>
                <w:szCs w:val="22"/>
              </w:rPr>
              <w:t>Pharmacokinetic(s)</w:t>
            </w:r>
          </w:p>
        </w:tc>
      </w:tr>
      <w:tr w:rsidR="005A23C0" w:rsidRPr="00D01DDB" w14:paraId="2ABAF93B"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6FA45B" w14:textId="77777777" w:rsidR="005A23C0" w:rsidRPr="00D01DDB" w:rsidRDefault="005A23C0" w:rsidP="00AB4227">
            <w:pPr>
              <w:rPr>
                <w:szCs w:val="22"/>
              </w:rPr>
            </w:pPr>
            <w:r w:rsidRPr="00D01DDB">
              <w:rPr>
                <w:szCs w:val="22"/>
              </w:rPr>
              <w:t>PSUR</w:t>
            </w:r>
          </w:p>
        </w:tc>
        <w:tc>
          <w:tcPr>
            <w:tcW w:w="3800" w:type="pct"/>
          </w:tcPr>
          <w:p w14:paraId="3401237B"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5A23C0" w:rsidRPr="00D01DDB" w14:paraId="11DC9830"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F81437" w14:textId="77777777" w:rsidR="005A23C0" w:rsidRPr="00D01DDB" w:rsidRDefault="005A23C0" w:rsidP="00AB4227">
            <w:pPr>
              <w:rPr>
                <w:szCs w:val="22"/>
              </w:rPr>
            </w:pPr>
            <w:r>
              <w:rPr>
                <w:szCs w:val="22"/>
              </w:rPr>
              <w:t>RECIST</w:t>
            </w:r>
          </w:p>
        </w:tc>
        <w:tc>
          <w:tcPr>
            <w:tcW w:w="3800" w:type="pct"/>
          </w:tcPr>
          <w:p w14:paraId="052C5C46"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sidRPr="008341A6">
              <w:t xml:space="preserve">The Response Evaluation Criteria </w:t>
            </w:r>
            <w:proofErr w:type="gramStart"/>
            <w:r w:rsidRPr="008341A6">
              <w:t>In</w:t>
            </w:r>
            <w:proofErr w:type="gramEnd"/>
            <w:r w:rsidRPr="008341A6">
              <w:t xml:space="preserve"> Solid Tumours</w:t>
            </w:r>
          </w:p>
        </w:tc>
      </w:tr>
      <w:tr w:rsidR="005A23C0" w:rsidRPr="00D01DDB" w14:paraId="6D81CF5B"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C72A19" w14:textId="77777777" w:rsidR="005A23C0" w:rsidRPr="00D01DDB" w:rsidRDefault="005A23C0" w:rsidP="00AB4227">
            <w:pPr>
              <w:rPr>
                <w:szCs w:val="22"/>
              </w:rPr>
            </w:pPr>
            <w:r>
              <w:rPr>
                <w:szCs w:val="22"/>
              </w:rPr>
              <w:t>RET</w:t>
            </w:r>
          </w:p>
        </w:tc>
        <w:tc>
          <w:tcPr>
            <w:tcW w:w="3800" w:type="pct"/>
          </w:tcPr>
          <w:p w14:paraId="31A6F7EB"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00067C">
              <w:rPr>
                <w:szCs w:val="22"/>
              </w:rPr>
              <w:t>earranged during transfection</w:t>
            </w:r>
          </w:p>
        </w:tc>
      </w:tr>
      <w:tr w:rsidR="005A23C0" w:rsidRPr="00D01DDB" w14:paraId="4447912C"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FCBFDC" w14:textId="77777777" w:rsidR="005A23C0" w:rsidRPr="00D01DDB" w:rsidRDefault="005A23C0" w:rsidP="00AB4227">
            <w:pPr>
              <w:rPr>
                <w:szCs w:val="22"/>
              </w:rPr>
            </w:pPr>
            <w:r w:rsidRPr="00D01DDB">
              <w:rPr>
                <w:szCs w:val="22"/>
              </w:rPr>
              <w:t>RMP</w:t>
            </w:r>
          </w:p>
        </w:tc>
        <w:tc>
          <w:tcPr>
            <w:tcW w:w="3800" w:type="pct"/>
          </w:tcPr>
          <w:p w14:paraId="265920AF"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5A23C0" w:rsidRPr="00D01DDB" w14:paraId="24E16002"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991649" w14:textId="77777777" w:rsidR="005A23C0" w:rsidRDefault="005A23C0" w:rsidP="00AB4227">
            <w:pPr>
              <w:rPr>
                <w:szCs w:val="22"/>
              </w:rPr>
            </w:pPr>
            <w:r>
              <w:rPr>
                <w:szCs w:val="22"/>
              </w:rPr>
              <w:t>TEAE</w:t>
            </w:r>
          </w:p>
        </w:tc>
        <w:tc>
          <w:tcPr>
            <w:tcW w:w="3800" w:type="pct"/>
          </w:tcPr>
          <w:p w14:paraId="73F8A511" w14:textId="77777777" w:rsidR="005A23C0" w:rsidRDefault="005A23C0" w:rsidP="00AB4227">
            <w:pPr>
              <w:cnfStyle w:val="000000000000" w:firstRow="0" w:lastRow="0" w:firstColumn="0" w:lastColumn="0" w:oddVBand="0" w:evenVBand="0" w:oddHBand="0" w:evenHBand="0" w:firstRowFirstColumn="0" w:firstRowLastColumn="0" w:lastRowFirstColumn="0" w:lastRowLastColumn="0"/>
            </w:pPr>
            <w:r w:rsidRPr="00F00EAF">
              <w:t>Treatment emergent adverse event</w:t>
            </w:r>
          </w:p>
        </w:tc>
      </w:tr>
      <w:tr w:rsidR="005A23C0" w:rsidRPr="00D01DDB" w14:paraId="7CE7110C"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2CF6AE" w14:textId="77777777" w:rsidR="005A23C0" w:rsidRPr="00D01DDB" w:rsidRDefault="005A23C0" w:rsidP="00AB4227">
            <w:pPr>
              <w:rPr>
                <w:szCs w:val="22"/>
              </w:rPr>
            </w:pPr>
            <w:r w:rsidRPr="00D01DDB">
              <w:rPr>
                <w:szCs w:val="22"/>
              </w:rPr>
              <w:t>TGA</w:t>
            </w:r>
          </w:p>
        </w:tc>
        <w:tc>
          <w:tcPr>
            <w:tcW w:w="3800" w:type="pct"/>
          </w:tcPr>
          <w:p w14:paraId="590055C3"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5A23C0" w:rsidRPr="00D01DDB" w14:paraId="425A7D39"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85F930" w14:textId="77777777" w:rsidR="005A23C0" w:rsidRDefault="005A23C0" w:rsidP="00AB4227">
            <w:pPr>
              <w:rPr>
                <w:szCs w:val="22"/>
              </w:rPr>
            </w:pPr>
            <w:r>
              <w:rPr>
                <w:szCs w:val="22"/>
              </w:rPr>
              <w:t>TGO91</w:t>
            </w:r>
          </w:p>
        </w:tc>
        <w:tc>
          <w:tcPr>
            <w:tcW w:w="3800" w:type="pct"/>
          </w:tcPr>
          <w:p w14:paraId="79B57BC7" w14:textId="77777777" w:rsidR="005A23C0" w:rsidRDefault="005A23C0" w:rsidP="00AB4227">
            <w:pPr>
              <w:cnfStyle w:val="000000000000" w:firstRow="0" w:lastRow="0" w:firstColumn="0" w:lastColumn="0" w:oddVBand="0" w:evenVBand="0" w:oddHBand="0" w:evenHBand="0" w:firstRowFirstColumn="0" w:firstRowLastColumn="0" w:lastRowFirstColumn="0" w:lastRowLastColumn="0"/>
            </w:pPr>
            <w:r w:rsidRPr="00F00EAF">
              <w:t>Therapeutic Goods Order 91</w:t>
            </w:r>
          </w:p>
        </w:tc>
      </w:tr>
      <w:tr w:rsidR="005A23C0" w:rsidRPr="00D01DDB" w14:paraId="2758F34E"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82DE55" w14:textId="77777777" w:rsidR="005A23C0" w:rsidRPr="00D01DDB" w:rsidRDefault="005A23C0" w:rsidP="00AB4227">
            <w:pPr>
              <w:rPr>
                <w:szCs w:val="22"/>
              </w:rPr>
            </w:pPr>
            <w:proofErr w:type="spellStart"/>
            <w:r>
              <w:rPr>
                <w:szCs w:val="22"/>
              </w:rPr>
              <w:t>T</w:t>
            </w:r>
            <w:r w:rsidRPr="0000067C">
              <w:rPr>
                <w:szCs w:val="22"/>
                <w:vertAlign w:val="subscript"/>
              </w:rPr>
              <w:t>max</w:t>
            </w:r>
            <w:proofErr w:type="spellEnd"/>
          </w:p>
        </w:tc>
        <w:tc>
          <w:tcPr>
            <w:tcW w:w="3800" w:type="pct"/>
          </w:tcPr>
          <w:p w14:paraId="4B982890"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t>Time to maximum concentration</w:t>
            </w:r>
          </w:p>
        </w:tc>
      </w:tr>
      <w:tr w:rsidR="005A23C0" w:rsidRPr="00D01DDB" w14:paraId="54099AA8"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7ACCC2" w14:textId="77777777" w:rsidR="005A23C0" w:rsidRPr="00D01DDB" w:rsidRDefault="005A23C0" w:rsidP="00AB4227">
            <w:pPr>
              <w:rPr>
                <w:szCs w:val="22"/>
              </w:rPr>
            </w:pPr>
            <w:r>
              <w:rPr>
                <w:szCs w:val="22"/>
              </w:rPr>
              <w:t>USA</w:t>
            </w:r>
          </w:p>
        </w:tc>
        <w:tc>
          <w:tcPr>
            <w:tcW w:w="3800" w:type="pct"/>
          </w:tcPr>
          <w:p w14:paraId="740DE4A6"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r w:rsidR="005A23C0" w:rsidRPr="00D01DDB" w14:paraId="593E0FF7" w14:textId="77777777" w:rsidTr="00AB422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7EFDAB" w14:textId="77777777" w:rsidR="005A23C0" w:rsidRPr="00D01DDB" w:rsidRDefault="005A23C0" w:rsidP="00AB4227">
            <w:pPr>
              <w:rPr>
                <w:szCs w:val="22"/>
              </w:rPr>
            </w:pPr>
            <w:proofErr w:type="spellStart"/>
            <w:r>
              <w:rPr>
                <w:szCs w:val="22"/>
              </w:rPr>
              <w:t>Vd</w:t>
            </w:r>
            <w:proofErr w:type="spellEnd"/>
          </w:p>
        </w:tc>
        <w:tc>
          <w:tcPr>
            <w:tcW w:w="3800" w:type="pct"/>
          </w:tcPr>
          <w:p w14:paraId="15D64C69" w14:textId="77777777" w:rsidR="005A23C0" w:rsidRPr="00D01DDB" w:rsidRDefault="005A23C0" w:rsidP="00AB4227">
            <w:pPr>
              <w:cnfStyle w:val="000000000000" w:firstRow="0" w:lastRow="0" w:firstColumn="0" w:lastColumn="0" w:oddVBand="0" w:evenVBand="0" w:oddHBand="0" w:evenHBand="0" w:firstRowFirstColumn="0" w:firstRowLastColumn="0" w:lastRowFirstColumn="0" w:lastRowLastColumn="0"/>
              <w:rPr>
                <w:szCs w:val="22"/>
              </w:rPr>
            </w:pPr>
            <w:r>
              <w:t>V</w:t>
            </w:r>
            <w:r w:rsidRPr="00BA2B65">
              <w:t>olume of distribution</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2B839C03" w:rsidR="00324B33" w:rsidRDefault="00324B33" w:rsidP="00324B33">
      <w:pPr>
        <w:pStyle w:val="Heading2"/>
      </w:pPr>
      <w:bookmarkStart w:id="5" w:name="_Toc103679288"/>
      <w:bookmarkStart w:id="6" w:name="_Toc148531583"/>
      <w:r>
        <w:lastRenderedPageBreak/>
        <w:t>Product submission</w:t>
      </w:r>
      <w:bookmarkEnd w:id="5"/>
      <w:bookmarkEnd w:id="6"/>
      <w:r w:rsidR="00040953">
        <w:fldChar w:fldCharType="begin"/>
      </w:r>
      <w:r w:rsidR="00040953">
        <w:instrText xml:space="preserve"> DOCVARIABLE vault_nd_b8126241-ac69-424e-b157-6eec026211f8 \* MERGEFORMAT </w:instrText>
      </w:r>
      <w:r w:rsidR="00040953">
        <w:fldChar w:fldCharType="separate"/>
      </w:r>
      <w:r w:rsidR="00040953">
        <w:t xml:space="preserve"> </w:t>
      </w:r>
      <w:r w:rsidR="00040953">
        <w:fldChar w:fldCharType="end"/>
      </w:r>
    </w:p>
    <w:p w14:paraId="21D559DF" w14:textId="2C5AB9A0" w:rsidR="00324B33" w:rsidRDefault="00324B33" w:rsidP="00324B33">
      <w:pPr>
        <w:pStyle w:val="Heading3"/>
        <w:rPr>
          <w:lang w:eastAsia="en-AU"/>
        </w:rPr>
      </w:pPr>
      <w:bookmarkStart w:id="7" w:name="_Toc247691502"/>
      <w:bookmarkStart w:id="8" w:name="_Toc314842483"/>
      <w:bookmarkStart w:id="9" w:name="_Toc103679289"/>
      <w:bookmarkStart w:id="10" w:name="_Toc148531584"/>
      <w:r>
        <w:rPr>
          <w:lang w:eastAsia="en-AU"/>
        </w:rPr>
        <w:t>Submission details</w:t>
      </w:r>
      <w:bookmarkEnd w:id="7"/>
      <w:bookmarkEnd w:id="8"/>
      <w:bookmarkEnd w:id="9"/>
      <w:bookmarkEnd w:id="10"/>
      <w:r w:rsidR="00040953">
        <w:rPr>
          <w:lang w:eastAsia="en-AU"/>
        </w:rPr>
        <w:fldChar w:fldCharType="begin"/>
      </w:r>
      <w:r w:rsidR="00040953">
        <w:rPr>
          <w:lang w:eastAsia="en-AU"/>
        </w:rPr>
        <w:instrText xml:space="preserve"> DOCVARIABLE vault_nd_07835daf-3e63-4f55-a078-2a6addd1b529 \* MERGEFORMAT </w:instrText>
      </w:r>
      <w:r w:rsidR="00040953">
        <w:rPr>
          <w:lang w:eastAsia="en-AU"/>
        </w:rPr>
        <w:fldChar w:fldCharType="separate"/>
      </w:r>
      <w:r w:rsidR="00040953">
        <w:rPr>
          <w:lang w:eastAsia="en-AU"/>
        </w:rPr>
        <w:t xml:space="preserve"> </w:t>
      </w:r>
      <w:r w:rsidR="00040953">
        <w:rPr>
          <w:lang w:eastAsia="en-AU"/>
        </w:rPr>
        <w:fldChar w:fldCharType="end"/>
      </w:r>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7FD20F51"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6B1E1D33" w:rsidR="00324B33" w:rsidRPr="00BD5DBD" w:rsidRDefault="00324B33" w:rsidP="007452E8">
            <w:pPr>
              <w:rPr>
                <w:i/>
                <w:szCs w:val="22"/>
              </w:rPr>
            </w:pPr>
            <w:r w:rsidRPr="00BD5DBD">
              <w:rPr>
                <w:i/>
                <w:szCs w:val="22"/>
              </w:rPr>
              <w:t>Product name:</w:t>
            </w:r>
          </w:p>
        </w:tc>
        <w:tc>
          <w:tcPr>
            <w:tcW w:w="3423" w:type="pct"/>
          </w:tcPr>
          <w:p w14:paraId="0E2DEF76" w14:textId="02627BDA" w:rsidR="00324B33" w:rsidRPr="00BD5DBD" w:rsidRDefault="002D39B9" w:rsidP="007452E8">
            <w:pPr>
              <w:rPr>
                <w:szCs w:val="22"/>
              </w:rPr>
            </w:pPr>
            <w:r>
              <w:rPr>
                <w:szCs w:val="22"/>
              </w:rPr>
              <w:t>Retevmo</w:t>
            </w:r>
          </w:p>
        </w:tc>
      </w:tr>
      <w:tr w:rsidR="00324B33" w:rsidRPr="00BD5DBD" w14:paraId="01255B5B" w14:textId="77777777" w:rsidTr="00F865A7">
        <w:tc>
          <w:tcPr>
            <w:tcW w:w="1577" w:type="pct"/>
          </w:tcPr>
          <w:p w14:paraId="52B4F3D7" w14:textId="7513001A" w:rsidR="00324B33" w:rsidRPr="00BD5DBD" w:rsidRDefault="00324B33" w:rsidP="007452E8">
            <w:pPr>
              <w:rPr>
                <w:i/>
                <w:szCs w:val="22"/>
              </w:rPr>
            </w:pPr>
            <w:r w:rsidRPr="00BD5DBD">
              <w:rPr>
                <w:i/>
                <w:szCs w:val="22"/>
              </w:rPr>
              <w:t>Active ingredient:</w:t>
            </w:r>
          </w:p>
        </w:tc>
        <w:tc>
          <w:tcPr>
            <w:tcW w:w="3423" w:type="pct"/>
          </w:tcPr>
          <w:p w14:paraId="02FB6383" w14:textId="1728FD1E" w:rsidR="00324B33" w:rsidRPr="00BD5DBD" w:rsidRDefault="002D39B9" w:rsidP="007452E8">
            <w:pPr>
              <w:rPr>
                <w:szCs w:val="22"/>
              </w:rPr>
            </w:pPr>
            <w:r>
              <w:rPr>
                <w:szCs w:val="22"/>
              </w:rPr>
              <w:t>Selpercatinib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103A1B47" w:rsidR="00324B33" w:rsidRPr="00BD5DBD" w:rsidRDefault="00324B33" w:rsidP="007452E8">
            <w:pPr>
              <w:rPr>
                <w:szCs w:val="22"/>
              </w:rPr>
            </w:pPr>
            <w:bookmarkStart w:id="11" w:name="_Hlk157669151"/>
            <w:r w:rsidRPr="00BD5DBD">
              <w:rPr>
                <w:szCs w:val="22"/>
              </w:rPr>
              <w:t>Approved for provisional registration</w:t>
            </w:r>
            <w:bookmarkEnd w:id="11"/>
          </w:p>
        </w:tc>
      </w:tr>
      <w:tr w:rsidR="00AE1947" w:rsidRPr="00BD5DBD" w14:paraId="32B72632" w14:textId="77777777" w:rsidTr="00F865A7">
        <w:tc>
          <w:tcPr>
            <w:tcW w:w="1577" w:type="pct"/>
          </w:tcPr>
          <w:p w14:paraId="332A5CD5" w14:textId="43A415AC" w:rsidR="00AE1947" w:rsidRPr="00A33B83" w:rsidRDefault="00AE1947" w:rsidP="00A33B83">
            <w:pPr>
              <w:rPr>
                <w:i/>
                <w:szCs w:val="22"/>
              </w:rPr>
            </w:pPr>
            <w:r w:rsidRPr="00BD5DBD">
              <w:rPr>
                <w:i/>
                <w:szCs w:val="22"/>
              </w:rPr>
              <w:t>Date of decision:</w:t>
            </w:r>
          </w:p>
        </w:tc>
        <w:tc>
          <w:tcPr>
            <w:tcW w:w="3423" w:type="pct"/>
          </w:tcPr>
          <w:p w14:paraId="7B381CD6" w14:textId="704FFD55" w:rsidR="00AE1947" w:rsidRPr="00BD5DBD" w:rsidRDefault="00A33B83" w:rsidP="00602658">
            <w:pPr>
              <w:rPr>
                <w:szCs w:val="22"/>
              </w:rPr>
            </w:pPr>
            <w:r>
              <w:rPr>
                <w:szCs w:val="22"/>
              </w:rPr>
              <w:t>27 June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55540B4F" w:rsidR="00324B33" w:rsidRPr="00BD5DBD" w:rsidRDefault="00A33B83" w:rsidP="007452E8">
            <w:pPr>
              <w:rPr>
                <w:szCs w:val="22"/>
              </w:rPr>
            </w:pPr>
            <w:r>
              <w:rPr>
                <w:szCs w:val="22"/>
              </w:rPr>
              <w:t>3 July 2023</w:t>
            </w:r>
          </w:p>
        </w:tc>
      </w:tr>
      <w:tr w:rsidR="00324B33" w:rsidRPr="00BD5DBD" w14:paraId="547E08D7" w14:textId="77777777" w:rsidTr="00F865A7">
        <w:tc>
          <w:tcPr>
            <w:tcW w:w="1577" w:type="pct"/>
          </w:tcPr>
          <w:p w14:paraId="5030EF30" w14:textId="3F5E9DBD" w:rsidR="00324B33" w:rsidRPr="00BD5DBD" w:rsidRDefault="00324B33" w:rsidP="007452E8">
            <w:pPr>
              <w:rPr>
                <w:i/>
                <w:szCs w:val="22"/>
              </w:rPr>
            </w:pPr>
            <w:r w:rsidRPr="00BD5DBD">
              <w:rPr>
                <w:i/>
                <w:szCs w:val="22"/>
              </w:rPr>
              <w:t>ARTG number</w:t>
            </w:r>
            <w:r w:rsidR="00A33B83">
              <w:rPr>
                <w:i/>
                <w:szCs w:val="22"/>
              </w:rPr>
              <w:t>s</w:t>
            </w:r>
            <w:r w:rsidRPr="00BD5DBD">
              <w:rPr>
                <w:i/>
                <w:szCs w:val="22"/>
              </w:rPr>
              <w:t>:</w:t>
            </w:r>
          </w:p>
        </w:tc>
        <w:tc>
          <w:tcPr>
            <w:tcW w:w="3423" w:type="pct"/>
          </w:tcPr>
          <w:p w14:paraId="0054E912" w14:textId="383ACF8B" w:rsidR="00324B33" w:rsidRPr="00BD5DBD" w:rsidRDefault="00A33B83" w:rsidP="007452E8">
            <w:pPr>
              <w:rPr>
                <w:szCs w:val="22"/>
              </w:rPr>
            </w:pPr>
            <w:r>
              <w:rPr>
                <w:szCs w:val="22"/>
              </w:rPr>
              <w:t>391330 and 391331</w:t>
            </w:r>
          </w:p>
        </w:tc>
      </w:tr>
      <w:tr w:rsidR="00324B33" w:rsidRPr="00BD5DBD" w14:paraId="7618393F" w14:textId="77777777" w:rsidTr="00F865A7">
        <w:tc>
          <w:tcPr>
            <w:tcW w:w="1577" w:type="pct"/>
          </w:tcPr>
          <w:p w14:paraId="6C24CEB6" w14:textId="4D428536"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26492012" w:rsidR="00324B33" w:rsidRPr="00BD5DBD" w:rsidRDefault="00324B33" w:rsidP="007452E8">
            <w:pPr>
              <w:rPr>
                <w:szCs w:val="22"/>
              </w:rPr>
            </w:pPr>
            <w:r w:rsidRPr="00BD5DBD">
              <w:rPr>
                <w:szCs w:val="22"/>
              </w:rPr>
              <w:t>Yes</w:t>
            </w:r>
          </w:p>
          <w:p w14:paraId="6FF3C6A2" w14:textId="5E601C44" w:rsidR="00324B33" w:rsidRPr="00BD5DBD" w:rsidRDefault="00324B33" w:rsidP="007452E8">
            <w:pPr>
              <w:rPr>
                <w:szCs w:val="22"/>
              </w:rPr>
            </w:pPr>
            <w:r w:rsidRPr="00BD5DBD">
              <w:rPr>
                <w:szCs w:val="22"/>
              </w:rPr>
              <w:t>As a provisionally registered product, this medicine will remain in the Black Triangle Scheme for the duration of its provisional registration</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43C98A0D" w14:textId="77777777" w:rsidR="00A33B83" w:rsidRPr="00A33B83" w:rsidRDefault="00A33B83" w:rsidP="00A33B83">
            <w:pPr>
              <w:rPr>
                <w:szCs w:val="22"/>
              </w:rPr>
            </w:pPr>
            <w:r w:rsidRPr="00A33B83">
              <w:rPr>
                <w:szCs w:val="22"/>
              </w:rPr>
              <w:t>Eli Lilly Australia Pty Ltd</w:t>
            </w:r>
          </w:p>
          <w:p w14:paraId="68DD94B0" w14:textId="1A667CBC" w:rsidR="00324B33" w:rsidRPr="00BD5DBD" w:rsidRDefault="00A33B83" w:rsidP="00A33B83">
            <w:pPr>
              <w:rPr>
                <w:szCs w:val="22"/>
              </w:rPr>
            </w:pPr>
            <w:r w:rsidRPr="00A33B83">
              <w:rPr>
                <w:szCs w:val="22"/>
              </w:rPr>
              <w:t>Level 9, 60 Margaret Street, Sydney, NSW 2000</w:t>
            </w:r>
          </w:p>
        </w:tc>
      </w:tr>
      <w:tr w:rsidR="00324B33" w:rsidRPr="00BD5DBD" w14:paraId="5322B989" w14:textId="77777777" w:rsidTr="00F865A7">
        <w:tc>
          <w:tcPr>
            <w:tcW w:w="1577" w:type="pct"/>
          </w:tcPr>
          <w:p w14:paraId="24F217E3" w14:textId="1C0AE801" w:rsidR="00324B33" w:rsidRPr="00BD5DBD" w:rsidRDefault="00324B33" w:rsidP="007452E8">
            <w:pPr>
              <w:rPr>
                <w:i/>
                <w:szCs w:val="22"/>
              </w:rPr>
            </w:pPr>
            <w:r w:rsidRPr="00BD5DBD">
              <w:rPr>
                <w:i/>
                <w:szCs w:val="22"/>
              </w:rPr>
              <w:t>Dose form:</w:t>
            </w:r>
          </w:p>
        </w:tc>
        <w:tc>
          <w:tcPr>
            <w:tcW w:w="3423" w:type="pct"/>
          </w:tcPr>
          <w:p w14:paraId="768B254C" w14:textId="5CC83042" w:rsidR="00324B33" w:rsidRPr="00BD5DBD" w:rsidRDefault="00A33B83" w:rsidP="007452E8">
            <w:pPr>
              <w:rPr>
                <w:szCs w:val="22"/>
              </w:rPr>
            </w:pPr>
            <w:r>
              <w:rPr>
                <w:szCs w:val="22"/>
              </w:rPr>
              <w:t xml:space="preserve">Immediate release </w:t>
            </w:r>
            <w:r w:rsidR="006877A3">
              <w:rPr>
                <w:szCs w:val="22"/>
              </w:rPr>
              <w:t xml:space="preserve">hard </w:t>
            </w:r>
            <w:r>
              <w:rPr>
                <w:szCs w:val="22"/>
              </w:rPr>
              <w:t>capsule</w:t>
            </w:r>
          </w:p>
        </w:tc>
      </w:tr>
      <w:tr w:rsidR="00324B33" w:rsidRPr="00BD5DBD" w14:paraId="115243E6" w14:textId="77777777" w:rsidTr="00F865A7">
        <w:tc>
          <w:tcPr>
            <w:tcW w:w="1577" w:type="pct"/>
          </w:tcPr>
          <w:p w14:paraId="7634B062" w14:textId="50CA3445" w:rsidR="00324B33" w:rsidRPr="00BD5DBD" w:rsidRDefault="00324B33" w:rsidP="007452E8">
            <w:pPr>
              <w:rPr>
                <w:i/>
                <w:szCs w:val="22"/>
              </w:rPr>
            </w:pPr>
            <w:r w:rsidRPr="00BD5DBD">
              <w:rPr>
                <w:i/>
                <w:szCs w:val="22"/>
              </w:rPr>
              <w:t>Strength</w:t>
            </w:r>
            <w:r w:rsidR="00A33B83">
              <w:rPr>
                <w:i/>
                <w:szCs w:val="22"/>
              </w:rPr>
              <w:t>s</w:t>
            </w:r>
            <w:r w:rsidRPr="00BD5DBD">
              <w:rPr>
                <w:i/>
                <w:szCs w:val="22"/>
              </w:rPr>
              <w:t>:</w:t>
            </w:r>
          </w:p>
        </w:tc>
        <w:tc>
          <w:tcPr>
            <w:tcW w:w="3423" w:type="pct"/>
          </w:tcPr>
          <w:p w14:paraId="5E5F83DB" w14:textId="2364D7F1" w:rsidR="00324B33" w:rsidRPr="00BD5DBD" w:rsidRDefault="00A33B83" w:rsidP="007452E8">
            <w:pPr>
              <w:rPr>
                <w:szCs w:val="22"/>
              </w:rPr>
            </w:pPr>
            <w:r>
              <w:rPr>
                <w:szCs w:val="22"/>
              </w:rPr>
              <w:t>40 mg and 80 mg</w:t>
            </w:r>
          </w:p>
        </w:tc>
      </w:tr>
      <w:tr w:rsidR="00324B33" w:rsidRPr="00BD5DBD" w14:paraId="34B07BA6" w14:textId="77777777" w:rsidTr="00F865A7">
        <w:tc>
          <w:tcPr>
            <w:tcW w:w="1577" w:type="pct"/>
          </w:tcPr>
          <w:p w14:paraId="1C039224" w14:textId="4DA19A2F" w:rsidR="00324B33" w:rsidRPr="00BD5DBD" w:rsidRDefault="00324B33" w:rsidP="007452E8">
            <w:pPr>
              <w:rPr>
                <w:i/>
                <w:szCs w:val="22"/>
              </w:rPr>
            </w:pPr>
            <w:r w:rsidRPr="00BD5DBD">
              <w:rPr>
                <w:i/>
                <w:szCs w:val="22"/>
              </w:rPr>
              <w:t>Container:</w:t>
            </w:r>
          </w:p>
        </w:tc>
        <w:tc>
          <w:tcPr>
            <w:tcW w:w="3423" w:type="pct"/>
          </w:tcPr>
          <w:p w14:paraId="500A42C6" w14:textId="028F12B8" w:rsidR="00324B33" w:rsidRPr="00BD5DBD" w:rsidRDefault="006877A3" w:rsidP="007452E8">
            <w:pPr>
              <w:rPr>
                <w:szCs w:val="22"/>
              </w:rPr>
            </w:pPr>
            <w:r>
              <w:rPr>
                <w:szCs w:val="22"/>
              </w:rPr>
              <w:t>Blister pack</w:t>
            </w:r>
          </w:p>
        </w:tc>
      </w:tr>
      <w:tr w:rsidR="00324B33" w:rsidRPr="00BD5DBD" w14:paraId="176B6773" w14:textId="77777777" w:rsidTr="00F865A7">
        <w:tc>
          <w:tcPr>
            <w:tcW w:w="1577" w:type="pct"/>
          </w:tcPr>
          <w:p w14:paraId="71846159" w14:textId="216ED22E" w:rsidR="00324B33" w:rsidRPr="00BD5DBD" w:rsidRDefault="00324B33" w:rsidP="007452E8">
            <w:pPr>
              <w:rPr>
                <w:i/>
                <w:szCs w:val="22"/>
              </w:rPr>
            </w:pPr>
            <w:r w:rsidRPr="00BD5DBD">
              <w:rPr>
                <w:i/>
                <w:szCs w:val="22"/>
              </w:rPr>
              <w:t>Pack size</w:t>
            </w:r>
            <w:r w:rsidR="006877A3">
              <w:rPr>
                <w:i/>
                <w:szCs w:val="22"/>
              </w:rPr>
              <w:t>s</w:t>
            </w:r>
            <w:r w:rsidRPr="00BD5DBD">
              <w:rPr>
                <w:i/>
                <w:szCs w:val="22"/>
              </w:rPr>
              <w:t>:</w:t>
            </w:r>
          </w:p>
        </w:tc>
        <w:tc>
          <w:tcPr>
            <w:tcW w:w="3423" w:type="pct"/>
          </w:tcPr>
          <w:p w14:paraId="41DED10A" w14:textId="70C25EBC" w:rsidR="006877A3" w:rsidRDefault="006877A3" w:rsidP="007452E8">
            <w:r>
              <w:t>40 mg - 14, 56, 42, 168 capsules</w:t>
            </w:r>
          </w:p>
          <w:p w14:paraId="7E978F8F" w14:textId="490F732D" w:rsidR="00324B33" w:rsidRPr="00BD5DBD" w:rsidRDefault="006877A3" w:rsidP="007452E8">
            <w:pPr>
              <w:rPr>
                <w:szCs w:val="22"/>
              </w:rPr>
            </w:pPr>
            <w:r>
              <w:t>80 mg – 14, 28, 56, and 112 capsules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5B817F9A" w14:textId="77777777" w:rsidR="006877A3" w:rsidRPr="006877A3" w:rsidRDefault="006877A3" w:rsidP="006877A3">
            <w:pPr>
              <w:rPr>
                <w:i/>
                <w:iCs/>
                <w:szCs w:val="22"/>
              </w:rPr>
            </w:pPr>
            <w:r w:rsidRPr="006877A3">
              <w:rPr>
                <w:i/>
                <w:iCs/>
                <w:szCs w:val="22"/>
              </w:rPr>
              <w:t>Retevmo has provisional approval for the treatment of adult patients with locally advanced or metastatic RET fusion positive non-small cell lung cancer (NSCLC).</w:t>
            </w:r>
          </w:p>
          <w:p w14:paraId="6E143E2E" w14:textId="12092F82" w:rsidR="00324B33" w:rsidRPr="00BD5DBD" w:rsidRDefault="006877A3" w:rsidP="006877A3">
            <w:pPr>
              <w:rPr>
                <w:szCs w:val="22"/>
              </w:rPr>
            </w:pPr>
            <w:r w:rsidRPr="006877A3">
              <w:rPr>
                <w:i/>
                <w:iCs/>
                <w:szCs w:val="22"/>
              </w:rPr>
              <w:t xml:space="preserve">The decision to approve this indication has been made </w:t>
            </w:r>
            <w:proofErr w:type="gramStart"/>
            <w:r w:rsidRPr="006877A3">
              <w:rPr>
                <w:i/>
                <w:iCs/>
                <w:szCs w:val="22"/>
              </w:rPr>
              <w:t>on the basis of</w:t>
            </w:r>
            <w:proofErr w:type="gramEnd"/>
            <w:r w:rsidRPr="006877A3">
              <w:rPr>
                <w:i/>
                <w:iCs/>
                <w:szCs w:val="22"/>
              </w:rPr>
              <w:t xml:space="preserve"> objective response rate (ORR) and duration of response (DOR) from a single arm study. Continued approval of this indication depends on verification and description of benefit in a confirmatory trial.</w:t>
            </w:r>
          </w:p>
        </w:tc>
      </w:tr>
      <w:tr w:rsidR="00324B33" w:rsidRPr="00BD5DBD" w14:paraId="5AFDEED3" w14:textId="77777777" w:rsidTr="00F865A7">
        <w:tc>
          <w:tcPr>
            <w:tcW w:w="1577" w:type="pct"/>
          </w:tcPr>
          <w:p w14:paraId="03884BD1" w14:textId="70F5C011" w:rsidR="00324B33" w:rsidRPr="00BD5DBD" w:rsidRDefault="00324B33" w:rsidP="007452E8">
            <w:pPr>
              <w:rPr>
                <w:i/>
                <w:szCs w:val="22"/>
              </w:rPr>
            </w:pPr>
            <w:r w:rsidRPr="00BD5DBD">
              <w:rPr>
                <w:i/>
                <w:szCs w:val="22"/>
              </w:rPr>
              <w:t>Route of administration:</w:t>
            </w:r>
          </w:p>
        </w:tc>
        <w:tc>
          <w:tcPr>
            <w:tcW w:w="3423" w:type="pct"/>
          </w:tcPr>
          <w:p w14:paraId="1ED1357E" w14:textId="49B4C858" w:rsidR="00324B33" w:rsidRPr="00BD5DBD" w:rsidRDefault="006877A3"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3C99A6C" w14:textId="2993DCFF" w:rsidR="006877A3" w:rsidRPr="006877A3" w:rsidRDefault="006877A3" w:rsidP="006877A3">
            <w:pPr>
              <w:rPr>
                <w:szCs w:val="22"/>
              </w:rPr>
            </w:pPr>
            <w:r w:rsidRPr="006877A3">
              <w:rPr>
                <w:szCs w:val="22"/>
              </w:rPr>
              <w:t>The recommended dose of R</w:t>
            </w:r>
            <w:r>
              <w:rPr>
                <w:szCs w:val="22"/>
              </w:rPr>
              <w:t>etevmo</w:t>
            </w:r>
            <w:r w:rsidRPr="006877A3">
              <w:rPr>
                <w:szCs w:val="22"/>
              </w:rPr>
              <w:t xml:space="preserve"> based on body weight is:</w:t>
            </w:r>
          </w:p>
          <w:p w14:paraId="2835F049" w14:textId="20D98FAD" w:rsidR="006877A3" w:rsidRPr="006877A3" w:rsidRDefault="006877A3" w:rsidP="006877A3">
            <w:pPr>
              <w:pStyle w:val="ListBullet"/>
            </w:pPr>
            <w:r w:rsidRPr="006877A3">
              <w:t>Less than 50 kg: 120 mg twice daily.</w:t>
            </w:r>
          </w:p>
          <w:p w14:paraId="384FEC33" w14:textId="53618DFB" w:rsidR="006877A3" w:rsidRPr="006877A3" w:rsidRDefault="006877A3" w:rsidP="006877A3">
            <w:pPr>
              <w:pStyle w:val="ListBullet"/>
            </w:pPr>
            <w:r w:rsidRPr="006877A3">
              <w:t>50 kg or greater: 160 mg twice daily.</w:t>
            </w:r>
          </w:p>
          <w:p w14:paraId="451DDDC6" w14:textId="2A61807B" w:rsidR="006877A3" w:rsidRPr="006877A3" w:rsidRDefault="006877A3" w:rsidP="006877A3">
            <w:pPr>
              <w:rPr>
                <w:szCs w:val="22"/>
              </w:rPr>
            </w:pPr>
            <w:r w:rsidRPr="006877A3">
              <w:rPr>
                <w:szCs w:val="22"/>
              </w:rPr>
              <w:t>If a patient vomits or misses a dose, the patient should be instructed to take the next dose at its</w:t>
            </w:r>
            <w:r>
              <w:rPr>
                <w:szCs w:val="22"/>
              </w:rPr>
              <w:t xml:space="preserve"> </w:t>
            </w:r>
            <w:r w:rsidRPr="006877A3">
              <w:rPr>
                <w:szCs w:val="22"/>
              </w:rPr>
              <w:t>scheduled time; an additional dose should not be taken.</w:t>
            </w:r>
          </w:p>
          <w:p w14:paraId="1246B144" w14:textId="25D1C913" w:rsidR="00324B33" w:rsidRPr="00BD5DBD" w:rsidRDefault="006877A3" w:rsidP="006877A3">
            <w:pPr>
              <w:rPr>
                <w:szCs w:val="22"/>
              </w:rPr>
            </w:pPr>
            <w:r w:rsidRPr="006877A3">
              <w:rPr>
                <w:szCs w:val="22"/>
              </w:rPr>
              <w:t>Treatment should be continued until disease progression or unacceptable toxicity.</w:t>
            </w:r>
          </w:p>
          <w:p w14:paraId="3D0B2D5C" w14:textId="77777777" w:rsidR="00324B33" w:rsidRPr="00BD5DBD" w:rsidRDefault="00324B33" w:rsidP="007452E8">
            <w:pPr>
              <w:rPr>
                <w:szCs w:val="22"/>
              </w:rPr>
            </w:pPr>
            <w:r w:rsidRPr="00BD5DBD">
              <w:rPr>
                <w:szCs w:val="22"/>
              </w:rPr>
              <w:lastRenderedPageBreak/>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43AC0483" w14:textId="77777777" w:rsidR="006877A3" w:rsidRPr="006877A3" w:rsidRDefault="006877A3" w:rsidP="006877A3">
            <w:pPr>
              <w:rPr>
                <w:szCs w:val="22"/>
              </w:rPr>
            </w:pPr>
            <w:r w:rsidRPr="006877A3">
              <w:rPr>
                <w:szCs w:val="22"/>
              </w:rPr>
              <w:t>D</w:t>
            </w:r>
          </w:p>
          <w:p w14:paraId="18CC12D4" w14:textId="77777777" w:rsidR="006877A3" w:rsidRDefault="006877A3" w:rsidP="006877A3">
            <w:pPr>
              <w:rPr>
                <w:szCs w:val="22"/>
              </w:rPr>
            </w:pPr>
            <w:r w:rsidRPr="006877A3">
              <w:rPr>
                <w:szCs w:val="22"/>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66C46E65" w:rsidR="00324B33" w:rsidRPr="00BD5DBD" w:rsidRDefault="00324B33" w:rsidP="006877A3">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16102F06" w:rsidR="00324B33" w:rsidRDefault="00324B33" w:rsidP="00324B33">
      <w:pPr>
        <w:pStyle w:val="Heading3"/>
      </w:pPr>
      <w:bookmarkStart w:id="12" w:name="_Toc247691503"/>
      <w:bookmarkStart w:id="13" w:name="_Toc314842484"/>
      <w:bookmarkStart w:id="14" w:name="_Toc103679290"/>
      <w:bookmarkStart w:id="15" w:name="_Toc148531585"/>
      <w:r>
        <w:t>Product background</w:t>
      </w:r>
      <w:bookmarkEnd w:id="12"/>
      <w:bookmarkEnd w:id="13"/>
      <w:bookmarkEnd w:id="14"/>
      <w:bookmarkEnd w:id="15"/>
      <w:r w:rsidR="00040953">
        <w:fldChar w:fldCharType="begin"/>
      </w:r>
      <w:r w:rsidR="00040953">
        <w:instrText xml:space="preserve"> DOCVARIABLE vault_nd_9ba27d54-c76d-4fe0-9d44-3aea3f402315 \* MERGEFORMAT </w:instrText>
      </w:r>
      <w:r w:rsidR="00040953">
        <w:fldChar w:fldCharType="separate"/>
      </w:r>
      <w:r w:rsidR="00040953">
        <w:t xml:space="preserve"> </w:t>
      </w:r>
      <w:r w:rsidR="00040953">
        <w:fldChar w:fldCharType="end"/>
      </w:r>
    </w:p>
    <w:p w14:paraId="7D8FCB81" w14:textId="77777777" w:rsidR="00A65537" w:rsidRDefault="00324B33" w:rsidP="00A65537">
      <w:pPr>
        <w:rPr>
          <w:szCs w:val="22"/>
        </w:rPr>
      </w:pPr>
      <w:r w:rsidRPr="00BD5DBD">
        <w:rPr>
          <w:szCs w:val="22"/>
        </w:rPr>
        <w:t>This AusPAR describes the submission by</w:t>
      </w:r>
      <w:r w:rsidR="00D85F14">
        <w:rPr>
          <w:szCs w:val="22"/>
        </w:rPr>
        <w:t xml:space="preserve"> Eli Lilly Australia Pty Ltd</w:t>
      </w:r>
      <w:r w:rsidRPr="00BD5DBD">
        <w:rPr>
          <w:szCs w:val="22"/>
        </w:rPr>
        <w:t xml:space="preserve"> (the sponsor) to register </w:t>
      </w:r>
      <w:r w:rsidR="00D85F14" w:rsidRPr="006877A3">
        <w:t>Retevmo</w:t>
      </w:r>
      <w:r w:rsidR="00D85F14">
        <w:t xml:space="preserve"> (</w:t>
      </w:r>
      <w:proofErr w:type="spellStart"/>
      <w:r w:rsidR="00D85F14" w:rsidRPr="006877A3">
        <w:t>selpercatinib</w:t>
      </w:r>
      <w:proofErr w:type="spellEnd"/>
      <w:r w:rsidRPr="00BD5DBD">
        <w:rPr>
          <w:szCs w:val="22"/>
        </w:rPr>
        <w:t xml:space="preserve">) </w:t>
      </w:r>
      <w:r w:rsidR="00D85F14">
        <w:rPr>
          <w:szCs w:val="22"/>
        </w:rPr>
        <w:t>40 mg, 80 mg</w:t>
      </w:r>
      <w:r w:rsidRPr="00BD5DBD">
        <w:rPr>
          <w:szCs w:val="22"/>
        </w:rPr>
        <w:t xml:space="preserve">, </w:t>
      </w:r>
      <w:r w:rsidR="00D85F14">
        <w:rPr>
          <w:szCs w:val="22"/>
        </w:rPr>
        <w:t>immediate released hard capsule</w:t>
      </w:r>
      <w:r w:rsidR="00D62877" w:rsidRPr="00BD5DBD">
        <w:rPr>
          <w:szCs w:val="22"/>
        </w:rPr>
        <w:t xml:space="preserve">, </w:t>
      </w:r>
      <w:r w:rsidR="00D85F14">
        <w:rPr>
          <w:szCs w:val="22"/>
        </w:rPr>
        <w:t>blister pack</w:t>
      </w:r>
      <w:r w:rsidRPr="00BD5DBD">
        <w:rPr>
          <w:szCs w:val="22"/>
        </w:rPr>
        <w:t xml:space="preserve"> for the following proposed indication:</w:t>
      </w:r>
      <w:r w:rsidR="00D63760" w:rsidRPr="00BD5DBD">
        <w:rPr>
          <w:rStyle w:val="FootnoteReference"/>
          <w:szCs w:val="22"/>
        </w:rPr>
        <w:footnoteReference w:id="1"/>
      </w:r>
    </w:p>
    <w:p w14:paraId="736FEECA" w14:textId="20727B92" w:rsidR="00A65537" w:rsidRPr="00A65537" w:rsidRDefault="00A65537" w:rsidP="00A65537">
      <w:pPr>
        <w:ind w:left="720"/>
        <w:rPr>
          <w:i/>
          <w:iCs/>
          <w:szCs w:val="22"/>
        </w:rPr>
      </w:pPr>
      <w:r w:rsidRPr="00A65537">
        <w:rPr>
          <w:i/>
          <w:iCs/>
          <w:sz w:val="23"/>
          <w:szCs w:val="23"/>
        </w:rPr>
        <w:t>The treatment of adult patients with advanced or metastatic RET fusion positive non-small cell lung cancer (NSCLC).</w:t>
      </w:r>
    </w:p>
    <w:p w14:paraId="04B88861" w14:textId="75213B4D" w:rsidR="00A65537" w:rsidRDefault="00A65537" w:rsidP="00A65537">
      <w:proofErr w:type="gramStart"/>
      <w:r>
        <w:t>Non small</w:t>
      </w:r>
      <w:proofErr w:type="gramEnd"/>
      <w:r>
        <w:t xml:space="preserve">-cell lung cancer (NSCLC) is the most common form of lung cancer and often presents with locally advanced and/or metastatic disease that is not curable. The choice of systemic palliative therapy is complex because tumours can express a range of known genetic mutations that promote cancer growth. If a cancer expresses one or more of these ‘drivers’, such as mutations of </w:t>
      </w:r>
      <w:r w:rsidRPr="00A65537">
        <w:rPr>
          <w:i/>
          <w:iCs/>
        </w:rPr>
        <w:t>EGFR, ALK, ROS1, BRAF, MET</w:t>
      </w:r>
      <w:r>
        <w:t xml:space="preserve">, or </w:t>
      </w:r>
      <w:r w:rsidRPr="00A65537">
        <w:rPr>
          <w:i/>
          <w:iCs/>
        </w:rPr>
        <w:t>RET</w:t>
      </w:r>
      <w:r>
        <w:t xml:space="preserve"> genes, then targeted therapy can be selected. Tumours without driver mutations are usually initially treated with platinum-based chemotherapy plus a checkpoint inhibitor (for example, pembrolizumab).</w:t>
      </w:r>
    </w:p>
    <w:p w14:paraId="5F734CEE" w14:textId="4F3E33DA" w:rsidR="00A65537" w:rsidRPr="000A4A42" w:rsidRDefault="00A65537" w:rsidP="00A65537">
      <w:r>
        <w:t xml:space="preserve">Selpercatinib is a targeted therapy that acts against mutated </w:t>
      </w:r>
      <w:r w:rsidRPr="00A65537">
        <w:rPr>
          <w:i/>
          <w:iCs/>
        </w:rPr>
        <w:t>RET</w:t>
      </w:r>
      <w:r>
        <w:t xml:space="preserve">, a tyrosine kinase that drives cell division. The </w:t>
      </w:r>
      <w:r w:rsidRPr="00A65537">
        <w:rPr>
          <w:i/>
          <w:iCs/>
        </w:rPr>
        <w:t>RET</w:t>
      </w:r>
      <w:r>
        <w:t xml:space="preserve"> gene can be altered in </w:t>
      </w:r>
      <w:proofErr w:type="gramStart"/>
      <w:r>
        <w:t>a number of</w:t>
      </w:r>
      <w:proofErr w:type="gramEnd"/>
      <w:r>
        <w:t xml:space="preserve"> ways in lung cancers, including point mutations or chromosomal rearrangements (fusions). It is an uncommon driver mutation in NSCLC, being present in 1 to 2% of cancers, and is associated with adenocarcinomas of female non-smokers younger than the average NSLC patient.</w:t>
      </w:r>
    </w:p>
    <w:p w14:paraId="5F9FC507" w14:textId="116C2BD4" w:rsidR="00324B33" w:rsidRPr="00BD5DBD" w:rsidRDefault="00324B33" w:rsidP="00324B33">
      <w:pPr>
        <w:rPr>
          <w:szCs w:val="22"/>
        </w:rPr>
      </w:pPr>
      <w:bookmarkStart w:id="16" w:name="_Toc314842485"/>
      <w:bookmarkStart w:id="17" w:name="_Toc247691504"/>
      <w:r w:rsidRPr="00BD5DBD">
        <w:rPr>
          <w:szCs w:val="22"/>
        </w:rPr>
        <w:t xml:space="preserve">This evaluation was facilitated through </w:t>
      </w:r>
      <w:hyperlink r:id="rId19" w:history="1">
        <w:r w:rsidRPr="00BD5DBD">
          <w:rPr>
            <w:rStyle w:val="Hyperlink"/>
            <w:szCs w:val="22"/>
          </w:rPr>
          <w:t>Project Orbis</w:t>
        </w:r>
      </w:hyperlink>
      <w:r w:rsidRPr="00BD5DBD">
        <w:rPr>
          <w:szCs w:val="22"/>
        </w:rPr>
        <w:t xml:space="preserve">, an initiative of the United States Food and Drug Administration </w:t>
      </w:r>
      <w:r w:rsidR="008C754C" w:rsidRPr="00BD5DBD">
        <w:rPr>
          <w:szCs w:val="22"/>
        </w:rPr>
        <w:t xml:space="preserve">(FDA) </w:t>
      </w:r>
      <w:r w:rsidRPr="00BD5DBD">
        <w:rPr>
          <w:szCs w:val="22"/>
        </w:rPr>
        <w:t xml:space="preserve">Oncology </w:t>
      </w:r>
      <w:proofErr w:type="spellStart"/>
      <w:r w:rsidRPr="00BD5DBD">
        <w:rPr>
          <w:szCs w:val="22"/>
        </w:rPr>
        <w:t>Center</w:t>
      </w:r>
      <w:proofErr w:type="spellEnd"/>
      <w:r w:rsidRPr="00BD5DBD">
        <w:rPr>
          <w:szCs w:val="22"/>
        </w:rPr>
        <w:t xml:space="preserve"> of Excellence. Under this project, </w:t>
      </w:r>
      <w:r w:rsidR="00A65537">
        <w:rPr>
          <w:szCs w:val="22"/>
        </w:rPr>
        <w:t xml:space="preserve">the </w:t>
      </w:r>
      <w:r w:rsidR="00A65537" w:rsidRPr="001E1EB8">
        <w:rPr>
          <w:rFonts w:eastAsia="Cambria" w:cs="Cambria"/>
        </w:rPr>
        <w:t>FDA, Health Canada</w:t>
      </w:r>
      <w:r w:rsidR="00A65537">
        <w:rPr>
          <w:rFonts w:eastAsia="Cambria" w:cs="Cambria"/>
        </w:rPr>
        <w:t xml:space="preserve">, </w:t>
      </w:r>
      <w:proofErr w:type="spellStart"/>
      <w:r w:rsidR="00A65537">
        <w:rPr>
          <w:rFonts w:eastAsia="Cambria" w:cs="Cambria"/>
        </w:rPr>
        <w:t>Swissmedic</w:t>
      </w:r>
      <w:proofErr w:type="spellEnd"/>
      <w:r w:rsidR="00A65537" w:rsidRPr="001E1EB8">
        <w:rPr>
          <w:rFonts w:eastAsia="Cambria" w:cs="Cambria"/>
        </w:rPr>
        <w:t xml:space="preserve"> and the TGA</w:t>
      </w:r>
      <w:r w:rsidR="00A65537">
        <w:rPr>
          <w:rFonts w:eastAsia="Cambria" w:cs="Cambria"/>
        </w:rPr>
        <w:t xml:space="preserve"> </w:t>
      </w:r>
      <w:r w:rsidRPr="00BD5DBD">
        <w:rPr>
          <w:szCs w:val="22"/>
        </w:rPr>
        <w:t>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p>
    <w:p w14:paraId="0D615854" w14:textId="26B13BD4" w:rsidR="00324B33" w:rsidRPr="003F31A2" w:rsidRDefault="00324B33" w:rsidP="00324B33">
      <w:pPr>
        <w:pStyle w:val="Heading3"/>
      </w:pPr>
      <w:bookmarkStart w:id="18" w:name="_Toc103679291"/>
      <w:bookmarkStart w:id="19" w:name="_Toc148531586"/>
      <w:r>
        <w:lastRenderedPageBreak/>
        <w:t>Regulatory status</w:t>
      </w:r>
      <w:bookmarkEnd w:id="16"/>
      <w:bookmarkEnd w:id="17"/>
      <w:bookmarkEnd w:id="18"/>
      <w:bookmarkEnd w:id="19"/>
      <w:r w:rsidR="00040953">
        <w:fldChar w:fldCharType="begin"/>
      </w:r>
      <w:r w:rsidR="00040953">
        <w:instrText xml:space="preserve"> DOCVARIABLE vault_nd_98b20f39-f4a7-4784-b8b8-711a35f6140a \* MERGEFORMAT </w:instrText>
      </w:r>
      <w:r w:rsidR="00040953">
        <w:fldChar w:fldCharType="separate"/>
      </w:r>
      <w:r w:rsidR="00040953">
        <w:t xml:space="preserve"> </w:t>
      </w:r>
      <w:r w:rsidR="00040953">
        <w:fldChar w:fldCharType="end"/>
      </w:r>
    </w:p>
    <w:p w14:paraId="6A8633FA" w14:textId="207F692C" w:rsidR="00324B33" w:rsidRPr="00BD5DBD"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medicine for Australian regulatory purposes.</w:t>
      </w:r>
    </w:p>
    <w:p w14:paraId="715B7D2A" w14:textId="5EC0AD63" w:rsidR="00324B33" w:rsidRPr="00BD5DBD" w:rsidRDefault="00324B33" w:rsidP="00324B33">
      <w:pPr>
        <w:rPr>
          <w:szCs w:val="22"/>
        </w:rPr>
      </w:pPr>
      <w:r w:rsidRPr="00BD5DBD">
        <w:rPr>
          <w:szCs w:val="22"/>
        </w:rPr>
        <w:t xml:space="preserve">At the time the TGA considered this submission, a similar submission had been approved in </w:t>
      </w:r>
      <w:r w:rsidR="000467D2">
        <w:rPr>
          <w:szCs w:val="22"/>
        </w:rPr>
        <w:t xml:space="preserve">United States of America (USA) </w:t>
      </w:r>
      <w:r w:rsidRPr="00BD5DBD">
        <w:rPr>
          <w:szCs w:val="22"/>
        </w:rPr>
        <w:t xml:space="preserve">on </w:t>
      </w:r>
      <w:r w:rsidR="000467D2">
        <w:rPr>
          <w:szCs w:val="22"/>
        </w:rPr>
        <w:t>21 September 2022, European Union (EU) on 21 June 2022. United Kingdom on 26 October 2022, and Canada on 15 June 2021.</w:t>
      </w:r>
    </w:p>
    <w:p w14:paraId="1B9AB90D" w14:textId="3E8AA98C" w:rsidR="00324B33" w:rsidRPr="00BD5DBD" w:rsidRDefault="00324B33" w:rsidP="00324B33">
      <w:pPr>
        <w:rPr>
          <w:szCs w:val="22"/>
        </w:rPr>
      </w:pPr>
      <w:r w:rsidRPr="00BD5DBD">
        <w:rPr>
          <w:szCs w:val="22"/>
        </w:rPr>
        <w:t>The following table summarises these submissions and provides the indications where approved.</w:t>
      </w:r>
    </w:p>
    <w:p w14:paraId="19B9E0AC" w14:textId="2B0862F5" w:rsidR="00324B33" w:rsidRDefault="00324B33" w:rsidP="00324B33">
      <w:pPr>
        <w:pStyle w:val="TableTitle"/>
      </w:pPr>
      <w:bookmarkStart w:id="20" w:name="_Ref99705479"/>
      <w:r>
        <w:t xml:space="preserve">Table </w:t>
      </w:r>
      <w:r w:rsidR="009F1197">
        <w:fldChar w:fldCharType="begin"/>
      </w:r>
      <w:r w:rsidR="009F1197">
        <w:instrText xml:space="preserve"> SEQ Table \* ARABIC </w:instrText>
      </w:r>
      <w:r w:rsidR="009F1197">
        <w:fldChar w:fldCharType="separate"/>
      </w:r>
      <w:r w:rsidR="005A23C0">
        <w:rPr>
          <w:noProof/>
        </w:rPr>
        <w:t>1</w:t>
      </w:r>
      <w:r w:rsidR="009F1197">
        <w:rPr>
          <w:noProof/>
        </w:rPr>
        <w:fldChar w:fldCharType="end"/>
      </w:r>
      <w:bookmarkEnd w:id="20"/>
      <w:r>
        <w:t>: International regulatory status</w:t>
      </w:r>
      <w:r w:rsidR="009F1197">
        <w:fldChar w:fldCharType="begin"/>
      </w:r>
      <w:r w:rsidR="009F1197">
        <w:instrText xml:space="preserve"> DOCVARIABLE vault_nd_fbda20c8-f486-4722-a02c-d2a2ced0850f \* MERGEFORMAT </w:instrText>
      </w:r>
      <w:r w:rsidR="009F1197">
        <w:fldChar w:fldCharType="separate"/>
      </w:r>
      <w:r w:rsidR="00040953">
        <w:t xml:space="preserve"> </w:t>
      </w:r>
      <w:r w:rsidR="009F1197">
        <w:fldChar w:fldCharType="end"/>
      </w:r>
    </w:p>
    <w:tbl>
      <w:tblPr>
        <w:tblStyle w:val="TableTGAblue2023"/>
        <w:tblW w:w="5000" w:type="pct"/>
        <w:tblLook w:val="04A0" w:firstRow="1" w:lastRow="0" w:firstColumn="1" w:lastColumn="0" w:noHBand="0" w:noVBand="1"/>
      </w:tblPr>
      <w:tblGrid>
        <w:gridCol w:w="2306"/>
        <w:gridCol w:w="2670"/>
        <w:gridCol w:w="4084"/>
      </w:tblGrid>
      <w:tr w:rsidR="008B44C1" w:rsidRPr="00D01DDB" w14:paraId="405E5D78" w14:textId="16839333" w:rsidTr="008B4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pct"/>
          </w:tcPr>
          <w:p w14:paraId="185B099B" w14:textId="7A4C0E6C" w:rsidR="008B44C1" w:rsidRPr="00D01DDB" w:rsidRDefault="008B44C1" w:rsidP="00324B33">
            <w:pPr>
              <w:rPr>
                <w:szCs w:val="22"/>
              </w:rPr>
            </w:pPr>
            <w:r w:rsidRPr="00D01DDB">
              <w:rPr>
                <w:szCs w:val="22"/>
              </w:rPr>
              <w:t>Region</w:t>
            </w:r>
          </w:p>
        </w:tc>
        <w:tc>
          <w:tcPr>
            <w:tcW w:w="1473" w:type="pct"/>
          </w:tcPr>
          <w:p w14:paraId="58F81584" w14:textId="66689ABF" w:rsidR="008B44C1" w:rsidRPr="00D01DDB" w:rsidRDefault="008B44C1"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254" w:type="pct"/>
          </w:tcPr>
          <w:p w14:paraId="50B2D435" w14:textId="560588D2" w:rsidR="008B44C1" w:rsidRPr="00D01DDB" w:rsidRDefault="008B44C1"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8B44C1" w:rsidRPr="00D01DDB" w14:paraId="38D24E86" w14:textId="77777777" w:rsidTr="008B44C1">
        <w:tc>
          <w:tcPr>
            <w:cnfStyle w:val="001000000000" w:firstRow="0" w:lastRow="0" w:firstColumn="1" w:lastColumn="0" w:oddVBand="0" w:evenVBand="0" w:oddHBand="0" w:evenHBand="0" w:firstRowFirstColumn="0" w:firstRowLastColumn="0" w:lastRowFirstColumn="0" w:lastRowLastColumn="0"/>
            <w:tcW w:w="1272" w:type="pct"/>
          </w:tcPr>
          <w:p w14:paraId="4C540DE5" w14:textId="540D106A" w:rsidR="008B44C1" w:rsidRPr="00D01DDB" w:rsidRDefault="008B44C1" w:rsidP="00324B33">
            <w:pPr>
              <w:rPr>
                <w:szCs w:val="22"/>
              </w:rPr>
            </w:pPr>
            <w:r>
              <w:rPr>
                <w:szCs w:val="22"/>
              </w:rPr>
              <w:t>United States of America</w:t>
            </w:r>
          </w:p>
        </w:tc>
        <w:tc>
          <w:tcPr>
            <w:tcW w:w="1473" w:type="pct"/>
          </w:tcPr>
          <w:p w14:paraId="29358393" w14:textId="14237251" w:rsidR="008B44C1" w:rsidRPr="00D01DDB" w:rsidRDefault="008B44C1"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Pr>
                <w:szCs w:val="22"/>
              </w:rPr>
              <w:t>21 September 2022</w:t>
            </w:r>
          </w:p>
        </w:tc>
        <w:tc>
          <w:tcPr>
            <w:tcW w:w="2254" w:type="pct"/>
          </w:tcPr>
          <w:p w14:paraId="3097C68A" w14:textId="0C558DB6" w:rsidR="008B44C1" w:rsidRPr="008B44C1" w:rsidRDefault="008B44C1" w:rsidP="008B44C1">
            <w:pPr>
              <w:cnfStyle w:val="000000000000" w:firstRow="0" w:lastRow="0" w:firstColumn="0" w:lastColumn="0" w:oddVBand="0" w:evenVBand="0" w:oddHBand="0" w:evenHBand="0" w:firstRowFirstColumn="0" w:firstRowLastColumn="0" w:lastRowFirstColumn="0" w:lastRowLastColumn="0"/>
              <w:rPr>
                <w:i/>
                <w:iCs/>
                <w:szCs w:val="22"/>
              </w:rPr>
            </w:pPr>
            <w:r w:rsidRPr="008B44C1">
              <w:rPr>
                <w:i/>
                <w:iCs/>
                <w:szCs w:val="22"/>
              </w:rPr>
              <w:t>RET fusion-positive non-small cell lung cancer</w:t>
            </w:r>
          </w:p>
          <w:p w14:paraId="05055674" w14:textId="2075C078" w:rsidR="008B44C1" w:rsidRPr="008B44C1" w:rsidRDefault="008B44C1" w:rsidP="008B44C1">
            <w:pPr>
              <w:cnfStyle w:val="000000000000" w:firstRow="0" w:lastRow="0" w:firstColumn="0" w:lastColumn="0" w:oddVBand="0" w:evenVBand="0" w:oddHBand="0" w:evenHBand="0" w:firstRowFirstColumn="0" w:firstRowLastColumn="0" w:lastRowFirstColumn="0" w:lastRowLastColumn="0"/>
              <w:rPr>
                <w:i/>
                <w:iCs/>
                <w:szCs w:val="22"/>
              </w:rPr>
            </w:pPr>
            <w:r w:rsidRPr="008B44C1">
              <w:rPr>
                <w:i/>
                <w:iCs/>
                <w:szCs w:val="22"/>
              </w:rPr>
              <w:t>Retevmo is indicated for the treatment of adult patients with locally advanced or metastatic non-small cell lung cancer (NSCLC) with a rearranged during transfection (RET) gene fusion, as detected by an FDA-approved test.</w:t>
            </w:r>
          </w:p>
        </w:tc>
      </w:tr>
      <w:tr w:rsidR="008B44C1" w:rsidRPr="00D01DDB" w14:paraId="18B6E2AA" w14:textId="7783D66F" w:rsidTr="008B44C1">
        <w:tc>
          <w:tcPr>
            <w:cnfStyle w:val="001000000000" w:firstRow="0" w:lastRow="0" w:firstColumn="1" w:lastColumn="0" w:oddVBand="0" w:evenVBand="0" w:oddHBand="0" w:evenHBand="0" w:firstRowFirstColumn="0" w:firstRowLastColumn="0" w:lastRowFirstColumn="0" w:lastRowLastColumn="0"/>
            <w:tcW w:w="1272" w:type="pct"/>
          </w:tcPr>
          <w:p w14:paraId="7F348960" w14:textId="44E76BBC" w:rsidR="008B44C1" w:rsidRPr="00D01DDB" w:rsidRDefault="008B44C1" w:rsidP="00324B33">
            <w:pPr>
              <w:rPr>
                <w:szCs w:val="22"/>
              </w:rPr>
            </w:pPr>
            <w:r>
              <w:rPr>
                <w:szCs w:val="22"/>
              </w:rPr>
              <w:t>European Union</w:t>
            </w:r>
          </w:p>
        </w:tc>
        <w:tc>
          <w:tcPr>
            <w:tcW w:w="1473" w:type="pct"/>
          </w:tcPr>
          <w:p w14:paraId="63A3A9D3" w14:textId="22E691C7" w:rsidR="008B44C1" w:rsidRPr="00D01DDB" w:rsidRDefault="008B44C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21 June 2022</w:t>
            </w:r>
          </w:p>
        </w:tc>
        <w:tc>
          <w:tcPr>
            <w:tcW w:w="2254" w:type="pct"/>
          </w:tcPr>
          <w:p w14:paraId="17C650B8" w14:textId="5C88B6C1" w:rsidR="008B44C1" w:rsidRPr="008B44C1" w:rsidRDefault="008B44C1" w:rsidP="008B44C1">
            <w:pPr>
              <w:cnfStyle w:val="000000000000" w:firstRow="0" w:lastRow="0" w:firstColumn="0" w:lastColumn="0" w:oddVBand="0" w:evenVBand="0" w:oddHBand="0" w:evenHBand="0" w:firstRowFirstColumn="0" w:firstRowLastColumn="0" w:lastRowFirstColumn="0" w:lastRowLastColumn="0"/>
              <w:rPr>
                <w:i/>
                <w:iCs/>
                <w:szCs w:val="22"/>
              </w:rPr>
            </w:pPr>
            <w:proofErr w:type="spellStart"/>
            <w:r w:rsidRPr="008B44C1">
              <w:rPr>
                <w:i/>
                <w:iCs/>
                <w:szCs w:val="22"/>
              </w:rPr>
              <w:t>Retsevmo</w:t>
            </w:r>
            <w:proofErr w:type="spellEnd"/>
            <w:r w:rsidRPr="008B44C1">
              <w:rPr>
                <w:i/>
                <w:iCs/>
                <w:szCs w:val="22"/>
              </w:rPr>
              <w:t xml:space="preserve"> as monotherapy is indicated for the treatment of adults with advanced RET fusion-positive non-small cell lung cancer (NSCLC) not previously treated with a RET inhibitor</w:t>
            </w:r>
          </w:p>
        </w:tc>
      </w:tr>
      <w:tr w:rsidR="008B44C1" w:rsidRPr="00D01DDB" w14:paraId="54B173F4" w14:textId="77777777" w:rsidTr="008B44C1">
        <w:tc>
          <w:tcPr>
            <w:cnfStyle w:val="001000000000" w:firstRow="0" w:lastRow="0" w:firstColumn="1" w:lastColumn="0" w:oddVBand="0" w:evenVBand="0" w:oddHBand="0" w:evenHBand="0" w:firstRowFirstColumn="0" w:firstRowLastColumn="0" w:lastRowFirstColumn="0" w:lastRowLastColumn="0"/>
            <w:tcW w:w="1272" w:type="pct"/>
          </w:tcPr>
          <w:p w14:paraId="26F84242" w14:textId="356B04AA" w:rsidR="008B44C1" w:rsidRDefault="008B44C1" w:rsidP="00324B33">
            <w:pPr>
              <w:rPr>
                <w:szCs w:val="22"/>
              </w:rPr>
            </w:pPr>
            <w:r>
              <w:rPr>
                <w:szCs w:val="22"/>
              </w:rPr>
              <w:t>United Kingdom</w:t>
            </w:r>
          </w:p>
        </w:tc>
        <w:tc>
          <w:tcPr>
            <w:tcW w:w="1473" w:type="pct"/>
          </w:tcPr>
          <w:p w14:paraId="1D12B725" w14:textId="35566D06" w:rsidR="008B44C1" w:rsidRDefault="008B44C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26 October 2022</w:t>
            </w:r>
          </w:p>
        </w:tc>
        <w:tc>
          <w:tcPr>
            <w:tcW w:w="2254" w:type="pct"/>
          </w:tcPr>
          <w:p w14:paraId="7208BFC2" w14:textId="7F7A55BA" w:rsidR="008B44C1" w:rsidRPr="008B44C1" w:rsidRDefault="008B44C1" w:rsidP="008B44C1">
            <w:pPr>
              <w:cnfStyle w:val="000000000000" w:firstRow="0" w:lastRow="0" w:firstColumn="0" w:lastColumn="0" w:oddVBand="0" w:evenVBand="0" w:oddHBand="0" w:evenHBand="0" w:firstRowFirstColumn="0" w:firstRowLastColumn="0" w:lastRowFirstColumn="0" w:lastRowLastColumn="0"/>
              <w:rPr>
                <w:i/>
                <w:iCs/>
                <w:szCs w:val="22"/>
              </w:rPr>
            </w:pPr>
            <w:proofErr w:type="spellStart"/>
            <w:r w:rsidRPr="008B44C1">
              <w:rPr>
                <w:i/>
                <w:iCs/>
                <w:szCs w:val="22"/>
              </w:rPr>
              <w:t>Retsevmo</w:t>
            </w:r>
            <w:proofErr w:type="spellEnd"/>
            <w:r w:rsidRPr="008B44C1">
              <w:rPr>
                <w:i/>
                <w:iCs/>
                <w:szCs w:val="22"/>
              </w:rPr>
              <w:t xml:space="preserve"> as monotherapy is indicated for the treatment of adults with advanced RET fusion-positive non-small cell lung cancer (NSCLC) not previously treated with a RET inhibitor</w:t>
            </w:r>
          </w:p>
        </w:tc>
      </w:tr>
      <w:tr w:rsidR="008B44C1" w:rsidRPr="00D01DDB" w14:paraId="63B3C56F" w14:textId="77777777" w:rsidTr="008B44C1">
        <w:tc>
          <w:tcPr>
            <w:cnfStyle w:val="001000000000" w:firstRow="0" w:lastRow="0" w:firstColumn="1" w:lastColumn="0" w:oddVBand="0" w:evenVBand="0" w:oddHBand="0" w:evenHBand="0" w:firstRowFirstColumn="0" w:firstRowLastColumn="0" w:lastRowFirstColumn="0" w:lastRowLastColumn="0"/>
            <w:tcW w:w="1272" w:type="pct"/>
          </w:tcPr>
          <w:p w14:paraId="0B99446D" w14:textId="053920F7" w:rsidR="008B44C1" w:rsidRDefault="008B44C1" w:rsidP="00324B33">
            <w:pPr>
              <w:rPr>
                <w:szCs w:val="22"/>
              </w:rPr>
            </w:pPr>
            <w:r>
              <w:rPr>
                <w:szCs w:val="22"/>
              </w:rPr>
              <w:t>Canada</w:t>
            </w:r>
          </w:p>
        </w:tc>
        <w:tc>
          <w:tcPr>
            <w:tcW w:w="1473" w:type="pct"/>
          </w:tcPr>
          <w:p w14:paraId="11E2C58B" w14:textId="329926AF" w:rsidR="008B44C1" w:rsidRDefault="008B44C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15 June 2021</w:t>
            </w:r>
          </w:p>
        </w:tc>
        <w:tc>
          <w:tcPr>
            <w:tcW w:w="2254" w:type="pct"/>
          </w:tcPr>
          <w:p w14:paraId="43C124F6" w14:textId="7B5429B4" w:rsidR="008B44C1" w:rsidRPr="008B44C1" w:rsidRDefault="008B44C1" w:rsidP="008B44C1">
            <w:pPr>
              <w:cnfStyle w:val="000000000000" w:firstRow="0" w:lastRow="0" w:firstColumn="0" w:lastColumn="0" w:oddVBand="0" w:evenVBand="0" w:oddHBand="0" w:evenHBand="0" w:firstRowFirstColumn="0" w:firstRowLastColumn="0" w:lastRowFirstColumn="0" w:lastRowLastColumn="0"/>
              <w:rPr>
                <w:i/>
                <w:iCs/>
                <w:szCs w:val="22"/>
              </w:rPr>
            </w:pPr>
            <w:r w:rsidRPr="008B44C1">
              <w:rPr>
                <w:i/>
                <w:iCs/>
                <w:szCs w:val="22"/>
              </w:rPr>
              <w:t>Retevmo (</w:t>
            </w:r>
            <w:proofErr w:type="spellStart"/>
            <w:r w:rsidRPr="008B44C1">
              <w:rPr>
                <w:i/>
                <w:iCs/>
                <w:szCs w:val="22"/>
              </w:rPr>
              <w:t>selpercatinib</w:t>
            </w:r>
            <w:proofErr w:type="spellEnd"/>
            <w:r w:rsidRPr="008B44C1">
              <w:rPr>
                <w:i/>
                <w:iCs/>
                <w:szCs w:val="22"/>
              </w:rPr>
              <w:t xml:space="preserve">) is indicated as monotherapy for the treatment </w:t>
            </w:r>
            <w:proofErr w:type="gramStart"/>
            <w:r w:rsidRPr="008B44C1">
              <w:rPr>
                <w:i/>
                <w:iCs/>
                <w:szCs w:val="22"/>
              </w:rPr>
              <w:t>of:</w:t>
            </w:r>
            <w:proofErr w:type="gramEnd"/>
            <w:r w:rsidRPr="008B44C1">
              <w:rPr>
                <w:i/>
                <w:iCs/>
                <w:szCs w:val="22"/>
              </w:rPr>
              <w:t xml:space="preserve"> metastatic RET fusion-positive non-small cell lung cancer (NSCLC) in adult patients.</w:t>
            </w:r>
          </w:p>
        </w:tc>
      </w:tr>
    </w:tbl>
    <w:p w14:paraId="064CCADF" w14:textId="54608D7C" w:rsidR="00324B33" w:rsidRDefault="00324B33" w:rsidP="00324B33">
      <w:pPr>
        <w:pStyle w:val="Heading3"/>
      </w:pPr>
      <w:bookmarkStart w:id="21" w:name="_Toc103679292"/>
      <w:bookmarkStart w:id="22" w:name="_Toc148531587"/>
      <w:r>
        <w:t>Product Information</w:t>
      </w:r>
      <w:bookmarkEnd w:id="21"/>
      <w:bookmarkEnd w:id="22"/>
      <w:r w:rsidR="00040953">
        <w:fldChar w:fldCharType="begin"/>
      </w:r>
      <w:r w:rsidR="00040953">
        <w:instrText xml:space="preserve"> DOCVARIABLE vault_nd_49e761a6-6cd1-4d46-a5c7-76a2c8cb2966 \* MERGEFORMAT </w:instrText>
      </w:r>
      <w:r w:rsidR="00040953">
        <w:fldChar w:fldCharType="separate"/>
      </w:r>
      <w:r w:rsidR="00040953">
        <w:t xml:space="preserve"> </w:t>
      </w:r>
      <w:r w:rsidR="00040953">
        <w:fldChar w:fldCharType="end"/>
      </w:r>
    </w:p>
    <w:p w14:paraId="4B0F7D57" w14:textId="17F6E8B6" w:rsidR="00324B33" w:rsidRPr="00BD5DBD" w:rsidRDefault="00324B33" w:rsidP="00324B33">
      <w:pPr>
        <w:rPr>
          <w:szCs w:val="22"/>
        </w:rPr>
      </w:pPr>
      <w:bookmarkStart w:id="23" w:name="_Toc504480011"/>
      <w:r w:rsidRPr="00BD5DBD">
        <w:rPr>
          <w:szCs w:val="22"/>
        </w:rPr>
        <w:t xml:space="preserve">The </w:t>
      </w:r>
      <w:hyperlink r:id="rId20" w:history="1">
        <w:r w:rsidRPr="00BD5DBD">
          <w:rPr>
            <w:rStyle w:val="Hyperlink"/>
            <w:szCs w:val="22"/>
          </w:rPr>
          <w:t>Product Information</w:t>
        </w:r>
      </w:hyperlink>
      <w:r w:rsidRPr="00BD5DBD">
        <w:rPr>
          <w:szCs w:val="22"/>
        </w:rPr>
        <w:t xml:space="preserve"> (</w:t>
      </w:r>
      <w:hyperlink r:id="rId21"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2"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3" w:history="1">
        <w:r w:rsidRPr="00BD5DBD">
          <w:rPr>
            <w:rStyle w:val="Hyperlink"/>
            <w:szCs w:val="22"/>
          </w:rPr>
          <w:t>PI/CMI search facility.</w:t>
        </w:r>
      </w:hyperlink>
    </w:p>
    <w:p w14:paraId="6D92589C" w14:textId="49C9FC63" w:rsidR="00324B33" w:rsidRDefault="00324B33" w:rsidP="00324B33">
      <w:pPr>
        <w:pStyle w:val="Heading2"/>
      </w:pPr>
      <w:bookmarkStart w:id="24" w:name="_Toc103679293"/>
      <w:bookmarkStart w:id="25" w:name="_Toc148531588"/>
      <w:r>
        <w:t>Registration timeline</w:t>
      </w:r>
      <w:bookmarkEnd w:id="23"/>
      <w:bookmarkEnd w:id="24"/>
      <w:bookmarkEnd w:id="25"/>
      <w:r w:rsidR="00040953">
        <w:fldChar w:fldCharType="begin"/>
      </w:r>
      <w:r w:rsidR="00040953">
        <w:instrText xml:space="preserve"> DOCVARIABLE vault_nd_36a38680-e717-4426-b9af-90d0a0a66b34 \* MERGEFORMAT </w:instrText>
      </w:r>
      <w:r w:rsidR="00040953">
        <w:fldChar w:fldCharType="separate"/>
      </w:r>
      <w:r w:rsidR="00040953">
        <w:t xml:space="preserve"> </w:t>
      </w:r>
      <w:r w:rsidR="00040953">
        <w:fldChar w:fldCharType="end"/>
      </w:r>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1B885475" w14:textId="1D7AAB16" w:rsidR="00535DFE" w:rsidRPr="00BD5DBD" w:rsidRDefault="00535DFE" w:rsidP="00324B33">
      <w:pPr>
        <w:rPr>
          <w:szCs w:val="22"/>
        </w:rPr>
      </w:pPr>
      <w:r w:rsidRPr="00BD5DBD">
        <w:rPr>
          <w:szCs w:val="22"/>
        </w:rPr>
        <w:t xml:space="preserve">This submission was evaluated under the </w:t>
      </w:r>
      <w:hyperlink r:id="rId24" w:history="1">
        <w:r w:rsidRPr="00BD5DBD">
          <w:rPr>
            <w:rStyle w:val="Hyperlink"/>
            <w:szCs w:val="22"/>
          </w:rPr>
          <w:t>provisional registration process</w:t>
        </w:r>
      </w:hyperlink>
      <w:r w:rsidRPr="00BD5DBD">
        <w:rPr>
          <w:szCs w:val="22"/>
        </w:rPr>
        <w:t>.</w:t>
      </w:r>
    </w:p>
    <w:p w14:paraId="44628C5F" w14:textId="1505AE62" w:rsidR="00324B33" w:rsidRDefault="00324B33" w:rsidP="0013528C">
      <w:pPr>
        <w:pStyle w:val="TableTitle"/>
      </w:pPr>
      <w:r>
        <w:lastRenderedPageBreak/>
        <w:t xml:space="preserve">Table </w:t>
      </w:r>
      <w:r w:rsidR="0013528C">
        <w:fldChar w:fldCharType="begin"/>
      </w:r>
      <w:r w:rsidR="0013528C">
        <w:rPr>
          <w:b w:val="0"/>
        </w:rPr>
        <w:instrText xml:space="preserve"> SEQ Table \* ARABIC </w:instrText>
      </w:r>
      <w:r w:rsidR="0013528C">
        <w:fldChar w:fldCharType="separate"/>
      </w:r>
      <w:r w:rsidR="005A23C0">
        <w:rPr>
          <w:b w:val="0"/>
          <w:noProof/>
        </w:rPr>
        <w:t>2</w:t>
      </w:r>
      <w:r w:rsidR="0013528C">
        <w:rPr>
          <w:noProof/>
        </w:rPr>
        <w:fldChar w:fldCharType="end"/>
      </w:r>
      <w:r>
        <w:t>:</w:t>
      </w:r>
      <w:r w:rsidRPr="006A58A8">
        <w:t xml:space="preserve"> Timeline for Submission PM-20</w:t>
      </w:r>
      <w:r>
        <w:t>2</w:t>
      </w:r>
      <w:r w:rsidR="000467D2">
        <w:t>2</w:t>
      </w:r>
      <w:r w:rsidRPr="006A58A8">
        <w:t>-</w:t>
      </w:r>
      <w:r w:rsidR="000467D2">
        <w:t>02343</w:t>
      </w:r>
      <w:r w:rsidRPr="006A58A8">
        <w:t>-1-</w:t>
      </w:r>
      <w:r w:rsidR="000467D2">
        <w:t>4</w:t>
      </w:r>
      <w:r w:rsidR="009F1197">
        <w:fldChar w:fldCharType="begin"/>
      </w:r>
      <w:r w:rsidR="009F1197">
        <w:instrText xml:space="preserve"> DOCVARIABLE vault_nd_9613eaf7-c7b6-4b62-8267-aa5611ba3d06 \* MERGEFORMAT </w:instrText>
      </w:r>
      <w:r w:rsidR="009F1197">
        <w:fldChar w:fldCharType="separate"/>
      </w:r>
      <w:r w:rsidR="00040953">
        <w:t xml:space="preserve"> </w:t>
      </w:r>
      <w:r w:rsidR="009F1197">
        <w:fldChar w:fldCharType="end"/>
      </w:r>
    </w:p>
    <w:tbl>
      <w:tblPr>
        <w:tblStyle w:val="TableTGAblue2023"/>
        <w:tblW w:w="8642" w:type="dxa"/>
        <w:tblLook w:val="04A0" w:firstRow="1" w:lastRow="0" w:firstColumn="1" w:lastColumn="0" w:noHBand="0" w:noVBand="1"/>
      </w:tblPr>
      <w:tblGrid>
        <w:gridCol w:w="5382"/>
        <w:gridCol w:w="3260"/>
      </w:tblGrid>
      <w:tr w:rsidR="000467D2" w:rsidRPr="00D75678" w14:paraId="446B72ED" w14:textId="77777777" w:rsidTr="00E22039">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382" w:type="dxa"/>
          </w:tcPr>
          <w:p w14:paraId="68544202" w14:textId="77777777" w:rsidR="000467D2" w:rsidRPr="00D75678" w:rsidRDefault="000467D2" w:rsidP="00FB1CCD">
            <w:r w:rsidRPr="00D75678">
              <w:t>Description</w:t>
            </w:r>
          </w:p>
        </w:tc>
        <w:tc>
          <w:tcPr>
            <w:tcW w:w="3260" w:type="dxa"/>
          </w:tcPr>
          <w:p w14:paraId="037541D6" w14:textId="77777777" w:rsidR="000467D2" w:rsidRPr="00D75678" w:rsidRDefault="000467D2" w:rsidP="00FB1CCD">
            <w:pPr>
              <w:cnfStyle w:val="100000000000" w:firstRow="1" w:lastRow="0" w:firstColumn="0" w:lastColumn="0" w:oddVBand="0" w:evenVBand="0" w:oddHBand="0" w:evenHBand="0" w:firstRowFirstColumn="0" w:firstRowLastColumn="0" w:lastRowFirstColumn="0" w:lastRowLastColumn="0"/>
            </w:pPr>
            <w:r w:rsidRPr="00D75678">
              <w:t>Date</w:t>
            </w:r>
          </w:p>
        </w:tc>
      </w:tr>
      <w:tr w:rsidR="000467D2" w:rsidRPr="00D75678" w14:paraId="04A3C3EA" w14:textId="77777777" w:rsidTr="00E22039">
        <w:tc>
          <w:tcPr>
            <w:cnfStyle w:val="001000000000" w:firstRow="0" w:lastRow="0" w:firstColumn="1" w:lastColumn="0" w:oddVBand="0" w:evenVBand="0" w:oddHBand="0" w:evenHBand="0" w:firstRowFirstColumn="0" w:firstRowLastColumn="0" w:lastRowFirstColumn="0" w:lastRowLastColumn="0"/>
            <w:tcW w:w="5382" w:type="dxa"/>
          </w:tcPr>
          <w:p w14:paraId="6924D32C" w14:textId="77777777" w:rsidR="000467D2" w:rsidRPr="00D75678" w:rsidRDefault="000467D2" w:rsidP="00FB1CCD">
            <w:r>
              <w:t>Determination (Provisional)</w:t>
            </w:r>
          </w:p>
        </w:tc>
        <w:tc>
          <w:tcPr>
            <w:tcW w:w="3260" w:type="dxa"/>
          </w:tcPr>
          <w:p w14:paraId="44C64076" w14:textId="77777777" w:rsidR="000467D2" w:rsidRDefault="000467D2" w:rsidP="00FB1CCD">
            <w:pPr>
              <w:cnfStyle w:val="000000000000" w:firstRow="0" w:lastRow="0" w:firstColumn="0" w:lastColumn="0" w:oddVBand="0" w:evenVBand="0" w:oddHBand="0" w:evenHBand="0" w:firstRowFirstColumn="0" w:firstRowLastColumn="0" w:lastRowFirstColumn="0" w:lastRowLastColumn="0"/>
            </w:pPr>
            <w:r>
              <w:t>28 March 2022</w:t>
            </w:r>
          </w:p>
        </w:tc>
      </w:tr>
      <w:tr w:rsidR="000467D2" w:rsidRPr="00D75678" w14:paraId="10B625DB" w14:textId="77777777" w:rsidTr="00E22039">
        <w:tc>
          <w:tcPr>
            <w:cnfStyle w:val="001000000000" w:firstRow="0" w:lastRow="0" w:firstColumn="1" w:lastColumn="0" w:oddVBand="0" w:evenVBand="0" w:oddHBand="0" w:evenHBand="0" w:firstRowFirstColumn="0" w:firstRowLastColumn="0" w:lastRowFirstColumn="0" w:lastRowLastColumn="0"/>
            <w:tcW w:w="5382" w:type="dxa"/>
          </w:tcPr>
          <w:p w14:paraId="1C0B4AFD" w14:textId="40863D43" w:rsidR="000467D2" w:rsidRPr="00D75678" w:rsidRDefault="000467D2" w:rsidP="00E22039">
            <w:r w:rsidRPr="00D75678">
              <w:t>Submission dossier accepted and first round evaluation commenced</w:t>
            </w:r>
          </w:p>
        </w:tc>
        <w:tc>
          <w:tcPr>
            <w:tcW w:w="3260" w:type="dxa"/>
          </w:tcPr>
          <w:sdt>
            <w:sdtPr>
              <w:alias w:val="SubmissionDossierAccepted"/>
              <w:tag w:val="SubmissionDossierAccepted"/>
              <w:id w:val="1915435652"/>
              <w:placeholder>
                <w:docPart w:val="5995AE474BF24F0284DA03DFDC88A8CB"/>
              </w:placeholder>
              <w:text/>
            </w:sdtPr>
            <w:sdtEndPr/>
            <w:sdtContent>
              <w:p w14:paraId="78488228" w14:textId="77777777" w:rsidR="000467D2" w:rsidRPr="007473D5" w:rsidRDefault="000467D2" w:rsidP="00FB1CCD">
                <w:pPr>
                  <w:cnfStyle w:val="000000000000" w:firstRow="0" w:lastRow="0" w:firstColumn="0" w:lastColumn="0" w:oddVBand="0" w:evenVBand="0" w:oddHBand="0" w:evenHBand="0" w:firstRowFirstColumn="0" w:firstRowLastColumn="0" w:lastRowFirstColumn="0" w:lastRowLastColumn="0"/>
                </w:pPr>
                <w:r>
                  <w:t>1 August 2022</w:t>
                </w:r>
              </w:p>
            </w:sdtContent>
          </w:sdt>
        </w:tc>
      </w:tr>
      <w:tr w:rsidR="000467D2" w:rsidRPr="00D75678" w14:paraId="482AAE11" w14:textId="77777777" w:rsidTr="00E22039">
        <w:trPr>
          <w:trHeight w:val="455"/>
        </w:trPr>
        <w:tc>
          <w:tcPr>
            <w:cnfStyle w:val="001000000000" w:firstRow="0" w:lastRow="0" w:firstColumn="1" w:lastColumn="0" w:oddVBand="0" w:evenVBand="0" w:oddHBand="0" w:evenHBand="0" w:firstRowFirstColumn="0" w:firstRowLastColumn="0" w:lastRowFirstColumn="0" w:lastRowLastColumn="0"/>
            <w:tcW w:w="5382" w:type="dxa"/>
          </w:tcPr>
          <w:p w14:paraId="36D6F6A2" w14:textId="77777777" w:rsidR="000467D2" w:rsidRPr="00D75678" w:rsidRDefault="000467D2" w:rsidP="00FB1CCD">
            <w:r w:rsidRPr="00D75678">
              <w:t>First round evaluation completed</w:t>
            </w:r>
          </w:p>
        </w:tc>
        <w:tc>
          <w:tcPr>
            <w:tcW w:w="3260" w:type="dxa"/>
          </w:tcPr>
          <w:sdt>
            <w:sdtPr>
              <w:alias w:val="FirstRoundEvaluation"/>
              <w:tag w:val="FirstRoundEvaluation"/>
              <w:id w:val="141393058"/>
              <w:placeholder>
                <w:docPart w:val="5995AE474BF24F0284DA03DFDC88A8CB"/>
              </w:placeholder>
              <w:text/>
            </w:sdtPr>
            <w:sdtEndPr/>
            <w:sdtContent>
              <w:p w14:paraId="6FC087E7" w14:textId="77777777" w:rsidR="000467D2" w:rsidRPr="007473D5" w:rsidRDefault="000467D2" w:rsidP="00FB1CCD">
                <w:pPr>
                  <w:cnfStyle w:val="000000000000" w:firstRow="0" w:lastRow="0" w:firstColumn="0" w:lastColumn="0" w:oddVBand="0" w:evenVBand="0" w:oddHBand="0" w:evenHBand="0" w:firstRowFirstColumn="0" w:firstRowLastColumn="0" w:lastRowFirstColumn="0" w:lastRowLastColumn="0"/>
                </w:pPr>
                <w:r>
                  <w:t>13 January 2023</w:t>
                </w:r>
              </w:p>
            </w:sdtContent>
          </w:sdt>
        </w:tc>
      </w:tr>
      <w:tr w:rsidR="000467D2" w:rsidRPr="00D75678" w14:paraId="33A2D87B" w14:textId="77777777" w:rsidTr="00E22039">
        <w:trPr>
          <w:trHeight w:val="971"/>
        </w:trPr>
        <w:tc>
          <w:tcPr>
            <w:cnfStyle w:val="001000000000" w:firstRow="0" w:lastRow="0" w:firstColumn="1" w:lastColumn="0" w:oddVBand="0" w:evenVBand="0" w:oddHBand="0" w:evenHBand="0" w:firstRowFirstColumn="0" w:firstRowLastColumn="0" w:lastRowFirstColumn="0" w:lastRowLastColumn="0"/>
            <w:tcW w:w="5382" w:type="dxa"/>
          </w:tcPr>
          <w:p w14:paraId="2864937A" w14:textId="77777777" w:rsidR="000467D2" w:rsidRPr="00D75678" w:rsidRDefault="000467D2" w:rsidP="00FB1CCD">
            <w:r w:rsidRPr="00D75678">
              <w:t>Sponsor provides responses on questions raised in first round evaluation</w:t>
            </w:r>
          </w:p>
        </w:tc>
        <w:tc>
          <w:tcPr>
            <w:tcW w:w="3260" w:type="dxa"/>
          </w:tcPr>
          <w:p w14:paraId="357A65DE" w14:textId="77777777" w:rsidR="000467D2" w:rsidRPr="007473D5" w:rsidRDefault="000467D2" w:rsidP="00FB1CCD">
            <w:pPr>
              <w:cnfStyle w:val="000000000000" w:firstRow="0" w:lastRow="0" w:firstColumn="0" w:lastColumn="0" w:oddVBand="0" w:evenVBand="0" w:oddHBand="0" w:evenHBand="0" w:firstRowFirstColumn="0" w:firstRowLastColumn="0" w:lastRowFirstColumn="0" w:lastRowLastColumn="0"/>
            </w:pPr>
            <w:r>
              <w:t>21 February 2023</w:t>
            </w:r>
          </w:p>
        </w:tc>
      </w:tr>
      <w:tr w:rsidR="000467D2" w:rsidRPr="00D75678" w14:paraId="7641895F" w14:textId="77777777" w:rsidTr="00E22039">
        <w:trPr>
          <w:trHeight w:val="404"/>
        </w:trPr>
        <w:tc>
          <w:tcPr>
            <w:cnfStyle w:val="001000000000" w:firstRow="0" w:lastRow="0" w:firstColumn="1" w:lastColumn="0" w:oddVBand="0" w:evenVBand="0" w:oddHBand="0" w:evenHBand="0" w:firstRowFirstColumn="0" w:firstRowLastColumn="0" w:lastRowFirstColumn="0" w:lastRowLastColumn="0"/>
            <w:tcW w:w="5382" w:type="dxa"/>
          </w:tcPr>
          <w:p w14:paraId="0957B091" w14:textId="77777777" w:rsidR="000467D2" w:rsidRPr="00D75678" w:rsidRDefault="000467D2" w:rsidP="00FB1CCD">
            <w:r w:rsidRPr="00D75678">
              <w:t>Second round evaluation completed</w:t>
            </w:r>
          </w:p>
        </w:tc>
        <w:tc>
          <w:tcPr>
            <w:tcW w:w="3260" w:type="dxa"/>
          </w:tcPr>
          <w:sdt>
            <w:sdtPr>
              <w:alias w:val="SecondRoundEvaluation"/>
              <w:tag w:val="SecondRoundEvaluation"/>
              <w:id w:val="1746448171"/>
              <w:placeholder>
                <w:docPart w:val="5995AE474BF24F0284DA03DFDC88A8CB"/>
              </w:placeholder>
              <w:text/>
            </w:sdtPr>
            <w:sdtEndPr/>
            <w:sdtContent>
              <w:p w14:paraId="041D61E7" w14:textId="77777777" w:rsidR="000467D2" w:rsidRPr="007473D5" w:rsidRDefault="000467D2" w:rsidP="00FB1CCD">
                <w:pPr>
                  <w:cnfStyle w:val="000000000000" w:firstRow="0" w:lastRow="0" w:firstColumn="0" w:lastColumn="0" w:oddVBand="0" w:evenVBand="0" w:oddHBand="0" w:evenHBand="0" w:firstRowFirstColumn="0" w:firstRowLastColumn="0" w:lastRowFirstColumn="0" w:lastRowLastColumn="0"/>
                </w:pPr>
                <w:r>
                  <w:t>31 March 2023</w:t>
                </w:r>
              </w:p>
            </w:sdtContent>
          </w:sdt>
        </w:tc>
      </w:tr>
      <w:tr w:rsidR="000467D2" w:rsidRPr="00D75678" w14:paraId="18FCCDDC" w14:textId="77777777" w:rsidTr="00E22039">
        <w:trPr>
          <w:trHeight w:val="978"/>
        </w:trPr>
        <w:tc>
          <w:tcPr>
            <w:cnfStyle w:val="001000000000" w:firstRow="0" w:lastRow="0" w:firstColumn="1" w:lastColumn="0" w:oddVBand="0" w:evenVBand="0" w:oddHBand="0" w:evenHBand="0" w:firstRowFirstColumn="0" w:firstRowLastColumn="0" w:lastRowFirstColumn="0" w:lastRowLastColumn="0"/>
            <w:tcW w:w="5382" w:type="dxa"/>
          </w:tcPr>
          <w:p w14:paraId="4B3FF307" w14:textId="77777777" w:rsidR="000467D2" w:rsidRPr="00D75678" w:rsidRDefault="000467D2" w:rsidP="00FB1CCD">
            <w:r w:rsidRPr="00D75678">
              <w:t xml:space="preserve">Delegate’s Overall benefit-risk </w:t>
            </w:r>
            <w:r w:rsidRPr="005C262A">
              <w:rPr>
                <w:color w:val="auto"/>
              </w:rPr>
              <w:t xml:space="preserve">assessment and request for Advisory Committee advice </w:t>
            </w:r>
          </w:p>
        </w:tc>
        <w:tc>
          <w:tcPr>
            <w:tcW w:w="3260" w:type="dxa"/>
          </w:tcPr>
          <w:sdt>
            <w:sdtPr>
              <w:alias w:val="Delegate"/>
              <w:tag w:val="Delegate"/>
              <w:id w:val="276309018"/>
              <w:placeholder>
                <w:docPart w:val="5995AE474BF24F0284DA03DFDC88A8CB"/>
              </w:placeholder>
              <w:text/>
            </w:sdtPr>
            <w:sdtEndPr/>
            <w:sdtContent>
              <w:p w14:paraId="6F5B3493" w14:textId="77777777" w:rsidR="000467D2" w:rsidRPr="007473D5" w:rsidRDefault="000467D2" w:rsidP="00FB1CCD">
                <w:pPr>
                  <w:cnfStyle w:val="000000000000" w:firstRow="0" w:lastRow="0" w:firstColumn="0" w:lastColumn="0" w:oddVBand="0" w:evenVBand="0" w:oddHBand="0" w:evenHBand="0" w:firstRowFirstColumn="0" w:firstRowLastColumn="0" w:lastRowFirstColumn="0" w:lastRowLastColumn="0"/>
                </w:pPr>
                <w:r>
                  <w:t>21 April 2023</w:t>
                </w:r>
              </w:p>
            </w:sdtContent>
          </w:sdt>
        </w:tc>
      </w:tr>
      <w:tr w:rsidR="000467D2" w:rsidRPr="00D75678" w14:paraId="1F2460EA" w14:textId="77777777" w:rsidTr="00E22039">
        <w:trPr>
          <w:trHeight w:val="694"/>
        </w:trPr>
        <w:tc>
          <w:tcPr>
            <w:cnfStyle w:val="001000000000" w:firstRow="0" w:lastRow="0" w:firstColumn="1" w:lastColumn="0" w:oddVBand="0" w:evenVBand="0" w:oddHBand="0" w:evenHBand="0" w:firstRowFirstColumn="0" w:firstRowLastColumn="0" w:lastRowFirstColumn="0" w:lastRowLastColumn="0"/>
            <w:tcW w:w="5382" w:type="dxa"/>
          </w:tcPr>
          <w:p w14:paraId="35723E79" w14:textId="77777777" w:rsidR="000467D2" w:rsidRPr="00D75678" w:rsidRDefault="000467D2" w:rsidP="00FB1CCD">
            <w:r w:rsidRPr="00D75678">
              <w:t>Sponsor’s pre-Advisory Committee response</w:t>
            </w:r>
          </w:p>
        </w:tc>
        <w:tc>
          <w:tcPr>
            <w:tcW w:w="3260" w:type="dxa"/>
          </w:tcPr>
          <w:sdt>
            <w:sdtPr>
              <w:alias w:val="SponsorsPreAdvisory"/>
              <w:tag w:val="SponsorsPreAdvisory"/>
              <w:id w:val="-411933902"/>
              <w:placeholder>
                <w:docPart w:val="5995AE474BF24F0284DA03DFDC88A8CB"/>
              </w:placeholder>
              <w:text/>
            </w:sdtPr>
            <w:sdtEndPr/>
            <w:sdtContent>
              <w:p w14:paraId="7AD381B8" w14:textId="77777777" w:rsidR="000467D2" w:rsidRPr="007473D5" w:rsidRDefault="000467D2" w:rsidP="00FB1CCD">
                <w:pPr>
                  <w:cnfStyle w:val="000000000000" w:firstRow="0" w:lastRow="0" w:firstColumn="0" w:lastColumn="0" w:oddVBand="0" w:evenVBand="0" w:oddHBand="0" w:evenHBand="0" w:firstRowFirstColumn="0" w:firstRowLastColumn="0" w:lastRowFirstColumn="0" w:lastRowLastColumn="0"/>
                </w:pPr>
                <w:r>
                  <w:t>12 May 2023</w:t>
                </w:r>
              </w:p>
            </w:sdtContent>
          </w:sdt>
        </w:tc>
      </w:tr>
      <w:tr w:rsidR="000467D2" w:rsidRPr="00D75678" w14:paraId="275FECC5" w14:textId="77777777" w:rsidTr="00E22039">
        <w:trPr>
          <w:trHeight w:val="407"/>
        </w:trPr>
        <w:tc>
          <w:tcPr>
            <w:cnfStyle w:val="001000000000" w:firstRow="0" w:lastRow="0" w:firstColumn="1" w:lastColumn="0" w:oddVBand="0" w:evenVBand="0" w:oddHBand="0" w:evenHBand="0" w:firstRowFirstColumn="0" w:firstRowLastColumn="0" w:lastRowFirstColumn="0" w:lastRowLastColumn="0"/>
            <w:tcW w:w="5382" w:type="dxa"/>
          </w:tcPr>
          <w:p w14:paraId="51A6A83B" w14:textId="77777777" w:rsidR="000467D2" w:rsidRPr="00D75678" w:rsidRDefault="000467D2" w:rsidP="00FB1CCD">
            <w:r w:rsidRPr="00D75678">
              <w:t>Advisory Committee meeting</w:t>
            </w:r>
          </w:p>
        </w:tc>
        <w:tc>
          <w:tcPr>
            <w:tcW w:w="3260" w:type="dxa"/>
          </w:tcPr>
          <w:sdt>
            <w:sdtPr>
              <w:alias w:val="AdvisoryCommittee"/>
              <w:tag w:val="AdvisoryCommittee"/>
              <w:id w:val="-1847089171"/>
              <w:placeholder>
                <w:docPart w:val="5995AE474BF24F0284DA03DFDC88A8CB"/>
              </w:placeholder>
              <w:text/>
            </w:sdtPr>
            <w:sdtEndPr/>
            <w:sdtContent>
              <w:p w14:paraId="0190B442" w14:textId="77777777" w:rsidR="000467D2" w:rsidRPr="007473D5" w:rsidRDefault="000467D2" w:rsidP="00FB1CCD">
                <w:pPr>
                  <w:cnfStyle w:val="000000000000" w:firstRow="0" w:lastRow="0" w:firstColumn="0" w:lastColumn="0" w:oddVBand="0" w:evenVBand="0" w:oddHBand="0" w:evenHBand="0" w:firstRowFirstColumn="0" w:firstRowLastColumn="0" w:lastRowFirstColumn="0" w:lastRowLastColumn="0"/>
                </w:pPr>
                <w:r>
                  <w:t>1 and 2 June 2023</w:t>
                </w:r>
              </w:p>
            </w:sdtContent>
          </w:sdt>
        </w:tc>
      </w:tr>
      <w:tr w:rsidR="000467D2" w:rsidRPr="00D75678" w14:paraId="43679946" w14:textId="77777777" w:rsidTr="00E22039">
        <w:trPr>
          <w:trHeight w:val="399"/>
        </w:trPr>
        <w:tc>
          <w:tcPr>
            <w:cnfStyle w:val="001000000000" w:firstRow="0" w:lastRow="0" w:firstColumn="1" w:lastColumn="0" w:oddVBand="0" w:evenVBand="0" w:oddHBand="0" w:evenHBand="0" w:firstRowFirstColumn="0" w:firstRowLastColumn="0" w:lastRowFirstColumn="0" w:lastRowLastColumn="0"/>
            <w:tcW w:w="5382" w:type="dxa"/>
          </w:tcPr>
          <w:p w14:paraId="260AFC2A" w14:textId="77777777" w:rsidR="000467D2" w:rsidRPr="00D75678" w:rsidRDefault="000467D2" w:rsidP="00FB1CCD">
            <w:r w:rsidRPr="00D75678">
              <w:t>Registration decision (Outcome)</w:t>
            </w:r>
          </w:p>
        </w:tc>
        <w:tc>
          <w:tcPr>
            <w:tcW w:w="3260" w:type="dxa"/>
          </w:tcPr>
          <w:sdt>
            <w:sdtPr>
              <w:alias w:val="RegistrationDecision"/>
              <w:tag w:val="RegistrationDecision"/>
              <w:id w:val="251866966"/>
              <w:placeholder>
                <w:docPart w:val="5995AE474BF24F0284DA03DFDC88A8CB"/>
              </w:placeholder>
              <w:text/>
            </w:sdtPr>
            <w:sdtEndPr/>
            <w:sdtContent>
              <w:p w14:paraId="0E7897E3" w14:textId="77777777" w:rsidR="000467D2" w:rsidRPr="007473D5" w:rsidRDefault="000467D2" w:rsidP="00FB1CCD">
                <w:pPr>
                  <w:cnfStyle w:val="000000000000" w:firstRow="0" w:lastRow="0" w:firstColumn="0" w:lastColumn="0" w:oddVBand="0" w:evenVBand="0" w:oddHBand="0" w:evenHBand="0" w:firstRowFirstColumn="0" w:firstRowLastColumn="0" w:lastRowFirstColumn="0" w:lastRowLastColumn="0"/>
                </w:pPr>
                <w:r>
                  <w:t>27 June 2023</w:t>
                </w:r>
              </w:p>
            </w:sdtContent>
          </w:sdt>
        </w:tc>
      </w:tr>
      <w:tr w:rsidR="000467D2" w:rsidRPr="00D75678" w14:paraId="51544B87" w14:textId="77777777" w:rsidTr="00E22039">
        <w:trPr>
          <w:trHeight w:val="702"/>
        </w:trPr>
        <w:tc>
          <w:tcPr>
            <w:cnfStyle w:val="001000000000" w:firstRow="0" w:lastRow="0" w:firstColumn="1" w:lastColumn="0" w:oddVBand="0" w:evenVBand="0" w:oddHBand="0" w:evenHBand="0" w:firstRowFirstColumn="0" w:firstRowLastColumn="0" w:lastRowFirstColumn="0" w:lastRowLastColumn="0"/>
            <w:tcW w:w="5382" w:type="dxa"/>
          </w:tcPr>
          <w:p w14:paraId="786FDE4B" w14:textId="77777777" w:rsidR="000467D2" w:rsidRPr="00D75678" w:rsidRDefault="000467D2" w:rsidP="00FB1CCD">
            <w:r w:rsidRPr="00D75678">
              <w:t>Completion of administrative activities and registration on ARTG</w:t>
            </w:r>
          </w:p>
        </w:tc>
        <w:tc>
          <w:tcPr>
            <w:tcW w:w="3260" w:type="dxa"/>
          </w:tcPr>
          <w:sdt>
            <w:sdtPr>
              <w:alias w:val="CompletionARTG"/>
              <w:tag w:val="CompletionARTG"/>
              <w:id w:val="-608201828"/>
              <w:placeholder>
                <w:docPart w:val="5995AE474BF24F0284DA03DFDC88A8CB"/>
              </w:placeholder>
              <w:text/>
            </w:sdtPr>
            <w:sdtEndPr/>
            <w:sdtContent>
              <w:p w14:paraId="76AFCCE4" w14:textId="77777777" w:rsidR="000467D2" w:rsidRPr="007473D5" w:rsidRDefault="000467D2" w:rsidP="00FB1CCD">
                <w:pPr>
                  <w:cnfStyle w:val="000000000000" w:firstRow="0" w:lastRow="0" w:firstColumn="0" w:lastColumn="0" w:oddVBand="0" w:evenVBand="0" w:oddHBand="0" w:evenHBand="0" w:firstRowFirstColumn="0" w:firstRowLastColumn="0" w:lastRowFirstColumn="0" w:lastRowLastColumn="0"/>
                </w:pPr>
                <w:r>
                  <w:t>3 July 2023</w:t>
                </w:r>
              </w:p>
            </w:sdtContent>
          </w:sdt>
        </w:tc>
      </w:tr>
      <w:tr w:rsidR="000467D2" w:rsidRPr="00D75678" w14:paraId="641214D0" w14:textId="77777777" w:rsidTr="00E22039">
        <w:trPr>
          <w:trHeight w:val="1096"/>
        </w:trPr>
        <w:tc>
          <w:tcPr>
            <w:cnfStyle w:val="001000000000" w:firstRow="0" w:lastRow="0" w:firstColumn="1" w:lastColumn="0" w:oddVBand="0" w:evenVBand="0" w:oddHBand="0" w:evenHBand="0" w:firstRowFirstColumn="0" w:firstRowLastColumn="0" w:lastRowFirstColumn="0" w:lastRowLastColumn="0"/>
            <w:tcW w:w="5382" w:type="dxa"/>
          </w:tcPr>
          <w:p w14:paraId="29E247E5" w14:textId="77777777" w:rsidR="000467D2" w:rsidRPr="00D75678" w:rsidRDefault="000467D2" w:rsidP="00FB1CCD">
            <w:r w:rsidRPr="00D75678">
              <w:t>Number of working days from submission dossier acceptance to registration decision*</w:t>
            </w:r>
          </w:p>
        </w:tc>
        <w:tc>
          <w:tcPr>
            <w:tcW w:w="3260" w:type="dxa"/>
          </w:tcPr>
          <w:sdt>
            <w:sdtPr>
              <w:alias w:val="WorkingDays"/>
              <w:tag w:val="WorkingDays"/>
              <w:id w:val="771131170"/>
              <w:placeholder>
                <w:docPart w:val="5995AE474BF24F0284DA03DFDC88A8CB"/>
              </w:placeholder>
              <w:text/>
            </w:sdtPr>
            <w:sdtEndPr/>
            <w:sdtContent>
              <w:p w14:paraId="68ECEB77" w14:textId="77777777" w:rsidR="000467D2" w:rsidRPr="007473D5" w:rsidRDefault="000467D2" w:rsidP="00FB1CCD">
                <w:pPr>
                  <w:cnfStyle w:val="000000000000" w:firstRow="0" w:lastRow="0" w:firstColumn="0" w:lastColumn="0" w:oddVBand="0" w:evenVBand="0" w:oddHBand="0" w:evenHBand="0" w:firstRowFirstColumn="0" w:firstRowLastColumn="0" w:lastRowFirstColumn="0" w:lastRowLastColumn="0"/>
                </w:pPr>
                <w:r>
                  <w:t>181</w:t>
                </w:r>
              </w:p>
            </w:sdtContent>
          </w:sdt>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25224E3" w:rsidR="00C22214" w:rsidRPr="00792A32" w:rsidRDefault="00C22214" w:rsidP="00C22214">
      <w:pPr>
        <w:pStyle w:val="Heading2"/>
      </w:pPr>
      <w:bookmarkStart w:id="26" w:name="_Toc196046504"/>
      <w:bookmarkStart w:id="27" w:name="_Toc247691527"/>
      <w:bookmarkStart w:id="28" w:name="_Toc314842510"/>
      <w:bookmarkStart w:id="29" w:name="_Toc103679294"/>
      <w:bookmarkStart w:id="30" w:name="_Toc148531589"/>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6"/>
      <w:bookmarkEnd w:id="27"/>
      <w:bookmarkEnd w:id="28"/>
      <w:bookmarkEnd w:id="29"/>
      <w:bookmarkEnd w:id="30"/>
      <w:r w:rsidR="00040953">
        <w:fldChar w:fldCharType="begin"/>
      </w:r>
      <w:r w:rsidR="00040953">
        <w:instrText xml:space="preserve"> DOCVARIABLE vault_nd_1c7843f0-5291-4794-a6a8-b2666435098d \* MERGEFORMAT </w:instrText>
      </w:r>
      <w:r w:rsidR="00040953">
        <w:fldChar w:fldCharType="separate"/>
      </w:r>
      <w:r w:rsidR="00040953">
        <w:t xml:space="preserve"> </w:t>
      </w:r>
      <w:r w:rsidR="00040953">
        <w:fldChar w:fldCharType="end"/>
      </w:r>
    </w:p>
    <w:p w14:paraId="5F5FAA14" w14:textId="77777777" w:rsidR="00C22214" w:rsidRPr="00BD5DBD" w:rsidRDefault="00C22214" w:rsidP="00C22214">
      <w:pPr>
        <w:rPr>
          <w:szCs w:val="22"/>
        </w:rPr>
      </w:pPr>
      <w:bookmarkStart w:id="31" w:name="_Toc247691528"/>
      <w:bookmarkStart w:id="32" w:name="_Toc314842511"/>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2AECE454" w:rsidR="00C22214" w:rsidRDefault="00C22214" w:rsidP="00C22214">
      <w:pPr>
        <w:pStyle w:val="Heading3"/>
      </w:pPr>
      <w:bookmarkStart w:id="33" w:name="_Toc103679295"/>
      <w:bookmarkStart w:id="34" w:name="_Toc148531590"/>
      <w:r>
        <w:t>Quality</w:t>
      </w:r>
      <w:bookmarkEnd w:id="31"/>
      <w:bookmarkEnd w:id="32"/>
      <w:bookmarkEnd w:id="33"/>
      <w:bookmarkEnd w:id="34"/>
      <w:r w:rsidR="00040953">
        <w:fldChar w:fldCharType="begin"/>
      </w:r>
      <w:r w:rsidR="00040953">
        <w:instrText xml:space="preserve"> DOCVARIABLE vault_nd_a7b90666-b26b-4804-8974-d771b8271804 \* MERGEFORMAT </w:instrText>
      </w:r>
      <w:r w:rsidR="00040953">
        <w:fldChar w:fldCharType="separate"/>
      </w:r>
      <w:r w:rsidR="00040953">
        <w:t xml:space="preserve"> </w:t>
      </w:r>
      <w:r w:rsidR="00040953">
        <w:fldChar w:fldCharType="end"/>
      </w:r>
    </w:p>
    <w:p w14:paraId="4458FCE0" w14:textId="56AA306A" w:rsidR="00F728C8" w:rsidRDefault="00F728C8" w:rsidP="00F728C8">
      <w:pPr>
        <w:rPr>
          <w:rFonts w:cs="Calibri"/>
          <w:bCs/>
          <w:szCs w:val="22"/>
        </w:rPr>
      </w:pPr>
      <w:r>
        <w:rPr>
          <w:rFonts w:cs="Calibri"/>
          <w:bCs/>
          <w:szCs w:val="22"/>
        </w:rPr>
        <w:t xml:space="preserve">Retevmo is a small molecule inhibitor of the </w:t>
      </w:r>
      <w:r w:rsidRPr="00F728C8">
        <w:rPr>
          <w:rFonts w:cs="Calibri"/>
          <w:bCs/>
          <w:i/>
          <w:iCs/>
          <w:szCs w:val="22"/>
        </w:rPr>
        <w:t>RET</w:t>
      </w:r>
      <w:r>
        <w:rPr>
          <w:rFonts w:cs="Calibri"/>
          <w:bCs/>
          <w:szCs w:val="22"/>
        </w:rPr>
        <w:t xml:space="preserve"> receptor tyrosine kinase proposed for the treatment of adult patients with advanced or metastatic </w:t>
      </w:r>
      <w:r w:rsidRPr="00F728C8">
        <w:rPr>
          <w:rFonts w:cs="Calibri"/>
          <w:bCs/>
          <w:i/>
          <w:iCs/>
          <w:szCs w:val="22"/>
        </w:rPr>
        <w:t>RET</w:t>
      </w:r>
      <w:r>
        <w:rPr>
          <w:rFonts w:cs="Calibri"/>
          <w:bCs/>
          <w:szCs w:val="22"/>
        </w:rPr>
        <w:t xml:space="preserve"> fusion positive NSCLC.</w:t>
      </w:r>
    </w:p>
    <w:p w14:paraId="24EA03BB" w14:textId="268A9BF1" w:rsidR="005A23C0" w:rsidRDefault="00F728C8" w:rsidP="00F728C8">
      <w:pPr>
        <w:rPr>
          <w:rFonts w:cs="Calibri"/>
          <w:bCs/>
          <w:szCs w:val="22"/>
        </w:rPr>
      </w:pPr>
      <w:r>
        <w:rPr>
          <w:rFonts w:cs="Calibri"/>
          <w:bCs/>
          <w:szCs w:val="22"/>
        </w:rPr>
        <w:t xml:space="preserve">The proposed strengths are 40 mg and 80 mg. The product will be distributed in blisters </w:t>
      </w:r>
      <w:r w:rsidRPr="00BA13F7">
        <w:rPr>
          <w:rFonts w:cs="Calibri"/>
          <w:bCs/>
          <w:szCs w:val="22"/>
        </w:rPr>
        <w:t>containing 14, 42, 56, or 168 capsules for the 40 mg strength and 14, 28, 56 or 112 capsules for the 80 mg strength.</w:t>
      </w:r>
    </w:p>
    <w:p w14:paraId="2E8D3C47" w14:textId="77777777" w:rsidR="005A23C0" w:rsidRDefault="005A23C0">
      <w:pPr>
        <w:rPr>
          <w:rFonts w:cs="Calibri"/>
          <w:bCs/>
          <w:szCs w:val="22"/>
        </w:rPr>
      </w:pPr>
      <w:r>
        <w:rPr>
          <w:rFonts w:cs="Calibri"/>
          <w:bCs/>
          <w:szCs w:val="22"/>
        </w:rPr>
        <w:br w:type="page"/>
      </w:r>
    </w:p>
    <w:p w14:paraId="5DD52567" w14:textId="332E1DEE" w:rsidR="00764F00" w:rsidRDefault="00764F00" w:rsidP="00F728C8">
      <w:pPr>
        <w:pStyle w:val="FigureTitle"/>
      </w:pPr>
      <w:r w:rsidRPr="00F728C8">
        <w:lastRenderedPageBreak/>
        <w:t xml:space="preserve">Figure </w:t>
      </w:r>
      <w:r w:rsidR="009F1197">
        <w:fldChar w:fldCharType="begin"/>
      </w:r>
      <w:r w:rsidR="009F1197">
        <w:instrText xml:space="preserve"> SEQ Figure \* ARABIC </w:instrText>
      </w:r>
      <w:r w:rsidR="009F1197">
        <w:fldChar w:fldCharType="separate"/>
      </w:r>
      <w:r w:rsidR="005A23C0">
        <w:rPr>
          <w:noProof/>
        </w:rPr>
        <w:t>1</w:t>
      </w:r>
      <w:r w:rsidR="009F1197">
        <w:rPr>
          <w:noProof/>
        </w:rPr>
        <w:fldChar w:fldCharType="end"/>
      </w:r>
      <w:r>
        <w:t xml:space="preserve">: Chemical structure of </w:t>
      </w:r>
      <w:proofErr w:type="spellStart"/>
      <w:r>
        <w:t>selpercatinib</w:t>
      </w:r>
      <w:proofErr w:type="spellEnd"/>
      <w:r w:rsidR="00C30024">
        <w:fldChar w:fldCharType="begin"/>
      </w:r>
      <w:r w:rsidR="00C30024">
        <w:instrText xml:space="preserve"> DOCVARIABLE vault_nd_f4e9ef61-6ba9-4e08-8dd2-7730e27f5c0b \* MERGEFORMAT </w:instrText>
      </w:r>
      <w:r w:rsidR="00C30024">
        <w:fldChar w:fldCharType="separate"/>
      </w:r>
      <w:r w:rsidR="00040953">
        <w:t xml:space="preserve"> </w:t>
      </w:r>
      <w:r w:rsidR="00C30024">
        <w:fldChar w:fldCharType="end"/>
      </w:r>
    </w:p>
    <w:p w14:paraId="3F4BABBB" w14:textId="456368D0" w:rsidR="00764F00" w:rsidRDefault="00764F00" w:rsidP="00764F00">
      <w:r>
        <w:rPr>
          <w:noProof/>
        </w:rPr>
        <w:drawing>
          <wp:inline distT="0" distB="0" distL="0" distR="0" wp14:anchorId="2E588884" wp14:editId="217612DE">
            <wp:extent cx="3034351" cy="1228725"/>
            <wp:effectExtent l="0" t="0" r="0" b="0"/>
            <wp:docPr id="1" name="Picture 1" descr="Chemical structure of selpercatini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emical structure of selpercatinib "/>
                    <pic:cNvPicPr/>
                  </pic:nvPicPr>
                  <pic:blipFill>
                    <a:blip r:embed="rId25"/>
                    <a:stretch>
                      <a:fillRect/>
                    </a:stretch>
                  </pic:blipFill>
                  <pic:spPr>
                    <a:xfrm>
                      <a:off x="0" y="0"/>
                      <a:ext cx="3037769" cy="1230109"/>
                    </a:xfrm>
                    <a:prstGeom prst="rect">
                      <a:avLst/>
                    </a:prstGeom>
                  </pic:spPr>
                </pic:pic>
              </a:graphicData>
            </a:graphic>
          </wp:inline>
        </w:drawing>
      </w:r>
    </w:p>
    <w:p w14:paraId="76FDB8FF" w14:textId="1D8EFAC4" w:rsidR="00F728C8" w:rsidRDefault="00F728C8" w:rsidP="00F728C8">
      <w:pPr>
        <w:rPr>
          <w:szCs w:val="22"/>
        </w:rPr>
      </w:pPr>
      <w:r>
        <w:rPr>
          <w:rFonts w:cs="Calibri"/>
          <w:bCs/>
          <w:szCs w:val="22"/>
        </w:rPr>
        <w:t xml:space="preserve">The Delegate noted that </w:t>
      </w:r>
      <w:r>
        <w:rPr>
          <w:szCs w:val="22"/>
        </w:rPr>
        <w:t xml:space="preserve">the foil packaging will require a Section 14 exemption at the time of Registration due to the positioning of the text for Lot and Expiry Date not being consistent with </w:t>
      </w:r>
      <w:r w:rsidR="008341A6" w:rsidRPr="008341A6">
        <w:rPr>
          <w:szCs w:val="22"/>
        </w:rPr>
        <w:t>Therapeutic Goods Order 91 (TGO 91)</w:t>
      </w:r>
      <w:r>
        <w:rPr>
          <w:szCs w:val="22"/>
        </w:rPr>
        <w:t>.</w:t>
      </w:r>
      <w:r w:rsidR="008341A6">
        <w:rPr>
          <w:rStyle w:val="FootnoteReference"/>
          <w:szCs w:val="22"/>
        </w:rPr>
        <w:footnoteReference w:id="2"/>
      </w:r>
      <w:r>
        <w:rPr>
          <w:szCs w:val="22"/>
        </w:rPr>
        <w:t xml:space="preserve"> The text is, however, directly subjacent to where this information will be displayed.</w:t>
      </w:r>
    </w:p>
    <w:p w14:paraId="7EAF01DF" w14:textId="77777777" w:rsidR="00F728C8" w:rsidRDefault="00F728C8" w:rsidP="00F728C8">
      <w:pPr>
        <w:rPr>
          <w:szCs w:val="22"/>
        </w:rPr>
      </w:pPr>
      <w:r>
        <w:rPr>
          <w:szCs w:val="22"/>
        </w:rPr>
        <w:t>The Delegate concurs with the quality evaluator’s view that there is no significant safety issue raised by this minor departure from TGO91, which only occurs on the foil packaging for the capsules and not on the exterior box.</w:t>
      </w:r>
    </w:p>
    <w:p w14:paraId="11B8BB7F" w14:textId="4B151F6A" w:rsidR="00F728C8" w:rsidRPr="00F728C8" w:rsidRDefault="00F728C8" w:rsidP="00F728C8">
      <w:pPr>
        <w:spacing w:before="120"/>
        <w:rPr>
          <w:rFonts w:cs="Calibri"/>
          <w:bCs/>
          <w:szCs w:val="22"/>
        </w:rPr>
      </w:pPr>
      <w:r>
        <w:rPr>
          <w:rFonts w:cs="Calibri"/>
          <w:bCs/>
          <w:szCs w:val="22"/>
        </w:rPr>
        <w:t>The Delegate noted that approval for registration of the proposed product can be recommended from a pharmaceutical chemistry perspective.</w:t>
      </w:r>
    </w:p>
    <w:p w14:paraId="2BE90AAE" w14:textId="470BA7A0" w:rsidR="00C22214" w:rsidRDefault="00C22214" w:rsidP="00C22214">
      <w:pPr>
        <w:pStyle w:val="Heading3"/>
      </w:pPr>
      <w:bookmarkStart w:id="35" w:name="_Toc314842512"/>
      <w:bookmarkStart w:id="36" w:name="_Toc103679296"/>
      <w:bookmarkStart w:id="37" w:name="_Toc148531591"/>
      <w:r>
        <w:t>Nonclinical</w:t>
      </w:r>
      <w:bookmarkEnd w:id="35"/>
      <w:bookmarkEnd w:id="36"/>
      <w:bookmarkEnd w:id="37"/>
      <w:r w:rsidR="00040953">
        <w:fldChar w:fldCharType="begin"/>
      </w:r>
      <w:r w:rsidR="00040953">
        <w:instrText xml:space="preserve"> DOCVARIABLE vault_nd_674c77eb-a4a2-43bc-b569-a1b25448690f \* MERGEFORMAT </w:instrText>
      </w:r>
      <w:r w:rsidR="00040953">
        <w:fldChar w:fldCharType="separate"/>
      </w:r>
      <w:r w:rsidR="00040953">
        <w:t xml:space="preserve"> </w:t>
      </w:r>
      <w:r w:rsidR="00040953">
        <w:fldChar w:fldCharType="end"/>
      </w:r>
    </w:p>
    <w:p w14:paraId="79E22520" w14:textId="72BA4737" w:rsidR="00282BCF" w:rsidRPr="00BA2B65" w:rsidRDefault="00BA2B65" w:rsidP="00BA2B65">
      <w:pPr>
        <w:spacing w:before="120"/>
        <w:rPr>
          <w:rFonts w:cs="Calibri"/>
          <w:bCs/>
          <w:szCs w:val="22"/>
        </w:rPr>
      </w:pPr>
      <w:bookmarkStart w:id="38" w:name="_Toc247691530"/>
      <w:bookmarkStart w:id="39" w:name="_Toc314842513"/>
      <w:bookmarkStart w:id="40" w:name="_Toc103679297"/>
      <w:r>
        <w:t>The Delegate noted that n</w:t>
      </w:r>
      <w:r w:rsidR="00282BCF" w:rsidRPr="00282BCF">
        <w:t xml:space="preserve">o major </w:t>
      </w:r>
      <w:r w:rsidR="00282BCF">
        <w:t>nonclinical</w:t>
      </w:r>
      <w:r w:rsidR="00282BCF" w:rsidRPr="00282BCF">
        <w:t xml:space="preserve"> deficiencies were identified</w:t>
      </w:r>
      <w:r>
        <w:t>.</w:t>
      </w:r>
    </w:p>
    <w:p w14:paraId="73B74285" w14:textId="5FA3A7DD" w:rsidR="00282BCF" w:rsidRPr="00282BCF" w:rsidRDefault="00282BCF" w:rsidP="00282BCF">
      <w:r w:rsidRPr="00282BCF">
        <w:t xml:space="preserve">Primary pharmacology studies demonstrated nonclinical efficacy for the intended target of </w:t>
      </w:r>
      <w:r w:rsidRPr="00282BCF">
        <w:rPr>
          <w:i/>
          <w:iCs/>
        </w:rPr>
        <w:t>RET</w:t>
      </w:r>
      <w:r w:rsidRPr="00282BCF">
        <w:t xml:space="preserve">-related kinases and support the use of </w:t>
      </w:r>
      <w:proofErr w:type="spellStart"/>
      <w:r w:rsidRPr="00282BCF">
        <w:t>selpercatinib</w:t>
      </w:r>
      <w:proofErr w:type="spellEnd"/>
      <w:r w:rsidRPr="00282BCF">
        <w:t xml:space="preserve"> for the proposed indications.</w:t>
      </w:r>
    </w:p>
    <w:p w14:paraId="587FD8EF" w14:textId="2E3B3D39" w:rsidR="00282BCF" w:rsidRPr="00282BCF" w:rsidRDefault="00282BCF" w:rsidP="00282BCF">
      <w:r w:rsidRPr="00282BCF">
        <w:t xml:space="preserve">Off-target inhibitory activity of </w:t>
      </w:r>
      <w:proofErr w:type="spellStart"/>
      <w:r w:rsidRPr="00282BCF">
        <w:t>selpercatinib</w:t>
      </w:r>
      <w:proofErr w:type="spellEnd"/>
      <w:r w:rsidRPr="00282BCF">
        <w:t xml:space="preserve"> was observed against </w:t>
      </w:r>
      <w:proofErr w:type="gramStart"/>
      <w:r w:rsidRPr="00282BCF">
        <w:t>a number of</w:t>
      </w:r>
      <w:proofErr w:type="gramEnd"/>
      <w:r w:rsidRPr="00282BCF">
        <w:t xml:space="preserve"> other kinases at clinically relevant concentrations – notably Aurora B, FGFR1, FGFR2, FGFR3, FLT1 (VEGFR1), VEGFR2, FLT4 (VEGFR3), PLK4, 5-HT and α2c(h). Pharmacological effects resulting from inhibition of these targets by </w:t>
      </w:r>
      <w:proofErr w:type="spellStart"/>
      <w:r w:rsidRPr="00282BCF">
        <w:t>selpercatinib</w:t>
      </w:r>
      <w:proofErr w:type="spellEnd"/>
      <w:r w:rsidRPr="00282BCF">
        <w:t xml:space="preserve"> may occur with R</w:t>
      </w:r>
      <w:r>
        <w:t>etevmo</w:t>
      </w:r>
      <w:r w:rsidRPr="00282BCF">
        <w:t xml:space="preserve"> use.</w:t>
      </w:r>
    </w:p>
    <w:p w14:paraId="3BB222F7" w14:textId="77777777" w:rsidR="00282BCF" w:rsidRPr="00282BCF" w:rsidRDefault="00282BCF" w:rsidP="00282BCF">
      <w:r w:rsidRPr="00282BCF">
        <w:t xml:space="preserve">Major targets of </w:t>
      </w:r>
      <w:proofErr w:type="spellStart"/>
      <w:r w:rsidRPr="00282BCF">
        <w:t>selpercatinib</w:t>
      </w:r>
      <w:proofErr w:type="spellEnd"/>
      <w:r w:rsidRPr="00282BCF">
        <w:t xml:space="preserve"> -related toxicity included: </w:t>
      </w:r>
    </w:p>
    <w:p w14:paraId="3BF424EA" w14:textId="72B3604A" w:rsidR="00282BCF" w:rsidRPr="00282BCF" w:rsidRDefault="00282BCF" w:rsidP="00282BCF">
      <w:pPr>
        <w:pStyle w:val="ListBullet"/>
      </w:pPr>
      <w:r w:rsidRPr="00282BCF">
        <w:t xml:space="preserve">Lymphoid tissue (bone marrow, thymus, spleen, </w:t>
      </w:r>
      <w:r w:rsidR="00BA2B65" w:rsidRPr="00BA2B65">
        <w:t>gut</w:t>
      </w:r>
      <w:r w:rsidR="00BA2B65">
        <w:t xml:space="preserve"> </w:t>
      </w:r>
      <w:r w:rsidR="00BA2B65" w:rsidRPr="00BA2B65">
        <w:t>associated lymphoid tissues</w:t>
      </w:r>
      <w:r w:rsidRPr="00282BCF">
        <w:t>)</w:t>
      </w:r>
    </w:p>
    <w:p w14:paraId="2038EDEA" w14:textId="71BC43C2" w:rsidR="00282BCF" w:rsidRPr="00282BCF" w:rsidRDefault="00282BCF" w:rsidP="00282BCF">
      <w:pPr>
        <w:pStyle w:val="ListBullet"/>
      </w:pPr>
      <w:r w:rsidRPr="00282BCF">
        <w:t>G</w:t>
      </w:r>
      <w:r>
        <w:t>astrointestinal</w:t>
      </w:r>
      <w:r w:rsidRPr="00282BCF">
        <w:t xml:space="preserve"> tract</w:t>
      </w:r>
    </w:p>
    <w:p w14:paraId="430BF9BB" w14:textId="5E804E2E" w:rsidR="00282BCF" w:rsidRPr="00282BCF" w:rsidRDefault="00282BCF" w:rsidP="00282BCF">
      <w:pPr>
        <w:pStyle w:val="ListBullet"/>
      </w:pPr>
      <w:r w:rsidRPr="00282BCF">
        <w:t>Liver</w:t>
      </w:r>
    </w:p>
    <w:p w14:paraId="3D785EF7" w14:textId="35B2B7F7" w:rsidR="00282BCF" w:rsidRPr="00282BCF" w:rsidRDefault="00282BCF" w:rsidP="00282BCF">
      <w:pPr>
        <w:pStyle w:val="ListBullet"/>
      </w:pPr>
      <w:r w:rsidRPr="00282BCF">
        <w:t xml:space="preserve">Bone and teeth (which may have clinical relevance to patients </w:t>
      </w:r>
      <w:r w:rsidR="00BA2B65">
        <w:t>less than</w:t>
      </w:r>
      <w:r>
        <w:t xml:space="preserve"> </w:t>
      </w:r>
      <w:r w:rsidRPr="00282BCF">
        <w:t>18 years).</w:t>
      </w:r>
    </w:p>
    <w:p w14:paraId="4DDFF003" w14:textId="094241BD" w:rsidR="00282BCF" w:rsidRPr="00282BCF" w:rsidRDefault="00282BCF" w:rsidP="00282BCF">
      <w:pPr>
        <w:pStyle w:val="ListBullet"/>
      </w:pPr>
      <w:proofErr w:type="spellStart"/>
      <w:r w:rsidRPr="00282BCF">
        <w:t>Hyperphosphataemia</w:t>
      </w:r>
      <w:proofErr w:type="spellEnd"/>
    </w:p>
    <w:p w14:paraId="737E2F0A" w14:textId="4DE09726" w:rsidR="00282BCF" w:rsidRPr="00282BCF" w:rsidRDefault="00282BCF" w:rsidP="00282BCF">
      <w:pPr>
        <w:pStyle w:val="ListBullet"/>
      </w:pPr>
      <w:r w:rsidRPr="00282BCF">
        <w:t>Reproductive tissue</w:t>
      </w:r>
    </w:p>
    <w:p w14:paraId="4ADF9888" w14:textId="6CA543B8" w:rsidR="00282BCF" w:rsidRPr="00282BCF" w:rsidRDefault="00282BCF" w:rsidP="00282BCF">
      <w:r w:rsidRPr="00282BCF">
        <w:t>Dedicated fertility studies in male and female rats are available and were evaluated by the FDA.</w:t>
      </w:r>
    </w:p>
    <w:p w14:paraId="35B580A5" w14:textId="5044B1A6" w:rsidR="00C22214" w:rsidRDefault="00C22214" w:rsidP="008804CF">
      <w:pPr>
        <w:pStyle w:val="Heading3"/>
      </w:pPr>
      <w:bookmarkStart w:id="41" w:name="_Toc148531592"/>
      <w:r>
        <w:lastRenderedPageBreak/>
        <w:t>Clinical</w:t>
      </w:r>
      <w:bookmarkEnd w:id="38"/>
      <w:bookmarkEnd w:id="39"/>
      <w:bookmarkEnd w:id="40"/>
      <w:bookmarkEnd w:id="41"/>
      <w:r w:rsidR="00040953">
        <w:fldChar w:fldCharType="begin"/>
      </w:r>
      <w:r w:rsidR="00040953">
        <w:instrText xml:space="preserve"> DOCVARIABLE vault_nd_9fa80490-d21d-417c-9e82-db78ba7da953 \* MERGEFORMAT </w:instrText>
      </w:r>
      <w:r w:rsidR="00040953">
        <w:fldChar w:fldCharType="separate"/>
      </w:r>
      <w:r w:rsidR="00040953">
        <w:t xml:space="preserve"> </w:t>
      </w:r>
      <w:r w:rsidR="00040953">
        <w:fldChar w:fldCharType="end"/>
      </w:r>
    </w:p>
    <w:p w14:paraId="3ABE265E" w14:textId="77777777" w:rsidR="00E119E3" w:rsidRDefault="00E119E3" w:rsidP="00E119E3">
      <w:r>
        <w:t>The pivotal clinical data was provided by two reports of the Libretto-1 study.</w:t>
      </w:r>
    </w:p>
    <w:p w14:paraId="2BD2C45C" w14:textId="4B1183B3" w:rsidR="00E119E3" w:rsidRDefault="00E119E3" w:rsidP="00E119E3">
      <w:r>
        <w:t>A further six pharmacokinetic studies were provided and 1 pharmacodynamic study examining the effect of Selpercatinib on QTc interval.</w:t>
      </w:r>
      <w:r w:rsidR="008341A6">
        <w:rPr>
          <w:rStyle w:val="FootnoteReference"/>
        </w:rPr>
        <w:footnoteReference w:id="3"/>
      </w:r>
    </w:p>
    <w:p w14:paraId="4FC3B997" w14:textId="4C26540F" w:rsidR="00E119E3" w:rsidRDefault="00E119E3" w:rsidP="00E119E3">
      <w:pPr>
        <w:pStyle w:val="Heading4"/>
      </w:pPr>
      <w:bookmarkStart w:id="42" w:name="_Toc148531593"/>
      <w:r>
        <w:t>Pharmacology</w:t>
      </w:r>
      <w:bookmarkEnd w:id="42"/>
      <w:r w:rsidR="00040953">
        <w:fldChar w:fldCharType="begin"/>
      </w:r>
      <w:r w:rsidR="00040953">
        <w:instrText xml:space="preserve"> DOCVARIABLE vault_nd_f8acc249-fc7d-4e59-8545-f6d8fd57657d \* MERGEFORMAT </w:instrText>
      </w:r>
      <w:r w:rsidR="00040953">
        <w:fldChar w:fldCharType="separate"/>
      </w:r>
      <w:r w:rsidR="00040953">
        <w:t xml:space="preserve"> </w:t>
      </w:r>
      <w:r w:rsidR="00040953">
        <w:fldChar w:fldCharType="end"/>
      </w:r>
    </w:p>
    <w:p w14:paraId="22B3AA3A" w14:textId="40281E4C" w:rsidR="00E119E3" w:rsidRDefault="00E119E3" w:rsidP="00E119E3">
      <w:pPr>
        <w:pStyle w:val="Heading5"/>
      </w:pPr>
      <w:r>
        <w:t>Pharmacokinetics</w:t>
      </w:r>
      <w:r w:rsidR="009F1197">
        <w:fldChar w:fldCharType="begin"/>
      </w:r>
      <w:r w:rsidR="009F1197">
        <w:instrText xml:space="preserve"> DOCVARIABLE vault_nd_f508e891-c30f-4788-9c34-0aa3d2a3fc0c \* MERGEFORMAT </w:instrText>
      </w:r>
      <w:r w:rsidR="009F1197">
        <w:fldChar w:fldCharType="separate"/>
      </w:r>
      <w:r w:rsidR="00040953">
        <w:t xml:space="preserve"> </w:t>
      </w:r>
      <w:r w:rsidR="009F1197">
        <w:fldChar w:fldCharType="end"/>
      </w:r>
    </w:p>
    <w:p w14:paraId="61963AC6" w14:textId="1EC12CEB" w:rsidR="00E119E3" w:rsidRDefault="00E119E3" w:rsidP="00E119E3">
      <w:r>
        <w:t>The clinical evaluator has reviewed the pharmacokinetics (PK) data.</w:t>
      </w:r>
    </w:p>
    <w:p w14:paraId="5B59B79D" w14:textId="77777777" w:rsidR="00E119E3" w:rsidRDefault="00E119E3" w:rsidP="00E119E3">
      <w:r>
        <w:t>The general pharmacokinetic parameters of Selpercatinib are:</w:t>
      </w:r>
    </w:p>
    <w:p w14:paraId="1BE5DB47" w14:textId="456B8021" w:rsidR="00E119E3" w:rsidRDefault="00E119E3" w:rsidP="00E119E3">
      <w:pPr>
        <w:pStyle w:val="ListBullet"/>
      </w:pPr>
      <w:r>
        <w:t xml:space="preserve">A mean bioavailability of 73%, </w:t>
      </w:r>
      <w:r w:rsidR="00BA2B65">
        <w:t>time to maximum concentration (</w:t>
      </w:r>
      <w:proofErr w:type="spellStart"/>
      <w:r>
        <w:t>T</w:t>
      </w:r>
      <w:r w:rsidRPr="00BA2B65">
        <w:rPr>
          <w:vertAlign w:val="subscript"/>
        </w:rPr>
        <w:t>max</w:t>
      </w:r>
      <w:proofErr w:type="spellEnd"/>
      <w:r w:rsidR="00BA2B65">
        <w:t>)</w:t>
      </w:r>
      <w:r>
        <w:t xml:space="preserve"> of 2 hours and </w:t>
      </w:r>
      <w:r w:rsidR="00BA2B65" w:rsidRPr="00BA2B65">
        <w:t xml:space="preserve">volume of distribution </w:t>
      </w:r>
      <w:r w:rsidR="00BA2B65">
        <w:t>(</w:t>
      </w:r>
      <w:proofErr w:type="spellStart"/>
      <w:r>
        <w:t>Vd</w:t>
      </w:r>
      <w:proofErr w:type="spellEnd"/>
      <w:r w:rsidR="00BA2B65">
        <w:t>)</w:t>
      </w:r>
      <w:r>
        <w:t xml:space="preserve"> of 323</w:t>
      </w:r>
      <w:r w:rsidR="00BA2B65">
        <w:t xml:space="preserve"> </w:t>
      </w:r>
      <w:r>
        <w:t>L.</w:t>
      </w:r>
    </w:p>
    <w:p w14:paraId="5C19F314" w14:textId="157437DB" w:rsidR="00E119E3" w:rsidRDefault="00E119E3" w:rsidP="00E119E3">
      <w:pPr>
        <w:pStyle w:val="ListBullet"/>
      </w:pPr>
      <w:r>
        <w:t xml:space="preserve">Selpercatinib is 97% bound to plasma proteins </w:t>
      </w:r>
      <w:r w:rsidRPr="00B23AC7">
        <w:rPr>
          <w:i/>
          <w:iCs/>
        </w:rPr>
        <w:t>in vitro</w:t>
      </w:r>
      <w:r>
        <w:t>, with a blood/plasma ratio of 0.7</w:t>
      </w:r>
    </w:p>
    <w:p w14:paraId="6A8F409F" w14:textId="693E35CD" w:rsidR="00E119E3" w:rsidRDefault="00E119E3" w:rsidP="00E119E3">
      <w:pPr>
        <w:pStyle w:val="ListBullet"/>
      </w:pPr>
      <w:r>
        <w:t xml:space="preserve">Selpercatinib is a mild inhibitor of CYP2C8 </w:t>
      </w:r>
      <w:r w:rsidRPr="00B23AC7">
        <w:rPr>
          <w:i/>
          <w:iCs/>
        </w:rPr>
        <w:t>in vivo</w:t>
      </w:r>
      <w:r>
        <w:t xml:space="preserve"> but is mainly metabolised by CYP3A4.</w:t>
      </w:r>
    </w:p>
    <w:p w14:paraId="0D8DEE5A" w14:textId="08D8CA0E" w:rsidR="00E119E3" w:rsidRDefault="00E119E3" w:rsidP="00E119E3">
      <w:pPr>
        <w:pStyle w:val="ListBullet"/>
      </w:pPr>
      <w:r>
        <w:t>Following metabolism, 69% of the dose of Selpercatinib is excreted in faeces and 24% in urine over an extended collection period in which 94% of a radio-labelled dose was recovered.</w:t>
      </w:r>
    </w:p>
    <w:p w14:paraId="6F5FE855" w14:textId="3BB1F48C" w:rsidR="00E119E3" w:rsidRPr="00E119E3" w:rsidRDefault="00E119E3" w:rsidP="00E119E3">
      <w:pPr>
        <w:pStyle w:val="ListBullet"/>
        <w:numPr>
          <w:ilvl w:val="0"/>
          <w:numId w:val="0"/>
        </w:numPr>
      </w:pPr>
      <w:r w:rsidRPr="00E119E3">
        <w:t>The PK studies that were submitted were:</w:t>
      </w:r>
    </w:p>
    <w:p w14:paraId="4D60FD5D" w14:textId="3A729CDE" w:rsidR="00E119E3" w:rsidRPr="00E119E3" w:rsidRDefault="00BA2B65" w:rsidP="00E119E3">
      <w:pPr>
        <w:pStyle w:val="ListBullet"/>
      </w:pPr>
      <w:r>
        <w:t xml:space="preserve">Study </w:t>
      </w:r>
      <w:r w:rsidR="00E119E3" w:rsidRPr="00E119E3">
        <w:t xml:space="preserve">J2G-MC-JZJV examined </w:t>
      </w:r>
      <w:r>
        <w:t>t</w:t>
      </w:r>
      <w:r w:rsidR="00E119E3" w:rsidRPr="00E119E3">
        <w:t xml:space="preserve">he effect of </w:t>
      </w:r>
      <w:proofErr w:type="spellStart"/>
      <w:r>
        <w:t>s</w:t>
      </w:r>
      <w:r w:rsidR="00E119E3" w:rsidRPr="00E119E3">
        <w:t>elpercatinib</w:t>
      </w:r>
      <w:proofErr w:type="spellEnd"/>
      <w:r w:rsidR="00E119E3" w:rsidRPr="00E119E3">
        <w:t xml:space="preserve"> on the PK of </w:t>
      </w:r>
      <w:r>
        <w:t>d</w:t>
      </w:r>
      <w:r w:rsidR="00E119E3" w:rsidRPr="00E119E3">
        <w:t>abigatran.</w:t>
      </w:r>
    </w:p>
    <w:p w14:paraId="1CE4B5A0" w14:textId="5BE1A3DC" w:rsidR="00E119E3" w:rsidRPr="00E119E3" w:rsidRDefault="00BA2B65" w:rsidP="00E119E3">
      <w:pPr>
        <w:pStyle w:val="ListBullet"/>
      </w:pPr>
      <w:r>
        <w:t xml:space="preserve">Study </w:t>
      </w:r>
      <w:r w:rsidR="00E119E3" w:rsidRPr="00E119E3">
        <w:t xml:space="preserve">LOXO-RET-18014 which examined the effect of multiple doses of </w:t>
      </w:r>
      <w:proofErr w:type="spellStart"/>
      <w:r w:rsidR="00E119E3" w:rsidRPr="00E119E3">
        <w:t>itraconozole</w:t>
      </w:r>
      <w:proofErr w:type="spellEnd"/>
      <w:r w:rsidR="00E119E3" w:rsidRPr="00E119E3">
        <w:t xml:space="preserve"> and rifampicin on the PK of a single dose of </w:t>
      </w:r>
      <w:proofErr w:type="spellStart"/>
      <w:r>
        <w:t>s</w:t>
      </w:r>
      <w:r w:rsidR="00E119E3" w:rsidRPr="00E119E3">
        <w:t>elpercatinib</w:t>
      </w:r>
      <w:proofErr w:type="spellEnd"/>
      <w:r w:rsidR="00E119E3" w:rsidRPr="00E119E3">
        <w:t>.</w:t>
      </w:r>
    </w:p>
    <w:p w14:paraId="0D1870A1" w14:textId="34E51878" w:rsidR="00E119E3" w:rsidRPr="00E119E3" w:rsidRDefault="00BA2B65" w:rsidP="00E119E3">
      <w:pPr>
        <w:pStyle w:val="ListBullet"/>
      </w:pPr>
      <w:r>
        <w:t xml:space="preserve">Study </w:t>
      </w:r>
      <w:r w:rsidR="00E119E3" w:rsidRPr="00E119E3">
        <w:t xml:space="preserve">LOXO-RET-18017 which examined the effect of multiple doses of </w:t>
      </w:r>
      <w:proofErr w:type="spellStart"/>
      <w:r>
        <w:t>s</w:t>
      </w:r>
      <w:r w:rsidR="00E119E3" w:rsidRPr="00E119E3">
        <w:t>elpercatinib</w:t>
      </w:r>
      <w:proofErr w:type="spellEnd"/>
      <w:r w:rsidR="00E119E3" w:rsidRPr="00E119E3">
        <w:t xml:space="preserve"> on the PK of a single dose of </w:t>
      </w:r>
      <w:r>
        <w:t>m</w:t>
      </w:r>
      <w:r w:rsidR="00E119E3" w:rsidRPr="00E119E3">
        <w:t>idazolam</w:t>
      </w:r>
      <w:r>
        <w:t>.</w:t>
      </w:r>
    </w:p>
    <w:p w14:paraId="7DA5781F" w14:textId="17DD9729" w:rsidR="00E119E3" w:rsidRPr="00E119E3" w:rsidRDefault="00BA2B65" w:rsidP="00E119E3">
      <w:pPr>
        <w:pStyle w:val="ListBullet"/>
      </w:pPr>
      <w:r>
        <w:t xml:space="preserve">Study </w:t>
      </w:r>
      <w:r w:rsidR="00E119E3" w:rsidRPr="00E119E3">
        <w:t xml:space="preserve">LOXO-RET-18026 which examined the effect of multiple doses of </w:t>
      </w:r>
      <w:proofErr w:type="spellStart"/>
      <w:r>
        <w:t>s</w:t>
      </w:r>
      <w:r w:rsidR="00E119E3" w:rsidRPr="00E119E3">
        <w:t>elpercatinib</w:t>
      </w:r>
      <w:proofErr w:type="spellEnd"/>
      <w:r w:rsidR="00E119E3" w:rsidRPr="00E119E3">
        <w:t xml:space="preserve"> on the PK of a single dose of </w:t>
      </w:r>
      <w:r>
        <w:t>r</w:t>
      </w:r>
      <w:r w:rsidR="00E119E3" w:rsidRPr="00E119E3">
        <w:t>epaglinide</w:t>
      </w:r>
      <w:r>
        <w:t>.</w:t>
      </w:r>
    </w:p>
    <w:p w14:paraId="4FFE40D6" w14:textId="71BD3544" w:rsidR="00E119E3" w:rsidRPr="00E119E3" w:rsidRDefault="00BA2B65" w:rsidP="00E119E3">
      <w:pPr>
        <w:pStyle w:val="ListBullet"/>
      </w:pPr>
      <w:r>
        <w:t xml:space="preserve">Study </w:t>
      </w:r>
      <w:r w:rsidR="00E119E3" w:rsidRPr="00E119E3">
        <w:t xml:space="preserve">LOXO-RE-19075 which examined the effect of multiple doses of </w:t>
      </w:r>
      <w:r>
        <w:t>r</w:t>
      </w:r>
      <w:r w:rsidR="00E119E3" w:rsidRPr="00E119E3">
        <w:t xml:space="preserve">anitidine or </w:t>
      </w:r>
      <w:r>
        <w:t>o</w:t>
      </w:r>
      <w:r w:rsidR="00E119E3" w:rsidRPr="00E119E3">
        <w:t xml:space="preserve">meprazole on the PK of a single dose of </w:t>
      </w:r>
      <w:proofErr w:type="spellStart"/>
      <w:r>
        <w:t>s</w:t>
      </w:r>
      <w:r w:rsidR="00E119E3" w:rsidRPr="00E119E3">
        <w:t>elpercatinib</w:t>
      </w:r>
      <w:proofErr w:type="spellEnd"/>
      <w:r w:rsidR="00E119E3" w:rsidRPr="00E119E3">
        <w:t>. Omeprazole was administered in periods in which the subjects were fasted, given a low-fat</w:t>
      </w:r>
      <w:r>
        <w:t xml:space="preserve"> </w:t>
      </w:r>
      <w:proofErr w:type="gramStart"/>
      <w:r w:rsidR="00E119E3" w:rsidRPr="00E119E3">
        <w:t>meal</w:t>
      </w:r>
      <w:proofErr w:type="gramEnd"/>
      <w:r w:rsidR="00E119E3" w:rsidRPr="00E119E3">
        <w:t xml:space="preserve"> or given a high-fat meal respectively.</w:t>
      </w:r>
    </w:p>
    <w:p w14:paraId="68FD4763" w14:textId="2C32E16D" w:rsidR="00E119E3" w:rsidRPr="00E119E3" w:rsidRDefault="00BA2B65" w:rsidP="00E119E3">
      <w:pPr>
        <w:pStyle w:val="ListBullet"/>
      </w:pPr>
      <w:r>
        <w:t xml:space="preserve">Study </w:t>
      </w:r>
      <w:r w:rsidR="00E119E3" w:rsidRPr="00E119E3">
        <w:t xml:space="preserve">LOXO-RET-18057 which was a dose escalation study to determine the PK of </w:t>
      </w:r>
      <w:proofErr w:type="spellStart"/>
      <w:r>
        <w:t>s</w:t>
      </w:r>
      <w:r w:rsidR="00E119E3" w:rsidRPr="00E119E3">
        <w:t>elpercatinib</w:t>
      </w:r>
      <w:proofErr w:type="spellEnd"/>
      <w:r w:rsidR="00E119E3" w:rsidRPr="00E119E3">
        <w:t xml:space="preserve"> in healthy female subjects</w:t>
      </w:r>
      <w:r>
        <w:t>.</w:t>
      </w:r>
    </w:p>
    <w:p w14:paraId="57A8800C" w14:textId="4B8A1EE1" w:rsidR="00E119E3" w:rsidRPr="00E119E3" w:rsidRDefault="00E119E3" w:rsidP="00E119E3">
      <w:pPr>
        <w:pStyle w:val="ListBullet"/>
        <w:numPr>
          <w:ilvl w:val="0"/>
          <w:numId w:val="0"/>
        </w:numPr>
      </w:pPr>
      <w:r w:rsidRPr="00E119E3">
        <w:t>The results of these studies are, in brief:</w:t>
      </w:r>
    </w:p>
    <w:p w14:paraId="58BA02F6" w14:textId="4DCC3ED1" w:rsidR="00E119E3" w:rsidRPr="00E119E3" w:rsidRDefault="00E119E3" w:rsidP="00E119E3">
      <w:pPr>
        <w:pStyle w:val="ListBullet"/>
      </w:pPr>
      <w:r w:rsidRPr="00E119E3">
        <w:t>Coadministration of 160</w:t>
      </w:r>
      <w:r w:rsidR="00BA2B65">
        <w:t xml:space="preserve"> </w:t>
      </w:r>
      <w:r w:rsidRPr="00E119E3">
        <w:t xml:space="preserve">mg </w:t>
      </w:r>
      <w:proofErr w:type="spellStart"/>
      <w:r w:rsidR="00BA2B65">
        <w:t>s</w:t>
      </w:r>
      <w:r w:rsidRPr="00E119E3">
        <w:t>elpercatinib</w:t>
      </w:r>
      <w:proofErr w:type="spellEnd"/>
      <w:r w:rsidRPr="00E119E3">
        <w:t xml:space="preserve"> with a strong CYP3A4 inhibitor (itraconazole) increased the </w:t>
      </w:r>
      <w:r w:rsidR="00BA2B65">
        <w:t>area under concentration time curve (</w:t>
      </w:r>
      <w:r w:rsidRPr="00E119E3">
        <w:t>AUC</w:t>
      </w:r>
      <w:r w:rsidR="00BA2B65">
        <w:t>)</w:t>
      </w:r>
      <w:r w:rsidRPr="00E119E3">
        <w:t xml:space="preserve"> of </w:t>
      </w:r>
      <w:proofErr w:type="spellStart"/>
      <w:r w:rsidR="00BA2B65">
        <w:t>s</w:t>
      </w:r>
      <w:r w:rsidRPr="00E119E3">
        <w:t>elpercatinib</w:t>
      </w:r>
      <w:proofErr w:type="spellEnd"/>
      <w:r w:rsidRPr="00E119E3">
        <w:t xml:space="preserve"> </w:t>
      </w:r>
      <w:proofErr w:type="gramStart"/>
      <w:r w:rsidRPr="00E119E3">
        <w:t>2.3 fold</w:t>
      </w:r>
      <w:proofErr w:type="gramEnd"/>
      <w:r w:rsidRPr="00E119E3">
        <w:t xml:space="preserve"> and the C</w:t>
      </w:r>
      <w:r w:rsidRPr="00BA2B65">
        <w:rPr>
          <w:vertAlign w:val="subscript"/>
        </w:rPr>
        <w:t>max</w:t>
      </w:r>
      <w:r w:rsidRPr="00E119E3">
        <w:t xml:space="preserve"> 1.3 fold compared to when </w:t>
      </w:r>
      <w:proofErr w:type="spellStart"/>
      <w:r w:rsidR="00BA2B65">
        <w:t>s</w:t>
      </w:r>
      <w:r w:rsidRPr="00E119E3">
        <w:t>elpercatinib</w:t>
      </w:r>
      <w:proofErr w:type="spellEnd"/>
      <w:r w:rsidRPr="00E119E3">
        <w:t xml:space="preserve"> was given alone.</w:t>
      </w:r>
    </w:p>
    <w:p w14:paraId="5B073694" w14:textId="6832D3A7" w:rsidR="00E119E3" w:rsidRPr="00E119E3" w:rsidRDefault="00E119E3" w:rsidP="00E119E3">
      <w:pPr>
        <w:pStyle w:val="ListBullet"/>
      </w:pPr>
      <w:r w:rsidRPr="00E119E3">
        <w:lastRenderedPageBreak/>
        <w:t>Coadministration of 160</w:t>
      </w:r>
      <w:r w:rsidR="00BA2B65">
        <w:t xml:space="preserve"> </w:t>
      </w:r>
      <w:r w:rsidRPr="00E119E3">
        <w:t xml:space="preserve">mg </w:t>
      </w:r>
      <w:proofErr w:type="spellStart"/>
      <w:r w:rsidR="00BA2B65">
        <w:t>s</w:t>
      </w:r>
      <w:r w:rsidRPr="00E119E3">
        <w:t>elpercatinib</w:t>
      </w:r>
      <w:proofErr w:type="spellEnd"/>
      <w:r w:rsidRPr="00E119E3">
        <w:t xml:space="preserve"> with a strong CYP3A4 inducer (</w:t>
      </w:r>
      <w:r w:rsidR="00BA2B65">
        <w:t>r</w:t>
      </w:r>
      <w:r w:rsidRPr="00E119E3">
        <w:t xml:space="preserve">ifampicin multiple doses) decreased the AUC of </w:t>
      </w:r>
      <w:proofErr w:type="spellStart"/>
      <w:r w:rsidR="00BA2B65">
        <w:t>s</w:t>
      </w:r>
      <w:r w:rsidRPr="00E119E3">
        <w:t>elpercatinib</w:t>
      </w:r>
      <w:proofErr w:type="spellEnd"/>
      <w:r w:rsidRPr="00E119E3">
        <w:t xml:space="preserve"> by 87% and the </w:t>
      </w:r>
      <w:r w:rsidR="00BA2B65">
        <w:t>maximum concentration (</w:t>
      </w:r>
      <w:r w:rsidRPr="00E119E3">
        <w:t>C</w:t>
      </w:r>
      <w:r w:rsidRPr="00BA2B65">
        <w:rPr>
          <w:vertAlign w:val="subscript"/>
        </w:rPr>
        <w:t>max</w:t>
      </w:r>
      <w:r w:rsidR="00BA2B65">
        <w:t>)</w:t>
      </w:r>
      <w:r w:rsidRPr="00E119E3">
        <w:t xml:space="preserve"> by 70% compared to when it was administered alone.</w:t>
      </w:r>
    </w:p>
    <w:p w14:paraId="3F13011F" w14:textId="651E13F9" w:rsidR="00E119E3" w:rsidRPr="00E119E3" w:rsidRDefault="00E119E3" w:rsidP="00E119E3">
      <w:pPr>
        <w:pStyle w:val="ListBullet"/>
      </w:pPr>
      <w:r w:rsidRPr="00E119E3">
        <w:t>Coadministration of 160</w:t>
      </w:r>
      <w:r w:rsidR="00BA2B65">
        <w:t xml:space="preserve"> </w:t>
      </w:r>
      <w:r w:rsidRPr="00E119E3">
        <w:t xml:space="preserve">mg </w:t>
      </w:r>
      <w:proofErr w:type="spellStart"/>
      <w:r w:rsidR="00BA2B65">
        <w:t>s</w:t>
      </w:r>
      <w:r w:rsidRPr="00E119E3">
        <w:t>elpercatinib</w:t>
      </w:r>
      <w:proofErr w:type="spellEnd"/>
      <w:r w:rsidRPr="00E119E3">
        <w:t xml:space="preserve"> with a P-</w:t>
      </w:r>
      <w:r w:rsidR="00BA2B65">
        <w:t>g</w:t>
      </w:r>
      <w:r w:rsidRPr="00E119E3">
        <w:t>lycoprotein inhibitor (</w:t>
      </w:r>
      <w:proofErr w:type="spellStart"/>
      <w:r w:rsidRPr="00E119E3">
        <w:t>rifampin</w:t>
      </w:r>
      <w:proofErr w:type="spellEnd"/>
      <w:r w:rsidRPr="00E119E3">
        <w:t xml:space="preserve"> single dose) increased the AUC of </w:t>
      </w:r>
      <w:proofErr w:type="spellStart"/>
      <w:r w:rsidR="00BA2B65">
        <w:t>s</w:t>
      </w:r>
      <w:r w:rsidRPr="00E119E3">
        <w:t>elpercatinib</w:t>
      </w:r>
      <w:proofErr w:type="spellEnd"/>
      <w:r w:rsidRPr="00E119E3">
        <w:t xml:space="preserve"> by 6% and the C</w:t>
      </w:r>
      <w:r w:rsidRPr="00BA2B65">
        <w:rPr>
          <w:vertAlign w:val="subscript"/>
        </w:rPr>
        <w:t>max</w:t>
      </w:r>
      <w:r w:rsidRPr="00E119E3">
        <w:t xml:space="preserve"> by 19% compared to when it was administered alone.</w:t>
      </w:r>
    </w:p>
    <w:p w14:paraId="52A18923" w14:textId="5D0A69C9" w:rsidR="00E119E3" w:rsidRPr="00E119E3" w:rsidRDefault="00E119E3" w:rsidP="00E119E3">
      <w:pPr>
        <w:pStyle w:val="ListBullet"/>
      </w:pPr>
      <w:r w:rsidRPr="00E119E3">
        <w:t xml:space="preserve">Co-administration of </w:t>
      </w:r>
      <w:proofErr w:type="spellStart"/>
      <w:r w:rsidR="00BA2B65">
        <w:t>s</w:t>
      </w:r>
      <w:r w:rsidRPr="00E119E3">
        <w:t>elpercatinib</w:t>
      </w:r>
      <w:proofErr w:type="spellEnd"/>
      <w:r w:rsidRPr="00E119E3">
        <w:t xml:space="preserve"> under fasted conditions with omeprazole decreased the AUC of </w:t>
      </w:r>
      <w:proofErr w:type="spellStart"/>
      <w:r w:rsidR="00BA2B65">
        <w:t>s</w:t>
      </w:r>
      <w:r w:rsidRPr="00E119E3">
        <w:t>elpercatinib</w:t>
      </w:r>
      <w:proofErr w:type="spellEnd"/>
      <w:r w:rsidRPr="00E119E3">
        <w:t xml:space="preserve"> by 69% and C</w:t>
      </w:r>
      <w:r w:rsidRPr="00BA2B65">
        <w:rPr>
          <w:vertAlign w:val="subscript"/>
        </w:rPr>
        <w:t>max</w:t>
      </w:r>
      <w:r w:rsidRPr="00E119E3">
        <w:t xml:space="preserve"> by 88% compared to when it was administered alone. When administered with a high-fat meal and omeprazole the AUC of </w:t>
      </w:r>
      <w:proofErr w:type="spellStart"/>
      <w:r w:rsidR="00BA2B65">
        <w:t>s</w:t>
      </w:r>
      <w:r w:rsidRPr="00E119E3">
        <w:t>elpercatinib</w:t>
      </w:r>
      <w:proofErr w:type="spellEnd"/>
      <w:r w:rsidRPr="00E119E3">
        <w:t xml:space="preserve"> was increased by 2% and the C</w:t>
      </w:r>
      <w:r w:rsidRPr="00BA2B65">
        <w:rPr>
          <w:vertAlign w:val="subscript"/>
        </w:rPr>
        <w:t>max</w:t>
      </w:r>
      <w:r w:rsidRPr="00E119E3">
        <w:t xml:space="preserve"> was reduced by 49%. When administered with a low-fat meal and omeprazole the AUC of </w:t>
      </w:r>
      <w:proofErr w:type="spellStart"/>
      <w:r w:rsidR="00BA2B65">
        <w:t>s</w:t>
      </w:r>
      <w:r w:rsidRPr="00E119E3">
        <w:t>elpercatinib</w:t>
      </w:r>
      <w:proofErr w:type="spellEnd"/>
      <w:r w:rsidRPr="00E119E3">
        <w:t xml:space="preserve"> was unchanged, and </w:t>
      </w:r>
      <w:r w:rsidR="00BA2B65">
        <w:t>t</w:t>
      </w:r>
      <w:r w:rsidRPr="00E119E3">
        <w:t>he C</w:t>
      </w:r>
      <w:r w:rsidRPr="00BA2B65">
        <w:rPr>
          <w:vertAlign w:val="subscript"/>
        </w:rPr>
        <w:t>max</w:t>
      </w:r>
      <w:r w:rsidRPr="00E119E3">
        <w:t xml:space="preserve"> was reduced by 22% compared to when administered alone.</w:t>
      </w:r>
    </w:p>
    <w:p w14:paraId="7D85BC7E" w14:textId="458CC555" w:rsidR="00E119E3" w:rsidRPr="00E119E3" w:rsidRDefault="00E119E3" w:rsidP="00E119E3">
      <w:pPr>
        <w:pStyle w:val="ListBullet"/>
      </w:pPr>
      <w:r w:rsidRPr="00E119E3">
        <w:t>Coadministration of 160</w:t>
      </w:r>
      <w:r w:rsidR="00BA2B65">
        <w:t xml:space="preserve"> </w:t>
      </w:r>
      <w:r w:rsidRPr="00E119E3">
        <w:t xml:space="preserve">mg of </w:t>
      </w:r>
      <w:proofErr w:type="spellStart"/>
      <w:r w:rsidR="00BA2B65">
        <w:t>s</w:t>
      </w:r>
      <w:r w:rsidRPr="00E119E3">
        <w:t>elpercatinib</w:t>
      </w:r>
      <w:proofErr w:type="spellEnd"/>
      <w:r w:rsidRPr="00E119E3">
        <w:t xml:space="preserve"> with ranitidine increased the AUC of </w:t>
      </w:r>
      <w:proofErr w:type="spellStart"/>
      <w:r w:rsidR="00BA2B65">
        <w:t>s</w:t>
      </w:r>
      <w:r w:rsidRPr="00E119E3">
        <w:t>elpercatinib</w:t>
      </w:r>
      <w:proofErr w:type="spellEnd"/>
      <w:r w:rsidRPr="00E119E3">
        <w:t xml:space="preserve"> by 7% and the C</w:t>
      </w:r>
      <w:r w:rsidRPr="00BA2B65">
        <w:rPr>
          <w:vertAlign w:val="subscript"/>
        </w:rPr>
        <w:t>max</w:t>
      </w:r>
      <w:r w:rsidRPr="00E119E3">
        <w:t xml:space="preserve"> by 18% compared to when it was administered alone.</w:t>
      </w:r>
    </w:p>
    <w:p w14:paraId="7FCC2531" w14:textId="7261716F" w:rsidR="00E119E3" w:rsidRDefault="00E119E3" w:rsidP="00E119E3">
      <w:pPr>
        <w:pStyle w:val="ListBullet"/>
      </w:pPr>
      <w:r w:rsidRPr="00E119E3">
        <w:t>Co-administration of 160</w:t>
      </w:r>
      <w:r w:rsidR="00BA2B65">
        <w:t xml:space="preserve"> </w:t>
      </w:r>
      <w:r w:rsidRPr="00E119E3">
        <w:t xml:space="preserve">mg </w:t>
      </w:r>
      <w:proofErr w:type="spellStart"/>
      <w:r w:rsidR="00BA2B65">
        <w:t>s</w:t>
      </w:r>
      <w:r w:rsidRPr="00E119E3">
        <w:t>elpercatinib</w:t>
      </w:r>
      <w:proofErr w:type="spellEnd"/>
      <w:r w:rsidRPr="00E119E3">
        <w:t xml:space="preserve"> with midazolam, a CYP3A4 substrate, increased the AUC of midazolam by </w:t>
      </w:r>
      <w:proofErr w:type="gramStart"/>
      <w:r w:rsidRPr="00E119E3">
        <w:t>1.5 fold</w:t>
      </w:r>
      <w:proofErr w:type="gramEnd"/>
      <w:r w:rsidRPr="00E119E3">
        <w:t xml:space="preserve"> and the C</w:t>
      </w:r>
      <w:r w:rsidRPr="00BA2B65">
        <w:rPr>
          <w:vertAlign w:val="subscript"/>
        </w:rPr>
        <w:t>max</w:t>
      </w:r>
      <w:r w:rsidRPr="00E119E3">
        <w:t xml:space="preserve"> of midazolam 1.4 fold compared to when midazolam was administered alone.</w:t>
      </w:r>
    </w:p>
    <w:p w14:paraId="1CA23D70" w14:textId="574F7A85" w:rsidR="00E119E3" w:rsidRDefault="00E119E3" w:rsidP="00E119E3">
      <w:pPr>
        <w:pStyle w:val="Heading5"/>
      </w:pPr>
      <w:r>
        <w:t>Pharmacodynamics</w:t>
      </w:r>
      <w:r w:rsidR="009F1197">
        <w:fldChar w:fldCharType="begin"/>
      </w:r>
      <w:r w:rsidR="009F1197">
        <w:instrText xml:space="preserve"> DOCVARIABLE vault_nd_415e7486-695a-4571-8e4e-1d5c54193f8b \* MERGEFORMA</w:instrText>
      </w:r>
      <w:r w:rsidR="009F1197">
        <w:instrText xml:space="preserve">T </w:instrText>
      </w:r>
      <w:r w:rsidR="009F1197">
        <w:fldChar w:fldCharType="separate"/>
      </w:r>
      <w:r w:rsidR="00040953">
        <w:t xml:space="preserve"> </w:t>
      </w:r>
      <w:r w:rsidR="009F1197">
        <w:fldChar w:fldCharType="end"/>
      </w:r>
    </w:p>
    <w:p w14:paraId="171BBF04" w14:textId="3C74BB74" w:rsidR="00E119E3" w:rsidRPr="00E119E3" w:rsidRDefault="00E119E3" w:rsidP="00E119E3">
      <w:r>
        <w:t xml:space="preserve">Study </w:t>
      </w:r>
      <w:r w:rsidRPr="00E119E3">
        <w:t xml:space="preserve">LOXO-RET-18032 was a single dose study that examined the effect of </w:t>
      </w:r>
      <w:proofErr w:type="spellStart"/>
      <w:r w:rsidR="00BA2B65">
        <w:t>s</w:t>
      </w:r>
      <w:r w:rsidRPr="00E119E3">
        <w:t>elpercatinib</w:t>
      </w:r>
      <w:proofErr w:type="spellEnd"/>
      <w:r w:rsidRPr="00E119E3">
        <w:t xml:space="preserve"> on QTc. This suggested a mild prolongation in QTc at 320</w:t>
      </w:r>
      <w:r>
        <w:t xml:space="preserve"> </w:t>
      </w:r>
      <w:r w:rsidRPr="00E119E3">
        <w:t>mg and 640</w:t>
      </w:r>
      <w:r>
        <w:t xml:space="preserve"> </w:t>
      </w:r>
      <w:r w:rsidRPr="00E119E3">
        <w:t xml:space="preserve">mg of </w:t>
      </w:r>
      <w:proofErr w:type="spellStart"/>
      <w:r w:rsidR="00BA2B65">
        <w:t>s</w:t>
      </w:r>
      <w:r w:rsidRPr="00E119E3">
        <w:t>elpercatinib</w:t>
      </w:r>
      <w:proofErr w:type="spellEnd"/>
      <w:r w:rsidRPr="00E119E3">
        <w:t>, which has been noted as a potential risk in the draft PI.</w:t>
      </w:r>
    </w:p>
    <w:p w14:paraId="1E7BC151" w14:textId="31A8C2A2" w:rsidR="00E119E3" w:rsidRPr="00E119E3" w:rsidRDefault="00E119E3" w:rsidP="00E119E3">
      <w:pPr>
        <w:pStyle w:val="Heading4"/>
      </w:pPr>
      <w:bookmarkStart w:id="43" w:name="_Toc148531594"/>
      <w:r w:rsidRPr="00E119E3">
        <w:t>Efficacy</w:t>
      </w:r>
      <w:bookmarkEnd w:id="43"/>
      <w:r w:rsidR="00040953">
        <w:fldChar w:fldCharType="begin"/>
      </w:r>
      <w:r w:rsidR="00040953">
        <w:instrText xml:space="preserve"> DOCVARIABLE vault_nd_341664c7-32b7-411d-8bc8-9a0919ba9d83 \* MERGEFORMAT </w:instrText>
      </w:r>
      <w:r w:rsidR="00040953">
        <w:fldChar w:fldCharType="separate"/>
      </w:r>
      <w:r w:rsidR="00040953">
        <w:t xml:space="preserve"> </w:t>
      </w:r>
      <w:r w:rsidR="00040953">
        <w:fldChar w:fldCharType="end"/>
      </w:r>
    </w:p>
    <w:p w14:paraId="420B672C" w14:textId="47225A3C" w:rsidR="00E119E3" w:rsidRDefault="00E119E3" w:rsidP="00E119E3">
      <w:pPr>
        <w:pStyle w:val="Heading5"/>
      </w:pPr>
      <w:r>
        <w:t>Pivotal data</w:t>
      </w:r>
      <w:r w:rsidR="009F1197">
        <w:fldChar w:fldCharType="begin"/>
      </w:r>
      <w:r w:rsidR="009F1197">
        <w:instrText xml:space="preserve"> DOCVARIABLE vault_nd_813abc7a-94cf-46f2-9689-5cf17384a61d \* MERGEFORMAT </w:instrText>
      </w:r>
      <w:r w:rsidR="009F1197">
        <w:fldChar w:fldCharType="separate"/>
      </w:r>
      <w:r w:rsidR="00040953">
        <w:t xml:space="preserve"> </w:t>
      </w:r>
      <w:r w:rsidR="009F1197">
        <w:fldChar w:fldCharType="end"/>
      </w:r>
    </w:p>
    <w:p w14:paraId="100540B1" w14:textId="3A26659E" w:rsidR="00E119E3" w:rsidRPr="00E119E3" w:rsidRDefault="00E119E3" w:rsidP="00E119E3">
      <w:pPr>
        <w:autoSpaceDE w:val="0"/>
        <w:autoSpaceDN w:val="0"/>
        <w:adjustRightInd w:val="0"/>
        <w:spacing w:after="0" w:line="240" w:lineRule="auto"/>
        <w:rPr>
          <w:rFonts w:cs="Cambria"/>
          <w:color w:val="000000"/>
          <w:szCs w:val="22"/>
        </w:rPr>
      </w:pPr>
      <w:r>
        <w:rPr>
          <w:rFonts w:cs="Cambria"/>
          <w:color w:val="000000"/>
          <w:szCs w:val="22"/>
        </w:rPr>
        <w:t xml:space="preserve">Study </w:t>
      </w:r>
      <w:r w:rsidRPr="00E119E3">
        <w:rPr>
          <w:rFonts w:cs="Cambria"/>
          <w:color w:val="000000"/>
          <w:szCs w:val="22"/>
        </w:rPr>
        <w:t xml:space="preserve">Libretto-001 provided the pivotal data for this submission. Three data-analyses of the study were provided </w:t>
      </w:r>
      <w:r w:rsidR="00BA2B65">
        <w:rPr>
          <w:rFonts w:cs="Cambria"/>
          <w:color w:val="000000"/>
          <w:szCs w:val="22"/>
        </w:rPr>
        <w:t>on</w:t>
      </w:r>
      <w:r w:rsidRPr="00E119E3">
        <w:rPr>
          <w:rFonts w:cs="Cambria"/>
          <w:color w:val="000000"/>
          <w:szCs w:val="22"/>
        </w:rPr>
        <w:t xml:space="preserve">15 June 2021, 17 June </w:t>
      </w:r>
      <w:proofErr w:type="gramStart"/>
      <w:r w:rsidRPr="00E119E3">
        <w:rPr>
          <w:rFonts w:cs="Cambria"/>
          <w:color w:val="000000"/>
          <w:szCs w:val="22"/>
        </w:rPr>
        <w:t>2019</w:t>
      </w:r>
      <w:proofErr w:type="gramEnd"/>
      <w:r w:rsidRPr="00E119E3">
        <w:rPr>
          <w:rFonts w:cs="Cambria"/>
          <w:color w:val="000000"/>
          <w:szCs w:val="22"/>
        </w:rPr>
        <w:t xml:space="preserve"> and 16 December 2019. Of these, the </w:t>
      </w:r>
      <w:r>
        <w:rPr>
          <w:rFonts w:cs="Cambria"/>
          <w:color w:val="000000"/>
          <w:szCs w:val="22"/>
        </w:rPr>
        <w:t>clinical evaluation report</w:t>
      </w:r>
      <w:r w:rsidRPr="00E119E3">
        <w:rPr>
          <w:rFonts w:cs="Cambria"/>
          <w:color w:val="000000"/>
          <w:szCs w:val="22"/>
        </w:rPr>
        <w:t xml:space="preserve"> has focused on the latest data</w:t>
      </w:r>
      <w:r>
        <w:rPr>
          <w:rFonts w:cs="Cambria"/>
          <w:color w:val="000000"/>
          <w:szCs w:val="22"/>
        </w:rPr>
        <w:t xml:space="preserve"> </w:t>
      </w:r>
      <w:r w:rsidRPr="00E119E3">
        <w:rPr>
          <w:rFonts w:cs="Cambria"/>
          <w:color w:val="000000"/>
          <w:szCs w:val="22"/>
        </w:rPr>
        <w:t>cutoff in 2021 as this provides the longest timeline for efficacy and safety analyses.</w:t>
      </w:r>
    </w:p>
    <w:p w14:paraId="348F8EC2" w14:textId="62064D30" w:rsidR="00E119E3" w:rsidRPr="00E119E3" w:rsidRDefault="00E119E3" w:rsidP="00E119E3">
      <w:pPr>
        <w:pStyle w:val="Heading5"/>
      </w:pPr>
      <w:r w:rsidRPr="00E119E3">
        <w:t>Libretto-001</w:t>
      </w:r>
      <w:r w:rsidR="009F1197">
        <w:fldChar w:fldCharType="begin"/>
      </w:r>
      <w:r w:rsidR="009F1197">
        <w:instrText xml:space="preserve"> DOCVARIABLE v</w:instrText>
      </w:r>
      <w:r w:rsidR="009F1197">
        <w:instrText xml:space="preserve">ault_nd_77d55ace-6393-49a7-b236-7a9663181726 \* MERGEFORMAT </w:instrText>
      </w:r>
      <w:r w:rsidR="009F1197">
        <w:fldChar w:fldCharType="separate"/>
      </w:r>
      <w:r w:rsidR="00040953">
        <w:t xml:space="preserve"> </w:t>
      </w:r>
      <w:r w:rsidR="009F1197">
        <w:fldChar w:fldCharType="end"/>
      </w:r>
    </w:p>
    <w:p w14:paraId="45D1E1AA" w14:textId="2996D77A" w:rsidR="00E119E3" w:rsidRDefault="00E119E3" w:rsidP="00E119E3">
      <w:pPr>
        <w:pStyle w:val="ListBullet"/>
        <w:numPr>
          <w:ilvl w:val="0"/>
          <w:numId w:val="0"/>
        </w:numPr>
        <w:rPr>
          <w:rFonts w:eastAsiaTheme="minorHAnsi" w:cs="Cambria"/>
          <w:color w:val="000000"/>
          <w:szCs w:val="22"/>
        </w:rPr>
      </w:pPr>
      <w:r>
        <w:rPr>
          <w:rFonts w:eastAsiaTheme="minorHAnsi" w:cs="Cambria"/>
          <w:color w:val="000000"/>
          <w:szCs w:val="22"/>
        </w:rPr>
        <w:t xml:space="preserve">Study </w:t>
      </w:r>
      <w:r w:rsidRPr="00E119E3">
        <w:rPr>
          <w:rFonts w:eastAsiaTheme="minorHAnsi" w:cs="Cambria"/>
          <w:color w:val="000000"/>
          <w:szCs w:val="22"/>
        </w:rPr>
        <w:t>Libretto-001 was an open</w:t>
      </w:r>
      <w:r>
        <w:rPr>
          <w:rFonts w:eastAsiaTheme="minorHAnsi" w:cs="Cambria"/>
          <w:color w:val="000000"/>
          <w:szCs w:val="22"/>
        </w:rPr>
        <w:t xml:space="preserve"> </w:t>
      </w:r>
      <w:r w:rsidRPr="00E119E3">
        <w:rPr>
          <w:rFonts w:eastAsiaTheme="minorHAnsi" w:cs="Cambria"/>
          <w:color w:val="000000"/>
          <w:szCs w:val="22"/>
        </w:rPr>
        <w:t xml:space="preserve">label </w:t>
      </w:r>
      <w:r>
        <w:rPr>
          <w:rFonts w:eastAsiaTheme="minorHAnsi" w:cs="Cambria"/>
          <w:color w:val="000000"/>
          <w:szCs w:val="22"/>
        </w:rPr>
        <w:t>P</w:t>
      </w:r>
      <w:r w:rsidRPr="00E119E3">
        <w:rPr>
          <w:rFonts w:eastAsiaTheme="minorHAnsi" w:cs="Cambria"/>
          <w:color w:val="000000"/>
          <w:szCs w:val="22"/>
        </w:rPr>
        <w:t xml:space="preserve">hase </w:t>
      </w:r>
      <w:r>
        <w:rPr>
          <w:rFonts w:eastAsiaTheme="minorHAnsi" w:cs="Cambria"/>
          <w:color w:val="000000"/>
          <w:szCs w:val="22"/>
        </w:rPr>
        <w:t>I</w:t>
      </w:r>
      <w:r w:rsidRPr="00E119E3">
        <w:rPr>
          <w:rFonts w:eastAsiaTheme="minorHAnsi" w:cs="Cambria"/>
          <w:color w:val="000000"/>
          <w:szCs w:val="22"/>
        </w:rPr>
        <w:t>/</w:t>
      </w:r>
      <w:r>
        <w:rPr>
          <w:rFonts w:eastAsiaTheme="minorHAnsi" w:cs="Cambria"/>
          <w:color w:val="000000"/>
          <w:szCs w:val="22"/>
        </w:rPr>
        <w:t>II</w:t>
      </w:r>
      <w:r w:rsidRPr="00E119E3">
        <w:rPr>
          <w:rFonts w:eastAsiaTheme="minorHAnsi" w:cs="Cambria"/>
          <w:color w:val="000000"/>
          <w:szCs w:val="22"/>
        </w:rPr>
        <w:t xml:space="preserve"> study of Selpercatinib in patients with advanced solid tumours, including those with RET activation.</w:t>
      </w:r>
    </w:p>
    <w:p w14:paraId="1AD536CB" w14:textId="10EF6E43" w:rsidR="00E119E3" w:rsidRDefault="00E119E3" w:rsidP="00BA2B65">
      <w:pPr>
        <w:pStyle w:val="FigureTitle"/>
        <w:keepNext/>
      </w:pPr>
      <w:r w:rsidRPr="00BA2B65">
        <w:lastRenderedPageBreak/>
        <w:t xml:space="preserve">Figure </w:t>
      </w:r>
      <w:r w:rsidR="009F1197">
        <w:fldChar w:fldCharType="begin"/>
      </w:r>
      <w:r w:rsidR="009F1197">
        <w:instrText xml:space="preserve"> SEQ Figure \* ARABIC </w:instrText>
      </w:r>
      <w:r w:rsidR="009F1197">
        <w:fldChar w:fldCharType="separate"/>
      </w:r>
      <w:r w:rsidR="005A23C0">
        <w:rPr>
          <w:noProof/>
        </w:rPr>
        <w:t>2</w:t>
      </w:r>
      <w:r w:rsidR="009F1197">
        <w:rPr>
          <w:noProof/>
        </w:rPr>
        <w:fldChar w:fldCharType="end"/>
      </w:r>
      <w:r>
        <w:t>:Study Libretto-001 design</w:t>
      </w:r>
      <w:r w:rsidR="009F1197">
        <w:fldChar w:fldCharType="begin"/>
      </w:r>
      <w:r w:rsidR="009F1197">
        <w:instrText xml:space="preserve"> DOCVARIABLE vault_nd_9b54c124-ac07-4fc2-9cab-60d4a256fecf \* MERGEFORMAT </w:instrText>
      </w:r>
      <w:r w:rsidR="009F1197">
        <w:fldChar w:fldCharType="separate"/>
      </w:r>
      <w:r w:rsidR="00040953">
        <w:t xml:space="preserve"> </w:t>
      </w:r>
      <w:r w:rsidR="009F1197">
        <w:fldChar w:fldCharType="end"/>
      </w:r>
    </w:p>
    <w:p w14:paraId="09D0F228" w14:textId="024671CA" w:rsidR="00E119E3" w:rsidRDefault="00E119E3" w:rsidP="00E119E3">
      <w:r w:rsidRPr="00E119E3">
        <w:rPr>
          <w:noProof/>
        </w:rPr>
        <w:drawing>
          <wp:inline distT="0" distB="0" distL="0" distR="0" wp14:anchorId="58BEB3F3" wp14:editId="688925E4">
            <wp:extent cx="5303520" cy="5216696"/>
            <wp:effectExtent l="0" t="0" r="0" b="3175"/>
            <wp:docPr id="2" name="Picture 2" descr="Study Libretto-001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Libretto-001 design "/>
                    <pic:cNvPicPr>
                      <a:picLocks noChangeAspect="1" noChangeArrowheads="1"/>
                    </pic:cNvPicPr>
                  </pic:nvPicPr>
                  <pic:blipFill rotWithShape="1">
                    <a:blip r:embed="rId26">
                      <a:extLst>
                        <a:ext uri="{28A0092B-C50C-407E-A947-70E740481C1C}">
                          <a14:useLocalDpi xmlns:a14="http://schemas.microsoft.com/office/drawing/2010/main" val="0"/>
                        </a:ext>
                      </a:extLst>
                    </a:blip>
                    <a:srcRect l="11321" t="6923"/>
                    <a:stretch/>
                  </pic:blipFill>
                  <pic:spPr bwMode="auto">
                    <a:xfrm>
                      <a:off x="0" y="0"/>
                      <a:ext cx="5306871" cy="5219992"/>
                    </a:xfrm>
                    <a:prstGeom prst="rect">
                      <a:avLst/>
                    </a:prstGeom>
                    <a:noFill/>
                    <a:ln>
                      <a:noFill/>
                    </a:ln>
                    <a:extLst>
                      <a:ext uri="{53640926-AAD7-44D8-BBD7-CCE9431645EC}">
                        <a14:shadowObscured xmlns:a14="http://schemas.microsoft.com/office/drawing/2010/main"/>
                      </a:ext>
                    </a:extLst>
                  </pic:spPr>
                </pic:pic>
              </a:graphicData>
            </a:graphic>
          </wp:inline>
        </w:drawing>
      </w:r>
    </w:p>
    <w:p w14:paraId="132A273C" w14:textId="5CE2C2E2" w:rsidR="00E119E3" w:rsidRPr="00E119E3" w:rsidRDefault="00E119E3" w:rsidP="00E119E3">
      <w:r w:rsidRPr="00E119E3">
        <w:t>The first part of the study was a dose</w:t>
      </w:r>
      <w:r>
        <w:t xml:space="preserve"> </w:t>
      </w:r>
      <w:r w:rsidRPr="00E119E3">
        <w:t>escalation protocol ranging from 20</w:t>
      </w:r>
      <w:r>
        <w:t xml:space="preserve"> </w:t>
      </w:r>
      <w:r w:rsidRPr="00E119E3">
        <w:t xml:space="preserve">mg </w:t>
      </w:r>
      <w:r w:rsidR="000A42F7">
        <w:t>once</w:t>
      </w:r>
      <w:r w:rsidR="00BA2B65">
        <w:t xml:space="preserve"> daily</w:t>
      </w:r>
      <w:r w:rsidRPr="00E119E3">
        <w:t xml:space="preserve"> to 240</w:t>
      </w:r>
      <w:r w:rsidR="00B225C2">
        <w:t> </w:t>
      </w:r>
      <w:r w:rsidRPr="00E119E3">
        <w:t xml:space="preserve">mg </w:t>
      </w:r>
      <w:r w:rsidR="00BA2B65">
        <w:t>twice daily</w:t>
      </w:r>
      <w:r w:rsidRPr="00E119E3">
        <w:t>, after which 160</w:t>
      </w:r>
      <w:r>
        <w:t xml:space="preserve"> </w:t>
      </w:r>
      <w:r w:rsidRPr="00E119E3">
        <w:t xml:space="preserve">mg </w:t>
      </w:r>
      <w:r w:rsidR="00BA2B65">
        <w:t>twice daily</w:t>
      </w:r>
      <w:r w:rsidRPr="00E119E3">
        <w:t xml:space="preserve"> was selected for further study in part two. In part two subjects received </w:t>
      </w:r>
      <w:proofErr w:type="spellStart"/>
      <w:r w:rsidR="00BA2B65">
        <w:t>s</w:t>
      </w:r>
      <w:r w:rsidRPr="00E119E3">
        <w:t>elpercatinib</w:t>
      </w:r>
      <w:proofErr w:type="spellEnd"/>
      <w:r w:rsidRPr="00E119E3">
        <w:t xml:space="preserve"> until disease progression or discontinuation of therapy for other reasons (</w:t>
      </w:r>
      <w:r>
        <w:t>for example,</w:t>
      </w:r>
      <w:r w:rsidRPr="00E119E3">
        <w:t xml:space="preserve"> toxicity etc).</w:t>
      </w:r>
    </w:p>
    <w:p w14:paraId="6CA9AC0A" w14:textId="77777777" w:rsidR="00E119E3" w:rsidRPr="00E119E3" w:rsidRDefault="00E119E3" w:rsidP="00E119E3">
      <w:r w:rsidRPr="00E119E3">
        <w:t xml:space="preserve">For the analysis of the proposed indication all included patients were adults with advanced or metastatic NSCLC who had: </w:t>
      </w:r>
    </w:p>
    <w:p w14:paraId="4439FE28" w14:textId="6C8ABB57" w:rsidR="00E119E3" w:rsidRPr="00E119E3" w:rsidRDefault="00E119E3" w:rsidP="00E119E3">
      <w:pPr>
        <w:pStyle w:val="Numberbullet0"/>
      </w:pPr>
      <w:r w:rsidRPr="00E119E3">
        <w:t>One of:</w:t>
      </w:r>
    </w:p>
    <w:p w14:paraId="7FD82E8D" w14:textId="42C9F8C0" w:rsidR="00E119E3" w:rsidRPr="00E119E3" w:rsidRDefault="00E119E3" w:rsidP="00E119E3">
      <w:pPr>
        <w:pStyle w:val="ListBullet"/>
      </w:pPr>
      <w:r w:rsidRPr="00E119E3">
        <w:t>Progressed on, or were intolerant to, standard therapy</w:t>
      </w:r>
    </w:p>
    <w:p w14:paraId="237ED840" w14:textId="5958B1E5" w:rsidR="00E119E3" w:rsidRPr="00E119E3" w:rsidRDefault="00E119E3" w:rsidP="00E119E3">
      <w:pPr>
        <w:pStyle w:val="ListBullet"/>
      </w:pPr>
      <w:r w:rsidRPr="00E119E3">
        <w:t>For whom no standard therapy exists or, in the opinion of the Investigator the subject was not a candidate for standard therapy or was unlikely to tolerate or derive benefit from standard therapy</w:t>
      </w:r>
    </w:p>
    <w:p w14:paraId="71D676FE" w14:textId="3AAD775B" w:rsidR="00E119E3" w:rsidRPr="00E119E3" w:rsidRDefault="00E119E3" w:rsidP="00E119E3">
      <w:pPr>
        <w:pStyle w:val="ListBullet"/>
      </w:pPr>
      <w:r w:rsidRPr="00E119E3">
        <w:t>Declined standard therapy</w:t>
      </w:r>
    </w:p>
    <w:p w14:paraId="4F30EB3A" w14:textId="2BC8BDBE" w:rsidR="00E119E3" w:rsidRPr="00E119E3" w:rsidRDefault="00E119E3" w:rsidP="00E119E3">
      <w:pPr>
        <w:pStyle w:val="Numberbullet0"/>
      </w:pPr>
      <w:r w:rsidRPr="00E119E3">
        <w:t xml:space="preserve">Subjects had not received prior targeted anti-RET </w:t>
      </w:r>
      <w:proofErr w:type="gramStart"/>
      <w:r w:rsidRPr="00E119E3">
        <w:t>therapy, but</w:t>
      </w:r>
      <w:proofErr w:type="gramEnd"/>
      <w:r w:rsidRPr="00E119E3">
        <w:t xml:space="preserve"> were allowed to have received multi-kinase inhibitors.</w:t>
      </w:r>
    </w:p>
    <w:p w14:paraId="42D6D34B" w14:textId="4F23FA23" w:rsidR="00E119E3" w:rsidRPr="00E119E3" w:rsidRDefault="00E119E3" w:rsidP="00E119E3">
      <w:pPr>
        <w:pStyle w:val="Numberbullet0"/>
      </w:pPr>
      <w:r w:rsidRPr="00E119E3">
        <w:t xml:space="preserve">A </w:t>
      </w:r>
      <w:r w:rsidRPr="00E119E3">
        <w:rPr>
          <w:i/>
          <w:iCs/>
        </w:rPr>
        <w:t>RET</w:t>
      </w:r>
      <w:r w:rsidRPr="00E119E3">
        <w:t xml:space="preserve"> gene alteration</w:t>
      </w:r>
    </w:p>
    <w:p w14:paraId="073748F8" w14:textId="4C658899" w:rsidR="00E119E3" w:rsidRPr="00E119E3" w:rsidRDefault="00BA2B65" w:rsidP="00E119E3">
      <w:pPr>
        <w:pStyle w:val="Numberbullet0"/>
      </w:pPr>
      <w:r>
        <w:lastRenderedPageBreak/>
        <w:t>Eastern Cooperative Oncology Group</w:t>
      </w:r>
      <w:r w:rsidR="008341A6">
        <w:t xml:space="preserve"> (ECOG)</w:t>
      </w:r>
      <w:r>
        <w:t xml:space="preserve"> Performance Status</w:t>
      </w:r>
      <w:r w:rsidR="008341A6">
        <w:t xml:space="preserve"> </w:t>
      </w:r>
      <w:r w:rsidR="00E119E3" w:rsidRPr="00E119E3">
        <w:t>of 0-2</w:t>
      </w:r>
      <w:r>
        <w:t>;</w:t>
      </w:r>
      <w:r>
        <w:rPr>
          <w:rStyle w:val="FootnoteReference"/>
        </w:rPr>
        <w:footnoteReference w:id="4"/>
      </w:r>
    </w:p>
    <w:p w14:paraId="6387FBD1" w14:textId="6A544AAA" w:rsidR="00E119E3" w:rsidRDefault="00E119E3" w:rsidP="00E119E3">
      <w:pPr>
        <w:pStyle w:val="Numberbullet0"/>
      </w:pPr>
      <w:r w:rsidRPr="00E119E3">
        <w:t>Life expectancy of at least 3 months.</w:t>
      </w:r>
    </w:p>
    <w:p w14:paraId="3EC14B07" w14:textId="3E090137" w:rsidR="00E119E3" w:rsidRDefault="00E119E3" w:rsidP="00E119E3">
      <w:pPr>
        <w:pStyle w:val="FigureTitle"/>
      </w:pPr>
      <w:r w:rsidRPr="00E119E3">
        <w:t xml:space="preserve">Figure </w:t>
      </w:r>
      <w:r w:rsidR="009F1197">
        <w:fldChar w:fldCharType="begin"/>
      </w:r>
      <w:r w:rsidR="009F1197">
        <w:instrText xml:space="preserve"> SEQ Figure \* ARABIC </w:instrText>
      </w:r>
      <w:r w:rsidR="009F1197">
        <w:fldChar w:fldCharType="separate"/>
      </w:r>
      <w:r w:rsidR="005A23C0">
        <w:rPr>
          <w:noProof/>
        </w:rPr>
        <w:t>3</w:t>
      </w:r>
      <w:r w:rsidR="009F1197">
        <w:rPr>
          <w:noProof/>
        </w:rPr>
        <w:fldChar w:fldCharType="end"/>
      </w:r>
      <w:r>
        <w:t xml:space="preserve">: Study Libretto-001 </w:t>
      </w:r>
      <w:r w:rsidR="004E3C3D" w:rsidRPr="004E3C3D">
        <w:t>Patient disposition</w:t>
      </w:r>
      <w:r w:rsidR="009F1197">
        <w:fldChar w:fldCharType="begin"/>
      </w:r>
      <w:r w:rsidR="009F1197">
        <w:instrText xml:space="preserve"> DOCVARIABLE vault_nd_9a7d24b4-b724-4f12-a92d-2cc212b27050 \* MERGEFORMAT </w:instrText>
      </w:r>
      <w:r w:rsidR="009F1197">
        <w:fldChar w:fldCharType="separate"/>
      </w:r>
      <w:r w:rsidR="00040953">
        <w:t xml:space="preserve"> </w:t>
      </w:r>
      <w:r w:rsidR="009F1197">
        <w:fldChar w:fldCharType="end"/>
      </w:r>
    </w:p>
    <w:p w14:paraId="52B88446" w14:textId="7F0120AB" w:rsidR="00E119E3" w:rsidRDefault="00E119E3" w:rsidP="00E119E3">
      <w:r w:rsidRPr="00E119E3">
        <w:rPr>
          <w:noProof/>
        </w:rPr>
        <w:drawing>
          <wp:inline distT="0" distB="0" distL="0" distR="0" wp14:anchorId="09C13797" wp14:editId="48AA2354">
            <wp:extent cx="5284095" cy="3724275"/>
            <wp:effectExtent l="0" t="0" r="0" b="0"/>
            <wp:docPr id="3" name="Picture 3" descr="Study Libretto-001 Patient dis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Libretto-001 Patient disposition "/>
                    <pic:cNvPicPr>
                      <a:picLocks noChangeAspect="1" noChangeArrowheads="1"/>
                    </pic:cNvPicPr>
                  </pic:nvPicPr>
                  <pic:blipFill rotWithShape="1">
                    <a:blip r:embed="rId27">
                      <a:extLst>
                        <a:ext uri="{28A0092B-C50C-407E-A947-70E740481C1C}">
                          <a14:useLocalDpi xmlns:a14="http://schemas.microsoft.com/office/drawing/2010/main" val="0"/>
                        </a:ext>
                      </a:extLst>
                    </a:blip>
                    <a:srcRect l="5660" t="11362" r="4185"/>
                    <a:stretch/>
                  </pic:blipFill>
                  <pic:spPr bwMode="auto">
                    <a:xfrm>
                      <a:off x="0" y="0"/>
                      <a:ext cx="5292192" cy="3729982"/>
                    </a:xfrm>
                    <a:prstGeom prst="rect">
                      <a:avLst/>
                    </a:prstGeom>
                    <a:noFill/>
                    <a:ln>
                      <a:noFill/>
                    </a:ln>
                    <a:extLst>
                      <a:ext uri="{53640926-AAD7-44D8-BBD7-CCE9431645EC}">
                        <a14:shadowObscured xmlns:a14="http://schemas.microsoft.com/office/drawing/2010/main"/>
                      </a:ext>
                    </a:extLst>
                  </pic:spPr>
                </pic:pic>
              </a:graphicData>
            </a:graphic>
          </wp:inline>
        </w:drawing>
      </w:r>
    </w:p>
    <w:p w14:paraId="694F3229" w14:textId="08F19353" w:rsidR="00E119E3" w:rsidRDefault="00E119E3" w:rsidP="00E119E3">
      <w:r w:rsidRPr="00E119E3">
        <w:t xml:space="preserve">The overall NSCLC efficacy analysis population comprised 355 patients, although sub-analyses were performed based in prior therapy. This population had an average age of 61 years, with a slight preponderance of women (57.2%) and </w:t>
      </w:r>
      <w:proofErr w:type="gramStart"/>
      <w:r w:rsidRPr="00E119E3">
        <w:t>a majority of</w:t>
      </w:r>
      <w:proofErr w:type="gramEnd"/>
      <w:r w:rsidRPr="00E119E3">
        <w:t xml:space="preserve"> never-smokers (67.9%).</w:t>
      </w:r>
    </w:p>
    <w:p w14:paraId="2A16748A" w14:textId="0CD8003B" w:rsidR="00E119E3" w:rsidRPr="00E119E3" w:rsidRDefault="00E119E3" w:rsidP="00E119E3">
      <w:r w:rsidRPr="00E119E3">
        <w:t xml:space="preserve">The majority of patients had received prior </w:t>
      </w:r>
      <w:proofErr w:type="gramStart"/>
      <w:r w:rsidRPr="00E119E3">
        <w:t>platinum based</w:t>
      </w:r>
      <w:proofErr w:type="gramEnd"/>
      <w:r w:rsidRPr="00E119E3">
        <w:t xml:space="preserve"> chemotherapy (n</w:t>
      </w:r>
      <w:r w:rsidR="004E3C3D">
        <w:t xml:space="preserve"> </w:t>
      </w:r>
      <w:r w:rsidRPr="00E119E3">
        <w:t>=</w:t>
      </w:r>
      <w:r w:rsidR="004E3C3D">
        <w:t xml:space="preserve"> </w:t>
      </w:r>
      <w:r w:rsidRPr="00E119E3">
        <w:t>247), although a significant cohort were treatment naïve (n</w:t>
      </w:r>
      <w:r w:rsidR="004E3C3D">
        <w:t xml:space="preserve"> </w:t>
      </w:r>
      <w:r w:rsidRPr="00E119E3">
        <w:t>=</w:t>
      </w:r>
      <w:r w:rsidR="004E3C3D">
        <w:t xml:space="preserve"> </w:t>
      </w:r>
      <w:r w:rsidRPr="00E119E3">
        <w:t>69). An analysis of the first 105 patients enrolled</w:t>
      </w:r>
      <w:r w:rsidR="004E3C3D">
        <w:t xml:space="preserve"> </w:t>
      </w:r>
      <w:r w:rsidRPr="00E119E3">
        <w:t xml:space="preserve">who had been treated with previous </w:t>
      </w:r>
      <w:proofErr w:type="gramStart"/>
      <w:r w:rsidRPr="00E119E3">
        <w:t>platinum based</w:t>
      </w:r>
      <w:proofErr w:type="gramEnd"/>
      <w:r w:rsidRPr="00E119E3">
        <w:t xml:space="preserve"> chemotherapy was also provided, giving slightly longer follow-up by the data</w:t>
      </w:r>
      <w:r w:rsidR="004E3C3D">
        <w:t xml:space="preserve"> </w:t>
      </w:r>
      <w:r w:rsidRPr="00E119E3">
        <w:t>cutoff than the general population.</w:t>
      </w:r>
    </w:p>
    <w:p w14:paraId="3A818C6D" w14:textId="562957FB" w:rsidR="00E119E3" w:rsidRPr="00E119E3" w:rsidRDefault="00E119E3" w:rsidP="00E119E3">
      <w:r w:rsidRPr="00E119E3">
        <w:lastRenderedPageBreak/>
        <w:t xml:space="preserve">The primary endpoint examined in Libretto-001 was the </w:t>
      </w:r>
      <w:r w:rsidR="008341A6">
        <w:t>o</w:t>
      </w:r>
      <w:r w:rsidRPr="00E119E3">
        <w:t xml:space="preserve">bjective </w:t>
      </w:r>
      <w:r w:rsidR="008341A6">
        <w:t>r</w:t>
      </w:r>
      <w:r w:rsidRPr="00E119E3">
        <w:t xml:space="preserve">esponse </w:t>
      </w:r>
      <w:r w:rsidR="008341A6">
        <w:t>r</w:t>
      </w:r>
      <w:r w:rsidRPr="00E119E3">
        <w:t xml:space="preserve">ate (ORR) based on </w:t>
      </w:r>
      <w:r w:rsidR="008341A6">
        <w:t>t</w:t>
      </w:r>
      <w:r w:rsidR="008341A6" w:rsidRPr="008341A6">
        <w:t xml:space="preserve">he Response Evaluation Criteria </w:t>
      </w:r>
      <w:proofErr w:type="gramStart"/>
      <w:r w:rsidR="008341A6" w:rsidRPr="008341A6">
        <w:t>In</w:t>
      </w:r>
      <w:proofErr w:type="gramEnd"/>
      <w:r w:rsidR="008341A6" w:rsidRPr="008341A6">
        <w:t xml:space="preserve"> Solid Tumours</w:t>
      </w:r>
      <w:r w:rsidR="008341A6" w:rsidRPr="00E119E3">
        <w:t xml:space="preserve"> </w:t>
      </w:r>
      <w:r w:rsidR="008341A6">
        <w:t>(</w:t>
      </w:r>
      <w:r w:rsidRPr="00E119E3">
        <w:t>RECIST</w:t>
      </w:r>
      <w:r w:rsidR="008341A6">
        <w:t>)</w:t>
      </w:r>
      <w:r w:rsidRPr="00E119E3">
        <w:t xml:space="preserve"> 1.1 criteria.</w:t>
      </w:r>
      <w:r w:rsidR="008341A6">
        <w:rPr>
          <w:rStyle w:val="FootnoteReference"/>
        </w:rPr>
        <w:footnoteReference w:id="5"/>
      </w:r>
    </w:p>
    <w:p w14:paraId="7D566047" w14:textId="0DE5AB8E" w:rsidR="004E3C3D" w:rsidRDefault="00E119E3" w:rsidP="004E3C3D">
      <w:r w:rsidRPr="00E119E3">
        <w:t xml:space="preserve">In the 247 patients previously treated with </w:t>
      </w:r>
      <w:proofErr w:type="gramStart"/>
      <w:r w:rsidRPr="00E119E3">
        <w:t>platinum based</w:t>
      </w:r>
      <w:proofErr w:type="gramEnd"/>
      <w:r w:rsidRPr="00E119E3">
        <w:t xml:space="preserve"> chemotherapy, the ORR at a median follow</w:t>
      </w:r>
      <w:r w:rsidR="008341A6">
        <w:t xml:space="preserve"> </w:t>
      </w:r>
      <w:r w:rsidRPr="00E119E3">
        <w:t>up of 21.19 months was 61.1%</w:t>
      </w:r>
      <w:r w:rsidR="004E3C3D">
        <w:t>.</w:t>
      </w:r>
    </w:p>
    <w:p w14:paraId="2D7C0EBC" w14:textId="6A41D816" w:rsidR="004E3C3D" w:rsidRDefault="004E3C3D" w:rsidP="004E3C3D">
      <w:pPr>
        <w:pStyle w:val="TableTitle"/>
      </w:pPr>
      <w:r w:rsidRPr="004E3C3D">
        <w:t xml:space="preserve">Table </w:t>
      </w:r>
      <w:r w:rsidR="009F1197">
        <w:fldChar w:fldCharType="begin"/>
      </w:r>
      <w:r w:rsidR="009F1197">
        <w:instrText xml:space="preserve"> SEQ Table \* ARABIC </w:instrText>
      </w:r>
      <w:r w:rsidR="009F1197">
        <w:fldChar w:fldCharType="separate"/>
      </w:r>
      <w:r w:rsidR="005A23C0">
        <w:rPr>
          <w:noProof/>
        </w:rPr>
        <w:t>3</w:t>
      </w:r>
      <w:r w:rsidR="009F1197">
        <w:rPr>
          <w:noProof/>
        </w:rPr>
        <w:fldChar w:fldCharType="end"/>
      </w:r>
      <w:r>
        <w:t xml:space="preserve">: </w:t>
      </w:r>
      <w:r w:rsidR="008341A6">
        <w:t xml:space="preserve">Study </w:t>
      </w:r>
      <w:r w:rsidR="008341A6" w:rsidRPr="004E3C3D">
        <w:t>Libretto-001</w:t>
      </w:r>
      <w:r w:rsidR="008341A6">
        <w:t xml:space="preserve"> </w:t>
      </w:r>
      <w:r w:rsidRPr="004E3C3D">
        <w:t>Efficacy endpoints for previously treated patients (n</w:t>
      </w:r>
      <w:r w:rsidR="008341A6">
        <w:t xml:space="preserve"> </w:t>
      </w:r>
      <w:r w:rsidRPr="004E3C3D">
        <w:t>=</w:t>
      </w:r>
      <w:r w:rsidR="008341A6">
        <w:t xml:space="preserve"> </w:t>
      </w:r>
      <w:r w:rsidRPr="004E3C3D">
        <w:t>247)</w:t>
      </w:r>
      <w:r w:rsidR="009F1197">
        <w:fldChar w:fldCharType="begin"/>
      </w:r>
      <w:r w:rsidR="009F1197">
        <w:instrText xml:space="preserve"> DOCVARIABLE vault_nd_4ee2c6f0-272a-47d8-878b-0707a209692d \* MERGEFORMAT </w:instrText>
      </w:r>
      <w:r w:rsidR="009F1197">
        <w:fldChar w:fldCharType="separate"/>
      </w:r>
      <w:r w:rsidR="00040953">
        <w:t xml:space="preserve"> </w:t>
      </w:r>
      <w:r w:rsidR="009F1197">
        <w:fldChar w:fldCharType="end"/>
      </w:r>
    </w:p>
    <w:p w14:paraId="12EF83FE" w14:textId="1B749282" w:rsidR="004E3C3D" w:rsidRDefault="004E3C3D" w:rsidP="004E3C3D">
      <w:r w:rsidRPr="004E3C3D">
        <w:rPr>
          <w:noProof/>
        </w:rPr>
        <w:drawing>
          <wp:inline distT="0" distB="0" distL="0" distR="0" wp14:anchorId="56DA95C2" wp14:editId="6C764C3A">
            <wp:extent cx="5759450" cy="4364990"/>
            <wp:effectExtent l="0" t="0" r="0" b="0"/>
            <wp:docPr id="4" name="Picture 4" descr="Study Libretto-001 Efficacy endpoints for previously treated patients (n = 24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y Libretto-001 Efficacy endpoints for previously treated patients (n = 247)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4364990"/>
                    </a:xfrm>
                    <a:prstGeom prst="rect">
                      <a:avLst/>
                    </a:prstGeom>
                    <a:noFill/>
                    <a:ln>
                      <a:noFill/>
                    </a:ln>
                  </pic:spPr>
                </pic:pic>
              </a:graphicData>
            </a:graphic>
          </wp:inline>
        </w:drawing>
      </w:r>
    </w:p>
    <w:p w14:paraId="52156362" w14:textId="660FF0D5" w:rsidR="004E3C3D" w:rsidRDefault="004E3C3D" w:rsidP="004E3C3D">
      <w:r>
        <w:t xml:space="preserve">In the </w:t>
      </w:r>
      <w:proofErr w:type="gramStart"/>
      <w:r>
        <w:t>69 treatment</w:t>
      </w:r>
      <w:proofErr w:type="gramEnd"/>
      <w:r>
        <w:t xml:space="preserve"> naïve population, the ORR at a median follow</w:t>
      </w:r>
      <w:r w:rsidR="008341A6">
        <w:t xml:space="preserve"> </w:t>
      </w:r>
      <w:r>
        <w:t>up of 20.21 months was 84.1%.</w:t>
      </w:r>
    </w:p>
    <w:p w14:paraId="19927607" w14:textId="77777777" w:rsidR="004E3C3D" w:rsidRDefault="004E3C3D" w:rsidP="004E3C3D">
      <w:r>
        <w:t>This gave an overall-survival (OS) rate in these 247 patients of 87.9%, 68.9% and 58.5% a 12, 24 and 36 months respectively.</w:t>
      </w:r>
    </w:p>
    <w:p w14:paraId="62254E21" w14:textId="4E97859F" w:rsidR="004E3C3D" w:rsidRDefault="004E3C3D" w:rsidP="004E3C3D">
      <w:r>
        <w:t>Progression-free survival (PFS) was 70.5%, 51.4% and 42.6% at 12, 24 and 36 months respectively.</w:t>
      </w:r>
    </w:p>
    <w:p w14:paraId="25EE0DD0" w14:textId="0ADDCB4B" w:rsidR="004E3C3D" w:rsidRDefault="004E3C3D" w:rsidP="004E3C3D">
      <w:pPr>
        <w:pStyle w:val="TableTitle"/>
      </w:pPr>
      <w:r w:rsidRPr="004E3C3D">
        <w:lastRenderedPageBreak/>
        <w:t xml:space="preserve">Table </w:t>
      </w:r>
      <w:r w:rsidR="009F1197">
        <w:fldChar w:fldCharType="begin"/>
      </w:r>
      <w:r w:rsidR="009F1197">
        <w:instrText xml:space="preserve"> SEQ Table \* ARABIC </w:instrText>
      </w:r>
      <w:r w:rsidR="009F1197">
        <w:fldChar w:fldCharType="separate"/>
      </w:r>
      <w:r w:rsidR="005A23C0">
        <w:rPr>
          <w:noProof/>
        </w:rPr>
        <w:t>4</w:t>
      </w:r>
      <w:r w:rsidR="009F1197">
        <w:rPr>
          <w:noProof/>
        </w:rPr>
        <w:fldChar w:fldCharType="end"/>
      </w:r>
      <w:r w:rsidRPr="004E3C3D">
        <w:t>:</w:t>
      </w:r>
      <w:r>
        <w:t xml:space="preserve"> Study</w:t>
      </w:r>
      <w:r w:rsidRPr="004E3C3D">
        <w:t xml:space="preserve"> Libretto-001</w:t>
      </w:r>
      <w:r w:rsidR="008341A6">
        <w:t xml:space="preserve"> </w:t>
      </w:r>
      <w:r w:rsidRPr="004E3C3D">
        <w:t>Efficacy endpoints for treatment-naïve patients (n</w:t>
      </w:r>
      <w:r w:rsidR="008341A6">
        <w:t xml:space="preserve"> </w:t>
      </w:r>
      <w:r w:rsidRPr="004E3C3D">
        <w:t>=</w:t>
      </w:r>
      <w:r w:rsidR="008341A6">
        <w:t xml:space="preserve"> </w:t>
      </w:r>
      <w:r w:rsidRPr="004E3C3D">
        <w:t>69)</w:t>
      </w:r>
      <w:r w:rsidR="009F1197">
        <w:fldChar w:fldCharType="begin"/>
      </w:r>
      <w:r w:rsidR="009F1197">
        <w:instrText xml:space="preserve"> DOCVARIABLE vault_nd_90bcfa15-629f-46d5-99fe-1739016637ef \* MERGEFORMAT </w:instrText>
      </w:r>
      <w:r w:rsidR="009F1197">
        <w:fldChar w:fldCharType="separate"/>
      </w:r>
      <w:r w:rsidR="00040953">
        <w:t xml:space="preserve"> </w:t>
      </w:r>
      <w:r w:rsidR="009F1197">
        <w:fldChar w:fldCharType="end"/>
      </w:r>
    </w:p>
    <w:p w14:paraId="7C07A08D" w14:textId="62241191" w:rsidR="004E3C3D" w:rsidRDefault="004E3C3D" w:rsidP="004E3C3D">
      <w:r w:rsidRPr="004E3C3D">
        <w:rPr>
          <w:noProof/>
        </w:rPr>
        <w:drawing>
          <wp:inline distT="0" distB="0" distL="0" distR="0" wp14:anchorId="2FBAFC36" wp14:editId="51D401E2">
            <wp:extent cx="5759450" cy="4323715"/>
            <wp:effectExtent l="0" t="0" r="0" b="635"/>
            <wp:docPr id="5" name="Picture 5" descr="Study Libretto-001 Efficacy endpoints for treatment-naïve patients (n = 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Libretto-001 Efficacy endpoints for treatment-naïve patients (n = 69)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323715"/>
                    </a:xfrm>
                    <a:prstGeom prst="rect">
                      <a:avLst/>
                    </a:prstGeom>
                    <a:noFill/>
                    <a:ln>
                      <a:noFill/>
                    </a:ln>
                  </pic:spPr>
                </pic:pic>
              </a:graphicData>
            </a:graphic>
          </wp:inline>
        </w:drawing>
      </w:r>
    </w:p>
    <w:p w14:paraId="0E390801" w14:textId="1032C0D0" w:rsidR="004E3C3D" w:rsidRPr="004E3C3D" w:rsidRDefault="004E3C3D" w:rsidP="004E3C3D">
      <w:r w:rsidRPr="004E3C3D">
        <w:t>This gave an</w:t>
      </w:r>
      <w:r>
        <w:t xml:space="preserve"> o</w:t>
      </w:r>
      <w:r w:rsidRPr="004E3C3D">
        <w:t xml:space="preserve">verall </w:t>
      </w:r>
      <w:r>
        <w:t>s</w:t>
      </w:r>
      <w:r w:rsidRPr="004E3C3D">
        <w:t xml:space="preserve">urvival </w:t>
      </w:r>
      <w:r>
        <w:t>r</w:t>
      </w:r>
      <w:r w:rsidRPr="004E3C3D">
        <w:t xml:space="preserve">ate in these 69 patients of 92.7%, 69.3% and 57.1% at 12, 24 and 36 months respectively. </w:t>
      </w:r>
    </w:p>
    <w:p w14:paraId="3CF4B5A0" w14:textId="39551342" w:rsidR="004E3C3D" w:rsidRPr="004E3C3D" w:rsidRDefault="004E3C3D" w:rsidP="004E3C3D">
      <w:r w:rsidRPr="004E3C3D">
        <w:t>Progression free survival was 70.6%, 41.6% and 38.4% a 12, 24 and 36 months respectively.</w:t>
      </w:r>
    </w:p>
    <w:p w14:paraId="12E89BDC" w14:textId="28354901" w:rsidR="004E3C3D" w:rsidRPr="004E3C3D" w:rsidRDefault="004E3C3D" w:rsidP="004E3C3D">
      <w:r w:rsidRPr="004E3C3D">
        <w:t>An analysis in a small group of patients with brain metastases (n</w:t>
      </w:r>
      <w:r w:rsidR="008341A6">
        <w:t xml:space="preserve"> </w:t>
      </w:r>
      <w:r w:rsidRPr="004E3C3D">
        <w:t>=</w:t>
      </w:r>
      <w:r w:rsidR="008341A6">
        <w:t xml:space="preserve"> </w:t>
      </w:r>
      <w:r w:rsidRPr="004E3C3D">
        <w:t>26) indicated relatively similar results, including for patients who had received radiotherapy (n</w:t>
      </w:r>
      <w:r w:rsidR="008341A6">
        <w:t xml:space="preserve"> </w:t>
      </w:r>
      <w:r w:rsidRPr="004E3C3D">
        <w:t>=</w:t>
      </w:r>
      <w:r w:rsidR="008341A6">
        <w:t xml:space="preserve"> </w:t>
      </w:r>
      <w:r w:rsidRPr="004E3C3D">
        <w:t>10) and who had not received radiotherapy (n</w:t>
      </w:r>
      <w:r w:rsidR="008341A6">
        <w:t xml:space="preserve"> </w:t>
      </w:r>
      <w:r w:rsidRPr="004E3C3D">
        <w:t>=</w:t>
      </w:r>
      <w:r w:rsidR="008341A6">
        <w:t xml:space="preserve"> </w:t>
      </w:r>
      <w:r w:rsidRPr="004E3C3D">
        <w:t>16)).</w:t>
      </w:r>
    </w:p>
    <w:p w14:paraId="00B00D82" w14:textId="7BAB2BEA" w:rsidR="004E3C3D" w:rsidRPr="004E3C3D" w:rsidRDefault="004E3C3D" w:rsidP="004E3C3D">
      <w:pPr>
        <w:pStyle w:val="Heading4"/>
      </w:pPr>
      <w:bookmarkStart w:id="44" w:name="_Toc148531595"/>
      <w:r w:rsidRPr="004E3C3D">
        <w:t>Safety</w:t>
      </w:r>
      <w:bookmarkEnd w:id="44"/>
      <w:r w:rsidR="00040953">
        <w:fldChar w:fldCharType="begin"/>
      </w:r>
      <w:r w:rsidR="00040953">
        <w:instrText xml:space="preserve"> DOCVARIABLE vault_nd_217bb11f-4223-40c5-8886-fb89266bc364 \* MERGEFORMAT </w:instrText>
      </w:r>
      <w:r w:rsidR="00040953">
        <w:fldChar w:fldCharType="separate"/>
      </w:r>
      <w:r w:rsidR="00040953">
        <w:t xml:space="preserve"> </w:t>
      </w:r>
      <w:r w:rsidR="00040953">
        <w:fldChar w:fldCharType="end"/>
      </w:r>
    </w:p>
    <w:p w14:paraId="1CC2E149" w14:textId="7ACC28B1" w:rsidR="004E3C3D" w:rsidRDefault="004E3C3D" w:rsidP="004E3C3D">
      <w:r w:rsidRPr="004E3C3D">
        <w:t xml:space="preserve">The median exposure time in the safety analyses set provided by </w:t>
      </w:r>
      <w:r w:rsidR="008341A6">
        <w:t xml:space="preserve">Study </w:t>
      </w:r>
      <w:r w:rsidRPr="004E3C3D">
        <w:t>Libretto-001 was 21.29 months for all patients, and 19.09 months for the NSCLC cohorts</w:t>
      </w:r>
      <w:r>
        <w:t>.</w:t>
      </w:r>
    </w:p>
    <w:p w14:paraId="5FF72600" w14:textId="7F271909" w:rsidR="00990E84" w:rsidRDefault="00990E84" w:rsidP="00990E84">
      <w:pPr>
        <w:pStyle w:val="TableTitle"/>
      </w:pPr>
      <w:r w:rsidRPr="00990E84">
        <w:lastRenderedPageBreak/>
        <w:t xml:space="preserve">Table </w:t>
      </w:r>
      <w:r w:rsidR="009F1197">
        <w:fldChar w:fldCharType="begin"/>
      </w:r>
      <w:r w:rsidR="009F1197">
        <w:instrText xml:space="preserve"> SEQ Table \* ARABIC </w:instrText>
      </w:r>
      <w:r w:rsidR="009F1197">
        <w:fldChar w:fldCharType="separate"/>
      </w:r>
      <w:r w:rsidR="005A23C0">
        <w:rPr>
          <w:noProof/>
        </w:rPr>
        <w:t>5</w:t>
      </w:r>
      <w:r w:rsidR="009F1197">
        <w:rPr>
          <w:noProof/>
        </w:rPr>
        <w:fldChar w:fldCharType="end"/>
      </w:r>
      <w:r>
        <w:t xml:space="preserve">: Study libretto-001 </w:t>
      </w:r>
      <w:r w:rsidRPr="00990E84">
        <w:t xml:space="preserve">Adverse events occurring in </w:t>
      </w:r>
      <w:r w:rsidR="008341A6">
        <w:t xml:space="preserve">greater than </w:t>
      </w:r>
      <w:r w:rsidRPr="00990E84">
        <w:t>15% of patients</w:t>
      </w:r>
      <w:r w:rsidR="009F1197">
        <w:fldChar w:fldCharType="begin"/>
      </w:r>
      <w:r w:rsidR="009F1197">
        <w:instrText xml:space="preserve"> DOCVARIABLE vault_nd_6910a4e8-7682-4fb4-b902-3f2e396d0499 \* MERGEFORMAT </w:instrText>
      </w:r>
      <w:r w:rsidR="009F1197">
        <w:fldChar w:fldCharType="separate"/>
      </w:r>
      <w:r w:rsidR="00040953">
        <w:t xml:space="preserve"> </w:t>
      </w:r>
      <w:r w:rsidR="009F1197">
        <w:fldChar w:fldCharType="end"/>
      </w:r>
    </w:p>
    <w:p w14:paraId="7AC87C5A" w14:textId="72704228" w:rsidR="00990E84" w:rsidRDefault="00990E84" w:rsidP="00990E84">
      <w:r w:rsidRPr="00990E84">
        <w:rPr>
          <w:noProof/>
        </w:rPr>
        <w:drawing>
          <wp:inline distT="0" distB="0" distL="0" distR="0" wp14:anchorId="0C802A2D" wp14:editId="27887580">
            <wp:extent cx="5584521" cy="4967605"/>
            <wp:effectExtent l="0" t="0" r="0" b="4445"/>
            <wp:docPr id="6" name="Picture 6" descr="Study libretto-001 Adverse events occurring in greater than 15% of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libretto-001 Adverse events occurring in greater than 15% of patients "/>
                    <pic:cNvPicPr>
                      <a:picLocks noChangeAspect="1" noChangeArrowheads="1"/>
                    </pic:cNvPicPr>
                  </pic:nvPicPr>
                  <pic:blipFill rotWithShape="1">
                    <a:blip r:embed="rId30">
                      <a:extLst>
                        <a:ext uri="{28A0092B-C50C-407E-A947-70E740481C1C}">
                          <a14:useLocalDpi xmlns:a14="http://schemas.microsoft.com/office/drawing/2010/main" val="0"/>
                        </a:ext>
                      </a:extLst>
                    </a:blip>
                    <a:srcRect l="3037" t="9946"/>
                    <a:stretch/>
                  </pic:blipFill>
                  <pic:spPr bwMode="auto">
                    <a:xfrm>
                      <a:off x="0" y="0"/>
                      <a:ext cx="5584521" cy="4967605"/>
                    </a:xfrm>
                    <a:prstGeom prst="rect">
                      <a:avLst/>
                    </a:prstGeom>
                    <a:noFill/>
                    <a:ln>
                      <a:noFill/>
                    </a:ln>
                    <a:extLst>
                      <a:ext uri="{53640926-AAD7-44D8-BBD7-CCE9431645EC}">
                        <a14:shadowObscured xmlns:a14="http://schemas.microsoft.com/office/drawing/2010/main"/>
                      </a:ext>
                    </a:extLst>
                  </pic:spPr>
                </pic:pic>
              </a:graphicData>
            </a:graphic>
          </wp:inline>
        </w:drawing>
      </w:r>
    </w:p>
    <w:p w14:paraId="745F0784" w14:textId="0D11BFF9" w:rsidR="00990E84" w:rsidRPr="00990E84" w:rsidRDefault="00990E84" w:rsidP="00990E84">
      <w:r w:rsidRPr="00990E84">
        <w:t xml:space="preserve">The </w:t>
      </w:r>
      <w:proofErr w:type="gramStart"/>
      <w:r w:rsidRPr="00990E84">
        <w:t>most commonly reported</w:t>
      </w:r>
      <w:proofErr w:type="gramEnd"/>
      <w:r w:rsidRPr="00990E84">
        <w:t xml:space="preserve"> adverse events in patients receiving </w:t>
      </w:r>
      <w:proofErr w:type="spellStart"/>
      <w:r w:rsidR="008341A6">
        <w:t>s</w:t>
      </w:r>
      <w:r w:rsidRPr="00990E84">
        <w:t>elpercatinib</w:t>
      </w:r>
      <w:proofErr w:type="spellEnd"/>
      <w:r w:rsidRPr="00990E84">
        <w:t xml:space="preserve"> were dry mouth (42.4%), oedema (34.8%), AST increase (34.3%) and ALT increase (33.7%).</w:t>
      </w:r>
    </w:p>
    <w:p w14:paraId="7CB0387A" w14:textId="3062E967" w:rsidR="00990E84" w:rsidRPr="00990E84" w:rsidRDefault="00990E84" w:rsidP="00990E84">
      <w:r w:rsidRPr="00990E84">
        <w:t xml:space="preserve">The incidence of </w:t>
      </w:r>
      <w:r w:rsidR="008341A6">
        <w:t>t</w:t>
      </w:r>
      <w:r w:rsidR="008341A6" w:rsidRPr="008341A6">
        <w:t xml:space="preserve">reatment emergent adverse events </w:t>
      </w:r>
      <w:r w:rsidR="008341A6">
        <w:t>(</w:t>
      </w:r>
      <w:r w:rsidRPr="00990E84">
        <w:t>TEAE</w:t>
      </w:r>
      <w:r w:rsidR="008341A6">
        <w:t>)</w:t>
      </w:r>
      <w:r w:rsidRPr="00990E84">
        <w:t xml:space="preserve"> of </w:t>
      </w:r>
      <w:r w:rsidR="008341A6">
        <w:t>G</w:t>
      </w:r>
      <w:r w:rsidRPr="00990E84">
        <w:t>rade three severity or higher was 40.2%. The most common of these were hypertension (13.8%), ALT increased (11.5%) and AST increased (6.7%). Pneumonia occurred in 5% of patients, pleural effusion in 3%, abdominal pain in 2.5% haemorrhage in 2.4%, dyspnoea in 2.3% and hyponatraemia on 2.3% of cases.</w:t>
      </w:r>
    </w:p>
    <w:p w14:paraId="0F73A552" w14:textId="5DA0D528" w:rsidR="00990E84" w:rsidRPr="00990E84" w:rsidRDefault="00990E84" w:rsidP="00990E84">
      <w:r w:rsidRPr="00990E84">
        <w:t>There were no cases of rises in transaminase that were consistent with Hy’s law.</w:t>
      </w:r>
    </w:p>
    <w:p w14:paraId="6299FE26" w14:textId="7E1E36F8" w:rsidR="00990E84" w:rsidRPr="00990E84" w:rsidRDefault="00990E84" w:rsidP="00990E84">
      <w:r w:rsidRPr="00990E84">
        <w:t>Overall, 0.6% of patients had adverse events serious enough to cause discontinuation of therapy, 8.7% leading to dose reduction and 13.2% leading to a dose being withheld.</w:t>
      </w:r>
    </w:p>
    <w:p w14:paraId="57A6DF08" w14:textId="289CDEDB" w:rsidR="00990E84" w:rsidRDefault="00990E84" w:rsidP="00990E84">
      <w:r w:rsidRPr="00990E84">
        <w:t xml:space="preserve">The </w:t>
      </w:r>
      <w:r w:rsidR="008341A6">
        <w:t>clinical evaluator</w:t>
      </w:r>
      <w:r w:rsidRPr="00990E84">
        <w:t xml:space="preserve"> has noted that clinical chemistry and haematology endpoints did not raise safety concerns.</w:t>
      </w:r>
    </w:p>
    <w:p w14:paraId="17BF697A" w14:textId="7245D0EF" w:rsidR="00990E84" w:rsidRDefault="00990E84" w:rsidP="00990E84">
      <w:r w:rsidRPr="00990E84">
        <w:t xml:space="preserve">The QT prolongation was monitored based on the results of </w:t>
      </w:r>
      <w:r w:rsidR="008341A6">
        <w:t>S</w:t>
      </w:r>
      <w:r w:rsidRPr="00990E84">
        <w:t xml:space="preserve">tudy LOXO-RET-18032. QT prolongation was noted in 20.8% of patients, of which 7.6% was </w:t>
      </w:r>
      <w:r w:rsidR="008341A6">
        <w:t>G</w:t>
      </w:r>
      <w:r w:rsidRPr="00990E84">
        <w:t xml:space="preserve">rade 1, 7.3% was </w:t>
      </w:r>
      <w:r w:rsidR="008341A6">
        <w:t>G</w:t>
      </w:r>
      <w:r w:rsidRPr="00990E84">
        <w:t xml:space="preserve">rade 2, and 5.9% was </w:t>
      </w:r>
      <w:r w:rsidR="008341A6">
        <w:t>G</w:t>
      </w:r>
      <w:r w:rsidRPr="00990E84">
        <w:t>rade 3.</w:t>
      </w:r>
    </w:p>
    <w:p w14:paraId="0CD83565" w14:textId="62429159" w:rsidR="00990E84" w:rsidRDefault="00990E84" w:rsidP="00990E84">
      <w:pPr>
        <w:pStyle w:val="TableTitle"/>
      </w:pPr>
      <w:r w:rsidRPr="00990E84">
        <w:lastRenderedPageBreak/>
        <w:t xml:space="preserve">Table </w:t>
      </w:r>
      <w:r w:rsidR="009F1197">
        <w:fldChar w:fldCharType="begin"/>
      </w:r>
      <w:r w:rsidR="009F1197">
        <w:instrText xml:space="preserve"> SEQ Table \* ARABIC </w:instrText>
      </w:r>
      <w:r w:rsidR="009F1197">
        <w:fldChar w:fldCharType="separate"/>
      </w:r>
      <w:r w:rsidR="005A23C0">
        <w:rPr>
          <w:noProof/>
        </w:rPr>
        <w:t>6</w:t>
      </w:r>
      <w:r w:rsidR="009F1197">
        <w:rPr>
          <w:noProof/>
        </w:rPr>
        <w:fldChar w:fldCharType="end"/>
      </w:r>
      <w:r w:rsidRPr="00990E84">
        <w:t>:</w:t>
      </w:r>
      <w:r>
        <w:t xml:space="preserve"> Degrees of QTc prolongation observed in patients receiving </w:t>
      </w:r>
      <w:proofErr w:type="spellStart"/>
      <w:r w:rsidR="008341A6">
        <w:t>s</w:t>
      </w:r>
      <w:r>
        <w:t>elpercatinib</w:t>
      </w:r>
      <w:proofErr w:type="spellEnd"/>
      <w:r w:rsidR="00C30024">
        <w:fldChar w:fldCharType="begin"/>
      </w:r>
      <w:r w:rsidR="00C30024">
        <w:instrText xml:space="preserve"> DOCVARIABLE vault_nd_2ed9a7fd-6689-42ff-b9e0-c8119f773a85 \* MERGEFORMAT </w:instrText>
      </w:r>
      <w:r w:rsidR="00C30024">
        <w:fldChar w:fldCharType="separate"/>
      </w:r>
      <w:r w:rsidR="00040953">
        <w:t xml:space="preserve"> </w:t>
      </w:r>
      <w:r w:rsidR="00C30024">
        <w:fldChar w:fldCharType="end"/>
      </w:r>
    </w:p>
    <w:p w14:paraId="302938D2" w14:textId="362BD8E0" w:rsidR="00990E84" w:rsidRDefault="00990E84" w:rsidP="00292706">
      <w:r w:rsidRPr="00990E84">
        <w:rPr>
          <w:noProof/>
        </w:rPr>
        <w:drawing>
          <wp:inline distT="0" distB="0" distL="0" distR="0" wp14:anchorId="40526069" wp14:editId="00C470D4">
            <wp:extent cx="5438581" cy="4040424"/>
            <wp:effectExtent l="0" t="0" r="0" b="0"/>
            <wp:docPr id="7" name="Picture 7" descr="Degrees of QTc prolongation observed in patients receiving selpercatini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grees of QTc prolongation observed in patients receiving selpercatinib "/>
                    <pic:cNvPicPr>
                      <a:picLocks noChangeAspect="1" noChangeArrowheads="1"/>
                    </pic:cNvPicPr>
                  </pic:nvPicPr>
                  <pic:blipFill rotWithShape="1">
                    <a:blip r:embed="rId31">
                      <a:extLst>
                        <a:ext uri="{28A0092B-C50C-407E-A947-70E740481C1C}">
                          <a14:useLocalDpi xmlns:a14="http://schemas.microsoft.com/office/drawing/2010/main" val="0"/>
                        </a:ext>
                      </a:extLst>
                    </a:blip>
                    <a:srcRect l="1933" t="9282" r="3623"/>
                    <a:stretch/>
                  </pic:blipFill>
                  <pic:spPr bwMode="auto">
                    <a:xfrm>
                      <a:off x="0" y="0"/>
                      <a:ext cx="5439433" cy="4041057"/>
                    </a:xfrm>
                    <a:prstGeom prst="rect">
                      <a:avLst/>
                    </a:prstGeom>
                    <a:noFill/>
                    <a:ln>
                      <a:noFill/>
                    </a:ln>
                    <a:extLst>
                      <a:ext uri="{53640926-AAD7-44D8-BBD7-CCE9431645EC}">
                        <a14:shadowObscured xmlns:a14="http://schemas.microsoft.com/office/drawing/2010/main"/>
                      </a:ext>
                    </a:extLst>
                  </pic:spPr>
                </pic:pic>
              </a:graphicData>
            </a:graphic>
          </wp:inline>
        </w:drawing>
      </w:r>
    </w:p>
    <w:p w14:paraId="4B2BEA68" w14:textId="720BD5AF" w:rsidR="00990E84" w:rsidRPr="00990E84" w:rsidRDefault="00990E84" w:rsidP="00990E84">
      <w:r>
        <w:rPr>
          <w:szCs w:val="22"/>
        </w:rPr>
        <w:t xml:space="preserve">Severe interstitial lung disease was noted in patients treated with </w:t>
      </w:r>
      <w:proofErr w:type="spellStart"/>
      <w:r w:rsidR="008341A6">
        <w:rPr>
          <w:szCs w:val="22"/>
        </w:rPr>
        <w:t>s</w:t>
      </w:r>
      <w:r>
        <w:rPr>
          <w:szCs w:val="22"/>
        </w:rPr>
        <w:t>elpercatinib</w:t>
      </w:r>
      <w:proofErr w:type="spellEnd"/>
      <w:r>
        <w:rPr>
          <w:szCs w:val="22"/>
        </w:rPr>
        <w:t xml:space="preserve">. This occurred in 1.8% of patients, including 0.3% with </w:t>
      </w:r>
      <w:r w:rsidR="008341A6">
        <w:rPr>
          <w:szCs w:val="22"/>
        </w:rPr>
        <w:t>G</w:t>
      </w:r>
      <w:r>
        <w:rPr>
          <w:szCs w:val="22"/>
        </w:rPr>
        <w:t>rade 3-4 events and 0.3% with fatal reactions.</w:t>
      </w:r>
    </w:p>
    <w:p w14:paraId="2858B006" w14:textId="45F8A2D9" w:rsidR="00C22214" w:rsidRDefault="00C22214" w:rsidP="00C22214">
      <w:pPr>
        <w:pStyle w:val="Heading3"/>
        <w:rPr>
          <w:lang w:eastAsia="en-AU"/>
        </w:rPr>
      </w:pPr>
      <w:bookmarkStart w:id="45" w:name="_Toc314842514"/>
      <w:bookmarkStart w:id="46" w:name="_Toc103679298"/>
      <w:bookmarkStart w:id="47" w:name="_Toc148531596"/>
      <w:r>
        <w:rPr>
          <w:lang w:eastAsia="en-AU"/>
        </w:rPr>
        <w:t>Risk management plan</w:t>
      </w:r>
      <w:bookmarkEnd w:id="45"/>
      <w:bookmarkEnd w:id="46"/>
      <w:bookmarkEnd w:id="47"/>
      <w:r w:rsidR="00040953">
        <w:rPr>
          <w:lang w:eastAsia="en-AU"/>
        </w:rPr>
        <w:fldChar w:fldCharType="begin"/>
      </w:r>
      <w:r w:rsidR="00040953">
        <w:rPr>
          <w:lang w:eastAsia="en-AU"/>
        </w:rPr>
        <w:instrText xml:space="preserve"> DOCVARIABLE vault_nd_17b16a0b-f359-4dbe-92d0-8d3b48097ad6 \* MERGEFORMAT </w:instrText>
      </w:r>
      <w:r w:rsidR="00040953">
        <w:rPr>
          <w:lang w:eastAsia="en-AU"/>
        </w:rPr>
        <w:fldChar w:fldCharType="separate"/>
      </w:r>
      <w:r w:rsidR="00040953">
        <w:rPr>
          <w:lang w:eastAsia="en-AU"/>
        </w:rPr>
        <w:t xml:space="preserve"> </w:t>
      </w:r>
      <w:r w:rsidR="00040953">
        <w:rPr>
          <w:lang w:eastAsia="en-AU"/>
        </w:rPr>
        <w:fldChar w:fldCharType="end"/>
      </w:r>
    </w:p>
    <w:p w14:paraId="520C1E10" w14:textId="1CEBD520" w:rsidR="00026800" w:rsidRDefault="00026800" w:rsidP="00C22214">
      <w:pPr>
        <w:rPr>
          <w:szCs w:val="22"/>
        </w:rPr>
      </w:pPr>
      <w:bookmarkStart w:id="48" w:name="_Toc247691531"/>
      <w:bookmarkStart w:id="49" w:name="_Toc314842515"/>
      <w:r>
        <w:rPr>
          <w:szCs w:val="22"/>
        </w:rPr>
        <w:t>The sponsor</w:t>
      </w:r>
      <w:r w:rsidRPr="00026800">
        <w:rPr>
          <w:szCs w:val="22"/>
        </w:rPr>
        <w:t xml:space="preserve"> has submitted EU-</w:t>
      </w:r>
      <w:r>
        <w:rPr>
          <w:szCs w:val="22"/>
        </w:rPr>
        <w:t>risk management plan (</w:t>
      </w:r>
      <w:r w:rsidRPr="00026800">
        <w:rPr>
          <w:szCs w:val="22"/>
        </w:rPr>
        <w:t>RMP</w:t>
      </w:r>
      <w:r>
        <w:rPr>
          <w:szCs w:val="22"/>
        </w:rPr>
        <w:t>)</w:t>
      </w:r>
      <w:r w:rsidRPr="00026800">
        <w:rPr>
          <w:szCs w:val="22"/>
        </w:rPr>
        <w:t xml:space="preserve"> version 1.1 (dated 25 October 2021; </w:t>
      </w:r>
      <w:r>
        <w:rPr>
          <w:szCs w:val="22"/>
        </w:rPr>
        <w:t>data lock point (</w:t>
      </w:r>
      <w:r w:rsidRPr="00026800">
        <w:rPr>
          <w:szCs w:val="22"/>
        </w:rPr>
        <w:t>DLP</w:t>
      </w:r>
      <w:r>
        <w:rPr>
          <w:szCs w:val="22"/>
        </w:rPr>
        <w:t>)</w:t>
      </w:r>
      <w:r w:rsidRPr="00026800">
        <w:rPr>
          <w:szCs w:val="22"/>
        </w:rPr>
        <w:t xml:space="preserve"> 15 June 2021) and </w:t>
      </w:r>
      <w:r>
        <w:rPr>
          <w:szCs w:val="22"/>
        </w:rPr>
        <w:t>Australia specific annex (</w:t>
      </w:r>
      <w:r w:rsidRPr="00026800">
        <w:rPr>
          <w:szCs w:val="22"/>
        </w:rPr>
        <w:t>ASA</w:t>
      </w:r>
      <w:r>
        <w:rPr>
          <w:szCs w:val="22"/>
        </w:rPr>
        <w:t>)</w:t>
      </w:r>
      <w:r w:rsidRPr="00026800">
        <w:rPr>
          <w:szCs w:val="22"/>
        </w:rPr>
        <w:t xml:space="preserve"> version 1.0 (dated June 2022) in support of this application. </w:t>
      </w:r>
      <w:r>
        <w:rPr>
          <w:szCs w:val="22"/>
        </w:rPr>
        <w:t>In</w:t>
      </w:r>
      <w:r w:rsidRPr="00026800">
        <w:rPr>
          <w:szCs w:val="22"/>
        </w:rPr>
        <w:t xml:space="preserve"> response</w:t>
      </w:r>
      <w:r>
        <w:rPr>
          <w:szCs w:val="22"/>
        </w:rPr>
        <w:t xml:space="preserve"> to TGA’s questions</w:t>
      </w:r>
      <w:r w:rsidRPr="00026800">
        <w:rPr>
          <w:szCs w:val="22"/>
        </w:rPr>
        <w:t>, the sponsor has submitted EU-RMP version 3.2 (dated 2 November 2022; DLP 15 June 2021) and ASA version 2.0 (dated 30 January 2023) in support of its application.</w:t>
      </w:r>
    </w:p>
    <w:p w14:paraId="39F3CD1D" w14:textId="72AEE48F"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5A23C0" w:rsidRPr="005A23C0">
        <w:rPr>
          <w:szCs w:val="22"/>
        </w:rPr>
        <w:t xml:space="preserve">Table </w:t>
      </w:r>
      <w:r w:rsidR="005A23C0" w:rsidRPr="005A23C0">
        <w:rPr>
          <w:noProof/>
          <w:szCs w:val="22"/>
        </w:rPr>
        <w:t>7</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60A6A25A" w:rsidR="006A277A" w:rsidRDefault="00C22214" w:rsidP="00C22214">
      <w:pPr>
        <w:pStyle w:val="TableTitle"/>
      </w:pPr>
      <w:bookmarkStart w:id="50" w:name="_Ref97629131"/>
      <w:r>
        <w:t xml:space="preserve">Table </w:t>
      </w:r>
      <w:r w:rsidR="009F1197">
        <w:fldChar w:fldCharType="begin"/>
      </w:r>
      <w:r w:rsidR="009F1197">
        <w:instrText xml:space="preserve"> SEQ Table \* ARABIC </w:instrText>
      </w:r>
      <w:r w:rsidR="009F1197">
        <w:fldChar w:fldCharType="separate"/>
      </w:r>
      <w:r w:rsidR="005A23C0">
        <w:rPr>
          <w:noProof/>
        </w:rPr>
        <w:t>7</w:t>
      </w:r>
      <w:r w:rsidR="009F1197">
        <w:rPr>
          <w:noProof/>
        </w:rPr>
        <w:fldChar w:fldCharType="end"/>
      </w:r>
      <w:bookmarkEnd w:id="50"/>
      <w:r>
        <w:t>: Summary of safety concerns</w:t>
      </w:r>
      <w:r w:rsidR="009F1197">
        <w:fldChar w:fldCharType="begin"/>
      </w:r>
      <w:r w:rsidR="009F1197">
        <w:instrText xml:space="preserve"> DOCVARIABLE vault_nd_c9b2bae0-1c4e-4b4a-b57d-3894f7842873 \* MERGEFORMAT </w:instrText>
      </w:r>
      <w:r w:rsidR="009F1197">
        <w:fldChar w:fldCharType="separate"/>
      </w:r>
      <w:r w:rsidR="00040953">
        <w:t xml:space="preserve"> </w:t>
      </w:r>
      <w:r w:rsidR="009F1197">
        <w:fldChar w:fldCharType="end"/>
      </w:r>
    </w:p>
    <w:tbl>
      <w:tblPr>
        <w:tblStyle w:val="TableTGAblue2023"/>
        <w:tblW w:w="5000" w:type="pct"/>
        <w:tblLook w:val="04A0" w:firstRow="1" w:lastRow="0" w:firstColumn="1" w:lastColumn="0" w:noHBand="0" w:noVBand="1"/>
      </w:tblPr>
      <w:tblGrid>
        <w:gridCol w:w="1440"/>
        <w:gridCol w:w="3480"/>
        <w:gridCol w:w="935"/>
        <w:gridCol w:w="1135"/>
        <w:gridCol w:w="935"/>
        <w:gridCol w:w="1135"/>
      </w:tblGrid>
      <w:tr w:rsidR="00026800" w:rsidRPr="00BF52F4" w14:paraId="0B3BF064" w14:textId="77777777" w:rsidTr="00026800">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715" w:type="pct"/>
            <w:gridSpan w:val="2"/>
            <w:vMerge w:val="restart"/>
          </w:tcPr>
          <w:p w14:paraId="1A35D92F" w14:textId="77777777" w:rsidR="00026800" w:rsidRPr="00BF52F4" w:rsidRDefault="00026800" w:rsidP="00FB1CCD">
            <w:pPr>
              <w:pStyle w:val="Tabletext0"/>
              <w:rPr>
                <w:b w:val="0"/>
                <w:kern w:val="0"/>
              </w:rPr>
            </w:pPr>
            <w:r w:rsidRPr="00BF52F4">
              <w:rPr>
                <w:kern w:val="0"/>
              </w:rPr>
              <w:t>Summary of safety concerns</w:t>
            </w:r>
          </w:p>
        </w:tc>
        <w:tc>
          <w:tcPr>
            <w:tcW w:w="1142" w:type="pct"/>
            <w:gridSpan w:val="2"/>
          </w:tcPr>
          <w:p w14:paraId="1ED9A78F" w14:textId="77777777" w:rsidR="00026800" w:rsidRPr="00BF52F4" w:rsidRDefault="00026800" w:rsidP="00FB1CCD">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Pharmacovigilance</w:t>
            </w:r>
          </w:p>
        </w:tc>
        <w:tc>
          <w:tcPr>
            <w:tcW w:w="1142" w:type="pct"/>
            <w:gridSpan w:val="2"/>
          </w:tcPr>
          <w:p w14:paraId="1EFDD75E" w14:textId="77777777" w:rsidR="00026800" w:rsidRPr="00BF52F4" w:rsidRDefault="00026800" w:rsidP="00FB1CCD">
            <w:pPr>
              <w:pStyle w:val="Tabletext0"/>
              <w:cnfStyle w:val="100000000000" w:firstRow="1" w:lastRow="0" w:firstColumn="0" w:lastColumn="0" w:oddVBand="0" w:evenVBand="0" w:oddHBand="0" w:evenHBand="0" w:firstRowFirstColumn="0" w:firstRowLastColumn="0" w:lastRowFirstColumn="0" w:lastRowLastColumn="0"/>
              <w:rPr>
                <w:b w:val="0"/>
                <w:kern w:val="0"/>
                <w:sz w:val="18"/>
              </w:rPr>
            </w:pPr>
            <w:r w:rsidRPr="00BF52F4">
              <w:rPr>
                <w:kern w:val="0"/>
                <w:sz w:val="18"/>
              </w:rPr>
              <w:t>Risk Minimisation</w:t>
            </w:r>
          </w:p>
        </w:tc>
      </w:tr>
      <w:tr w:rsidR="00026800" w:rsidRPr="00BF52F4" w14:paraId="3148341F" w14:textId="77777777" w:rsidTr="00026800">
        <w:trPr>
          <w:trHeight w:val="150"/>
        </w:trPr>
        <w:tc>
          <w:tcPr>
            <w:cnfStyle w:val="001000000000" w:firstRow="0" w:lastRow="0" w:firstColumn="1" w:lastColumn="0" w:oddVBand="0" w:evenVBand="0" w:oddHBand="0" w:evenHBand="0" w:firstRowFirstColumn="0" w:firstRowLastColumn="0" w:lastRowFirstColumn="0" w:lastRowLastColumn="0"/>
            <w:tcW w:w="2715" w:type="pct"/>
            <w:gridSpan w:val="2"/>
            <w:vMerge/>
          </w:tcPr>
          <w:p w14:paraId="1581EB7F" w14:textId="77777777" w:rsidR="00026800" w:rsidRPr="00BF52F4" w:rsidRDefault="00026800" w:rsidP="00FB1CCD">
            <w:pPr>
              <w:pStyle w:val="Tabletext0"/>
              <w:rPr>
                <w:b/>
                <w:kern w:val="0"/>
              </w:rPr>
            </w:pPr>
          </w:p>
        </w:tc>
        <w:tc>
          <w:tcPr>
            <w:tcW w:w="516" w:type="pct"/>
          </w:tcPr>
          <w:p w14:paraId="34341F56" w14:textId="77777777" w:rsidR="00026800" w:rsidRPr="00BF52F4" w:rsidRDefault="00026800" w:rsidP="00FB1CCD">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26" w:type="pct"/>
          </w:tcPr>
          <w:p w14:paraId="4EA2E28F" w14:textId="77777777" w:rsidR="00026800" w:rsidRPr="00BF52F4" w:rsidRDefault="00026800" w:rsidP="00FB1CCD">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c>
          <w:tcPr>
            <w:tcW w:w="516" w:type="pct"/>
          </w:tcPr>
          <w:p w14:paraId="59DA6A41" w14:textId="77777777" w:rsidR="00026800" w:rsidRPr="00BF52F4" w:rsidRDefault="00026800" w:rsidP="00FB1CCD">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Routine</w:t>
            </w:r>
          </w:p>
        </w:tc>
        <w:tc>
          <w:tcPr>
            <w:tcW w:w="626" w:type="pct"/>
          </w:tcPr>
          <w:p w14:paraId="2B2B2571" w14:textId="77777777" w:rsidR="00026800" w:rsidRPr="00BF52F4" w:rsidRDefault="00026800" w:rsidP="00FB1CCD">
            <w:pPr>
              <w:pStyle w:val="Tabletext0"/>
              <w:cnfStyle w:val="000000000000" w:firstRow="0" w:lastRow="0" w:firstColumn="0" w:lastColumn="0" w:oddVBand="0" w:evenVBand="0" w:oddHBand="0" w:evenHBand="0" w:firstRowFirstColumn="0" w:firstRowLastColumn="0" w:lastRowFirstColumn="0" w:lastRowLastColumn="0"/>
              <w:rPr>
                <w:kern w:val="0"/>
                <w:sz w:val="18"/>
              </w:rPr>
            </w:pPr>
            <w:r w:rsidRPr="00BF52F4">
              <w:rPr>
                <w:kern w:val="0"/>
                <w:sz w:val="18"/>
              </w:rPr>
              <w:t>Additional</w:t>
            </w:r>
          </w:p>
        </w:tc>
      </w:tr>
      <w:tr w:rsidR="00026800" w:rsidRPr="00BF52F4" w14:paraId="110625FB" w14:textId="77777777" w:rsidTr="00026800">
        <w:trPr>
          <w:trHeight w:val="137"/>
        </w:trPr>
        <w:tc>
          <w:tcPr>
            <w:cnfStyle w:val="001000000000" w:firstRow="0" w:lastRow="0" w:firstColumn="1" w:lastColumn="0" w:oddVBand="0" w:evenVBand="0" w:oddHBand="0" w:evenHBand="0" w:firstRowFirstColumn="0" w:firstRowLastColumn="0" w:lastRowFirstColumn="0" w:lastRowLastColumn="0"/>
            <w:tcW w:w="795" w:type="pct"/>
          </w:tcPr>
          <w:p w14:paraId="3A045B75" w14:textId="77777777" w:rsidR="00026800" w:rsidRPr="00BF52F4" w:rsidRDefault="00026800" w:rsidP="00FB1CCD">
            <w:pPr>
              <w:pStyle w:val="Tabletext0"/>
              <w:rPr>
                <w:b/>
                <w:kern w:val="0"/>
              </w:rPr>
            </w:pPr>
            <w:r w:rsidRPr="00BF52F4">
              <w:rPr>
                <w:b/>
                <w:kern w:val="0"/>
              </w:rPr>
              <w:t>Important identified risks</w:t>
            </w:r>
          </w:p>
        </w:tc>
        <w:tc>
          <w:tcPr>
            <w:tcW w:w="1921" w:type="pct"/>
          </w:tcPr>
          <w:p w14:paraId="54357B4F" w14:textId="77777777" w:rsidR="00026800" w:rsidRPr="00BF52F4" w:rsidRDefault="00026800" w:rsidP="00FB1CCD">
            <w:pPr>
              <w:pStyle w:val="Tabletext0"/>
              <w:cnfStyle w:val="000000000000" w:firstRow="0" w:lastRow="0" w:firstColumn="0" w:lastColumn="0" w:oddVBand="0" w:evenVBand="0" w:oddHBand="0" w:evenHBand="0" w:firstRowFirstColumn="0" w:firstRowLastColumn="0" w:lastRowFirstColumn="0" w:lastRowLastColumn="0"/>
              <w:rPr>
                <w:kern w:val="0"/>
              </w:rPr>
            </w:pPr>
            <w:r>
              <w:rPr>
                <w:kern w:val="0"/>
              </w:rPr>
              <w:t>None</w:t>
            </w:r>
          </w:p>
        </w:tc>
        <w:tc>
          <w:tcPr>
            <w:tcW w:w="516" w:type="pct"/>
          </w:tcPr>
          <w:p w14:paraId="22C85D71"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rFonts w:eastAsia="Cambria"/>
                <w:kern w:val="0"/>
              </w:rPr>
              <w:sym w:font="Wingdings" w:char="F0FC"/>
            </w:r>
          </w:p>
        </w:tc>
        <w:tc>
          <w:tcPr>
            <w:tcW w:w="626" w:type="pct"/>
          </w:tcPr>
          <w:p w14:paraId="7BB5866C"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kern w:val="0"/>
              </w:rPr>
              <w:t>–</w:t>
            </w:r>
          </w:p>
        </w:tc>
        <w:tc>
          <w:tcPr>
            <w:tcW w:w="516" w:type="pct"/>
          </w:tcPr>
          <w:p w14:paraId="7DF2DD49"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rFonts w:eastAsia="Cambria"/>
                <w:kern w:val="0"/>
              </w:rPr>
              <w:sym w:font="Wingdings" w:char="F0FC"/>
            </w:r>
          </w:p>
        </w:tc>
        <w:tc>
          <w:tcPr>
            <w:tcW w:w="626" w:type="pct"/>
          </w:tcPr>
          <w:p w14:paraId="692023B1"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kern w:val="0"/>
              </w:rPr>
              <w:t>–</w:t>
            </w:r>
          </w:p>
        </w:tc>
      </w:tr>
      <w:tr w:rsidR="00026800" w:rsidRPr="00BF52F4" w14:paraId="0B524E5C" w14:textId="77777777" w:rsidTr="00026800">
        <w:trPr>
          <w:trHeight w:val="159"/>
        </w:trPr>
        <w:tc>
          <w:tcPr>
            <w:cnfStyle w:val="001000000000" w:firstRow="0" w:lastRow="0" w:firstColumn="1" w:lastColumn="0" w:oddVBand="0" w:evenVBand="0" w:oddHBand="0" w:evenHBand="0" w:firstRowFirstColumn="0" w:firstRowLastColumn="0" w:lastRowFirstColumn="0" w:lastRowLastColumn="0"/>
            <w:tcW w:w="795" w:type="pct"/>
            <w:vMerge w:val="restart"/>
          </w:tcPr>
          <w:p w14:paraId="33EBB825" w14:textId="77777777" w:rsidR="00026800" w:rsidRPr="00BF52F4" w:rsidRDefault="00026800" w:rsidP="00FB1CCD">
            <w:pPr>
              <w:pStyle w:val="Tabletext0"/>
              <w:rPr>
                <w:b/>
                <w:kern w:val="0"/>
              </w:rPr>
            </w:pPr>
            <w:r w:rsidRPr="00BF52F4">
              <w:rPr>
                <w:b/>
                <w:kern w:val="0"/>
              </w:rPr>
              <w:t>Important potential risks</w:t>
            </w:r>
          </w:p>
        </w:tc>
        <w:tc>
          <w:tcPr>
            <w:tcW w:w="1921" w:type="pct"/>
          </w:tcPr>
          <w:p w14:paraId="7504327D" w14:textId="77777777" w:rsidR="00026800" w:rsidRPr="00BF52F4" w:rsidRDefault="00026800" w:rsidP="00FB1CCD">
            <w:pPr>
              <w:pStyle w:val="Tabletext0"/>
              <w:cnfStyle w:val="000000000000" w:firstRow="0" w:lastRow="0" w:firstColumn="0" w:lastColumn="0" w:oddVBand="0" w:evenVBand="0" w:oddHBand="0" w:evenHBand="0" w:firstRowFirstColumn="0" w:firstRowLastColumn="0" w:lastRowFirstColumn="0" w:lastRowLastColumn="0"/>
              <w:rPr>
                <w:kern w:val="0"/>
              </w:rPr>
            </w:pPr>
            <w:r w:rsidRPr="007B483E">
              <w:rPr>
                <w:kern w:val="0"/>
              </w:rPr>
              <w:t>Liver injury</w:t>
            </w:r>
          </w:p>
        </w:tc>
        <w:tc>
          <w:tcPr>
            <w:tcW w:w="516" w:type="pct"/>
          </w:tcPr>
          <w:p w14:paraId="3D11D774"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rFonts w:eastAsia="Cambria"/>
                <w:kern w:val="0"/>
              </w:rPr>
              <w:sym w:font="Wingdings" w:char="F0FC"/>
            </w:r>
          </w:p>
        </w:tc>
        <w:tc>
          <w:tcPr>
            <w:tcW w:w="626" w:type="pct"/>
          </w:tcPr>
          <w:p w14:paraId="7083424C"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kern w:val="0"/>
              </w:rPr>
              <w:t>–</w:t>
            </w:r>
          </w:p>
        </w:tc>
        <w:tc>
          <w:tcPr>
            <w:tcW w:w="516" w:type="pct"/>
          </w:tcPr>
          <w:p w14:paraId="7693508C"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rFonts w:eastAsia="Cambria"/>
                <w:kern w:val="0"/>
              </w:rPr>
              <w:sym w:font="Wingdings" w:char="F0FC"/>
            </w:r>
          </w:p>
        </w:tc>
        <w:tc>
          <w:tcPr>
            <w:tcW w:w="626" w:type="pct"/>
          </w:tcPr>
          <w:p w14:paraId="0C85FD47"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kern w:val="0"/>
              </w:rPr>
              <w:t>–</w:t>
            </w:r>
          </w:p>
        </w:tc>
      </w:tr>
      <w:tr w:rsidR="00026800" w:rsidRPr="00BF52F4" w14:paraId="7F2B72D8" w14:textId="77777777" w:rsidTr="00026800">
        <w:trPr>
          <w:trHeight w:val="122"/>
        </w:trPr>
        <w:tc>
          <w:tcPr>
            <w:cnfStyle w:val="001000000000" w:firstRow="0" w:lastRow="0" w:firstColumn="1" w:lastColumn="0" w:oddVBand="0" w:evenVBand="0" w:oddHBand="0" w:evenHBand="0" w:firstRowFirstColumn="0" w:firstRowLastColumn="0" w:lastRowFirstColumn="0" w:lastRowLastColumn="0"/>
            <w:tcW w:w="795" w:type="pct"/>
            <w:vMerge/>
          </w:tcPr>
          <w:p w14:paraId="6F94D06C" w14:textId="77777777" w:rsidR="00026800" w:rsidRPr="00BF52F4" w:rsidRDefault="00026800" w:rsidP="00FB1CCD">
            <w:pPr>
              <w:pStyle w:val="Tabletext0"/>
              <w:rPr>
                <w:b/>
                <w:kern w:val="0"/>
              </w:rPr>
            </w:pPr>
          </w:p>
        </w:tc>
        <w:tc>
          <w:tcPr>
            <w:tcW w:w="1921" w:type="pct"/>
          </w:tcPr>
          <w:p w14:paraId="3B0CB77F" w14:textId="77777777" w:rsidR="00026800" w:rsidRPr="00BF52F4" w:rsidRDefault="00026800" w:rsidP="00FB1CCD">
            <w:pPr>
              <w:pStyle w:val="Tabletext0"/>
              <w:cnfStyle w:val="000000000000" w:firstRow="0" w:lastRow="0" w:firstColumn="0" w:lastColumn="0" w:oddVBand="0" w:evenVBand="0" w:oddHBand="0" w:evenHBand="0" w:firstRowFirstColumn="0" w:firstRowLastColumn="0" w:lastRowFirstColumn="0" w:lastRowLastColumn="0"/>
              <w:rPr>
                <w:kern w:val="0"/>
              </w:rPr>
            </w:pPr>
            <w:r w:rsidRPr="007B483E">
              <w:rPr>
                <w:kern w:val="0"/>
              </w:rPr>
              <w:t>Cardiac arrhythmia due to QT prolongation</w:t>
            </w:r>
          </w:p>
        </w:tc>
        <w:tc>
          <w:tcPr>
            <w:tcW w:w="516" w:type="pct"/>
          </w:tcPr>
          <w:p w14:paraId="71E84B24"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rFonts w:eastAsia="Cambria"/>
                <w:kern w:val="0"/>
              </w:rPr>
              <w:sym w:font="Wingdings" w:char="F0FC"/>
            </w:r>
          </w:p>
        </w:tc>
        <w:tc>
          <w:tcPr>
            <w:tcW w:w="626" w:type="pct"/>
          </w:tcPr>
          <w:p w14:paraId="77979345"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kern w:val="0"/>
              </w:rPr>
              <w:t>–</w:t>
            </w:r>
          </w:p>
        </w:tc>
        <w:tc>
          <w:tcPr>
            <w:tcW w:w="516" w:type="pct"/>
          </w:tcPr>
          <w:p w14:paraId="0CF9AD30"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rFonts w:eastAsia="Cambria"/>
                <w:kern w:val="0"/>
              </w:rPr>
              <w:sym w:font="Wingdings" w:char="F0FC"/>
            </w:r>
          </w:p>
        </w:tc>
        <w:tc>
          <w:tcPr>
            <w:tcW w:w="626" w:type="pct"/>
          </w:tcPr>
          <w:p w14:paraId="6175CC4C"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kern w:val="0"/>
              </w:rPr>
              <w:t>–</w:t>
            </w:r>
          </w:p>
        </w:tc>
      </w:tr>
      <w:tr w:rsidR="00026800" w:rsidRPr="00BF52F4" w14:paraId="7BC140AD" w14:textId="77777777" w:rsidTr="00026800">
        <w:trPr>
          <w:trHeight w:val="112"/>
        </w:trPr>
        <w:tc>
          <w:tcPr>
            <w:cnfStyle w:val="001000000000" w:firstRow="0" w:lastRow="0" w:firstColumn="1" w:lastColumn="0" w:oddVBand="0" w:evenVBand="0" w:oddHBand="0" w:evenHBand="0" w:firstRowFirstColumn="0" w:firstRowLastColumn="0" w:lastRowFirstColumn="0" w:lastRowLastColumn="0"/>
            <w:tcW w:w="795" w:type="pct"/>
            <w:vMerge/>
          </w:tcPr>
          <w:p w14:paraId="40E1D69C" w14:textId="77777777" w:rsidR="00026800" w:rsidRPr="00BF52F4" w:rsidRDefault="00026800" w:rsidP="00FB1CCD">
            <w:pPr>
              <w:pStyle w:val="Tabletext0"/>
              <w:rPr>
                <w:b/>
                <w:kern w:val="0"/>
              </w:rPr>
            </w:pPr>
          </w:p>
        </w:tc>
        <w:tc>
          <w:tcPr>
            <w:tcW w:w="1921" w:type="pct"/>
          </w:tcPr>
          <w:p w14:paraId="32F2E82D" w14:textId="77777777" w:rsidR="00026800" w:rsidRPr="007B483E" w:rsidRDefault="00026800" w:rsidP="00FB1CCD">
            <w:pPr>
              <w:pStyle w:val="Tabletext0"/>
              <w:cnfStyle w:val="000000000000" w:firstRow="0" w:lastRow="0" w:firstColumn="0" w:lastColumn="0" w:oddVBand="0" w:evenVBand="0" w:oddHBand="0" w:evenHBand="0" w:firstRowFirstColumn="0" w:firstRowLastColumn="0" w:lastRowFirstColumn="0" w:lastRowLastColumn="0"/>
              <w:rPr>
                <w:kern w:val="0"/>
              </w:rPr>
            </w:pPr>
            <w:r w:rsidRPr="007B483E">
              <w:rPr>
                <w:kern w:val="0"/>
              </w:rPr>
              <w:t>Reproductive and developmental toxicities</w:t>
            </w:r>
          </w:p>
        </w:tc>
        <w:tc>
          <w:tcPr>
            <w:tcW w:w="516" w:type="pct"/>
          </w:tcPr>
          <w:p w14:paraId="2BC1E775"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7B483E">
              <w:rPr>
                <w:rFonts w:eastAsia="Cambria"/>
                <w:kern w:val="0"/>
              </w:rPr>
              <w:sym w:font="Wingdings" w:char="F0FC"/>
            </w:r>
            <w:r w:rsidRPr="007B483E">
              <w:rPr>
                <w:rFonts w:eastAsia="Cambria"/>
                <w:kern w:val="0"/>
              </w:rPr>
              <w:t>*</w:t>
            </w:r>
          </w:p>
        </w:tc>
        <w:tc>
          <w:tcPr>
            <w:tcW w:w="626" w:type="pct"/>
          </w:tcPr>
          <w:p w14:paraId="48D93691"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p>
        </w:tc>
        <w:tc>
          <w:tcPr>
            <w:tcW w:w="516" w:type="pct"/>
          </w:tcPr>
          <w:p w14:paraId="500F21F4"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kern w:val="0"/>
              </w:rPr>
            </w:pPr>
            <w:r w:rsidRPr="007B483E">
              <w:rPr>
                <w:rFonts w:eastAsia="Cambria"/>
                <w:kern w:val="0"/>
              </w:rPr>
              <w:sym w:font="Wingdings" w:char="F0FC"/>
            </w:r>
          </w:p>
        </w:tc>
        <w:tc>
          <w:tcPr>
            <w:tcW w:w="626" w:type="pct"/>
          </w:tcPr>
          <w:p w14:paraId="6F968034" w14:textId="178EF113"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p>
        </w:tc>
      </w:tr>
      <w:tr w:rsidR="00026800" w:rsidRPr="00BF52F4" w14:paraId="002466BC" w14:textId="77777777" w:rsidTr="00026800">
        <w:trPr>
          <w:trHeight w:val="112"/>
        </w:trPr>
        <w:tc>
          <w:tcPr>
            <w:cnfStyle w:val="001000000000" w:firstRow="0" w:lastRow="0" w:firstColumn="1" w:lastColumn="0" w:oddVBand="0" w:evenVBand="0" w:oddHBand="0" w:evenHBand="0" w:firstRowFirstColumn="0" w:firstRowLastColumn="0" w:lastRowFirstColumn="0" w:lastRowLastColumn="0"/>
            <w:tcW w:w="795" w:type="pct"/>
            <w:vMerge/>
          </w:tcPr>
          <w:p w14:paraId="3FDB1B5E" w14:textId="77777777" w:rsidR="00026800" w:rsidRPr="00BF52F4" w:rsidRDefault="00026800" w:rsidP="00FB1CCD">
            <w:pPr>
              <w:pStyle w:val="Tabletext0"/>
              <w:rPr>
                <w:b/>
                <w:kern w:val="0"/>
              </w:rPr>
            </w:pPr>
          </w:p>
        </w:tc>
        <w:tc>
          <w:tcPr>
            <w:tcW w:w="1921" w:type="pct"/>
          </w:tcPr>
          <w:p w14:paraId="53B5BBFD" w14:textId="77777777" w:rsidR="00026800" w:rsidRPr="008341A6" w:rsidRDefault="00026800" w:rsidP="00FB1CCD">
            <w:pPr>
              <w:pStyle w:val="Tabletext0"/>
              <w:cnfStyle w:val="000000000000" w:firstRow="0" w:lastRow="0" w:firstColumn="0" w:lastColumn="0" w:oddVBand="0" w:evenVBand="0" w:oddHBand="0" w:evenHBand="0" w:firstRowFirstColumn="0" w:firstRowLastColumn="0" w:lastRowFirstColumn="0" w:lastRowLastColumn="0"/>
              <w:rPr>
                <w:color w:val="auto"/>
                <w:kern w:val="0"/>
              </w:rPr>
            </w:pPr>
            <w:r w:rsidRPr="008341A6">
              <w:rPr>
                <w:color w:val="auto"/>
                <w:kern w:val="0"/>
              </w:rPr>
              <w:t>Growth plate abnormalities in paediatric patients</w:t>
            </w:r>
            <w:r w:rsidRPr="008341A6">
              <w:rPr>
                <w:rFonts w:asciiTheme="majorHAnsi" w:hAnsiTheme="majorHAnsi"/>
                <w:color w:val="auto"/>
                <w:kern w:val="0"/>
                <w:szCs w:val="20"/>
              </w:rPr>
              <w:t>†</w:t>
            </w:r>
          </w:p>
        </w:tc>
        <w:tc>
          <w:tcPr>
            <w:tcW w:w="516" w:type="pct"/>
          </w:tcPr>
          <w:p w14:paraId="7DF9C6C0" w14:textId="77777777" w:rsidR="00026800" w:rsidRPr="008341A6"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color w:val="auto"/>
                <w:kern w:val="0"/>
              </w:rPr>
            </w:pPr>
            <w:r w:rsidRPr="008341A6">
              <w:rPr>
                <w:rFonts w:eastAsia="Cambria"/>
                <w:color w:val="auto"/>
                <w:kern w:val="0"/>
              </w:rPr>
              <w:sym w:font="Wingdings" w:char="F0FC"/>
            </w:r>
            <w:r w:rsidRPr="008341A6">
              <w:rPr>
                <w:rFonts w:asciiTheme="majorHAnsi" w:hAnsiTheme="majorHAnsi"/>
                <w:color w:val="auto"/>
                <w:kern w:val="0"/>
                <w:szCs w:val="20"/>
              </w:rPr>
              <w:t>†</w:t>
            </w:r>
          </w:p>
        </w:tc>
        <w:tc>
          <w:tcPr>
            <w:tcW w:w="626" w:type="pct"/>
          </w:tcPr>
          <w:p w14:paraId="724ABEE4" w14:textId="77777777" w:rsidR="00026800" w:rsidRPr="008341A6"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color w:val="auto"/>
                <w:kern w:val="0"/>
              </w:rPr>
            </w:pPr>
            <w:r w:rsidRPr="008341A6">
              <w:rPr>
                <w:color w:val="auto"/>
                <w:kern w:val="0"/>
              </w:rPr>
              <w:t>–</w:t>
            </w:r>
          </w:p>
        </w:tc>
        <w:tc>
          <w:tcPr>
            <w:tcW w:w="516" w:type="pct"/>
          </w:tcPr>
          <w:p w14:paraId="388A1682" w14:textId="77777777" w:rsidR="00026800" w:rsidRPr="008341A6"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color w:val="auto"/>
                <w:kern w:val="0"/>
              </w:rPr>
            </w:pPr>
            <w:r w:rsidRPr="008341A6">
              <w:rPr>
                <w:rFonts w:eastAsia="Cambria"/>
                <w:color w:val="auto"/>
                <w:kern w:val="0"/>
              </w:rPr>
              <w:sym w:font="Wingdings" w:char="F0FC"/>
            </w:r>
            <w:r w:rsidRPr="008341A6">
              <w:rPr>
                <w:rFonts w:asciiTheme="majorHAnsi" w:hAnsiTheme="majorHAnsi"/>
                <w:color w:val="auto"/>
                <w:kern w:val="0"/>
                <w:szCs w:val="20"/>
              </w:rPr>
              <w:t>†</w:t>
            </w:r>
          </w:p>
        </w:tc>
        <w:tc>
          <w:tcPr>
            <w:tcW w:w="626" w:type="pct"/>
          </w:tcPr>
          <w:p w14:paraId="248E3F70" w14:textId="77777777" w:rsidR="00026800" w:rsidRPr="008341A6"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color w:val="auto"/>
                <w:kern w:val="0"/>
              </w:rPr>
            </w:pPr>
            <w:r w:rsidRPr="008341A6">
              <w:rPr>
                <w:color w:val="auto"/>
                <w:kern w:val="0"/>
              </w:rPr>
              <w:t>–</w:t>
            </w:r>
          </w:p>
        </w:tc>
      </w:tr>
      <w:tr w:rsidR="00026800" w:rsidRPr="00BF52F4" w14:paraId="488BFA08" w14:textId="77777777" w:rsidTr="00026800">
        <w:trPr>
          <w:trHeight w:val="178"/>
        </w:trPr>
        <w:tc>
          <w:tcPr>
            <w:cnfStyle w:val="001000000000" w:firstRow="0" w:lastRow="0" w:firstColumn="1" w:lastColumn="0" w:oddVBand="0" w:evenVBand="0" w:oddHBand="0" w:evenHBand="0" w:firstRowFirstColumn="0" w:firstRowLastColumn="0" w:lastRowFirstColumn="0" w:lastRowLastColumn="0"/>
            <w:tcW w:w="795" w:type="pct"/>
            <w:vMerge w:val="restart"/>
          </w:tcPr>
          <w:p w14:paraId="0F85F2DF" w14:textId="77777777" w:rsidR="00026800" w:rsidRPr="00BF52F4" w:rsidRDefault="00026800" w:rsidP="00FB1CCD">
            <w:pPr>
              <w:pStyle w:val="Tabletext0"/>
              <w:rPr>
                <w:b/>
                <w:kern w:val="0"/>
              </w:rPr>
            </w:pPr>
            <w:r w:rsidRPr="00BF52F4">
              <w:rPr>
                <w:b/>
                <w:kern w:val="0"/>
              </w:rPr>
              <w:t>Missing information</w:t>
            </w:r>
          </w:p>
        </w:tc>
        <w:tc>
          <w:tcPr>
            <w:tcW w:w="1921" w:type="pct"/>
          </w:tcPr>
          <w:p w14:paraId="20C30DD0" w14:textId="77777777" w:rsidR="00026800" w:rsidRPr="00BF52F4" w:rsidRDefault="00026800" w:rsidP="00FB1CCD">
            <w:pPr>
              <w:pStyle w:val="Tabletext0"/>
              <w:cnfStyle w:val="000000000000" w:firstRow="0" w:lastRow="0" w:firstColumn="0" w:lastColumn="0" w:oddVBand="0" w:evenVBand="0" w:oddHBand="0" w:evenHBand="0" w:firstRowFirstColumn="0" w:firstRowLastColumn="0" w:lastRowFirstColumn="0" w:lastRowLastColumn="0"/>
              <w:rPr>
                <w:kern w:val="0"/>
              </w:rPr>
            </w:pPr>
            <w:r w:rsidRPr="007B483E">
              <w:rPr>
                <w:kern w:val="0"/>
              </w:rPr>
              <w:t>Exposure and safety in patients with severe hepatic impairment</w:t>
            </w:r>
          </w:p>
        </w:tc>
        <w:tc>
          <w:tcPr>
            <w:tcW w:w="516" w:type="pct"/>
          </w:tcPr>
          <w:p w14:paraId="75F59A44"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rFonts w:eastAsia="Cambria"/>
                <w:kern w:val="0"/>
              </w:rPr>
              <w:sym w:font="Wingdings" w:char="F0FC"/>
            </w:r>
          </w:p>
        </w:tc>
        <w:tc>
          <w:tcPr>
            <w:tcW w:w="626" w:type="pct"/>
          </w:tcPr>
          <w:p w14:paraId="6A2C0D79"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kern w:val="0"/>
              </w:rPr>
              <w:t>–</w:t>
            </w:r>
          </w:p>
        </w:tc>
        <w:tc>
          <w:tcPr>
            <w:tcW w:w="516" w:type="pct"/>
          </w:tcPr>
          <w:p w14:paraId="370DD504"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p>
        </w:tc>
        <w:tc>
          <w:tcPr>
            <w:tcW w:w="626" w:type="pct"/>
          </w:tcPr>
          <w:p w14:paraId="28B1D02C"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kern w:val="0"/>
              </w:rPr>
              <w:t>–</w:t>
            </w:r>
          </w:p>
        </w:tc>
      </w:tr>
      <w:tr w:rsidR="00026800" w:rsidRPr="00BF52F4" w14:paraId="381E30B6" w14:textId="77777777" w:rsidTr="00026800">
        <w:trPr>
          <w:trHeight w:val="140"/>
        </w:trPr>
        <w:tc>
          <w:tcPr>
            <w:cnfStyle w:val="001000000000" w:firstRow="0" w:lastRow="0" w:firstColumn="1" w:lastColumn="0" w:oddVBand="0" w:evenVBand="0" w:oddHBand="0" w:evenHBand="0" w:firstRowFirstColumn="0" w:firstRowLastColumn="0" w:lastRowFirstColumn="0" w:lastRowLastColumn="0"/>
            <w:tcW w:w="795" w:type="pct"/>
            <w:vMerge/>
          </w:tcPr>
          <w:p w14:paraId="3D03DAC6" w14:textId="77777777" w:rsidR="00026800" w:rsidRPr="00BF52F4" w:rsidRDefault="00026800" w:rsidP="00FB1CCD">
            <w:pPr>
              <w:pStyle w:val="Tabletext0"/>
              <w:rPr>
                <w:kern w:val="0"/>
              </w:rPr>
            </w:pPr>
          </w:p>
        </w:tc>
        <w:tc>
          <w:tcPr>
            <w:tcW w:w="1921" w:type="pct"/>
          </w:tcPr>
          <w:p w14:paraId="57ECBDE9" w14:textId="77777777" w:rsidR="00026800" w:rsidRPr="00BF52F4" w:rsidRDefault="00026800" w:rsidP="00FB1CCD">
            <w:pPr>
              <w:pStyle w:val="Tabletext0"/>
              <w:cnfStyle w:val="000000000000" w:firstRow="0" w:lastRow="0" w:firstColumn="0" w:lastColumn="0" w:oddVBand="0" w:evenVBand="0" w:oddHBand="0" w:evenHBand="0" w:firstRowFirstColumn="0" w:firstRowLastColumn="0" w:lastRowFirstColumn="0" w:lastRowLastColumn="0"/>
              <w:rPr>
                <w:kern w:val="0"/>
              </w:rPr>
            </w:pPr>
            <w:r w:rsidRPr="007B483E">
              <w:rPr>
                <w:kern w:val="0"/>
              </w:rPr>
              <w:t>Exposure and safety in patients with cardiac impairment</w:t>
            </w:r>
          </w:p>
        </w:tc>
        <w:tc>
          <w:tcPr>
            <w:tcW w:w="516" w:type="pct"/>
          </w:tcPr>
          <w:p w14:paraId="303E87A3"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rFonts w:eastAsia="Cambria"/>
                <w:kern w:val="0"/>
              </w:rPr>
              <w:sym w:font="Wingdings" w:char="F0FC"/>
            </w:r>
          </w:p>
        </w:tc>
        <w:tc>
          <w:tcPr>
            <w:tcW w:w="626" w:type="pct"/>
          </w:tcPr>
          <w:p w14:paraId="69E63295"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kern w:val="0"/>
              </w:rPr>
              <w:t>–</w:t>
            </w:r>
          </w:p>
        </w:tc>
        <w:tc>
          <w:tcPr>
            <w:tcW w:w="516" w:type="pct"/>
          </w:tcPr>
          <w:p w14:paraId="3F2F6B13"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kern w:val="0"/>
              </w:rPr>
              <w:t>–</w:t>
            </w:r>
          </w:p>
        </w:tc>
        <w:tc>
          <w:tcPr>
            <w:tcW w:w="626" w:type="pct"/>
          </w:tcPr>
          <w:p w14:paraId="192B95CA" w14:textId="77777777" w:rsidR="00026800" w:rsidRPr="007B483E" w:rsidRDefault="00026800" w:rsidP="00FB1CCD">
            <w:pPr>
              <w:pStyle w:val="Tabletext0"/>
              <w:jc w:val="center"/>
              <w:cnfStyle w:val="000000000000" w:firstRow="0" w:lastRow="0" w:firstColumn="0" w:lastColumn="0" w:oddVBand="0" w:evenVBand="0" w:oddHBand="0" w:evenHBand="0" w:firstRowFirstColumn="0" w:firstRowLastColumn="0" w:lastRowFirstColumn="0" w:lastRowLastColumn="0"/>
              <w:rPr>
                <w:kern w:val="0"/>
              </w:rPr>
            </w:pPr>
            <w:r w:rsidRPr="007B483E">
              <w:rPr>
                <w:kern w:val="0"/>
              </w:rPr>
              <w:t>–</w:t>
            </w:r>
          </w:p>
        </w:tc>
      </w:tr>
    </w:tbl>
    <w:p w14:paraId="5DD12570" w14:textId="77777777" w:rsidR="00026800" w:rsidRPr="00026800" w:rsidRDefault="00026800" w:rsidP="00026800">
      <w:pPr>
        <w:pStyle w:val="TableDescription"/>
      </w:pPr>
      <w:r w:rsidRPr="00026800">
        <w:t>* Pregnancy and breast-feeding follow-up forms</w:t>
      </w:r>
    </w:p>
    <w:p w14:paraId="3B963219" w14:textId="77777777" w:rsidR="00026800" w:rsidRPr="00026800" w:rsidRDefault="00026800" w:rsidP="00026800">
      <w:pPr>
        <w:pStyle w:val="TableDescription"/>
      </w:pPr>
      <w:r w:rsidRPr="00026800">
        <w:t>† EU-RMP only and applicable to paediatric indications in the EU.</w:t>
      </w:r>
    </w:p>
    <w:p w14:paraId="775F128D" w14:textId="77777777" w:rsidR="00026800" w:rsidRPr="00026800" w:rsidRDefault="00026800" w:rsidP="00026800">
      <w:r w:rsidRPr="00026800">
        <w:t>No new safety concerns have been identified by the clinical evaluator. The summary of safety concerns aligns with the EU-RMP (except for safety concern pertaining to the paediatric indications in the EU only) and is satisfactory</w:t>
      </w:r>
    </w:p>
    <w:p w14:paraId="15579E3E" w14:textId="716DC321" w:rsidR="00026800" w:rsidRPr="00026800" w:rsidRDefault="00026800" w:rsidP="00026800">
      <w:r w:rsidRPr="00026800">
        <w:t>Routine pharmacovigilance activities only are proposed. Routine pharmacovigilance includes follow</w:t>
      </w:r>
      <w:r w:rsidR="008341A6">
        <w:t xml:space="preserve"> </w:t>
      </w:r>
      <w:r w:rsidRPr="00026800">
        <w:t xml:space="preserve">up forms for pregnancy and breast feeding. The sponsor has clarified that there will be standard adverse event follow up forms titled </w:t>
      </w:r>
      <w:r w:rsidR="008341A6">
        <w:t>‘</w:t>
      </w:r>
      <w:r w:rsidRPr="00026800">
        <w:t>hepatic disorders</w:t>
      </w:r>
      <w:r w:rsidR="008341A6">
        <w:t>’</w:t>
      </w:r>
      <w:r w:rsidRPr="00026800">
        <w:t xml:space="preserve"> and </w:t>
      </w:r>
      <w:r w:rsidR="008341A6">
        <w:t>‘</w:t>
      </w:r>
      <w:r w:rsidRPr="00026800">
        <w:t>cardiac disorders</w:t>
      </w:r>
      <w:r w:rsidR="008341A6">
        <w:t>’</w:t>
      </w:r>
      <w:r w:rsidRPr="00026800">
        <w:t xml:space="preserve"> as </w:t>
      </w:r>
      <w:r w:rsidR="008341A6">
        <w:t>‘</w:t>
      </w:r>
      <w:r w:rsidRPr="00026800">
        <w:t>liver injury</w:t>
      </w:r>
      <w:r w:rsidR="008341A6">
        <w:t>’</w:t>
      </w:r>
      <w:r w:rsidRPr="00026800">
        <w:t xml:space="preserve"> and </w:t>
      </w:r>
      <w:r w:rsidR="008341A6">
        <w:t>‘</w:t>
      </w:r>
      <w:r w:rsidRPr="00026800">
        <w:t>cardiac arrhythmia due to QT prolongation</w:t>
      </w:r>
      <w:r w:rsidR="008341A6">
        <w:t>’</w:t>
      </w:r>
      <w:r w:rsidRPr="00026800">
        <w:t xml:space="preserve"> are surveillance terms for </w:t>
      </w:r>
      <w:proofErr w:type="spellStart"/>
      <w:r w:rsidRPr="00026800">
        <w:t>selpercatinib</w:t>
      </w:r>
      <w:proofErr w:type="spellEnd"/>
      <w:r w:rsidRPr="00026800">
        <w:t>. The pharmacovigilance plan is acceptable.</w:t>
      </w:r>
    </w:p>
    <w:p w14:paraId="5D5E5D1B" w14:textId="21CCB222" w:rsidR="00026800" w:rsidRPr="00026800" w:rsidRDefault="00026800" w:rsidP="00026800">
      <w:bookmarkStart w:id="51" w:name="_Hlk120013588"/>
      <w:r w:rsidRPr="00026800">
        <w:t xml:space="preserve">The sponsor has provided a clinical study plan for the provisional application. This will be reviewed by the </w:t>
      </w:r>
      <w:r w:rsidR="00B23AC7">
        <w:t>Delegate</w:t>
      </w:r>
      <w:r w:rsidRPr="00026800">
        <w:t xml:space="preserve"> for adequacy.</w:t>
      </w:r>
    </w:p>
    <w:bookmarkEnd w:id="51"/>
    <w:p w14:paraId="0632C932" w14:textId="3093A89D" w:rsidR="00C22214" w:rsidRDefault="00026800" w:rsidP="003B149C">
      <w:r w:rsidRPr="00026800">
        <w:t xml:space="preserve">Routine risk minimisation activities only are proposed. This is acceptable as </w:t>
      </w:r>
      <w:proofErr w:type="spellStart"/>
      <w:r w:rsidRPr="00026800">
        <w:t>selpercatinib</w:t>
      </w:r>
      <w:proofErr w:type="spellEnd"/>
      <w:r w:rsidRPr="00026800">
        <w:t xml:space="preserve"> is an oral medication which will be prescribed by specialist physicians and no additional educational materials are required.</w:t>
      </w:r>
    </w:p>
    <w:p w14:paraId="74A4F87F" w14:textId="330745FB" w:rsidR="00C22214" w:rsidRDefault="00C22214" w:rsidP="00C22214">
      <w:pPr>
        <w:pStyle w:val="Heading3"/>
      </w:pPr>
      <w:bookmarkStart w:id="52" w:name="_Toc103679299"/>
      <w:bookmarkStart w:id="53" w:name="_Toc148531597"/>
      <w:r>
        <w:t>Risk-benefit analysis</w:t>
      </w:r>
      <w:bookmarkEnd w:id="48"/>
      <w:bookmarkEnd w:id="49"/>
      <w:bookmarkEnd w:id="52"/>
      <w:bookmarkEnd w:id="53"/>
      <w:r w:rsidR="00040953">
        <w:fldChar w:fldCharType="begin"/>
      </w:r>
      <w:r w:rsidR="00040953">
        <w:instrText xml:space="preserve"> DOCVARIABLE vault_nd_e0bf9ee7-8782-452f-ab93-7e282abcd56a \* MERGEFORMAT </w:instrText>
      </w:r>
      <w:r w:rsidR="00040953">
        <w:fldChar w:fldCharType="separate"/>
      </w:r>
      <w:r w:rsidR="00040953">
        <w:t xml:space="preserve"> </w:t>
      </w:r>
      <w:r w:rsidR="00040953">
        <w:fldChar w:fldCharType="end"/>
      </w:r>
    </w:p>
    <w:p w14:paraId="77DE2655" w14:textId="71820D09" w:rsidR="00C22214" w:rsidRDefault="00C22214" w:rsidP="00C22214">
      <w:pPr>
        <w:pStyle w:val="Heading4"/>
      </w:pPr>
      <w:bookmarkStart w:id="54" w:name="_Toc98931932"/>
      <w:bookmarkStart w:id="55" w:name="_Toc148531598"/>
      <w:r>
        <w:t>Delegate’s considerations</w:t>
      </w:r>
      <w:bookmarkEnd w:id="54"/>
      <w:bookmarkEnd w:id="55"/>
      <w:r w:rsidR="00040953">
        <w:fldChar w:fldCharType="begin"/>
      </w:r>
      <w:r w:rsidR="00040953">
        <w:instrText xml:space="preserve"> DOCVARIABLE vault_nd_05a7f9c0-bd8e-4e3c-8582-3c1ba2ffb177 \* MERGEFORMAT </w:instrText>
      </w:r>
      <w:r w:rsidR="00040953">
        <w:fldChar w:fldCharType="separate"/>
      </w:r>
      <w:r w:rsidR="00040953">
        <w:t xml:space="preserve"> </w:t>
      </w:r>
      <w:r w:rsidR="00040953">
        <w:fldChar w:fldCharType="end"/>
      </w:r>
    </w:p>
    <w:p w14:paraId="15FDE77B" w14:textId="280FD381" w:rsidR="00026800" w:rsidRPr="008341A6" w:rsidRDefault="00026800" w:rsidP="008341A6">
      <w:r w:rsidRPr="008341A6">
        <w:t>N</w:t>
      </w:r>
      <w:r w:rsidR="008341A6">
        <w:t xml:space="preserve">on-small cell lung cancer </w:t>
      </w:r>
      <w:r w:rsidRPr="008341A6">
        <w:t xml:space="preserve">is a highly aggressive tumour for which the identification of targetable mutations has been shown to improve clinical response compared to non-specific chemotherapy. Although </w:t>
      </w:r>
      <w:r w:rsidR="008341A6">
        <w:t xml:space="preserve">Study </w:t>
      </w:r>
      <w:r w:rsidRPr="008341A6">
        <w:t xml:space="preserve">Libretto-001 is not a controlled trial, the natural history of advanced or metastatic NSCLC is sufficiently well understood to offer a comparison. On this basis, the Delegate is of the view that </w:t>
      </w:r>
      <w:proofErr w:type="spellStart"/>
      <w:r w:rsidR="008341A6">
        <w:t>s</w:t>
      </w:r>
      <w:r w:rsidRPr="008341A6">
        <w:t>elpercatinib</w:t>
      </w:r>
      <w:proofErr w:type="spellEnd"/>
      <w:r w:rsidRPr="008341A6">
        <w:t xml:space="preserve"> provides a potential benefit over response rates to </w:t>
      </w:r>
      <w:proofErr w:type="gramStart"/>
      <w:r w:rsidRPr="008341A6">
        <w:t>platinum</w:t>
      </w:r>
      <w:r w:rsidR="008341A6">
        <w:t xml:space="preserve"> </w:t>
      </w:r>
      <w:r w:rsidRPr="008341A6">
        <w:t>based</w:t>
      </w:r>
      <w:proofErr w:type="gramEnd"/>
      <w:r w:rsidRPr="008341A6">
        <w:t xml:space="preserve"> chemotherapy. This is caveated by the relatively short period of follow</w:t>
      </w:r>
      <w:r w:rsidR="008341A6">
        <w:t xml:space="preserve"> </w:t>
      </w:r>
      <w:r w:rsidRPr="008341A6">
        <w:t xml:space="preserve">up in </w:t>
      </w:r>
      <w:r w:rsidR="008341A6">
        <w:t xml:space="preserve">Study </w:t>
      </w:r>
      <w:r w:rsidRPr="008341A6">
        <w:t>Libretto-001, and early responses to therapy may not be sustained.</w:t>
      </w:r>
    </w:p>
    <w:p w14:paraId="7BB17975" w14:textId="392EFF1B" w:rsidR="00026800" w:rsidRPr="008341A6" w:rsidRDefault="00026800" w:rsidP="008341A6">
      <w:r w:rsidRPr="008341A6">
        <w:t xml:space="preserve">Selpercatinib appears well tolerated within the context of systemic therapies for NSCLC. The </w:t>
      </w:r>
      <w:r w:rsidR="008341A6">
        <w:t xml:space="preserve">US </w:t>
      </w:r>
      <w:r w:rsidRPr="008341A6">
        <w:t>FDA has added additional adverse events to the product labelling during its evaluation of this indication, and these have been included in the updated Australian PI. However</w:t>
      </w:r>
      <w:r w:rsidR="005A23C0">
        <w:t>,</w:t>
      </w:r>
      <w:r w:rsidRPr="008341A6">
        <w:t xml:space="preserve"> the Delegate notes that the lack of comparative safety data for this product, and the relative recency of its introduction into clinical practice, poses a risk that adverse events will emerging that are not reported in the current trial data.</w:t>
      </w:r>
    </w:p>
    <w:p w14:paraId="628D78E9" w14:textId="5AFD8859" w:rsidR="00026800" w:rsidRPr="008341A6" w:rsidRDefault="00026800" w:rsidP="008341A6">
      <w:r w:rsidRPr="008341A6">
        <w:t>The Delegate considers the main issue with the data provided to be the clinical population for whom the results are most relevant.</w:t>
      </w:r>
    </w:p>
    <w:p w14:paraId="686462C6" w14:textId="71081806" w:rsidR="00026800" w:rsidRPr="005A23C0" w:rsidRDefault="00026800" w:rsidP="005A23C0">
      <w:r w:rsidRPr="005A23C0">
        <w:t>The majority of subjects in</w:t>
      </w:r>
      <w:r w:rsidR="005A23C0" w:rsidRPr="005A23C0">
        <w:t xml:space="preserve"> Study</w:t>
      </w:r>
      <w:r w:rsidRPr="005A23C0">
        <w:t xml:space="preserve"> Libretto-001 had received prior chemotherapy and had a </w:t>
      </w:r>
      <w:proofErr w:type="gramStart"/>
      <w:r w:rsidR="005A23C0" w:rsidRPr="005A23C0">
        <w:t>three</w:t>
      </w:r>
      <w:r w:rsidRPr="005A23C0">
        <w:t xml:space="preserve"> month</w:t>
      </w:r>
      <w:proofErr w:type="gramEnd"/>
      <w:r w:rsidRPr="005A23C0">
        <w:t xml:space="preserve"> life-expectancy at enrolment. This may suggest a second-line indication is appropriate, and the </w:t>
      </w:r>
      <w:r w:rsidR="005A23C0" w:rsidRPr="005A23C0">
        <w:t xml:space="preserve">European Medicines Agency </w:t>
      </w:r>
      <w:proofErr w:type="spellStart"/>
      <w:r w:rsidRPr="005A23C0">
        <w:t>intially</w:t>
      </w:r>
      <w:proofErr w:type="spellEnd"/>
      <w:r w:rsidRPr="005A23C0">
        <w:t xml:space="preserve"> registered </w:t>
      </w:r>
      <w:proofErr w:type="spellStart"/>
      <w:r w:rsidR="005A23C0" w:rsidRPr="005A23C0">
        <w:t>s</w:t>
      </w:r>
      <w:r w:rsidRPr="005A23C0">
        <w:t>elpercatinib</w:t>
      </w:r>
      <w:proofErr w:type="spellEnd"/>
      <w:r w:rsidRPr="005A23C0">
        <w:t xml:space="preserve"> for patients who have </w:t>
      </w:r>
      <w:r w:rsidRPr="005A23C0">
        <w:lastRenderedPageBreak/>
        <w:t xml:space="preserve">received prior </w:t>
      </w:r>
      <w:proofErr w:type="gramStart"/>
      <w:r w:rsidRPr="005A23C0">
        <w:t>platinum based</w:t>
      </w:r>
      <w:proofErr w:type="gramEnd"/>
      <w:r w:rsidRPr="005A23C0">
        <w:t xml:space="preserve"> chemotherapy. It has subsequently moved to an indication for all </w:t>
      </w:r>
      <w:r w:rsidRPr="005A23C0">
        <w:rPr>
          <w:i/>
          <w:iCs/>
        </w:rPr>
        <w:t>RET</w:t>
      </w:r>
      <w:r w:rsidRPr="005A23C0">
        <w:t xml:space="preserve">-positive </w:t>
      </w:r>
      <w:proofErr w:type="spellStart"/>
      <w:r w:rsidRPr="005A23C0">
        <w:t>tumors</w:t>
      </w:r>
      <w:proofErr w:type="spellEnd"/>
      <w:r w:rsidRPr="005A23C0">
        <w:t xml:space="preserve"> not previously treated with a </w:t>
      </w:r>
      <w:r w:rsidRPr="005A23C0">
        <w:rPr>
          <w:i/>
          <w:iCs/>
        </w:rPr>
        <w:t>RET</w:t>
      </w:r>
      <w:r w:rsidRPr="005A23C0">
        <w:t xml:space="preserve"> inhibitor.</w:t>
      </w:r>
    </w:p>
    <w:p w14:paraId="5826FE63" w14:textId="55C4FFDB" w:rsidR="00026800" w:rsidRPr="005A23C0" w:rsidRDefault="00026800" w:rsidP="005A23C0">
      <w:proofErr w:type="gramStart"/>
      <w:r w:rsidRPr="005A23C0">
        <w:t>However</w:t>
      </w:r>
      <w:proofErr w:type="gramEnd"/>
      <w:r w:rsidRPr="005A23C0">
        <w:t xml:space="preserve"> the response to therapy in</w:t>
      </w:r>
      <w:r w:rsidR="005A23C0">
        <w:t xml:space="preserve"> Study</w:t>
      </w:r>
      <w:r w:rsidRPr="005A23C0">
        <w:t xml:space="preserve"> Libretto-001 was similar in most metrics between pre-treated treatment-naïve patients. The Delegate notes that the inclusion of treatment-naïve patients </w:t>
      </w:r>
      <w:proofErr w:type="gramStart"/>
      <w:r w:rsidRPr="005A23C0">
        <w:t>on the basis of</w:t>
      </w:r>
      <w:proofErr w:type="gramEnd"/>
      <w:r w:rsidRPr="005A23C0">
        <w:t xml:space="preserve"> non-specified investigator or patient preference against ‘standard therapy’ may have introduced a selection bias to these results. However, the Delegate feels that this is unlikely to invalidate the observation that </w:t>
      </w:r>
      <w:proofErr w:type="spellStart"/>
      <w:r w:rsidR="005A23C0">
        <w:t>s</w:t>
      </w:r>
      <w:r w:rsidRPr="005A23C0">
        <w:t>elpercatinib</w:t>
      </w:r>
      <w:proofErr w:type="spellEnd"/>
      <w:r w:rsidRPr="005A23C0">
        <w:t xml:space="preserve"> was effective in a small cohort of first-line patients. The US FDA has approved </w:t>
      </w:r>
      <w:proofErr w:type="spellStart"/>
      <w:r w:rsidR="005A23C0">
        <w:t>s</w:t>
      </w:r>
      <w:r w:rsidRPr="005A23C0">
        <w:t>elpercatinib</w:t>
      </w:r>
      <w:proofErr w:type="spellEnd"/>
      <w:r w:rsidRPr="005A23C0">
        <w:t xml:space="preserve"> for a line-agnostic indication to treat NSCLC.</w:t>
      </w:r>
    </w:p>
    <w:p w14:paraId="3916F296" w14:textId="1897F8D8" w:rsidR="00C22214" w:rsidRDefault="00C22214" w:rsidP="00C22214">
      <w:pPr>
        <w:pStyle w:val="Heading4"/>
      </w:pPr>
      <w:bookmarkStart w:id="56" w:name="_Toc98931933"/>
      <w:bookmarkStart w:id="57" w:name="_Toc148531599"/>
      <w:r w:rsidRPr="00D23139">
        <w:t>Proposed action</w:t>
      </w:r>
      <w:bookmarkEnd w:id="56"/>
      <w:bookmarkEnd w:id="57"/>
      <w:r w:rsidR="00040953">
        <w:fldChar w:fldCharType="begin"/>
      </w:r>
      <w:r w:rsidR="00040953">
        <w:instrText xml:space="preserve"> DOCVARIABLE vault_nd_6304b79e-6206-4bb1-9e5e-de5e76151859 \* MERGEFORMAT </w:instrText>
      </w:r>
      <w:r w:rsidR="00040953">
        <w:fldChar w:fldCharType="separate"/>
      </w:r>
      <w:r w:rsidR="00040953">
        <w:t xml:space="preserve"> </w:t>
      </w:r>
      <w:r w:rsidR="00040953">
        <w:fldChar w:fldCharType="end"/>
      </w:r>
    </w:p>
    <w:p w14:paraId="0D144AA2" w14:textId="768DE434" w:rsidR="00026800" w:rsidRDefault="00026800" w:rsidP="00026800">
      <w:r>
        <w:t xml:space="preserve">The Delegate is currently minded </w:t>
      </w:r>
      <w:proofErr w:type="gramStart"/>
      <w:r>
        <w:t>to approve</w:t>
      </w:r>
      <w:proofErr w:type="gramEnd"/>
      <w:r>
        <w:t xml:space="preserve"> the Provisional Registration of Selpercatinib </w:t>
      </w:r>
      <w:r w:rsidR="005A23C0">
        <w:t>‘</w:t>
      </w:r>
      <w:r w:rsidRPr="00026800">
        <w:rPr>
          <w:i/>
          <w:iCs/>
        </w:rPr>
        <w:t>for the treatment of adult patients with advanced metastatic RET fusion positive non-small cell lung cancer (NSCLC)</w:t>
      </w:r>
      <w:r w:rsidR="005A23C0">
        <w:t>’.</w:t>
      </w:r>
    </w:p>
    <w:p w14:paraId="0852B543" w14:textId="4AB4DFD1" w:rsidR="00026800" w:rsidRPr="00026800" w:rsidRDefault="00026800" w:rsidP="00026800">
      <w:r>
        <w:t>For clarity, the Delegate will consider the advice of the</w:t>
      </w:r>
      <w:r w:rsidR="005A23C0">
        <w:t xml:space="preserve"> Advisory Committee on Medicines</w:t>
      </w:r>
      <w:r>
        <w:t xml:space="preserve"> </w:t>
      </w:r>
      <w:r w:rsidR="005A23C0">
        <w:t>(</w:t>
      </w:r>
      <w:r>
        <w:t>ACM</w:t>
      </w:r>
      <w:r w:rsidR="005A23C0">
        <w:t>)</w:t>
      </w:r>
      <w:r>
        <w:t xml:space="preserve"> regarding the indication for </w:t>
      </w:r>
      <w:proofErr w:type="spellStart"/>
      <w:r w:rsidR="005A23C0">
        <w:t>s</w:t>
      </w:r>
      <w:r>
        <w:t>elpercatinib</w:t>
      </w:r>
      <w:proofErr w:type="spellEnd"/>
      <w:r>
        <w:t xml:space="preserve"> to be determinative in the final </w:t>
      </w:r>
      <w:r w:rsidR="005A23C0">
        <w:t>d</w:t>
      </w:r>
      <w:r>
        <w:t>ecision.</w:t>
      </w:r>
    </w:p>
    <w:p w14:paraId="318CFABC" w14:textId="6D35EF61" w:rsidR="00C22214" w:rsidRPr="00F73346" w:rsidRDefault="00C22214" w:rsidP="00C22214">
      <w:pPr>
        <w:pStyle w:val="Heading4"/>
      </w:pPr>
      <w:bookmarkStart w:id="58" w:name="_Toc98931936"/>
      <w:bookmarkStart w:id="59" w:name="_Toc148531600"/>
      <w:bookmarkStart w:id="60" w:name="_Toc247691532"/>
      <w:bookmarkStart w:id="61" w:name="_Toc314842516"/>
      <w:r w:rsidRPr="00F73346">
        <w:t>Advisory Committee considerations</w:t>
      </w:r>
      <w:bookmarkEnd w:id="58"/>
      <w:bookmarkEnd w:id="59"/>
      <w:r w:rsidR="00040953">
        <w:fldChar w:fldCharType="begin"/>
      </w:r>
      <w:r w:rsidR="00040953">
        <w:instrText xml:space="preserve"> DOCVARIABLE vault_nd_40c32fd7-760a-498f-a42e-77856cff7dbd \* MERGEFORMAT </w:instrText>
      </w:r>
      <w:r w:rsidR="00040953">
        <w:fldChar w:fldCharType="separate"/>
      </w:r>
      <w:r w:rsidR="00040953">
        <w:t xml:space="preserve"> </w:t>
      </w:r>
      <w:r w:rsidR="00040953">
        <w:fldChar w:fldCharType="end"/>
      </w:r>
    </w:p>
    <w:p w14:paraId="087BB9CB" w14:textId="1B396F76" w:rsidR="00C22214" w:rsidRPr="00BD5DBD" w:rsidRDefault="00C22214" w:rsidP="00C22214">
      <w:pPr>
        <w:rPr>
          <w:bCs/>
          <w:szCs w:val="22"/>
        </w:rPr>
      </w:pPr>
      <w:r w:rsidRPr="00BD5DBD">
        <w:rPr>
          <w:bCs/>
          <w:szCs w:val="22"/>
        </w:rPr>
        <w:t xml:space="preserve">The </w:t>
      </w:r>
      <w:hyperlink r:id="rId32"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6C519F58" w14:textId="2B9E4552" w:rsidR="00196813" w:rsidRDefault="00C22214" w:rsidP="00196813">
      <w:pPr>
        <w:pStyle w:val="Heading5"/>
      </w:pPr>
      <w:r w:rsidRPr="00F73346">
        <w:t>Specific advice to the Delegate</w:t>
      </w:r>
      <w:r w:rsidR="009F1197">
        <w:fldChar w:fldCharType="begin"/>
      </w:r>
      <w:r w:rsidR="009F1197">
        <w:instrText xml:space="preserve"> DOCVARIABLE vault_nd_319b4d3e-6086-4dc2-8f3c-7eff496aa185 \* MERGEFORMAT </w:instrText>
      </w:r>
      <w:r w:rsidR="009F1197">
        <w:fldChar w:fldCharType="separate"/>
      </w:r>
      <w:r w:rsidR="00040953">
        <w:t xml:space="preserve"> </w:t>
      </w:r>
      <w:r w:rsidR="009F1197">
        <w:fldChar w:fldCharType="end"/>
      </w:r>
    </w:p>
    <w:p w14:paraId="125AD893" w14:textId="50DAB47A" w:rsidR="00196813" w:rsidRPr="00196813" w:rsidRDefault="00196813" w:rsidP="00196813">
      <w:pPr>
        <w:pStyle w:val="Numberbullet0"/>
        <w:numPr>
          <w:ilvl w:val="0"/>
          <w:numId w:val="10"/>
        </w:numPr>
        <w:rPr>
          <w:b/>
          <w:bCs/>
          <w:i/>
          <w:iCs/>
        </w:rPr>
      </w:pPr>
      <w:r w:rsidRPr="00196813">
        <w:rPr>
          <w:b/>
          <w:bCs/>
          <w:i/>
          <w:iCs/>
        </w:rPr>
        <w:t xml:space="preserve">The advice of the ACM is sough as to whether </w:t>
      </w:r>
      <w:proofErr w:type="spellStart"/>
      <w:r w:rsidRPr="00196813">
        <w:rPr>
          <w:b/>
          <w:bCs/>
          <w:i/>
          <w:iCs/>
        </w:rPr>
        <w:t>selpercatinib</w:t>
      </w:r>
      <w:proofErr w:type="spellEnd"/>
      <w:r w:rsidRPr="00196813">
        <w:rPr>
          <w:b/>
          <w:bCs/>
          <w:i/>
          <w:iCs/>
        </w:rPr>
        <w:t xml:space="preserve"> should be provisionally registered for all RET-positive NSCLC or only those in whom systemic therapy is required after receiving platinum-based chemotherapy.</w:t>
      </w:r>
    </w:p>
    <w:p w14:paraId="5526A56B" w14:textId="714A7A2B" w:rsidR="00196813" w:rsidRPr="005A23C0" w:rsidRDefault="00196813" w:rsidP="005A23C0">
      <w:r w:rsidRPr="005A23C0">
        <w:t xml:space="preserve">The ACM advised that the efficacy and safety data available at this time supported provisional registration of </w:t>
      </w:r>
      <w:proofErr w:type="spellStart"/>
      <w:r w:rsidRPr="005A23C0">
        <w:t>selpercatinib</w:t>
      </w:r>
      <w:proofErr w:type="spellEnd"/>
      <w:r w:rsidRPr="005A23C0">
        <w:t xml:space="preserve"> for </w:t>
      </w:r>
      <w:r w:rsidRPr="005A23C0">
        <w:rPr>
          <w:i/>
          <w:iCs/>
        </w:rPr>
        <w:t>RET</w:t>
      </w:r>
      <w:r w:rsidRPr="005A23C0">
        <w:t>-positive NSCLC.</w:t>
      </w:r>
    </w:p>
    <w:p w14:paraId="4CE83AFD" w14:textId="45FF0CC4" w:rsidR="00196813" w:rsidRPr="005A23C0" w:rsidRDefault="00196813" w:rsidP="005A23C0">
      <w:r w:rsidRPr="005A23C0">
        <w:t>The ACM did not support limiting the indication to a second or later line of treatment. The inclusion criteria of the pivotal study did not require prior platinum-based chemotherapy. The objective response rate at a median follow-up of 20.21 months was 84.1% in treatment-naïve patients (n</w:t>
      </w:r>
      <w:r w:rsidR="005A23C0" w:rsidRPr="005A23C0">
        <w:t xml:space="preserve"> </w:t>
      </w:r>
      <w:r w:rsidRPr="005A23C0">
        <w:t>=</w:t>
      </w:r>
      <w:r w:rsidR="005A23C0" w:rsidRPr="005A23C0">
        <w:t xml:space="preserve"> </w:t>
      </w:r>
      <w:r w:rsidRPr="005A23C0">
        <w:t xml:space="preserve">69) compared to an objective response rate at a median follow-up of 21.19 months of 61.1% in patients previously treated with </w:t>
      </w:r>
      <w:proofErr w:type="gramStart"/>
      <w:r w:rsidRPr="005A23C0">
        <w:t>platinum based</w:t>
      </w:r>
      <w:proofErr w:type="gramEnd"/>
      <w:r w:rsidRPr="005A23C0">
        <w:t xml:space="preserve"> chemotherapy (n</w:t>
      </w:r>
      <w:r w:rsidR="005A23C0" w:rsidRPr="005A23C0">
        <w:t xml:space="preserve"> </w:t>
      </w:r>
      <w:r w:rsidRPr="005A23C0">
        <w:t>=</w:t>
      </w:r>
      <w:r w:rsidR="005A23C0" w:rsidRPr="005A23C0">
        <w:t xml:space="preserve"> </w:t>
      </w:r>
      <w:r w:rsidRPr="005A23C0">
        <w:t>247).</w:t>
      </w:r>
    </w:p>
    <w:p w14:paraId="513DB942" w14:textId="47111EA4" w:rsidR="00196813" w:rsidRPr="005A23C0" w:rsidRDefault="00196813" w:rsidP="005A23C0">
      <w:r w:rsidRPr="005A23C0">
        <w:t xml:space="preserve">The ACM discussed whether the wording of the proposed indication of ‘advanced and metastatic’ excluded ‘locally advanced’ disease, noting that locally advanced disease (Stage IIIA and IIIB) may not be curable by surgery or chemoradiation. The ACM referred to the </w:t>
      </w:r>
      <w:r w:rsidR="005A23C0">
        <w:t xml:space="preserve">Study </w:t>
      </w:r>
      <w:r w:rsidRPr="005A23C0">
        <w:t>L</w:t>
      </w:r>
      <w:r w:rsidR="005A23C0">
        <w:t>ibretto-001</w:t>
      </w:r>
      <w:r w:rsidRPr="005A23C0">
        <w:t xml:space="preserve"> inclusion criterion of ‘</w:t>
      </w:r>
      <w:r w:rsidRPr="005A23C0">
        <w:rPr>
          <w:i/>
          <w:iCs/>
        </w:rPr>
        <w:t>patients with a locally advanced or metastatic solid tumour</w:t>
      </w:r>
      <w:r w:rsidRPr="005A23C0">
        <w:t>’. In the Australian context, an indication for advanced or metastatic disease when surgery is not indicated would broadly reflect the criteria of the pivotal study and allow clinicians to select appropriate patients for this medicine. The ACM also discussed the use of metastatic and advanced within the indication wording and noted that advanced and metastatic are not the same, however advanced often includes cases of metastatic disease. The ACM reiterated that the indication wording should align with the clinical trials and not infer use in the adjuvant or neoadjuvant setting however should also allow for clinician expertise and judgement to be exercised.</w:t>
      </w:r>
    </w:p>
    <w:p w14:paraId="5291EA2A" w14:textId="2E57C4C5" w:rsidR="00C22214" w:rsidRPr="00F73346" w:rsidRDefault="00C22214" w:rsidP="00C22214">
      <w:pPr>
        <w:pStyle w:val="Heading5"/>
      </w:pPr>
      <w:r w:rsidRPr="00F73346">
        <w:lastRenderedPageBreak/>
        <w:t>Conclusion</w:t>
      </w:r>
      <w:r w:rsidR="009F1197">
        <w:fldChar w:fldCharType="begin"/>
      </w:r>
      <w:r w:rsidR="009F1197">
        <w:instrText xml:space="preserve"> DOCVARIABLE vault_nd_59303b5a-7574-4756-a416-9d77a9ca728a \* MERGEFORMAT </w:instrText>
      </w:r>
      <w:r w:rsidR="009F1197">
        <w:fldChar w:fldCharType="separate"/>
      </w:r>
      <w:r w:rsidR="00040953">
        <w:t xml:space="preserve"> </w:t>
      </w:r>
      <w:r w:rsidR="009F1197">
        <w:fldChar w:fldCharType="end"/>
      </w:r>
    </w:p>
    <w:p w14:paraId="675BB5EB" w14:textId="77777777" w:rsidR="00196813" w:rsidRPr="00196813" w:rsidRDefault="00196813" w:rsidP="00196813">
      <w:pPr>
        <w:rPr>
          <w:szCs w:val="22"/>
        </w:rPr>
      </w:pPr>
      <w:r w:rsidRPr="00196813">
        <w:rPr>
          <w:szCs w:val="22"/>
        </w:rPr>
        <w:t>The ACM considered this product to have an overall positive benefit-risk profile for the indication:</w:t>
      </w:r>
    </w:p>
    <w:p w14:paraId="445EDEF3" w14:textId="6AA093A0" w:rsidR="00196813" w:rsidRPr="00196813" w:rsidRDefault="00196813" w:rsidP="00196813">
      <w:pPr>
        <w:ind w:left="720"/>
        <w:rPr>
          <w:i/>
          <w:iCs/>
          <w:szCs w:val="22"/>
        </w:rPr>
      </w:pPr>
      <w:r w:rsidRPr="00196813">
        <w:rPr>
          <w:i/>
          <w:iCs/>
          <w:szCs w:val="22"/>
        </w:rPr>
        <w:t>R</w:t>
      </w:r>
      <w:r>
        <w:rPr>
          <w:i/>
          <w:iCs/>
          <w:szCs w:val="22"/>
        </w:rPr>
        <w:t>etevmo</w:t>
      </w:r>
      <w:r w:rsidRPr="00196813">
        <w:rPr>
          <w:i/>
          <w:iCs/>
          <w:szCs w:val="22"/>
        </w:rPr>
        <w:t xml:space="preserve"> has provisional approval for the treatment of adult patients with advanced or metastatic RET fusion positive non-small cell lung cancer (NSCLC) when surgery is not indicated.</w:t>
      </w:r>
    </w:p>
    <w:p w14:paraId="62C636C2" w14:textId="069BDD4F" w:rsidR="00196813" w:rsidRPr="00BD5DBD" w:rsidRDefault="00196813" w:rsidP="00196813">
      <w:pPr>
        <w:ind w:left="720"/>
        <w:rPr>
          <w:szCs w:val="22"/>
        </w:rPr>
      </w:pPr>
      <w:r w:rsidRPr="00196813">
        <w:rPr>
          <w:i/>
          <w:iCs/>
          <w:szCs w:val="22"/>
        </w:rPr>
        <w:t xml:space="preserve">The decision to approve this indication has been made </w:t>
      </w:r>
      <w:proofErr w:type="gramStart"/>
      <w:r w:rsidRPr="00196813">
        <w:rPr>
          <w:i/>
          <w:iCs/>
          <w:szCs w:val="22"/>
        </w:rPr>
        <w:t>on the basis of</w:t>
      </w:r>
      <w:proofErr w:type="gramEnd"/>
      <w:r w:rsidRPr="00196813">
        <w:rPr>
          <w:i/>
          <w:iCs/>
          <w:szCs w:val="22"/>
        </w:rPr>
        <w:t xml:space="preserve"> objective response rate (ORR) and duration of response (DOR) from a single arm study. Continued approval of this indication depends on verification and description of benefit in a confirmatory trial.</w:t>
      </w:r>
    </w:p>
    <w:p w14:paraId="307F236C" w14:textId="4B913A0C" w:rsidR="00C22214" w:rsidRPr="002E238E" w:rsidRDefault="00C22214" w:rsidP="00C22214">
      <w:pPr>
        <w:pStyle w:val="Heading2"/>
      </w:pPr>
      <w:bookmarkStart w:id="62" w:name="_Toc103679300"/>
      <w:bookmarkStart w:id="63" w:name="_Toc148531601"/>
      <w:r>
        <w:t>Outcome</w:t>
      </w:r>
      <w:bookmarkEnd w:id="60"/>
      <w:bookmarkEnd w:id="61"/>
      <w:bookmarkEnd w:id="62"/>
      <w:bookmarkEnd w:id="63"/>
      <w:r w:rsidR="00040953">
        <w:fldChar w:fldCharType="begin"/>
      </w:r>
      <w:r w:rsidR="00040953">
        <w:instrText xml:space="preserve"> DOCVARIABLE vault_nd_e006e462-a7e6-4cd5-92b0-f4ceea5fa429 \* MERGEFORMAT </w:instrText>
      </w:r>
      <w:r w:rsidR="00040953">
        <w:fldChar w:fldCharType="separate"/>
      </w:r>
      <w:r w:rsidR="00040953">
        <w:t xml:space="preserve"> </w:t>
      </w:r>
      <w:r w:rsidR="00040953">
        <w:fldChar w:fldCharType="end"/>
      </w:r>
    </w:p>
    <w:p w14:paraId="4EF22939" w14:textId="66E47E51" w:rsidR="00C22214" w:rsidRPr="00BD5DBD" w:rsidRDefault="00C22214" w:rsidP="00C22214">
      <w:pPr>
        <w:spacing w:after="480"/>
        <w:rPr>
          <w:szCs w:val="22"/>
        </w:rPr>
      </w:pPr>
      <w:r w:rsidRPr="00BD5DBD">
        <w:rPr>
          <w:szCs w:val="22"/>
        </w:rPr>
        <w:t xml:space="preserve">Based on a review of quality, safety, and efficacy, the TGA approved the registration of </w:t>
      </w:r>
      <w:r w:rsidR="00196813" w:rsidRPr="006877A3">
        <w:t>Retevmo</w:t>
      </w:r>
      <w:r w:rsidR="00196813">
        <w:t xml:space="preserve"> (</w:t>
      </w:r>
      <w:proofErr w:type="spellStart"/>
      <w:r w:rsidR="00196813" w:rsidRPr="006877A3">
        <w:t>selpercatinib</w:t>
      </w:r>
      <w:proofErr w:type="spellEnd"/>
      <w:r w:rsidR="00196813" w:rsidRPr="00BD5DBD">
        <w:rPr>
          <w:szCs w:val="22"/>
        </w:rPr>
        <w:t xml:space="preserve">) </w:t>
      </w:r>
      <w:r w:rsidR="00196813">
        <w:rPr>
          <w:szCs w:val="22"/>
        </w:rPr>
        <w:t>40 mg, 80 mg</w:t>
      </w:r>
      <w:r w:rsidR="00196813" w:rsidRPr="00BD5DBD">
        <w:rPr>
          <w:szCs w:val="22"/>
        </w:rPr>
        <w:t xml:space="preserve">, </w:t>
      </w:r>
      <w:r w:rsidR="00196813">
        <w:rPr>
          <w:szCs w:val="22"/>
        </w:rPr>
        <w:t>immediate released hard capsule</w:t>
      </w:r>
      <w:r w:rsidR="00196813" w:rsidRPr="00BD5DBD">
        <w:rPr>
          <w:szCs w:val="22"/>
        </w:rPr>
        <w:t xml:space="preserve">, </w:t>
      </w:r>
      <w:r w:rsidR="00196813">
        <w:rPr>
          <w:szCs w:val="22"/>
        </w:rPr>
        <w:t>blister pack</w:t>
      </w:r>
      <w:r w:rsidRPr="00BD5DBD">
        <w:rPr>
          <w:szCs w:val="22"/>
        </w:rPr>
        <w:t>, indicated for:</w:t>
      </w:r>
    </w:p>
    <w:p w14:paraId="4E8E8E8D" w14:textId="38191433" w:rsidR="00196813" w:rsidRPr="00196813" w:rsidRDefault="00196813" w:rsidP="00196813">
      <w:pPr>
        <w:ind w:left="720"/>
        <w:rPr>
          <w:i/>
          <w:iCs/>
        </w:rPr>
      </w:pPr>
      <w:r w:rsidRPr="00196813">
        <w:rPr>
          <w:i/>
          <w:iCs/>
        </w:rPr>
        <w:t>R</w:t>
      </w:r>
      <w:r>
        <w:rPr>
          <w:i/>
          <w:iCs/>
        </w:rPr>
        <w:t>etevmo</w:t>
      </w:r>
      <w:r w:rsidRPr="00196813">
        <w:rPr>
          <w:i/>
          <w:iCs/>
        </w:rPr>
        <w:t xml:space="preserve"> has provisional approval for the treatment of adult patients with locally advanced or metastatic RET fusion positive non-small cell lung cancer (NSCLC). </w:t>
      </w:r>
    </w:p>
    <w:p w14:paraId="2D95B417" w14:textId="4DFF9794" w:rsidR="00196813" w:rsidRPr="00196813" w:rsidRDefault="00196813" w:rsidP="00196813">
      <w:pPr>
        <w:ind w:left="720"/>
      </w:pPr>
      <w:r w:rsidRPr="00196813">
        <w:rPr>
          <w:i/>
          <w:iCs/>
        </w:rPr>
        <w:t xml:space="preserve">The decision to approve this indication has been made </w:t>
      </w:r>
      <w:proofErr w:type="gramStart"/>
      <w:r w:rsidRPr="00196813">
        <w:rPr>
          <w:i/>
          <w:iCs/>
        </w:rPr>
        <w:t>on the basis of</w:t>
      </w:r>
      <w:proofErr w:type="gramEnd"/>
      <w:r w:rsidRPr="00196813">
        <w:rPr>
          <w:i/>
          <w:iCs/>
        </w:rPr>
        <w:t xml:space="preserve"> objective response rate (ORR) and duration of response (DOR) from a single arm study. Continued approval of this indication depends on verification and description of benefit in a confirmatory trial.</w:t>
      </w:r>
    </w:p>
    <w:p w14:paraId="0D732DA4" w14:textId="6B597CE1" w:rsidR="00854D98" w:rsidRPr="00D23139" w:rsidRDefault="00854D98" w:rsidP="00854D98">
      <w:pPr>
        <w:pStyle w:val="Heading3"/>
      </w:pPr>
      <w:bookmarkStart w:id="64" w:name="_Toc103679301"/>
      <w:bookmarkStart w:id="65" w:name="_Toc148531602"/>
      <w:r w:rsidRPr="00D23139">
        <w:t>Specific conditions of registration applying to these goods</w:t>
      </w:r>
      <w:bookmarkEnd w:id="64"/>
      <w:bookmarkEnd w:id="65"/>
      <w:r w:rsidR="00040953">
        <w:fldChar w:fldCharType="begin"/>
      </w:r>
      <w:r w:rsidR="00040953">
        <w:instrText xml:space="preserve"> DOCVARIABLE vault_nd_9c3fe541-2da1-454d-a347-219b836b4360 \* MERGEFORMAT </w:instrText>
      </w:r>
      <w:r w:rsidR="00040953">
        <w:fldChar w:fldCharType="separate"/>
      </w:r>
      <w:r w:rsidR="00040953">
        <w:t xml:space="preserve"> </w:t>
      </w:r>
      <w:r w:rsidR="00040953">
        <w:fldChar w:fldCharType="end"/>
      </w:r>
    </w:p>
    <w:p w14:paraId="57D22EC5" w14:textId="4A6034E1" w:rsidR="005F18FD" w:rsidRPr="005F18FD" w:rsidRDefault="005F18FD" w:rsidP="005F18FD">
      <w:pPr>
        <w:pStyle w:val="ListBullet"/>
      </w:pPr>
      <w:r w:rsidRPr="005F18FD">
        <w:t>R</w:t>
      </w:r>
      <w:r w:rsidR="005A23C0">
        <w:t>etevmo</w:t>
      </w:r>
      <w:r w:rsidRPr="005F18FD">
        <w:t xml:space="preserve"> (</w:t>
      </w:r>
      <w:proofErr w:type="spellStart"/>
      <w:r w:rsidRPr="005F18FD">
        <w:t>selpercatinib</w:t>
      </w:r>
      <w:proofErr w:type="spellEnd"/>
      <w:r w:rsidRPr="005F18FD">
        <w:t xml:space="preserve">) is to be included in the Black Triangle Scheme. The PI and CMI for </w:t>
      </w:r>
      <w:r w:rsidR="005A23C0" w:rsidRPr="005F18FD">
        <w:t>R</w:t>
      </w:r>
      <w:r w:rsidR="005A23C0">
        <w:t>etevmo</w:t>
      </w:r>
      <w:r w:rsidR="005A23C0" w:rsidRPr="005F18FD">
        <w:t xml:space="preserve"> </w:t>
      </w:r>
      <w:r w:rsidRPr="005F18FD">
        <w:t xml:space="preserve">must include the black triangle symbol and mandatory accompanying text for five years, or the product’s entire period of provisional registration, whichever is longer. </w:t>
      </w:r>
    </w:p>
    <w:p w14:paraId="225BF2A0" w14:textId="3773D595" w:rsidR="005F18FD" w:rsidRDefault="005F18FD" w:rsidP="005F18FD">
      <w:pPr>
        <w:pStyle w:val="ListBullet"/>
      </w:pPr>
      <w:r w:rsidRPr="005F18FD">
        <w:t xml:space="preserve">The </w:t>
      </w:r>
      <w:r w:rsidR="005A23C0" w:rsidRPr="005F18FD">
        <w:t>R</w:t>
      </w:r>
      <w:r w:rsidR="005A23C0">
        <w:t>etevmo</w:t>
      </w:r>
      <w:r w:rsidRPr="005F18FD">
        <w:t xml:space="preserve"> EU-RMP (version 3.2, dated 2 November 2022, </w:t>
      </w:r>
      <w:r w:rsidR="005A23C0">
        <w:t>DLP</w:t>
      </w:r>
      <w:r w:rsidRPr="005F18FD">
        <w:t xml:space="preserve"> 15 June 2021), with </w:t>
      </w:r>
      <w:r w:rsidR="005A23C0">
        <w:t>ASA</w:t>
      </w:r>
      <w:r w:rsidRPr="005F18FD">
        <w:t xml:space="preserve"> (version 2.0, dated 30 January 2023), included with </w:t>
      </w:r>
      <w:r w:rsidR="005A23C0">
        <w:t>S</w:t>
      </w:r>
      <w:r w:rsidRPr="005F18FD">
        <w:t>ubmission PM-2022-02343-1-4, and any subsequent revisions, as agreed with the TGA will be implemented in Australia.</w:t>
      </w:r>
    </w:p>
    <w:p w14:paraId="6A1C7E5D" w14:textId="77777777" w:rsidR="005F18FD" w:rsidRDefault="005F18FD" w:rsidP="005F18FD">
      <w:pPr>
        <w:pStyle w:val="ListBullet"/>
        <w:numPr>
          <w:ilvl w:val="0"/>
          <w:numId w:val="0"/>
        </w:numPr>
        <w:ind w:left="360"/>
        <w:rPr>
          <w:rFonts w:cs="Cambria"/>
          <w:color w:val="000000"/>
          <w:szCs w:val="22"/>
        </w:rPr>
      </w:pPr>
      <w:r w:rsidRPr="005F18FD">
        <w:rPr>
          <w:rFonts w:cs="Cambria"/>
          <w:color w:val="000000"/>
          <w:szCs w:val="22"/>
        </w:rPr>
        <w:t>An obligatory component of risk management plans is routine pharmacovigilance. Routine pharmacovigilance includes the submission of periodic safety update reports (PSURs).</w:t>
      </w:r>
    </w:p>
    <w:p w14:paraId="0863F3D1" w14:textId="139F6CAB" w:rsidR="005F18FD" w:rsidRDefault="005F18FD" w:rsidP="005F18FD">
      <w:pPr>
        <w:pStyle w:val="ListBullet"/>
        <w:numPr>
          <w:ilvl w:val="0"/>
          <w:numId w:val="0"/>
        </w:numPr>
        <w:ind w:left="360"/>
        <w:rPr>
          <w:rFonts w:cs="Cambria"/>
          <w:color w:val="000000"/>
          <w:szCs w:val="22"/>
        </w:rPr>
      </w:pPr>
      <w:r w:rsidRPr="005F18FD">
        <w:rPr>
          <w:rFonts w:cs="Cambria"/>
          <w:color w:val="000000"/>
          <w:szCs w:val="22"/>
        </w:rPr>
        <w:t>Unless agreed separately between the supplier who is the recipient of the approval and the TGA, the first report must be submitted to TGA no later than 15 calendar months after the date of th</w:t>
      </w:r>
      <w:r w:rsidR="005A23C0">
        <w:rPr>
          <w:rFonts w:cs="Cambria"/>
          <w:color w:val="000000"/>
          <w:szCs w:val="22"/>
        </w:rPr>
        <w:t>e</w:t>
      </w:r>
      <w:r w:rsidRPr="005F18FD">
        <w:rPr>
          <w:rFonts w:cs="Cambria"/>
          <w:color w:val="000000"/>
          <w:szCs w:val="22"/>
        </w:rPr>
        <w:t xml:space="preserve"> approval letter. The subsequent reports must be submitted no less frequently than annually from the date of the first submitted report until the period covered by such reports is not less than three years from the date of th</w:t>
      </w:r>
      <w:r w:rsidR="005A23C0">
        <w:rPr>
          <w:rFonts w:cs="Cambria"/>
          <w:color w:val="000000"/>
          <w:szCs w:val="22"/>
        </w:rPr>
        <w:t>e</w:t>
      </w:r>
      <w:r w:rsidRPr="005F18FD">
        <w:rPr>
          <w:rFonts w:cs="Cambria"/>
          <w:color w:val="000000"/>
          <w:szCs w:val="22"/>
        </w:rPr>
        <w:t xml:space="preserve"> approval letter, or the entire period of provisional registration, whichever is longer.</w:t>
      </w:r>
    </w:p>
    <w:p w14:paraId="0C080B19" w14:textId="77777777" w:rsidR="005F18FD" w:rsidRDefault="005F18FD" w:rsidP="005F18FD">
      <w:pPr>
        <w:pStyle w:val="ListBullet"/>
        <w:numPr>
          <w:ilvl w:val="0"/>
          <w:numId w:val="0"/>
        </w:numPr>
        <w:ind w:left="360"/>
        <w:rPr>
          <w:rFonts w:cs="Cambria"/>
          <w:color w:val="000000"/>
          <w:szCs w:val="22"/>
        </w:rPr>
      </w:pPr>
      <w:r w:rsidRPr="005F18FD">
        <w:rPr>
          <w:rFonts w:cs="Cambria"/>
          <w:color w:val="000000"/>
          <w:szCs w:val="22"/>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70767877" w14:textId="0D330168" w:rsidR="005F18FD" w:rsidRPr="005F18FD" w:rsidRDefault="005F18FD" w:rsidP="005F18FD">
      <w:pPr>
        <w:pStyle w:val="ListBullet"/>
      </w:pPr>
      <w:r w:rsidRPr="005F18FD">
        <w:t xml:space="preserve">Specifically, the sponsor must conduct studies as described in the clinical study plan in version 2.0 (dated 30 January 2023) of the </w:t>
      </w:r>
      <w:r w:rsidR="005A23C0">
        <w:t>ASA</w:t>
      </w:r>
      <w:r w:rsidRPr="005F18FD">
        <w:t>. The following study report(s) should be submitted to the TGA:</w:t>
      </w:r>
    </w:p>
    <w:p w14:paraId="0BF85768" w14:textId="67F10181" w:rsidR="005F18FD" w:rsidRPr="005F18FD" w:rsidRDefault="005A23C0" w:rsidP="005F18FD">
      <w:pPr>
        <w:pStyle w:val="ListBullet2"/>
      </w:pPr>
      <w:r>
        <w:lastRenderedPageBreak/>
        <w:t xml:space="preserve">Study </w:t>
      </w:r>
      <w:r w:rsidR="005F18FD" w:rsidRPr="005F18FD">
        <w:t>J2G-OX-JZJA (LIBRETTO-001) by 2024</w:t>
      </w:r>
    </w:p>
    <w:p w14:paraId="2B5BE6B3" w14:textId="0F7065C7" w:rsidR="005F18FD" w:rsidRPr="005F18FD" w:rsidRDefault="005A23C0" w:rsidP="005F18FD">
      <w:pPr>
        <w:pStyle w:val="ListBullet2"/>
      </w:pPr>
      <w:r>
        <w:t xml:space="preserve">Study </w:t>
      </w:r>
      <w:r w:rsidR="005F18FD" w:rsidRPr="005F18FD">
        <w:t>J2G-MCJZJC (LIBRETTO-431) by 2026</w:t>
      </w:r>
    </w:p>
    <w:p w14:paraId="451DC3FC" w14:textId="2AE7ACC3" w:rsidR="00C22214" w:rsidRDefault="00C22214" w:rsidP="00C22214">
      <w:pPr>
        <w:pStyle w:val="Heading2"/>
      </w:pPr>
      <w:bookmarkStart w:id="66" w:name="_Toc103679303"/>
      <w:bookmarkStart w:id="67" w:name="_Toc148531603"/>
      <w:r>
        <w:t>Attachment 1. Product Information</w:t>
      </w:r>
      <w:bookmarkEnd w:id="66"/>
      <w:bookmarkEnd w:id="67"/>
      <w:r w:rsidR="00040953">
        <w:fldChar w:fldCharType="begin"/>
      </w:r>
      <w:r w:rsidR="00040953">
        <w:instrText xml:space="preserve"> DOCVARIABLE vault_nd_4d12cbc0-9aa6-4871-b206-9383e5c5171b \* MERGEFORMAT </w:instrText>
      </w:r>
      <w:r w:rsidR="00040953">
        <w:fldChar w:fldCharType="separate"/>
      </w:r>
      <w:r w:rsidR="00040953">
        <w:t xml:space="preserve"> </w:t>
      </w:r>
      <w:r w:rsidR="00040953">
        <w:fldChar w:fldCharType="end"/>
      </w:r>
    </w:p>
    <w:p w14:paraId="21F47164" w14:textId="0FE020F6" w:rsidR="00C22214" w:rsidRPr="00BD5DBD" w:rsidRDefault="00C22214" w:rsidP="00C22214">
      <w:pPr>
        <w:rPr>
          <w:szCs w:val="22"/>
        </w:rPr>
      </w:pPr>
      <w:r w:rsidRPr="00BD5DBD">
        <w:rPr>
          <w:szCs w:val="22"/>
        </w:rPr>
        <w:t xml:space="preserve">The PI for </w:t>
      </w:r>
      <w:r w:rsidR="00196813">
        <w:rPr>
          <w:szCs w:val="22"/>
        </w:rPr>
        <w:t xml:space="preserve">Retevmo </w:t>
      </w:r>
      <w:r w:rsidRPr="00BD5DBD">
        <w:rPr>
          <w:szCs w:val="22"/>
        </w:rPr>
        <w:t xml:space="preserve">approved with the submission which is described in this AusPAR is at Attachment 1. For the most recent PI, please refer to the TGA </w:t>
      </w:r>
      <w:hyperlink r:id="rId33" w:history="1">
        <w:r w:rsidRPr="00BD5DBD">
          <w:rPr>
            <w:rStyle w:val="Hyperlink"/>
            <w:szCs w:val="22"/>
          </w:rPr>
          <w:t>PI/CMI search facility.</w:t>
        </w:r>
      </w:hyperlink>
      <w:r w:rsidRPr="00BD5DBD">
        <w:rPr>
          <w:szCs w:val="22"/>
        </w:rPr>
        <w:t xml:space="preserve"> </w:t>
      </w:r>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34"/>
          <w:footerReference w:type="default" r:id="rId3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3D654A58" w:rsidR="00F02AEC" w:rsidRDefault="00F02AEC">
            <w:pPr>
              <w:pStyle w:val="Address"/>
              <w:jc w:val="center"/>
              <w:rPr>
                <w:sz w:val="22"/>
                <w:szCs w:val="22"/>
              </w:rPr>
            </w:pPr>
            <w:r w:rsidRPr="00215D48">
              <w:t xml:space="preserve">Email: </w:t>
            </w:r>
            <w:hyperlink r:id="rId36"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7FA23E16" w:rsidR="00F02AEC" w:rsidRPr="00215D48" w:rsidRDefault="009F1197">
            <w:pPr>
              <w:pStyle w:val="Address"/>
              <w:jc w:val="center"/>
              <w:rPr>
                <w:rStyle w:val="Hyperlink"/>
                <w:b/>
                <w:color w:val="auto"/>
                <w:sz w:val="22"/>
              </w:rPr>
            </w:pPr>
            <w:hyperlink r:id="rId37"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38"/>
      <w:footerReference w:type="first" r:id="rId3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2BD02" w14:textId="77777777" w:rsidR="00A768AF" w:rsidRDefault="00A768AF" w:rsidP="00F02AEC">
      <w:pPr>
        <w:spacing w:after="0" w:line="240" w:lineRule="auto"/>
      </w:pPr>
      <w:r>
        <w:separator/>
      </w:r>
    </w:p>
  </w:endnote>
  <w:endnote w:type="continuationSeparator" w:id="0">
    <w:p w14:paraId="1BE1654D" w14:textId="77777777" w:rsidR="00A768AF" w:rsidRDefault="00A768AF"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9F1197">
                <w:fldChar w:fldCharType="begin"/>
              </w:r>
              <w:r w:rsidR="009F1197">
                <w:instrText xml:space="preserve"> NUMPAGES  </w:instrText>
              </w:r>
              <w:r w:rsidR="009F1197">
                <w:fldChar w:fldCharType="separate"/>
              </w:r>
              <w:r>
                <w:rPr>
                  <w:noProof/>
                </w:rPr>
                <w:t>2</w:t>
              </w:r>
              <w:r w:rsidR="009F119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6416DAA" w:rsidR="007452E8" w:rsidRPr="004A3084" w:rsidRDefault="007452E8" w:rsidP="007452E8">
          <w:pPr>
            <w:pStyle w:val="Footer"/>
          </w:pPr>
          <w:r w:rsidRPr="00487162">
            <w:t>AusPA</w:t>
          </w:r>
          <w:r>
            <w:t xml:space="preserve">R </w:t>
          </w:r>
          <w:r w:rsidR="005719E9">
            <w:t>–</w:t>
          </w:r>
          <w:r>
            <w:t xml:space="preserve"> </w:t>
          </w:r>
          <w:r w:rsidR="00402406" w:rsidRPr="00402406">
            <w:t xml:space="preserve">Retevmo – </w:t>
          </w:r>
          <w:proofErr w:type="spellStart"/>
          <w:r w:rsidR="00402406" w:rsidRPr="00402406">
            <w:t>selpercatinib</w:t>
          </w:r>
          <w:proofErr w:type="spellEnd"/>
          <w:r w:rsidR="00402406" w:rsidRPr="00402406">
            <w:t xml:space="preserve"> – Eli Lilly Australia Pty Ltd – PM-2022-02343-1-4</w:t>
          </w:r>
          <w:r>
            <w:br/>
          </w:r>
          <w:r w:rsidR="00B95A14">
            <w:t>FINAL 23 January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9F1197">
                <w:fldChar w:fldCharType="begin"/>
              </w:r>
              <w:r w:rsidR="009F1197">
                <w:instrText xml:space="preserve"> NUMPAGES  </w:instrText>
              </w:r>
              <w:r w:rsidR="009F1197">
                <w:fldChar w:fldCharType="separate"/>
              </w:r>
              <w:r w:rsidR="006D6B44">
                <w:rPr>
                  <w:noProof/>
                </w:rPr>
                <w:t>17</w:t>
              </w:r>
              <w:r w:rsidR="009F119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B1DFD" w14:textId="77777777" w:rsidR="00A768AF" w:rsidRDefault="00A768AF" w:rsidP="00F02AEC">
      <w:pPr>
        <w:spacing w:after="0" w:line="240" w:lineRule="auto"/>
      </w:pPr>
      <w:r>
        <w:separator/>
      </w:r>
    </w:p>
  </w:footnote>
  <w:footnote w:type="continuationSeparator" w:id="0">
    <w:p w14:paraId="36DC5DF4" w14:textId="77777777" w:rsidR="00A768AF" w:rsidRDefault="00A768AF"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7FAA799D" w14:textId="4120E0A1" w:rsidR="008341A6" w:rsidRDefault="008341A6">
      <w:pPr>
        <w:pStyle w:val="FootnoteText"/>
      </w:pPr>
      <w:r>
        <w:rPr>
          <w:rStyle w:val="FootnoteReference"/>
        </w:rPr>
        <w:footnoteRef/>
      </w:r>
      <w:r>
        <w:t xml:space="preserve"> </w:t>
      </w:r>
      <w:r w:rsidRPr="008341A6">
        <w:t>Therapeutic Goods Order 91 (TGO 91) describes the standards required for labels of prescription and related medicines; made under Section 10 of the Therapeutic Goods Act (1989</w:t>
      </w:r>
      <w:proofErr w:type="gramStart"/>
      <w:r w:rsidRPr="008341A6">
        <w:t>).This</w:t>
      </w:r>
      <w:proofErr w:type="gramEnd"/>
      <w:r w:rsidRPr="008341A6">
        <w:t xml:space="preserve"> Order sets out what kinds of information are required to be included on the label of prescription and other related medicines. For further information, visit the TGA website: https://www.tga.gov.au/therapeutic-goods-orders.</w:t>
      </w:r>
    </w:p>
  </w:footnote>
  <w:footnote w:id="3">
    <w:p w14:paraId="28B7E621" w14:textId="684DD5D8" w:rsidR="008341A6" w:rsidRDefault="008341A6" w:rsidP="008341A6">
      <w:pPr>
        <w:pStyle w:val="FootnoteText"/>
      </w:pPr>
      <w:r>
        <w:rPr>
          <w:rStyle w:val="FootnoteReference"/>
        </w:rPr>
        <w:footnoteRef/>
      </w:r>
      <w:r>
        <w:t xml:space="preserve"> The QT interval is the time from the start of the QRS wave complex to the end of the corresponding T wave. It approximates to the time taken for ventricular depolarisation and repolarisation</w:t>
      </w:r>
      <w:proofErr w:type="gramStart"/>
      <w:r>
        <w:t>, that is to say, the</w:t>
      </w:r>
      <w:proofErr w:type="gramEnd"/>
      <w:r>
        <w:t xml:space="preserve"> period of ventricular systole from ventricular isovolumetric contraction to isovolumetric relaxation.</w:t>
      </w:r>
    </w:p>
    <w:p w14:paraId="79F63DDE" w14:textId="32044167" w:rsidR="008341A6" w:rsidRDefault="008341A6" w:rsidP="008341A6">
      <w:pPr>
        <w:pStyle w:val="FootnoteText"/>
      </w:pPr>
      <w:r>
        <w:t>The corrected QT interval (QTc) estimates the QT interval at a standard heart rate. This allows comparison of QT values over time at different heart rates and improves detection of patients at increased risk of arrhythmias.</w:t>
      </w:r>
    </w:p>
  </w:footnote>
  <w:footnote w:id="4">
    <w:p w14:paraId="37C3B1EB" w14:textId="77777777" w:rsidR="00BA2B65" w:rsidRDefault="00BA2B65" w:rsidP="00BA2B65">
      <w:pPr>
        <w:pStyle w:val="FootnoteText"/>
      </w:pPr>
      <w:r>
        <w:rPr>
          <w:rStyle w:val="FootnoteReference"/>
        </w:rPr>
        <w:footnoteRef/>
      </w:r>
      <w:r>
        <w:t xml:space="preserve"> Eastern Cooperative Oncology Group Performance Status (ECOG PS): The ECOG has developed criteria used by doctors and researchers to assess how a patient's disease is progressing, assess how the disease affects the daily living abilities of the patient, and determine appropriate treatment and prognosis. The following are used: </w:t>
      </w:r>
    </w:p>
    <w:p w14:paraId="698D50A5" w14:textId="77777777" w:rsidR="00BA2B65" w:rsidRDefault="00BA2B65" w:rsidP="00BA2B65">
      <w:pPr>
        <w:pStyle w:val="FootnoteText"/>
      </w:pPr>
      <w:r>
        <w:t>0 - Fully active, able to carry on all pre-disease performance without restriction</w:t>
      </w:r>
    </w:p>
    <w:p w14:paraId="6D5BC6B2" w14:textId="77777777" w:rsidR="00BA2B65" w:rsidRDefault="00BA2B65" w:rsidP="00BA2B65">
      <w:pPr>
        <w:pStyle w:val="FootnoteText"/>
      </w:pPr>
      <w:r>
        <w:t xml:space="preserve">1- Restricted in physically strenuous activity but ambulatory and able to carry out work of a light or sedentary nature, for example, light </w:t>
      </w:r>
      <w:proofErr w:type="gramStart"/>
      <w:r>
        <w:t>house work</w:t>
      </w:r>
      <w:proofErr w:type="gramEnd"/>
      <w:r>
        <w:t>, office work</w:t>
      </w:r>
    </w:p>
    <w:p w14:paraId="74E2850F" w14:textId="77777777" w:rsidR="00BA2B65" w:rsidRDefault="00BA2B65" w:rsidP="00BA2B65">
      <w:pPr>
        <w:pStyle w:val="FootnoteText"/>
      </w:pPr>
      <w:r>
        <w:t>2 - Ambulatory and capable of all selfcare but unable to carry out any work activities. Up and about more than 50% of waking hours</w:t>
      </w:r>
    </w:p>
    <w:p w14:paraId="31178DF5" w14:textId="77777777" w:rsidR="00BA2B65" w:rsidRDefault="00BA2B65" w:rsidP="00BA2B65">
      <w:pPr>
        <w:pStyle w:val="FootnoteText"/>
      </w:pPr>
      <w:r>
        <w:t>3 - Capable of only limited selfcare, confined to bed or chair more than 50% of waking hours</w:t>
      </w:r>
    </w:p>
    <w:p w14:paraId="6FADAD11" w14:textId="77777777" w:rsidR="00BA2B65" w:rsidRDefault="00BA2B65" w:rsidP="00BA2B65">
      <w:pPr>
        <w:pStyle w:val="FootnoteText"/>
      </w:pPr>
      <w:r>
        <w:t>4 - Completely disabled. Cannot carry on any selfcare. Totally confined to bed or chair</w:t>
      </w:r>
    </w:p>
    <w:p w14:paraId="11CD80D1" w14:textId="74D566CD" w:rsidR="00BA2B65" w:rsidRDefault="00BA2B65" w:rsidP="00BA2B65">
      <w:pPr>
        <w:pStyle w:val="FootnoteText"/>
      </w:pPr>
      <w:r>
        <w:t>5 – Dead</w:t>
      </w:r>
    </w:p>
  </w:footnote>
  <w:footnote w:id="5">
    <w:p w14:paraId="593C334B" w14:textId="181EA621" w:rsidR="008341A6" w:rsidRDefault="008341A6">
      <w:pPr>
        <w:pStyle w:val="FootnoteText"/>
      </w:pPr>
      <w:r>
        <w:rPr>
          <w:rStyle w:val="FootnoteReference"/>
        </w:rPr>
        <w:footnoteRef/>
      </w:r>
      <w:r>
        <w:t xml:space="preserve"> </w:t>
      </w:r>
      <w:r w:rsidRPr="008341A6">
        <w:t xml:space="preserve">The Response Evaluation Criteria </w:t>
      </w:r>
      <w:proofErr w:type="gramStart"/>
      <w:r w:rsidRPr="008341A6">
        <w:t>In</w:t>
      </w:r>
      <w:proofErr w:type="gramEnd"/>
      <w:r w:rsidRPr="008341A6">
        <w:t xml:space="preserve"> Solid Tumours (RECIST) is a voluntary international standard with unified and easily applicable criteria to define when a patient's tumour has improved ('respond'), stayed the same ('stabilise'), or worsened ('progress') during treatment. The criteria were published in February 2000 by an international collaboration including the European Organisation for Research and Treatment of Cancer (EORTC), National Cancer Institute (NCI) of the United States, and the National Cancer Institute of Canada Clinical Trials Group. Today, </w:t>
      </w:r>
      <w:proofErr w:type="gramStart"/>
      <w:r w:rsidRPr="008341A6">
        <w:t>the majority of</w:t>
      </w:r>
      <w:proofErr w:type="gramEnd"/>
      <w:r w:rsidRPr="008341A6">
        <w:t> clinical trials evaluating cancer treatments for objective response in solid tumours use RECIST. These criteria were developed and published in February 2000, and subsequently updated in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9F1197"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05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26055051">
    <w:abstractNumId w:val="4"/>
  </w:num>
  <w:num w:numId="2" w16cid:durableId="1438401576">
    <w:abstractNumId w:val="2"/>
  </w:num>
  <w:num w:numId="3" w16cid:durableId="864946305">
    <w:abstractNumId w:val="3"/>
  </w:num>
  <w:num w:numId="4" w16cid:durableId="1270745944">
    <w:abstractNumId w:val="7"/>
  </w:num>
  <w:num w:numId="5" w16cid:durableId="2082366062">
    <w:abstractNumId w:val="5"/>
  </w:num>
  <w:num w:numId="6" w16cid:durableId="142551496">
    <w:abstractNumId w:val="6"/>
  </w:num>
  <w:num w:numId="7" w16cid:durableId="91543573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704134505">
    <w:abstractNumId w:val="0"/>
  </w:num>
  <w:num w:numId="9" w16cid:durableId="1688871889">
    <w:abstractNumId w:val="1"/>
  </w:num>
  <w:num w:numId="10" w16cid:durableId="3279500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5a7f9c0-bd8e-4e3c-8582-3c1ba2ffb177" w:val=" "/>
    <w:docVar w:name="vault_nd_07835daf-3e63-4f55-a078-2a6addd1b529" w:val=" "/>
    <w:docVar w:name="vault_nd_17b16a0b-f359-4dbe-92d0-8d3b48097ad6" w:val=" "/>
    <w:docVar w:name="vault_nd_1c7843f0-5291-4794-a6a8-b2666435098d" w:val=" "/>
    <w:docVar w:name="vault_nd_217bb11f-4223-40c5-8886-fb89266bc364" w:val=" "/>
    <w:docVar w:name="vault_nd_2ed9a7fd-6689-42ff-b9e0-c8119f773a85" w:val=" "/>
    <w:docVar w:name="vault_nd_2f24a52e-a616-4fae-90a9-78d4553ae9df" w:val=" "/>
    <w:docVar w:name="vault_nd_319b4d3e-6086-4dc2-8f3c-7eff496aa185" w:val=" "/>
    <w:docVar w:name="vault_nd_341664c7-32b7-411d-8bc8-9a0919ba9d83" w:val=" "/>
    <w:docVar w:name="vault_nd_36a38680-e717-4426-b9af-90d0a0a66b34" w:val=" "/>
    <w:docVar w:name="vault_nd_40c32fd7-760a-498f-a42e-77856cff7dbd" w:val=" "/>
    <w:docVar w:name="vault_nd_415e7486-695a-4571-8e4e-1d5c54193f8b" w:val=" "/>
    <w:docVar w:name="vault_nd_49e761a6-6cd1-4d46-a5c7-76a2c8cb2966" w:val=" "/>
    <w:docVar w:name="vault_nd_4d12cbc0-9aa6-4871-b206-9383e5c5171b" w:val=" "/>
    <w:docVar w:name="vault_nd_4ee2c6f0-272a-47d8-878b-0707a209692d" w:val=" "/>
    <w:docVar w:name="vault_nd_59303b5a-7574-4756-a416-9d77a9ca728a" w:val=" "/>
    <w:docVar w:name="vault_nd_6304b79e-6206-4bb1-9e5e-de5e76151859" w:val=" "/>
    <w:docVar w:name="vault_nd_674c77eb-a4a2-43bc-b569-a1b25448690f" w:val=" "/>
    <w:docVar w:name="vault_nd_6910a4e8-7682-4fb4-b902-3f2e396d0499" w:val=" "/>
    <w:docVar w:name="vault_nd_724b04f9-e464-4749-a12a-9089a4027416" w:val=" "/>
    <w:docVar w:name="vault_nd_77d55ace-6393-49a7-b236-7a9663181726" w:val=" "/>
    <w:docVar w:name="vault_nd_813abc7a-94cf-46f2-9689-5cf17384a61d" w:val=" "/>
    <w:docVar w:name="vault_nd_90bcfa15-629f-46d5-99fe-1739016637ef" w:val=" "/>
    <w:docVar w:name="vault_nd_9613eaf7-c7b6-4b62-8267-aa5611ba3d06" w:val=" "/>
    <w:docVar w:name="vault_nd_98b20f39-f4a7-4784-b8b8-711a35f6140a" w:val=" "/>
    <w:docVar w:name="vault_nd_9a7d24b4-b724-4f12-a92d-2cc212b27050" w:val=" "/>
    <w:docVar w:name="vault_nd_9b54c124-ac07-4fc2-9cab-60d4a256fecf" w:val=" "/>
    <w:docVar w:name="vault_nd_9ba27d54-c76d-4fe0-9d44-3aea3f402315" w:val=" "/>
    <w:docVar w:name="vault_nd_9c3fe541-2da1-454d-a347-219b836b4360" w:val=" "/>
    <w:docVar w:name="vault_nd_9fa80490-d21d-417c-9e82-db78ba7da953" w:val=" "/>
    <w:docVar w:name="vault_nd_a7b90666-b26b-4804-8974-d771b8271804" w:val=" "/>
    <w:docVar w:name="vault_nd_ad829bf0-3f78-40ac-b9ca-a646224f9e23" w:val=" "/>
    <w:docVar w:name="vault_nd_b8126241-ac69-424e-b157-6eec026211f8" w:val=" "/>
    <w:docVar w:name="vault_nd_c9b2bae0-1c4e-4b4a-b57d-3894f7842873" w:val=" "/>
    <w:docVar w:name="vault_nd_cadcb905-237e-4adf-a6cb-18e12e0b025d" w:val=" "/>
    <w:docVar w:name="vault_nd_ce37e803-ef53-4ad9-a46a-fdbd2d913922" w:val=" "/>
    <w:docVar w:name="vault_nd_e006e462-a7e6-4cd5-92b0-f4ceea5fa429" w:val=" "/>
    <w:docVar w:name="vault_nd_e020c44d-db40-4039-949a-4841406e27e3" w:val=" "/>
    <w:docVar w:name="vault_nd_e0bf9ee7-8782-452f-ab93-7e282abcd56a" w:val=" "/>
    <w:docVar w:name="vault_nd_f4e9ef61-6ba9-4e08-8dd2-7730e27f5c0b" w:val=" "/>
    <w:docVar w:name="vault_nd_f508e891-c30f-4788-9c34-0aa3d2a3fc0c" w:val=" "/>
    <w:docVar w:name="vault_nd_f8acc249-fc7d-4e59-8545-f6d8fd57657d" w:val=" "/>
    <w:docVar w:name="vault_nd_fbda20c8-f486-4722-a02c-d2a2ced0850f" w:val=" "/>
  </w:docVars>
  <w:rsids>
    <w:rsidRoot w:val="00346EC2"/>
    <w:rsid w:val="00026800"/>
    <w:rsid w:val="00040953"/>
    <w:rsid w:val="000467D2"/>
    <w:rsid w:val="00077844"/>
    <w:rsid w:val="00094B81"/>
    <w:rsid w:val="000975AA"/>
    <w:rsid w:val="000A42F7"/>
    <w:rsid w:val="000D7934"/>
    <w:rsid w:val="00101FB1"/>
    <w:rsid w:val="0012473C"/>
    <w:rsid w:val="0013132F"/>
    <w:rsid w:val="0013528C"/>
    <w:rsid w:val="00165D28"/>
    <w:rsid w:val="00175CD8"/>
    <w:rsid w:val="00196813"/>
    <w:rsid w:val="001C1C2E"/>
    <w:rsid w:val="0020369B"/>
    <w:rsid w:val="00226F39"/>
    <w:rsid w:val="00241B60"/>
    <w:rsid w:val="00282BCF"/>
    <w:rsid w:val="00292706"/>
    <w:rsid w:val="002A027A"/>
    <w:rsid w:val="002C5E29"/>
    <w:rsid w:val="002D39B9"/>
    <w:rsid w:val="002D7127"/>
    <w:rsid w:val="003008D8"/>
    <w:rsid w:val="00303959"/>
    <w:rsid w:val="00312AC3"/>
    <w:rsid w:val="00314430"/>
    <w:rsid w:val="00324B33"/>
    <w:rsid w:val="00346EC2"/>
    <w:rsid w:val="0035444D"/>
    <w:rsid w:val="00395140"/>
    <w:rsid w:val="003B149C"/>
    <w:rsid w:val="003D71A1"/>
    <w:rsid w:val="00402406"/>
    <w:rsid w:val="004130C1"/>
    <w:rsid w:val="0041688F"/>
    <w:rsid w:val="004212F3"/>
    <w:rsid w:val="0042376F"/>
    <w:rsid w:val="004246B8"/>
    <w:rsid w:val="00433318"/>
    <w:rsid w:val="00477C4E"/>
    <w:rsid w:val="00491A55"/>
    <w:rsid w:val="004B3081"/>
    <w:rsid w:val="004E3C3D"/>
    <w:rsid w:val="00512C2C"/>
    <w:rsid w:val="00535DFE"/>
    <w:rsid w:val="00562F42"/>
    <w:rsid w:val="0056766D"/>
    <w:rsid w:val="005719E9"/>
    <w:rsid w:val="0058575E"/>
    <w:rsid w:val="0058783C"/>
    <w:rsid w:val="005911AE"/>
    <w:rsid w:val="0059313A"/>
    <w:rsid w:val="005A23C0"/>
    <w:rsid w:val="005A684E"/>
    <w:rsid w:val="005B023F"/>
    <w:rsid w:val="005B656D"/>
    <w:rsid w:val="005C4B8C"/>
    <w:rsid w:val="005D2089"/>
    <w:rsid w:val="005D7514"/>
    <w:rsid w:val="005E1A7B"/>
    <w:rsid w:val="005F18FD"/>
    <w:rsid w:val="006210F5"/>
    <w:rsid w:val="006277A1"/>
    <w:rsid w:val="006351D9"/>
    <w:rsid w:val="00637130"/>
    <w:rsid w:val="00637F0E"/>
    <w:rsid w:val="006423F2"/>
    <w:rsid w:val="006877A3"/>
    <w:rsid w:val="00692CCD"/>
    <w:rsid w:val="006A0DAD"/>
    <w:rsid w:val="006A1F0B"/>
    <w:rsid w:val="006A277A"/>
    <w:rsid w:val="006D6B44"/>
    <w:rsid w:val="007072A1"/>
    <w:rsid w:val="00710BC5"/>
    <w:rsid w:val="0072003B"/>
    <w:rsid w:val="007357B9"/>
    <w:rsid w:val="007452E8"/>
    <w:rsid w:val="00746990"/>
    <w:rsid w:val="00750D70"/>
    <w:rsid w:val="00764F00"/>
    <w:rsid w:val="00793272"/>
    <w:rsid w:val="007B04DE"/>
    <w:rsid w:val="007C57BC"/>
    <w:rsid w:val="007D4138"/>
    <w:rsid w:val="007F0A77"/>
    <w:rsid w:val="007F50D3"/>
    <w:rsid w:val="008329DB"/>
    <w:rsid w:val="008341A6"/>
    <w:rsid w:val="008361C5"/>
    <w:rsid w:val="0083628F"/>
    <w:rsid w:val="00837AB9"/>
    <w:rsid w:val="00850637"/>
    <w:rsid w:val="00854D98"/>
    <w:rsid w:val="00860B29"/>
    <w:rsid w:val="008804CF"/>
    <w:rsid w:val="008964B3"/>
    <w:rsid w:val="008B44C1"/>
    <w:rsid w:val="008C49C6"/>
    <w:rsid w:val="008C754C"/>
    <w:rsid w:val="008D6A54"/>
    <w:rsid w:val="008F0E16"/>
    <w:rsid w:val="0090605E"/>
    <w:rsid w:val="009108CE"/>
    <w:rsid w:val="00915A9F"/>
    <w:rsid w:val="00930D58"/>
    <w:rsid w:val="00966EF1"/>
    <w:rsid w:val="0098350E"/>
    <w:rsid w:val="00990E84"/>
    <w:rsid w:val="00996FA5"/>
    <w:rsid w:val="009E6F8C"/>
    <w:rsid w:val="009F1197"/>
    <w:rsid w:val="00A01C56"/>
    <w:rsid w:val="00A33B83"/>
    <w:rsid w:val="00A358E7"/>
    <w:rsid w:val="00A51A2D"/>
    <w:rsid w:val="00A63D9B"/>
    <w:rsid w:val="00A65537"/>
    <w:rsid w:val="00A768AF"/>
    <w:rsid w:val="00A90435"/>
    <w:rsid w:val="00A93DC6"/>
    <w:rsid w:val="00A96B68"/>
    <w:rsid w:val="00AB7CBF"/>
    <w:rsid w:val="00AE1947"/>
    <w:rsid w:val="00B225C2"/>
    <w:rsid w:val="00B23AC7"/>
    <w:rsid w:val="00B46BC0"/>
    <w:rsid w:val="00B55681"/>
    <w:rsid w:val="00B95A14"/>
    <w:rsid w:val="00B967FF"/>
    <w:rsid w:val="00BA2B65"/>
    <w:rsid w:val="00BA7F7D"/>
    <w:rsid w:val="00BB1C14"/>
    <w:rsid w:val="00BD07DF"/>
    <w:rsid w:val="00BD5DBD"/>
    <w:rsid w:val="00BF4638"/>
    <w:rsid w:val="00C07551"/>
    <w:rsid w:val="00C20316"/>
    <w:rsid w:val="00C22214"/>
    <w:rsid w:val="00C30024"/>
    <w:rsid w:val="00C407AB"/>
    <w:rsid w:val="00C570FF"/>
    <w:rsid w:val="00C6574E"/>
    <w:rsid w:val="00C755B9"/>
    <w:rsid w:val="00C816C6"/>
    <w:rsid w:val="00CB0550"/>
    <w:rsid w:val="00D01DDB"/>
    <w:rsid w:val="00D078BE"/>
    <w:rsid w:val="00D13F8A"/>
    <w:rsid w:val="00D62877"/>
    <w:rsid w:val="00D63760"/>
    <w:rsid w:val="00D856A1"/>
    <w:rsid w:val="00D85F14"/>
    <w:rsid w:val="00D918D5"/>
    <w:rsid w:val="00D94C8E"/>
    <w:rsid w:val="00DB192C"/>
    <w:rsid w:val="00DB1CF3"/>
    <w:rsid w:val="00DF5BFE"/>
    <w:rsid w:val="00E119E3"/>
    <w:rsid w:val="00E22039"/>
    <w:rsid w:val="00E47E0C"/>
    <w:rsid w:val="00E51813"/>
    <w:rsid w:val="00E53D3F"/>
    <w:rsid w:val="00E5579B"/>
    <w:rsid w:val="00F02AEC"/>
    <w:rsid w:val="00F157FC"/>
    <w:rsid w:val="00F30AF3"/>
    <w:rsid w:val="00F657B4"/>
    <w:rsid w:val="00F728C8"/>
    <w:rsid w:val="00F865A7"/>
    <w:rsid w:val="00FA0754"/>
    <w:rsid w:val="00FA1BC9"/>
    <w:rsid w:val="00FA49C3"/>
    <w:rsid w:val="00FB236E"/>
    <w:rsid w:val="00FC5016"/>
    <w:rsid w:val="00FC6F56"/>
    <w:rsid w:val="00FD6A3F"/>
    <w:rsid w:val="00FE087C"/>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A65537"/>
    <w:pPr>
      <w:autoSpaceDE w:val="0"/>
      <w:autoSpaceDN w:val="0"/>
      <w:adjustRightInd w:val="0"/>
      <w:spacing w:after="0" w:line="240" w:lineRule="auto"/>
    </w:pPr>
    <w:rPr>
      <w:rFonts w:ascii="Calibri" w:hAnsi="Calibri" w:cs="Calibri"/>
      <w:color w:val="000000"/>
      <w:sz w:val="24"/>
      <w:szCs w:val="24"/>
    </w:rPr>
  </w:style>
  <w:style w:type="table" w:customStyle="1" w:styleId="TableTGAblue1">
    <w:name w:val="Table TGA blue1"/>
    <w:basedOn w:val="TableNormal"/>
    <w:uiPriority w:val="99"/>
    <w:qFormat/>
    <w:rsid w:val="000467D2"/>
    <w:pPr>
      <w:spacing w:after="0" w:line="240" w:lineRule="auto"/>
      <w:ind w:left="170" w:right="170"/>
    </w:pPr>
    <w:rPr>
      <w:rFonts w:ascii="Cambria" w:eastAsia="Calibri" w:hAnsi="Cambria" w:cs="Times New Roman"/>
      <w:color w:val="000000"/>
      <w:sz w:val="22"/>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customStyle="1" w:styleId="Tabletext0">
    <w:name w:val="Table text"/>
    <w:basedOn w:val="Normal"/>
    <w:link w:val="TabletextChar"/>
    <w:qFormat/>
    <w:rsid w:val="00026800"/>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026800"/>
    <w:rPr>
      <w:rFonts w:ascii="Cambria" w:eastAsia="Times New Roman" w:hAnsi="Cambria" w:cs="Times New Roman"/>
      <w:snapToGrid w:val="0"/>
      <w:kern w:val="16"/>
      <w:szCs w:val="24"/>
    </w:rPr>
  </w:style>
  <w:style w:type="paragraph" w:customStyle="1" w:styleId="Standard">
    <w:name w:val="Standard"/>
    <w:basedOn w:val="Normal"/>
    <w:link w:val="StandardChar"/>
    <w:qFormat/>
    <w:rsid w:val="00026800"/>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026800"/>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026800"/>
    <w:pPr>
      <w:numPr>
        <w:numId w:val="9"/>
      </w:numPr>
      <w:spacing w:after="180"/>
      <w:ind w:left="426" w:hanging="284"/>
    </w:pPr>
    <w:rPr>
      <w:kern w:val="2"/>
      <w:szCs w:val="22"/>
    </w:rPr>
  </w:style>
  <w:style w:type="character" w:customStyle="1" w:styleId="BulletlistChar">
    <w:name w:val="Bullet list Char"/>
    <w:basedOn w:val="StandardChar"/>
    <w:link w:val="Bulletlist"/>
    <w:rsid w:val="00026800"/>
    <w:rPr>
      <w:rFonts w:ascii="Cambria" w:eastAsia="Times New Roman" w:hAnsi="Cambria" w:cs="Times New Roman"/>
      <w:snapToGrid w:val="0"/>
      <w:kern w:val="2"/>
      <w:sz w:val="2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5.emf"/><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4.png"/><Relationship Id="rId33" Type="http://schemas.openxmlformats.org/officeDocument/2006/relationships/hyperlink" Target="https://www.tga.gov.au/picmi-search-facility"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australian-register-therapeutic-goods-artg/product-information-one" TargetMode="External"/><Relationship Id="rId29" Type="http://schemas.openxmlformats.org/officeDocument/2006/relationships/image" Target="media/image8.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rovisional-approval-pathway-prescription-medicines" TargetMode="External"/><Relationship Id="rId32" Type="http://schemas.openxmlformats.org/officeDocument/2006/relationships/hyperlink" Target="https://www.tga.gov.au/committee/advisory-committee-medicines-acm" TargetMode="External"/><Relationship Id="rId37" Type="http://schemas.openxmlformats.org/officeDocument/2006/relationships/hyperlink" Target="https://www.tga.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icmi-search-facility" TargetMode="External"/><Relationship Id="rId28" Type="http://schemas.openxmlformats.org/officeDocument/2006/relationships/image" Target="media/image7.emf"/><Relationship Id="rId36" Type="http://schemas.openxmlformats.org/officeDocument/2006/relationships/hyperlink" Target="mailto:info@tga.gov.au" TargetMode="External"/><Relationship Id="rId10" Type="http://schemas.openxmlformats.org/officeDocument/2006/relationships/endnotes" Target="endnotes.xml"/><Relationship Id="rId19" Type="http://schemas.openxmlformats.org/officeDocument/2006/relationships/hyperlink" Target="https://www.tga.gov.au/project-orbis" TargetMode="Externa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consumer-medicines-information-cmi"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95AE474BF24F0284DA03DFDC88A8CB"/>
        <w:category>
          <w:name w:val="General"/>
          <w:gallery w:val="placeholder"/>
        </w:category>
        <w:types>
          <w:type w:val="bbPlcHdr"/>
        </w:types>
        <w:behaviors>
          <w:behavior w:val="content"/>
        </w:behaviors>
        <w:guid w:val="{C161B6E4-B7FA-48E3-9ECF-6D111601DDD0}"/>
      </w:docPartPr>
      <w:docPartBody>
        <w:p w:rsidR="007D7CEA" w:rsidRDefault="00087614" w:rsidP="00087614">
          <w:pPr>
            <w:pStyle w:val="5995AE474BF24F0284DA03DFDC88A8CB"/>
          </w:pPr>
          <w:r w:rsidRPr="001F76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614"/>
    <w:rsid w:val="00087614"/>
    <w:rsid w:val="003D2008"/>
    <w:rsid w:val="00641D0D"/>
    <w:rsid w:val="006E16F1"/>
    <w:rsid w:val="007D7CEA"/>
    <w:rsid w:val="009F04EF"/>
    <w:rsid w:val="00F86E99"/>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614"/>
    <w:rPr>
      <w:color w:val="808080"/>
    </w:rPr>
  </w:style>
  <w:style w:type="paragraph" w:customStyle="1" w:styleId="5995AE474BF24F0284DA03DFDC88A8CB">
    <w:name w:val="5995AE474BF24F0284DA03DFDC88A8CB"/>
    <w:rsid w:val="00087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85344ca-2f23-4ac3-8921-9dfc5a10ae6e">
      <UserInfo>
        <DisplayName>Zoe Parton</DisplayName>
        <AccountId>1640</AccountId>
        <AccountType/>
      </UserInfo>
      <UserInfo>
        <DisplayName>Uyen Luu-Heiskanen</DisplayName>
        <AccountId>1014</AccountId>
        <AccountType/>
      </UserInfo>
    </SharedWithUsers>
    <TaxCatchAll xmlns="085344ca-2f23-4ac3-8921-9dfc5a10ae6e" xsi:nil="true"/>
    <lcf76f155ced4ddcb4097134ff3c332f xmlns="213b5b92-4a10-49b8-8c40-5a7742dd02e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D6307FE19AC940B8F601C25AFE33FA" ma:contentTypeVersion="17" ma:contentTypeDescription="Create a new document." ma:contentTypeScope="" ma:versionID="84061e47de986c28827dfcf1631f5e9e">
  <xsd:schema xmlns:xsd="http://www.w3.org/2001/XMLSchema" xmlns:xs="http://www.w3.org/2001/XMLSchema" xmlns:p="http://schemas.microsoft.com/office/2006/metadata/properties" xmlns:ns2="213b5b92-4a10-49b8-8c40-5a7742dd02e5" xmlns:ns3="085344ca-2f23-4ac3-8921-9dfc5a10ae6e" targetNamespace="http://schemas.microsoft.com/office/2006/metadata/properties" ma:root="true" ma:fieldsID="a05cfbb019077ffabd7dc2c1461022fc" ns2:_="" ns3:_="">
    <xsd:import namespace="213b5b92-4a10-49b8-8c40-5a7742dd02e5"/>
    <xsd:import namespace="085344ca-2f23-4ac3-8921-9dfc5a10ae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b5b92-4a10-49b8-8c40-5a7742dd02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adb9bf-65a7-4dcd-b9fe-2cabe70ed69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5344ca-2f23-4ac3-8921-9dfc5a10ae6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08361a4-8a4c-4c02-b146-31b945b74c74}" ma:internalName="TaxCatchAll" ma:showField="CatchAllData" ma:web="085344ca-2f23-4ac3-8921-9dfc5a10a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5296E-0DAC-4F2C-8597-BBCD3979536F}">
  <ds:schemaRefs>
    <ds:schemaRef ds:uri="http://schemas.microsoft.com/office/2006/metadata/properties"/>
    <ds:schemaRef ds:uri="http://schemas.microsoft.com/office/infopath/2007/PartnerControls"/>
    <ds:schemaRef ds:uri="085344ca-2f23-4ac3-8921-9dfc5a10ae6e"/>
    <ds:schemaRef ds:uri="213b5b92-4a10-49b8-8c40-5a7742dd02e5"/>
  </ds:schemaRefs>
</ds:datastoreItem>
</file>

<file path=customXml/itemProps2.xml><?xml version="1.0" encoding="utf-8"?>
<ds:datastoreItem xmlns:ds="http://schemas.openxmlformats.org/officeDocument/2006/customXml" ds:itemID="{3E12BEC5-38D4-4481-AE63-034DBF1AC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b5b92-4a10-49b8-8c40-5a7742dd02e5"/>
    <ds:schemaRef ds:uri="085344ca-2f23-4ac3-8921-9dfc5a10a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980F97-996A-4C86-A1C4-5646AB57817D}">
  <ds:schemaRefs>
    <ds:schemaRef ds:uri="http://schemas.microsoft.com/sharepoint/v3/contenttype/forms"/>
  </ds:schemaRefs>
</ds:datastoreItem>
</file>

<file path=customXml/itemProps4.xml><?xml version="1.0" encoding="utf-8"?>
<ds:datastoreItem xmlns:ds="http://schemas.openxmlformats.org/officeDocument/2006/customXml" ds:itemID="{EBBBB9B6-E543-4F0B-BC32-3DCE3E7B3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5017</Words>
  <Characters>34278</Characters>
  <Application>Microsoft Office Word</Application>
  <DocSecurity>0</DocSecurity>
  <Lines>285</Lines>
  <Paragraphs>78</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39217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Retevmo</dc:title>
  <dc:subject>Prescription medicines</dc:subject>
  <dc:creator>Therapeutic Goods Administration</dc:creator>
  <cp:keywords/>
  <dc:description/>
  <cp:lastModifiedBy>LACK, Janet</cp:lastModifiedBy>
  <cp:revision>3</cp:revision>
  <dcterms:created xsi:type="dcterms:W3CDTF">2024-01-31T21:43:00Z</dcterms:created>
  <dcterms:modified xsi:type="dcterms:W3CDTF">2024-01-31T21:44:00Z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0x010100F3D6307FE19AC940B8F601C25AFE33FA</vt:lpwstr>
  </property>
</Properties>
</file>