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5B4E0A" w14:textId="5996A3F3" w:rsidR="00375DF3" w:rsidRPr="00375DF3" w:rsidRDefault="00375DF3" w:rsidP="00D10D9A">
      <w:r>
        <w:rPr>
          <w:noProof/>
          <w:lang w:eastAsia="en-AU"/>
        </w:rPr>
        <mc:AlternateContent>
          <mc:Choice Requires="wps">
            <w:drawing>
              <wp:inline distT="0" distB="0" distL="0" distR="0" wp14:anchorId="78A5CD6D" wp14:editId="031C9439">
                <wp:extent cx="252095" cy="252095"/>
                <wp:effectExtent l="0" t="0" r="0" b="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7F2A6F" w14:textId="65B8F890" w:rsidR="00375DF3" w:rsidRPr="00BE2A26" w:rsidRDefault="00B63FD4" w:rsidP="00D10D9A">
                            <w:pPr>
                              <w:rPr>
                                <w:rFonts w:ascii="Wingdings 3" w:hAnsi="Wingdings 3"/>
                                <w:sz w:val="24"/>
                              </w:rPr>
                            </w:pPr>
                            <w:r w:rsidRPr="00806062" w:rsidDel="005B5664">
                              <w:rPr>
                                <w:noProof/>
                                <w:lang w:eastAsia="en-AU"/>
                              </w:rPr>
                              <w:drawing>
                                <wp:inline distT="0" distB="0" distL="0" distR="0" wp14:anchorId="5F92E63D" wp14:editId="219796DE">
                                  <wp:extent cx="228600" cy="2476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r="96057" b="39275"/>
                                          <a:stretch>
                                            <a:fillRect/>
                                          </a:stretch>
                                        </pic:blipFill>
                                        <pic:spPr bwMode="auto">
                                          <a:xfrm>
                                            <a:off x="0" y="0"/>
                                            <a:ext cx="228600" cy="24765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inline>
            </w:drawing>
          </mc:Choice>
          <mc:Fallback>
            <w:pict>
              <v:shapetype w14:anchorId="78A5CD6D" id="_x0000_t202" coordsize="21600,21600" o:spt="202" path="m,l,21600r21600,l21600,xe">
                <v:stroke joinstyle="miter"/>
                <v:path gradientshapeok="t" o:connecttype="rect"/>
              </v:shapetype>
              <v:shape id="Text Box 1" o:spid="_x0000_s1026" type="#_x0000_t202" style="width:19.85pt;height:1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" stroked="f">
                <v:textbox inset="0,0,0,0">
                  <w:txbxContent>
                    <w:p w14:paraId="667F2A6F" w14:textId="65B8F890" w:rsidR="00375DF3" w:rsidRPr="00BE2A26" w:rsidRDefault="00B63FD4" w:rsidP="00D10D9A">
                      <w:pPr>
                        <w:rPr>
                          <w:rFonts w:ascii="Wingdings 3" w:hAnsi="Wingdings 3"/>
                          <w:sz w:val="24"/>
                        </w:rPr>
                      </w:pPr>
                      <w:r w:rsidRPr="00806062" w:rsidDel="005B5664">
                        <w:rPr>
                          <w:noProof/>
                          <w:lang w:eastAsia="en-AU"/>
                        </w:rPr>
                        <w:drawing>
                          <wp:inline distT="0" distB="0" distL="0" distR="0" wp14:anchorId="5F92E63D" wp14:editId="219796DE">
                            <wp:extent cx="228600" cy="2476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r="96057" b="39275"/>
                                    <a:stretch>
                                      <a:fillRect/>
                                    </a:stretch>
                                  </pic:blipFill>
                                  <pic:spPr bwMode="auto">
                                    <a:xfrm>
                                      <a:off x="0" y="0"/>
                                      <a:ext cx="228600" cy="247650"/>
                                    </a:xfrm>
                                    <a:prstGeom prst="rect">
                                      <a:avLst/>
                                    </a:prstGeom>
                                    <a:noFill/>
                                    <a:ln>
                                      <a:noFill/>
                                    </a:ln>
                                  </pic:spPr>
                                </pic:pic>
                              </a:graphicData>
                            </a:graphic>
                          </wp:inline>
                        </w:drawing>
                      </w:r>
                    </w:p>
                  </w:txbxContent>
                </v:textbox>
                <w10:anchorlock/>
              </v:shape>
            </w:pict>
          </mc:Fallback>
        </mc:AlternateContent>
      </w:r>
      <w:r w:rsidR="001A3992" w:rsidRPr="001A3992">
        <w:t xml:space="preserve">This medicinal product is subject to additional monitoring in Australia. This will allow quick identification of new safety information. Healthcare professionals are asked to report any suspected adverse events at </w:t>
      </w:r>
      <w:hyperlink r:id="rId12" w:history="1">
        <w:r w:rsidRPr="00375DF3">
          <w:rPr>
            <w:rStyle w:val="Hyperlink"/>
          </w:rPr>
          <w:t>www.tga.gov.au/reporting-problems</w:t>
        </w:r>
      </w:hyperlink>
      <w:r w:rsidRPr="00375DF3">
        <w:t>.</w:t>
      </w:r>
    </w:p>
    <w:p w14:paraId="7CCDC3A0" w14:textId="34492CBB" w:rsidR="006018AE" w:rsidRPr="009C133A" w:rsidRDefault="006018AE" w:rsidP="005756BF">
      <w:pPr>
        <w:pStyle w:val="Heading1"/>
        <w:numPr>
          <w:ilvl w:val="0"/>
          <w:numId w:val="0"/>
        </w:numPr>
        <w:rPr>
          <w:rFonts w:eastAsia="SimSun"/>
        </w:rPr>
      </w:pPr>
      <w:r w:rsidRPr="009C133A">
        <w:rPr>
          <w:rFonts w:eastAsia="SimSun"/>
        </w:rPr>
        <w:t>Australian P</w:t>
      </w:r>
      <w:r w:rsidR="0021200F">
        <w:rPr>
          <w:rFonts w:eastAsia="SimSun"/>
        </w:rPr>
        <w:t xml:space="preserve">roduct </w:t>
      </w:r>
      <w:r w:rsidRPr="009C133A">
        <w:rPr>
          <w:rFonts w:eastAsia="SimSun"/>
        </w:rPr>
        <w:t>I</w:t>
      </w:r>
      <w:r w:rsidR="0021200F">
        <w:rPr>
          <w:rFonts w:eastAsia="SimSun"/>
        </w:rPr>
        <w:t>nformation</w:t>
      </w:r>
      <w:r>
        <w:rPr>
          <w:rFonts w:eastAsia="SimSun"/>
        </w:rPr>
        <w:t xml:space="preserve"> – </w:t>
      </w:r>
      <w:r w:rsidR="00B80629">
        <w:rPr>
          <w:rFonts w:eastAsia="SimSun"/>
        </w:rPr>
        <w:t>retevmo</w:t>
      </w:r>
      <w:r w:rsidR="00667CB8">
        <w:rPr>
          <w:rFonts w:eastAsia="SimSun"/>
          <w:vertAlign w:val="superscript"/>
        </w:rPr>
        <w:t>®</w:t>
      </w:r>
      <w:r>
        <w:rPr>
          <w:rFonts w:eastAsia="SimSun"/>
        </w:rPr>
        <w:t>(</w:t>
      </w:r>
      <w:r w:rsidR="00B80629">
        <w:rPr>
          <w:rFonts w:eastAsia="SimSun"/>
        </w:rPr>
        <w:t>selpercatinib</w:t>
      </w:r>
      <w:r>
        <w:rPr>
          <w:rFonts w:eastAsia="SimSun"/>
        </w:rPr>
        <w:t>)</w:t>
      </w:r>
      <w:r w:rsidR="00A64655">
        <w:rPr>
          <w:rFonts w:eastAsia="SimSun"/>
        </w:rPr>
        <w:t xml:space="preserve"> </w:t>
      </w:r>
      <w:r w:rsidR="00B80629">
        <w:rPr>
          <w:rFonts w:eastAsia="SimSun"/>
        </w:rPr>
        <w:t>capsule</w:t>
      </w:r>
      <w:r w:rsidR="00270901">
        <w:rPr>
          <w:rFonts w:eastAsia="SimSun"/>
        </w:rPr>
        <w:fldChar w:fldCharType="begin"/>
      </w:r>
      <w:r w:rsidR="00270901">
        <w:rPr>
          <w:rFonts w:eastAsia="SimSun"/>
        </w:rPr>
        <w:instrText xml:space="preserve"> DOCVARIABLE VAULT_ND_fbd30744-2f8b-45a8-99ab-18d8d089a521 \* MERGEFORMAT </w:instrText>
      </w:r>
      <w:r w:rsidR="00270901">
        <w:rPr>
          <w:rFonts w:eastAsia="SimSun"/>
        </w:rPr>
        <w:fldChar w:fldCharType="separate"/>
      </w:r>
      <w:r w:rsidR="00270901">
        <w:rPr>
          <w:rFonts w:eastAsia="SimSun"/>
        </w:rPr>
        <w:t xml:space="preserve"> </w:t>
      </w:r>
      <w:r w:rsidR="00270901">
        <w:rPr>
          <w:rFonts w:eastAsia="SimSun"/>
        </w:rPr>
        <w:fldChar w:fldCharType="end"/>
      </w:r>
    </w:p>
    <w:p w14:paraId="7CD6C3D6" w14:textId="4A4B459E" w:rsidR="001A3992" w:rsidRPr="00270901" w:rsidRDefault="001A3992" w:rsidP="00D10D9A">
      <w:pPr>
        <w:pStyle w:val="Heading1"/>
      </w:pPr>
      <w:bookmarkStart w:id="0" w:name="_Ref99368764"/>
      <w:r w:rsidRPr="00270901">
        <w:t>Name of the medicine</w:t>
      </w:r>
      <w:bookmarkEnd w:id="0"/>
      <w:r w:rsidR="00270901">
        <w:fldChar w:fldCharType="begin"/>
      </w:r>
      <w:r w:rsidR="00270901">
        <w:instrText xml:space="preserve"> DOCVARIABLE VAULT_ND_60663b8c-dfdf-45d6-918f-8d490b814d8d \* MERGEFORMAT </w:instrText>
      </w:r>
      <w:r w:rsidR="00270901">
        <w:fldChar w:fldCharType="separate"/>
      </w:r>
      <w:r w:rsidR="00270901">
        <w:t xml:space="preserve"> </w:t>
      </w:r>
      <w:r w:rsidR="00270901">
        <w:fldChar w:fldCharType="end"/>
      </w:r>
    </w:p>
    <w:p w14:paraId="644699B4" w14:textId="53028FE7" w:rsidR="00B80629" w:rsidRPr="00EF1153" w:rsidRDefault="00B80629" w:rsidP="00B80629">
      <w:r w:rsidRPr="00EF1153">
        <w:t>Selpercatinib</w:t>
      </w:r>
    </w:p>
    <w:p w14:paraId="5623EC8A" w14:textId="0F77E86D" w:rsidR="001A3992" w:rsidRPr="00270901" w:rsidRDefault="001A3992" w:rsidP="00D10D9A">
      <w:pPr>
        <w:pStyle w:val="Heading1"/>
      </w:pPr>
      <w:r w:rsidRPr="00270901">
        <w:t>Qualitative and quantitative composition</w:t>
      </w:r>
      <w:fldSimple w:instr=" DOCVARIABLE VAULT_ND_4f08b642-f38b-4481-a7bb-eefc0751d775 \* MERGEFORMAT ">
        <w:r w:rsidR="00270901">
          <w:t xml:space="preserve"> </w:t>
        </w:r>
      </w:fldSimple>
    </w:p>
    <w:p w14:paraId="40EA64E0" w14:textId="78CB9ED5" w:rsidR="00667CB8" w:rsidRPr="00712CC8" w:rsidRDefault="00667CB8" w:rsidP="005B2812">
      <w:pPr>
        <w:rPr>
          <w:u w:val="single"/>
        </w:rPr>
      </w:pPr>
      <w:r w:rsidRPr="00712CC8">
        <w:rPr>
          <w:u w:val="single"/>
        </w:rPr>
        <w:t xml:space="preserve">RETEVMO 40 mg immediate release </w:t>
      </w:r>
      <w:r w:rsidR="00D62DA3" w:rsidRPr="00712CC8">
        <w:rPr>
          <w:u w:val="single"/>
        </w:rPr>
        <w:t xml:space="preserve">hard </w:t>
      </w:r>
      <w:r w:rsidRPr="00712CC8">
        <w:rPr>
          <w:u w:val="single"/>
        </w:rPr>
        <w:t>capsule</w:t>
      </w:r>
    </w:p>
    <w:p w14:paraId="58116892" w14:textId="142A2E06" w:rsidR="00667CB8" w:rsidRDefault="00667CB8" w:rsidP="005B2812">
      <w:r>
        <w:t xml:space="preserve">Each immediate release capsule contains 40 mg </w:t>
      </w:r>
      <w:proofErr w:type="spellStart"/>
      <w:proofErr w:type="gramStart"/>
      <w:r>
        <w:t>selpercatinib</w:t>
      </w:r>
      <w:proofErr w:type="spellEnd"/>
      <w:proofErr w:type="gramEnd"/>
    </w:p>
    <w:p w14:paraId="3134556D" w14:textId="3874DDCC" w:rsidR="00D62DA3" w:rsidRPr="00712CC8" w:rsidRDefault="00D62DA3" w:rsidP="005B2812">
      <w:pPr>
        <w:rPr>
          <w:u w:val="single"/>
        </w:rPr>
      </w:pPr>
      <w:r w:rsidRPr="00712CC8">
        <w:rPr>
          <w:u w:val="single"/>
        </w:rPr>
        <w:t>RETEVMO 80 mg immediate release hard capsule</w:t>
      </w:r>
    </w:p>
    <w:p w14:paraId="58A0C98B" w14:textId="5FE925C8" w:rsidR="00D62DA3" w:rsidRPr="00D62DA3" w:rsidRDefault="00D62DA3" w:rsidP="005B2812">
      <w:r>
        <w:t xml:space="preserve">Each immediate release capsule contains 80 mg </w:t>
      </w:r>
      <w:proofErr w:type="spellStart"/>
      <w:proofErr w:type="gramStart"/>
      <w:r>
        <w:t>selpercatinib</w:t>
      </w:r>
      <w:proofErr w:type="spellEnd"/>
      <w:proofErr w:type="gramEnd"/>
    </w:p>
    <w:p w14:paraId="3B365774" w14:textId="07BC9822" w:rsidR="005B2812" w:rsidRPr="005B2812" w:rsidRDefault="005B2812" w:rsidP="005B2812">
      <w:r w:rsidRPr="00497C85">
        <w:t xml:space="preserve">For the full </w:t>
      </w:r>
      <w:r w:rsidRPr="00D10D9A">
        <w:t>list of excipient</w:t>
      </w:r>
      <w:r w:rsidRPr="00497C85">
        <w:t xml:space="preserve">s, see Section </w:t>
      </w:r>
      <w:r w:rsidR="00553712" w:rsidRPr="00F33156">
        <w:fldChar w:fldCharType="begin"/>
      </w:r>
      <w:r w:rsidR="00553712" w:rsidRPr="00F33156">
        <w:instrText xml:space="preserve"> REF _Ref99013879 \r \h </w:instrText>
      </w:r>
      <w:r w:rsidR="00F33156">
        <w:instrText xml:space="preserve"> \* MERGEFORMAT </w:instrText>
      </w:r>
      <w:r w:rsidR="00553712" w:rsidRPr="00F33156">
        <w:fldChar w:fldCharType="separate"/>
      </w:r>
      <w:r w:rsidR="00553712" w:rsidRPr="00F33156">
        <w:t>6.1</w:t>
      </w:r>
      <w:r w:rsidR="00553712" w:rsidRPr="00F33156">
        <w:fldChar w:fldCharType="end"/>
      </w:r>
      <w:r w:rsidR="00A50537" w:rsidRPr="00F33156">
        <w:t xml:space="preserve"> </w:t>
      </w:r>
      <w:r w:rsidR="00A50537" w:rsidRPr="00F33156">
        <w:fldChar w:fldCharType="begin"/>
      </w:r>
      <w:r w:rsidR="00A50537" w:rsidRPr="00F33156">
        <w:instrText xml:space="preserve"> REF _Ref99013879 \h </w:instrText>
      </w:r>
      <w:r w:rsidR="0088353E" w:rsidRPr="00F33156">
        <w:instrText xml:space="preserve"> \* MERGEFORMAT </w:instrText>
      </w:r>
      <w:r w:rsidR="00A50537" w:rsidRPr="00F33156">
        <w:fldChar w:fldCharType="separate"/>
      </w:r>
      <w:r w:rsidR="00A50537" w:rsidRPr="00F33156">
        <w:t>List of excipients</w:t>
      </w:r>
      <w:r w:rsidR="00A50537" w:rsidRPr="00F33156">
        <w:fldChar w:fldCharType="end"/>
      </w:r>
      <w:r w:rsidRPr="00F33156">
        <w:t>.</w:t>
      </w:r>
      <w:r w:rsidRPr="00497C85">
        <w:t xml:space="preserve"> </w:t>
      </w:r>
    </w:p>
    <w:p w14:paraId="2EC5D781" w14:textId="5C277B2D" w:rsidR="001A3992" w:rsidRPr="00270901" w:rsidRDefault="001A3992" w:rsidP="00D10D9A">
      <w:pPr>
        <w:pStyle w:val="Heading1"/>
      </w:pPr>
      <w:r w:rsidRPr="00270901">
        <w:t>Pharmaceutical form</w:t>
      </w:r>
      <w:fldSimple w:instr=" DOCVARIABLE VAULT_ND_59620341-fa4e-4c36-ae75-f6fc58cafd26 \* MERGEFORMAT ">
        <w:r w:rsidR="00270901">
          <w:t xml:space="preserve"> </w:t>
        </w:r>
      </w:fldSimple>
    </w:p>
    <w:p w14:paraId="22D021C8" w14:textId="74BCFB62" w:rsidR="00AB0278" w:rsidRPr="00712CC8" w:rsidRDefault="00AB0278" w:rsidP="00AB0278">
      <w:pPr>
        <w:rPr>
          <w:u w:val="single"/>
        </w:rPr>
      </w:pPr>
      <w:r w:rsidRPr="00712CC8">
        <w:rPr>
          <w:u w:val="single"/>
        </w:rPr>
        <w:t>RETEVMO 40 mg immediate release hard capsule</w:t>
      </w:r>
    </w:p>
    <w:p w14:paraId="5660E481" w14:textId="1147B15D" w:rsidR="008A4C84" w:rsidRDefault="00732FDF" w:rsidP="008A4C84">
      <w:r>
        <w:t>G</w:t>
      </w:r>
      <w:r w:rsidR="00AB0278" w:rsidRPr="00AB0278">
        <w:t>r</w:t>
      </w:r>
      <w:r w:rsidR="00AB0278">
        <w:t>e</w:t>
      </w:r>
      <w:r w:rsidR="00AB0278" w:rsidRPr="00AB0278">
        <w:t>y</w:t>
      </w:r>
      <w:r w:rsidR="00AB0278">
        <w:t>,</w:t>
      </w:r>
      <w:r w:rsidR="00AB0278" w:rsidRPr="00AB0278">
        <w:t xml:space="preserve"> opaque</w:t>
      </w:r>
      <w:r w:rsidR="00AB0278">
        <w:t xml:space="preserve"> </w:t>
      </w:r>
      <w:r w:rsidR="00AB0278" w:rsidRPr="00AB0278">
        <w:t>capsule imprinted with “Lilly 3977” and “40 mg” in black ink</w:t>
      </w:r>
      <w:r w:rsidR="0036598A">
        <w:t>.</w:t>
      </w:r>
    </w:p>
    <w:p w14:paraId="10C5A423" w14:textId="77777777" w:rsidR="0036598A" w:rsidRPr="00712CC8" w:rsidRDefault="0036598A" w:rsidP="0036598A">
      <w:pPr>
        <w:rPr>
          <w:u w:val="single"/>
        </w:rPr>
      </w:pPr>
      <w:r w:rsidRPr="00712CC8">
        <w:rPr>
          <w:u w:val="single"/>
        </w:rPr>
        <w:t>RETEVMO 80 mg immediate release hard capsule</w:t>
      </w:r>
    </w:p>
    <w:p w14:paraId="3C862604" w14:textId="0C3C54E6" w:rsidR="0036598A" w:rsidRDefault="00732FDF" w:rsidP="008A4C84">
      <w:r>
        <w:t>B</w:t>
      </w:r>
      <w:r w:rsidR="0036598A" w:rsidRPr="0036598A">
        <w:t>lue</w:t>
      </w:r>
      <w:r w:rsidR="0036598A">
        <w:t>,</w:t>
      </w:r>
      <w:r w:rsidR="0036598A" w:rsidRPr="0036598A">
        <w:t xml:space="preserve"> opaque</w:t>
      </w:r>
      <w:r w:rsidR="0036598A">
        <w:t xml:space="preserve"> </w:t>
      </w:r>
      <w:r w:rsidR="0036598A" w:rsidRPr="0036598A">
        <w:t>capsule imprinted with “Lilly 2980” and “80 mg” in black ink</w:t>
      </w:r>
      <w:r w:rsidR="0036598A">
        <w:t>.</w:t>
      </w:r>
    </w:p>
    <w:p w14:paraId="76E94BF2" w14:textId="10C04555" w:rsidR="001A3992" w:rsidRPr="00270901" w:rsidRDefault="001A3992" w:rsidP="00D10D9A">
      <w:pPr>
        <w:pStyle w:val="Heading1"/>
      </w:pPr>
      <w:r w:rsidRPr="00270901">
        <w:t>Clinical particulars</w:t>
      </w:r>
      <w:fldSimple w:instr=" DOCVARIABLE VAULT_ND_b1e9fa51-51f1-48e4-9b4d-0d97fb432034 \* MERGEFORMAT ">
        <w:r w:rsidR="00270901">
          <w:t xml:space="preserve"> </w:t>
        </w:r>
      </w:fldSimple>
    </w:p>
    <w:p w14:paraId="6F138C2E" w14:textId="791074BB" w:rsidR="001A3992" w:rsidRPr="002B335D" w:rsidRDefault="001A3992" w:rsidP="00D10D9A">
      <w:pPr>
        <w:pStyle w:val="Heading2"/>
      </w:pPr>
      <w:r w:rsidRPr="002B335D">
        <w:t>Therapeutic indications</w:t>
      </w:r>
      <w:fldSimple w:instr=" DOCVARIABLE vault_nd_54ef0258-47ae-4731-adad-6e91e6d33774 \* MERGEFORMAT ">
        <w:r w:rsidR="00270901">
          <w:t xml:space="preserve"> </w:t>
        </w:r>
      </w:fldSimple>
    </w:p>
    <w:p w14:paraId="51194FC2" w14:textId="6DEB87C3" w:rsidR="00052606" w:rsidRDefault="00EE3198" w:rsidP="006F3C98">
      <w:r>
        <w:t>RETEVMO</w:t>
      </w:r>
      <w:r w:rsidR="002935FF">
        <w:t xml:space="preserve"> has </w:t>
      </w:r>
      <w:r w:rsidR="002935FF" w:rsidRPr="001F72AF">
        <w:rPr>
          <w:b/>
          <w:bCs/>
        </w:rPr>
        <w:t>provisional approval</w:t>
      </w:r>
      <w:r w:rsidR="002935FF">
        <w:t xml:space="preserve"> for the treatment of </w:t>
      </w:r>
      <w:r w:rsidR="007B496D" w:rsidRPr="002B335D">
        <w:t xml:space="preserve">adult patients with </w:t>
      </w:r>
      <w:r w:rsidR="001C014C">
        <w:t xml:space="preserve">locally </w:t>
      </w:r>
      <w:r w:rsidR="00913397" w:rsidRPr="002B335D">
        <w:t xml:space="preserve">advanced or metastatic </w:t>
      </w:r>
      <w:r w:rsidR="00CB7401" w:rsidRPr="002B335D">
        <w:rPr>
          <w:i/>
        </w:rPr>
        <w:t>RET</w:t>
      </w:r>
      <w:r w:rsidR="00CB7401" w:rsidRPr="002B335D">
        <w:t xml:space="preserve"> fusion positive </w:t>
      </w:r>
      <w:r w:rsidR="002A3EFD" w:rsidRPr="002B335D">
        <w:t>non</w:t>
      </w:r>
      <w:r w:rsidR="002B335D" w:rsidRPr="002B335D">
        <w:t>-</w:t>
      </w:r>
      <w:r w:rsidR="002A3EFD" w:rsidRPr="002B335D">
        <w:t>small cell lung cancer (</w:t>
      </w:r>
      <w:r w:rsidR="00CB7401" w:rsidRPr="002B335D">
        <w:t>NSCLC</w:t>
      </w:r>
      <w:r w:rsidR="002A3EFD" w:rsidRPr="002B335D">
        <w:t>)</w:t>
      </w:r>
      <w:r w:rsidR="00EA5E6D" w:rsidRPr="002B335D">
        <w:t>.</w:t>
      </w:r>
    </w:p>
    <w:p w14:paraId="69417B45" w14:textId="48502F47" w:rsidR="0014202C" w:rsidRDefault="0014202C" w:rsidP="00F607EB">
      <w:pPr>
        <w:jc w:val="both"/>
      </w:pPr>
      <w:r>
        <w:t xml:space="preserve">The decision to approve this indication has been made </w:t>
      </w:r>
      <w:proofErr w:type="gramStart"/>
      <w:r>
        <w:t>on the basis</w:t>
      </w:r>
      <w:r w:rsidR="00AB73B5">
        <w:t xml:space="preserve"> of</w:t>
      </w:r>
      <w:proofErr w:type="gramEnd"/>
      <w:r w:rsidR="00AB73B5">
        <w:t xml:space="preserve"> </w:t>
      </w:r>
      <w:r w:rsidR="00696C54">
        <w:t>objective response rate (</w:t>
      </w:r>
      <w:r w:rsidR="00C15897">
        <w:t>ORR</w:t>
      </w:r>
      <w:r w:rsidR="00696C54">
        <w:t>)</w:t>
      </w:r>
      <w:r w:rsidR="005D57E0">
        <w:t xml:space="preserve"> and duration of response (DOR)</w:t>
      </w:r>
      <w:r w:rsidR="003F424C">
        <w:t xml:space="preserve"> from a single arm study</w:t>
      </w:r>
      <w:r w:rsidR="00422EDD">
        <w:t>.</w:t>
      </w:r>
      <w:r w:rsidR="007F0B0A">
        <w:t xml:space="preserve"> Continued approval of this indication depends on verification and </w:t>
      </w:r>
      <w:r w:rsidR="007A34E6">
        <w:t>description of benefit in</w:t>
      </w:r>
      <w:r w:rsidR="008371EC">
        <w:t xml:space="preserve"> a</w:t>
      </w:r>
      <w:r w:rsidR="007A34E6">
        <w:t xml:space="preserve"> confirmatory trial.</w:t>
      </w:r>
    </w:p>
    <w:p w14:paraId="371B9907" w14:textId="32F25517" w:rsidR="0066621E" w:rsidRDefault="0066621E" w:rsidP="00F607EB">
      <w:pPr>
        <w:jc w:val="both"/>
      </w:pPr>
    </w:p>
    <w:p w14:paraId="15B71AC4" w14:textId="77777777" w:rsidR="0066621E" w:rsidRPr="0087453C" w:rsidRDefault="0066621E" w:rsidP="00F607EB">
      <w:pPr>
        <w:jc w:val="both"/>
      </w:pPr>
    </w:p>
    <w:p w14:paraId="69FD677F" w14:textId="0D98D189" w:rsidR="00A5502D" w:rsidRPr="00A5502D" w:rsidRDefault="001A3992" w:rsidP="00D10D9A">
      <w:pPr>
        <w:pStyle w:val="Heading2"/>
      </w:pPr>
      <w:bookmarkStart w:id="1" w:name="_Ref99351469"/>
      <w:r>
        <w:t>Dose and method of administration</w:t>
      </w:r>
      <w:bookmarkEnd w:id="1"/>
      <w:r w:rsidR="00270901">
        <w:fldChar w:fldCharType="begin"/>
      </w:r>
      <w:r w:rsidR="00270901">
        <w:instrText xml:space="preserve"> DOCVARIABLE vault_nd_dd2dc3bb-7770-4257-8e9d-784d513adc52 \* MERGEFORMAT </w:instrText>
      </w:r>
      <w:r w:rsidR="00270901">
        <w:fldChar w:fldCharType="separate"/>
      </w:r>
      <w:r w:rsidR="00270901">
        <w:t xml:space="preserve"> </w:t>
      </w:r>
      <w:r w:rsidR="00270901">
        <w:fldChar w:fldCharType="end"/>
      </w:r>
    </w:p>
    <w:p w14:paraId="4A56D49B" w14:textId="34FB140A" w:rsidR="002D53DB" w:rsidRPr="0014255F" w:rsidRDefault="0014255F" w:rsidP="00F607EB">
      <w:pPr>
        <w:jc w:val="both"/>
      </w:pPr>
      <w:r>
        <w:t>RETEVMO therapy should be initiated and supervised by physicians experienced in the use of anti-</w:t>
      </w:r>
      <w:r w:rsidR="00D679E1">
        <w:t>cancer therapies.</w:t>
      </w:r>
    </w:p>
    <w:p w14:paraId="04ABBED8" w14:textId="0A8D9A82" w:rsidR="00A5502D" w:rsidRPr="009B15D9" w:rsidRDefault="00ED2A0C" w:rsidP="00B53A4A">
      <w:pPr>
        <w:pStyle w:val="Heading3"/>
      </w:pPr>
      <w:r w:rsidRPr="009B15D9">
        <w:t>Dose</w:t>
      </w:r>
      <w:fldSimple w:instr=" DOCVARIABLE vault_nd_cc6ed057-4b99-4107-b803-54cd07884da1 \* MERGEFORMAT ">
        <w:r w:rsidR="00270901">
          <w:t xml:space="preserve"> </w:t>
        </w:r>
      </w:fldSimple>
    </w:p>
    <w:p w14:paraId="4BC5170C" w14:textId="2A172D2B" w:rsidR="00A5502D" w:rsidRPr="00A5502D" w:rsidRDefault="00A5502D" w:rsidP="00A5502D">
      <w:r w:rsidRPr="00A5502D">
        <w:t xml:space="preserve">The recommended dose of </w:t>
      </w:r>
      <w:r w:rsidR="00ED2A0C">
        <w:t>RETEVMO</w:t>
      </w:r>
      <w:r w:rsidRPr="00A5502D">
        <w:t xml:space="preserve"> based on body weight is:</w:t>
      </w:r>
    </w:p>
    <w:p w14:paraId="6311F223" w14:textId="77777777" w:rsidR="00A5502D" w:rsidRPr="00A5502D" w:rsidRDefault="00A5502D" w:rsidP="00A5502D">
      <w:r w:rsidRPr="00A5502D">
        <w:t>- Less than 50 kg: 120 mg twice daily.</w:t>
      </w:r>
    </w:p>
    <w:p w14:paraId="42830D32" w14:textId="77777777" w:rsidR="00A5502D" w:rsidRPr="00A5502D" w:rsidRDefault="00A5502D" w:rsidP="00A5502D">
      <w:r w:rsidRPr="00A5502D">
        <w:t>- 50 kg or greater: 160 mg twice daily.</w:t>
      </w:r>
    </w:p>
    <w:p w14:paraId="389E00E5" w14:textId="69FB5B49" w:rsidR="00A5502D" w:rsidRPr="00A5502D" w:rsidRDefault="00A5502D" w:rsidP="003D2EF7">
      <w:pPr>
        <w:jc w:val="both"/>
      </w:pPr>
      <w:r w:rsidRPr="00A5502D">
        <w:t>If a patient vomits or misses a dose, the patient should be instructed to take the next dose at its scheduled time; an</w:t>
      </w:r>
      <w:r w:rsidR="00ED2A0C">
        <w:t xml:space="preserve"> </w:t>
      </w:r>
      <w:r w:rsidRPr="00A5502D">
        <w:t>additional dose should not be taken.</w:t>
      </w:r>
    </w:p>
    <w:p w14:paraId="209520D8" w14:textId="77777777" w:rsidR="00A5502D" w:rsidRPr="00A5502D" w:rsidRDefault="00A5502D" w:rsidP="003D2EF7">
      <w:pPr>
        <w:jc w:val="both"/>
      </w:pPr>
      <w:r w:rsidRPr="00A5502D">
        <w:t>Treatment should be continued until disease progression or unacceptable toxicity.</w:t>
      </w:r>
    </w:p>
    <w:p w14:paraId="1419B52B" w14:textId="4C252459" w:rsidR="00A5502D" w:rsidRPr="00A5502D" w:rsidRDefault="0047143E" w:rsidP="003D2EF7">
      <w:pPr>
        <w:jc w:val="both"/>
      </w:pPr>
      <w:r>
        <w:t>Avoid concomitant</w:t>
      </w:r>
      <w:r w:rsidR="0081639E">
        <w:t xml:space="preserve"> use of strong CYP inhibitors</w:t>
      </w:r>
      <w:r w:rsidR="004D78C8">
        <w:t xml:space="preserve"> (see </w:t>
      </w:r>
      <w:r w:rsidR="00EB3150">
        <w:rPr>
          <w:rFonts w:ascii="Cambria" w:hAnsi="Cambria"/>
        </w:rPr>
        <w:t>S</w:t>
      </w:r>
      <w:r w:rsidR="004D78C8">
        <w:rPr>
          <w:rFonts w:ascii="Cambria" w:hAnsi="Cambria"/>
        </w:rPr>
        <w:t xml:space="preserve">ection </w:t>
      </w:r>
      <w:r w:rsidR="00EB3150">
        <w:fldChar w:fldCharType="begin"/>
      </w:r>
      <w:r w:rsidR="00EB3150">
        <w:instrText xml:space="preserve"> REF _Ref99016658 \r \h </w:instrText>
      </w:r>
      <w:r w:rsidR="001938F7">
        <w:instrText xml:space="preserve"> \* MERGEFORMAT </w:instrText>
      </w:r>
      <w:r w:rsidR="00EB3150">
        <w:fldChar w:fldCharType="separate"/>
      </w:r>
      <w:r w:rsidR="00EB3150" w:rsidRPr="00DB2B61">
        <w:t>4.5</w:t>
      </w:r>
      <w:r w:rsidR="00EB3150">
        <w:fldChar w:fldCharType="end"/>
      </w:r>
      <w:r w:rsidR="00EB3150" w:rsidRPr="00DB2B61">
        <w:t xml:space="preserve"> </w:t>
      </w:r>
      <w:r w:rsidR="001938F7">
        <w:fldChar w:fldCharType="begin"/>
      </w:r>
      <w:r w:rsidR="001938F7">
        <w:instrText xml:space="preserve"> REF _Ref99016658 \h  \* MERGEFORMAT </w:instrText>
      </w:r>
      <w:r w:rsidR="001938F7">
        <w:fldChar w:fldCharType="separate"/>
      </w:r>
      <w:r w:rsidR="001938F7" w:rsidRPr="001938F7">
        <w:t>Interactions with other medicines and other forms of interactions</w:t>
      </w:r>
      <w:r w:rsidR="001938F7">
        <w:fldChar w:fldCharType="end"/>
      </w:r>
      <w:r w:rsidR="00E4555B" w:rsidRPr="00522737">
        <w:t>)</w:t>
      </w:r>
      <w:r w:rsidR="0081639E">
        <w:t>. If coadministration with strong CY</w:t>
      </w:r>
      <w:r w:rsidR="00D50FEA">
        <w:t xml:space="preserve">P3A inhibitor cannot be avoided, </w:t>
      </w:r>
      <w:r w:rsidR="004D7AE4">
        <w:t xml:space="preserve">reduce the current </w:t>
      </w:r>
      <w:proofErr w:type="spellStart"/>
      <w:r w:rsidR="004D7AE4">
        <w:t>se</w:t>
      </w:r>
      <w:r w:rsidR="00A5502D" w:rsidRPr="00A5502D">
        <w:t>lpercatinib</w:t>
      </w:r>
      <w:proofErr w:type="spellEnd"/>
      <w:r w:rsidR="00A5502D" w:rsidRPr="00A5502D">
        <w:t xml:space="preserve"> dose by 50%</w:t>
      </w:r>
      <w:r w:rsidR="004D7AE4">
        <w:t>.</w:t>
      </w:r>
      <w:r w:rsidR="00C06BDF">
        <w:t xml:space="preserve"> </w:t>
      </w:r>
      <w:r w:rsidR="00A5502D" w:rsidRPr="00A5502D">
        <w:rPr>
          <w:rFonts w:ascii="Cambria" w:hAnsi="Cambria"/>
        </w:rPr>
        <w:t>If the</w:t>
      </w:r>
      <w:r w:rsidR="00EB3150">
        <w:rPr>
          <w:rFonts w:ascii="Cambria" w:hAnsi="Cambria"/>
        </w:rPr>
        <w:t xml:space="preserve"> </w:t>
      </w:r>
      <w:r w:rsidR="00A5502D" w:rsidRPr="00A5502D">
        <w:rPr>
          <w:rFonts w:ascii="Cambria" w:hAnsi="Cambria"/>
        </w:rPr>
        <w:t>CYP3A</w:t>
      </w:r>
      <w:r w:rsidR="00A5502D" w:rsidRPr="00A5502D">
        <w:t xml:space="preserve"> inhibitor is discontinued, </w:t>
      </w:r>
      <w:r w:rsidR="00C06BDF">
        <w:t xml:space="preserve">increase </w:t>
      </w:r>
      <w:r w:rsidR="00A5502D" w:rsidRPr="00A5502D">
        <w:t xml:space="preserve">the </w:t>
      </w:r>
      <w:proofErr w:type="spellStart"/>
      <w:r w:rsidR="00A5502D" w:rsidRPr="00A5502D">
        <w:t>selpercatinib</w:t>
      </w:r>
      <w:proofErr w:type="spellEnd"/>
      <w:r w:rsidR="00A5502D" w:rsidRPr="00A5502D">
        <w:t xml:space="preserve"> dose (after 3-5 half-lives of the inhibitor) to the</w:t>
      </w:r>
      <w:r w:rsidR="00DA2021">
        <w:t xml:space="preserve"> </w:t>
      </w:r>
      <w:r w:rsidR="00A5502D" w:rsidRPr="00A5502D">
        <w:t>dose that was used before starting the inhibitor.</w:t>
      </w:r>
    </w:p>
    <w:p w14:paraId="19C2B72F" w14:textId="5BF02112" w:rsidR="00A5502D" w:rsidRPr="004D609A" w:rsidRDefault="00A5502D" w:rsidP="0042789A">
      <w:pPr>
        <w:pStyle w:val="Heading3"/>
      </w:pPr>
      <w:r w:rsidRPr="004D609A">
        <w:t>Dose adjustments</w:t>
      </w:r>
      <w:fldSimple w:instr=" DOCVARIABLE vault_nd_c2ae012a-3b73-41ad-9d02-d14901b4330d \* MERGEFORMAT ">
        <w:r w:rsidR="00270901">
          <w:t xml:space="preserve"> </w:t>
        </w:r>
      </w:fldSimple>
    </w:p>
    <w:p w14:paraId="77392E8C" w14:textId="47E3BE1A" w:rsidR="00A5502D" w:rsidRDefault="00A5502D" w:rsidP="003D2EF7">
      <w:pPr>
        <w:jc w:val="both"/>
      </w:pPr>
      <w:r w:rsidRPr="00A5502D">
        <w:t xml:space="preserve">Management of some adverse reactions may require dose interruption and/or dose reduction. </w:t>
      </w:r>
      <w:r w:rsidR="002B431F">
        <w:t xml:space="preserve">Generally, dose reductions should be in 40 mg decrements. </w:t>
      </w:r>
      <w:r w:rsidRPr="00A5502D">
        <w:t>R</w:t>
      </w:r>
      <w:r w:rsidR="00DA2021">
        <w:t>ETEVMO</w:t>
      </w:r>
      <w:r w:rsidRPr="00A5502D">
        <w:t xml:space="preserve"> dose</w:t>
      </w:r>
      <w:r w:rsidR="00DA2021">
        <w:t xml:space="preserve"> </w:t>
      </w:r>
      <w:r w:rsidRPr="00A5502D">
        <w:t xml:space="preserve">modifications are </w:t>
      </w:r>
      <w:proofErr w:type="spellStart"/>
      <w:r w:rsidRPr="00A5502D">
        <w:t>summarised</w:t>
      </w:r>
      <w:proofErr w:type="spellEnd"/>
      <w:r w:rsidRPr="00A5502D">
        <w:t xml:space="preserve"> in </w:t>
      </w:r>
      <w:r w:rsidR="003277BA">
        <w:fldChar w:fldCharType="begin"/>
      </w:r>
      <w:r w:rsidR="003277BA">
        <w:instrText xml:space="preserve"> REF _Ref99025025 \h </w:instrText>
      </w:r>
      <w:r w:rsidR="003277BA">
        <w:fldChar w:fldCharType="separate"/>
      </w:r>
      <w:r w:rsidR="003277BA" w:rsidRPr="00AC351B">
        <w:t xml:space="preserve">Table </w:t>
      </w:r>
      <w:r w:rsidR="003277BA">
        <w:rPr>
          <w:noProof/>
        </w:rPr>
        <w:t>1</w:t>
      </w:r>
      <w:r w:rsidR="003277BA">
        <w:fldChar w:fldCharType="end"/>
      </w:r>
      <w:r w:rsidRPr="00A5502D">
        <w:t xml:space="preserve"> and </w:t>
      </w:r>
      <w:r w:rsidR="003277BA">
        <w:fldChar w:fldCharType="begin"/>
      </w:r>
      <w:r w:rsidR="003277BA">
        <w:instrText xml:space="preserve"> REF _Ref99025031 \h </w:instrText>
      </w:r>
      <w:r w:rsidR="003277BA">
        <w:fldChar w:fldCharType="separate"/>
      </w:r>
      <w:r w:rsidR="003277BA">
        <w:t xml:space="preserve">Table </w:t>
      </w:r>
      <w:r w:rsidR="003277BA">
        <w:rPr>
          <w:noProof/>
        </w:rPr>
        <w:t>2</w:t>
      </w:r>
      <w:r w:rsidR="003277BA">
        <w:fldChar w:fldCharType="end"/>
      </w:r>
      <w:r w:rsidRPr="00A5502D">
        <w:t>.</w:t>
      </w:r>
    </w:p>
    <w:p w14:paraId="6C6735FB" w14:textId="4CA75DAD" w:rsidR="00DA2021" w:rsidRPr="007A144F" w:rsidRDefault="00DA2021" w:rsidP="00393F56">
      <w:pPr>
        <w:pStyle w:val="Caption"/>
        <w:rPr>
          <w:rFonts w:ascii="Cambria" w:hAnsi="Cambria"/>
          <w:b w:val="0"/>
          <w:bCs w:val="0"/>
        </w:rPr>
      </w:pPr>
      <w:bookmarkStart w:id="2" w:name="_Ref99025025"/>
      <w:r w:rsidRPr="00AC351B">
        <w:t xml:space="preserve">Table </w:t>
      </w:r>
      <w:r w:rsidR="004204B5" w:rsidRPr="00AC351B">
        <w:fldChar w:fldCharType="begin"/>
      </w:r>
      <w:r w:rsidR="004204B5" w:rsidRPr="00AC351B">
        <w:instrText xml:space="preserve"> SEQ Table \* ARABIC </w:instrText>
      </w:r>
      <w:r w:rsidR="004204B5" w:rsidRPr="00AC351B">
        <w:fldChar w:fldCharType="separate"/>
      </w:r>
      <w:r w:rsidR="00D133C0">
        <w:rPr>
          <w:noProof/>
        </w:rPr>
        <w:t>1</w:t>
      </w:r>
      <w:r w:rsidR="004204B5" w:rsidRPr="00AC351B">
        <w:fldChar w:fldCharType="end"/>
      </w:r>
      <w:bookmarkEnd w:id="2"/>
      <w:r w:rsidRPr="00AC351B">
        <w:t xml:space="preserve"> </w:t>
      </w:r>
      <w:r w:rsidRPr="007A144F">
        <w:rPr>
          <w:rFonts w:ascii="Cambria" w:hAnsi="Cambria"/>
        </w:rPr>
        <w:t>Recommended dose modifications for RETEVMO for adverse reactions based in body weight</w:t>
      </w:r>
      <w:r w:rsidR="00270901">
        <w:rPr>
          <w:rFonts w:ascii="Cambria" w:hAnsi="Cambria"/>
        </w:rPr>
        <w:fldChar w:fldCharType="begin"/>
      </w:r>
      <w:r w:rsidR="00270901">
        <w:rPr>
          <w:rFonts w:ascii="Cambria" w:hAnsi="Cambria"/>
        </w:rPr>
        <w:instrText xml:space="preserve"> DOCVARIABLE vault_nd_682b0344-7017-44f2-919d-2d46c1c1cba8 \* MERGEFORMAT </w:instrText>
      </w:r>
      <w:r w:rsidR="00270901">
        <w:rPr>
          <w:rFonts w:ascii="Cambria" w:hAnsi="Cambria"/>
        </w:rPr>
        <w:fldChar w:fldCharType="separate"/>
      </w:r>
      <w:r w:rsidR="00270901">
        <w:rPr>
          <w:rFonts w:ascii="Cambria" w:hAnsi="Cambria"/>
        </w:rPr>
        <w:t xml:space="preserve"> </w:t>
      </w:r>
      <w:r w:rsidR="00270901">
        <w:rPr>
          <w:rFonts w:ascii="Cambria" w:hAnsi="Cambria"/>
        </w:rPr>
        <w:fldChar w:fldCharType="end"/>
      </w:r>
    </w:p>
    <w:tbl>
      <w:tblPr>
        <w:tblStyle w:val="TableGrid"/>
        <w:tblW w:w="9351" w:type="dxa"/>
        <w:tblLook w:val="04A0" w:firstRow="1" w:lastRow="0" w:firstColumn="1" w:lastColumn="0" w:noHBand="0" w:noVBand="1"/>
      </w:tblPr>
      <w:tblGrid>
        <w:gridCol w:w="2689"/>
        <w:gridCol w:w="3321"/>
        <w:gridCol w:w="3341"/>
      </w:tblGrid>
      <w:tr w:rsidR="002B3AC1" w14:paraId="0F88920C" w14:textId="77777777" w:rsidTr="002B3AC1">
        <w:tc>
          <w:tcPr>
            <w:tcW w:w="2689" w:type="dxa"/>
          </w:tcPr>
          <w:p w14:paraId="1F8440D2" w14:textId="66737A3C" w:rsidR="002B3AC1" w:rsidRPr="00661CE2" w:rsidRDefault="002B3AC1" w:rsidP="00D10D9A">
            <w:pPr>
              <w:rPr>
                <w:b/>
              </w:rPr>
            </w:pPr>
            <w:r w:rsidRPr="00661CE2">
              <w:rPr>
                <w:b/>
              </w:rPr>
              <w:t>Dose modification</w:t>
            </w:r>
          </w:p>
        </w:tc>
        <w:tc>
          <w:tcPr>
            <w:tcW w:w="3321" w:type="dxa"/>
          </w:tcPr>
          <w:p w14:paraId="2FB7859E" w14:textId="35CC9EB3" w:rsidR="002B3AC1" w:rsidRPr="00661CE2" w:rsidRDefault="002B3AC1" w:rsidP="00393F56">
            <w:pPr>
              <w:jc w:val="center"/>
              <w:rPr>
                <w:b/>
              </w:rPr>
            </w:pPr>
            <w:r w:rsidRPr="00661CE2">
              <w:rPr>
                <w:b/>
              </w:rPr>
              <w:t>Adults ≥50 kg</w:t>
            </w:r>
          </w:p>
        </w:tc>
        <w:tc>
          <w:tcPr>
            <w:tcW w:w="3341" w:type="dxa"/>
          </w:tcPr>
          <w:p w14:paraId="2E8DC342" w14:textId="05F11677" w:rsidR="002B3AC1" w:rsidRPr="00661CE2" w:rsidRDefault="002B3AC1" w:rsidP="00393F56">
            <w:pPr>
              <w:jc w:val="center"/>
              <w:rPr>
                <w:b/>
              </w:rPr>
            </w:pPr>
            <w:r w:rsidRPr="00661CE2">
              <w:rPr>
                <w:b/>
              </w:rPr>
              <w:t>Adults &lt;50 kg</w:t>
            </w:r>
          </w:p>
        </w:tc>
      </w:tr>
      <w:tr w:rsidR="002B3AC1" w14:paraId="6816C3AC" w14:textId="77777777" w:rsidTr="002B3AC1">
        <w:tc>
          <w:tcPr>
            <w:tcW w:w="2689" w:type="dxa"/>
          </w:tcPr>
          <w:p w14:paraId="05578C63" w14:textId="683DF297" w:rsidR="002B3AC1" w:rsidRPr="004D609A" w:rsidRDefault="00591EA4" w:rsidP="00D10D9A">
            <w:pPr>
              <w:rPr>
                <w:b/>
              </w:rPr>
            </w:pPr>
            <w:r w:rsidRPr="004D609A">
              <w:rPr>
                <w:b/>
              </w:rPr>
              <w:t>Starting dose</w:t>
            </w:r>
          </w:p>
        </w:tc>
        <w:tc>
          <w:tcPr>
            <w:tcW w:w="3321" w:type="dxa"/>
          </w:tcPr>
          <w:p w14:paraId="0AB16405" w14:textId="400D19D5" w:rsidR="002B3AC1" w:rsidRDefault="00591EA4" w:rsidP="00393F56">
            <w:pPr>
              <w:jc w:val="center"/>
            </w:pPr>
            <w:r w:rsidRPr="00591EA4">
              <w:t>160 mg orally twice daily</w:t>
            </w:r>
          </w:p>
        </w:tc>
        <w:tc>
          <w:tcPr>
            <w:tcW w:w="3341" w:type="dxa"/>
          </w:tcPr>
          <w:p w14:paraId="5256D42E" w14:textId="3265A685" w:rsidR="002B3AC1" w:rsidRDefault="00591EA4" w:rsidP="00393F56">
            <w:pPr>
              <w:jc w:val="center"/>
            </w:pPr>
            <w:r w:rsidRPr="00591EA4">
              <w:t>120 mg orally twice daily</w:t>
            </w:r>
          </w:p>
        </w:tc>
      </w:tr>
      <w:tr w:rsidR="002B3AC1" w14:paraId="76BC7D58" w14:textId="77777777" w:rsidTr="002B3AC1">
        <w:tc>
          <w:tcPr>
            <w:tcW w:w="2689" w:type="dxa"/>
          </w:tcPr>
          <w:p w14:paraId="4C5D8AF4" w14:textId="00851A65" w:rsidR="002B3AC1" w:rsidRPr="004D609A" w:rsidRDefault="00591EA4" w:rsidP="00D10D9A">
            <w:pPr>
              <w:rPr>
                <w:b/>
              </w:rPr>
            </w:pPr>
            <w:r w:rsidRPr="004D609A">
              <w:rPr>
                <w:b/>
              </w:rPr>
              <w:t>First dose reduction</w:t>
            </w:r>
          </w:p>
        </w:tc>
        <w:tc>
          <w:tcPr>
            <w:tcW w:w="3321" w:type="dxa"/>
          </w:tcPr>
          <w:p w14:paraId="3BA89AF1" w14:textId="77FCA595" w:rsidR="002B3AC1" w:rsidRDefault="00591EA4" w:rsidP="00393F56">
            <w:pPr>
              <w:jc w:val="center"/>
            </w:pPr>
            <w:r w:rsidRPr="00591EA4">
              <w:t>120 mg orally twice daily</w:t>
            </w:r>
          </w:p>
        </w:tc>
        <w:tc>
          <w:tcPr>
            <w:tcW w:w="3341" w:type="dxa"/>
          </w:tcPr>
          <w:p w14:paraId="4E4CE365" w14:textId="505E4E5F" w:rsidR="002B3AC1" w:rsidRDefault="00591EA4" w:rsidP="00393F56">
            <w:pPr>
              <w:jc w:val="center"/>
            </w:pPr>
            <w:r w:rsidRPr="00591EA4">
              <w:t>80 mg orally twice daily</w:t>
            </w:r>
          </w:p>
        </w:tc>
      </w:tr>
      <w:tr w:rsidR="002B3AC1" w14:paraId="2A3EF7F6" w14:textId="77777777" w:rsidTr="002B3AC1">
        <w:tc>
          <w:tcPr>
            <w:tcW w:w="2689" w:type="dxa"/>
          </w:tcPr>
          <w:p w14:paraId="38218923" w14:textId="6CEEABAC" w:rsidR="002B3AC1" w:rsidRPr="004D609A" w:rsidRDefault="00591EA4" w:rsidP="00D10D9A">
            <w:pPr>
              <w:rPr>
                <w:b/>
              </w:rPr>
            </w:pPr>
            <w:r w:rsidRPr="004D609A">
              <w:rPr>
                <w:b/>
              </w:rPr>
              <w:t>Second dose reduction</w:t>
            </w:r>
          </w:p>
        </w:tc>
        <w:tc>
          <w:tcPr>
            <w:tcW w:w="3321" w:type="dxa"/>
          </w:tcPr>
          <w:p w14:paraId="7996DA67" w14:textId="078C4125" w:rsidR="002B3AC1" w:rsidRDefault="00591EA4" w:rsidP="00393F56">
            <w:pPr>
              <w:jc w:val="center"/>
            </w:pPr>
            <w:r w:rsidRPr="00591EA4">
              <w:t>80 mg orally twice daily</w:t>
            </w:r>
          </w:p>
        </w:tc>
        <w:tc>
          <w:tcPr>
            <w:tcW w:w="3341" w:type="dxa"/>
          </w:tcPr>
          <w:p w14:paraId="2B45A7B1" w14:textId="30C990CC" w:rsidR="002B3AC1" w:rsidRDefault="00591EA4" w:rsidP="00393F56">
            <w:pPr>
              <w:jc w:val="center"/>
            </w:pPr>
            <w:r w:rsidRPr="00591EA4">
              <w:t>40 mg orally twice daily</w:t>
            </w:r>
          </w:p>
        </w:tc>
      </w:tr>
      <w:tr w:rsidR="002B3AC1" w14:paraId="30F084A0" w14:textId="77777777" w:rsidTr="002B3AC1">
        <w:tc>
          <w:tcPr>
            <w:tcW w:w="2689" w:type="dxa"/>
          </w:tcPr>
          <w:p w14:paraId="4CBB56DB" w14:textId="2EDA2F9C" w:rsidR="002B3AC1" w:rsidRPr="004D609A" w:rsidRDefault="00591EA4" w:rsidP="00D10D9A">
            <w:pPr>
              <w:rPr>
                <w:b/>
              </w:rPr>
            </w:pPr>
            <w:r w:rsidRPr="004D609A">
              <w:rPr>
                <w:b/>
              </w:rPr>
              <w:t>Third dose reduction</w:t>
            </w:r>
          </w:p>
        </w:tc>
        <w:tc>
          <w:tcPr>
            <w:tcW w:w="3321" w:type="dxa"/>
          </w:tcPr>
          <w:p w14:paraId="49FFFC21" w14:textId="164AA4D0" w:rsidR="002B3AC1" w:rsidRDefault="00591EA4" w:rsidP="00393F56">
            <w:pPr>
              <w:jc w:val="center"/>
            </w:pPr>
            <w:r w:rsidRPr="00591EA4">
              <w:t>40 mg orally twice daily</w:t>
            </w:r>
          </w:p>
        </w:tc>
        <w:tc>
          <w:tcPr>
            <w:tcW w:w="3341" w:type="dxa"/>
          </w:tcPr>
          <w:p w14:paraId="7C785F64" w14:textId="4055991F" w:rsidR="002B3AC1" w:rsidRDefault="007A144F" w:rsidP="00393F56">
            <w:pPr>
              <w:jc w:val="center"/>
            </w:pPr>
            <w:r w:rsidRPr="007A144F">
              <w:t>Not applicable</w:t>
            </w:r>
          </w:p>
        </w:tc>
      </w:tr>
    </w:tbl>
    <w:p w14:paraId="69719C4B" w14:textId="45609319" w:rsidR="00DA2021" w:rsidRDefault="00DA2021" w:rsidP="00A5502D"/>
    <w:p w14:paraId="24F8052B" w14:textId="14A3870D" w:rsidR="007A144F" w:rsidRPr="000726D5" w:rsidRDefault="000726D5" w:rsidP="00E031C6">
      <w:pPr>
        <w:pStyle w:val="Caption"/>
        <w:keepNext/>
        <w:rPr>
          <w:rFonts w:ascii="Cambria" w:hAnsi="Cambria"/>
          <w:b w:val="0"/>
          <w:bCs w:val="0"/>
        </w:rPr>
      </w:pPr>
      <w:bookmarkStart w:id="3" w:name="_Ref99025031"/>
      <w:r>
        <w:t xml:space="preserve">Table </w:t>
      </w:r>
      <w:r w:rsidR="00473FE1">
        <w:fldChar w:fldCharType="begin"/>
      </w:r>
      <w:r w:rsidR="00473FE1">
        <w:instrText xml:space="preserve"> SEQ Table \* ARABIC </w:instrText>
      </w:r>
      <w:r w:rsidR="00473FE1">
        <w:fldChar w:fldCharType="separate"/>
      </w:r>
      <w:r w:rsidR="00D133C0">
        <w:rPr>
          <w:noProof/>
        </w:rPr>
        <w:t>2</w:t>
      </w:r>
      <w:r w:rsidR="00473FE1">
        <w:fldChar w:fldCharType="end"/>
      </w:r>
      <w:bookmarkEnd w:id="3"/>
      <w:r>
        <w:t xml:space="preserve"> </w:t>
      </w:r>
      <w:r w:rsidRPr="000726D5">
        <w:rPr>
          <w:rFonts w:ascii="Cambria" w:hAnsi="Cambria"/>
        </w:rPr>
        <w:t>Recommended dose modifications for adverse reactions</w:t>
      </w:r>
      <w:r w:rsidR="00270901">
        <w:rPr>
          <w:rFonts w:ascii="Cambria" w:hAnsi="Cambria"/>
        </w:rPr>
        <w:fldChar w:fldCharType="begin"/>
      </w:r>
      <w:r w:rsidR="00270901">
        <w:rPr>
          <w:rFonts w:ascii="Cambria" w:hAnsi="Cambria"/>
        </w:rPr>
        <w:instrText xml:space="preserve"> DOCVARIABLE vault_nd_b5453526-54b5-4484-b0ef-b810a6a8e46e \* MERGEFORMAT </w:instrText>
      </w:r>
      <w:r w:rsidR="00270901">
        <w:rPr>
          <w:rFonts w:ascii="Cambria" w:hAnsi="Cambria"/>
        </w:rPr>
        <w:fldChar w:fldCharType="separate"/>
      </w:r>
      <w:r w:rsidR="00270901">
        <w:rPr>
          <w:rFonts w:ascii="Cambria" w:hAnsi="Cambria"/>
        </w:rPr>
        <w:t xml:space="preserve"> </w:t>
      </w:r>
      <w:r w:rsidR="00270901">
        <w:rPr>
          <w:rFonts w:ascii="Cambria" w:hAnsi="Cambria"/>
        </w:rPr>
        <w:fldChar w:fldCharType="end"/>
      </w:r>
    </w:p>
    <w:tbl>
      <w:tblPr>
        <w:tblStyle w:val="TableGrid"/>
        <w:tblW w:w="9351" w:type="dxa"/>
        <w:tblLook w:val="04A0" w:firstRow="1" w:lastRow="0" w:firstColumn="1" w:lastColumn="0" w:noHBand="0" w:noVBand="1"/>
      </w:tblPr>
      <w:tblGrid>
        <w:gridCol w:w="2689"/>
        <w:gridCol w:w="2268"/>
        <w:gridCol w:w="4394"/>
      </w:tblGrid>
      <w:tr w:rsidR="000726D5" w:rsidRPr="002B3AC1" w14:paraId="76DB3A6F" w14:textId="77777777" w:rsidTr="00E031C6">
        <w:trPr>
          <w:tblHeader/>
        </w:trPr>
        <w:tc>
          <w:tcPr>
            <w:tcW w:w="2689" w:type="dxa"/>
          </w:tcPr>
          <w:p w14:paraId="6D3BD4EF" w14:textId="14608740" w:rsidR="000726D5" w:rsidRPr="00661CE2" w:rsidRDefault="000726D5" w:rsidP="00D10D9A">
            <w:pPr>
              <w:rPr>
                <w:b/>
              </w:rPr>
            </w:pPr>
            <w:r w:rsidRPr="00661CE2">
              <w:rPr>
                <w:b/>
              </w:rPr>
              <w:t>Adverse drug reactions (ADR)</w:t>
            </w:r>
          </w:p>
        </w:tc>
        <w:tc>
          <w:tcPr>
            <w:tcW w:w="2268" w:type="dxa"/>
          </w:tcPr>
          <w:p w14:paraId="2B64C06C" w14:textId="6A7225D3" w:rsidR="000726D5" w:rsidRPr="00661CE2" w:rsidRDefault="000726D5" w:rsidP="00D10D9A">
            <w:pPr>
              <w:rPr>
                <w:b/>
              </w:rPr>
            </w:pPr>
            <w:r w:rsidRPr="00661CE2">
              <w:rPr>
                <w:b/>
              </w:rPr>
              <w:t>Grade</w:t>
            </w:r>
          </w:p>
        </w:tc>
        <w:tc>
          <w:tcPr>
            <w:tcW w:w="4394" w:type="dxa"/>
          </w:tcPr>
          <w:p w14:paraId="5336C2C7" w14:textId="5746F5F8" w:rsidR="000726D5" w:rsidRPr="00661CE2" w:rsidRDefault="000726D5" w:rsidP="00E031C6">
            <w:pPr>
              <w:jc w:val="center"/>
              <w:rPr>
                <w:b/>
              </w:rPr>
            </w:pPr>
            <w:r w:rsidRPr="00661CE2">
              <w:rPr>
                <w:b/>
              </w:rPr>
              <w:t>Dose modifications</w:t>
            </w:r>
          </w:p>
        </w:tc>
      </w:tr>
      <w:tr w:rsidR="000726D5" w14:paraId="4D608558" w14:textId="77777777" w:rsidTr="00E031C6">
        <w:tc>
          <w:tcPr>
            <w:tcW w:w="2689" w:type="dxa"/>
          </w:tcPr>
          <w:p w14:paraId="535DB4FA" w14:textId="795A6C32" w:rsidR="000726D5" w:rsidRPr="000726D5" w:rsidRDefault="000726D5" w:rsidP="00D10D9A">
            <w:r>
              <w:t>Increased ALT or AST</w:t>
            </w:r>
          </w:p>
        </w:tc>
        <w:tc>
          <w:tcPr>
            <w:tcW w:w="2268" w:type="dxa"/>
          </w:tcPr>
          <w:p w14:paraId="4CF4B003" w14:textId="091CE302" w:rsidR="000726D5" w:rsidRPr="000726D5" w:rsidRDefault="00B80660" w:rsidP="00D10D9A">
            <w:r w:rsidRPr="00B80660">
              <w:t>Grade 3 or Grade 4</w:t>
            </w:r>
          </w:p>
        </w:tc>
        <w:tc>
          <w:tcPr>
            <w:tcW w:w="4394" w:type="dxa"/>
          </w:tcPr>
          <w:p w14:paraId="70530CDF" w14:textId="56446CA1" w:rsidR="00772A3A" w:rsidRDefault="00B80660" w:rsidP="00D53A30">
            <w:pPr>
              <w:pStyle w:val="ListParagraph"/>
              <w:numPr>
                <w:ilvl w:val="0"/>
                <w:numId w:val="14"/>
              </w:numPr>
              <w:ind w:left="317"/>
            </w:pPr>
            <w:r w:rsidRPr="00B80660">
              <w:t>Suspend dose until toxicity resolves to baseline (</w:t>
            </w:r>
            <w:r w:rsidRPr="00E6458D">
              <w:t xml:space="preserve">see sections </w:t>
            </w:r>
            <w:r w:rsidR="00A405F8">
              <w:fldChar w:fldCharType="begin"/>
            </w:r>
            <w:r w:rsidR="00A405F8">
              <w:instrText xml:space="preserve"> REF _Ref99026326 \n \h </w:instrText>
            </w:r>
            <w:r w:rsidR="00A405F8">
              <w:fldChar w:fldCharType="separate"/>
            </w:r>
            <w:r w:rsidR="00A405F8">
              <w:t>4.4</w:t>
            </w:r>
            <w:r w:rsidR="00A405F8">
              <w:fldChar w:fldCharType="end"/>
            </w:r>
            <w:r w:rsidR="00A405F8">
              <w:t xml:space="preserve"> </w:t>
            </w:r>
            <w:r w:rsidR="00A405F8">
              <w:fldChar w:fldCharType="begin"/>
            </w:r>
            <w:r w:rsidR="00A405F8">
              <w:instrText xml:space="preserve"> REF _Ref99026326 \h </w:instrText>
            </w:r>
            <w:r w:rsidR="00A405F8">
              <w:fldChar w:fldCharType="separate"/>
            </w:r>
            <w:r w:rsidR="00A405F8">
              <w:t>Special warnings and precautions for use</w:t>
            </w:r>
            <w:r w:rsidR="00A405F8">
              <w:fldChar w:fldCharType="end"/>
            </w:r>
            <w:r w:rsidR="00A405F8">
              <w:t xml:space="preserve"> </w:t>
            </w:r>
            <w:r w:rsidR="00E6458D" w:rsidRPr="00E6458D">
              <w:t xml:space="preserve"> </w:t>
            </w:r>
            <w:r w:rsidRPr="00E6458D">
              <w:t xml:space="preserve">and </w:t>
            </w:r>
            <w:r w:rsidR="00A405F8">
              <w:fldChar w:fldCharType="begin"/>
            </w:r>
            <w:r w:rsidR="00A405F8">
              <w:instrText xml:space="preserve"> REF _Ref99026361 \w \h </w:instrText>
            </w:r>
            <w:r w:rsidR="00A405F8">
              <w:fldChar w:fldCharType="separate"/>
            </w:r>
            <w:r w:rsidR="00A405F8">
              <w:t>4.8</w:t>
            </w:r>
            <w:r w:rsidR="00A405F8">
              <w:fldChar w:fldCharType="end"/>
            </w:r>
            <w:r w:rsidR="00A405F8">
              <w:t xml:space="preserve"> </w:t>
            </w:r>
            <w:r w:rsidR="00A405F8">
              <w:fldChar w:fldCharType="begin"/>
            </w:r>
            <w:r w:rsidR="00A405F8">
              <w:instrText xml:space="preserve"> REF _Ref99026361 \h </w:instrText>
            </w:r>
            <w:r w:rsidR="00A405F8">
              <w:fldChar w:fldCharType="separate"/>
            </w:r>
            <w:r w:rsidR="00A405F8">
              <w:t xml:space="preserve">Adverse effects (Undesirable </w:t>
            </w:r>
            <w:r w:rsidR="00A405F8">
              <w:lastRenderedPageBreak/>
              <w:t>effects)</w:t>
            </w:r>
            <w:r w:rsidR="00A405F8">
              <w:fldChar w:fldCharType="end"/>
            </w:r>
            <w:r w:rsidRPr="00B80660">
              <w:t>). Resume at a dose reduced by 2</w:t>
            </w:r>
            <w:r>
              <w:t xml:space="preserve"> </w:t>
            </w:r>
            <w:r w:rsidRPr="00B80660">
              <w:t>levels.</w:t>
            </w:r>
          </w:p>
          <w:p w14:paraId="4F7E4E1A" w14:textId="77777777" w:rsidR="00772A3A" w:rsidRDefault="00B80660" w:rsidP="00D53A30">
            <w:pPr>
              <w:pStyle w:val="ListParagraph"/>
              <w:numPr>
                <w:ilvl w:val="0"/>
                <w:numId w:val="14"/>
              </w:numPr>
              <w:ind w:left="317"/>
            </w:pPr>
            <w:r w:rsidRPr="00B80660">
              <w:t xml:space="preserve">If after at least 2 weeks </w:t>
            </w:r>
            <w:proofErr w:type="spellStart"/>
            <w:r w:rsidRPr="00B80660">
              <w:t>selpercatinib</w:t>
            </w:r>
            <w:proofErr w:type="spellEnd"/>
            <w:r w:rsidRPr="00B80660">
              <w:t xml:space="preserve"> is tolerated</w:t>
            </w:r>
            <w:r>
              <w:t xml:space="preserve"> </w:t>
            </w:r>
            <w:r w:rsidRPr="00B80660">
              <w:t>without recurrent increased ALT or AST, increase</w:t>
            </w:r>
            <w:r>
              <w:t xml:space="preserve"> </w:t>
            </w:r>
            <w:r w:rsidRPr="00B80660">
              <w:t>dosing by 1 dose level.</w:t>
            </w:r>
          </w:p>
          <w:p w14:paraId="77FC7C4F" w14:textId="77777777" w:rsidR="00772A3A" w:rsidRDefault="00B80660" w:rsidP="00D53A30">
            <w:pPr>
              <w:pStyle w:val="ListParagraph"/>
              <w:numPr>
                <w:ilvl w:val="0"/>
                <w:numId w:val="14"/>
              </w:numPr>
              <w:ind w:left="317"/>
            </w:pPr>
            <w:r w:rsidRPr="00B80660">
              <w:t xml:space="preserve">If </w:t>
            </w:r>
            <w:proofErr w:type="spellStart"/>
            <w:r w:rsidRPr="00B80660">
              <w:t>selpercatinib</w:t>
            </w:r>
            <w:proofErr w:type="spellEnd"/>
            <w:r w:rsidRPr="00B80660">
              <w:t xml:space="preserve"> is tolerated without recurrence for at</w:t>
            </w:r>
            <w:r>
              <w:t xml:space="preserve"> </w:t>
            </w:r>
            <w:r w:rsidRPr="00B80660">
              <w:t>least 4 weeks, increase to dose taken prior to the</w:t>
            </w:r>
            <w:r>
              <w:t xml:space="preserve"> </w:t>
            </w:r>
            <w:r w:rsidRPr="00B80660">
              <w:t>onset of Grade 3 or 4 increased AST or ALT.</w:t>
            </w:r>
          </w:p>
          <w:p w14:paraId="62115115" w14:textId="1185CE44" w:rsidR="000726D5" w:rsidRPr="000726D5" w:rsidRDefault="00B80660" w:rsidP="00D53A30">
            <w:pPr>
              <w:pStyle w:val="ListParagraph"/>
              <w:numPr>
                <w:ilvl w:val="0"/>
                <w:numId w:val="14"/>
              </w:numPr>
              <w:ind w:left="317"/>
            </w:pPr>
            <w:r w:rsidRPr="00B80660">
              <w:t xml:space="preserve">Permanently discontinue </w:t>
            </w:r>
            <w:proofErr w:type="spellStart"/>
            <w:r w:rsidRPr="00B80660">
              <w:t>selpercatinib</w:t>
            </w:r>
            <w:proofErr w:type="spellEnd"/>
            <w:r w:rsidRPr="00B80660">
              <w:t xml:space="preserve"> if Grade 3 or 4</w:t>
            </w:r>
            <w:r>
              <w:t xml:space="preserve"> </w:t>
            </w:r>
            <w:r w:rsidRPr="00B80660">
              <w:t>ALT or AST increases recur despite dose</w:t>
            </w:r>
            <w:r>
              <w:t xml:space="preserve"> </w:t>
            </w:r>
            <w:r w:rsidRPr="00B80660">
              <w:t>modifications.</w:t>
            </w:r>
          </w:p>
        </w:tc>
      </w:tr>
      <w:tr w:rsidR="000726D5" w14:paraId="3B48732C" w14:textId="77777777" w:rsidTr="00E031C6">
        <w:tc>
          <w:tcPr>
            <w:tcW w:w="2689" w:type="dxa"/>
          </w:tcPr>
          <w:p w14:paraId="0AE85E55" w14:textId="040A27A8" w:rsidR="000726D5" w:rsidRPr="000726D5" w:rsidRDefault="00E83475" w:rsidP="00D10D9A">
            <w:r w:rsidRPr="00E83475">
              <w:lastRenderedPageBreak/>
              <w:t>Hypersensitivity</w:t>
            </w:r>
          </w:p>
        </w:tc>
        <w:tc>
          <w:tcPr>
            <w:tcW w:w="2268" w:type="dxa"/>
          </w:tcPr>
          <w:p w14:paraId="0F77A2CC" w14:textId="4DE48F45" w:rsidR="000726D5" w:rsidRPr="000726D5" w:rsidRDefault="00E83475" w:rsidP="00D10D9A">
            <w:r>
              <w:t xml:space="preserve">All </w:t>
            </w:r>
            <w:r w:rsidR="00A05D9E">
              <w:t>G</w:t>
            </w:r>
            <w:r>
              <w:t>rades</w:t>
            </w:r>
          </w:p>
        </w:tc>
        <w:tc>
          <w:tcPr>
            <w:tcW w:w="4394" w:type="dxa"/>
          </w:tcPr>
          <w:p w14:paraId="2EA05EF1" w14:textId="357E4B79" w:rsidR="00AD3A01" w:rsidRDefault="00E83475" w:rsidP="000F2435">
            <w:pPr>
              <w:pStyle w:val="ListParagraph"/>
              <w:numPr>
                <w:ilvl w:val="0"/>
                <w:numId w:val="15"/>
              </w:numPr>
              <w:ind w:left="317"/>
            </w:pPr>
            <w:r w:rsidRPr="00E83475">
              <w:t>Suspend dose until toxicity resolves and begin</w:t>
            </w:r>
            <w:r>
              <w:t xml:space="preserve"> </w:t>
            </w:r>
            <w:r w:rsidRPr="00E83475">
              <w:t>corticosteroids at a dose of 1 mg/kg (</w:t>
            </w:r>
            <w:r w:rsidRPr="00E6458D">
              <w:t xml:space="preserve">see sections </w:t>
            </w:r>
            <w:r w:rsidR="00AD3A01">
              <w:fldChar w:fldCharType="begin"/>
            </w:r>
            <w:r w:rsidR="00AD3A01">
              <w:instrText xml:space="preserve"> REF _Ref99026326 \n \h </w:instrText>
            </w:r>
            <w:r w:rsidR="00AD3A01">
              <w:fldChar w:fldCharType="separate"/>
            </w:r>
            <w:r w:rsidR="00AD3A01">
              <w:t>4.4</w:t>
            </w:r>
            <w:r w:rsidR="00AD3A01">
              <w:fldChar w:fldCharType="end"/>
            </w:r>
            <w:r w:rsidR="00AD3A01">
              <w:t xml:space="preserve"> </w:t>
            </w:r>
            <w:r w:rsidR="00AD3A01">
              <w:fldChar w:fldCharType="begin"/>
            </w:r>
            <w:r w:rsidR="00AD3A01">
              <w:instrText xml:space="preserve"> REF _Ref99026326 \h </w:instrText>
            </w:r>
            <w:r w:rsidR="00AD3A01">
              <w:fldChar w:fldCharType="separate"/>
            </w:r>
            <w:r w:rsidR="00AD3A01">
              <w:t>Special warnings and precautions for use</w:t>
            </w:r>
            <w:r w:rsidR="00AD3A01">
              <w:fldChar w:fldCharType="end"/>
            </w:r>
            <w:r w:rsidR="00E6458D" w:rsidRPr="00E6458D">
              <w:t xml:space="preserve"> and </w:t>
            </w:r>
            <w:r w:rsidR="00AD3A01">
              <w:fldChar w:fldCharType="begin"/>
            </w:r>
            <w:r w:rsidR="00AD3A01">
              <w:instrText xml:space="preserve"> REF _Ref99026361 \n \h </w:instrText>
            </w:r>
            <w:r w:rsidR="00AD3A01">
              <w:fldChar w:fldCharType="separate"/>
            </w:r>
            <w:r w:rsidR="00AD3A01">
              <w:t>4.8</w:t>
            </w:r>
            <w:r w:rsidR="00AD3A01">
              <w:fldChar w:fldCharType="end"/>
            </w:r>
            <w:r w:rsidR="00AD3A01">
              <w:t xml:space="preserve"> </w:t>
            </w:r>
            <w:r w:rsidR="00AD3A01">
              <w:fldChar w:fldCharType="begin"/>
            </w:r>
            <w:r w:rsidR="00AD3A01">
              <w:instrText xml:space="preserve"> REF _Ref99026361 \h </w:instrText>
            </w:r>
            <w:r w:rsidR="00AD3A01">
              <w:fldChar w:fldCharType="separate"/>
            </w:r>
            <w:r w:rsidR="00AD3A01">
              <w:t>Adverse effects (Undesirable effects)</w:t>
            </w:r>
            <w:r w:rsidR="00AD3A01">
              <w:fldChar w:fldCharType="end"/>
            </w:r>
            <w:r w:rsidRPr="00E83475">
              <w:t xml:space="preserve">). Resume </w:t>
            </w:r>
            <w:proofErr w:type="spellStart"/>
            <w:r w:rsidRPr="00E83475">
              <w:t>selpercatinib</w:t>
            </w:r>
            <w:proofErr w:type="spellEnd"/>
            <w:r w:rsidRPr="00E83475">
              <w:t xml:space="preserve"> at 40 mg twice daily</w:t>
            </w:r>
            <w:r>
              <w:t xml:space="preserve"> </w:t>
            </w:r>
            <w:r w:rsidRPr="00E83475">
              <w:t>while continuing steroid treatment. Discontinue</w:t>
            </w:r>
            <w:r>
              <w:t xml:space="preserve"> </w:t>
            </w:r>
            <w:proofErr w:type="spellStart"/>
            <w:r w:rsidRPr="00E83475">
              <w:t>selpercatinib</w:t>
            </w:r>
            <w:proofErr w:type="spellEnd"/>
            <w:r w:rsidRPr="00E83475">
              <w:t xml:space="preserve"> for recurrent hypersensitivity.</w:t>
            </w:r>
          </w:p>
          <w:p w14:paraId="7BAD1D42" w14:textId="2888F272" w:rsidR="000726D5" w:rsidRPr="000726D5" w:rsidRDefault="00E83475" w:rsidP="000F2435">
            <w:pPr>
              <w:pStyle w:val="ListParagraph"/>
              <w:numPr>
                <w:ilvl w:val="0"/>
                <w:numId w:val="15"/>
              </w:numPr>
              <w:ind w:left="317"/>
            </w:pPr>
            <w:r w:rsidRPr="00E83475">
              <w:t xml:space="preserve">If after at least 7 days, </w:t>
            </w:r>
            <w:proofErr w:type="spellStart"/>
            <w:r w:rsidRPr="00E83475">
              <w:t>selpercatinib</w:t>
            </w:r>
            <w:proofErr w:type="spellEnd"/>
            <w:r w:rsidRPr="00E83475">
              <w:t xml:space="preserve"> is tolerated</w:t>
            </w:r>
            <w:r>
              <w:t xml:space="preserve"> </w:t>
            </w:r>
            <w:r w:rsidRPr="00E83475">
              <w:t>without recurrent hypersensitivity, incrementally</w:t>
            </w:r>
            <w:r>
              <w:t xml:space="preserve"> </w:t>
            </w:r>
            <w:r w:rsidRPr="00E83475">
              <w:t xml:space="preserve">increase </w:t>
            </w:r>
            <w:r w:rsidR="00C670A4">
              <w:t xml:space="preserve">the </w:t>
            </w:r>
            <w:proofErr w:type="spellStart"/>
            <w:r w:rsidRPr="00E83475">
              <w:t>selpercatinib</w:t>
            </w:r>
            <w:proofErr w:type="spellEnd"/>
            <w:r w:rsidRPr="00E83475">
              <w:t xml:space="preserve"> dose by 1 dose level each</w:t>
            </w:r>
            <w:r w:rsidR="00AD67FA">
              <w:t xml:space="preserve"> </w:t>
            </w:r>
            <w:r w:rsidRPr="00E83475">
              <w:t>week, until the dose taken prior to the onset of</w:t>
            </w:r>
            <w:r w:rsidR="00AD67FA">
              <w:t xml:space="preserve"> </w:t>
            </w:r>
            <w:r w:rsidRPr="00E83475">
              <w:t>hypersensitivity is reached. Taper steroid dose after</w:t>
            </w:r>
            <w:r w:rsidR="00AD67FA">
              <w:t xml:space="preserve"> </w:t>
            </w:r>
            <w:proofErr w:type="spellStart"/>
            <w:r w:rsidRPr="00E83475">
              <w:t>selpercatinib</w:t>
            </w:r>
            <w:proofErr w:type="spellEnd"/>
            <w:r w:rsidRPr="00E83475">
              <w:t xml:space="preserve"> has been tolerated for at least 7 days at</w:t>
            </w:r>
            <w:r w:rsidR="00AD67FA">
              <w:t xml:space="preserve"> </w:t>
            </w:r>
            <w:r w:rsidRPr="00E83475">
              <w:t>the final dose.</w:t>
            </w:r>
          </w:p>
        </w:tc>
      </w:tr>
      <w:tr w:rsidR="000726D5" w14:paraId="4CB290F9" w14:textId="77777777" w:rsidTr="00A25F26">
        <w:tc>
          <w:tcPr>
            <w:tcW w:w="2689" w:type="dxa"/>
            <w:vMerge w:val="restart"/>
          </w:tcPr>
          <w:p w14:paraId="6577451C" w14:textId="59C18B5F" w:rsidR="000726D5" w:rsidRPr="000726D5" w:rsidRDefault="00542092" w:rsidP="00D10D9A">
            <w:r>
              <w:t>QT interval prolongation</w:t>
            </w:r>
          </w:p>
        </w:tc>
        <w:tc>
          <w:tcPr>
            <w:tcW w:w="2268" w:type="dxa"/>
          </w:tcPr>
          <w:p w14:paraId="2BA3331E" w14:textId="235AD67D" w:rsidR="000726D5" w:rsidRPr="000726D5" w:rsidRDefault="00542092" w:rsidP="00D10D9A">
            <w:r>
              <w:t>Grade 3</w:t>
            </w:r>
          </w:p>
        </w:tc>
        <w:tc>
          <w:tcPr>
            <w:tcW w:w="4394" w:type="dxa"/>
          </w:tcPr>
          <w:p w14:paraId="5361B90F" w14:textId="248D14A4" w:rsidR="003E3D41" w:rsidRDefault="003E3D41" w:rsidP="000F2435">
            <w:pPr>
              <w:pStyle w:val="ListParagraph"/>
              <w:numPr>
                <w:ilvl w:val="0"/>
                <w:numId w:val="16"/>
              </w:numPr>
              <w:ind w:left="317"/>
            </w:pPr>
            <w:r w:rsidRPr="000F406B">
              <w:t xml:space="preserve">Suspend dose for </w:t>
            </w:r>
            <w:proofErr w:type="spellStart"/>
            <w:r w:rsidRPr="000F406B">
              <w:t>QTcF</w:t>
            </w:r>
            <w:proofErr w:type="spellEnd"/>
            <w:r w:rsidRPr="000F406B">
              <w:t xml:space="preserve"> intervals &gt;500 </w:t>
            </w:r>
            <w:proofErr w:type="spellStart"/>
            <w:r w:rsidRPr="000F406B">
              <w:t>ms</w:t>
            </w:r>
            <w:proofErr w:type="spellEnd"/>
            <w:r w:rsidRPr="000F406B">
              <w:t xml:space="preserve"> until the</w:t>
            </w:r>
            <w:r>
              <w:t xml:space="preserve"> </w:t>
            </w:r>
            <w:proofErr w:type="spellStart"/>
            <w:r w:rsidRPr="000F406B">
              <w:t>QTcF</w:t>
            </w:r>
            <w:proofErr w:type="spellEnd"/>
            <w:r w:rsidRPr="000F406B">
              <w:t xml:space="preserve"> returns to &lt;470 </w:t>
            </w:r>
            <w:proofErr w:type="spellStart"/>
            <w:r w:rsidRPr="000F406B">
              <w:t>ms</w:t>
            </w:r>
            <w:proofErr w:type="spellEnd"/>
            <w:r w:rsidRPr="000F406B">
              <w:t xml:space="preserve"> or baseline (see section </w:t>
            </w:r>
            <w:r>
              <w:fldChar w:fldCharType="begin"/>
            </w:r>
            <w:r>
              <w:instrText xml:space="preserve"> REF _Ref99026326 \n \h </w:instrText>
            </w:r>
            <w:r>
              <w:fldChar w:fldCharType="separate"/>
            </w:r>
            <w:r>
              <w:t>4.4</w:t>
            </w:r>
            <w:r>
              <w:fldChar w:fldCharType="end"/>
            </w:r>
            <w:r>
              <w:t xml:space="preserve"> </w:t>
            </w:r>
            <w:r>
              <w:fldChar w:fldCharType="begin"/>
            </w:r>
            <w:r>
              <w:instrText xml:space="preserve"> REF _Ref99026326 \h </w:instrText>
            </w:r>
            <w:r>
              <w:fldChar w:fldCharType="separate"/>
            </w:r>
            <w:r>
              <w:t>Special warnings and precautions for use</w:t>
            </w:r>
            <w:r>
              <w:fldChar w:fldCharType="end"/>
            </w:r>
            <w:r w:rsidRPr="000F406B">
              <w:t>).</w:t>
            </w:r>
          </w:p>
          <w:p w14:paraId="2EECC79D" w14:textId="0CEBF6A4" w:rsidR="000726D5" w:rsidRPr="000726D5" w:rsidRDefault="000F406B" w:rsidP="000F2435">
            <w:pPr>
              <w:pStyle w:val="ListParagraph"/>
              <w:numPr>
                <w:ilvl w:val="0"/>
                <w:numId w:val="16"/>
              </w:numPr>
              <w:ind w:left="317"/>
            </w:pPr>
            <w:r w:rsidRPr="000F406B">
              <w:t xml:space="preserve">Resume </w:t>
            </w:r>
            <w:proofErr w:type="spellStart"/>
            <w:r w:rsidRPr="000F406B">
              <w:t>selpercatinib</w:t>
            </w:r>
            <w:proofErr w:type="spellEnd"/>
            <w:r w:rsidRPr="000F406B">
              <w:t xml:space="preserve"> treatment at the next lower</w:t>
            </w:r>
            <w:r>
              <w:t xml:space="preserve"> </w:t>
            </w:r>
            <w:r w:rsidRPr="000F406B">
              <w:t>dose level.</w:t>
            </w:r>
          </w:p>
        </w:tc>
      </w:tr>
      <w:tr w:rsidR="000726D5" w14:paraId="41D17AEB" w14:textId="77777777" w:rsidTr="00A25F26">
        <w:tc>
          <w:tcPr>
            <w:tcW w:w="2689" w:type="dxa"/>
            <w:vMerge/>
          </w:tcPr>
          <w:p w14:paraId="79709079" w14:textId="56816665" w:rsidR="000726D5" w:rsidRPr="000726D5" w:rsidRDefault="000726D5" w:rsidP="00D10D9A"/>
        </w:tc>
        <w:tc>
          <w:tcPr>
            <w:tcW w:w="2268" w:type="dxa"/>
          </w:tcPr>
          <w:p w14:paraId="6E636100" w14:textId="38A97A96" w:rsidR="000726D5" w:rsidRPr="000726D5" w:rsidRDefault="00542092" w:rsidP="00D10D9A">
            <w:r>
              <w:t>Grade 4</w:t>
            </w:r>
          </w:p>
        </w:tc>
        <w:tc>
          <w:tcPr>
            <w:tcW w:w="4394" w:type="dxa"/>
          </w:tcPr>
          <w:p w14:paraId="758D1E54" w14:textId="533CEBAC" w:rsidR="000726D5" w:rsidRPr="000726D5" w:rsidRDefault="000F406B" w:rsidP="000F2435">
            <w:pPr>
              <w:pStyle w:val="ListParagraph"/>
              <w:numPr>
                <w:ilvl w:val="0"/>
                <w:numId w:val="17"/>
              </w:numPr>
              <w:ind w:left="317"/>
            </w:pPr>
            <w:r w:rsidRPr="000F406B">
              <w:t xml:space="preserve">Permanently discontinue </w:t>
            </w:r>
            <w:proofErr w:type="spellStart"/>
            <w:r w:rsidRPr="000F406B">
              <w:t>selpercatinib</w:t>
            </w:r>
            <w:proofErr w:type="spellEnd"/>
            <w:r w:rsidRPr="000F406B">
              <w:t xml:space="preserve"> if QT</w:t>
            </w:r>
            <w:r w:rsidR="000F1828">
              <w:t xml:space="preserve"> </w:t>
            </w:r>
            <w:r w:rsidRPr="000F406B">
              <w:t>prolongation remains uncontrolled after two dose</w:t>
            </w:r>
            <w:r w:rsidR="000F1828">
              <w:t xml:space="preserve"> </w:t>
            </w:r>
            <w:r w:rsidRPr="000F406B">
              <w:t>reductions or if the patient has signs or symptoms of</w:t>
            </w:r>
            <w:r w:rsidR="000F1828">
              <w:t xml:space="preserve"> </w:t>
            </w:r>
            <w:r w:rsidRPr="000F406B">
              <w:t>serious arrhythmia.</w:t>
            </w:r>
          </w:p>
        </w:tc>
      </w:tr>
      <w:tr w:rsidR="000F1828" w14:paraId="2ED0839D" w14:textId="77777777" w:rsidTr="00A25F26">
        <w:tc>
          <w:tcPr>
            <w:tcW w:w="2689" w:type="dxa"/>
            <w:vMerge w:val="restart"/>
          </w:tcPr>
          <w:p w14:paraId="4C28DC97" w14:textId="60506B62" w:rsidR="000F1828" w:rsidRPr="000726D5" w:rsidRDefault="000F1828" w:rsidP="00D10D9A">
            <w:r w:rsidRPr="000F1828">
              <w:t>Hypertension</w:t>
            </w:r>
          </w:p>
        </w:tc>
        <w:tc>
          <w:tcPr>
            <w:tcW w:w="2268" w:type="dxa"/>
          </w:tcPr>
          <w:p w14:paraId="56A37D52" w14:textId="771DD4DE" w:rsidR="000F1828" w:rsidRDefault="000F1828" w:rsidP="00D10D9A">
            <w:r w:rsidRPr="000F1828">
              <w:t>Grade 3</w:t>
            </w:r>
          </w:p>
        </w:tc>
        <w:tc>
          <w:tcPr>
            <w:tcW w:w="4394" w:type="dxa"/>
          </w:tcPr>
          <w:p w14:paraId="55475EC1" w14:textId="00314CC0" w:rsidR="000F1828" w:rsidRPr="000F1828" w:rsidRDefault="000F1828" w:rsidP="000F2435">
            <w:pPr>
              <w:pStyle w:val="ListParagraph"/>
              <w:numPr>
                <w:ilvl w:val="0"/>
                <w:numId w:val="17"/>
              </w:numPr>
              <w:ind w:left="317"/>
            </w:pPr>
            <w:r w:rsidRPr="000F1828">
              <w:t>Patient blood pressure should be controlled before</w:t>
            </w:r>
            <w:r>
              <w:t xml:space="preserve"> </w:t>
            </w:r>
            <w:r w:rsidRPr="000F1828">
              <w:t>starting treatment.</w:t>
            </w:r>
          </w:p>
          <w:p w14:paraId="590BA547" w14:textId="7C3137D0" w:rsidR="000F1828" w:rsidRPr="000F406B" w:rsidRDefault="000F1828" w:rsidP="000F2435">
            <w:pPr>
              <w:pStyle w:val="ListParagraph"/>
              <w:numPr>
                <w:ilvl w:val="0"/>
                <w:numId w:val="17"/>
              </w:numPr>
              <w:ind w:left="317"/>
            </w:pPr>
            <w:r w:rsidRPr="000F1828">
              <w:t>Selpercatinib should be suspended temporarily for</w:t>
            </w:r>
            <w:r>
              <w:t xml:space="preserve"> </w:t>
            </w:r>
            <w:r w:rsidRPr="000F1828">
              <w:t>medically significant hypertension until controlled with</w:t>
            </w:r>
            <w:r>
              <w:t xml:space="preserve"> </w:t>
            </w:r>
            <w:r w:rsidRPr="000F1828">
              <w:t xml:space="preserve">antihypertensive therapy. </w:t>
            </w:r>
            <w:r w:rsidR="005933C1" w:rsidRPr="000F1828">
              <w:t xml:space="preserve">Dosing should </w:t>
            </w:r>
            <w:r w:rsidR="005933C1" w:rsidRPr="000F1828">
              <w:lastRenderedPageBreak/>
              <w:t>be resumed at</w:t>
            </w:r>
            <w:r w:rsidR="005933C1">
              <w:t xml:space="preserve"> </w:t>
            </w:r>
            <w:r w:rsidR="005933C1" w:rsidRPr="000F1828">
              <w:t>the next lower dose if clinically indicated (</w:t>
            </w:r>
            <w:r w:rsidR="005933C1" w:rsidRPr="00CC7D37">
              <w:t xml:space="preserve">see sections </w:t>
            </w:r>
            <w:r w:rsidR="005933C1">
              <w:fldChar w:fldCharType="begin"/>
            </w:r>
            <w:r w:rsidR="005933C1">
              <w:instrText xml:space="preserve"> REF _Ref99026326 \n \h </w:instrText>
            </w:r>
            <w:r w:rsidR="005933C1">
              <w:fldChar w:fldCharType="separate"/>
            </w:r>
            <w:r w:rsidR="005933C1">
              <w:t>4.4</w:t>
            </w:r>
            <w:r w:rsidR="005933C1">
              <w:fldChar w:fldCharType="end"/>
            </w:r>
            <w:r w:rsidR="005933C1">
              <w:t xml:space="preserve"> </w:t>
            </w:r>
            <w:r w:rsidR="005933C1">
              <w:fldChar w:fldCharType="begin"/>
            </w:r>
            <w:r w:rsidR="005933C1">
              <w:instrText xml:space="preserve"> REF _Ref99026326 \h </w:instrText>
            </w:r>
            <w:r w:rsidR="005933C1">
              <w:fldChar w:fldCharType="separate"/>
            </w:r>
            <w:r w:rsidR="005933C1">
              <w:t>Special warnings and precautions for use</w:t>
            </w:r>
            <w:r w:rsidR="005933C1">
              <w:fldChar w:fldCharType="end"/>
            </w:r>
            <w:r w:rsidR="005933C1" w:rsidRPr="00E6458D">
              <w:t xml:space="preserve"> and </w:t>
            </w:r>
            <w:r w:rsidR="005933C1">
              <w:fldChar w:fldCharType="begin"/>
            </w:r>
            <w:r w:rsidR="005933C1">
              <w:instrText xml:space="preserve"> REF _Ref99026361 \n \h </w:instrText>
            </w:r>
            <w:r w:rsidR="005933C1">
              <w:fldChar w:fldCharType="separate"/>
            </w:r>
            <w:r w:rsidR="005933C1">
              <w:t>4.8</w:t>
            </w:r>
            <w:r w:rsidR="005933C1">
              <w:fldChar w:fldCharType="end"/>
            </w:r>
            <w:r w:rsidR="005933C1">
              <w:t xml:space="preserve"> </w:t>
            </w:r>
            <w:r w:rsidR="005933C1">
              <w:fldChar w:fldCharType="begin"/>
            </w:r>
            <w:r w:rsidR="005933C1">
              <w:instrText xml:space="preserve"> REF _Ref99026361 \h </w:instrText>
            </w:r>
            <w:r w:rsidR="005933C1">
              <w:fldChar w:fldCharType="separate"/>
            </w:r>
            <w:r w:rsidR="005933C1">
              <w:t>Adverse effects (Undesirable effects)</w:t>
            </w:r>
            <w:r w:rsidR="005933C1">
              <w:fldChar w:fldCharType="end"/>
            </w:r>
            <w:r w:rsidR="005933C1" w:rsidRPr="000F1828">
              <w:t>).</w:t>
            </w:r>
          </w:p>
        </w:tc>
      </w:tr>
      <w:tr w:rsidR="000F1828" w14:paraId="4D98CB0E" w14:textId="77777777" w:rsidTr="00A25F26">
        <w:tc>
          <w:tcPr>
            <w:tcW w:w="2689" w:type="dxa"/>
            <w:vMerge/>
          </w:tcPr>
          <w:p w14:paraId="4A2D5E46" w14:textId="77777777" w:rsidR="000F1828" w:rsidRPr="000726D5" w:rsidRDefault="000F1828" w:rsidP="00D10D9A"/>
        </w:tc>
        <w:tc>
          <w:tcPr>
            <w:tcW w:w="2268" w:type="dxa"/>
          </w:tcPr>
          <w:p w14:paraId="498686DC" w14:textId="6C8DF2D4" w:rsidR="000F1828" w:rsidRDefault="000F1828" w:rsidP="00D10D9A">
            <w:r w:rsidRPr="000F1828">
              <w:t>Grade 4</w:t>
            </w:r>
          </w:p>
        </w:tc>
        <w:tc>
          <w:tcPr>
            <w:tcW w:w="4394" w:type="dxa"/>
          </w:tcPr>
          <w:p w14:paraId="48F0812F" w14:textId="246CBAA3" w:rsidR="000F1828" w:rsidRPr="000F406B" w:rsidRDefault="008E6563" w:rsidP="000F2435">
            <w:pPr>
              <w:pStyle w:val="ListParagraph"/>
              <w:numPr>
                <w:ilvl w:val="0"/>
                <w:numId w:val="18"/>
              </w:numPr>
              <w:ind w:left="317"/>
            </w:pPr>
            <w:r w:rsidRPr="008E6563">
              <w:t>Selpercatinib should be discontinued permanently if</w:t>
            </w:r>
            <w:r w:rsidR="00522737">
              <w:t xml:space="preserve"> </w:t>
            </w:r>
            <w:r w:rsidRPr="008E6563">
              <w:t>medically significant hypertension cannot be</w:t>
            </w:r>
            <w:r w:rsidR="00522737">
              <w:t xml:space="preserve"> </w:t>
            </w:r>
            <w:r w:rsidRPr="008E6563">
              <w:t>controlled.</w:t>
            </w:r>
          </w:p>
        </w:tc>
      </w:tr>
      <w:tr w:rsidR="000F1828" w:rsidRPr="009046F1" w14:paraId="16688B97" w14:textId="77777777" w:rsidTr="00416167">
        <w:tc>
          <w:tcPr>
            <w:tcW w:w="2689" w:type="dxa"/>
          </w:tcPr>
          <w:p w14:paraId="3AF947A0" w14:textId="4C813F79" w:rsidR="000F1828" w:rsidRPr="000726D5" w:rsidRDefault="008E6563" w:rsidP="00D10D9A">
            <w:proofErr w:type="spellStart"/>
            <w:r w:rsidRPr="008E6563">
              <w:t>Haemorrhagic</w:t>
            </w:r>
            <w:proofErr w:type="spellEnd"/>
            <w:r>
              <w:t xml:space="preserve"> </w:t>
            </w:r>
            <w:r w:rsidRPr="008E6563">
              <w:t>events</w:t>
            </w:r>
          </w:p>
        </w:tc>
        <w:tc>
          <w:tcPr>
            <w:tcW w:w="2268" w:type="dxa"/>
          </w:tcPr>
          <w:p w14:paraId="083D9F1E" w14:textId="5A5EDE6C" w:rsidR="000F1828" w:rsidRDefault="008E6563" w:rsidP="00D10D9A">
            <w:r w:rsidRPr="008E6563">
              <w:t>Grade 3 or Grade 4</w:t>
            </w:r>
          </w:p>
        </w:tc>
        <w:tc>
          <w:tcPr>
            <w:tcW w:w="4394" w:type="dxa"/>
          </w:tcPr>
          <w:p w14:paraId="706D814F" w14:textId="77777777" w:rsidR="000F2435" w:rsidRDefault="008E6563" w:rsidP="000F2435">
            <w:pPr>
              <w:pStyle w:val="ListParagraph"/>
              <w:numPr>
                <w:ilvl w:val="0"/>
                <w:numId w:val="18"/>
              </w:numPr>
              <w:ind w:left="317"/>
            </w:pPr>
            <w:r w:rsidRPr="008E6563">
              <w:t>Selpercatinib should be suspended until recovery to</w:t>
            </w:r>
            <w:r>
              <w:t xml:space="preserve"> </w:t>
            </w:r>
            <w:r w:rsidRPr="008E6563">
              <w:t>baseline.</w:t>
            </w:r>
          </w:p>
          <w:p w14:paraId="3F0DFB25" w14:textId="6C757099" w:rsidR="000F1828" w:rsidRPr="000F406B" w:rsidRDefault="008E6563" w:rsidP="000F2435">
            <w:pPr>
              <w:pStyle w:val="ListParagraph"/>
              <w:numPr>
                <w:ilvl w:val="0"/>
                <w:numId w:val="18"/>
              </w:numPr>
              <w:ind w:left="317"/>
            </w:pPr>
            <w:r w:rsidRPr="008E6563">
              <w:t xml:space="preserve">Discontinue </w:t>
            </w:r>
            <w:proofErr w:type="spellStart"/>
            <w:r w:rsidRPr="008E6563">
              <w:t>selpercatinib</w:t>
            </w:r>
            <w:proofErr w:type="spellEnd"/>
            <w:r w:rsidRPr="008E6563">
              <w:t xml:space="preserve"> for severe or life-threatening </w:t>
            </w:r>
            <w:proofErr w:type="spellStart"/>
            <w:r w:rsidRPr="008E6563">
              <w:t>haemorrhagic</w:t>
            </w:r>
            <w:proofErr w:type="spellEnd"/>
            <w:r w:rsidRPr="008E6563">
              <w:t xml:space="preserve"> events.</w:t>
            </w:r>
          </w:p>
        </w:tc>
      </w:tr>
      <w:tr w:rsidR="0009071C" w14:paraId="2F85ED3A" w14:textId="77777777" w:rsidTr="00416167">
        <w:tc>
          <w:tcPr>
            <w:tcW w:w="2689" w:type="dxa"/>
            <w:vMerge w:val="restart"/>
          </w:tcPr>
          <w:p w14:paraId="0051D629" w14:textId="264940E9" w:rsidR="0009071C" w:rsidRPr="008E6563" w:rsidRDefault="0009071C" w:rsidP="00D10D9A">
            <w:r>
              <w:t>Interstitial lung disease/Pneumonitis</w:t>
            </w:r>
          </w:p>
        </w:tc>
        <w:tc>
          <w:tcPr>
            <w:tcW w:w="2268" w:type="dxa"/>
          </w:tcPr>
          <w:p w14:paraId="5E918C08" w14:textId="1D281397" w:rsidR="0009071C" w:rsidRPr="008E6563" w:rsidRDefault="0009071C" w:rsidP="00D10D9A">
            <w:r>
              <w:t>Grade 2 that is persistent or recurs</w:t>
            </w:r>
          </w:p>
        </w:tc>
        <w:tc>
          <w:tcPr>
            <w:tcW w:w="4394" w:type="dxa"/>
          </w:tcPr>
          <w:p w14:paraId="10B5F508" w14:textId="2BC681CB" w:rsidR="0009071C" w:rsidRPr="008E6563" w:rsidRDefault="0009071C" w:rsidP="000F2435">
            <w:pPr>
              <w:pStyle w:val="ListParagraph"/>
              <w:numPr>
                <w:ilvl w:val="0"/>
                <w:numId w:val="18"/>
              </w:numPr>
              <w:ind w:left="317"/>
            </w:pPr>
            <w:r w:rsidRPr="00832C25">
              <w:t xml:space="preserve">If persistent or recurs despite maximal supportive measures and does not return to baseline or Grade 1 within 7 days, suspend </w:t>
            </w:r>
            <w:proofErr w:type="spellStart"/>
            <w:r w:rsidRPr="00832C25">
              <w:t>selpercatinib</w:t>
            </w:r>
            <w:proofErr w:type="spellEnd"/>
            <w:r w:rsidRPr="00832C25">
              <w:t xml:space="preserve"> until toxicity resolves to baseline or Grade 1. Dosing should be resumed at the next lower dose.</w:t>
            </w:r>
          </w:p>
        </w:tc>
      </w:tr>
      <w:tr w:rsidR="0009071C" w14:paraId="17834786" w14:textId="77777777" w:rsidTr="00416167">
        <w:tc>
          <w:tcPr>
            <w:tcW w:w="2689" w:type="dxa"/>
            <w:vMerge/>
          </w:tcPr>
          <w:p w14:paraId="47F2B959" w14:textId="77777777" w:rsidR="0009071C" w:rsidRDefault="0009071C" w:rsidP="00D10D9A"/>
        </w:tc>
        <w:tc>
          <w:tcPr>
            <w:tcW w:w="2268" w:type="dxa"/>
          </w:tcPr>
          <w:p w14:paraId="45BD6E03" w14:textId="61DB9FB6" w:rsidR="0009071C" w:rsidRDefault="0009071C" w:rsidP="00D10D9A">
            <w:r>
              <w:t>Grade 3 or Grade 4</w:t>
            </w:r>
          </w:p>
        </w:tc>
        <w:tc>
          <w:tcPr>
            <w:tcW w:w="4394" w:type="dxa"/>
          </w:tcPr>
          <w:p w14:paraId="0F324B66" w14:textId="120CCDB8" w:rsidR="0009071C" w:rsidRPr="00832C25" w:rsidRDefault="0009071C" w:rsidP="000F2435">
            <w:pPr>
              <w:pStyle w:val="ListParagraph"/>
              <w:numPr>
                <w:ilvl w:val="0"/>
                <w:numId w:val="18"/>
              </w:numPr>
              <w:ind w:left="317"/>
            </w:pPr>
            <w:r>
              <w:t xml:space="preserve">Discontinue </w:t>
            </w:r>
            <w:proofErr w:type="spellStart"/>
            <w:r>
              <w:t>selpercatinib</w:t>
            </w:r>
            <w:proofErr w:type="spellEnd"/>
            <w:r w:rsidR="00322895">
              <w:t>.</w:t>
            </w:r>
          </w:p>
        </w:tc>
      </w:tr>
      <w:tr w:rsidR="00D21CEB" w14:paraId="0F1E5E77" w14:textId="77777777" w:rsidTr="00416167">
        <w:tc>
          <w:tcPr>
            <w:tcW w:w="2689" w:type="dxa"/>
          </w:tcPr>
          <w:p w14:paraId="21BF0247" w14:textId="1129D7A1" w:rsidR="00D21CEB" w:rsidRPr="00522737" w:rsidRDefault="00E569ED" w:rsidP="00D10D9A">
            <w:r>
              <w:t>Hypothyroidism</w:t>
            </w:r>
          </w:p>
        </w:tc>
        <w:tc>
          <w:tcPr>
            <w:tcW w:w="2268" w:type="dxa"/>
          </w:tcPr>
          <w:p w14:paraId="37C71E02" w14:textId="3F3D3D95" w:rsidR="00D21CEB" w:rsidRPr="00522737" w:rsidRDefault="006F0139" w:rsidP="00D10D9A">
            <w:r>
              <w:t>Grade 3 or Grade 4</w:t>
            </w:r>
          </w:p>
        </w:tc>
        <w:tc>
          <w:tcPr>
            <w:tcW w:w="4394" w:type="dxa"/>
          </w:tcPr>
          <w:p w14:paraId="026103A8" w14:textId="70AC1FA2" w:rsidR="00D21CEB" w:rsidRDefault="00EF0B46" w:rsidP="000F2435">
            <w:pPr>
              <w:pStyle w:val="ListParagraph"/>
              <w:numPr>
                <w:ilvl w:val="0"/>
                <w:numId w:val="19"/>
              </w:numPr>
              <w:ind w:left="317"/>
            </w:pPr>
            <w:r>
              <w:t>Selpercatinib should be suspended</w:t>
            </w:r>
            <w:r w:rsidR="00B42747">
              <w:t xml:space="preserve"> until </w:t>
            </w:r>
            <w:r w:rsidR="00D2241F">
              <w:t xml:space="preserve">resolution to </w:t>
            </w:r>
            <w:r w:rsidR="00B42747">
              <w:t>Grade 1</w:t>
            </w:r>
            <w:r w:rsidR="00D2241F">
              <w:t xml:space="preserve"> or baseline</w:t>
            </w:r>
            <w:r w:rsidR="006F0139">
              <w:t>.</w:t>
            </w:r>
          </w:p>
          <w:p w14:paraId="6CD6FFC0" w14:textId="175F5528" w:rsidR="006F0139" w:rsidRPr="00522737" w:rsidRDefault="0006772C" w:rsidP="000F2435">
            <w:pPr>
              <w:pStyle w:val="ListParagraph"/>
              <w:numPr>
                <w:ilvl w:val="0"/>
                <w:numId w:val="19"/>
              </w:numPr>
              <w:ind w:left="317"/>
            </w:pPr>
            <w:r>
              <w:t xml:space="preserve">Discontinue </w:t>
            </w:r>
            <w:proofErr w:type="spellStart"/>
            <w:r>
              <w:t>selpercatinib</w:t>
            </w:r>
            <w:proofErr w:type="spellEnd"/>
            <w:r>
              <w:t xml:space="preserve"> based on severity.</w:t>
            </w:r>
          </w:p>
        </w:tc>
      </w:tr>
      <w:tr w:rsidR="00522737" w14:paraId="04CAD886" w14:textId="77777777" w:rsidTr="00416167">
        <w:tc>
          <w:tcPr>
            <w:tcW w:w="2689" w:type="dxa"/>
          </w:tcPr>
          <w:p w14:paraId="3D887A60" w14:textId="6164980E" w:rsidR="00522737" w:rsidRPr="008E6563" w:rsidRDefault="00522737" w:rsidP="00D10D9A">
            <w:r w:rsidRPr="00522737">
              <w:t>Other adverse</w:t>
            </w:r>
            <w:r>
              <w:t xml:space="preserve"> </w:t>
            </w:r>
            <w:r w:rsidRPr="00522737">
              <w:t>reactions</w:t>
            </w:r>
          </w:p>
        </w:tc>
        <w:tc>
          <w:tcPr>
            <w:tcW w:w="2268" w:type="dxa"/>
          </w:tcPr>
          <w:p w14:paraId="37CB7EFB" w14:textId="14973110" w:rsidR="00522737" w:rsidRPr="008E6563" w:rsidRDefault="00522737" w:rsidP="00D10D9A">
            <w:r w:rsidRPr="00522737">
              <w:t>Grade 3 or Grade 4</w:t>
            </w:r>
          </w:p>
        </w:tc>
        <w:tc>
          <w:tcPr>
            <w:tcW w:w="4394" w:type="dxa"/>
          </w:tcPr>
          <w:p w14:paraId="4FD92B13" w14:textId="77777777" w:rsidR="000F2435" w:rsidRDefault="00522737" w:rsidP="000F2435">
            <w:pPr>
              <w:pStyle w:val="ListParagraph"/>
              <w:numPr>
                <w:ilvl w:val="0"/>
                <w:numId w:val="19"/>
              </w:numPr>
              <w:ind w:left="317"/>
            </w:pPr>
            <w:r w:rsidRPr="00522737">
              <w:t>Selpercatinib should be suspended until recovery to</w:t>
            </w:r>
            <w:r>
              <w:t xml:space="preserve"> </w:t>
            </w:r>
            <w:r w:rsidRPr="00522737">
              <w:t>baseline.</w:t>
            </w:r>
          </w:p>
          <w:p w14:paraId="14D32F50" w14:textId="59566209" w:rsidR="00522737" w:rsidRPr="008E6563" w:rsidRDefault="00522737" w:rsidP="000F2435">
            <w:pPr>
              <w:pStyle w:val="ListParagraph"/>
              <w:numPr>
                <w:ilvl w:val="0"/>
                <w:numId w:val="19"/>
              </w:numPr>
              <w:ind w:left="317"/>
            </w:pPr>
            <w:r w:rsidRPr="00522737">
              <w:t xml:space="preserve">Discontinue </w:t>
            </w:r>
            <w:proofErr w:type="spellStart"/>
            <w:r w:rsidRPr="00522737">
              <w:t>selpercatinib</w:t>
            </w:r>
            <w:proofErr w:type="spellEnd"/>
            <w:r w:rsidRPr="00522737">
              <w:t xml:space="preserve"> for severe or life-threatening events</w:t>
            </w:r>
            <w:r>
              <w:t>.</w:t>
            </w:r>
          </w:p>
        </w:tc>
      </w:tr>
    </w:tbl>
    <w:p w14:paraId="1748B79B" w14:textId="4892F34D" w:rsidR="007A144F" w:rsidRDefault="007A144F" w:rsidP="00A5502D"/>
    <w:p w14:paraId="409D5D9B" w14:textId="0380B9FC" w:rsidR="00522737" w:rsidRPr="00416167" w:rsidRDefault="00522737" w:rsidP="00C27655">
      <w:pPr>
        <w:pStyle w:val="Heading3"/>
      </w:pPr>
      <w:r w:rsidRPr="00416167">
        <w:t>Special populations</w:t>
      </w:r>
      <w:fldSimple w:instr=" DOCVARIABLE vault_nd_a8b02f58-e322-445e-bbe6-01d99e1f6017 \* MERGEFORMAT ">
        <w:r w:rsidR="00270901">
          <w:t xml:space="preserve"> </w:t>
        </w:r>
      </w:fldSimple>
    </w:p>
    <w:p w14:paraId="701CE829" w14:textId="773FC549" w:rsidR="00522737" w:rsidRPr="00B643B6" w:rsidRDefault="00522737" w:rsidP="00B643B6">
      <w:pPr>
        <w:pStyle w:val="Heading3"/>
        <w:rPr>
          <w:i/>
          <w:iCs/>
        </w:rPr>
      </w:pPr>
      <w:r w:rsidRPr="00B643B6">
        <w:rPr>
          <w:i/>
          <w:iCs/>
        </w:rPr>
        <w:t>Elderly</w:t>
      </w:r>
      <w:r w:rsidR="00270901">
        <w:rPr>
          <w:i/>
          <w:iCs/>
        </w:rPr>
        <w:fldChar w:fldCharType="begin"/>
      </w:r>
      <w:r w:rsidR="00270901">
        <w:rPr>
          <w:i/>
          <w:iCs/>
        </w:rPr>
        <w:instrText xml:space="preserve"> DOCVARIABLE vault_nd_3a5b00b5-3f4d-43c5-b213-8b785a33a741 \* MERGEFORMAT </w:instrText>
      </w:r>
      <w:r w:rsidR="00270901">
        <w:rPr>
          <w:i/>
          <w:iCs/>
        </w:rPr>
        <w:fldChar w:fldCharType="separate"/>
      </w:r>
      <w:r w:rsidR="00270901">
        <w:rPr>
          <w:i/>
          <w:iCs/>
        </w:rPr>
        <w:t xml:space="preserve"> </w:t>
      </w:r>
      <w:r w:rsidR="00270901">
        <w:rPr>
          <w:i/>
          <w:iCs/>
        </w:rPr>
        <w:fldChar w:fldCharType="end"/>
      </w:r>
    </w:p>
    <w:p w14:paraId="20035978" w14:textId="2F0A8B77" w:rsidR="00522737" w:rsidRPr="00522737" w:rsidRDefault="00522737" w:rsidP="009F027E">
      <w:r w:rsidRPr="00522737">
        <w:t>No dose adjustment is required based on age (</w:t>
      </w:r>
      <w:r w:rsidRPr="00CC7D37">
        <w:t xml:space="preserve">see section </w:t>
      </w:r>
      <w:r w:rsidR="00647A55">
        <w:fldChar w:fldCharType="begin"/>
      </w:r>
      <w:r w:rsidR="00647A55">
        <w:instrText xml:space="preserve"> REF _Ref99028023 \n \h </w:instrText>
      </w:r>
      <w:r w:rsidR="003D2EF7">
        <w:instrText xml:space="preserve"> \* MERGEFORMAT </w:instrText>
      </w:r>
      <w:r w:rsidR="00647A55">
        <w:fldChar w:fldCharType="separate"/>
      </w:r>
      <w:r w:rsidR="00647A55">
        <w:t>5.2</w:t>
      </w:r>
      <w:r w:rsidR="00647A55">
        <w:fldChar w:fldCharType="end"/>
      </w:r>
      <w:r w:rsidR="00647A55">
        <w:t xml:space="preserve"> </w:t>
      </w:r>
      <w:r w:rsidR="00647A55">
        <w:fldChar w:fldCharType="begin"/>
      </w:r>
      <w:r w:rsidR="00647A55">
        <w:instrText xml:space="preserve"> REF _Ref99028023 \h </w:instrText>
      </w:r>
      <w:r w:rsidR="003D2EF7">
        <w:instrText xml:space="preserve"> \* MERGEFORMAT </w:instrText>
      </w:r>
      <w:r w:rsidR="00647A55">
        <w:fldChar w:fldCharType="separate"/>
      </w:r>
      <w:r w:rsidR="00647A55" w:rsidRPr="009F027E">
        <w:t>Pharmacokinetic properties</w:t>
      </w:r>
      <w:r w:rsidR="00647A55">
        <w:fldChar w:fldCharType="end"/>
      </w:r>
      <w:r w:rsidRPr="00522737">
        <w:t>).</w:t>
      </w:r>
    </w:p>
    <w:p w14:paraId="24749EE1" w14:textId="42A9A428" w:rsidR="00990DD9" w:rsidRPr="00AD6416" w:rsidRDefault="00522737" w:rsidP="003D2EF7">
      <w:pPr>
        <w:jc w:val="both"/>
      </w:pPr>
      <w:r w:rsidRPr="00522737">
        <w:t xml:space="preserve">No overall differences were observed in the treatment emergent adverse events or effectiveness of </w:t>
      </w:r>
      <w:proofErr w:type="spellStart"/>
      <w:r w:rsidRPr="00522737">
        <w:t>selpercatinib</w:t>
      </w:r>
      <w:proofErr w:type="spellEnd"/>
      <w:r w:rsidR="006929ED">
        <w:t xml:space="preserve"> </w:t>
      </w:r>
      <w:r w:rsidRPr="00522737">
        <w:t>between patients who were ≥65 years of age and younger patients. Limited data are available in patients ≥75 years.</w:t>
      </w:r>
    </w:p>
    <w:p w14:paraId="06AA2B06" w14:textId="2C7047DB" w:rsidR="00522737" w:rsidRPr="00B643B6" w:rsidRDefault="00522737" w:rsidP="00B643B6">
      <w:pPr>
        <w:pStyle w:val="Heading3"/>
        <w:rPr>
          <w:i/>
          <w:iCs/>
        </w:rPr>
      </w:pPr>
      <w:r w:rsidRPr="00B643B6">
        <w:rPr>
          <w:i/>
          <w:iCs/>
        </w:rPr>
        <w:t>Renal impairment</w:t>
      </w:r>
      <w:r w:rsidR="00270901">
        <w:rPr>
          <w:i/>
          <w:iCs/>
        </w:rPr>
        <w:fldChar w:fldCharType="begin"/>
      </w:r>
      <w:r w:rsidR="00270901">
        <w:rPr>
          <w:i/>
          <w:iCs/>
        </w:rPr>
        <w:instrText xml:space="preserve"> DOCVARIABLE vault_nd_23ebd976-6b1b-4c43-84b6-3ea995e9ee09 \* MERGEFORMAT </w:instrText>
      </w:r>
      <w:r w:rsidR="00270901">
        <w:rPr>
          <w:i/>
          <w:iCs/>
        </w:rPr>
        <w:fldChar w:fldCharType="separate"/>
      </w:r>
      <w:r w:rsidR="00270901">
        <w:rPr>
          <w:i/>
          <w:iCs/>
        </w:rPr>
        <w:t xml:space="preserve"> </w:t>
      </w:r>
      <w:r w:rsidR="00270901">
        <w:rPr>
          <w:i/>
          <w:iCs/>
        </w:rPr>
        <w:fldChar w:fldCharType="end"/>
      </w:r>
    </w:p>
    <w:p w14:paraId="215129F3" w14:textId="1D62C4C5" w:rsidR="00B369CC" w:rsidRPr="00990DD9" w:rsidRDefault="00522737" w:rsidP="003D2EF7">
      <w:pPr>
        <w:jc w:val="both"/>
      </w:pPr>
      <w:r w:rsidRPr="00522737">
        <w:t xml:space="preserve">Dose adjustment is not necessary in patients with mild, </w:t>
      </w:r>
      <w:proofErr w:type="gramStart"/>
      <w:r w:rsidRPr="00522737">
        <w:t>moderate</w:t>
      </w:r>
      <w:proofErr w:type="gramEnd"/>
      <w:r w:rsidRPr="00522737">
        <w:t xml:space="preserve"> or severe renal impairment. There are no data in</w:t>
      </w:r>
      <w:r w:rsidR="00222CBB">
        <w:t xml:space="preserve"> </w:t>
      </w:r>
      <w:r w:rsidRPr="00522737">
        <w:t>patients with end stage renal disease, or in patients on dialysis (</w:t>
      </w:r>
      <w:r w:rsidRPr="00CC7D37">
        <w:t xml:space="preserve">section </w:t>
      </w:r>
      <w:r w:rsidR="00F65ED0">
        <w:fldChar w:fldCharType="begin"/>
      </w:r>
      <w:r w:rsidR="00F65ED0">
        <w:instrText xml:space="preserve"> REF _Ref99028023 \n \h </w:instrText>
      </w:r>
      <w:r w:rsidR="00F65ED0">
        <w:fldChar w:fldCharType="separate"/>
      </w:r>
      <w:r w:rsidR="00F65ED0">
        <w:t>5.2</w:t>
      </w:r>
      <w:r w:rsidR="00F65ED0">
        <w:fldChar w:fldCharType="end"/>
      </w:r>
      <w:r w:rsidR="00F65ED0">
        <w:t xml:space="preserve"> </w:t>
      </w:r>
      <w:r w:rsidR="00F65ED0">
        <w:fldChar w:fldCharType="begin"/>
      </w:r>
      <w:r w:rsidR="00F65ED0">
        <w:instrText xml:space="preserve"> REF _Ref99028023 \h </w:instrText>
      </w:r>
      <w:r w:rsidR="00F65ED0">
        <w:fldChar w:fldCharType="separate"/>
      </w:r>
      <w:r w:rsidR="00F65ED0" w:rsidRPr="00EC3C40">
        <w:rPr>
          <w:lang w:val="en-US"/>
        </w:rPr>
        <w:t>Pharmacokinetic properties</w:t>
      </w:r>
      <w:r w:rsidR="00F65ED0">
        <w:fldChar w:fldCharType="end"/>
      </w:r>
      <w:r w:rsidRPr="00522737">
        <w:t>).</w:t>
      </w:r>
    </w:p>
    <w:p w14:paraId="665554A2" w14:textId="281427AB" w:rsidR="00522737" w:rsidRPr="00B643B6" w:rsidRDefault="00522737" w:rsidP="00B643B6">
      <w:pPr>
        <w:pStyle w:val="Heading3"/>
        <w:rPr>
          <w:i/>
          <w:iCs/>
        </w:rPr>
      </w:pPr>
      <w:r w:rsidRPr="00B643B6">
        <w:rPr>
          <w:i/>
          <w:iCs/>
        </w:rPr>
        <w:lastRenderedPageBreak/>
        <w:t>Hepatic impairment</w:t>
      </w:r>
      <w:r w:rsidR="00270901">
        <w:rPr>
          <w:i/>
          <w:iCs/>
        </w:rPr>
        <w:fldChar w:fldCharType="begin"/>
      </w:r>
      <w:r w:rsidR="00270901">
        <w:rPr>
          <w:i/>
          <w:iCs/>
        </w:rPr>
        <w:instrText xml:space="preserve"> DOCVARIABLE vault_nd_ad75817b-248a-410d-84b9-f2babb352dde \* MERGEFORMAT </w:instrText>
      </w:r>
      <w:r w:rsidR="00270901">
        <w:rPr>
          <w:i/>
          <w:iCs/>
        </w:rPr>
        <w:fldChar w:fldCharType="separate"/>
      </w:r>
      <w:r w:rsidR="00270901">
        <w:rPr>
          <w:i/>
          <w:iCs/>
        </w:rPr>
        <w:t xml:space="preserve"> </w:t>
      </w:r>
      <w:r w:rsidR="00270901">
        <w:rPr>
          <w:i/>
          <w:iCs/>
        </w:rPr>
        <w:fldChar w:fldCharType="end"/>
      </w:r>
    </w:p>
    <w:p w14:paraId="729CAF07" w14:textId="4C311324" w:rsidR="00522737" w:rsidRPr="00522737" w:rsidRDefault="00522737" w:rsidP="003D2EF7">
      <w:pPr>
        <w:jc w:val="both"/>
      </w:pPr>
      <w:r w:rsidRPr="00522737">
        <w:t>Close monitoring of patients with impaired hepatic function is important. No dose adjustment is required for patients with</w:t>
      </w:r>
      <w:r w:rsidR="006929ED">
        <w:t xml:space="preserve"> </w:t>
      </w:r>
      <w:r w:rsidRPr="00522737">
        <w:t>mild (Child-Pugh class A) or moderate (Child-Pugh class B) hepatic impairment. Patients with severe (Child-Pugh class</w:t>
      </w:r>
      <w:r w:rsidR="003F0FAC">
        <w:t xml:space="preserve"> </w:t>
      </w:r>
      <w:r w:rsidRPr="00522737">
        <w:t xml:space="preserve">C) hepatic impairment should be dosed with 80 mg </w:t>
      </w:r>
      <w:proofErr w:type="spellStart"/>
      <w:r w:rsidRPr="00522737">
        <w:t>selpercatinib</w:t>
      </w:r>
      <w:proofErr w:type="spellEnd"/>
      <w:r w:rsidRPr="00522737">
        <w:t xml:space="preserve"> twice daily </w:t>
      </w:r>
      <w:r w:rsidRPr="00B369CC">
        <w:t xml:space="preserve">(section </w:t>
      </w:r>
      <w:r w:rsidR="0081618F">
        <w:fldChar w:fldCharType="begin"/>
      </w:r>
      <w:r w:rsidR="0081618F">
        <w:instrText xml:space="preserve"> REF _Ref99028023 \n \h </w:instrText>
      </w:r>
      <w:r w:rsidR="0081618F">
        <w:fldChar w:fldCharType="separate"/>
      </w:r>
      <w:r w:rsidR="0081618F">
        <w:t>5.2</w:t>
      </w:r>
      <w:r w:rsidR="0081618F">
        <w:fldChar w:fldCharType="end"/>
      </w:r>
      <w:r w:rsidR="0081618F">
        <w:t xml:space="preserve"> </w:t>
      </w:r>
      <w:r w:rsidR="0081618F">
        <w:fldChar w:fldCharType="begin"/>
      </w:r>
      <w:r w:rsidR="0081618F">
        <w:instrText xml:space="preserve"> REF _Ref99028023 \h </w:instrText>
      </w:r>
      <w:r w:rsidR="0081618F">
        <w:fldChar w:fldCharType="separate"/>
      </w:r>
      <w:r w:rsidR="0081618F" w:rsidRPr="00EC3C40">
        <w:rPr>
          <w:lang w:val="en-US"/>
        </w:rPr>
        <w:t>Pharmacokinetic properties</w:t>
      </w:r>
      <w:r w:rsidR="0081618F">
        <w:fldChar w:fldCharType="end"/>
      </w:r>
      <w:r w:rsidRPr="00522737">
        <w:t>).</w:t>
      </w:r>
    </w:p>
    <w:p w14:paraId="7FF39A1F" w14:textId="02965667" w:rsidR="00522737" w:rsidRPr="00B643B6" w:rsidRDefault="00522737" w:rsidP="00B643B6">
      <w:pPr>
        <w:pStyle w:val="Heading3"/>
        <w:rPr>
          <w:i/>
          <w:iCs/>
        </w:rPr>
      </w:pPr>
      <w:proofErr w:type="spellStart"/>
      <w:r w:rsidRPr="00B643B6">
        <w:rPr>
          <w:i/>
          <w:iCs/>
        </w:rPr>
        <w:t>Paediatric</w:t>
      </w:r>
      <w:proofErr w:type="spellEnd"/>
      <w:r w:rsidRPr="00B643B6">
        <w:rPr>
          <w:i/>
          <w:iCs/>
        </w:rPr>
        <w:t xml:space="preserve"> population</w:t>
      </w:r>
      <w:r w:rsidR="00270901">
        <w:rPr>
          <w:i/>
          <w:iCs/>
        </w:rPr>
        <w:fldChar w:fldCharType="begin"/>
      </w:r>
      <w:r w:rsidR="00270901">
        <w:rPr>
          <w:i/>
          <w:iCs/>
        </w:rPr>
        <w:instrText xml:space="preserve"> DOCVARIABLE vault_nd_dd9d4466-2972-4f83-b4ce-0893166695a8 \* MERGEFORMAT </w:instrText>
      </w:r>
      <w:r w:rsidR="00270901">
        <w:rPr>
          <w:i/>
          <w:iCs/>
        </w:rPr>
        <w:fldChar w:fldCharType="separate"/>
      </w:r>
      <w:r w:rsidR="00270901">
        <w:rPr>
          <w:i/>
          <w:iCs/>
        </w:rPr>
        <w:t xml:space="preserve"> </w:t>
      </w:r>
      <w:r w:rsidR="00270901">
        <w:rPr>
          <w:i/>
          <w:iCs/>
        </w:rPr>
        <w:fldChar w:fldCharType="end"/>
      </w:r>
    </w:p>
    <w:p w14:paraId="688D8971" w14:textId="28692027" w:rsidR="006979B6" w:rsidRPr="00FA1F96" w:rsidRDefault="00522737" w:rsidP="00FA1F96">
      <w:pPr>
        <w:jc w:val="both"/>
      </w:pPr>
      <w:r w:rsidRPr="00D3114B">
        <w:t>There is no data in children or adolescents with RET fusion-positive NSCLC</w:t>
      </w:r>
      <w:r w:rsidR="00180D5B" w:rsidRPr="00D3114B">
        <w:t>.</w:t>
      </w:r>
    </w:p>
    <w:p w14:paraId="1B5FD30D" w14:textId="46EC0BCD" w:rsidR="00522737" w:rsidRPr="00B843B6" w:rsidRDefault="00522737" w:rsidP="00522737">
      <w:pPr>
        <w:rPr>
          <w:b/>
        </w:rPr>
      </w:pPr>
      <w:r w:rsidRPr="00B843B6">
        <w:rPr>
          <w:b/>
        </w:rPr>
        <w:t>Method of administration</w:t>
      </w:r>
    </w:p>
    <w:p w14:paraId="46305DAF" w14:textId="0971D171" w:rsidR="00522737" w:rsidRPr="00522737" w:rsidRDefault="00851AD8" w:rsidP="00522737">
      <w:r>
        <w:t>RETEVMO</w:t>
      </w:r>
      <w:r w:rsidR="00522737" w:rsidRPr="00522737">
        <w:t xml:space="preserve"> is for oral </w:t>
      </w:r>
      <w:r w:rsidR="007E09BD">
        <w:t>administration</w:t>
      </w:r>
      <w:r w:rsidR="00522737" w:rsidRPr="00522737">
        <w:t>.</w:t>
      </w:r>
    </w:p>
    <w:p w14:paraId="4886D2BF" w14:textId="6DD92964" w:rsidR="00522737" w:rsidRPr="00522737" w:rsidRDefault="00522737" w:rsidP="003D2EF7">
      <w:pPr>
        <w:jc w:val="both"/>
      </w:pPr>
      <w:r w:rsidRPr="00522737">
        <w:t>The capsules should be swallowed whole (patients should not open, crush, or chew the capsule before swallowing) and</w:t>
      </w:r>
      <w:r w:rsidR="00851AD8">
        <w:t xml:space="preserve"> </w:t>
      </w:r>
      <w:r w:rsidRPr="00522737">
        <w:t>can be taken with or without food.</w:t>
      </w:r>
    </w:p>
    <w:p w14:paraId="774FD0DC" w14:textId="362243EB" w:rsidR="00522737" w:rsidRDefault="00522737" w:rsidP="003D2EF7">
      <w:pPr>
        <w:jc w:val="both"/>
      </w:pPr>
      <w:r w:rsidRPr="00522737">
        <w:t>Patients should take the doses at approximately the same time every day.</w:t>
      </w:r>
    </w:p>
    <w:p w14:paraId="5B945D32" w14:textId="07F92423" w:rsidR="0089676B" w:rsidRPr="00522737" w:rsidRDefault="0089676B" w:rsidP="003D2EF7">
      <w:pPr>
        <w:jc w:val="both"/>
      </w:pPr>
      <w:r>
        <w:t xml:space="preserve">RETEVMO </w:t>
      </w:r>
      <w:r w:rsidR="00875A22">
        <w:t xml:space="preserve">concomitant use with strong CYP inducers should be avoided (see section </w:t>
      </w:r>
      <w:r w:rsidR="003128BE">
        <w:fldChar w:fldCharType="begin"/>
      </w:r>
      <w:r w:rsidR="003128BE">
        <w:instrText xml:space="preserve"> REF _Ref99016658 \r \h </w:instrText>
      </w:r>
      <w:r w:rsidR="003D2EF7">
        <w:instrText xml:space="preserve"> \* MERGEFORMAT </w:instrText>
      </w:r>
      <w:r w:rsidR="003128BE">
        <w:fldChar w:fldCharType="separate"/>
      </w:r>
      <w:r w:rsidR="003128BE">
        <w:t>4.5</w:t>
      </w:r>
      <w:r w:rsidR="003128BE">
        <w:fldChar w:fldCharType="end"/>
      </w:r>
      <w:r w:rsidR="003128BE">
        <w:t xml:space="preserve"> </w:t>
      </w:r>
      <w:r w:rsidR="003128BE">
        <w:fldChar w:fldCharType="begin"/>
      </w:r>
      <w:r w:rsidR="003128BE">
        <w:instrText xml:space="preserve"> REF _Ref99016658 \h </w:instrText>
      </w:r>
      <w:r w:rsidR="003D2EF7">
        <w:instrText xml:space="preserve"> \* MERGEFORMAT </w:instrText>
      </w:r>
      <w:r w:rsidR="003128BE">
        <w:fldChar w:fldCharType="separate"/>
      </w:r>
      <w:r w:rsidR="003128BE">
        <w:t>Interactions with other medicines and other forms of interactions</w:t>
      </w:r>
      <w:r w:rsidR="003128BE">
        <w:fldChar w:fldCharType="end"/>
      </w:r>
      <w:r w:rsidR="003128BE">
        <w:t>).</w:t>
      </w:r>
    </w:p>
    <w:p w14:paraId="4C0C8234" w14:textId="2723E995" w:rsidR="00522737" w:rsidRPr="00522737" w:rsidRDefault="00671005" w:rsidP="003D2EF7">
      <w:pPr>
        <w:jc w:val="both"/>
      </w:pPr>
      <w:r>
        <w:t>RETEVMO</w:t>
      </w:r>
      <w:r w:rsidR="00522737" w:rsidRPr="00522737">
        <w:t xml:space="preserve"> must be accompanied by a meal if used concomitantly with a proton pump inhibitor (</w:t>
      </w:r>
      <w:r w:rsidR="00522737" w:rsidRPr="009B1824">
        <w:t xml:space="preserve">see section </w:t>
      </w:r>
      <w:r w:rsidR="00EA5411">
        <w:fldChar w:fldCharType="begin"/>
      </w:r>
      <w:r w:rsidR="00EA5411">
        <w:instrText xml:space="preserve"> REF _Ref99016658 \n \h </w:instrText>
      </w:r>
      <w:r w:rsidR="003D2EF7">
        <w:instrText xml:space="preserve"> \* MERGEFORMAT </w:instrText>
      </w:r>
      <w:r w:rsidR="00EA5411">
        <w:fldChar w:fldCharType="separate"/>
      </w:r>
      <w:r w:rsidR="00EA5411">
        <w:t>4.5</w:t>
      </w:r>
      <w:r w:rsidR="00EA5411">
        <w:fldChar w:fldCharType="end"/>
      </w:r>
      <w:r w:rsidR="00EA5411">
        <w:t xml:space="preserve"> </w:t>
      </w:r>
      <w:r w:rsidR="00EA5411">
        <w:fldChar w:fldCharType="begin"/>
      </w:r>
      <w:r w:rsidR="00EA5411">
        <w:instrText xml:space="preserve"> REF _Ref99016658 \h </w:instrText>
      </w:r>
      <w:r w:rsidR="003D2EF7">
        <w:instrText xml:space="preserve"> \* MERGEFORMAT </w:instrText>
      </w:r>
      <w:r w:rsidR="00EA5411">
        <w:fldChar w:fldCharType="separate"/>
      </w:r>
      <w:r w:rsidR="00EA5411">
        <w:t>Interactions with other medicines and other forms of interactions</w:t>
      </w:r>
      <w:r w:rsidR="00EA5411">
        <w:fldChar w:fldCharType="end"/>
      </w:r>
      <w:r w:rsidR="00522737" w:rsidRPr="00522737">
        <w:t>).</w:t>
      </w:r>
    </w:p>
    <w:p w14:paraId="488C9F92" w14:textId="3F4C85E9" w:rsidR="00522737" w:rsidRDefault="00671005" w:rsidP="003D2EF7">
      <w:pPr>
        <w:jc w:val="both"/>
      </w:pPr>
      <w:r>
        <w:t>RETEVMO</w:t>
      </w:r>
      <w:r w:rsidR="00522737" w:rsidRPr="00522737">
        <w:t xml:space="preserve"> should be administered 2 hours before or 10 hours after </w:t>
      </w:r>
      <w:r w:rsidR="004D024B">
        <w:t xml:space="preserve">concomitant </w:t>
      </w:r>
      <w:r w:rsidR="00522737" w:rsidRPr="00522737">
        <w:t>H</w:t>
      </w:r>
      <w:r w:rsidR="00522737" w:rsidRPr="00CF74EB">
        <w:rPr>
          <w:vertAlign w:val="subscript"/>
        </w:rPr>
        <w:t>2</w:t>
      </w:r>
      <w:r>
        <w:t xml:space="preserve"> </w:t>
      </w:r>
      <w:r w:rsidR="00522737" w:rsidRPr="00522737">
        <w:t>receptor antagonists (</w:t>
      </w:r>
      <w:r w:rsidR="00522737" w:rsidRPr="009B1824">
        <w:t xml:space="preserve">see section </w:t>
      </w:r>
      <w:r w:rsidR="00EA5411">
        <w:fldChar w:fldCharType="begin"/>
      </w:r>
      <w:r w:rsidR="00EA5411">
        <w:instrText xml:space="preserve"> REF _Ref99016658 \n \h </w:instrText>
      </w:r>
      <w:r w:rsidR="003D2EF7">
        <w:instrText xml:space="preserve"> \* MERGEFORMAT </w:instrText>
      </w:r>
      <w:r w:rsidR="00EA5411">
        <w:fldChar w:fldCharType="separate"/>
      </w:r>
      <w:r w:rsidR="00EA5411">
        <w:t>4.5</w:t>
      </w:r>
      <w:r w:rsidR="00EA5411">
        <w:fldChar w:fldCharType="end"/>
      </w:r>
      <w:r w:rsidR="00EA5411">
        <w:t xml:space="preserve"> </w:t>
      </w:r>
      <w:r w:rsidR="00EA5411">
        <w:fldChar w:fldCharType="begin"/>
      </w:r>
      <w:r w:rsidR="00EA5411">
        <w:instrText xml:space="preserve"> REF _Ref99016658 \h </w:instrText>
      </w:r>
      <w:r w:rsidR="003D2EF7">
        <w:instrText xml:space="preserve"> \* MERGEFORMAT </w:instrText>
      </w:r>
      <w:r w:rsidR="00EA5411">
        <w:fldChar w:fldCharType="separate"/>
      </w:r>
      <w:r w:rsidR="00EA5411">
        <w:t>Interactions with other medicines and other forms of interactions</w:t>
      </w:r>
      <w:r w:rsidR="00EA5411">
        <w:fldChar w:fldCharType="end"/>
      </w:r>
      <w:r w:rsidR="00522737" w:rsidRPr="00522737">
        <w:t>).</w:t>
      </w:r>
    </w:p>
    <w:p w14:paraId="11E12C2F" w14:textId="08FE88A1" w:rsidR="00417CCE" w:rsidRPr="00DA2021" w:rsidRDefault="00417CCE" w:rsidP="003D2EF7">
      <w:pPr>
        <w:jc w:val="both"/>
      </w:pPr>
      <w:r>
        <w:t>Locally acting antacids should be administered 2 hours before or 2 hours after RETEVMO.</w:t>
      </w:r>
    </w:p>
    <w:p w14:paraId="7C9DB245" w14:textId="6756249F" w:rsidR="001A3992" w:rsidRDefault="001A3992" w:rsidP="00D10D9A">
      <w:pPr>
        <w:pStyle w:val="Heading2"/>
      </w:pPr>
      <w:r>
        <w:t>Contraindications</w:t>
      </w:r>
      <w:fldSimple w:instr=" DOCVARIABLE vault_nd_0c1a6597-3be4-4688-a91c-f544ac777a1d \* MERGEFORMAT ">
        <w:r w:rsidR="00270901">
          <w:t xml:space="preserve"> </w:t>
        </w:r>
      </w:fldSimple>
    </w:p>
    <w:p w14:paraId="74F493A3" w14:textId="05A78F03" w:rsidR="00990DD9" w:rsidRPr="00E91EC6" w:rsidRDefault="00E010F6" w:rsidP="00E010F6">
      <w:r w:rsidRPr="00E010F6">
        <w:t xml:space="preserve">Hypersensitivity to the active substance or to any of the excipients listed in section </w:t>
      </w:r>
      <w:r w:rsidR="00CA6AC6">
        <w:fldChar w:fldCharType="begin"/>
      </w:r>
      <w:r w:rsidR="00CA6AC6">
        <w:instrText xml:space="preserve"> REF _Ref99013879 \n \h </w:instrText>
      </w:r>
      <w:r w:rsidR="00CA6AC6">
        <w:fldChar w:fldCharType="separate"/>
      </w:r>
      <w:r w:rsidR="00CA6AC6">
        <w:t>6.1</w:t>
      </w:r>
      <w:r w:rsidR="00CA6AC6">
        <w:fldChar w:fldCharType="end"/>
      </w:r>
      <w:r w:rsidR="00CA6AC6">
        <w:t xml:space="preserve"> </w:t>
      </w:r>
      <w:r w:rsidR="00CA6AC6">
        <w:fldChar w:fldCharType="begin"/>
      </w:r>
      <w:r w:rsidR="00CA6AC6">
        <w:instrText xml:space="preserve"> REF _Ref99013879 \h </w:instrText>
      </w:r>
      <w:r w:rsidR="00CA6AC6">
        <w:fldChar w:fldCharType="separate"/>
      </w:r>
      <w:r w:rsidR="00CA6AC6" w:rsidRPr="00497C85">
        <w:rPr>
          <w:lang w:val="en-US"/>
        </w:rPr>
        <w:t>List of excipients</w:t>
      </w:r>
      <w:r w:rsidR="00CA6AC6">
        <w:fldChar w:fldCharType="end"/>
      </w:r>
      <w:r w:rsidRPr="00E010F6">
        <w:t>.</w:t>
      </w:r>
    </w:p>
    <w:p w14:paraId="48CD0397" w14:textId="50E60444" w:rsidR="001A3992" w:rsidRDefault="00E74A56" w:rsidP="00D10D9A">
      <w:pPr>
        <w:pStyle w:val="Heading2"/>
      </w:pPr>
      <w:bookmarkStart w:id="4" w:name="_Ref99026326"/>
      <w:r>
        <w:t>Special warnings and p</w:t>
      </w:r>
      <w:r w:rsidR="001A3992">
        <w:t xml:space="preserve">recautions </w:t>
      </w:r>
      <w:r>
        <w:t>for use</w:t>
      </w:r>
      <w:bookmarkEnd w:id="4"/>
      <w:r w:rsidR="00270901">
        <w:fldChar w:fldCharType="begin"/>
      </w:r>
      <w:r w:rsidR="00270901">
        <w:instrText xml:space="preserve"> DOCVARIABLE vault_nd_d25d0500-3418-4c77-b3ba-ee93a4e79406 \* MERGEFORMAT </w:instrText>
      </w:r>
      <w:r w:rsidR="00270901">
        <w:fldChar w:fldCharType="separate"/>
      </w:r>
      <w:r w:rsidR="00270901">
        <w:t xml:space="preserve"> </w:t>
      </w:r>
      <w:r w:rsidR="00270901">
        <w:fldChar w:fldCharType="end"/>
      </w:r>
    </w:p>
    <w:p w14:paraId="748CD04C" w14:textId="26A780D3" w:rsidR="0077458B" w:rsidRDefault="00AC2582" w:rsidP="00005AAA">
      <w:pPr>
        <w:pStyle w:val="Heading3"/>
      </w:pPr>
      <w:r>
        <w:t xml:space="preserve">Interstitial </w:t>
      </w:r>
      <w:r w:rsidR="002A3351">
        <w:t>l</w:t>
      </w:r>
      <w:r>
        <w:t xml:space="preserve">ung </w:t>
      </w:r>
      <w:r w:rsidR="002A3351">
        <w:t>d</w:t>
      </w:r>
      <w:r>
        <w:t>isease/Pneumonitis</w:t>
      </w:r>
      <w:fldSimple w:instr=" DOCVARIABLE vault_nd_ecbccb14-12a4-4777-91f9-16152aa12168 \* MERGEFORMAT ">
        <w:r w:rsidR="00270901">
          <w:t xml:space="preserve"> </w:t>
        </w:r>
      </w:fldSimple>
    </w:p>
    <w:p w14:paraId="00D9FC4D" w14:textId="4D3293EB" w:rsidR="00AC2582" w:rsidRPr="00AC2582" w:rsidRDefault="005F66F1" w:rsidP="00AC2582">
      <w:pPr>
        <w:jc w:val="both"/>
      </w:pPr>
      <w:r w:rsidRPr="005F66F1">
        <w:t xml:space="preserve">Interstitial lung disease (ILD) and/or pneumonitis, including severe and life-threatening disease, was reported in patients receiving </w:t>
      </w:r>
      <w:proofErr w:type="spellStart"/>
      <w:r w:rsidRPr="005F66F1">
        <w:t>selpercatinib</w:t>
      </w:r>
      <w:proofErr w:type="spellEnd"/>
      <w:r w:rsidRPr="005F66F1">
        <w:t xml:space="preserve"> (see section 4.8</w:t>
      </w:r>
      <w:r w:rsidR="002A3351">
        <w:t xml:space="preserve"> </w:t>
      </w:r>
      <w:r w:rsidR="00421C78">
        <w:fldChar w:fldCharType="begin"/>
      </w:r>
      <w:r w:rsidR="00421C78">
        <w:instrText xml:space="preserve"> REF _Ref99026361 \h </w:instrText>
      </w:r>
      <w:r w:rsidR="00421C78">
        <w:fldChar w:fldCharType="separate"/>
      </w:r>
      <w:r w:rsidR="00421C78">
        <w:t>Adverse effects (Undesirable effects)</w:t>
      </w:r>
      <w:r w:rsidR="00421C78">
        <w:fldChar w:fldCharType="end"/>
      </w:r>
      <w:r w:rsidRPr="005F66F1">
        <w:t xml:space="preserve">). Monitor patients for pulmonary symptoms indicative of ILD/pneumonitis and treat as medically appropriate. Based on the severity of ILD/pneumonitis, </w:t>
      </w:r>
      <w:proofErr w:type="spellStart"/>
      <w:r w:rsidRPr="005F66F1">
        <w:t>selpercatinib</w:t>
      </w:r>
      <w:proofErr w:type="spellEnd"/>
      <w:r w:rsidRPr="005F66F1">
        <w:t xml:space="preserve"> may require dose interruption or discontinuation (see section 4.2</w:t>
      </w:r>
      <w:r>
        <w:t xml:space="preserve"> </w:t>
      </w:r>
      <w:r w:rsidR="00E53B0D">
        <w:fldChar w:fldCharType="begin"/>
      </w:r>
      <w:r w:rsidR="00E53B0D">
        <w:instrText xml:space="preserve"> REF _Ref99351469 \h </w:instrText>
      </w:r>
      <w:r w:rsidR="00E53B0D">
        <w:fldChar w:fldCharType="separate"/>
      </w:r>
      <w:r w:rsidR="00E53B0D">
        <w:t>Dose and method of administration</w:t>
      </w:r>
      <w:r w:rsidR="00E53B0D">
        <w:fldChar w:fldCharType="end"/>
      </w:r>
      <w:r w:rsidRPr="005F66F1">
        <w:t>).</w:t>
      </w:r>
    </w:p>
    <w:p w14:paraId="12CD139F" w14:textId="35E5B643" w:rsidR="00BB7290" w:rsidRPr="00B843B6" w:rsidRDefault="00BB7290" w:rsidP="00005AAA">
      <w:pPr>
        <w:pStyle w:val="Heading3"/>
      </w:pPr>
      <w:r w:rsidRPr="00B843B6">
        <w:t>Increased alanine aminotransferase (ALT)/ aspartate aminotransferase (AST)</w:t>
      </w:r>
      <w:fldSimple w:instr=" DOCVARIABLE vault_nd_b2dd3e33-5e36-4841-bb24-9619cd0d4376 \* MERGEFORMAT ">
        <w:r w:rsidR="00270901">
          <w:t xml:space="preserve"> </w:t>
        </w:r>
      </w:fldSimple>
    </w:p>
    <w:p w14:paraId="486E9018" w14:textId="6B89CE5F" w:rsidR="00B85963" w:rsidRPr="003250E4" w:rsidRDefault="00BB7290" w:rsidP="003D2EF7">
      <w:pPr>
        <w:jc w:val="both"/>
      </w:pPr>
      <w:r w:rsidRPr="00BB7290">
        <w:t xml:space="preserve">Grade ≥3 increased ALT and Grade ≥3 increased AST were reported in patients receiving </w:t>
      </w:r>
      <w:proofErr w:type="spellStart"/>
      <w:r w:rsidRPr="00BB7290">
        <w:t>selpercatinib</w:t>
      </w:r>
      <w:proofErr w:type="spellEnd"/>
      <w:r w:rsidRPr="00BB7290">
        <w:t xml:space="preserve"> (</w:t>
      </w:r>
      <w:r w:rsidRPr="00B37599">
        <w:t>see section</w:t>
      </w:r>
      <w:r>
        <w:t xml:space="preserve"> </w:t>
      </w:r>
      <w:r w:rsidR="00AB6869">
        <w:fldChar w:fldCharType="begin"/>
      </w:r>
      <w:r w:rsidR="00AB6869">
        <w:instrText xml:space="preserve"> REF _Ref99026361 \n \h </w:instrText>
      </w:r>
      <w:r w:rsidR="00AB6869">
        <w:fldChar w:fldCharType="separate"/>
      </w:r>
      <w:r w:rsidR="00AB6869">
        <w:t>4.8</w:t>
      </w:r>
      <w:r w:rsidR="00AB6869">
        <w:fldChar w:fldCharType="end"/>
      </w:r>
      <w:r w:rsidRPr="00B37599">
        <w:t xml:space="preserve"> </w:t>
      </w:r>
      <w:r w:rsidR="00AB6869">
        <w:fldChar w:fldCharType="begin"/>
      </w:r>
      <w:r w:rsidR="00AB6869">
        <w:instrText xml:space="preserve"> REF _Ref99026361 \h </w:instrText>
      </w:r>
      <w:r w:rsidR="00AB6869">
        <w:fldChar w:fldCharType="separate"/>
      </w:r>
      <w:r w:rsidR="00AB6869">
        <w:t>Adverse effects (Undesirable effects)</w:t>
      </w:r>
      <w:r w:rsidR="00AB6869">
        <w:fldChar w:fldCharType="end"/>
      </w:r>
      <w:r w:rsidRPr="00BB7290">
        <w:t>).</w:t>
      </w:r>
      <w:r w:rsidR="006A3B03">
        <w:t xml:space="preserve"> </w:t>
      </w:r>
      <w:r w:rsidRPr="00BB7290">
        <w:t xml:space="preserve">ALT and AST should be </w:t>
      </w:r>
      <w:r w:rsidRPr="00BB7290">
        <w:lastRenderedPageBreak/>
        <w:t xml:space="preserve">monitored prior to the start of </w:t>
      </w:r>
      <w:proofErr w:type="spellStart"/>
      <w:r w:rsidRPr="00BB7290">
        <w:t>selpercatinib</w:t>
      </w:r>
      <w:proofErr w:type="spellEnd"/>
      <w:r w:rsidRPr="00BB7290">
        <w:t xml:space="preserve"> therapy, every 2 weeks during the first 3 months of</w:t>
      </w:r>
      <w:r w:rsidR="006A3B03">
        <w:t xml:space="preserve"> </w:t>
      </w:r>
      <w:r w:rsidRPr="00BB7290">
        <w:t>treatment, monthly for the next 3 months of treatment, and otherwise as clinically indicated. Based on the level of ALT or</w:t>
      </w:r>
      <w:r w:rsidR="006A3B03">
        <w:t xml:space="preserve"> </w:t>
      </w:r>
      <w:r w:rsidRPr="00BB7290">
        <w:t xml:space="preserve">AST elevations, </w:t>
      </w:r>
      <w:proofErr w:type="spellStart"/>
      <w:r w:rsidRPr="00BB7290">
        <w:t>selpercatinib</w:t>
      </w:r>
      <w:proofErr w:type="spellEnd"/>
      <w:r w:rsidRPr="00BB7290">
        <w:t xml:space="preserve"> may require dose modification (</w:t>
      </w:r>
      <w:r w:rsidRPr="00F32A9F">
        <w:t xml:space="preserve">see section </w:t>
      </w:r>
      <w:r w:rsidR="00962EDC">
        <w:fldChar w:fldCharType="begin"/>
      </w:r>
      <w:r w:rsidR="00962EDC">
        <w:instrText xml:space="preserve"> REF _Ref99351469 \n \h </w:instrText>
      </w:r>
      <w:r w:rsidR="00962EDC">
        <w:fldChar w:fldCharType="separate"/>
      </w:r>
      <w:r w:rsidR="00962EDC">
        <w:t>4.2</w:t>
      </w:r>
      <w:r w:rsidR="00962EDC">
        <w:fldChar w:fldCharType="end"/>
      </w:r>
      <w:r w:rsidR="00962EDC">
        <w:t xml:space="preserve"> </w:t>
      </w:r>
      <w:r w:rsidR="00962EDC">
        <w:fldChar w:fldCharType="begin"/>
      </w:r>
      <w:r w:rsidR="00962EDC">
        <w:instrText xml:space="preserve"> REF _Ref99351469 \h </w:instrText>
      </w:r>
      <w:r w:rsidR="00962EDC">
        <w:fldChar w:fldCharType="separate"/>
      </w:r>
      <w:r w:rsidR="00962EDC">
        <w:t>Dose and method of administration</w:t>
      </w:r>
      <w:r w:rsidR="00962EDC">
        <w:fldChar w:fldCharType="end"/>
      </w:r>
      <w:r w:rsidRPr="00BB7290">
        <w:t>).</w:t>
      </w:r>
    </w:p>
    <w:p w14:paraId="3C78346D" w14:textId="0EB1EE07" w:rsidR="00BB7290" w:rsidRPr="00B843B6" w:rsidRDefault="00BB7290" w:rsidP="00CC71B1">
      <w:pPr>
        <w:pStyle w:val="Heading3"/>
      </w:pPr>
      <w:r w:rsidRPr="00B843B6">
        <w:t>Hypertension</w:t>
      </w:r>
      <w:fldSimple w:instr=" DOCVARIABLE vault_nd_84915e0b-4aec-4d9c-a159-ed24d3fa3096 \* MERGEFORMAT ">
        <w:r w:rsidR="00270901">
          <w:t xml:space="preserve"> </w:t>
        </w:r>
      </w:fldSimple>
    </w:p>
    <w:p w14:paraId="6A8001FA" w14:textId="154CA20C" w:rsidR="00BB7290" w:rsidRPr="00BB7290" w:rsidRDefault="00BB7290" w:rsidP="003D2EF7">
      <w:pPr>
        <w:jc w:val="both"/>
      </w:pPr>
      <w:r w:rsidRPr="00BB7290">
        <w:t xml:space="preserve">Hypertension was reported in patients receiving </w:t>
      </w:r>
      <w:proofErr w:type="spellStart"/>
      <w:r w:rsidRPr="00BB7290">
        <w:t>selpercatinib</w:t>
      </w:r>
      <w:proofErr w:type="spellEnd"/>
      <w:r w:rsidRPr="00BB7290">
        <w:t xml:space="preserve"> (</w:t>
      </w:r>
      <w:r w:rsidRPr="00713290">
        <w:t xml:space="preserve">see section </w:t>
      </w:r>
      <w:r w:rsidR="00F46E80">
        <w:fldChar w:fldCharType="begin"/>
      </w:r>
      <w:r w:rsidR="00F46E80">
        <w:instrText xml:space="preserve"> REF _Ref99026361 \n \h </w:instrText>
      </w:r>
      <w:r w:rsidR="00F46E80">
        <w:fldChar w:fldCharType="separate"/>
      </w:r>
      <w:r w:rsidR="00F46E80">
        <w:t>4.8</w:t>
      </w:r>
      <w:r w:rsidR="00F46E80">
        <w:fldChar w:fldCharType="end"/>
      </w:r>
      <w:r w:rsidR="00B70066">
        <w:t xml:space="preserve"> </w:t>
      </w:r>
      <w:r w:rsidR="00F46E80">
        <w:fldChar w:fldCharType="begin"/>
      </w:r>
      <w:r w:rsidR="00F46E80">
        <w:instrText xml:space="preserve"> REF _Ref99026361 \h </w:instrText>
      </w:r>
      <w:r w:rsidR="00F46E80">
        <w:fldChar w:fldCharType="separate"/>
      </w:r>
      <w:r w:rsidR="00F46E80">
        <w:t>Adverse effects (Undesirable effects)</w:t>
      </w:r>
      <w:r w:rsidR="00F46E80">
        <w:fldChar w:fldCharType="end"/>
      </w:r>
      <w:r w:rsidRPr="00BB7290">
        <w:t>). Patient blood pressure should be</w:t>
      </w:r>
      <w:r w:rsidR="006A3B03">
        <w:t xml:space="preserve"> </w:t>
      </w:r>
      <w:r w:rsidRPr="00BB7290">
        <w:t xml:space="preserve">controlled before starting </w:t>
      </w:r>
      <w:proofErr w:type="spellStart"/>
      <w:r w:rsidRPr="00BB7290">
        <w:t>selpercatinib</w:t>
      </w:r>
      <w:proofErr w:type="spellEnd"/>
      <w:r w:rsidRPr="00BB7290">
        <w:t xml:space="preserve"> treatment, monitored during </w:t>
      </w:r>
      <w:proofErr w:type="spellStart"/>
      <w:r w:rsidRPr="00BB7290">
        <w:t>selpercatinib</w:t>
      </w:r>
      <w:proofErr w:type="spellEnd"/>
      <w:r w:rsidRPr="00BB7290">
        <w:t xml:space="preserve"> treatment and treated as needed with</w:t>
      </w:r>
      <w:r w:rsidR="006A3B03">
        <w:t xml:space="preserve"> </w:t>
      </w:r>
      <w:r w:rsidRPr="00BB7290">
        <w:t xml:space="preserve">standard anti-hypertensive therapy. Based on the level of increased blood pressure, </w:t>
      </w:r>
      <w:proofErr w:type="spellStart"/>
      <w:r w:rsidRPr="00BB7290">
        <w:t>selpercatinib</w:t>
      </w:r>
      <w:proofErr w:type="spellEnd"/>
      <w:r w:rsidRPr="00BB7290">
        <w:t xml:space="preserve"> may require dose</w:t>
      </w:r>
      <w:r w:rsidR="006A3B03">
        <w:t xml:space="preserve"> </w:t>
      </w:r>
      <w:r w:rsidRPr="00BB7290">
        <w:t>modification (</w:t>
      </w:r>
      <w:r w:rsidRPr="00982D29">
        <w:t xml:space="preserve">see section </w:t>
      </w:r>
      <w:r w:rsidR="00B70066">
        <w:fldChar w:fldCharType="begin"/>
      </w:r>
      <w:r w:rsidR="00B70066">
        <w:instrText xml:space="preserve"> REF _Ref99351469 \n \h </w:instrText>
      </w:r>
      <w:r w:rsidR="00B70066">
        <w:fldChar w:fldCharType="separate"/>
      </w:r>
      <w:r w:rsidR="00B70066">
        <w:t>4.2</w:t>
      </w:r>
      <w:r w:rsidR="00B70066">
        <w:fldChar w:fldCharType="end"/>
      </w:r>
      <w:r w:rsidR="00B70066">
        <w:t xml:space="preserve"> </w:t>
      </w:r>
      <w:r w:rsidR="00B70066">
        <w:fldChar w:fldCharType="begin"/>
      </w:r>
      <w:r w:rsidR="00B70066">
        <w:instrText xml:space="preserve"> REF _Ref99351469 \h </w:instrText>
      </w:r>
      <w:r w:rsidR="00B70066">
        <w:fldChar w:fldCharType="separate"/>
      </w:r>
      <w:r w:rsidR="00B70066">
        <w:t>Dose and method of administration</w:t>
      </w:r>
      <w:r w:rsidR="00B70066">
        <w:fldChar w:fldCharType="end"/>
      </w:r>
      <w:r w:rsidRPr="00BB7290">
        <w:t>). Selpercatinib should be discontinued permanently if medically significant hypertension</w:t>
      </w:r>
      <w:r w:rsidR="006A3B03">
        <w:t xml:space="preserve"> </w:t>
      </w:r>
      <w:r w:rsidRPr="00BB7290">
        <w:t>cannot be controlled with antihypertensive therapy.</w:t>
      </w:r>
    </w:p>
    <w:p w14:paraId="4BD8BF7E" w14:textId="6C2847DF" w:rsidR="00BB7290" w:rsidRPr="00B843B6" w:rsidRDefault="00BB7290" w:rsidP="00005AAA">
      <w:pPr>
        <w:pStyle w:val="Heading3"/>
      </w:pPr>
      <w:r w:rsidRPr="00B843B6">
        <w:t>QT interval prolongation</w:t>
      </w:r>
      <w:fldSimple w:instr=" DOCVARIABLE vault_nd_294e6575-119e-48f3-a0ba-8a04b5ff8896 \* MERGEFORMAT ">
        <w:r w:rsidR="00270901">
          <w:t xml:space="preserve"> </w:t>
        </w:r>
      </w:fldSimple>
    </w:p>
    <w:p w14:paraId="3EB81D8B" w14:textId="62D4C73E" w:rsidR="00BB7290" w:rsidRDefault="00BB7290" w:rsidP="003D2EF7">
      <w:pPr>
        <w:jc w:val="both"/>
      </w:pPr>
      <w:r w:rsidRPr="00BB7290">
        <w:t xml:space="preserve">QT interval prolongation was reported in patients receiving </w:t>
      </w:r>
      <w:proofErr w:type="spellStart"/>
      <w:r w:rsidRPr="00BB7290">
        <w:t>selpercatinib</w:t>
      </w:r>
      <w:proofErr w:type="spellEnd"/>
      <w:r w:rsidRPr="00BB7290">
        <w:t xml:space="preserve"> </w:t>
      </w:r>
      <w:r w:rsidRPr="00982D29">
        <w:t xml:space="preserve">(see section </w:t>
      </w:r>
      <w:r w:rsidR="002E4FB2">
        <w:fldChar w:fldCharType="begin"/>
      </w:r>
      <w:r w:rsidR="002E4FB2">
        <w:instrText xml:space="preserve"> REF _Ref99352243 \n \h </w:instrText>
      </w:r>
      <w:r w:rsidR="002E4FB2">
        <w:fldChar w:fldCharType="separate"/>
      </w:r>
      <w:r w:rsidR="002E4FB2">
        <w:t>5.1</w:t>
      </w:r>
      <w:r w:rsidR="002E4FB2">
        <w:fldChar w:fldCharType="end"/>
      </w:r>
      <w:r w:rsidR="002E4FB2">
        <w:t xml:space="preserve"> </w:t>
      </w:r>
      <w:r w:rsidR="002E4FB2">
        <w:fldChar w:fldCharType="begin"/>
      </w:r>
      <w:r w:rsidR="002E4FB2">
        <w:instrText xml:space="preserve"> REF _Ref99352243 \h </w:instrText>
      </w:r>
      <w:r w:rsidR="002E4FB2">
        <w:fldChar w:fldCharType="separate"/>
      </w:r>
      <w:r w:rsidR="002E4FB2" w:rsidRPr="00EC3C40">
        <w:rPr>
          <w:lang w:val="en-US"/>
        </w:rPr>
        <w:t>Pharmacodynamic properties</w:t>
      </w:r>
      <w:r w:rsidR="002E4FB2">
        <w:fldChar w:fldCharType="end"/>
      </w:r>
      <w:r w:rsidRPr="00BB7290">
        <w:t>). Selpercatinib should be used</w:t>
      </w:r>
      <w:r w:rsidR="006A3B03">
        <w:t xml:space="preserve"> </w:t>
      </w:r>
      <w:r w:rsidRPr="00BB7290">
        <w:t>with caution in patients with such conditions as congenital long QT syndrome or acquired long QT syndrome or other</w:t>
      </w:r>
      <w:r w:rsidR="006A3B03">
        <w:t xml:space="preserve"> </w:t>
      </w:r>
      <w:r w:rsidRPr="00BB7290">
        <w:t>clinical conditions that predispose to arrhythmias</w:t>
      </w:r>
      <w:r w:rsidR="001216AF">
        <w:t xml:space="preserve"> (see section 4.5 </w:t>
      </w:r>
      <w:r w:rsidR="001216AF">
        <w:fldChar w:fldCharType="begin"/>
      </w:r>
      <w:r w:rsidR="001216AF">
        <w:instrText xml:space="preserve"> REF _Ref125103182 \h </w:instrText>
      </w:r>
      <w:r w:rsidR="001216AF">
        <w:fldChar w:fldCharType="separate"/>
      </w:r>
      <w:r w:rsidR="001216AF">
        <w:t>Interactions with other medicines and other forms of interactions</w:t>
      </w:r>
      <w:r w:rsidR="001216AF">
        <w:fldChar w:fldCharType="end"/>
      </w:r>
      <w:r w:rsidR="001216AF">
        <w:t>)</w:t>
      </w:r>
      <w:r w:rsidRPr="00BB7290">
        <w:t>.</w:t>
      </w:r>
    </w:p>
    <w:p w14:paraId="38523829" w14:textId="63DBAA44" w:rsidR="00BB7290" w:rsidRPr="00BB7290" w:rsidRDefault="00BB7290" w:rsidP="003D2EF7">
      <w:pPr>
        <w:jc w:val="both"/>
      </w:pPr>
      <w:r w:rsidRPr="00BB7290">
        <w:t xml:space="preserve">Patients should have a </w:t>
      </w:r>
      <w:proofErr w:type="spellStart"/>
      <w:r w:rsidRPr="00BB7290">
        <w:t>QTcF</w:t>
      </w:r>
      <w:proofErr w:type="spellEnd"/>
      <w:r w:rsidRPr="00BB7290">
        <w:t xml:space="preserve"> interval of ≤470 </w:t>
      </w:r>
      <w:proofErr w:type="spellStart"/>
      <w:r w:rsidRPr="00BB7290">
        <w:t>ms</w:t>
      </w:r>
      <w:proofErr w:type="spellEnd"/>
      <w:r w:rsidRPr="00BB7290">
        <w:t xml:space="preserve"> and serum electrolytes within normal range before starting </w:t>
      </w:r>
      <w:proofErr w:type="spellStart"/>
      <w:r w:rsidRPr="00BB7290">
        <w:t>selpercatinib</w:t>
      </w:r>
      <w:proofErr w:type="spellEnd"/>
      <w:r w:rsidR="006A3B03">
        <w:t xml:space="preserve"> </w:t>
      </w:r>
      <w:r w:rsidRPr="00BB7290">
        <w:t xml:space="preserve">treatment. Electrocardiograms and serum electrolytes should be monitored in all patients after 1 week of </w:t>
      </w:r>
      <w:proofErr w:type="spellStart"/>
      <w:r w:rsidRPr="00BB7290">
        <w:t>selpercatinib</w:t>
      </w:r>
      <w:proofErr w:type="spellEnd"/>
      <w:r w:rsidR="006A3B03">
        <w:t xml:space="preserve"> </w:t>
      </w:r>
      <w:r w:rsidRPr="00BB7290">
        <w:t>treatment, at least monthly for the first 6 months and otherwise, as clinically indicated, adjusting frequency based upon</w:t>
      </w:r>
      <w:r w:rsidR="006A3B03">
        <w:t xml:space="preserve"> </w:t>
      </w:r>
      <w:r w:rsidRPr="00BB7290">
        <w:t xml:space="preserve">risk factors including </w:t>
      </w:r>
      <w:proofErr w:type="spellStart"/>
      <w:r w:rsidRPr="00BB7290">
        <w:t>diarrhoea</w:t>
      </w:r>
      <w:proofErr w:type="spellEnd"/>
      <w:r w:rsidRPr="00BB7290">
        <w:t xml:space="preserve">, vomiting, and/or nausea. </w:t>
      </w:r>
      <w:proofErr w:type="spellStart"/>
      <w:r w:rsidRPr="00BB7290">
        <w:t>Hypokalaemia</w:t>
      </w:r>
      <w:proofErr w:type="spellEnd"/>
      <w:r w:rsidRPr="00BB7290">
        <w:t xml:space="preserve">, hypomagnesaemia and </w:t>
      </w:r>
      <w:proofErr w:type="spellStart"/>
      <w:r w:rsidRPr="00BB7290">
        <w:t>hypocalcaemia</w:t>
      </w:r>
      <w:proofErr w:type="spellEnd"/>
      <w:r w:rsidRPr="00BB7290">
        <w:t xml:space="preserve"> should</w:t>
      </w:r>
      <w:r w:rsidR="006A3B03">
        <w:t xml:space="preserve"> </w:t>
      </w:r>
      <w:r w:rsidRPr="00BB7290">
        <w:t xml:space="preserve">be corrected prior to initiating </w:t>
      </w:r>
      <w:proofErr w:type="spellStart"/>
      <w:r w:rsidRPr="00BB7290">
        <w:t>selpercatinib</w:t>
      </w:r>
      <w:proofErr w:type="spellEnd"/>
      <w:r w:rsidRPr="00BB7290">
        <w:t xml:space="preserve"> and during treatment. Monitor the QT interval with ECGs more frequently in</w:t>
      </w:r>
      <w:r w:rsidR="00E369F3">
        <w:t xml:space="preserve"> </w:t>
      </w:r>
      <w:r w:rsidRPr="00BB7290">
        <w:t>patients who require treatment with concomitant medications known to prolong the QT interval.</w:t>
      </w:r>
    </w:p>
    <w:p w14:paraId="45414E7E" w14:textId="556B4FA3" w:rsidR="00BB7290" w:rsidRPr="00BB7290" w:rsidRDefault="00BB7290" w:rsidP="003D2EF7">
      <w:pPr>
        <w:jc w:val="both"/>
      </w:pPr>
      <w:r w:rsidRPr="00BB7290">
        <w:t xml:space="preserve">Selpercatinib may require dose interruption or modification </w:t>
      </w:r>
      <w:r w:rsidRPr="00822CC2">
        <w:t xml:space="preserve">(see section </w:t>
      </w:r>
      <w:r w:rsidR="002804B1">
        <w:fldChar w:fldCharType="begin"/>
      </w:r>
      <w:r w:rsidR="002804B1">
        <w:instrText xml:space="preserve"> REF _Ref99351469 \n \h </w:instrText>
      </w:r>
      <w:r w:rsidR="003D2EF7">
        <w:instrText xml:space="preserve"> \* MERGEFORMAT </w:instrText>
      </w:r>
      <w:r w:rsidR="002804B1">
        <w:fldChar w:fldCharType="separate"/>
      </w:r>
      <w:r w:rsidR="002804B1">
        <w:t>4.2</w:t>
      </w:r>
      <w:r w:rsidR="002804B1">
        <w:fldChar w:fldCharType="end"/>
      </w:r>
      <w:r w:rsidR="002804B1">
        <w:t xml:space="preserve"> </w:t>
      </w:r>
      <w:r w:rsidR="002804B1">
        <w:fldChar w:fldCharType="begin"/>
      </w:r>
      <w:r w:rsidR="002804B1">
        <w:instrText xml:space="preserve"> REF _Ref99351469 \h </w:instrText>
      </w:r>
      <w:r w:rsidR="003D2EF7">
        <w:instrText xml:space="preserve"> \* MERGEFORMAT </w:instrText>
      </w:r>
      <w:r w:rsidR="002804B1">
        <w:fldChar w:fldCharType="separate"/>
      </w:r>
      <w:r w:rsidR="002804B1">
        <w:t>Dose and method of administration</w:t>
      </w:r>
      <w:r w:rsidR="002804B1">
        <w:fldChar w:fldCharType="end"/>
      </w:r>
      <w:r w:rsidRPr="00BB7290">
        <w:t>).</w:t>
      </w:r>
    </w:p>
    <w:p w14:paraId="756D0A31" w14:textId="7C619AE7" w:rsidR="00BB7290" w:rsidRPr="00960F41" w:rsidRDefault="00BB7290" w:rsidP="00005AAA">
      <w:pPr>
        <w:pStyle w:val="Heading3"/>
      </w:pPr>
      <w:r w:rsidRPr="00960F41">
        <w:t>Strong CYP3A4 inducers</w:t>
      </w:r>
      <w:fldSimple w:instr=" DOCVARIABLE vault_nd_97ed22cb-d802-4d42-a3c6-3048170abd07 \* MERGEFORMAT ">
        <w:r w:rsidR="00270901">
          <w:t xml:space="preserve"> </w:t>
        </w:r>
      </w:fldSimple>
    </w:p>
    <w:p w14:paraId="732CF282" w14:textId="43E75919" w:rsidR="00BB7290" w:rsidRPr="00BB7290" w:rsidRDefault="00BB7290" w:rsidP="003D2EF7">
      <w:pPr>
        <w:jc w:val="both"/>
      </w:pPr>
      <w:r w:rsidRPr="00BB7290">
        <w:t xml:space="preserve">Concomitant use of strong CYP3A4 inducers should be avoided due to the risk of decreased efficacy of </w:t>
      </w:r>
      <w:proofErr w:type="spellStart"/>
      <w:r w:rsidRPr="00BB7290">
        <w:t>selpercatinib</w:t>
      </w:r>
      <w:proofErr w:type="spellEnd"/>
      <w:r w:rsidR="00511E64">
        <w:t xml:space="preserve"> </w:t>
      </w:r>
      <w:r w:rsidRPr="00BB7290">
        <w:t>(</w:t>
      </w:r>
      <w:r w:rsidRPr="00822CC2">
        <w:t xml:space="preserve">see section </w:t>
      </w:r>
      <w:r w:rsidR="000B5603">
        <w:fldChar w:fldCharType="begin"/>
      </w:r>
      <w:r w:rsidR="000B5603">
        <w:instrText xml:space="preserve"> REF _Ref99016658 \n \h </w:instrText>
      </w:r>
      <w:r w:rsidR="000B5603">
        <w:fldChar w:fldCharType="separate"/>
      </w:r>
      <w:r w:rsidR="000B5603">
        <w:t>4.5</w:t>
      </w:r>
      <w:r w:rsidR="000B5603">
        <w:fldChar w:fldCharType="end"/>
      </w:r>
      <w:r w:rsidR="000B5603">
        <w:t xml:space="preserve"> </w:t>
      </w:r>
      <w:r w:rsidR="000B5603">
        <w:fldChar w:fldCharType="begin"/>
      </w:r>
      <w:r w:rsidR="000B5603">
        <w:instrText xml:space="preserve"> REF _Ref99016658 \h </w:instrText>
      </w:r>
      <w:r w:rsidR="000B5603">
        <w:fldChar w:fldCharType="separate"/>
      </w:r>
      <w:r w:rsidR="000B5603">
        <w:t>Interactions with other medicines and other forms of interactions</w:t>
      </w:r>
      <w:r w:rsidR="000B5603">
        <w:fldChar w:fldCharType="end"/>
      </w:r>
      <w:r w:rsidRPr="00BB7290">
        <w:t>).</w:t>
      </w:r>
    </w:p>
    <w:p w14:paraId="1E60570C" w14:textId="06BD7240" w:rsidR="00BB7290" w:rsidRPr="00960F41" w:rsidRDefault="00BB7290" w:rsidP="00005AAA">
      <w:pPr>
        <w:pStyle w:val="Heading3"/>
      </w:pPr>
      <w:r w:rsidRPr="00960F41">
        <w:t>Women of childbearing potential/Contraception in females and males</w:t>
      </w:r>
      <w:fldSimple w:instr=" DOCVARIABLE vault_nd_cb2e0f73-4a4f-4033-b747-040bed89f05f \* MERGEFORMAT ">
        <w:r w:rsidR="00270901">
          <w:t xml:space="preserve"> </w:t>
        </w:r>
      </w:fldSimple>
    </w:p>
    <w:p w14:paraId="0302E315" w14:textId="3CF10585" w:rsidR="00990DD9" w:rsidRPr="00C822FB" w:rsidRDefault="00BB7290" w:rsidP="003D2EF7">
      <w:pPr>
        <w:jc w:val="both"/>
      </w:pPr>
      <w:r w:rsidRPr="00BB7290">
        <w:t>Women of childbearing potential must use highly effective contraception during treatment and for at least one week after</w:t>
      </w:r>
      <w:r w:rsidR="00511E64">
        <w:t xml:space="preserve"> </w:t>
      </w:r>
      <w:r w:rsidRPr="00BB7290">
        <w:t xml:space="preserve">the last dose of </w:t>
      </w:r>
      <w:proofErr w:type="spellStart"/>
      <w:r w:rsidRPr="00BB7290">
        <w:t>selpercatinib</w:t>
      </w:r>
      <w:proofErr w:type="spellEnd"/>
      <w:r w:rsidRPr="00BB7290">
        <w:t>. Men with female partners of childbearing potential should use effective contraception</w:t>
      </w:r>
      <w:r w:rsidR="00511E64">
        <w:t xml:space="preserve"> </w:t>
      </w:r>
      <w:r w:rsidRPr="00BB7290">
        <w:t xml:space="preserve">during treatment and for at least one week after the last dose of </w:t>
      </w:r>
      <w:proofErr w:type="spellStart"/>
      <w:r w:rsidRPr="00BB7290">
        <w:t>selpercatinib</w:t>
      </w:r>
      <w:proofErr w:type="spellEnd"/>
      <w:r w:rsidRPr="00BB7290">
        <w:t xml:space="preserve"> (</w:t>
      </w:r>
      <w:r w:rsidRPr="00964CB8">
        <w:t xml:space="preserve">see section </w:t>
      </w:r>
      <w:r w:rsidR="00BD5230">
        <w:fldChar w:fldCharType="begin"/>
      </w:r>
      <w:r w:rsidR="00BD5230">
        <w:instrText xml:space="preserve"> REF _Ref99356401 \n \h </w:instrText>
      </w:r>
      <w:r w:rsidR="00BD5230">
        <w:fldChar w:fldCharType="separate"/>
      </w:r>
      <w:r w:rsidR="00BD5230">
        <w:t>4.6</w:t>
      </w:r>
      <w:r w:rsidR="00BD5230">
        <w:fldChar w:fldCharType="end"/>
      </w:r>
      <w:r w:rsidR="00BD5230">
        <w:t xml:space="preserve"> </w:t>
      </w:r>
      <w:r w:rsidR="00BD5230">
        <w:fldChar w:fldCharType="begin"/>
      </w:r>
      <w:r w:rsidR="00BD5230">
        <w:instrText xml:space="preserve"> REF _Ref99356401 \h </w:instrText>
      </w:r>
      <w:r w:rsidR="00BD5230">
        <w:fldChar w:fldCharType="separate"/>
      </w:r>
      <w:r w:rsidR="00BD5230">
        <w:t xml:space="preserve">Fertility, </w:t>
      </w:r>
      <w:proofErr w:type="gramStart"/>
      <w:r w:rsidR="00BD5230">
        <w:t>pregnancy</w:t>
      </w:r>
      <w:proofErr w:type="gramEnd"/>
      <w:r w:rsidR="00BD5230">
        <w:t xml:space="preserve"> and lactation</w:t>
      </w:r>
      <w:r w:rsidR="00BD5230">
        <w:fldChar w:fldCharType="end"/>
      </w:r>
      <w:r w:rsidRPr="00BB7290">
        <w:t>).</w:t>
      </w:r>
    </w:p>
    <w:p w14:paraId="78ABDB1A" w14:textId="1B2AFA24" w:rsidR="00BB7290" w:rsidRPr="00960F41" w:rsidRDefault="00BB7290" w:rsidP="00005AAA">
      <w:pPr>
        <w:pStyle w:val="Heading3"/>
      </w:pPr>
      <w:r w:rsidRPr="00960F41">
        <w:lastRenderedPageBreak/>
        <w:t>Fertility</w:t>
      </w:r>
      <w:fldSimple w:instr=" DOCVARIABLE vault_nd_3eb2144f-19fd-4a69-9140-0132351abb6c \* MERGEFORMAT ">
        <w:r w:rsidR="00270901">
          <w:t xml:space="preserve"> </w:t>
        </w:r>
      </w:fldSimple>
    </w:p>
    <w:p w14:paraId="740169DB" w14:textId="6751AE13" w:rsidR="00BB7290" w:rsidRPr="00BB7290" w:rsidRDefault="00BB7290" w:rsidP="003D2EF7">
      <w:pPr>
        <w:jc w:val="both"/>
      </w:pPr>
      <w:r w:rsidRPr="00BB7290">
        <w:t xml:space="preserve">Based on nonclinical safety findings, male and female fertility may be compromised by treatment with </w:t>
      </w:r>
      <w:r w:rsidR="00511E64">
        <w:t>RETEVMO</w:t>
      </w:r>
      <w:r w:rsidRPr="00BB7290">
        <w:t xml:space="preserve"> (</w:t>
      </w:r>
      <w:r w:rsidRPr="00964CB8">
        <w:t>see</w:t>
      </w:r>
      <w:r w:rsidR="00511E64" w:rsidRPr="00964CB8">
        <w:t xml:space="preserve"> </w:t>
      </w:r>
      <w:r w:rsidRPr="00964CB8">
        <w:t xml:space="preserve">sections </w:t>
      </w:r>
      <w:r w:rsidR="0025544C">
        <w:fldChar w:fldCharType="begin"/>
      </w:r>
      <w:r w:rsidR="0025544C">
        <w:instrText xml:space="preserve"> REF _Ref99356401 \n \h </w:instrText>
      </w:r>
      <w:r w:rsidR="0025544C">
        <w:fldChar w:fldCharType="separate"/>
      </w:r>
      <w:r w:rsidR="0025544C">
        <w:t>4.6</w:t>
      </w:r>
      <w:r w:rsidR="0025544C">
        <w:fldChar w:fldCharType="end"/>
      </w:r>
      <w:r w:rsidR="0025544C">
        <w:t xml:space="preserve"> </w:t>
      </w:r>
      <w:r w:rsidR="0025544C">
        <w:fldChar w:fldCharType="begin"/>
      </w:r>
      <w:r w:rsidR="0025544C">
        <w:instrText xml:space="preserve"> REF _Ref99356401 \h </w:instrText>
      </w:r>
      <w:r w:rsidR="0025544C">
        <w:fldChar w:fldCharType="separate"/>
      </w:r>
      <w:r w:rsidR="0025544C">
        <w:t>Fertility, pregnancy and lactation</w:t>
      </w:r>
      <w:r w:rsidR="0025544C">
        <w:fldChar w:fldCharType="end"/>
      </w:r>
      <w:r w:rsidRPr="00964CB8">
        <w:t xml:space="preserve"> and </w:t>
      </w:r>
      <w:r w:rsidR="0025544C">
        <w:fldChar w:fldCharType="begin"/>
      </w:r>
      <w:r w:rsidR="0025544C">
        <w:instrText xml:space="preserve"> REF _Ref99356454 \n \h </w:instrText>
      </w:r>
      <w:r w:rsidR="0025544C">
        <w:fldChar w:fldCharType="separate"/>
      </w:r>
      <w:r w:rsidR="0025544C">
        <w:t>5.3</w:t>
      </w:r>
      <w:r w:rsidR="0025544C">
        <w:fldChar w:fldCharType="end"/>
      </w:r>
      <w:r w:rsidR="0025544C">
        <w:t xml:space="preserve"> </w:t>
      </w:r>
      <w:r w:rsidR="0025544C">
        <w:fldChar w:fldCharType="begin"/>
      </w:r>
      <w:r w:rsidR="0025544C">
        <w:instrText xml:space="preserve"> REF _Ref99356454 \h </w:instrText>
      </w:r>
      <w:r w:rsidR="0025544C">
        <w:fldChar w:fldCharType="separate"/>
      </w:r>
      <w:r w:rsidR="0025544C" w:rsidRPr="00EC3C40">
        <w:rPr>
          <w:lang w:val="en-US"/>
        </w:rPr>
        <w:t>Preclinical safety data</w:t>
      </w:r>
      <w:r w:rsidR="0025544C">
        <w:fldChar w:fldCharType="end"/>
      </w:r>
      <w:r w:rsidRPr="00BB7290">
        <w:t>). Both men and women should seek advice on fertility preservation before treatment.</w:t>
      </w:r>
    </w:p>
    <w:p w14:paraId="7546E8AC" w14:textId="2A76AA9B" w:rsidR="00BB7290" w:rsidRPr="00960F41" w:rsidRDefault="00BB7290" w:rsidP="00005AAA">
      <w:pPr>
        <w:pStyle w:val="Heading3"/>
      </w:pPr>
      <w:r w:rsidRPr="00960F41">
        <w:t>Hypersensitivity</w:t>
      </w:r>
      <w:fldSimple w:instr=" DOCVARIABLE vault_nd_f58dbd09-d552-42bd-b5a5-1d3976ba76bb \* MERGEFORMAT ">
        <w:r w:rsidR="00270901">
          <w:t xml:space="preserve"> </w:t>
        </w:r>
      </w:fldSimple>
    </w:p>
    <w:p w14:paraId="3C5900E7" w14:textId="5EA0D5D9" w:rsidR="00BB7290" w:rsidRPr="00BB7290" w:rsidRDefault="00BB7290" w:rsidP="003D2EF7">
      <w:pPr>
        <w:jc w:val="both"/>
      </w:pPr>
      <w:r w:rsidRPr="00BB7290">
        <w:t xml:space="preserve">Hypersensitivity was reported in patients receiving </w:t>
      </w:r>
      <w:proofErr w:type="spellStart"/>
      <w:r w:rsidRPr="00BB7290">
        <w:t>selpercatinib</w:t>
      </w:r>
      <w:proofErr w:type="spellEnd"/>
      <w:r w:rsidRPr="00BB7290">
        <w:t xml:space="preserve"> with </w:t>
      </w:r>
      <w:proofErr w:type="gramStart"/>
      <w:r w:rsidRPr="00BB7290">
        <w:t>a majority of</w:t>
      </w:r>
      <w:proofErr w:type="gramEnd"/>
      <w:r w:rsidRPr="00BB7290">
        <w:t xml:space="preserve"> events observed in patients with</w:t>
      </w:r>
      <w:r w:rsidR="00511E64">
        <w:t xml:space="preserve"> </w:t>
      </w:r>
      <w:r w:rsidRPr="00BB7290">
        <w:t xml:space="preserve">NSCLC previously treated with anti-PD-1/PD-L1 immunotherapy </w:t>
      </w:r>
      <w:r w:rsidRPr="00964CB8">
        <w:t xml:space="preserve">(see section </w:t>
      </w:r>
      <w:r w:rsidR="00814B22">
        <w:fldChar w:fldCharType="begin"/>
      </w:r>
      <w:r w:rsidR="00814B22">
        <w:instrText xml:space="preserve"> REF _Ref99026361 \n \h </w:instrText>
      </w:r>
      <w:r w:rsidR="00814B22">
        <w:fldChar w:fldCharType="separate"/>
      </w:r>
      <w:r w:rsidR="00814B22">
        <w:t>4.8</w:t>
      </w:r>
      <w:r w:rsidR="00814B22">
        <w:fldChar w:fldCharType="end"/>
      </w:r>
      <w:r w:rsidR="00814B22">
        <w:t xml:space="preserve"> </w:t>
      </w:r>
      <w:r w:rsidR="00814B22">
        <w:fldChar w:fldCharType="begin"/>
      </w:r>
      <w:r w:rsidR="00814B22">
        <w:instrText xml:space="preserve"> REF _Ref99026361 \h </w:instrText>
      </w:r>
      <w:r w:rsidR="00814B22">
        <w:fldChar w:fldCharType="separate"/>
      </w:r>
      <w:r w:rsidR="00814B22">
        <w:t>Adverse effects (Undesirable effects)</w:t>
      </w:r>
      <w:r w:rsidR="00814B22">
        <w:fldChar w:fldCharType="end"/>
      </w:r>
      <w:r w:rsidRPr="00964CB8">
        <w:t>). Signs and symptoms of</w:t>
      </w:r>
      <w:r w:rsidR="00511E64">
        <w:t xml:space="preserve"> </w:t>
      </w:r>
      <w:r w:rsidRPr="00BB7290">
        <w:t>hypersensitivity included fever, rash and arthralgias or myalgias with concurrent decreased platelets or elevated</w:t>
      </w:r>
      <w:r w:rsidR="00511E64">
        <w:t xml:space="preserve"> </w:t>
      </w:r>
      <w:r w:rsidRPr="00BB7290">
        <w:t>aminotransferases.</w:t>
      </w:r>
    </w:p>
    <w:p w14:paraId="3D845F7B" w14:textId="5286EB2C" w:rsidR="00BB7290" w:rsidRPr="00BB7290" w:rsidRDefault="00BB7290" w:rsidP="003D2EF7">
      <w:pPr>
        <w:jc w:val="both"/>
      </w:pPr>
      <w:r w:rsidRPr="00BB7290">
        <w:t xml:space="preserve">Suspend </w:t>
      </w:r>
      <w:proofErr w:type="spellStart"/>
      <w:r w:rsidRPr="00BB7290">
        <w:t>selpercatinib</w:t>
      </w:r>
      <w:proofErr w:type="spellEnd"/>
      <w:r w:rsidRPr="00BB7290">
        <w:t xml:space="preserve"> if hypersensitivity occurs and begin steroid treatment. Based on the grade of hypersensitivity</w:t>
      </w:r>
      <w:r w:rsidR="00511E64">
        <w:t xml:space="preserve"> </w:t>
      </w:r>
      <w:r w:rsidRPr="00BB7290">
        <w:t xml:space="preserve">reactions, </w:t>
      </w:r>
      <w:proofErr w:type="spellStart"/>
      <w:r w:rsidRPr="00BB7290">
        <w:t>selpercatinib</w:t>
      </w:r>
      <w:proofErr w:type="spellEnd"/>
      <w:r w:rsidRPr="00BB7290">
        <w:t xml:space="preserve"> may require dose modification (see </w:t>
      </w:r>
      <w:r w:rsidRPr="00964CB8">
        <w:t xml:space="preserve">section </w:t>
      </w:r>
      <w:r w:rsidR="00814B22">
        <w:fldChar w:fldCharType="begin"/>
      </w:r>
      <w:r w:rsidR="00814B22">
        <w:instrText xml:space="preserve"> REF _Ref99351469 \r \h </w:instrText>
      </w:r>
      <w:r w:rsidR="00814B22">
        <w:fldChar w:fldCharType="separate"/>
      </w:r>
      <w:r w:rsidR="00814B22">
        <w:t>4.2</w:t>
      </w:r>
      <w:r w:rsidR="00814B22">
        <w:fldChar w:fldCharType="end"/>
      </w:r>
      <w:r w:rsidR="00814B22">
        <w:t xml:space="preserve"> </w:t>
      </w:r>
      <w:r w:rsidR="00814B22">
        <w:fldChar w:fldCharType="begin"/>
      </w:r>
      <w:r w:rsidR="00814B22">
        <w:instrText xml:space="preserve"> REF _Ref99351469 \h </w:instrText>
      </w:r>
      <w:r w:rsidR="00814B22">
        <w:fldChar w:fldCharType="separate"/>
      </w:r>
      <w:r w:rsidR="00814B22">
        <w:t>Dose and method of administration</w:t>
      </w:r>
      <w:r w:rsidR="00814B22">
        <w:fldChar w:fldCharType="end"/>
      </w:r>
      <w:r w:rsidRPr="00964CB8">
        <w:t>). Steroids should be continued until patient</w:t>
      </w:r>
      <w:r w:rsidR="00563A50" w:rsidRPr="00964CB8">
        <w:t xml:space="preserve"> </w:t>
      </w:r>
      <w:r w:rsidRPr="00964CB8">
        <w:t xml:space="preserve">reaches target dose and then tapered. Permanently discontinue </w:t>
      </w:r>
      <w:proofErr w:type="spellStart"/>
      <w:r w:rsidRPr="00964CB8">
        <w:t>sel</w:t>
      </w:r>
      <w:r w:rsidRPr="00BB7290">
        <w:t>percatinib</w:t>
      </w:r>
      <w:proofErr w:type="spellEnd"/>
      <w:r w:rsidRPr="00BB7290">
        <w:t xml:space="preserve"> for recurrent hypersensitivity.</w:t>
      </w:r>
    </w:p>
    <w:p w14:paraId="1A4FC90D" w14:textId="1E9A4E9E" w:rsidR="00BB7290" w:rsidRPr="00960F41" w:rsidRDefault="00BB7290" w:rsidP="00005AAA">
      <w:pPr>
        <w:pStyle w:val="Heading3"/>
      </w:pPr>
      <w:proofErr w:type="spellStart"/>
      <w:r w:rsidRPr="00960F41">
        <w:t>Haemorrhages</w:t>
      </w:r>
      <w:proofErr w:type="spellEnd"/>
      <w:r w:rsidR="00A85A71">
        <w:fldChar w:fldCharType="begin"/>
      </w:r>
      <w:r w:rsidR="00A85A71">
        <w:instrText xml:space="preserve"> DOCVARIABLE vault_nd_0452a47d-ebfa-4652-a7f9-342cc67bbddc \* MER</w:instrText>
      </w:r>
      <w:r w:rsidR="00A85A71">
        <w:instrText xml:space="preserve">GEFORMAT </w:instrText>
      </w:r>
      <w:r w:rsidR="00A85A71">
        <w:fldChar w:fldCharType="separate"/>
      </w:r>
      <w:r w:rsidR="00270901">
        <w:t xml:space="preserve"> </w:t>
      </w:r>
      <w:r w:rsidR="00A85A71">
        <w:fldChar w:fldCharType="end"/>
      </w:r>
    </w:p>
    <w:p w14:paraId="01E0C9A0" w14:textId="4007F09C" w:rsidR="00BB7290" w:rsidRPr="00BB7290" w:rsidRDefault="00BB7290" w:rsidP="003D2EF7">
      <w:pPr>
        <w:jc w:val="both"/>
      </w:pPr>
      <w:r w:rsidRPr="00BB7290">
        <w:t xml:space="preserve">Serious including fatal </w:t>
      </w:r>
      <w:proofErr w:type="spellStart"/>
      <w:r w:rsidRPr="00BB7290">
        <w:t>haemorrhagic</w:t>
      </w:r>
      <w:proofErr w:type="spellEnd"/>
      <w:r w:rsidRPr="00BB7290">
        <w:t xml:space="preserve"> events were reported in patients receiving </w:t>
      </w:r>
      <w:proofErr w:type="spellStart"/>
      <w:r w:rsidRPr="00BB7290">
        <w:t>selpercatinib</w:t>
      </w:r>
      <w:proofErr w:type="spellEnd"/>
      <w:r w:rsidRPr="00BB7290">
        <w:t xml:space="preserve"> (</w:t>
      </w:r>
      <w:r w:rsidRPr="000028EA">
        <w:t xml:space="preserve">see section </w:t>
      </w:r>
      <w:r w:rsidR="009B26D8">
        <w:fldChar w:fldCharType="begin"/>
      </w:r>
      <w:r w:rsidR="009B26D8">
        <w:instrText xml:space="preserve"> REF _Ref99026361 \n \h </w:instrText>
      </w:r>
      <w:r w:rsidR="009B26D8">
        <w:fldChar w:fldCharType="separate"/>
      </w:r>
      <w:r w:rsidR="009B26D8">
        <w:t>4.8</w:t>
      </w:r>
      <w:r w:rsidR="009B26D8">
        <w:fldChar w:fldCharType="end"/>
      </w:r>
      <w:r w:rsidR="009B26D8">
        <w:t xml:space="preserve"> </w:t>
      </w:r>
      <w:r w:rsidR="009B26D8">
        <w:fldChar w:fldCharType="begin"/>
      </w:r>
      <w:r w:rsidR="009B26D8">
        <w:instrText xml:space="preserve"> REF _Ref99026361 \h </w:instrText>
      </w:r>
      <w:r w:rsidR="003D2EF7">
        <w:instrText xml:space="preserve"> \* MERGEFORMAT </w:instrText>
      </w:r>
      <w:r w:rsidR="009B26D8">
        <w:fldChar w:fldCharType="separate"/>
      </w:r>
      <w:r w:rsidR="009B26D8">
        <w:t>Adverse effects (Undesirable effects)</w:t>
      </w:r>
      <w:r w:rsidR="009B26D8">
        <w:fldChar w:fldCharType="end"/>
      </w:r>
      <w:r w:rsidRPr="00BB7290">
        <w:t>).</w:t>
      </w:r>
    </w:p>
    <w:p w14:paraId="12515823" w14:textId="4085FEC4" w:rsidR="00BB7290" w:rsidRDefault="00BB7290" w:rsidP="003D2EF7">
      <w:pPr>
        <w:jc w:val="both"/>
      </w:pPr>
      <w:r w:rsidRPr="00BB7290">
        <w:t xml:space="preserve">Permanently discontinue </w:t>
      </w:r>
      <w:proofErr w:type="spellStart"/>
      <w:r w:rsidRPr="00BB7290">
        <w:t>selpercatinib</w:t>
      </w:r>
      <w:proofErr w:type="spellEnd"/>
      <w:r w:rsidRPr="00BB7290">
        <w:t xml:space="preserve"> in patients with severe or life-threatening </w:t>
      </w:r>
      <w:proofErr w:type="spellStart"/>
      <w:r w:rsidRPr="00BB7290">
        <w:t>haemorrhage</w:t>
      </w:r>
      <w:proofErr w:type="spellEnd"/>
      <w:r w:rsidRPr="00BB7290">
        <w:t xml:space="preserve"> (</w:t>
      </w:r>
      <w:r w:rsidRPr="000028EA">
        <w:t xml:space="preserve">see section </w:t>
      </w:r>
      <w:r w:rsidR="00DB3003">
        <w:fldChar w:fldCharType="begin"/>
      </w:r>
      <w:r w:rsidR="00DB3003">
        <w:instrText xml:space="preserve"> REF _Ref99351469 \n \h </w:instrText>
      </w:r>
      <w:r w:rsidR="003D2EF7">
        <w:instrText xml:space="preserve"> \* MERGEFORMAT </w:instrText>
      </w:r>
      <w:r w:rsidR="00DB3003">
        <w:fldChar w:fldCharType="separate"/>
      </w:r>
      <w:r w:rsidR="00DB3003">
        <w:t>4.2</w:t>
      </w:r>
      <w:r w:rsidR="00DB3003">
        <w:fldChar w:fldCharType="end"/>
      </w:r>
      <w:r w:rsidR="00DB3003">
        <w:t xml:space="preserve"> </w:t>
      </w:r>
      <w:r w:rsidR="00DB3003">
        <w:fldChar w:fldCharType="begin"/>
      </w:r>
      <w:r w:rsidR="00DB3003">
        <w:instrText xml:space="preserve"> REF _Ref99351469 \h </w:instrText>
      </w:r>
      <w:r w:rsidR="003D2EF7">
        <w:instrText xml:space="preserve"> \* MERGEFORMAT </w:instrText>
      </w:r>
      <w:r w:rsidR="00DB3003">
        <w:fldChar w:fldCharType="separate"/>
      </w:r>
      <w:r w:rsidR="00DB3003">
        <w:t>Dose and method of administration</w:t>
      </w:r>
      <w:r w:rsidR="00DB3003">
        <w:fldChar w:fldCharType="end"/>
      </w:r>
      <w:r w:rsidRPr="00BB7290">
        <w:t>).</w:t>
      </w:r>
    </w:p>
    <w:p w14:paraId="6F8B8C3A" w14:textId="7D91BF0E" w:rsidR="00BC62CE" w:rsidRDefault="00334FAE" w:rsidP="003D2EF7">
      <w:pPr>
        <w:jc w:val="both"/>
        <w:rPr>
          <w:b/>
          <w:bCs/>
        </w:rPr>
      </w:pPr>
      <w:r>
        <w:rPr>
          <w:b/>
          <w:bCs/>
        </w:rPr>
        <w:t>Hypothyroidism</w:t>
      </w:r>
    </w:p>
    <w:p w14:paraId="5B5B7DA3" w14:textId="38BE89B5" w:rsidR="00334FAE" w:rsidRDefault="00334FAE" w:rsidP="003D2EF7">
      <w:pPr>
        <w:jc w:val="both"/>
      </w:pPr>
      <w:r>
        <w:t>Selpercatinib can cause hypothyroidism</w:t>
      </w:r>
      <w:r w:rsidR="00705072">
        <w:t>. Hypoth</w:t>
      </w:r>
      <w:r w:rsidR="005740CC">
        <w:t>y</w:t>
      </w:r>
      <w:r w:rsidR="00705072">
        <w:t>roidism occurred in 13%</w:t>
      </w:r>
      <w:r w:rsidR="00FA3743">
        <w:t xml:space="preserve"> (53/423)</w:t>
      </w:r>
      <w:r w:rsidR="00AC72E4">
        <w:t xml:space="preserve"> </w:t>
      </w:r>
      <w:r w:rsidR="00705072">
        <w:t xml:space="preserve">of patients </w:t>
      </w:r>
      <w:r w:rsidR="00D85FE8">
        <w:t xml:space="preserve">with </w:t>
      </w:r>
      <w:r w:rsidR="00C956E1">
        <w:t xml:space="preserve">other </w:t>
      </w:r>
      <w:r w:rsidR="00D85FE8">
        <w:t>solid</w:t>
      </w:r>
      <w:r w:rsidR="00C956E1">
        <w:t xml:space="preserve"> </w:t>
      </w:r>
      <w:proofErr w:type="spellStart"/>
      <w:r w:rsidR="00C956E1">
        <w:t>tumours</w:t>
      </w:r>
      <w:proofErr w:type="spellEnd"/>
      <w:r w:rsidR="00C956E1">
        <w:t xml:space="preserve"> including NSCLC</w:t>
      </w:r>
      <w:r w:rsidR="00B219E9">
        <w:t>;</w:t>
      </w:r>
      <w:r w:rsidR="00705072">
        <w:t xml:space="preserve"> all reactions were Grade 1 or </w:t>
      </w:r>
      <w:r w:rsidR="005740CC">
        <w:t xml:space="preserve">2. </w:t>
      </w:r>
    </w:p>
    <w:p w14:paraId="2DB55439" w14:textId="0305DFB2" w:rsidR="00613AE8" w:rsidRDefault="00E61983" w:rsidP="003D2EF7">
      <w:pPr>
        <w:jc w:val="both"/>
      </w:pPr>
      <w:r w:rsidRPr="00E61983">
        <w:t xml:space="preserve">Monitor thyroid function before treatment with RETEVMO and periodically during treatment. Treat with thyroid hormone replacement as clinically indicated. Withhold RETEVMO until clinically stable or permanently discontinue RETEVMO based on severity </w:t>
      </w:r>
      <w:r w:rsidR="00B76FB6" w:rsidRPr="00B76FB6">
        <w:t xml:space="preserve">(see section 4.2 </w:t>
      </w:r>
      <w:r w:rsidR="009378BA">
        <w:fldChar w:fldCharType="begin"/>
      </w:r>
      <w:r w:rsidR="009378BA">
        <w:instrText xml:space="preserve"> REF _Ref99351469 \h </w:instrText>
      </w:r>
      <w:r w:rsidR="009378BA">
        <w:fldChar w:fldCharType="separate"/>
      </w:r>
      <w:r w:rsidR="009378BA">
        <w:t>Dose and method of administration</w:t>
      </w:r>
      <w:r w:rsidR="009378BA">
        <w:fldChar w:fldCharType="end"/>
      </w:r>
      <w:r w:rsidR="00B76FB6" w:rsidRPr="00B76FB6">
        <w:t>).</w:t>
      </w:r>
    </w:p>
    <w:p w14:paraId="0AF9E799" w14:textId="77777777" w:rsidR="00BC5B7E" w:rsidRPr="00F7433B" w:rsidRDefault="00BC5B7E" w:rsidP="00BC5B7E">
      <w:pPr>
        <w:jc w:val="both"/>
        <w:rPr>
          <w:b/>
          <w:bCs/>
        </w:rPr>
      </w:pPr>
      <w:r w:rsidRPr="00F7433B">
        <w:rPr>
          <w:b/>
          <w:bCs/>
        </w:rPr>
        <w:t xml:space="preserve">Risk of impaired wound healing    </w:t>
      </w:r>
    </w:p>
    <w:p w14:paraId="30368145" w14:textId="77777777" w:rsidR="00BC5B7E" w:rsidRDefault="00BC5B7E" w:rsidP="00BC5B7E">
      <w:pPr>
        <w:jc w:val="both"/>
      </w:pPr>
      <w:r>
        <w:t>Impaired wound healing can occur in patients who receive drugs that inhibit the vascular endothelial growth factor (VEGF) signaling pathway. Therefore, RETEVMO has the potential to adversely affect wound healing.</w:t>
      </w:r>
    </w:p>
    <w:p w14:paraId="190ED543" w14:textId="048C2381" w:rsidR="00BC5B7E" w:rsidRDefault="00BC5B7E" w:rsidP="00BC5B7E">
      <w:pPr>
        <w:jc w:val="both"/>
      </w:pPr>
      <w:r>
        <w:t>Withhold RETEVMO for at least 7 days prior to elective surgery. Do not administer for at least 2 weeks following major surgery and until adequate wound healing. The safety of resumption of RETEVMO after resolution of wound healing complications has not been established.</w:t>
      </w:r>
    </w:p>
    <w:p w14:paraId="6F08CAB7" w14:textId="28CB2829" w:rsidR="00F751AA" w:rsidRPr="00061B30" w:rsidRDefault="00F751AA" w:rsidP="00F751AA">
      <w:pPr>
        <w:jc w:val="both"/>
        <w:rPr>
          <w:b/>
          <w:bCs/>
        </w:rPr>
      </w:pPr>
      <w:proofErr w:type="spellStart"/>
      <w:r w:rsidRPr="00061B30">
        <w:rPr>
          <w:b/>
          <w:bCs/>
        </w:rPr>
        <w:t>Tumour</w:t>
      </w:r>
      <w:proofErr w:type="spellEnd"/>
      <w:r w:rsidRPr="00061B30">
        <w:rPr>
          <w:b/>
          <w:bCs/>
        </w:rPr>
        <w:t xml:space="preserve"> lysis syndrome (TLS)</w:t>
      </w:r>
    </w:p>
    <w:p w14:paraId="3BD6F87C" w14:textId="50B77D1C" w:rsidR="00B87D76" w:rsidRPr="00334FAE" w:rsidRDefault="00F751AA" w:rsidP="003D2EF7">
      <w:pPr>
        <w:jc w:val="both"/>
      </w:pPr>
      <w:r>
        <w:lastRenderedPageBreak/>
        <w:t xml:space="preserve">Cases of TLS have been observed in patients treated with </w:t>
      </w:r>
      <w:proofErr w:type="spellStart"/>
      <w:r>
        <w:t>selpercatinib</w:t>
      </w:r>
      <w:proofErr w:type="spellEnd"/>
      <w:r>
        <w:t xml:space="preserve">. Risk factors for TLS include high </w:t>
      </w:r>
      <w:proofErr w:type="spellStart"/>
      <w:r>
        <w:t>tumour</w:t>
      </w:r>
      <w:proofErr w:type="spellEnd"/>
      <w:r>
        <w:t xml:space="preserve"> burden, pre</w:t>
      </w:r>
      <w:r w:rsidR="00061B30">
        <w:t>-</w:t>
      </w:r>
      <w:r>
        <w:t>existing chronic renal insufficiency, oliguria, dehydration, hypotension, and acidic urine. These patients should be monitored closely and treated as clinically indicated, and appropriate prophylaxis including hydration should be considered.</w:t>
      </w:r>
    </w:p>
    <w:p w14:paraId="226D8FB1" w14:textId="302BEBCD" w:rsidR="001A3992" w:rsidRDefault="001A3992" w:rsidP="00BB3100">
      <w:pPr>
        <w:pStyle w:val="Heading3"/>
      </w:pPr>
      <w:r w:rsidRPr="00B878CC">
        <w:t>Use in the elderly</w:t>
      </w:r>
      <w:fldSimple w:instr=" DOCVARIABLE vault_nd_4fe0063b-1f5d-4b57-b546-debd9d480828 \* MERGEFORMAT ">
        <w:r w:rsidR="00270901">
          <w:t xml:space="preserve"> </w:t>
        </w:r>
      </w:fldSimple>
    </w:p>
    <w:p w14:paraId="22447F8E" w14:textId="626DABC0" w:rsidR="00085F18" w:rsidRPr="00085F18" w:rsidRDefault="00085F18" w:rsidP="003D2EF7">
      <w:pPr>
        <w:jc w:val="both"/>
      </w:pPr>
      <w:r w:rsidRPr="00085F18">
        <w:t>No dose adjustment is required based on age (</w:t>
      </w:r>
      <w:r w:rsidRPr="00AA702A">
        <w:t xml:space="preserve">see section </w:t>
      </w:r>
      <w:r w:rsidR="00946F79">
        <w:fldChar w:fldCharType="begin"/>
      </w:r>
      <w:r w:rsidR="00946F79">
        <w:instrText xml:space="preserve"> REF _Ref99351469 \n \h </w:instrText>
      </w:r>
      <w:r w:rsidR="00946F79">
        <w:fldChar w:fldCharType="separate"/>
      </w:r>
      <w:r w:rsidR="00946F79">
        <w:t>4.2</w:t>
      </w:r>
      <w:r w:rsidR="00946F79">
        <w:fldChar w:fldCharType="end"/>
      </w:r>
      <w:r w:rsidR="00946F79">
        <w:t xml:space="preserve"> </w:t>
      </w:r>
      <w:r w:rsidR="00946F79">
        <w:fldChar w:fldCharType="begin"/>
      </w:r>
      <w:r w:rsidR="00946F79">
        <w:instrText xml:space="preserve"> REF _Ref99351469 \h </w:instrText>
      </w:r>
      <w:r w:rsidR="00946F79">
        <w:fldChar w:fldCharType="separate"/>
      </w:r>
      <w:r w:rsidR="00946F79">
        <w:t>Dose and method of administration</w:t>
      </w:r>
      <w:r w:rsidR="00946F79">
        <w:fldChar w:fldCharType="end"/>
      </w:r>
      <w:r w:rsidR="00946F79">
        <w:t xml:space="preserve"> and </w:t>
      </w:r>
      <w:r w:rsidR="002E27D2">
        <w:fldChar w:fldCharType="begin"/>
      </w:r>
      <w:r w:rsidR="002E27D2">
        <w:instrText xml:space="preserve"> REF _Ref99028023 \n \h </w:instrText>
      </w:r>
      <w:r w:rsidR="002E27D2">
        <w:fldChar w:fldCharType="separate"/>
      </w:r>
      <w:r w:rsidR="002E27D2">
        <w:t>5.2</w:t>
      </w:r>
      <w:r w:rsidR="002E27D2">
        <w:fldChar w:fldCharType="end"/>
      </w:r>
      <w:r w:rsidR="002E27D2">
        <w:t xml:space="preserve"> </w:t>
      </w:r>
      <w:r w:rsidR="002E27D2">
        <w:fldChar w:fldCharType="begin"/>
      </w:r>
      <w:r w:rsidR="002E27D2">
        <w:instrText xml:space="preserve"> REF _Ref99028023 \h </w:instrText>
      </w:r>
      <w:r w:rsidR="003D2EF7">
        <w:instrText xml:space="preserve"> \* MERGEFORMAT </w:instrText>
      </w:r>
      <w:r w:rsidR="002E27D2">
        <w:fldChar w:fldCharType="separate"/>
      </w:r>
      <w:r w:rsidR="002E27D2" w:rsidRPr="00EC3C40">
        <w:rPr>
          <w:lang w:val="en-US"/>
        </w:rPr>
        <w:t>Pharmacokinetic properties</w:t>
      </w:r>
      <w:r w:rsidR="002E27D2">
        <w:fldChar w:fldCharType="end"/>
      </w:r>
      <w:r w:rsidRPr="00085F18">
        <w:t>).</w:t>
      </w:r>
    </w:p>
    <w:p w14:paraId="0ACDE9D5" w14:textId="77777777" w:rsidR="00085F18" w:rsidRDefault="00085F18" w:rsidP="003D2EF7">
      <w:pPr>
        <w:jc w:val="both"/>
      </w:pPr>
      <w:r w:rsidRPr="00085F18">
        <w:t xml:space="preserve">No overall differences were observed in the treatment emergent adverse events or effectiveness of </w:t>
      </w:r>
      <w:proofErr w:type="spellStart"/>
      <w:r w:rsidRPr="00085F18">
        <w:t>selpercatinib</w:t>
      </w:r>
      <w:proofErr w:type="spellEnd"/>
      <w:r w:rsidRPr="00085F18">
        <w:t xml:space="preserve"> between patients who were ≥65 years of age and younger patients. Limited data are available in patients ≥75 years.</w:t>
      </w:r>
    </w:p>
    <w:p w14:paraId="602E4A72" w14:textId="45D683B4" w:rsidR="001A3992" w:rsidRDefault="001A3992" w:rsidP="00BB3100">
      <w:pPr>
        <w:pStyle w:val="Heading3"/>
      </w:pPr>
      <w:proofErr w:type="spellStart"/>
      <w:r w:rsidRPr="00B878CC">
        <w:t>Paediatric</w:t>
      </w:r>
      <w:proofErr w:type="spellEnd"/>
      <w:r w:rsidRPr="00B878CC">
        <w:t xml:space="preserve"> use</w:t>
      </w:r>
      <w:fldSimple w:instr=" DOCVARIABLE vault_nd_87b4f9a1-12fb-408f-9caf-565f55fef2cb \* MERGEFORMAT ">
        <w:r w:rsidR="00270901">
          <w:t xml:space="preserve"> </w:t>
        </w:r>
      </w:fldSimple>
    </w:p>
    <w:p w14:paraId="65A7F661" w14:textId="77777777" w:rsidR="00CE378E" w:rsidRDefault="00DE598F" w:rsidP="00AD1387">
      <w:r w:rsidRPr="00DE598F">
        <w:t xml:space="preserve">The safety of </w:t>
      </w:r>
      <w:proofErr w:type="spellStart"/>
      <w:r w:rsidRPr="00DE598F">
        <w:t>selpercatinib</w:t>
      </w:r>
      <w:proofErr w:type="spellEnd"/>
      <w:r w:rsidRPr="00DE598F">
        <w:t xml:space="preserve"> in children aged less than 18 years has not been established.</w:t>
      </w:r>
    </w:p>
    <w:p w14:paraId="6AEAECC0" w14:textId="4D92EC38" w:rsidR="001A3992" w:rsidRDefault="001A3992" w:rsidP="00CE378E">
      <w:pPr>
        <w:pStyle w:val="Heading3"/>
      </w:pPr>
      <w:r w:rsidRPr="00486D13">
        <w:t>Effects on laboratory tests</w:t>
      </w:r>
      <w:fldSimple w:instr=" DOCVARIABLE vault_nd_566cab9f-ba5d-440d-9b9b-09ee4e79728c \* MERGEFORMAT ">
        <w:r w:rsidR="00270901">
          <w:t xml:space="preserve"> </w:t>
        </w:r>
      </w:fldSimple>
    </w:p>
    <w:p w14:paraId="0AC938BE" w14:textId="77777777" w:rsidR="00C974F7" w:rsidRDefault="001725AE" w:rsidP="003D2EF7">
      <w:pPr>
        <w:jc w:val="both"/>
      </w:pPr>
      <w:r>
        <w:t xml:space="preserve">Hepatic transaminase should be monitored prior to the start of </w:t>
      </w:r>
      <w:proofErr w:type="spellStart"/>
      <w:r>
        <w:t>selpercatinib</w:t>
      </w:r>
      <w:proofErr w:type="spellEnd"/>
      <w:r>
        <w:t xml:space="preserve"> therapy</w:t>
      </w:r>
      <w:r w:rsidR="00C509F8">
        <w:t xml:space="preserve">, </w:t>
      </w:r>
      <w:r w:rsidR="00806698">
        <w:t xml:space="preserve">at </w:t>
      </w:r>
      <w:r w:rsidR="00C509F8">
        <w:t xml:space="preserve">every 2 weeks </w:t>
      </w:r>
      <w:r w:rsidR="00806698">
        <w:t xml:space="preserve">interval </w:t>
      </w:r>
      <w:r w:rsidR="00C509F8">
        <w:t>during the first 3 months, monthly for the next 3 months and as clinicall</w:t>
      </w:r>
      <w:r w:rsidR="00806698">
        <w:t>y indicated</w:t>
      </w:r>
      <w:r w:rsidR="00363440">
        <w:t>.</w:t>
      </w:r>
      <w:r>
        <w:t xml:space="preserve"> </w:t>
      </w:r>
    </w:p>
    <w:p w14:paraId="1BEED208" w14:textId="77CCE710" w:rsidR="00BC7D00" w:rsidRDefault="00B353E3" w:rsidP="003D2EF7">
      <w:pPr>
        <w:jc w:val="both"/>
      </w:pPr>
      <w:r>
        <w:t>S</w:t>
      </w:r>
      <w:r w:rsidR="003432F7">
        <w:t>erum electrolytes should be monitored in all patients</w:t>
      </w:r>
      <w:r w:rsidR="009F1A4C">
        <w:t xml:space="preserve"> after 1 week of </w:t>
      </w:r>
      <w:proofErr w:type="spellStart"/>
      <w:r w:rsidR="00806698">
        <w:t>selpercatinib</w:t>
      </w:r>
      <w:proofErr w:type="spellEnd"/>
      <w:r w:rsidR="00806698">
        <w:t xml:space="preserve"> </w:t>
      </w:r>
      <w:r w:rsidR="009F1A4C">
        <w:t>treatment</w:t>
      </w:r>
      <w:r w:rsidR="00BC336D">
        <w:t>,</w:t>
      </w:r>
      <w:r w:rsidR="009F1A4C">
        <w:t xml:space="preserve"> at least monthly for the first 6 months and as clinically indicated</w:t>
      </w:r>
      <w:r w:rsidR="00C509F8">
        <w:t xml:space="preserve"> (see Section</w:t>
      </w:r>
      <w:r>
        <w:t>s</w:t>
      </w:r>
      <w:r w:rsidR="00C509F8">
        <w:t xml:space="preserve"> </w:t>
      </w:r>
      <w:r w:rsidR="00182794">
        <w:fldChar w:fldCharType="begin"/>
      </w:r>
      <w:r w:rsidR="00182794">
        <w:instrText xml:space="preserve"> REF _Ref99026326 \n \h </w:instrText>
      </w:r>
      <w:r w:rsidR="00182794">
        <w:fldChar w:fldCharType="separate"/>
      </w:r>
      <w:r w:rsidR="00182794">
        <w:t>4.4</w:t>
      </w:r>
      <w:r w:rsidR="00182794">
        <w:fldChar w:fldCharType="end"/>
      </w:r>
      <w:r w:rsidR="00182794">
        <w:t xml:space="preserve"> </w:t>
      </w:r>
      <w:r w:rsidR="00182794">
        <w:fldChar w:fldCharType="begin"/>
      </w:r>
      <w:r w:rsidR="00182794">
        <w:instrText xml:space="preserve"> REF _Ref99026326 \h </w:instrText>
      </w:r>
      <w:r w:rsidR="00182794">
        <w:fldChar w:fldCharType="separate"/>
      </w:r>
      <w:r w:rsidR="00182794">
        <w:t>Special warnings and precautions for use</w:t>
      </w:r>
      <w:r w:rsidR="00182794">
        <w:fldChar w:fldCharType="end"/>
      </w:r>
      <w:r>
        <w:t xml:space="preserve"> and </w:t>
      </w:r>
      <w:r>
        <w:fldChar w:fldCharType="begin"/>
      </w:r>
      <w:r>
        <w:instrText xml:space="preserve"> REF _Ref99351469 \n \h </w:instrText>
      </w:r>
      <w:r>
        <w:fldChar w:fldCharType="separate"/>
      </w:r>
      <w:r>
        <w:t>4.2</w:t>
      </w:r>
      <w:r>
        <w:fldChar w:fldCharType="end"/>
      </w:r>
      <w:r>
        <w:t xml:space="preserve"> </w:t>
      </w:r>
      <w:r>
        <w:fldChar w:fldCharType="begin"/>
      </w:r>
      <w:r>
        <w:instrText xml:space="preserve"> REF _Ref99351469 \h </w:instrText>
      </w:r>
      <w:r>
        <w:fldChar w:fldCharType="separate"/>
      </w:r>
      <w:r>
        <w:t>Dose and method of administration</w:t>
      </w:r>
      <w:r>
        <w:fldChar w:fldCharType="end"/>
      </w:r>
      <w:r w:rsidR="00C509F8">
        <w:t>)</w:t>
      </w:r>
      <w:r w:rsidR="009F1A4C">
        <w:t>.</w:t>
      </w:r>
    </w:p>
    <w:p w14:paraId="51896CD2" w14:textId="63EFDC2A" w:rsidR="001A3992" w:rsidRDefault="001A3992" w:rsidP="00D10D9A">
      <w:pPr>
        <w:pStyle w:val="Heading2"/>
      </w:pPr>
      <w:bookmarkStart w:id="5" w:name="_Ref125103182"/>
      <w:bookmarkStart w:id="6" w:name="_Ref99016658"/>
      <w:r>
        <w:t>Interactions with other medicines and other forms of interactions</w:t>
      </w:r>
      <w:bookmarkEnd w:id="5"/>
      <w:r w:rsidR="00270901">
        <w:fldChar w:fldCharType="begin"/>
      </w:r>
      <w:r w:rsidR="00270901">
        <w:instrText xml:space="preserve"> DOCVARIABLE vault_nd_2a4ca74f-4f54-4210-9724-a7a6c24d7c59 \* MERGEFORMAT </w:instrText>
      </w:r>
      <w:r w:rsidR="00270901">
        <w:fldChar w:fldCharType="separate"/>
      </w:r>
      <w:r w:rsidR="00270901">
        <w:t xml:space="preserve"> </w:t>
      </w:r>
      <w:r w:rsidR="00270901">
        <w:fldChar w:fldCharType="end"/>
      </w:r>
    </w:p>
    <w:bookmarkEnd w:id="6"/>
    <w:p w14:paraId="3F8B3628" w14:textId="7FE33FDE" w:rsidR="00615919" w:rsidRDefault="00AC5989" w:rsidP="00FA1F96">
      <w:pPr>
        <w:jc w:val="both"/>
      </w:pPr>
      <w:r w:rsidRPr="00FA1F96">
        <w:rPr>
          <w:i/>
          <w:iCs/>
        </w:rPr>
        <w:t>In vitro</w:t>
      </w:r>
      <w:r w:rsidRPr="00AC5989">
        <w:t xml:space="preserve"> studies indicate that </w:t>
      </w:r>
      <w:proofErr w:type="spellStart"/>
      <w:r w:rsidRPr="00AC5989">
        <w:t>selpercatinib</w:t>
      </w:r>
      <w:proofErr w:type="spellEnd"/>
      <w:r w:rsidRPr="00AC5989">
        <w:t xml:space="preserve"> does not inhibit or induce CYP1A2, CYP2B6, CYP2C9, CYP2C19, or CYP2D6 at clinically relevant concentrations.</w:t>
      </w:r>
    </w:p>
    <w:p w14:paraId="38612484" w14:textId="754A5426" w:rsidR="00DE5DA1" w:rsidRPr="008C49F2" w:rsidRDefault="00DE5DA1" w:rsidP="00005AAA">
      <w:pPr>
        <w:pStyle w:val="Heading3"/>
      </w:pPr>
      <w:r w:rsidRPr="008C49F2">
        <w:t xml:space="preserve">Effects of other medicinal products on the pharmacokinetics of </w:t>
      </w:r>
      <w:proofErr w:type="spellStart"/>
      <w:r w:rsidRPr="008C49F2">
        <w:t>selpercatinib</w:t>
      </w:r>
      <w:proofErr w:type="spellEnd"/>
      <w:r w:rsidR="00A85A71">
        <w:fldChar w:fldCharType="begin"/>
      </w:r>
      <w:r w:rsidR="00A85A71">
        <w:instrText xml:space="preserve"> DOCVARIABLE vault_nd_fa282ad6-9447-4395-87e7-bd06c2ad08e2 \* MERGEFORMAT </w:instrText>
      </w:r>
      <w:r w:rsidR="00A85A71">
        <w:fldChar w:fldCharType="separate"/>
      </w:r>
      <w:r w:rsidR="00270901">
        <w:t xml:space="preserve"> </w:t>
      </w:r>
      <w:r w:rsidR="00A85A71">
        <w:fldChar w:fldCharType="end"/>
      </w:r>
    </w:p>
    <w:p w14:paraId="01C2BA4B" w14:textId="5DA36B31" w:rsidR="00DE5DA1" w:rsidRPr="007D6822" w:rsidRDefault="00DE5DA1" w:rsidP="003D2EF7">
      <w:pPr>
        <w:jc w:val="both"/>
      </w:pPr>
      <w:r w:rsidRPr="007D6822">
        <w:t>Selpercatinib metabolism is through CYP3A4. Therefore, medicinal products that can influence CYP3A4 enzyme activity</w:t>
      </w:r>
      <w:r>
        <w:t xml:space="preserve"> </w:t>
      </w:r>
      <w:r w:rsidRPr="007D6822">
        <w:t xml:space="preserve">may alter the pharmacokinetics of </w:t>
      </w:r>
      <w:proofErr w:type="spellStart"/>
      <w:r w:rsidRPr="007D6822">
        <w:t>selpercatinib</w:t>
      </w:r>
      <w:proofErr w:type="spellEnd"/>
      <w:r w:rsidRPr="007D6822">
        <w:t>.</w:t>
      </w:r>
    </w:p>
    <w:p w14:paraId="21F6A450" w14:textId="210A6198" w:rsidR="002A7734" w:rsidRPr="007D6822" w:rsidRDefault="00DE5DA1" w:rsidP="003D2EF7">
      <w:pPr>
        <w:jc w:val="both"/>
      </w:pPr>
      <w:r w:rsidRPr="007D6822">
        <w:t>Selpercatinib is a substrate for P-glycoprotein (P-</w:t>
      </w:r>
      <w:proofErr w:type="spellStart"/>
      <w:r w:rsidRPr="007D6822">
        <w:t>gp</w:t>
      </w:r>
      <w:proofErr w:type="spellEnd"/>
      <w:r w:rsidRPr="007D6822">
        <w:t xml:space="preserve">) and Breast Cancer Resistance Protein (BCRP) </w:t>
      </w:r>
      <w:r w:rsidRPr="007D6822">
        <w:rPr>
          <w:i/>
        </w:rPr>
        <w:t>in vitro</w:t>
      </w:r>
      <w:r w:rsidRPr="007D6822">
        <w:t>, however</w:t>
      </w:r>
      <w:r>
        <w:t xml:space="preserve"> </w:t>
      </w:r>
      <w:r w:rsidRPr="007D6822">
        <w:t xml:space="preserve">these transporters do not appear to limit the oral absorption of </w:t>
      </w:r>
      <w:proofErr w:type="spellStart"/>
      <w:r w:rsidRPr="007D6822">
        <w:t>selpercatinib</w:t>
      </w:r>
      <w:proofErr w:type="spellEnd"/>
      <w:r w:rsidRPr="007D6822">
        <w:t>, as its oral bioavailability is 73% and its</w:t>
      </w:r>
      <w:r>
        <w:t xml:space="preserve"> </w:t>
      </w:r>
      <w:r w:rsidRPr="007D6822">
        <w:t>exposure was increased minimally by co-administration of the P-</w:t>
      </w:r>
      <w:proofErr w:type="spellStart"/>
      <w:r w:rsidRPr="007D6822">
        <w:t>gp</w:t>
      </w:r>
      <w:proofErr w:type="spellEnd"/>
      <w:r w:rsidRPr="007D6822">
        <w:t xml:space="preserve"> inhibitor rifampicin (increase of approximately 6.5%</w:t>
      </w:r>
      <w:r w:rsidR="00E52EA1">
        <w:t xml:space="preserve"> </w:t>
      </w:r>
      <w:r w:rsidRPr="007D6822">
        <w:t xml:space="preserve">and 19% in </w:t>
      </w:r>
      <w:proofErr w:type="spellStart"/>
      <w:r w:rsidRPr="007D6822">
        <w:t>selpercatinib</w:t>
      </w:r>
      <w:proofErr w:type="spellEnd"/>
      <w:r w:rsidRPr="007D6822">
        <w:t xml:space="preserve"> AUC</w:t>
      </w:r>
      <w:r w:rsidRPr="007D6822">
        <w:rPr>
          <w:vertAlign w:val="subscript"/>
        </w:rPr>
        <w:t>0-24</w:t>
      </w:r>
      <w:r w:rsidRPr="007D6822">
        <w:t xml:space="preserve"> and </w:t>
      </w:r>
      <w:proofErr w:type="spellStart"/>
      <w:r w:rsidRPr="007D6822">
        <w:t>C</w:t>
      </w:r>
      <w:r w:rsidRPr="007D6822">
        <w:rPr>
          <w:vertAlign w:val="subscript"/>
        </w:rPr>
        <w:t>max</w:t>
      </w:r>
      <w:proofErr w:type="spellEnd"/>
      <w:r w:rsidRPr="007D6822">
        <w:t>, respectively).</w:t>
      </w:r>
    </w:p>
    <w:p w14:paraId="69E1F9B3" w14:textId="4DAC4FDE" w:rsidR="00DE5DA1" w:rsidRPr="00B643B6" w:rsidRDefault="00DE5DA1" w:rsidP="00B643B6">
      <w:pPr>
        <w:pStyle w:val="Heading3"/>
        <w:rPr>
          <w:i/>
          <w:iCs/>
        </w:rPr>
      </w:pPr>
      <w:r w:rsidRPr="00B643B6">
        <w:rPr>
          <w:i/>
          <w:iCs/>
        </w:rPr>
        <w:t xml:space="preserve">Agents that may increase </w:t>
      </w:r>
      <w:proofErr w:type="spellStart"/>
      <w:r w:rsidRPr="00B643B6">
        <w:rPr>
          <w:i/>
          <w:iCs/>
        </w:rPr>
        <w:t>selpercatinib</w:t>
      </w:r>
      <w:proofErr w:type="spellEnd"/>
      <w:r w:rsidRPr="00B643B6">
        <w:rPr>
          <w:i/>
          <w:iCs/>
        </w:rPr>
        <w:t xml:space="preserve"> plasma concentrations</w:t>
      </w:r>
      <w:r w:rsidR="00270901">
        <w:rPr>
          <w:i/>
          <w:iCs/>
        </w:rPr>
        <w:fldChar w:fldCharType="begin"/>
      </w:r>
      <w:r w:rsidR="00270901">
        <w:rPr>
          <w:i/>
          <w:iCs/>
        </w:rPr>
        <w:instrText xml:space="preserve"> DOCVARIABLE vault_nd_fcec3591-e765-45b7-a8d6-5614c027baac \* MERGEFORMAT </w:instrText>
      </w:r>
      <w:r w:rsidR="00270901">
        <w:rPr>
          <w:i/>
          <w:iCs/>
        </w:rPr>
        <w:fldChar w:fldCharType="separate"/>
      </w:r>
      <w:r w:rsidR="00270901">
        <w:rPr>
          <w:i/>
          <w:iCs/>
        </w:rPr>
        <w:t xml:space="preserve"> </w:t>
      </w:r>
      <w:r w:rsidR="00270901">
        <w:rPr>
          <w:i/>
          <w:iCs/>
        </w:rPr>
        <w:fldChar w:fldCharType="end"/>
      </w:r>
    </w:p>
    <w:p w14:paraId="0F0D1396" w14:textId="7E8F7E23" w:rsidR="008C49F2" w:rsidRPr="007D6822" w:rsidRDefault="00DE5DA1" w:rsidP="003D2EF7">
      <w:pPr>
        <w:jc w:val="both"/>
      </w:pPr>
      <w:r w:rsidRPr="007D6822">
        <w:t xml:space="preserve">Co-administration of a single 160 mg </w:t>
      </w:r>
      <w:proofErr w:type="spellStart"/>
      <w:r w:rsidRPr="007D6822">
        <w:t>selpercatinib</w:t>
      </w:r>
      <w:proofErr w:type="spellEnd"/>
      <w:r w:rsidRPr="007D6822">
        <w:t xml:space="preserve"> dose with itraconazole, a strong CYP3A</w:t>
      </w:r>
      <w:r w:rsidR="004B4581">
        <w:t>4</w:t>
      </w:r>
      <w:r w:rsidRPr="007D6822">
        <w:t xml:space="preserve"> inhibitor, increased the </w:t>
      </w:r>
      <w:proofErr w:type="spellStart"/>
      <w:r w:rsidRPr="007D6822">
        <w:t>C</w:t>
      </w:r>
      <w:r w:rsidRPr="007D6822">
        <w:rPr>
          <w:vertAlign w:val="subscript"/>
        </w:rPr>
        <w:t>max</w:t>
      </w:r>
      <w:proofErr w:type="spellEnd"/>
      <w:r>
        <w:t xml:space="preserve"> </w:t>
      </w:r>
      <w:r w:rsidRPr="007D6822">
        <w:t xml:space="preserve">and AUC of </w:t>
      </w:r>
      <w:proofErr w:type="spellStart"/>
      <w:r w:rsidRPr="007D6822">
        <w:t>selpercatinib</w:t>
      </w:r>
      <w:proofErr w:type="spellEnd"/>
      <w:r w:rsidRPr="007D6822">
        <w:t xml:space="preserve"> by 30% and 130%, respectively, compared to </w:t>
      </w:r>
      <w:proofErr w:type="spellStart"/>
      <w:r w:rsidRPr="007D6822">
        <w:t>selpercatinib</w:t>
      </w:r>
      <w:proofErr w:type="spellEnd"/>
      <w:r w:rsidRPr="007D6822">
        <w:t xml:space="preserve"> given alone</w:t>
      </w:r>
      <w:r w:rsidR="00E45503">
        <w:t>, which may increase the risk of an ADR, including QT</w:t>
      </w:r>
      <w:r w:rsidR="00491412">
        <w:t>c prolongation</w:t>
      </w:r>
      <w:r w:rsidRPr="007D6822">
        <w:t xml:space="preserve">. </w:t>
      </w:r>
      <w:r w:rsidRPr="007D6822">
        <w:lastRenderedPageBreak/>
        <w:t>If strong CYP3A and/or</w:t>
      </w:r>
      <w:r>
        <w:t xml:space="preserve"> </w:t>
      </w:r>
      <w:r w:rsidRPr="007D6822">
        <w:t>P-</w:t>
      </w:r>
      <w:proofErr w:type="spellStart"/>
      <w:r w:rsidRPr="007D6822">
        <w:t>gp</w:t>
      </w:r>
      <w:proofErr w:type="spellEnd"/>
      <w:r w:rsidRPr="007D6822">
        <w:t xml:space="preserve"> inhibitors, including, but not limited to, ketoconazole, itraconazole, voriconazole, ritonavir, saquinavir, telithromycin,</w:t>
      </w:r>
      <w:r>
        <w:t xml:space="preserve"> </w:t>
      </w:r>
      <w:proofErr w:type="spellStart"/>
      <w:r w:rsidRPr="007D6822">
        <w:t>posaconazole</w:t>
      </w:r>
      <w:proofErr w:type="spellEnd"/>
      <w:r w:rsidRPr="007D6822">
        <w:t xml:space="preserve"> and nefazodone, have to be co</w:t>
      </w:r>
      <w:r w:rsidR="00232574">
        <w:t>-</w:t>
      </w:r>
      <w:r w:rsidRPr="007D6822">
        <w:t xml:space="preserve">administered, the dose of </w:t>
      </w:r>
      <w:proofErr w:type="spellStart"/>
      <w:r w:rsidRPr="007D6822">
        <w:t>selpercatinib</w:t>
      </w:r>
      <w:proofErr w:type="spellEnd"/>
      <w:r w:rsidRPr="007D6822">
        <w:t xml:space="preserve"> should be reduced (</w:t>
      </w:r>
      <w:r w:rsidRPr="00822CC2">
        <w:t>see section</w:t>
      </w:r>
      <w:r w:rsidR="00F035EE" w:rsidRPr="00822CC2">
        <w:t xml:space="preserve"> </w:t>
      </w:r>
      <w:r w:rsidR="00371E06">
        <w:fldChar w:fldCharType="begin"/>
      </w:r>
      <w:r w:rsidR="00371E06">
        <w:instrText xml:space="preserve"> REF _Ref99351469 \n \h </w:instrText>
      </w:r>
      <w:r w:rsidR="00371E06">
        <w:fldChar w:fldCharType="separate"/>
      </w:r>
      <w:r w:rsidR="00371E06">
        <w:t>4.2</w:t>
      </w:r>
      <w:r w:rsidR="00371E06">
        <w:fldChar w:fldCharType="end"/>
      </w:r>
      <w:r w:rsidR="00371E06">
        <w:t xml:space="preserve"> </w:t>
      </w:r>
      <w:r w:rsidR="00371E06">
        <w:fldChar w:fldCharType="begin"/>
      </w:r>
      <w:r w:rsidR="00371E06">
        <w:instrText xml:space="preserve"> REF _Ref99351469 \h </w:instrText>
      </w:r>
      <w:r w:rsidR="00371E06">
        <w:fldChar w:fldCharType="separate"/>
      </w:r>
      <w:r w:rsidR="00371E06">
        <w:t>Dose and method of administration</w:t>
      </w:r>
      <w:r w:rsidR="00371E06">
        <w:fldChar w:fldCharType="end"/>
      </w:r>
      <w:r w:rsidR="00DF6314">
        <w:t xml:space="preserve"> and </w:t>
      </w:r>
      <w:r w:rsidR="0051241E" w:rsidRPr="00046E2D">
        <w:t xml:space="preserve">section </w:t>
      </w:r>
      <w:r w:rsidR="00225809">
        <w:t xml:space="preserve">4.4 </w:t>
      </w:r>
      <w:r w:rsidR="001616D3">
        <w:fldChar w:fldCharType="begin"/>
      </w:r>
      <w:r w:rsidR="001616D3">
        <w:instrText xml:space="preserve"> REF _Ref99026326 \h </w:instrText>
      </w:r>
      <w:r w:rsidR="001616D3">
        <w:fldChar w:fldCharType="separate"/>
      </w:r>
      <w:r w:rsidR="001616D3">
        <w:t>Special warnings and precautions for use</w:t>
      </w:r>
      <w:r w:rsidR="001616D3">
        <w:fldChar w:fldCharType="end"/>
      </w:r>
      <w:r w:rsidR="000C4676" w:rsidRPr="00046E2D">
        <w:t>; QT interval prolongation</w:t>
      </w:r>
      <w:r w:rsidRPr="007D6822">
        <w:t>).</w:t>
      </w:r>
    </w:p>
    <w:p w14:paraId="1F7458DE" w14:textId="52D475C7" w:rsidR="00DE5DA1" w:rsidRPr="00B643B6" w:rsidRDefault="00DE5DA1" w:rsidP="00B643B6">
      <w:pPr>
        <w:pStyle w:val="Heading3"/>
        <w:rPr>
          <w:i/>
          <w:iCs/>
        </w:rPr>
      </w:pPr>
      <w:r w:rsidRPr="00B643B6">
        <w:rPr>
          <w:i/>
          <w:iCs/>
        </w:rPr>
        <w:t xml:space="preserve">Agents that may decrease </w:t>
      </w:r>
      <w:proofErr w:type="spellStart"/>
      <w:r w:rsidRPr="00B643B6">
        <w:rPr>
          <w:i/>
          <w:iCs/>
        </w:rPr>
        <w:t>selpercatinib</w:t>
      </w:r>
      <w:proofErr w:type="spellEnd"/>
      <w:r w:rsidRPr="00B643B6">
        <w:rPr>
          <w:i/>
          <w:iCs/>
        </w:rPr>
        <w:t xml:space="preserve"> plasma concentrations</w:t>
      </w:r>
      <w:r w:rsidR="00270901">
        <w:rPr>
          <w:i/>
          <w:iCs/>
        </w:rPr>
        <w:fldChar w:fldCharType="begin"/>
      </w:r>
      <w:r w:rsidR="00270901">
        <w:rPr>
          <w:i/>
          <w:iCs/>
        </w:rPr>
        <w:instrText xml:space="preserve"> DOCVARIABLE vault_nd_b113758a-9cd0-4934-bb6e-0c9adcba4758 \* MERGEFORMAT </w:instrText>
      </w:r>
      <w:r w:rsidR="00270901">
        <w:rPr>
          <w:i/>
          <w:iCs/>
        </w:rPr>
        <w:fldChar w:fldCharType="separate"/>
      </w:r>
      <w:r w:rsidR="00270901">
        <w:rPr>
          <w:i/>
          <w:iCs/>
        </w:rPr>
        <w:t xml:space="preserve"> </w:t>
      </w:r>
      <w:r w:rsidR="00270901">
        <w:rPr>
          <w:i/>
          <w:iCs/>
        </w:rPr>
        <w:fldChar w:fldCharType="end"/>
      </w:r>
    </w:p>
    <w:p w14:paraId="4D8200C2" w14:textId="4024DF50" w:rsidR="00DE5DA1" w:rsidRPr="007D6822" w:rsidRDefault="00DE5DA1" w:rsidP="003D2EF7">
      <w:pPr>
        <w:jc w:val="both"/>
      </w:pPr>
      <w:r w:rsidRPr="007D6822">
        <w:t>Co-administration of rifampicin, a strong CYP3A4 inducer resulted in a decrease of approximately 87% and 70% in</w:t>
      </w:r>
      <w:r w:rsidR="00232574">
        <w:t xml:space="preserve"> </w:t>
      </w:r>
      <w:proofErr w:type="spellStart"/>
      <w:r w:rsidRPr="007D6822">
        <w:t>selpercatinib</w:t>
      </w:r>
      <w:proofErr w:type="spellEnd"/>
      <w:r w:rsidRPr="007D6822">
        <w:t xml:space="preserve"> AUC and </w:t>
      </w:r>
      <w:proofErr w:type="spellStart"/>
      <w:r w:rsidRPr="007D6822">
        <w:t>C</w:t>
      </w:r>
      <w:r w:rsidRPr="007D6822">
        <w:rPr>
          <w:vertAlign w:val="subscript"/>
        </w:rPr>
        <w:t>max</w:t>
      </w:r>
      <w:proofErr w:type="spellEnd"/>
      <w:r w:rsidRPr="007D6822">
        <w:t xml:space="preserve">, respectively, compared to </w:t>
      </w:r>
      <w:proofErr w:type="spellStart"/>
      <w:r w:rsidRPr="007D6822">
        <w:t>selpercatinib</w:t>
      </w:r>
      <w:proofErr w:type="spellEnd"/>
      <w:r w:rsidRPr="007D6822">
        <w:t xml:space="preserve"> alone, therefore the concomitant use of strong</w:t>
      </w:r>
      <w:r w:rsidR="00F33367">
        <w:t xml:space="preserve"> </w:t>
      </w:r>
      <w:r w:rsidRPr="007D6822">
        <w:t>CYP3A4 inducers including, but not limited to, carbamazepine, phenobarbital, phenytoin, rifabutin, rifampicin and St.</w:t>
      </w:r>
      <w:r w:rsidR="00232574">
        <w:t xml:space="preserve"> </w:t>
      </w:r>
      <w:r w:rsidRPr="007D6822">
        <w:t>John's Wort (</w:t>
      </w:r>
      <w:r w:rsidRPr="007D6822">
        <w:rPr>
          <w:i/>
        </w:rPr>
        <w:t xml:space="preserve">Hypericum </w:t>
      </w:r>
      <w:proofErr w:type="spellStart"/>
      <w:r w:rsidRPr="007D6822">
        <w:rPr>
          <w:i/>
        </w:rPr>
        <w:t>perforatum</w:t>
      </w:r>
      <w:proofErr w:type="spellEnd"/>
      <w:r w:rsidRPr="007D6822">
        <w:t>), should be avoided.</w:t>
      </w:r>
    </w:p>
    <w:p w14:paraId="0F63F097" w14:textId="238FE260" w:rsidR="00DE5DA1" w:rsidRPr="00981A4D" w:rsidRDefault="00DE5DA1" w:rsidP="00005AAA">
      <w:pPr>
        <w:pStyle w:val="Heading3"/>
      </w:pPr>
      <w:r w:rsidRPr="00981A4D">
        <w:t xml:space="preserve">Effects of </w:t>
      </w:r>
      <w:proofErr w:type="spellStart"/>
      <w:r w:rsidRPr="00981A4D">
        <w:t>selpercatinib</w:t>
      </w:r>
      <w:proofErr w:type="spellEnd"/>
      <w:r w:rsidRPr="00981A4D">
        <w:t xml:space="preserve"> on the pharmacokinetics of other</w:t>
      </w:r>
      <w:r w:rsidR="00232574" w:rsidRPr="00981A4D">
        <w:t xml:space="preserve"> </w:t>
      </w:r>
      <w:r w:rsidRPr="00981A4D">
        <w:t>medicinal products (increase in plasma concentration)</w:t>
      </w:r>
      <w:fldSimple w:instr=" DOCVARIABLE vault_nd_e900808d-5651-403b-8e7a-dd59979a5567 \* MERGEFORMAT ">
        <w:r w:rsidR="00270901">
          <w:t xml:space="preserve"> </w:t>
        </w:r>
      </w:fldSimple>
    </w:p>
    <w:p w14:paraId="081189BB" w14:textId="1B44920E" w:rsidR="00DE5DA1" w:rsidRPr="00B643B6" w:rsidRDefault="00DE5DA1" w:rsidP="00B643B6">
      <w:pPr>
        <w:pStyle w:val="Heading3"/>
        <w:rPr>
          <w:i/>
          <w:iCs/>
        </w:rPr>
      </w:pPr>
      <w:r w:rsidRPr="00B643B6">
        <w:rPr>
          <w:i/>
          <w:iCs/>
        </w:rPr>
        <w:t>Sensitive CYP2C8 substrates</w:t>
      </w:r>
      <w:r w:rsidR="00270901">
        <w:rPr>
          <w:i/>
          <w:iCs/>
        </w:rPr>
        <w:fldChar w:fldCharType="begin"/>
      </w:r>
      <w:r w:rsidR="00270901">
        <w:rPr>
          <w:i/>
          <w:iCs/>
        </w:rPr>
        <w:instrText xml:space="preserve"> DOCVARIABLE vault_nd_65f6d464-354b-4150-bd81-319b72b20722 \* MERGEFORMAT </w:instrText>
      </w:r>
      <w:r w:rsidR="00270901">
        <w:rPr>
          <w:i/>
          <w:iCs/>
        </w:rPr>
        <w:fldChar w:fldCharType="separate"/>
      </w:r>
      <w:r w:rsidR="00270901">
        <w:rPr>
          <w:i/>
          <w:iCs/>
        </w:rPr>
        <w:t xml:space="preserve"> </w:t>
      </w:r>
      <w:r w:rsidR="00270901">
        <w:rPr>
          <w:i/>
          <w:iCs/>
        </w:rPr>
        <w:fldChar w:fldCharType="end"/>
      </w:r>
    </w:p>
    <w:p w14:paraId="0280FCBE" w14:textId="2BF9180F" w:rsidR="00DE5DA1" w:rsidRPr="007D6822" w:rsidRDefault="00DE5DA1" w:rsidP="003D2EF7">
      <w:pPr>
        <w:jc w:val="both"/>
      </w:pPr>
      <w:r w:rsidRPr="007D6822">
        <w:t xml:space="preserve">Selpercatinib increased the </w:t>
      </w:r>
      <w:proofErr w:type="spellStart"/>
      <w:r w:rsidRPr="007D6822">
        <w:t>C</w:t>
      </w:r>
      <w:r w:rsidRPr="007D6822">
        <w:rPr>
          <w:vertAlign w:val="subscript"/>
        </w:rPr>
        <w:t>max</w:t>
      </w:r>
      <w:proofErr w:type="spellEnd"/>
      <w:r w:rsidRPr="007D6822">
        <w:t xml:space="preserve"> and AUC of repaglinide (a substrate of CYP2C8) by approximately </w:t>
      </w:r>
      <w:r w:rsidR="00E30B90">
        <w:t>91</w:t>
      </w:r>
      <w:r w:rsidRPr="007D6822">
        <w:t xml:space="preserve">% and </w:t>
      </w:r>
      <w:r w:rsidR="00E30B90">
        <w:t>188</w:t>
      </w:r>
      <w:r w:rsidRPr="007D6822">
        <w:t>%</w:t>
      </w:r>
      <w:r w:rsidR="00982AD7">
        <w:t xml:space="preserve">, </w:t>
      </w:r>
      <w:r w:rsidRPr="007D6822">
        <w:t>respectively. Therefore, co</w:t>
      </w:r>
      <w:r w:rsidR="00982AD7">
        <w:t>-</w:t>
      </w:r>
      <w:r w:rsidRPr="007D6822">
        <w:t xml:space="preserve">administration with sensitive CYP2C8 substrates (e.g., </w:t>
      </w:r>
      <w:proofErr w:type="spellStart"/>
      <w:r w:rsidRPr="007D6822">
        <w:t>odiaquine</w:t>
      </w:r>
      <w:proofErr w:type="spellEnd"/>
      <w:r w:rsidRPr="007D6822">
        <w:t>, cerivastatin, enzalutamide,</w:t>
      </w:r>
      <w:r w:rsidR="00232574">
        <w:t xml:space="preserve"> </w:t>
      </w:r>
      <w:r w:rsidRPr="007D6822">
        <w:t xml:space="preserve">paclitaxel, repaglinide, </w:t>
      </w:r>
      <w:proofErr w:type="spellStart"/>
      <w:r w:rsidRPr="007D6822">
        <w:t>torasemide</w:t>
      </w:r>
      <w:proofErr w:type="spellEnd"/>
      <w:r w:rsidRPr="007D6822">
        <w:t xml:space="preserve">, sorafenib, rosiglitazone, buprenorphine, </w:t>
      </w:r>
      <w:proofErr w:type="spellStart"/>
      <w:r w:rsidRPr="007D6822">
        <w:t>selexipag</w:t>
      </w:r>
      <w:proofErr w:type="spellEnd"/>
      <w:r w:rsidRPr="007D6822">
        <w:t>, dasabuvir and monte</w:t>
      </w:r>
      <w:r w:rsidR="009E288F">
        <w:t>l</w:t>
      </w:r>
      <w:r w:rsidRPr="007D6822">
        <w:t>ukast),</w:t>
      </w:r>
      <w:r w:rsidR="00232574">
        <w:t xml:space="preserve"> </w:t>
      </w:r>
      <w:r w:rsidRPr="007D6822">
        <w:t>should be avoided.</w:t>
      </w:r>
    </w:p>
    <w:p w14:paraId="296CC7DC" w14:textId="307F2DB7" w:rsidR="00DE5DA1" w:rsidRPr="00B643B6" w:rsidRDefault="00DE5DA1" w:rsidP="00B643B6">
      <w:pPr>
        <w:pStyle w:val="Heading3"/>
        <w:rPr>
          <w:i/>
          <w:iCs/>
        </w:rPr>
      </w:pPr>
      <w:r w:rsidRPr="00B643B6">
        <w:rPr>
          <w:i/>
          <w:iCs/>
        </w:rPr>
        <w:t>Sensitive CYP3A4 substrates</w:t>
      </w:r>
      <w:r w:rsidR="00270901">
        <w:rPr>
          <w:i/>
          <w:iCs/>
        </w:rPr>
        <w:fldChar w:fldCharType="begin"/>
      </w:r>
      <w:r w:rsidR="00270901">
        <w:rPr>
          <w:i/>
          <w:iCs/>
        </w:rPr>
        <w:instrText xml:space="preserve"> DOCVARIABLE vault_nd_35a5ece0-db7f-4d72-9234-6334ca8e21f1 \* MERGEFORMAT </w:instrText>
      </w:r>
      <w:r w:rsidR="00270901">
        <w:rPr>
          <w:i/>
          <w:iCs/>
        </w:rPr>
        <w:fldChar w:fldCharType="separate"/>
      </w:r>
      <w:r w:rsidR="00270901">
        <w:rPr>
          <w:i/>
          <w:iCs/>
        </w:rPr>
        <w:t xml:space="preserve"> </w:t>
      </w:r>
      <w:r w:rsidR="00270901">
        <w:rPr>
          <w:i/>
          <w:iCs/>
        </w:rPr>
        <w:fldChar w:fldCharType="end"/>
      </w:r>
    </w:p>
    <w:p w14:paraId="26682789" w14:textId="41CFC7A0" w:rsidR="00990DD9" w:rsidRPr="00D53239" w:rsidRDefault="00DE5DA1" w:rsidP="003D2EF7">
      <w:pPr>
        <w:jc w:val="both"/>
      </w:pPr>
      <w:r w:rsidRPr="007D6822">
        <w:t xml:space="preserve">Selpercatinib increased </w:t>
      </w:r>
      <w:proofErr w:type="spellStart"/>
      <w:r w:rsidRPr="007D6822">
        <w:t>C</w:t>
      </w:r>
      <w:r w:rsidRPr="007D6822">
        <w:rPr>
          <w:vertAlign w:val="subscript"/>
        </w:rPr>
        <w:t>max</w:t>
      </w:r>
      <w:proofErr w:type="spellEnd"/>
      <w:r w:rsidRPr="007D6822">
        <w:t xml:space="preserve"> and AUC of midazolam (a CYP3A4 substrate) by approximately 39% and 54%,</w:t>
      </w:r>
      <w:r w:rsidR="00982AD7">
        <w:t xml:space="preserve"> </w:t>
      </w:r>
      <w:r w:rsidRPr="007D6822">
        <w:t>respectively. Therefore, concomitant use with sensitive CYP3A4 substrates, (e.g., alfentanil, avanafil, buspirone,</w:t>
      </w:r>
      <w:r w:rsidR="00982AD7">
        <w:t xml:space="preserve"> </w:t>
      </w:r>
      <w:r w:rsidRPr="007D6822">
        <w:t xml:space="preserve">conivaptan, darifenacin, darunavir, </w:t>
      </w:r>
      <w:proofErr w:type="spellStart"/>
      <w:r w:rsidRPr="007D6822">
        <w:t>ebastine</w:t>
      </w:r>
      <w:proofErr w:type="spellEnd"/>
      <w:r w:rsidRPr="007D6822">
        <w:t xml:space="preserve">, </w:t>
      </w:r>
      <w:proofErr w:type="spellStart"/>
      <w:r w:rsidRPr="007D6822">
        <w:t>lomitapide</w:t>
      </w:r>
      <w:proofErr w:type="spellEnd"/>
      <w:r w:rsidRPr="007D6822">
        <w:t xml:space="preserve">, lovastatin, midazolam, </w:t>
      </w:r>
      <w:proofErr w:type="spellStart"/>
      <w:r w:rsidRPr="007D6822">
        <w:t>naloxegol</w:t>
      </w:r>
      <w:proofErr w:type="spellEnd"/>
      <w:r w:rsidRPr="007D6822">
        <w:t xml:space="preserve">, </w:t>
      </w:r>
      <w:proofErr w:type="spellStart"/>
      <w:r w:rsidRPr="007D6822">
        <w:t>nisoldipine</w:t>
      </w:r>
      <w:proofErr w:type="spellEnd"/>
      <w:r w:rsidRPr="007D6822">
        <w:t>, saquinavir,</w:t>
      </w:r>
      <w:r w:rsidR="00982AD7">
        <w:t xml:space="preserve"> </w:t>
      </w:r>
      <w:r w:rsidRPr="007D6822">
        <w:t>simvastatin, tipranavir, triazolam, vardenafil), should be avoided.</w:t>
      </w:r>
    </w:p>
    <w:p w14:paraId="164ACBF7" w14:textId="200602FC" w:rsidR="00DE5DA1" w:rsidRPr="00981A4D" w:rsidRDefault="00DE5DA1" w:rsidP="00005AAA">
      <w:pPr>
        <w:pStyle w:val="Heading3"/>
      </w:pPr>
      <w:r w:rsidRPr="00981A4D">
        <w:t>Coadministration with medicinal products that affect gastric pH</w:t>
      </w:r>
      <w:fldSimple w:instr=" DOCVARIABLE vault_nd_1c6ab5dd-9a82-49ac-a3a3-0f828b7465c3 \* MERGEFORMAT ">
        <w:r w:rsidR="00270901">
          <w:t xml:space="preserve"> </w:t>
        </w:r>
      </w:fldSimple>
    </w:p>
    <w:p w14:paraId="4E7F87F7" w14:textId="4A59C6F6" w:rsidR="00DE5DA1" w:rsidRPr="007D6822" w:rsidRDefault="00DE5DA1" w:rsidP="003D2EF7">
      <w:pPr>
        <w:jc w:val="both"/>
      </w:pPr>
      <w:r w:rsidRPr="007D6822">
        <w:t xml:space="preserve">Selpercatinib has pH-dependent solubility, with decreased solubility at higher </w:t>
      </w:r>
      <w:proofErr w:type="spellStart"/>
      <w:r w:rsidRPr="007D6822">
        <w:t>pH.</w:t>
      </w:r>
      <w:proofErr w:type="spellEnd"/>
      <w:r w:rsidRPr="007D6822">
        <w:t xml:space="preserve"> No clinically significant differences in</w:t>
      </w:r>
      <w:r w:rsidR="00982AD7">
        <w:t xml:space="preserve"> </w:t>
      </w:r>
      <w:proofErr w:type="spellStart"/>
      <w:r w:rsidRPr="007D6822">
        <w:t>selpercatinib</w:t>
      </w:r>
      <w:proofErr w:type="spellEnd"/>
      <w:r w:rsidRPr="007D6822">
        <w:t xml:space="preserve"> pharmacokinetics were observed when co</w:t>
      </w:r>
      <w:r w:rsidR="00982AD7">
        <w:t>-</w:t>
      </w:r>
      <w:r w:rsidRPr="007D6822">
        <w:t>administered with multiple daily doses of ranitidine (H</w:t>
      </w:r>
      <w:r w:rsidRPr="00BA2CF3">
        <w:rPr>
          <w:vertAlign w:val="subscript"/>
        </w:rPr>
        <w:t>2</w:t>
      </w:r>
      <w:r w:rsidRPr="007D6822">
        <w:t xml:space="preserve"> receptor</w:t>
      </w:r>
      <w:r w:rsidR="00982AD7">
        <w:t xml:space="preserve"> </w:t>
      </w:r>
      <w:r w:rsidRPr="007D6822">
        <w:t xml:space="preserve">antagonist) given 2 hours after the </w:t>
      </w:r>
      <w:proofErr w:type="spellStart"/>
      <w:r w:rsidRPr="007D6822">
        <w:t>selpercatinib</w:t>
      </w:r>
      <w:proofErr w:type="spellEnd"/>
      <w:r w:rsidRPr="007D6822">
        <w:t xml:space="preserve"> dose.</w:t>
      </w:r>
    </w:p>
    <w:p w14:paraId="0D8FE247" w14:textId="659CE233" w:rsidR="00DE5DA1" w:rsidRPr="00981A4D" w:rsidRDefault="00DE5DA1" w:rsidP="00005AAA">
      <w:pPr>
        <w:pStyle w:val="Heading3"/>
      </w:pPr>
      <w:r w:rsidRPr="00981A4D">
        <w:t>Coadministration with medicinal products that are proton pump inhibitors</w:t>
      </w:r>
      <w:fldSimple w:instr=" DOCVARIABLE vault_nd_2eee9b4e-5d3d-4694-ab0a-76d84e45f34e \* MERGEFORMAT ">
        <w:r w:rsidR="00270901">
          <w:t xml:space="preserve"> </w:t>
        </w:r>
      </w:fldSimple>
    </w:p>
    <w:p w14:paraId="3B9DCC2D" w14:textId="5F6DF019" w:rsidR="0045103D" w:rsidRPr="00990DD9" w:rsidRDefault="00DE5DA1" w:rsidP="003D2EF7">
      <w:pPr>
        <w:jc w:val="both"/>
      </w:pPr>
      <w:r w:rsidRPr="007D6822">
        <w:t>Co</w:t>
      </w:r>
      <w:r w:rsidR="00982AD7">
        <w:t>-</w:t>
      </w:r>
      <w:r w:rsidRPr="007D6822">
        <w:t xml:space="preserve">administration with multiple daily doses of omeprazole (a proton pump inhibitor) decreased </w:t>
      </w:r>
      <w:proofErr w:type="spellStart"/>
      <w:r w:rsidRPr="007D6822">
        <w:t>selpercatinib</w:t>
      </w:r>
      <w:proofErr w:type="spellEnd"/>
      <w:r w:rsidRPr="007D6822">
        <w:t xml:space="preserve"> AUC</w:t>
      </w:r>
      <w:r w:rsidRPr="007D6822">
        <w:rPr>
          <w:vertAlign w:val="subscript"/>
        </w:rPr>
        <w:t>0-INF</w:t>
      </w:r>
      <w:r w:rsidR="00982AD7">
        <w:rPr>
          <w:vertAlign w:val="subscript"/>
        </w:rPr>
        <w:t xml:space="preserve"> </w:t>
      </w:r>
      <w:r w:rsidRPr="007D6822">
        <w:t xml:space="preserve">and </w:t>
      </w:r>
      <w:proofErr w:type="spellStart"/>
      <w:r w:rsidRPr="007D6822">
        <w:t>C</w:t>
      </w:r>
      <w:r w:rsidRPr="007D6822">
        <w:rPr>
          <w:vertAlign w:val="subscript"/>
        </w:rPr>
        <w:t>max</w:t>
      </w:r>
      <w:proofErr w:type="spellEnd"/>
      <w:r w:rsidRPr="007D6822">
        <w:t xml:space="preserve"> when </w:t>
      </w:r>
      <w:proofErr w:type="spellStart"/>
      <w:r w:rsidRPr="007D6822">
        <w:t>selpercatinib</w:t>
      </w:r>
      <w:proofErr w:type="spellEnd"/>
      <w:r w:rsidRPr="007D6822">
        <w:t xml:space="preserve"> was administered fasting. Co</w:t>
      </w:r>
      <w:r w:rsidR="00A52419">
        <w:t>-</w:t>
      </w:r>
      <w:r w:rsidRPr="007D6822">
        <w:t>administration with multiple daily doses of omeprazole did not</w:t>
      </w:r>
      <w:r w:rsidR="00A52419">
        <w:t xml:space="preserve"> </w:t>
      </w:r>
      <w:r w:rsidRPr="007D6822">
        <w:t xml:space="preserve">significantly change the </w:t>
      </w:r>
      <w:proofErr w:type="spellStart"/>
      <w:r w:rsidRPr="007D6822">
        <w:t>selpercatinib</w:t>
      </w:r>
      <w:proofErr w:type="spellEnd"/>
      <w:r w:rsidRPr="007D6822">
        <w:t xml:space="preserve"> AUC</w:t>
      </w:r>
      <w:r w:rsidRPr="007D6822">
        <w:rPr>
          <w:vertAlign w:val="subscript"/>
        </w:rPr>
        <w:t>0-INF</w:t>
      </w:r>
      <w:r w:rsidRPr="007D6822">
        <w:t xml:space="preserve"> and </w:t>
      </w:r>
      <w:proofErr w:type="spellStart"/>
      <w:r w:rsidRPr="007D6822">
        <w:t>C</w:t>
      </w:r>
      <w:r w:rsidRPr="007D6822">
        <w:rPr>
          <w:vertAlign w:val="subscript"/>
        </w:rPr>
        <w:t>max</w:t>
      </w:r>
      <w:proofErr w:type="spellEnd"/>
      <w:r w:rsidRPr="007D6822">
        <w:t xml:space="preserve"> when </w:t>
      </w:r>
      <w:r w:rsidR="00A52419">
        <w:t>RETEVMO</w:t>
      </w:r>
      <w:r w:rsidRPr="007D6822">
        <w:t xml:space="preserve"> was administered with food.</w:t>
      </w:r>
    </w:p>
    <w:p w14:paraId="6A5932B0" w14:textId="70525899" w:rsidR="00DE5DA1" w:rsidRPr="00981A4D" w:rsidRDefault="00DE5DA1" w:rsidP="00005AAA">
      <w:pPr>
        <w:pStyle w:val="Heading3"/>
      </w:pPr>
      <w:r w:rsidRPr="00981A4D">
        <w:lastRenderedPageBreak/>
        <w:t>Co</w:t>
      </w:r>
      <w:r w:rsidR="00A52419" w:rsidRPr="00981A4D">
        <w:t>-</w:t>
      </w:r>
      <w:r w:rsidRPr="00981A4D">
        <w:t>administration with medicinal products that are substrates of transporters</w:t>
      </w:r>
      <w:fldSimple w:instr=" DOCVARIABLE vault_nd_c8e1e30a-27ec-4501-8f48-0f58cce78b8e \* MERGEFORMAT ">
        <w:r w:rsidR="00270901">
          <w:t xml:space="preserve"> </w:t>
        </w:r>
      </w:fldSimple>
    </w:p>
    <w:p w14:paraId="7AFA856B" w14:textId="43BA227A" w:rsidR="00DE5DA1" w:rsidRPr="007D6822" w:rsidRDefault="008D0AC2" w:rsidP="003D2EF7">
      <w:pPr>
        <w:jc w:val="both"/>
      </w:pPr>
      <w:r w:rsidRPr="00FA1F96">
        <w:rPr>
          <w:i/>
          <w:iCs/>
        </w:rPr>
        <w:t>In vitro</w:t>
      </w:r>
      <w:r w:rsidRPr="008D0AC2">
        <w:t xml:space="preserve"> studies indicate that </w:t>
      </w:r>
      <w:proofErr w:type="spellStart"/>
      <w:r w:rsidRPr="008D0AC2">
        <w:t>selpercatinib</w:t>
      </w:r>
      <w:proofErr w:type="spellEnd"/>
      <w:r w:rsidRPr="008D0AC2">
        <w:t xml:space="preserve"> inhibits MATE1, P-</w:t>
      </w:r>
      <w:proofErr w:type="spellStart"/>
      <w:r w:rsidRPr="008D0AC2">
        <w:t>gp</w:t>
      </w:r>
      <w:proofErr w:type="spellEnd"/>
      <w:r w:rsidRPr="008D0AC2">
        <w:t>, and BCRP, but does not inhibit OAT1, OAT3, OCT1, OCT2, OATP1B1, OATP1B3, BSEP, and MATE2-K at clinically relevant concentrations</w:t>
      </w:r>
      <w:r w:rsidR="00896731">
        <w:t xml:space="preserve">. </w:t>
      </w:r>
      <w:r w:rsidR="00DE5DA1" w:rsidRPr="007D6822">
        <w:rPr>
          <w:i/>
        </w:rPr>
        <w:t xml:space="preserve">In vivo </w:t>
      </w:r>
      <w:r w:rsidR="00DE5DA1" w:rsidRPr="007D6822">
        <w:t>interactions of</w:t>
      </w:r>
      <w:r w:rsidR="00A52419">
        <w:t xml:space="preserve"> </w:t>
      </w:r>
      <w:proofErr w:type="spellStart"/>
      <w:r w:rsidR="00DE5DA1" w:rsidRPr="007D6822">
        <w:t>selpercatinib</w:t>
      </w:r>
      <w:proofErr w:type="spellEnd"/>
      <w:r w:rsidR="00DE5DA1" w:rsidRPr="007D6822">
        <w:t xml:space="preserve"> with clinically relevant substrates of MATE1, such as</w:t>
      </w:r>
      <w:r w:rsidR="00A52419">
        <w:t xml:space="preserve"> </w:t>
      </w:r>
      <w:r w:rsidR="00DE5DA1" w:rsidRPr="007D6822">
        <w:t>creatinine, may occur.</w:t>
      </w:r>
    </w:p>
    <w:p w14:paraId="49448831" w14:textId="64033BC0" w:rsidR="004E0C1D" w:rsidRDefault="00022516" w:rsidP="003D2EF7">
      <w:pPr>
        <w:jc w:val="both"/>
      </w:pPr>
      <w:r>
        <w:rPr>
          <w:i/>
          <w:iCs/>
        </w:rPr>
        <w:t xml:space="preserve">In vivo, </w:t>
      </w:r>
      <w:proofErr w:type="spellStart"/>
      <w:r w:rsidR="00575CFE">
        <w:t>s</w:t>
      </w:r>
      <w:r w:rsidR="00AA706A" w:rsidRPr="00AA706A">
        <w:t>elpercatinib</w:t>
      </w:r>
      <w:proofErr w:type="spellEnd"/>
      <w:r w:rsidR="00AA706A" w:rsidRPr="00AA706A">
        <w:t xml:space="preserve"> increased </w:t>
      </w:r>
      <w:proofErr w:type="spellStart"/>
      <w:r w:rsidR="00AA706A" w:rsidRPr="00AA706A">
        <w:t>C</w:t>
      </w:r>
      <w:r w:rsidR="00AA706A" w:rsidRPr="00AA706A">
        <w:rPr>
          <w:vertAlign w:val="subscript"/>
        </w:rPr>
        <w:t>max</w:t>
      </w:r>
      <w:proofErr w:type="spellEnd"/>
      <w:r w:rsidR="00AA706A" w:rsidRPr="00AA706A">
        <w:t xml:space="preserve"> and AUC of dabigatran, a P-</w:t>
      </w:r>
      <w:proofErr w:type="spellStart"/>
      <w:r w:rsidR="00AA706A" w:rsidRPr="00AA706A">
        <w:t>gp</w:t>
      </w:r>
      <w:proofErr w:type="spellEnd"/>
      <w:r w:rsidR="00AA706A" w:rsidRPr="00AA706A">
        <w:t xml:space="preserve"> substrate, by 43% and 38%, respectively. Therefore, caution should be used when taking a </w:t>
      </w:r>
      <w:proofErr w:type="gramStart"/>
      <w:r w:rsidR="00AA706A" w:rsidRPr="00AA706A">
        <w:t>sensitive  P</w:t>
      </w:r>
      <w:proofErr w:type="gramEnd"/>
      <w:r w:rsidR="00AA706A" w:rsidRPr="00AA706A">
        <w:t>-</w:t>
      </w:r>
      <w:proofErr w:type="spellStart"/>
      <w:r w:rsidR="00AA706A" w:rsidRPr="00AA706A">
        <w:t>gp</w:t>
      </w:r>
      <w:proofErr w:type="spellEnd"/>
      <w:r w:rsidR="00AA706A" w:rsidRPr="00AA706A">
        <w:t xml:space="preserve"> substrate (e.g., fexofenadine, dabigatran </w:t>
      </w:r>
      <w:proofErr w:type="spellStart"/>
      <w:r w:rsidR="00AA706A" w:rsidRPr="00AA706A">
        <w:t>etexilate</w:t>
      </w:r>
      <w:proofErr w:type="spellEnd"/>
      <w:r w:rsidR="00AA706A" w:rsidRPr="00AA706A">
        <w:t xml:space="preserve">, colchicine, </w:t>
      </w:r>
      <w:proofErr w:type="spellStart"/>
      <w:r w:rsidR="00AA706A" w:rsidRPr="00AA706A">
        <w:t>saxagliptin</w:t>
      </w:r>
      <w:proofErr w:type="spellEnd"/>
      <w:r w:rsidR="00AA706A" w:rsidRPr="00AA706A">
        <w:t xml:space="preserve">) </w:t>
      </w:r>
      <w:r w:rsidR="004C05B1">
        <w:t xml:space="preserve">and particularly those with a narrow </w:t>
      </w:r>
      <w:r w:rsidR="00D4003F">
        <w:t>therapeutic index (e.g</w:t>
      </w:r>
      <w:r w:rsidR="00C8008C">
        <w:t>.</w:t>
      </w:r>
      <w:r w:rsidR="00D4003F">
        <w:t xml:space="preserve"> digoxin)</w:t>
      </w:r>
      <w:r w:rsidR="00AA706A" w:rsidRPr="00AA706A">
        <w:t>.</w:t>
      </w:r>
    </w:p>
    <w:p w14:paraId="2020A3DC" w14:textId="238AEECB" w:rsidR="001A3992" w:rsidRDefault="001A3992" w:rsidP="00D10D9A">
      <w:pPr>
        <w:pStyle w:val="Heading2"/>
      </w:pPr>
      <w:bookmarkStart w:id="7" w:name="_Ref99356401"/>
      <w:r w:rsidRPr="00ED6015">
        <w:t>Fertility</w:t>
      </w:r>
      <w:r>
        <w:t>, pregnancy and lactation</w:t>
      </w:r>
      <w:bookmarkEnd w:id="7"/>
      <w:r w:rsidR="00270901">
        <w:fldChar w:fldCharType="begin"/>
      </w:r>
      <w:r w:rsidR="00270901">
        <w:instrText xml:space="preserve"> DOCVARIABLE vault_nd_2a41273c-c74c-4456-9ca0-61d8e310d78d \* MERGEFORMAT </w:instrText>
      </w:r>
      <w:r w:rsidR="00270901">
        <w:fldChar w:fldCharType="separate"/>
      </w:r>
      <w:r w:rsidR="00270901">
        <w:t xml:space="preserve"> </w:t>
      </w:r>
      <w:r w:rsidR="00270901">
        <w:fldChar w:fldCharType="end"/>
      </w:r>
    </w:p>
    <w:p w14:paraId="1F3AF428" w14:textId="7303E336" w:rsidR="001A3992" w:rsidRDefault="001A3992" w:rsidP="00BB3100">
      <w:pPr>
        <w:pStyle w:val="Heading3"/>
      </w:pPr>
      <w:bookmarkStart w:id="8" w:name="_Ref99598274"/>
      <w:r w:rsidRPr="00B878CC">
        <w:t>Effects on fertility</w:t>
      </w:r>
      <w:fldSimple w:instr=" DOCVARIABLE vault_nd_c54aca95-8f8c-4b60-a90b-1d70591584a1 \* MERGEFORMAT ">
        <w:r w:rsidR="00270901">
          <w:t xml:space="preserve"> </w:t>
        </w:r>
      </w:fldSimple>
    </w:p>
    <w:bookmarkEnd w:id="8"/>
    <w:p w14:paraId="647C78DA" w14:textId="4878CC05" w:rsidR="006F3C15" w:rsidRDefault="006F3C15" w:rsidP="003B4DAB">
      <w:pPr>
        <w:jc w:val="both"/>
      </w:pPr>
      <w:r w:rsidRPr="006F3C15">
        <w:t xml:space="preserve">No human data on the effect of </w:t>
      </w:r>
      <w:proofErr w:type="spellStart"/>
      <w:r w:rsidRPr="006F3C15">
        <w:t>selpercatinib</w:t>
      </w:r>
      <w:proofErr w:type="spellEnd"/>
      <w:r w:rsidRPr="006F3C15">
        <w:t xml:space="preserve"> on fertility are available. Based on findings from animal studies, male and female fertility may be compromised by treatment with RETEVMO (see </w:t>
      </w:r>
      <w:r w:rsidR="007C027E">
        <w:fldChar w:fldCharType="begin"/>
      </w:r>
      <w:r w:rsidR="007C027E">
        <w:instrText xml:space="preserve"> REF _Ref99356401 \w \h </w:instrText>
      </w:r>
      <w:r w:rsidR="007C027E">
        <w:fldChar w:fldCharType="separate"/>
      </w:r>
      <w:r w:rsidR="007C027E">
        <w:t>4.6</w:t>
      </w:r>
      <w:r w:rsidR="007C027E">
        <w:fldChar w:fldCharType="end"/>
      </w:r>
      <w:r w:rsidR="0068246B">
        <w:t xml:space="preserve"> </w:t>
      </w:r>
      <w:r w:rsidR="0068246B">
        <w:fldChar w:fldCharType="begin"/>
      </w:r>
      <w:r w:rsidR="0068246B">
        <w:instrText xml:space="preserve"> REF _Ref99356401 \h </w:instrText>
      </w:r>
      <w:r w:rsidR="00E64E90">
        <w:instrText xml:space="preserve"> \* MERGEFORMAT </w:instrText>
      </w:r>
      <w:r w:rsidR="0068246B">
        <w:fldChar w:fldCharType="separate"/>
      </w:r>
      <w:r w:rsidR="0068246B" w:rsidRPr="005E2E6F">
        <w:t>Fertility</w:t>
      </w:r>
      <w:r w:rsidR="0068246B" w:rsidRPr="003B4DAB">
        <w:t>, pregnancy and lactation</w:t>
      </w:r>
      <w:r w:rsidR="0068246B">
        <w:fldChar w:fldCharType="end"/>
      </w:r>
      <w:r w:rsidR="0068246B">
        <w:t xml:space="preserve">, </w:t>
      </w:r>
      <w:r w:rsidR="00931907">
        <w:fldChar w:fldCharType="begin"/>
      </w:r>
      <w:r w:rsidR="00931907">
        <w:instrText xml:space="preserve"> REF _Ref99455900 \h </w:instrText>
      </w:r>
      <w:r w:rsidR="00931907">
        <w:fldChar w:fldCharType="separate"/>
      </w:r>
      <w:r w:rsidR="00931907" w:rsidRPr="000D0640">
        <w:t>Reproduction toxicity</w:t>
      </w:r>
      <w:r w:rsidR="00931907">
        <w:fldChar w:fldCharType="end"/>
      </w:r>
      <w:r w:rsidRPr="006F3C15">
        <w:t xml:space="preserve">). Both men and women should seek advice on fertility preservation before treatment.  </w:t>
      </w:r>
    </w:p>
    <w:p w14:paraId="09EF7EDF" w14:textId="7D5FEFB9" w:rsidR="00FB1F64" w:rsidRDefault="00765057" w:rsidP="003B4DAB">
      <w:pPr>
        <w:jc w:val="both"/>
      </w:pPr>
      <w:r w:rsidRPr="00FD2714">
        <w:t xml:space="preserve">Women of childbearing potential </w:t>
      </w:r>
      <w:proofErr w:type="gramStart"/>
      <w:r w:rsidRPr="00FD2714">
        <w:t>have to</w:t>
      </w:r>
      <w:proofErr w:type="gramEnd"/>
      <w:r w:rsidRPr="00FD2714">
        <w:t xml:space="preserve"> use highly effective contraception during treatment and for at least one week</w:t>
      </w:r>
      <w:r>
        <w:t xml:space="preserve"> </w:t>
      </w:r>
      <w:r w:rsidRPr="00FD2714">
        <w:t xml:space="preserve">after the last dose of </w:t>
      </w:r>
      <w:proofErr w:type="spellStart"/>
      <w:r w:rsidRPr="00FD2714">
        <w:t>selpercatinib</w:t>
      </w:r>
      <w:proofErr w:type="spellEnd"/>
      <w:r w:rsidRPr="00FD2714">
        <w:t>. Men with female partners of childbearing potential should use effective contraception</w:t>
      </w:r>
      <w:r>
        <w:t xml:space="preserve"> </w:t>
      </w:r>
      <w:r w:rsidRPr="00FD2714">
        <w:t xml:space="preserve">during treatment and for at least one week after the last dose of </w:t>
      </w:r>
      <w:proofErr w:type="spellStart"/>
      <w:r w:rsidRPr="00FD2714">
        <w:t>selpercatinib</w:t>
      </w:r>
      <w:proofErr w:type="spellEnd"/>
      <w:r w:rsidRPr="00FD2714">
        <w:t>.</w:t>
      </w:r>
    </w:p>
    <w:p w14:paraId="15436A48" w14:textId="65D43717" w:rsidR="002A01DD" w:rsidRPr="00B643B6" w:rsidRDefault="002A01DD" w:rsidP="00B643B6">
      <w:pPr>
        <w:pStyle w:val="Heading3"/>
        <w:rPr>
          <w:i/>
          <w:iCs/>
        </w:rPr>
      </w:pPr>
      <w:bookmarkStart w:id="9" w:name="_Ref99455900"/>
      <w:r w:rsidRPr="00B643B6">
        <w:rPr>
          <w:i/>
          <w:iCs/>
        </w:rPr>
        <w:t>Reproduction toxicity</w:t>
      </w:r>
      <w:bookmarkEnd w:id="9"/>
      <w:r w:rsidR="00270901">
        <w:rPr>
          <w:i/>
          <w:iCs/>
        </w:rPr>
        <w:fldChar w:fldCharType="begin"/>
      </w:r>
      <w:r w:rsidR="00270901">
        <w:rPr>
          <w:i/>
          <w:iCs/>
        </w:rPr>
        <w:instrText xml:space="preserve"> DOCVARIABLE vault_nd_6a111b8c-5530-4053-9d44-c7e7ba60c408 \* MERGEFORMAT </w:instrText>
      </w:r>
      <w:r w:rsidR="00270901">
        <w:rPr>
          <w:i/>
          <w:iCs/>
        </w:rPr>
        <w:fldChar w:fldCharType="separate"/>
      </w:r>
      <w:r w:rsidR="00270901">
        <w:rPr>
          <w:i/>
          <w:iCs/>
        </w:rPr>
        <w:t xml:space="preserve"> </w:t>
      </w:r>
      <w:r w:rsidR="00270901">
        <w:rPr>
          <w:i/>
          <w:iCs/>
        </w:rPr>
        <w:fldChar w:fldCharType="end"/>
      </w:r>
    </w:p>
    <w:p w14:paraId="10CC3A7D" w14:textId="77777777" w:rsidR="002A01DD" w:rsidRPr="002A01DD" w:rsidRDefault="002A01DD" w:rsidP="0055517B">
      <w:pPr>
        <w:jc w:val="both"/>
      </w:pPr>
      <w:r w:rsidRPr="002A01DD">
        <w:t xml:space="preserve">Results of studies conducted in rats and minipigs suggest that </w:t>
      </w:r>
      <w:proofErr w:type="spellStart"/>
      <w:r w:rsidRPr="002A01DD">
        <w:t>selpercatinib</w:t>
      </w:r>
      <w:proofErr w:type="spellEnd"/>
      <w:r w:rsidRPr="002A01DD">
        <w:t xml:space="preserve"> could impair fertility in males and females.</w:t>
      </w:r>
    </w:p>
    <w:p w14:paraId="05EC834A" w14:textId="6CC461BD" w:rsidR="002A01DD" w:rsidRPr="002A01DD" w:rsidRDefault="002A01DD" w:rsidP="00EF1F1A">
      <w:pPr>
        <w:jc w:val="both"/>
      </w:pPr>
      <w:r w:rsidRPr="002A01DD">
        <w:t>In a fertility study in male rats, dose-dependent germ cell depletion and spermatid retention were observed at subclinical</w:t>
      </w:r>
      <w:r>
        <w:t xml:space="preserve"> </w:t>
      </w:r>
      <w:r w:rsidRPr="002A01DD">
        <w:t>AUC-based exposure levels. These effects were</w:t>
      </w:r>
      <w:r w:rsidR="0067441A">
        <w:t xml:space="preserve"> </w:t>
      </w:r>
      <w:r w:rsidRPr="002A01DD">
        <w:t xml:space="preserve">associated with reduced organ weights, reduced sperm motility, and an increase in the number of abnormal sperm </w:t>
      </w:r>
      <w:r w:rsidR="00EA620D" w:rsidRPr="00EA620D">
        <w:t>exposures 2-fold the human exposure based on AUC at the maximum recommended human dose</w:t>
      </w:r>
      <w:r w:rsidRPr="002A01DD">
        <w:t>. Microscopic</w:t>
      </w:r>
      <w:r w:rsidR="0067441A">
        <w:t xml:space="preserve"> </w:t>
      </w:r>
      <w:r w:rsidRPr="002A01DD">
        <w:t>findings in the fertility study in male rats were consistent with effects in repeat dose studies in rats and minipigs, in which</w:t>
      </w:r>
      <w:r w:rsidR="0067441A">
        <w:t xml:space="preserve"> </w:t>
      </w:r>
      <w:r w:rsidRPr="002A01DD">
        <w:t>dose-dependent, non-reversible testicular degeneration was associated with reduced luminal sperm in the epididymis at</w:t>
      </w:r>
      <w:r w:rsidR="0067441A">
        <w:t xml:space="preserve"> </w:t>
      </w:r>
      <w:r w:rsidRPr="002A01DD">
        <w:t>subclinical AUC-based exposure levels.</w:t>
      </w:r>
    </w:p>
    <w:p w14:paraId="676DF71B" w14:textId="3EDB717A" w:rsidR="002A01DD" w:rsidRPr="002A01DD" w:rsidRDefault="002A01DD" w:rsidP="004A5C64">
      <w:pPr>
        <w:jc w:val="both"/>
      </w:pPr>
      <w:r w:rsidRPr="002A01DD">
        <w:t xml:space="preserve">In a fertility and early embryonic study in female rats, a reduction in the number of </w:t>
      </w:r>
      <w:proofErr w:type="spellStart"/>
      <w:r w:rsidR="006B6355">
        <w:t>oestrus</w:t>
      </w:r>
      <w:proofErr w:type="spellEnd"/>
      <w:r w:rsidRPr="002A01DD">
        <w:t xml:space="preserve"> cycles as well as</w:t>
      </w:r>
      <w:r w:rsidR="00247942">
        <w:t xml:space="preserve"> </w:t>
      </w:r>
      <w:proofErr w:type="spellStart"/>
      <w:r w:rsidRPr="002A01DD">
        <w:t>embryolethality</w:t>
      </w:r>
      <w:proofErr w:type="spellEnd"/>
      <w:r w:rsidRPr="002A01DD">
        <w:t xml:space="preserve"> were observed at AUC-based exposure levels approximately equal to clinical exposure at the</w:t>
      </w:r>
      <w:r w:rsidR="0067441A">
        <w:t xml:space="preserve"> </w:t>
      </w:r>
      <w:r w:rsidR="00186F33">
        <w:t xml:space="preserve">maximum </w:t>
      </w:r>
      <w:r w:rsidRPr="002A01DD">
        <w:t xml:space="preserve">recommended human dose. In repeat-dose studies in rats, reversible vaginal </w:t>
      </w:r>
      <w:proofErr w:type="spellStart"/>
      <w:r w:rsidRPr="002A01DD">
        <w:t>mucification</w:t>
      </w:r>
      <w:proofErr w:type="spellEnd"/>
      <w:r w:rsidRPr="002A01DD">
        <w:t xml:space="preserve"> with individual cell cornification</w:t>
      </w:r>
      <w:r w:rsidR="0067441A">
        <w:t xml:space="preserve"> </w:t>
      </w:r>
      <w:r w:rsidRPr="002A01DD">
        <w:t xml:space="preserve">and altered </w:t>
      </w:r>
      <w:proofErr w:type="spellStart"/>
      <w:proofErr w:type="gramStart"/>
      <w:r w:rsidR="00186F33">
        <w:t>oestrus</w:t>
      </w:r>
      <w:proofErr w:type="spellEnd"/>
      <w:r w:rsidR="00186F33">
        <w:t xml:space="preserve"> </w:t>
      </w:r>
      <w:r w:rsidRPr="002A01DD">
        <w:t xml:space="preserve"> cycles</w:t>
      </w:r>
      <w:proofErr w:type="gramEnd"/>
      <w:r w:rsidRPr="002A01DD">
        <w:t xml:space="preserve"> were noted at clinically relevant AUC-based exposure levels. In minipigs, decreased corpora</w:t>
      </w:r>
      <w:r w:rsidR="004A5C64">
        <w:t xml:space="preserve"> </w:t>
      </w:r>
      <w:r w:rsidRPr="002A01DD">
        <w:t>lutea and/or corpora luteal cysts were observed at subclinical AUC-based clinical exposure levels.</w:t>
      </w:r>
    </w:p>
    <w:p w14:paraId="09197ED2" w14:textId="5DFE4EC2" w:rsidR="007D6822" w:rsidRDefault="001A3992" w:rsidP="00BB3100">
      <w:pPr>
        <w:pStyle w:val="Heading3"/>
      </w:pPr>
      <w:r w:rsidRPr="00B878CC">
        <w:lastRenderedPageBreak/>
        <w:t xml:space="preserve">Use in pregnancy </w:t>
      </w:r>
      <w:r w:rsidR="005B2812" w:rsidRPr="00497C85">
        <w:t>– Pregnancy Category D</w:t>
      </w:r>
      <w:fldSimple w:instr=" DOCVARIABLE vault_nd_12d75585-b7c0-4e51-9a27-ba62bac0e1a2 \* MERGEFORMAT ">
        <w:r w:rsidR="00270901">
          <w:t xml:space="preserve"> </w:t>
        </w:r>
      </w:fldSimple>
    </w:p>
    <w:p w14:paraId="2AFD91CF" w14:textId="3EE5AB06" w:rsidR="00FB1F64" w:rsidRDefault="00FB1F64" w:rsidP="00702A18">
      <w:pPr>
        <w:jc w:val="both"/>
      </w:pPr>
      <w:r w:rsidRPr="00FB1F64">
        <w:t xml:space="preserve">There are no available data from the use of </w:t>
      </w:r>
      <w:proofErr w:type="spellStart"/>
      <w:r w:rsidRPr="00FB1F64">
        <w:t>selpercatinib</w:t>
      </w:r>
      <w:proofErr w:type="spellEnd"/>
      <w:r w:rsidRPr="00FB1F64">
        <w:t xml:space="preserve"> in pregnant women. Studies in animals have shown</w:t>
      </w:r>
      <w:r>
        <w:t xml:space="preserve"> </w:t>
      </w:r>
      <w:r w:rsidRPr="00FB1F64">
        <w:t xml:space="preserve">reproductive toxicity. </w:t>
      </w:r>
      <w:r>
        <w:t>RETEVMO</w:t>
      </w:r>
      <w:r w:rsidRPr="00FB1F64">
        <w:t xml:space="preserve"> is not recommended during pregnancy and in women of childbearing</w:t>
      </w:r>
      <w:r w:rsidR="00FD2714">
        <w:t xml:space="preserve"> </w:t>
      </w:r>
      <w:r w:rsidRPr="00FB1F64">
        <w:t>potential not using contraception. It should only be used during pregnancy if the potential benefit justifies the potential</w:t>
      </w:r>
      <w:r w:rsidR="00FD2714">
        <w:t xml:space="preserve"> </w:t>
      </w:r>
      <w:r w:rsidRPr="00FB1F64">
        <w:t xml:space="preserve">risk to the </w:t>
      </w:r>
      <w:proofErr w:type="spellStart"/>
      <w:r w:rsidRPr="00FB1F64">
        <w:t>foetus</w:t>
      </w:r>
      <w:proofErr w:type="spellEnd"/>
      <w:r w:rsidRPr="00FB1F64">
        <w:t>.</w:t>
      </w:r>
    </w:p>
    <w:p w14:paraId="3AA62F01" w14:textId="466BE45A" w:rsidR="0067441A" w:rsidRPr="00B643B6" w:rsidRDefault="0067441A" w:rsidP="00B643B6">
      <w:pPr>
        <w:pStyle w:val="Heading3"/>
        <w:rPr>
          <w:i/>
          <w:iCs/>
        </w:rPr>
      </w:pPr>
      <w:r w:rsidRPr="00B643B6">
        <w:rPr>
          <w:i/>
          <w:iCs/>
        </w:rPr>
        <w:t>Embryotoxicity/Teratogenicity</w:t>
      </w:r>
      <w:r w:rsidR="00270901">
        <w:rPr>
          <w:i/>
          <w:iCs/>
        </w:rPr>
        <w:fldChar w:fldCharType="begin"/>
      </w:r>
      <w:r w:rsidR="00270901">
        <w:rPr>
          <w:i/>
          <w:iCs/>
        </w:rPr>
        <w:instrText xml:space="preserve"> DOCVARIABLE vault_nd_f281357d-346b-4f3c-a9c6-4f046b156312 \* MERGEFORMAT </w:instrText>
      </w:r>
      <w:r w:rsidR="00270901">
        <w:rPr>
          <w:i/>
          <w:iCs/>
        </w:rPr>
        <w:fldChar w:fldCharType="separate"/>
      </w:r>
      <w:r w:rsidR="00270901">
        <w:rPr>
          <w:i/>
          <w:iCs/>
        </w:rPr>
        <w:t xml:space="preserve"> </w:t>
      </w:r>
      <w:r w:rsidR="00270901">
        <w:rPr>
          <w:i/>
          <w:iCs/>
        </w:rPr>
        <w:fldChar w:fldCharType="end"/>
      </w:r>
    </w:p>
    <w:p w14:paraId="6AF6EB49" w14:textId="03456C6A" w:rsidR="0067441A" w:rsidRPr="0067441A" w:rsidRDefault="0067441A" w:rsidP="00E90409">
      <w:pPr>
        <w:jc w:val="both"/>
      </w:pPr>
      <w:r w:rsidRPr="0067441A">
        <w:t xml:space="preserve">Based on data from animal reproduction studies and its mechanism of action, </w:t>
      </w:r>
      <w:proofErr w:type="spellStart"/>
      <w:r w:rsidRPr="0067441A">
        <w:t>selpercatinib</w:t>
      </w:r>
      <w:proofErr w:type="spellEnd"/>
      <w:r w:rsidRPr="0067441A">
        <w:t xml:space="preserve"> can cause </w:t>
      </w:r>
      <w:r w:rsidR="002876CC" w:rsidRPr="0067441A">
        <w:t>fetal</w:t>
      </w:r>
      <w:r w:rsidRPr="0067441A">
        <w:t xml:space="preserve"> harm when</w:t>
      </w:r>
      <w:r>
        <w:t xml:space="preserve"> </w:t>
      </w:r>
      <w:r w:rsidRPr="0067441A">
        <w:t xml:space="preserve">administered to a pregnant woman. </w:t>
      </w:r>
      <w:r w:rsidR="000C0DFD">
        <w:t xml:space="preserve"> </w:t>
      </w:r>
      <w:r w:rsidR="0051767B" w:rsidRPr="0051767B">
        <w:t xml:space="preserve">In an embryo-fetal development study, once daily oral administration of </w:t>
      </w:r>
      <w:proofErr w:type="spellStart"/>
      <w:r w:rsidR="0051767B" w:rsidRPr="0051767B">
        <w:t>selpercatinib</w:t>
      </w:r>
      <w:proofErr w:type="spellEnd"/>
      <w:r w:rsidR="0051767B" w:rsidRPr="0051767B">
        <w:t xml:space="preserve"> at a dose level of 50 mg/kg (approximately 1.4 times the human exposure based on AUC at the clinical dose of 160 mg twice daily) to pregnant rats during the period of organogenesis resulted in mean 96.4% post-implantation loss per litter and an increase in external malformations.</w:t>
      </w:r>
    </w:p>
    <w:p w14:paraId="537FA50C" w14:textId="78FBBA59" w:rsidR="001A3992" w:rsidRDefault="001A3992" w:rsidP="00BB3100">
      <w:pPr>
        <w:pStyle w:val="Heading3"/>
      </w:pPr>
      <w:r w:rsidRPr="00B878CC">
        <w:t>Use in</w:t>
      </w:r>
      <w:r w:rsidRPr="00164864">
        <w:t xml:space="preserve"> lactation</w:t>
      </w:r>
      <w:fldSimple w:instr=" DOCVARIABLE vault_nd_aa7531b7-5e57-4023-bc3d-d9f7d30b214e \* MERGEFORMAT ">
        <w:r w:rsidR="00270901">
          <w:t xml:space="preserve"> </w:t>
        </w:r>
      </w:fldSimple>
    </w:p>
    <w:p w14:paraId="43FFC2E2" w14:textId="00008532" w:rsidR="00FD2714" w:rsidRPr="00FD2714" w:rsidRDefault="00FD2714" w:rsidP="00FD2714">
      <w:r w:rsidRPr="00FD2714">
        <w:t xml:space="preserve">It is unknown whether </w:t>
      </w:r>
      <w:proofErr w:type="spellStart"/>
      <w:r w:rsidRPr="00FD2714">
        <w:t>selpercatinib</w:t>
      </w:r>
      <w:proofErr w:type="spellEnd"/>
      <w:r w:rsidRPr="00FD2714">
        <w:t xml:space="preserve"> is excreted in human milk. A risk to breast-fed</w:t>
      </w:r>
      <w:r w:rsidR="007716EC">
        <w:t xml:space="preserve"> </w:t>
      </w:r>
      <w:r w:rsidRPr="00FD2714">
        <w:t>newborns/infants cannot be excluded.</w:t>
      </w:r>
      <w:r>
        <w:t xml:space="preserve"> </w:t>
      </w:r>
      <w:r w:rsidRPr="00FD2714">
        <w:t xml:space="preserve">Breast-feeding should be discontinued during treatment with </w:t>
      </w:r>
      <w:r>
        <w:t>RETEVMO</w:t>
      </w:r>
      <w:r w:rsidRPr="00FD2714">
        <w:t xml:space="preserve"> and for at least one week after the last dose.</w:t>
      </w:r>
    </w:p>
    <w:p w14:paraId="62EB97A5" w14:textId="003CC7A9" w:rsidR="001A3992" w:rsidRDefault="001A3992" w:rsidP="00D10D9A">
      <w:pPr>
        <w:pStyle w:val="Heading2"/>
      </w:pPr>
      <w:r w:rsidRPr="00EC3C40">
        <w:t>Effects</w:t>
      </w:r>
      <w:r>
        <w:t xml:space="preserve"> on ability to drive and use machines</w:t>
      </w:r>
      <w:fldSimple w:instr=" DOCVARIABLE vault_nd_45743835-c2c3-4599-bc34-634f5794703a \* MERGEFORMAT ">
        <w:r w:rsidR="00270901">
          <w:t xml:space="preserve"> </w:t>
        </w:r>
      </w:fldSimple>
    </w:p>
    <w:p w14:paraId="6A964CE1" w14:textId="25AB6A9C" w:rsidR="00DC1A10" w:rsidRDefault="00E5294A" w:rsidP="00F67831">
      <w:r>
        <w:t xml:space="preserve">No studies have been conducted to determine the effects of </w:t>
      </w:r>
      <w:proofErr w:type="spellStart"/>
      <w:r>
        <w:t>selpercatinib</w:t>
      </w:r>
      <w:proofErr w:type="spellEnd"/>
      <w:r>
        <w:t xml:space="preserve"> on the ability to drive or use machines. </w:t>
      </w:r>
    </w:p>
    <w:p w14:paraId="5C31A537" w14:textId="195CC147" w:rsidR="006F0EF9" w:rsidRPr="00F67831" w:rsidRDefault="00F67831" w:rsidP="004167D0">
      <w:pPr>
        <w:jc w:val="both"/>
      </w:pPr>
      <w:r>
        <w:t>RETEVMO</w:t>
      </w:r>
      <w:r w:rsidRPr="00F67831">
        <w:t xml:space="preserve"> may have minor influence on the ability to drive and use machines. Patients should be advised to be cautious</w:t>
      </w:r>
      <w:r>
        <w:t xml:space="preserve"> </w:t>
      </w:r>
      <w:r w:rsidRPr="00F67831">
        <w:t xml:space="preserve">when driving or using machines in case they experience fatigue or dizziness during treatment with </w:t>
      </w:r>
      <w:r>
        <w:t>RETEVMO</w:t>
      </w:r>
      <w:r w:rsidRPr="00F67831">
        <w:t xml:space="preserve"> (see</w:t>
      </w:r>
      <w:r>
        <w:t xml:space="preserve"> </w:t>
      </w:r>
      <w:r w:rsidRPr="00F67831">
        <w:t>sectio</w:t>
      </w:r>
      <w:r w:rsidRPr="005421C1">
        <w:t xml:space="preserve">n </w:t>
      </w:r>
      <w:r w:rsidR="00DC1A10">
        <w:fldChar w:fldCharType="begin"/>
      </w:r>
      <w:r w:rsidR="00DC1A10">
        <w:instrText xml:space="preserve"> REF _Ref99026361 \n \h </w:instrText>
      </w:r>
      <w:r w:rsidR="00DC1A10">
        <w:fldChar w:fldCharType="separate"/>
      </w:r>
      <w:r w:rsidR="00DC1A10">
        <w:t>4.8</w:t>
      </w:r>
      <w:r w:rsidR="00DC1A10">
        <w:fldChar w:fldCharType="end"/>
      </w:r>
      <w:r w:rsidR="00DC1A10">
        <w:t xml:space="preserve"> </w:t>
      </w:r>
      <w:r w:rsidR="00DC1A10">
        <w:fldChar w:fldCharType="begin"/>
      </w:r>
      <w:r w:rsidR="00DC1A10">
        <w:instrText xml:space="preserve"> REF _Ref99026361 \h </w:instrText>
      </w:r>
      <w:r w:rsidR="00DC1A10">
        <w:fldChar w:fldCharType="separate"/>
      </w:r>
      <w:r w:rsidR="00DC1A10">
        <w:t>Adverse effects (Undesirable effects)</w:t>
      </w:r>
      <w:r w:rsidR="00DC1A10">
        <w:fldChar w:fldCharType="end"/>
      </w:r>
      <w:r w:rsidRPr="00F67831">
        <w:t>).</w:t>
      </w:r>
    </w:p>
    <w:p w14:paraId="53226643" w14:textId="1E533531" w:rsidR="001A3992" w:rsidRDefault="001A3992" w:rsidP="00D10D9A">
      <w:pPr>
        <w:pStyle w:val="Heading2"/>
      </w:pPr>
      <w:bookmarkStart w:id="10" w:name="_Ref99026361"/>
      <w:r>
        <w:t>Adverse effects (Undesirable effects)</w:t>
      </w:r>
      <w:bookmarkEnd w:id="10"/>
      <w:r w:rsidR="00270901">
        <w:fldChar w:fldCharType="begin"/>
      </w:r>
      <w:r w:rsidR="00270901">
        <w:instrText xml:space="preserve"> DOCVARIABLE vault_nd_17041827-5688-482c-a8d1-7e3b2f6d98cb \* MERGEFORMAT </w:instrText>
      </w:r>
      <w:r w:rsidR="00270901">
        <w:fldChar w:fldCharType="separate"/>
      </w:r>
      <w:r w:rsidR="00270901">
        <w:t xml:space="preserve"> </w:t>
      </w:r>
      <w:r w:rsidR="00270901">
        <w:fldChar w:fldCharType="end"/>
      </w:r>
    </w:p>
    <w:p w14:paraId="3C77BEB9" w14:textId="7DC0A709" w:rsidR="00765057" w:rsidRPr="00765057" w:rsidRDefault="00765057" w:rsidP="00005AAA">
      <w:pPr>
        <w:pStyle w:val="Heading3"/>
        <w:rPr>
          <w:u w:val="single"/>
        </w:rPr>
      </w:pPr>
      <w:r w:rsidRPr="00161CE5">
        <w:t>Summary of the safety profile</w:t>
      </w:r>
      <w:fldSimple w:instr=" DOCVARIABLE vault_nd_467dd39e-9465-4616-938e-0813831cb428 \* MERGEFORMAT ">
        <w:r w:rsidR="00270901">
          <w:t xml:space="preserve"> </w:t>
        </w:r>
      </w:fldSimple>
    </w:p>
    <w:p w14:paraId="58DC8484" w14:textId="7A3BA4E1" w:rsidR="00765057" w:rsidRPr="00EF686C" w:rsidRDefault="00765057" w:rsidP="004167D0">
      <w:pPr>
        <w:jc w:val="both"/>
      </w:pPr>
      <w:r w:rsidRPr="00B271BE">
        <w:t xml:space="preserve">The most common serious adverse </w:t>
      </w:r>
      <w:r w:rsidR="00B01892">
        <w:t>ev</w:t>
      </w:r>
      <w:r w:rsidR="00D71ADB">
        <w:t>ents</w:t>
      </w:r>
      <w:r w:rsidR="00894622">
        <w:t xml:space="preserve"> </w:t>
      </w:r>
      <w:r w:rsidR="0023260B">
        <w:t xml:space="preserve">(SAE) </w:t>
      </w:r>
      <w:r w:rsidR="0043061C" w:rsidRPr="00B271BE">
        <w:t xml:space="preserve">occurring in &gt;2% </w:t>
      </w:r>
      <w:r w:rsidR="005A1B66" w:rsidRPr="00B271BE">
        <w:t>were pneumonia (4</w:t>
      </w:r>
      <w:r w:rsidR="003222E2">
        <w:t>.</w:t>
      </w:r>
      <w:r w:rsidR="005A1B66" w:rsidRPr="00B271BE">
        <w:t>1%)</w:t>
      </w:r>
      <w:r w:rsidR="00003F6D" w:rsidRPr="00B271BE">
        <w:t xml:space="preserve">, pleural effusion (3.0%), </w:t>
      </w:r>
      <w:r w:rsidR="0002535D" w:rsidRPr="00B271BE">
        <w:t xml:space="preserve">abdominal pain (2.5%), </w:t>
      </w:r>
      <w:proofErr w:type="spellStart"/>
      <w:r w:rsidR="00003F6D" w:rsidRPr="00B271BE">
        <w:t>dysp</w:t>
      </w:r>
      <w:r w:rsidR="00A427E2" w:rsidRPr="00B271BE">
        <w:t>n</w:t>
      </w:r>
      <w:r w:rsidR="007E46C4">
        <w:t>o</w:t>
      </w:r>
      <w:r w:rsidR="00A427E2" w:rsidRPr="00B271BE">
        <w:t>ea</w:t>
      </w:r>
      <w:proofErr w:type="spellEnd"/>
      <w:r w:rsidR="00A427E2" w:rsidRPr="00B271BE">
        <w:t xml:space="preserve"> (2.3%)</w:t>
      </w:r>
      <w:r w:rsidR="0002535D" w:rsidRPr="00B271BE">
        <w:t xml:space="preserve"> and </w:t>
      </w:r>
      <w:proofErr w:type="spellStart"/>
      <w:r w:rsidR="00C859BA" w:rsidRPr="00B271BE">
        <w:t>hyponatraemia</w:t>
      </w:r>
      <w:proofErr w:type="spellEnd"/>
      <w:r w:rsidR="00C859BA" w:rsidRPr="00B271BE">
        <w:t xml:space="preserve"> (2.3</w:t>
      </w:r>
      <w:r w:rsidR="00C859BA" w:rsidRPr="00EF686C">
        <w:t>%)</w:t>
      </w:r>
      <w:r w:rsidRPr="00EF686C">
        <w:t>.</w:t>
      </w:r>
      <w:r w:rsidR="00DC0441">
        <w:t xml:space="preserve"> </w:t>
      </w:r>
    </w:p>
    <w:p w14:paraId="6239BB1B" w14:textId="5BCBF684" w:rsidR="00A65386" w:rsidRDefault="008977C8" w:rsidP="00340C00">
      <w:r w:rsidRPr="008977C8">
        <w:t xml:space="preserve">Permanent discontinuation of </w:t>
      </w:r>
      <w:r>
        <w:t>RETEVMO</w:t>
      </w:r>
      <w:r w:rsidRPr="008977C8">
        <w:t xml:space="preserve"> for treatment emergent adverse events, regardless of attribution occurred in 8.0% of patients. </w:t>
      </w:r>
    </w:p>
    <w:p w14:paraId="40B54486" w14:textId="741845C6" w:rsidR="00340C00" w:rsidRPr="00161CE5" w:rsidRDefault="00340C00" w:rsidP="00340C00">
      <w:pPr>
        <w:rPr>
          <w:u w:val="single"/>
        </w:rPr>
      </w:pPr>
      <w:r w:rsidRPr="00161CE5">
        <w:rPr>
          <w:u w:val="single"/>
        </w:rPr>
        <w:t>Tabulated list of adverse drug reactions</w:t>
      </w:r>
    </w:p>
    <w:p w14:paraId="27FF9747" w14:textId="5251AE75" w:rsidR="00340C00" w:rsidRDefault="00340C00" w:rsidP="00340C00">
      <w:r w:rsidRPr="00340C00">
        <w:t>The ADRs reported in the 7</w:t>
      </w:r>
      <w:r w:rsidR="006D46BE">
        <w:t>96</w:t>
      </w:r>
      <w:r w:rsidRPr="00340C00">
        <w:t xml:space="preserve"> patients treated with </w:t>
      </w:r>
      <w:proofErr w:type="spellStart"/>
      <w:r w:rsidRPr="00340C00">
        <w:t>selpercatinib</w:t>
      </w:r>
      <w:proofErr w:type="spellEnd"/>
      <w:r w:rsidRPr="00340C00">
        <w:t xml:space="preserve"> are shown in </w:t>
      </w:r>
      <w:r w:rsidR="00D133C0">
        <w:fldChar w:fldCharType="begin"/>
      </w:r>
      <w:r w:rsidR="00D133C0">
        <w:instrText xml:space="preserve"> REF _Ref99429561 \h </w:instrText>
      </w:r>
      <w:r w:rsidR="00D133C0">
        <w:fldChar w:fldCharType="separate"/>
      </w:r>
      <w:r w:rsidR="00D133C0">
        <w:t xml:space="preserve">Table </w:t>
      </w:r>
      <w:r w:rsidR="00D133C0">
        <w:rPr>
          <w:noProof/>
        </w:rPr>
        <w:t>3</w:t>
      </w:r>
      <w:r w:rsidR="00D133C0">
        <w:fldChar w:fldCharType="end"/>
      </w:r>
      <w:r w:rsidR="008C5EFD">
        <w:t>, of these 356 patients had</w:t>
      </w:r>
      <w:r w:rsidR="008931D6">
        <w:t xml:space="preserve"> </w:t>
      </w:r>
      <w:r w:rsidR="008931D6">
        <w:rPr>
          <w:i/>
          <w:iCs/>
        </w:rPr>
        <w:t xml:space="preserve">RET </w:t>
      </w:r>
      <w:r w:rsidR="008931D6">
        <w:t>fusion positive NSCLC.</w:t>
      </w:r>
    </w:p>
    <w:p w14:paraId="39DFDFE8" w14:textId="5C9D8D56" w:rsidR="00A1087B" w:rsidRDefault="00A1087B" w:rsidP="00340C00">
      <w:r>
        <w:t>ADRs resulting in permanent discontinuation (2 or more patients) included increased ALT (0.6%), fatigue (0.6%), increased AST (0.5%), hypersensitivity (0.3%), and thrombocytopenia (0.3%).</w:t>
      </w:r>
    </w:p>
    <w:p w14:paraId="16878BE8" w14:textId="08FBAD9B" w:rsidR="00EF2994" w:rsidRDefault="00340C00" w:rsidP="004167D0">
      <w:pPr>
        <w:jc w:val="both"/>
      </w:pPr>
      <w:r w:rsidRPr="00340C00">
        <w:lastRenderedPageBreak/>
        <w:t>The ADRs are classified according to MedDRA the system organ class.</w:t>
      </w:r>
      <w:r w:rsidR="004167D0">
        <w:t xml:space="preserve"> </w:t>
      </w:r>
      <w:r w:rsidRPr="00340C00">
        <w:t>Frequency groups are defined by the following convention: very common (≥1/10); common (≥1/100 to &lt;1/10);</w:t>
      </w:r>
      <w:r>
        <w:t xml:space="preserve"> </w:t>
      </w:r>
      <w:r w:rsidRPr="00340C00">
        <w:t>uncommon (≥1/1,000 to &lt;1/100); rare (≥1/10,000 to &lt;1/1,000); very rare (&lt;1/10,000), and not known (cannot be</w:t>
      </w:r>
      <w:r>
        <w:t xml:space="preserve"> </w:t>
      </w:r>
      <w:r w:rsidRPr="00340C00">
        <w:t>estimated from available data).</w:t>
      </w:r>
    </w:p>
    <w:p w14:paraId="0D593D70" w14:textId="1A1BE02C" w:rsidR="00066862" w:rsidRPr="00990DD9" w:rsidRDefault="00066862" w:rsidP="004167D0">
      <w:pPr>
        <w:jc w:val="both"/>
      </w:pPr>
      <w:r>
        <w:t>Within each frequency group</w:t>
      </w:r>
      <w:r w:rsidR="00E33E22">
        <w:t xml:space="preserve">, undesirable effects are presented in order of decreasing seriousness. Median time on treatment with </w:t>
      </w:r>
      <w:proofErr w:type="spellStart"/>
      <w:r w:rsidR="00E33E22">
        <w:t>selp</w:t>
      </w:r>
      <w:r w:rsidR="00372C36">
        <w:t>e</w:t>
      </w:r>
      <w:r w:rsidR="00E33E22">
        <w:t>rcatinib</w:t>
      </w:r>
      <w:proofErr w:type="spellEnd"/>
      <w:r w:rsidR="00E33E22">
        <w:t xml:space="preserve"> was</w:t>
      </w:r>
      <w:r w:rsidR="00372C36">
        <w:t xml:space="preserve"> 21.3 months.</w:t>
      </w:r>
      <w:r w:rsidR="00E33E22">
        <w:t xml:space="preserve"> </w:t>
      </w:r>
    </w:p>
    <w:p w14:paraId="4C20ED5F" w14:textId="137D55BC" w:rsidR="00340C00" w:rsidRPr="009A55C3" w:rsidRDefault="00340C00" w:rsidP="00510DE5">
      <w:pPr>
        <w:pStyle w:val="Caption"/>
        <w:keepNext/>
        <w:rPr>
          <w:b w:val="0"/>
          <w:bCs w:val="0"/>
        </w:rPr>
      </w:pPr>
      <w:bookmarkStart w:id="11" w:name="_Ref99429561"/>
      <w:r>
        <w:t xml:space="preserve">Table </w:t>
      </w:r>
      <w:r w:rsidR="00D133C0">
        <w:fldChar w:fldCharType="begin"/>
      </w:r>
      <w:r w:rsidR="00D133C0">
        <w:instrText xml:space="preserve"> SEQ Table \* ARABIC </w:instrText>
      </w:r>
      <w:r w:rsidR="00D133C0">
        <w:fldChar w:fldCharType="separate"/>
      </w:r>
      <w:r w:rsidR="00D133C0">
        <w:rPr>
          <w:noProof/>
        </w:rPr>
        <w:t>3</w:t>
      </w:r>
      <w:r w:rsidR="00D133C0">
        <w:fldChar w:fldCharType="end"/>
      </w:r>
      <w:bookmarkEnd w:id="11"/>
      <w:r w:rsidRPr="00F23F30">
        <w:t xml:space="preserve"> Adverse </w:t>
      </w:r>
      <w:r w:rsidR="00D32D1D">
        <w:t>drug reactions</w:t>
      </w:r>
      <w:r w:rsidR="00D32D1D" w:rsidRPr="00F23F30">
        <w:t xml:space="preserve"> </w:t>
      </w:r>
      <w:r w:rsidRPr="00F23F30">
        <w:t xml:space="preserve">in patients receiving single agent </w:t>
      </w:r>
      <w:proofErr w:type="spellStart"/>
      <w:r w:rsidRPr="00F23F30">
        <w:t>selpercatinib</w:t>
      </w:r>
      <w:proofErr w:type="spellEnd"/>
      <w:r w:rsidRPr="00F23F30">
        <w:t xml:space="preserve"> (LIBRETTO-001)</w:t>
      </w:r>
      <w:fldSimple w:instr=" DOCVARIABLE vault_nd_f3bae2e1-463c-4612-b8bd-f5daf27f8811 \* MERGEFORMAT ">
        <w:r w:rsidR="00270901">
          <w:t xml:space="preserve"> </w:t>
        </w:r>
      </w:fldSimple>
    </w:p>
    <w:tbl>
      <w:tblPr>
        <w:tblStyle w:val="TableGrid"/>
        <w:tblW w:w="10060" w:type="dxa"/>
        <w:tblLook w:val="04A0" w:firstRow="1" w:lastRow="0" w:firstColumn="1" w:lastColumn="0" w:noHBand="0" w:noVBand="1"/>
      </w:tblPr>
      <w:tblGrid>
        <w:gridCol w:w="3114"/>
        <w:gridCol w:w="2551"/>
        <w:gridCol w:w="1418"/>
        <w:gridCol w:w="1488"/>
        <w:gridCol w:w="1489"/>
      </w:tblGrid>
      <w:tr w:rsidR="00B1622F" w:rsidRPr="004243EA" w14:paraId="3B97B8A5" w14:textId="77777777" w:rsidTr="006D46BE">
        <w:trPr>
          <w:tblHeader/>
        </w:trPr>
        <w:tc>
          <w:tcPr>
            <w:tcW w:w="3114" w:type="dxa"/>
            <w:vMerge w:val="restart"/>
          </w:tcPr>
          <w:p w14:paraId="162C9058" w14:textId="7B88B361" w:rsidR="00B1622F" w:rsidRPr="000F6D11" w:rsidRDefault="00B1622F" w:rsidP="00D10D9A">
            <w:pPr>
              <w:rPr>
                <w:b/>
              </w:rPr>
            </w:pPr>
            <w:r w:rsidRPr="000F6D11">
              <w:rPr>
                <w:b/>
              </w:rPr>
              <w:t>System organ class</w:t>
            </w:r>
          </w:p>
        </w:tc>
        <w:tc>
          <w:tcPr>
            <w:tcW w:w="2551" w:type="dxa"/>
            <w:vMerge w:val="restart"/>
          </w:tcPr>
          <w:p w14:paraId="46AA498C" w14:textId="2C9FD11E" w:rsidR="00B1622F" w:rsidRPr="000F6D11" w:rsidRDefault="00B1622F" w:rsidP="00D10D9A">
            <w:pPr>
              <w:rPr>
                <w:b/>
              </w:rPr>
            </w:pPr>
            <w:r w:rsidRPr="000F6D11">
              <w:rPr>
                <w:b/>
              </w:rPr>
              <w:t>ADR</w:t>
            </w:r>
          </w:p>
        </w:tc>
        <w:tc>
          <w:tcPr>
            <w:tcW w:w="4395" w:type="dxa"/>
            <w:gridSpan w:val="3"/>
          </w:tcPr>
          <w:p w14:paraId="28A42121" w14:textId="06ECC926" w:rsidR="00B1622F" w:rsidRPr="000F6D11" w:rsidRDefault="00B1622F" w:rsidP="00335049">
            <w:pPr>
              <w:jc w:val="center"/>
              <w:rPr>
                <w:b/>
              </w:rPr>
            </w:pPr>
            <w:r w:rsidRPr="000F6D11">
              <w:rPr>
                <w:b/>
              </w:rPr>
              <w:t>Selpercatinib (N=7</w:t>
            </w:r>
            <w:r w:rsidR="00261E6E" w:rsidRPr="000F6D11">
              <w:rPr>
                <w:b/>
              </w:rPr>
              <w:t>96</w:t>
            </w:r>
            <w:r w:rsidRPr="000F6D11">
              <w:rPr>
                <w:b/>
              </w:rPr>
              <w:t>)</w:t>
            </w:r>
          </w:p>
        </w:tc>
      </w:tr>
      <w:tr w:rsidR="000C36D8" w:rsidRPr="004243EA" w14:paraId="3E2C1D7B" w14:textId="77777777" w:rsidTr="002718BD">
        <w:trPr>
          <w:tblHeader/>
        </w:trPr>
        <w:tc>
          <w:tcPr>
            <w:tcW w:w="3114" w:type="dxa"/>
            <w:vMerge/>
          </w:tcPr>
          <w:p w14:paraId="46935A9F" w14:textId="77777777" w:rsidR="000C36D8" w:rsidRPr="000F6D11" w:rsidRDefault="000C36D8" w:rsidP="00D10D9A">
            <w:pPr>
              <w:rPr>
                <w:b/>
              </w:rPr>
            </w:pPr>
          </w:p>
        </w:tc>
        <w:tc>
          <w:tcPr>
            <w:tcW w:w="2551" w:type="dxa"/>
            <w:vMerge/>
          </w:tcPr>
          <w:p w14:paraId="1E0866F2" w14:textId="77777777" w:rsidR="000C36D8" w:rsidRPr="000F6D11" w:rsidRDefault="000C36D8" w:rsidP="00D10D9A">
            <w:pPr>
              <w:rPr>
                <w:b/>
              </w:rPr>
            </w:pPr>
          </w:p>
        </w:tc>
        <w:tc>
          <w:tcPr>
            <w:tcW w:w="1418" w:type="dxa"/>
          </w:tcPr>
          <w:p w14:paraId="54DAE0AB" w14:textId="5B7CC5F7" w:rsidR="00524EAD" w:rsidRPr="000F6D11" w:rsidRDefault="000C36D8" w:rsidP="002153BF">
            <w:pPr>
              <w:jc w:val="center"/>
              <w:rPr>
                <w:b/>
              </w:rPr>
            </w:pPr>
            <w:r w:rsidRPr="000F6D11">
              <w:rPr>
                <w:b/>
              </w:rPr>
              <w:t>All grades toxicity</w:t>
            </w:r>
          </w:p>
          <w:p w14:paraId="43621BF1" w14:textId="0D7822C7" w:rsidR="000C36D8" w:rsidRPr="000F6D11" w:rsidRDefault="00524EAD" w:rsidP="002153BF">
            <w:pPr>
              <w:jc w:val="center"/>
              <w:rPr>
                <w:b/>
              </w:rPr>
            </w:pPr>
            <w:r w:rsidRPr="000F6D11">
              <w:rPr>
                <w:b/>
              </w:rPr>
              <w:t>n</w:t>
            </w:r>
            <w:r w:rsidR="000C36D8" w:rsidRPr="000F6D11">
              <w:rPr>
                <w:b/>
              </w:rPr>
              <w:t xml:space="preserve"> (%)</w:t>
            </w:r>
          </w:p>
        </w:tc>
        <w:tc>
          <w:tcPr>
            <w:tcW w:w="1488" w:type="dxa"/>
          </w:tcPr>
          <w:p w14:paraId="042E7F1D" w14:textId="5CC38905" w:rsidR="00524EAD" w:rsidRPr="000F6D11" w:rsidRDefault="000C36D8" w:rsidP="002153BF">
            <w:pPr>
              <w:jc w:val="center"/>
              <w:rPr>
                <w:b/>
              </w:rPr>
            </w:pPr>
            <w:r w:rsidRPr="000F6D11">
              <w:rPr>
                <w:b/>
              </w:rPr>
              <w:t>Grade 3 toxicity</w:t>
            </w:r>
          </w:p>
          <w:p w14:paraId="07169C81" w14:textId="48126160" w:rsidR="000C36D8" w:rsidRPr="000F6D11" w:rsidRDefault="00524EAD" w:rsidP="002153BF">
            <w:pPr>
              <w:jc w:val="center"/>
              <w:rPr>
                <w:b/>
              </w:rPr>
            </w:pPr>
            <w:r w:rsidRPr="000F6D11">
              <w:rPr>
                <w:b/>
              </w:rPr>
              <w:t>n</w:t>
            </w:r>
            <w:r w:rsidR="000C36D8" w:rsidRPr="000F6D11">
              <w:rPr>
                <w:b/>
              </w:rPr>
              <w:t xml:space="preserve"> (%)</w:t>
            </w:r>
          </w:p>
        </w:tc>
        <w:tc>
          <w:tcPr>
            <w:tcW w:w="1489" w:type="dxa"/>
          </w:tcPr>
          <w:p w14:paraId="052AA63E" w14:textId="546C5B0F" w:rsidR="00524EAD" w:rsidRPr="000F6D11" w:rsidRDefault="000C36D8" w:rsidP="002153BF">
            <w:pPr>
              <w:jc w:val="center"/>
              <w:rPr>
                <w:b/>
              </w:rPr>
            </w:pPr>
            <w:r w:rsidRPr="000F6D11">
              <w:rPr>
                <w:b/>
              </w:rPr>
              <w:t>Grade 4 toxicity</w:t>
            </w:r>
          </w:p>
          <w:p w14:paraId="25D6D813" w14:textId="19BA39D5" w:rsidR="000C36D8" w:rsidRPr="000F6D11" w:rsidRDefault="00524EAD" w:rsidP="002153BF">
            <w:pPr>
              <w:jc w:val="center"/>
              <w:rPr>
                <w:b/>
              </w:rPr>
            </w:pPr>
            <w:r w:rsidRPr="000F6D11">
              <w:rPr>
                <w:b/>
              </w:rPr>
              <w:t>n</w:t>
            </w:r>
            <w:r w:rsidR="000C36D8" w:rsidRPr="000F6D11">
              <w:rPr>
                <w:b/>
              </w:rPr>
              <w:t xml:space="preserve"> (%)</w:t>
            </w:r>
          </w:p>
        </w:tc>
      </w:tr>
      <w:tr w:rsidR="000C36D8" w:rsidRPr="004243EA" w14:paraId="1812CC77" w14:textId="77777777" w:rsidTr="002718BD">
        <w:tc>
          <w:tcPr>
            <w:tcW w:w="3114" w:type="dxa"/>
            <w:vMerge w:val="restart"/>
          </w:tcPr>
          <w:p w14:paraId="3D73C396" w14:textId="62C6C203" w:rsidR="000C36D8" w:rsidRPr="00B97080" w:rsidRDefault="000C36D8" w:rsidP="00D10D9A">
            <w:r w:rsidRPr="00B97080">
              <w:t xml:space="preserve">Immune system </w:t>
            </w:r>
            <w:proofErr w:type="spellStart"/>
            <w:r w:rsidRPr="00B97080">
              <w:t>disorders</w:t>
            </w:r>
            <w:r w:rsidRPr="00B97080">
              <w:rPr>
                <w:vertAlign w:val="superscript"/>
              </w:rPr>
              <w:t>a</w:t>
            </w:r>
            <w:proofErr w:type="spellEnd"/>
          </w:p>
        </w:tc>
        <w:tc>
          <w:tcPr>
            <w:tcW w:w="2551" w:type="dxa"/>
          </w:tcPr>
          <w:p w14:paraId="1D232B69" w14:textId="1D33A5AE" w:rsidR="000C36D8" w:rsidRPr="002153BF" w:rsidRDefault="000C36D8" w:rsidP="00D10D9A">
            <w:pPr>
              <w:rPr>
                <w:i/>
              </w:rPr>
            </w:pPr>
            <w:r w:rsidRPr="002153BF">
              <w:rPr>
                <w:i/>
              </w:rPr>
              <w:t>Common</w:t>
            </w:r>
          </w:p>
        </w:tc>
        <w:tc>
          <w:tcPr>
            <w:tcW w:w="1418" w:type="dxa"/>
          </w:tcPr>
          <w:p w14:paraId="69450D6B" w14:textId="77777777" w:rsidR="000C36D8" w:rsidRPr="004243EA" w:rsidRDefault="000C36D8" w:rsidP="002153BF">
            <w:pPr>
              <w:jc w:val="center"/>
            </w:pPr>
          </w:p>
        </w:tc>
        <w:tc>
          <w:tcPr>
            <w:tcW w:w="1488" w:type="dxa"/>
          </w:tcPr>
          <w:p w14:paraId="6578AD54" w14:textId="77777777" w:rsidR="000C36D8" w:rsidRPr="004243EA" w:rsidRDefault="000C36D8" w:rsidP="002153BF">
            <w:pPr>
              <w:jc w:val="center"/>
            </w:pPr>
          </w:p>
        </w:tc>
        <w:tc>
          <w:tcPr>
            <w:tcW w:w="1489" w:type="dxa"/>
          </w:tcPr>
          <w:p w14:paraId="1920BD81" w14:textId="281269FC" w:rsidR="000C36D8" w:rsidRPr="004243EA" w:rsidRDefault="000C36D8" w:rsidP="002153BF">
            <w:pPr>
              <w:jc w:val="center"/>
            </w:pPr>
          </w:p>
        </w:tc>
      </w:tr>
      <w:tr w:rsidR="000C36D8" w:rsidRPr="004243EA" w14:paraId="61A8626B" w14:textId="77777777" w:rsidTr="002718BD">
        <w:trPr>
          <w:trHeight w:val="577"/>
        </w:trPr>
        <w:tc>
          <w:tcPr>
            <w:tcW w:w="3114" w:type="dxa"/>
            <w:vMerge/>
          </w:tcPr>
          <w:p w14:paraId="243AB977" w14:textId="77777777" w:rsidR="000C36D8" w:rsidRPr="00B97080" w:rsidRDefault="000C36D8" w:rsidP="00D10D9A"/>
        </w:tc>
        <w:tc>
          <w:tcPr>
            <w:tcW w:w="2551" w:type="dxa"/>
          </w:tcPr>
          <w:p w14:paraId="7BE9C199" w14:textId="7DF2C3CC" w:rsidR="000C36D8" w:rsidRPr="00B97080" w:rsidRDefault="000C36D8" w:rsidP="00D10D9A">
            <w:proofErr w:type="spellStart"/>
            <w:r w:rsidRPr="00B97080">
              <w:t>Hypersensitivity</w:t>
            </w:r>
            <w:r w:rsidR="00F079C3" w:rsidRPr="00B97080">
              <w:rPr>
                <w:vertAlign w:val="superscript"/>
              </w:rPr>
              <w:t>b</w:t>
            </w:r>
            <w:proofErr w:type="spellEnd"/>
          </w:p>
        </w:tc>
        <w:tc>
          <w:tcPr>
            <w:tcW w:w="1418" w:type="dxa"/>
          </w:tcPr>
          <w:p w14:paraId="51B513B3" w14:textId="7157D723" w:rsidR="000C36D8" w:rsidRPr="004243EA" w:rsidRDefault="00A7370B" w:rsidP="00CF6B4E">
            <w:pPr>
              <w:jc w:val="center"/>
            </w:pPr>
            <w:r>
              <w:t>47 (</w:t>
            </w:r>
            <w:r w:rsidR="000C36D8" w:rsidRPr="004243EA">
              <w:t>5.</w:t>
            </w:r>
            <w:r w:rsidR="002A295E">
              <w:t>9</w:t>
            </w:r>
            <w:r>
              <w:t>)</w:t>
            </w:r>
          </w:p>
        </w:tc>
        <w:tc>
          <w:tcPr>
            <w:tcW w:w="1488" w:type="dxa"/>
          </w:tcPr>
          <w:p w14:paraId="4B693A3A" w14:textId="460FEDDF" w:rsidR="000C36D8" w:rsidRPr="004243EA" w:rsidRDefault="00187EF4" w:rsidP="00CF6B4E">
            <w:pPr>
              <w:jc w:val="center"/>
            </w:pPr>
            <w:r>
              <w:t>15 (</w:t>
            </w:r>
            <w:r w:rsidR="000C36D8" w:rsidRPr="004243EA">
              <w:t>1.</w:t>
            </w:r>
            <w:r w:rsidR="002A295E">
              <w:t>9</w:t>
            </w:r>
            <w:r>
              <w:t>)</w:t>
            </w:r>
          </w:p>
        </w:tc>
        <w:tc>
          <w:tcPr>
            <w:tcW w:w="1489" w:type="dxa"/>
          </w:tcPr>
          <w:p w14:paraId="2AC1A374" w14:textId="336EB9BE" w:rsidR="000C36D8" w:rsidRPr="004243EA" w:rsidRDefault="005D1A20" w:rsidP="00CF6B4E">
            <w:pPr>
              <w:jc w:val="center"/>
            </w:pPr>
            <w:r>
              <w:t>0 (0.</w:t>
            </w:r>
            <w:r w:rsidRPr="004243EA">
              <w:t>0</w:t>
            </w:r>
            <w:r>
              <w:t>)</w:t>
            </w:r>
          </w:p>
        </w:tc>
      </w:tr>
      <w:tr w:rsidR="000C36D8" w:rsidRPr="004243EA" w14:paraId="5C10F90D" w14:textId="77777777" w:rsidTr="002718BD">
        <w:tc>
          <w:tcPr>
            <w:tcW w:w="3114" w:type="dxa"/>
            <w:vMerge w:val="restart"/>
          </w:tcPr>
          <w:p w14:paraId="13D49571" w14:textId="5EC20133" w:rsidR="000C36D8" w:rsidRPr="004243EA" w:rsidRDefault="000C36D8" w:rsidP="00D10D9A">
            <w:r w:rsidRPr="004243EA">
              <w:t>Metabolism and nutrition disorders</w:t>
            </w:r>
          </w:p>
        </w:tc>
        <w:tc>
          <w:tcPr>
            <w:tcW w:w="2551" w:type="dxa"/>
          </w:tcPr>
          <w:p w14:paraId="5D75B91C" w14:textId="70A24F59" w:rsidR="000C36D8" w:rsidRPr="00CF6B4E" w:rsidRDefault="000C36D8" w:rsidP="00D10D9A">
            <w:pPr>
              <w:rPr>
                <w:i/>
              </w:rPr>
            </w:pPr>
            <w:r w:rsidRPr="00CF6B4E">
              <w:rPr>
                <w:i/>
              </w:rPr>
              <w:t>Very common</w:t>
            </w:r>
          </w:p>
        </w:tc>
        <w:tc>
          <w:tcPr>
            <w:tcW w:w="1418" w:type="dxa"/>
          </w:tcPr>
          <w:p w14:paraId="084B55B2" w14:textId="77777777" w:rsidR="000C36D8" w:rsidRPr="004243EA" w:rsidRDefault="000C36D8" w:rsidP="00CF6B4E">
            <w:pPr>
              <w:jc w:val="center"/>
            </w:pPr>
          </w:p>
        </w:tc>
        <w:tc>
          <w:tcPr>
            <w:tcW w:w="1488" w:type="dxa"/>
          </w:tcPr>
          <w:p w14:paraId="15885266" w14:textId="77777777" w:rsidR="000C36D8" w:rsidRPr="004243EA" w:rsidRDefault="000C36D8" w:rsidP="00CF6B4E">
            <w:pPr>
              <w:jc w:val="center"/>
            </w:pPr>
          </w:p>
        </w:tc>
        <w:tc>
          <w:tcPr>
            <w:tcW w:w="1489" w:type="dxa"/>
          </w:tcPr>
          <w:p w14:paraId="4D233E11" w14:textId="67432250" w:rsidR="000C36D8" w:rsidRPr="004243EA" w:rsidRDefault="000C36D8" w:rsidP="00CF6B4E">
            <w:pPr>
              <w:jc w:val="center"/>
            </w:pPr>
          </w:p>
        </w:tc>
      </w:tr>
      <w:tr w:rsidR="000C36D8" w:rsidRPr="004243EA" w14:paraId="2A92DE6E" w14:textId="77777777" w:rsidTr="002718BD">
        <w:tc>
          <w:tcPr>
            <w:tcW w:w="3114" w:type="dxa"/>
            <w:vMerge/>
          </w:tcPr>
          <w:p w14:paraId="122F50A0" w14:textId="77777777" w:rsidR="000C36D8" w:rsidRPr="004243EA" w:rsidRDefault="000C36D8" w:rsidP="00D10D9A"/>
        </w:tc>
        <w:tc>
          <w:tcPr>
            <w:tcW w:w="2551" w:type="dxa"/>
          </w:tcPr>
          <w:p w14:paraId="3C34C8FE" w14:textId="370E6942" w:rsidR="000C36D8" w:rsidRPr="00B97080" w:rsidRDefault="000C36D8" w:rsidP="00D10D9A">
            <w:r w:rsidRPr="00B97080">
              <w:t>Decreased appetite</w:t>
            </w:r>
          </w:p>
        </w:tc>
        <w:tc>
          <w:tcPr>
            <w:tcW w:w="1418" w:type="dxa"/>
          </w:tcPr>
          <w:p w14:paraId="500F7AF5" w14:textId="318840CC" w:rsidR="000C36D8" w:rsidRPr="004243EA" w:rsidRDefault="00B12F6F" w:rsidP="00CF6B4E">
            <w:pPr>
              <w:jc w:val="center"/>
            </w:pPr>
            <w:r>
              <w:t>150 (</w:t>
            </w:r>
            <w:r w:rsidR="000C36D8" w:rsidRPr="004243EA">
              <w:t>1</w:t>
            </w:r>
            <w:r w:rsidR="002A295E">
              <w:t>8.8</w:t>
            </w:r>
            <w:r>
              <w:t>)</w:t>
            </w:r>
          </w:p>
        </w:tc>
        <w:tc>
          <w:tcPr>
            <w:tcW w:w="1488" w:type="dxa"/>
          </w:tcPr>
          <w:p w14:paraId="4D0EA952" w14:textId="4FAE5C3A" w:rsidR="000C36D8" w:rsidRPr="004243EA" w:rsidRDefault="001374F2" w:rsidP="00CF6B4E">
            <w:pPr>
              <w:jc w:val="center"/>
            </w:pPr>
            <w:r>
              <w:t>3 (</w:t>
            </w:r>
            <w:r w:rsidR="000C36D8" w:rsidRPr="004243EA">
              <w:t>0.</w:t>
            </w:r>
            <w:r w:rsidR="002A295E">
              <w:t>4</w:t>
            </w:r>
            <w:r>
              <w:t>)</w:t>
            </w:r>
          </w:p>
        </w:tc>
        <w:tc>
          <w:tcPr>
            <w:tcW w:w="1489" w:type="dxa"/>
          </w:tcPr>
          <w:p w14:paraId="7CECFC2A" w14:textId="3B01663E" w:rsidR="000C36D8" w:rsidRPr="004243EA" w:rsidRDefault="005D1A20" w:rsidP="00CF6B4E">
            <w:pPr>
              <w:jc w:val="center"/>
            </w:pPr>
            <w:r>
              <w:t>0 (0.</w:t>
            </w:r>
            <w:r w:rsidRPr="004243EA">
              <w:t>0</w:t>
            </w:r>
            <w:r>
              <w:t>)</w:t>
            </w:r>
          </w:p>
        </w:tc>
      </w:tr>
      <w:tr w:rsidR="000C36D8" w:rsidRPr="004243EA" w14:paraId="52E2638C" w14:textId="77777777" w:rsidTr="002718BD">
        <w:tc>
          <w:tcPr>
            <w:tcW w:w="3114" w:type="dxa"/>
            <w:vMerge w:val="restart"/>
          </w:tcPr>
          <w:p w14:paraId="5F6BEF83" w14:textId="0A72E063" w:rsidR="000C36D8" w:rsidRPr="00B97080" w:rsidRDefault="000C36D8" w:rsidP="00D10D9A">
            <w:r w:rsidRPr="00B97080">
              <w:t>Nervous system disorders</w:t>
            </w:r>
          </w:p>
        </w:tc>
        <w:tc>
          <w:tcPr>
            <w:tcW w:w="2551" w:type="dxa"/>
          </w:tcPr>
          <w:p w14:paraId="4AD04E5B" w14:textId="3F7DC728" w:rsidR="000C36D8" w:rsidRPr="00CF6B4E" w:rsidRDefault="000C36D8" w:rsidP="00D10D9A">
            <w:pPr>
              <w:rPr>
                <w:i/>
              </w:rPr>
            </w:pPr>
            <w:r w:rsidRPr="00CF6B4E">
              <w:rPr>
                <w:i/>
              </w:rPr>
              <w:t>Very common</w:t>
            </w:r>
          </w:p>
        </w:tc>
        <w:tc>
          <w:tcPr>
            <w:tcW w:w="1418" w:type="dxa"/>
          </w:tcPr>
          <w:p w14:paraId="345AC3C3" w14:textId="77777777" w:rsidR="000C36D8" w:rsidRPr="004243EA" w:rsidRDefault="000C36D8" w:rsidP="00B97080"/>
        </w:tc>
        <w:tc>
          <w:tcPr>
            <w:tcW w:w="1488" w:type="dxa"/>
          </w:tcPr>
          <w:p w14:paraId="26E6A0C4" w14:textId="77777777" w:rsidR="000C36D8" w:rsidRPr="004243EA" w:rsidRDefault="000C36D8" w:rsidP="00B97080"/>
        </w:tc>
        <w:tc>
          <w:tcPr>
            <w:tcW w:w="1489" w:type="dxa"/>
          </w:tcPr>
          <w:p w14:paraId="1914ED5A" w14:textId="0006FB62" w:rsidR="000C36D8" w:rsidRPr="004243EA" w:rsidRDefault="000C36D8" w:rsidP="00B97080"/>
        </w:tc>
      </w:tr>
      <w:tr w:rsidR="000C36D8" w:rsidRPr="004243EA" w14:paraId="3B1A01CF" w14:textId="77777777" w:rsidTr="002718BD">
        <w:tc>
          <w:tcPr>
            <w:tcW w:w="3114" w:type="dxa"/>
            <w:vMerge/>
          </w:tcPr>
          <w:p w14:paraId="5211C122" w14:textId="77777777" w:rsidR="000C36D8" w:rsidRPr="00992ACE" w:rsidRDefault="000C36D8" w:rsidP="00D10D9A"/>
        </w:tc>
        <w:tc>
          <w:tcPr>
            <w:tcW w:w="2551" w:type="dxa"/>
          </w:tcPr>
          <w:p w14:paraId="0E2B15F0" w14:textId="0CC06D16" w:rsidR="000C36D8" w:rsidRPr="00992ACE" w:rsidRDefault="000C36D8" w:rsidP="00D10D9A">
            <w:proofErr w:type="spellStart"/>
            <w:r w:rsidRPr="00992ACE">
              <w:t>Headache</w:t>
            </w:r>
            <w:r w:rsidR="00F079C3" w:rsidRPr="00992ACE">
              <w:rPr>
                <w:vertAlign w:val="superscript"/>
              </w:rPr>
              <w:t>b</w:t>
            </w:r>
            <w:proofErr w:type="spellEnd"/>
          </w:p>
        </w:tc>
        <w:tc>
          <w:tcPr>
            <w:tcW w:w="1418" w:type="dxa"/>
          </w:tcPr>
          <w:p w14:paraId="25F550D6" w14:textId="48A5B3DD" w:rsidR="000C36D8" w:rsidRPr="004243EA" w:rsidRDefault="00F62CE5" w:rsidP="00CF6B4E">
            <w:pPr>
              <w:jc w:val="center"/>
            </w:pPr>
            <w:r>
              <w:t>220 (</w:t>
            </w:r>
            <w:r w:rsidR="002A295E">
              <w:t>27.6</w:t>
            </w:r>
            <w:r>
              <w:t>)</w:t>
            </w:r>
          </w:p>
        </w:tc>
        <w:tc>
          <w:tcPr>
            <w:tcW w:w="1488" w:type="dxa"/>
          </w:tcPr>
          <w:p w14:paraId="54EB41F4" w14:textId="4BC0677A" w:rsidR="000C36D8" w:rsidRPr="004243EA" w:rsidRDefault="00345209" w:rsidP="00CF6B4E">
            <w:pPr>
              <w:jc w:val="center"/>
            </w:pPr>
            <w:r>
              <w:t>11 (</w:t>
            </w:r>
            <w:r w:rsidR="000C36D8" w:rsidRPr="004243EA">
              <w:t>1.</w:t>
            </w:r>
            <w:r w:rsidR="002A295E">
              <w:t>4</w:t>
            </w:r>
            <w:r>
              <w:t>)</w:t>
            </w:r>
          </w:p>
        </w:tc>
        <w:tc>
          <w:tcPr>
            <w:tcW w:w="1489" w:type="dxa"/>
          </w:tcPr>
          <w:p w14:paraId="4F2AE181" w14:textId="21AEC04B" w:rsidR="000C36D8" w:rsidRPr="004243EA" w:rsidRDefault="005D1A20" w:rsidP="00CF6B4E">
            <w:pPr>
              <w:jc w:val="center"/>
            </w:pPr>
            <w:r>
              <w:t>0 (0.</w:t>
            </w:r>
            <w:r w:rsidRPr="004243EA">
              <w:t>0</w:t>
            </w:r>
            <w:r>
              <w:t>)</w:t>
            </w:r>
          </w:p>
        </w:tc>
      </w:tr>
      <w:tr w:rsidR="000C36D8" w:rsidRPr="004243EA" w14:paraId="598E433B" w14:textId="77777777" w:rsidTr="002718BD">
        <w:tc>
          <w:tcPr>
            <w:tcW w:w="3114" w:type="dxa"/>
            <w:vMerge/>
          </w:tcPr>
          <w:p w14:paraId="5CD02BFC" w14:textId="77777777" w:rsidR="000C36D8" w:rsidRPr="004243EA" w:rsidRDefault="000C36D8" w:rsidP="00D10D9A"/>
        </w:tc>
        <w:tc>
          <w:tcPr>
            <w:tcW w:w="2551" w:type="dxa"/>
          </w:tcPr>
          <w:p w14:paraId="393454AA" w14:textId="39B27E99" w:rsidR="000C36D8" w:rsidRPr="004243EA" w:rsidRDefault="000C36D8" w:rsidP="00D10D9A">
            <w:proofErr w:type="spellStart"/>
            <w:r w:rsidRPr="00992ACE">
              <w:t>Dizziness</w:t>
            </w:r>
            <w:r w:rsidR="00F079C3" w:rsidRPr="00992ACE">
              <w:rPr>
                <w:vertAlign w:val="superscript"/>
              </w:rPr>
              <w:t>b</w:t>
            </w:r>
            <w:proofErr w:type="spellEnd"/>
          </w:p>
        </w:tc>
        <w:tc>
          <w:tcPr>
            <w:tcW w:w="1418" w:type="dxa"/>
          </w:tcPr>
          <w:p w14:paraId="27A0C9BD" w14:textId="54B9BE1D" w:rsidR="000C36D8" w:rsidRPr="004243EA" w:rsidRDefault="002F6B34" w:rsidP="00CF6B4E">
            <w:pPr>
              <w:jc w:val="center"/>
            </w:pPr>
            <w:r>
              <w:t>152 (</w:t>
            </w:r>
            <w:r w:rsidR="000C36D8" w:rsidRPr="004243EA">
              <w:t>1</w:t>
            </w:r>
            <w:r w:rsidR="00F079C3">
              <w:t>9.1</w:t>
            </w:r>
            <w:r>
              <w:t>)</w:t>
            </w:r>
          </w:p>
        </w:tc>
        <w:tc>
          <w:tcPr>
            <w:tcW w:w="1488" w:type="dxa"/>
          </w:tcPr>
          <w:p w14:paraId="65881B62" w14:textId="574B5E37" w:rsidR="000C36D8" w:rsidRPr="004243EA" w:rsidRDefault="008C54DA" w:rsidP="00CF6B4E">
            <w:pPr>
              <w:jc w:val="center"/>
            </w:pPr>
            <w:r>
              <w:t>2 (</w:t>
            </w:r>
            <w:r w:rsidR="000C36D8" w:rsidRPr="004243EA">
              <w:t>0.</w:t>
            </w:r>
            <w:r w:rsidR="00F079C3">
              <w:t>3</w:t>
            </w:r>
            <w:r>
              <w:t>)</w:t>
            </w:r>
          </w:p>
        </w:tc>
        <w:tc>
          <w:tcPr>
            <w:tcW w:w="1489" w:type="dxa"/>
          </w:tcPr>
          <w:p w14:paraId="5E68122D" w14:textId="7F8CA413" w:rsidR="000C36D8" w:rsidRPr="004243EA" w:rsidRDefault="005D1A20" w:rsidP="00CF6B4E">
            <w:pPr>
              <w:jc w:val="center"/>
            </w:pPr>
            <w:r>
              <w:t>0 (0.</w:t>
            </w:r>
            <w:r w:rsidRPr="004243EA">
              <w:t>0</w:t>
            </w:r>
            <w:r>
              <w:t>)</w:t>
            </w:r>
          </w:p>
        </w:tc>
      </w:tr>
      <w:tr w:rsidR="000C36D8" w:rsidRPr="004243EA" w14:paraId="26EB06AD" w14:textId="77777777" w:rsidTr="002718BD">
        <w:tc>
          <w:tcPr>
            <w:tcW w:w="3114" w:type="dxa"/>
            <w:vMerge w:val="restart"/>
          </w:tcPr>
          <w:p w14:paraId="4BD8FD0E" w14:textId="48B2D63A" w:rsidR="000C36D8" w:rsidRPr="004243EA" w:rsidRDefault="000C36D8" w:rsidP="00D10D9A">
            <w:r w:rsidRPr="004243EA">
              <w:t>Cardiac disorders</w:t>
            </w:r>
          </w:p>
        </w:tc>
        <w:tc>
          <w:tcPr>
            <w:tcW w:w="2551" w:type="dxa"/>
          </w:tcPr>
          <w:p w14:paraId="5E70CCF0" w14:textId="6C1A767A" w:rsidR="000C36D8" w:rsidRPr="00CF6B4E" w:rsidRDefault="000C36D8" w:rsidP="00D10D9A">
            <w:pPr>
              <w:rPr>
                <w:i/>
              </w:rPr>
            </w:pPr>
            <w:r w:rsidRPr="00CF6B4E">
              <w:rPr>
                <w:i/>
              </w:rPr>
              <w:t>Very common</w:t>
            </w:r>
          </w:p>
        </w:tc>
        <w:tc>
          <w:tcPr>
            <w:tcW w:w="1418" w:type="dxa"/>
          </w:tcPr>
          <w:p w14:paraId="2872FEA3" w14:textId="77777777" w:rsidR="000C36D8" w:rsidRPr="004243EA" w:rsidRDefault="000C36D8" w:rsidP="00CF6B4E">
            <w:pPr>
              <w:jc w:val="center"/>
            </w:pPr>
          </w:p>
        </w:tc>
        <w:tc>
          <w:tcPr>
            <w:tcW w:w="1488" w:type="dxa"/>
          </w:tcPr>
          <w:p w14:paraId="04EA6FA5" w14:textId="77777777" w:rsidR="000C36D8" w:rsidRPr="004243EA" w:rsidRDefault="000C36D8" w:rsidP="00CF6B4E">
            <w:pPr>
              <w:jc w:val="center"/>
            </w:pPr>
          </w:p>
        </w:tc>
        <w:tc>
          <w:tcPr>
            <w:tcW w:w="1489" w:type="dxa"/>
          </w:tcPr>
          <w:p w14:paraId="5E9F78D2" w14:textId="66F29FD4" w:rsidR="000C36D8" w:rsidRPr="004243EA" w:rsidRDefault="000C36D8" w:rsidP="00CF6B4E">
            <w:pPr>
              <w:jc w:val="center"/>
            </w:pPr>
          </w:p>
        </w:tc>
      </w:tr>
      <w:tr w:rsidR="000C36D8" w:rsidRPr="004243EA" w14:paraId="09236FCB" w14:textId="77777777" w:rsidTr="002718BD">
        <w:tc>
          <w:tcPr>
            <w:tcW w:w="3114" w:type="dxa"/>
            <w:vMerge/>
          </w:tcPr>
          <w:p w14:paraId="2C6684E9" w14:textId="77777777" w:rsidR="000C36D8" w:rsidRPr="004243EA" w:rsidRDefault="000C36D8" w:rsidP="00D10D9A"/>
        </w:tc>
        <w:tc>
          <w:tcPr>
            <w:tcW w:w="2551" w:type="dxa"/>
          </w:tcPr>
          <w:p w14:paraId="7405B050" w14:textId="5C1B143A" w:rsidR="000C36D8" w:rsidRPr="00992ACE" w:rsidRDefault="000C36D8" w:rsidP="00D10D9A">
            <w:r w:rsidRPr="00992ACE">
              <w:t xml:space="preserve">Electrocardiogram QT </w:t>
            </w:r>
            <w:proofErr w:type="spellStart"/>
            <w:r w:rsidRPr="00992ACE">
              <w:t>prolonged</w:t>
            </w:r>
            <w:r w:rsidR="001A704E" w:rsidRPr="00992ACE">
              <w:rPr>
                <w:vertAlign w:val="superscript"/>
              </w:rPr>
              <w:t>b</w:t>
            </w:r>
            <w:proofErr w:type="spellEnd"/>
          </w:p>
        </w:tc>
        <w:tc>
          <w:tcPr>
            <w:tcW w:w="1418" w:type="dxa"/>
          </w:tcPr>
          <w:p w14:paraId="1949ECD1" w14:textId="3687736D" w:rsidR="000C36D8" w:rsidRPr="004243EA" w:rsidRDefault="0039572F" w:rsidP="00CF6B4E">
            <w:pPr>
              <w:jc w:val="center"/>
            </w:pPr>
            <w:r>
              <w:t>168 (</w:t>
            </w:r>
            <w:r w:rsidR="001A704E">
              <w:t>2</w:t>
            </w:r>
            <w:r w:rsidR="000C36D8" w:rsidRPr="004243EA">
              <w:t>1.1</w:t>
            </w:r>
            <w:r>
              <w:t>)</w:t>
            </w:r>
          </w:p>
        </w:tc>
        <w:tc>
          <w:tcPr>
            <w:tcW w:w="1488" w:type="dxa"/>
          </w:tcPr>
          <w:p w14:paraId="578F736E" w14:textId="5EE5F261" w:rsidR="000C36D8" w:rsidRPr="004243EA" w:rsidRDefault="00FF5950" w:rsidP="00CF6B4E">
            <w:pPr>
              <w:jc w:val="center"/>
            </w:pPr>
            <w:r>
              <w:t>38 (</w:t>
            </w:r>
            <w:r w:rsidR="000C36D8" w:rsidRPr="004243EA">
              <w:t>4.</w:t>
            </w:r>
            <w:r w:rsidR="001A704E">
              <w:t>8</w:t>
            </w:r>
            <w:r>
              <w:t>)</w:t>
            </w:r>
          </w:p>
        </w:tc>
        <w:tc>
          <w:tcPr>
            <w:tcW w:w="1489" w:type="dxa"/>
          </w:tcPr>
          <w:p w14:paraId="440EDC3A" w14:textId="309FEB47" w:rsidR="000C36D8" w:rsidRPr="004243EA" w:rsidRDefault="005D1A20" w:rsidP="00CF6B4E">
            <w:pPr>
              <w:jc w:val="center"/>
            </w:pPr>
            <w:r>
              <w:t>0 (0.</w:t>
            </w:r>
            <w:r w:rsidRPr="004243EA">
              <w:t>0</w:t>
            </w:r>
            <w:r>
              <w:t>)</w:t>
            </w:r>
          </w:p>
        </w:tc>
      </w:tr>
      <w:tr w:rsidR="000C36D8" w:rsidRPr="004243EA" w14:paraId="6CC8AF36" w14:textId="77777777" w:rsidTr="002718BD">
        <w:tc>
          <w:tcPr>
            <w:tcW w:w="3114" w:type="dxa"/>
          </w:tcPr>
          <w:p w14:paraId="7BEF5299" w14:textId="191B82A7" w:rsidR="000C36D8" w:rsidRPr="004243EA" w:rsidRDefault="000C36D8" w:rsidP="00D10D9A">
            <w:r w:rsidRPr="004243EA">
              <w:t>Vascular disorders</w:t>
            </w:r>
          </w:p>
        </w:tc>
        <w:tc>
          <w:tcPr>
            <w:tcW w:w="2551" w:type="dxa"/>
          </w:tcPr>
          <w:p w14:paraId="2740A654" w14:textId="15F2F5BC" w:rsidR="000C36D8" w:rsidRPr="00CF6B4E" w:rsidRDefault="000C36D8" w:rsidP="00D10D9A">
            <w:pPr>
              <w:rPr>
                <w:i/>
              </w:rPr>
            </w:pPr>
            <w:r w:rsidRPr="00CF6B4E">
              <w:rPr>
                <w:i/>
              </w:rPr>
              <w:t>Very common</w:t>
            </w:r>
          </w:p>
        </w:tc>
        <w:tc>
          <w:tcPr>
            <w:tcW w:w="1418" w:type="dxa"/>
          </w:tcPr>
          <w:p w14:paraId="7639A9F9" w14:textId="77777777" w:rsidR="000C36D8" w:rsidRPr="004243EA" w:rsidRDefault="000C36D8" w:rsidP="00CF6B4E">
            <w:pPr>
              <w:jc w:val="center"/>
            </w:pPr>
          </w:p>
        </w:tc>
        <w:tc>
          <w:tcPr>
            <w:tcW w:w="1488" w:type="dxa"/>
          </w:tcPr>
          <w:p w14:paraId="4B3DD398" w14:textId="77777777" w:rsidR="000C36D8" w:rsidRPr="004243EA" w:rsidRDefault="000C36D8" w:rsidP="00CF6B4E">
            <w:pPr>
              <w:jc w:val="center"/>
            </w:pPr>
          </w:p>
        </w:tc>
        <w:tc>
          <w:tcPr>
            <w:tcW w:w="1489" w:type="dxa"/>
          </w:tcPr>
          <w:p w14:paraId="1D3A9DE9" w14:textId="3DE9BE7F" w:rsidR="000C36D8" w:rsidRPr="004243EA" w:rsidRDefault="000C36D8" w:rsidP="00CF6B4E">
            <w:pPr>
              <w:jc w:val="center"/>
            </w:pPr>
          </w:p>
        </w:tc>
      </w:tr>
      <w:tr w:rsidR="000C36D8" w:rsidRPr="004243EA" w14:paraId="65ED59FE" w14:textId="77777777" w:rsidTr="002718BD">
        <w:tc>
          <w:tcPr>
            <w:tcW w:w="3114" w:type="dxa"/>
          </w:tcPr>
          <w:p w14:paraId="163A790D" w14:textId="77777777" w:rsidR="000C36D8" w:rsidRPr="004243EA" w:rsidRDefault="000C36D8" w:rsidP="00D10D9A"/>
        </w:tc>
        <w:tc>
          <w:tcPr>
            <w:tcW w:w="2551" w:type="dxa"/>
          </w:tcPr>
          <w:p w14:paraId="5C42A084" w14:textId="5DAA6DEC" w:rsidR="000C36D8" w:rsidRPr="00144DCC" w:rsidRDefault="000C36D8" w:rsidP="00D10D9A">
            <w:pPr>
              <w:rPr>
                <w:b/>
              </w:rPr>
            </w:pPr>
            <w:proofErr w:type="spellStart"/>
            <w:r w:rsidRPr="00144DCC">
              <w:t>Hypertension</w:t>
            </w:r>
            <w:r w:rsidR="001A704E" w:rsidRPr="00144DCC">
              <w:rPr>
                <w:vertAlign w:val="superscript"/>
              </w:rPr>
              <w:t>b</w:t>
            </w:r>
            <w:proofErr w:type="spellEnd"/>
          </w:p>
        </w:tc>
        <w:tc>
          <w:tcPr>
            <w:tcW w:w="1418" w:type="dxa"/>
          </w:tcPr>
          <w:p w14:paraId="0314DC05" w14:textId="24D7CC13" w:rsidR="000C36D8" w:rsidRPr="004243EA" w:rsidRDefault="009E6598" w:rsidP="00CF6B4E">
            <w:pPr>
              <w:jc w:val="center"/>
            </w:pPr>
            <w:r>
              <w:t>326 (</w:t>
            </w:r>
            <w:r w:rsidR="009D28E2">
              <w:t>41.0</w:t>
            </w:r>
            <w:r>
              <w:t>)</w:t>
            </w:r>
          </w:p>
        </w:tc>
        <w:tc>
          <w:tcPr>
            <w:tcW w:w="1488" w:type="dxa"/>
          </w:tcPr>
          <w:p w14:paraId="1C2E5B18" w14:textId="4C909898" w:rsidR="000C36D8" w:rsidRPr="004243EA" w:rsidRDefault="00AF7C05" w:rsidP="00CF6B4E">
            <w:pPr>
              <w:jc w:val="center"/>
            </w:pPr>
            <w:r>
              <w:t>15</w:t>
            </w:r>
            <w:r w:rsidR="00540476">
              <w:t>6</w:t>
            </w:r>
            <w:r>
              <w:t xml:space="preserve"> (</w:t>
            </w:r>
            <w:r w:rsidR="000C36D8" w:rsidRPr="004243EA">
              <w:t>19.</w:t>
            </w:r>
            <w:r w:rsidR="009D28E2">
              <w:t>6</w:t>
            </w:r>
            <w:r>
              <w:t>)</w:t>
            </w:r>
          </w:p>
        </w:tc>
        <w:tc>
          <w:tcPr>
            <w:tcW w:w="1489" w:type="dxa"/>
          </w:tcPr>
          <w:p w14:paraId="52496D27" w14:textId="2CB87309" w:rsidR="000C36D8" w:rsidRPr="004243EA" w:rsidRDefault="00B70146" w:rsidP="00CF6B4E">
            <w:pPr>
              <w:jc w:val="center"/>
            </w:pPr>
            <w:r>
              <w:t>1 (</w:t>
            </w:r>
            <w:r w:rsidR="009D28E2">
              <w:t>0.1</w:t>
            </w:r>
            <w:r>
              <w:t>)</w:t>
            </w:r>
          </w:p>
        </w:tc>
      </w:tr>
      <w:tr w:rsidR="000C36D8" w:rsidRPr="004243EA" w14:paraId="690BDA0E" w14:textId="77777777" w:rsidTr="002718BD">
        <w:tc>
          <w:tcPr>
            <w:tcW w:w="3114" w:type="dxa"/>
            <w:vMerge w:val="restart"/>
          </w:tcPr>
          <w:p w14:paraId="7D426993" w14:textId="5A202E76" w:rsidR="000C36D8" w:rsidRPr="004243EA" w:rsidRDefault="000C36D8" w:rsidP="00D10D9A">
            <w:r w:rsidRPr="004243EA">
              <w:t>Gastrointestinal disorders</w:t>
            </w:r>
          </w:p>
        </w:tc>
        <w:tc>
          <w:tcPr>
            <w:tcW w:w="2551" w:type="dxa"/>
          </w:tcPr>
          <w:p w14:paraId="77D91659" w14:textId="563065D6" w:rsidR="000C36D8" w:rsidRPr="00B011B5" w:rsidRDefault="000C36D8" w:rsidP="00D10D9A">
            <w:pPr>
              <w:rPr>
                <w:i/>
              </w:rPr>
            </w:pPr>
            <w:r w:rsidRPr="00B011B5">
              <w:rPr>
                <w:i/>
              </w:rPr>
              <w:t>Very common</w:t>
            </w:r>
          </w:p>
        </w:tc>
        <w:tc>
          <w:tcPr>
            <w:tcW w:w="1418" w:type="dxa"/>
          </w:tcPr>
          <w:p w14:paraId="5E3B4E8A" w14:textId="77777777" w:rsidR="000C36D8" w:rsidRPr="004243EA" w:rsidRDefault="000C36D8" w:rsidP="00B011B5">
            <w:pPr>
              <w:jc w:val="center"/>
            </w:pPr>
          </w:p>
        </w:tc>
        <w:tc>
          <w:tcPr>
            <w:tcW w:w="1488" w:type="dxa"/>
          </w:tcPr>
          <w:p w14:paraId="2059B902" w14:textId="77777777" w:rsidR="000C36D8" w:rsidRPr="004243EA" w:rsidRDefault="000C36D8" w:rsidP="00B011B5">
            <w:pPr>
              <w:jc w:val="center"/>
            </w:pPr>
          </w:p>
        </w:tc>
        <w:tc>
          <w:tcPr>
            <w:tcW w:w="1489" w:type="dxa"/>
          </w:tcPr>
          <w:p w14:paraId="2440E7DD" w14:textId="5F6AD427" w:rsidR="000C36D8" w:rsidRPr="004243EA" w:rsidRDefault="000C36D8" w:rsidP="00B011B5">
            <w:pPr>
              <w:jc w:val="center"/>
            </w:pPr>
          </w:p>
        </w:tc>
      </w:tr>
      <w:tr w:rsidR="000C36D8" w:rsidRPr="004243EA" w14:paraId="528FE5FA" w14:textId="77777777" w:rsidTr="002718BD">
        <w:tc>
          <w:tcPr>
            <w:tcW w:w="3114" w:type="dxa"/>
            <w:vMerge/>
          </w:tcPr>
          <w:p w14:paraId="1F9319F4" w14:textId="77777777" w:rsidR="000C36D8" w:rsidRPr="004243EA" w:rsidRDefault="000C36D8" w:rsidP="00D10D9A"/>
        </w:tc>
        <w:tc>
          <w:tcPr>
            <w:tcW w:w="2551" w:type="dxa"/>
          </w:tcPr>
          <w:p w14:paraId="695763C1" w14:textId="06290487" w:rsidR="000C36D8" w:rsidRPr="004243EA" w:rsidRDefault="000C36D8" w:rsidP="00D10D9A">
            <w:r w:rsidRPr="00144DCC">
              <w:t xml:space="preserve">Abdominal </w:t>
            </w:r>
            <w:proofErr w:type="spellStart"/>
            <w:r w:rsidRPr="00144DCC">
              <w:t>pain</w:t>
            </w:r>
            <w:r w:rsidR="009D28E2" w:rsidRPr="00144DCC">
              <w:rPr>
                <w:vertAlign w:val="superscript"/>
              </w:rPr>
              <w:t>b</w:t>
            </w:r>
            <w:proofErr w:type="spellEnd"/>
          </w:p>
        </w:tc>
        <w:tc>
          <w:tcPr>
            <w:tcW w:w="1418" w:type="dxa"/>
          </w:tcPr>
          <w:p w14:paraId="589AD334" w14:textId="3FC567C7" w:rsidR="000C36D8" w:rsidRPr="004243EA" w:rsidRDefault="008115EE" w:rsidP="00B011B5">
            <w:pPr>
              <w:jc w:val="center"/>
            </w:pPr>
            <w:r>
              <w:t>268 (</w:t>
            </w:r>
            <w:r w:rsidR="009D28E2">
              <w:t>33.7</w:t>
            </w:r>
            <w:r>
              <w:t>)</w:t>
            </w:r>
          </w:p>
        </w:tc>
        <w:tc>
          <w:tcPr>
            <w:tcW w:w="1488" w:type="dxa"/>
          </w:tcPr>
          <w:p w14:paraId="1F01668D" w14:textId="610D4603" w:rsidR="000C36D8" w:rsidRPr="004243EA" w:rsidRDefault="00A133BF" w:rsidP="00B011B5">
            <w:pPr>
              <w:jc w:val="center"/>
            </w:pPr>
            <w:r>
              <w:t>20 (</w:t>
            </w:r>
            <w:r w:rsidR="009D28E2">
              <w:t>2.5</w:t>
            </w:r>
            <w:r>
              <w:t>)</w:t>
            </w:r>
          </w:p>
        </w:tc>
        <w:tc>
          <w:tcPr>
            <w:tcW w:w="1489" w:type="dxa"/>
          </w:tcPr>
          <w:p w14:paraId="46A567E7" w14:textId="2068032F" w:rsidR="000C36D8" w:rsidRPr="004243EA" w:rsidRDefault="009D28E2" w:rsidP="00B011B5">
            <w:pPr>
              <w:jc w:val="center"/>
            </w:pPr>
            <w:r>
              <w:t>0</w:t>
            </w:r>
            <w:r w:rsidR="00AC17C8">
              <w:t xml:space="preserve"> (0.</w:t>
            </w:r>
            <w:r w:rsidR="00AC17C8" w:rsidRPr="004243EA">
              <w:t>0</w:t>
            </w:r>
            <w:r w:rsidR="00AC17C8">
              <w:t>)</w:t>
            </w:r>
          </w:p>
        </w:tc>
      </w:tr>
      <w:tr w:rsidR="000C36D8" w:rsidRPr="004243EA" w14:paraId="7B835E57" w14:textId="77777777" w:rsidTr="002718BD">
        <w:tc>
          <w:tcPr>
            <w:tcW w:w="3114" w:type="dxa"/>
            <w:vMerge/>
          </w:tcPr>
          <w:p w14:paraId="02209796" w14:textId="77777777" w:rsidR="000C36D8" w:rsidRPr="004243EA" w:rsidRDefault="000C36D8" w:rsidP="00D10D9A"/>
        </w:tc>
        <w:tc>
          <w:tcPr>
            <w:tcW w:w="2551" w:type="dxa"/>
          </w:tcPr>
          <w:p w14:paraId="376413E9" w14:textId="0C77818D" w:rsidR="000C36D8" w:rsidRPr="004243EA" w:rsidRDefault="000C36D8" w:rsidP="00D10D9A">
            <w:proofErr w:type="spellStart"/>
            <w:r w:rsidRPr="00144DCC">
              <w:t>Diarrhoea</w:t>
            </w:r>
            <w:r w:rsidR="00127F19" w:rsidRPr="00144DCC">
              <w:rPr>
                <w:vertAlign w:val="superscript"/>
              </w:rPr>
              <w:t>b</w:t>
            </w:r>
            <w:proofErr w:type="spellEnd"/>
          </w:p>
        </w:tc>
        <w:tc>
          <w:tcPr>
            <w:tcW w:w="1418" w:type="dxa"/>
          </w:tcPr>
          <w:p w14:paraId="155C90E4" w14:textId="5135B9B2" w:rsidR="000C36D8" w:rsidRPr="004243EA" w:rsidRDefault="00EE4B53" w:rsidP="00B011B5">
            <w:pPr>
              <w:jc w:val="center"/>
            </w:pPr>
            <w:r>
              <w:t>374 (</w:t>
            </w:r>
            <w:r w:rsidR="00127F19">
              <w:t>47.0</w:t>
            </w:r>
            <w:r>
              <w:t>)</w:t>
            </w:r>
          </w:p>
        </w:tc>
        <w:tc>
          <w:tcPr>
            <w:tcW w:w="1488" w:type="dxa"/>
          </w:tcPr>
          <w:p w14:paraId="012A2165" w14:textId="626255B7" w:rsidR="000C36D8" w:rsidRPr="004243EA" w:rsidRDefault="00524EAD" w:rsidP="00B011B5">
            <w:pPr>
              <w:jc w:val="center"/>
              <w:rPr>
                <w:vertAlign w:val="superscript"/>
              </w:rPr>
            </w:pPr>
            <w:r>
              <w:t>40 (</w:t>
            </w:r>
            <w:r w:rsidR="00127F19" w:rsidRPr="00127F19">
              <w:t>5.0</w:t>
            </w:r>
            <w:r>
              <w:t>)</w:t>
            </w:r>
          </w:p>
        </w:tc>
        <w:tc>
          <w:tcPr>
            <w:tcW w:w="1489" w:type="dxa"/>
          </w:tcPr>
          <w:p w14:paraId="1B2F2AA3" w14:textId="3A8A9CE1" w:rsidR="000C36D8" w:rsidRPr="004243EA" w:rsidRDefault="00925731" w:rsidP="00B011B5">
            <w:pPr>
              <w:jc w:val="center"/>
              <w:rPr>
                <w:vertAlign w:val="superscript"/>
              </w:rPr>
            </w:pPr>
            <w:r>
              <w:t>0 (0.</w:t>
            </w:r>
            <w:r w:rsidRPr="004243EA">
              <w:t>0</w:t>
            </w:r>
            <w:r>
              <w:t>)</w:t>
            </w:r>
          </w:p>
        </w:tc>
      </w:tr>
      <w:tr w:rsidR="000C36D8" w:rsidRPr="004243EA" w14:paraId="11D55F81" w14:textId="77777777" w:rsidTr="002718BD">
        <w:tc>
          <w:tcPr>
            <w:tcW w:w="3114" w:type="dxa"/>
            <w:vMerge/>
          </w:tcPr>
          <w:p w14:paraId="1D775C59" w14:textId="77777777" w:rsidR="000C36D8" w:rsidRPr="004243EA" w:rsidRDefault="000C36D8" w:rsidP="00D10D9A"/>
        </w:tc>
        <w:tc>
          <w:tcPr>
            <w:tcW w:w="2551" w:type="dxa"/>
          </w:tcPr>
          <w:p w14:paraId="071E8D0A" w14:textId="574E716E" w:rsidR="000C36D8" w:rsidRPr="004243EA" w:rsidRDefault="000C36D8" w:rsidP="00D10D9A">
            <w:r w:rsidRPr="004243EA">
              <w:t>Nausea</w:t>
            </w:r>
          </w:p>
        </w:tc>
        <w:tc>
          <w:tcPr>
            <w:tcW w:w="1418" w:type="dxa"/>
          </w:tcPr>
          <w:p w14:paraId="3A156FC8" w14:textId="63BCFFAF" w:rsidR="000C36D8" w:rsidRPr="004243EA" w:rsidRDefault="00320B28" w:rsidP="00B011B5">
            <w:pPr>
              <w:jc w:val="center"/>
            </w:pPr>
            <w:r>
              <w:t>248 (</w:t>
            </w:r>
            <w:r w:rsidR="00127F19">
              <w:t>31.2</w:t>
            </w:r>
            <w:r>
              <w:t>)</w:t>
            </w:r>
          </w:p>
        </w:tc>
        <w:tc>
          <w:tcPr>
            <w:tcW w:w="1488" w:type="dxa"/>
          </w:tcPr>
          <w:p w14:paraId="2B99401C" w14:textId="061434C5" w:rsidR="000C36D8" w:rsidRPr="004243EA" w:rsidRDefault="00EC12C7" w:rsidP="00B011B5">
            <w:pPr>
              <w:jc w:val="center"/>
            </w:pPr>
            <w:r>
              <w:t>9 (</w:t>
            </w:r>
            <w:r w:rsidR="00127F19">
              <w:t>1.1</w:t>
            </w:r>
            <w:r>
              <w:t>)</w:t>
            </w:r>
          </w:p>
        </w:tc>
        <w:tc>
          <w:tcPr>
            <w:tcW w:w="1489" w:type="dxa"/>
          </w:tcPr>
          <w:p w14:paraId="636E1981" w14:textId="5A8B3B10" w:rsidR="000C36D8" w:rsidRPr="004243EA" w:rsidRDefault="00F23F44" w:rsidP="00B011B5">
            <w:pPr>
              <w:jc w:val="center"/>
            </w:pPr>
            <w:r>
              <w:t>0</w:t>
            </w:r>
            <w:r w:rsidR="00AC17C8">
              <w:t xml:space="preserve"> (0.</w:t>
            </w:r>
            <w:r w:rsidR="00AC17C8" w:rsidRPr="004243EA">
              <w:t>0</w:t>
            </w:r>
            <w:r w:rsidR="00AC17C8">
              <w:t>)</w:t>
            </w:r>
          </w:p>
        </w:tc>
      </w:tr>
      <w:tr w:rsidR="000C36D8" w:rsidRPr="004243EA" w14:paraId="3EB897F2" w14:textId="77777777" w:rsidTr="002718BD">
        <w:tc>
          <w:tcPr>
            <w:tcW w:w="3114" w:type="dxa"/>
            <w:vMerge/>
          </w:tcPr>
          <w:p w14:paraId="220EC8F0" w14:textId="77777777" w:rsidR="000C36D8" w:rsidRPr="004243EA" w:rsidRDefault="000C36D8" w:rsidP="00D10D9A"/>
        </w:tc>
        <w:tc>
          <w:tcPr>
            <w:tcW w:w="2551" w:type="dxa"/>
          </w:tcPr>
          <w:p w14:paraId="2C3F5E21" w14:textId="2D93A8C5" w:rsidR="000C36D8" w:rsidRPr="004243EA" w:rsidRDefault="000C36D8" w:rsidP="00D10D9A">
            <w:proofErr w:type="spellStart"/>
            <w:r w:rsidRPr="00144DCC">
              <w:t>Vomiting</w:t>
            </w:r>
            <w:r w:rsidR="006D2D07" w:rsidRPr="00144DCC">
              <w:rPr>
                <w:vertAlign w:val="superscript"/>
              </w:rPr>
              <w:t>b</w:t>
            </w:r>
            <w:proofErr w:type="spellEnd"/>
          </w:p>
        </w:tc>
        <w:tc>
          <w:tcPr>
            <w:tcW w:w="1418" w:type="dxa"/>
          </w:tcPr>
          <w:p w14:paraId="160AE1A5" w14:textId="5BEE2AE9" w:rsidR="000C36D8" w:rsidRPr="004243EA" w:rsidRDefault="007D4FAB" w:rsidP="00B011B5">
            <w:pPr>
              <w:jc w:val="center"/>
            </w:pPr>
            <w:r>
              <w:t>178 (</w:t>
            </w:r>
            <w:r w:rsidR="00F23F44">
              <w:t>22.4</w:t>
            </w:r>
            <w:r>
              <w:t>)</w:t>
            </w:r>
          </w:p>
        </w:tc>
        <w:tc>
          <w:tcPr>
            <w:tcW w:w="1488" w:type="dxa"/>
          </w:tcPr>
          <w:p w14:paraId="04E9A0BA" w14:textId="60032389" w:rsidR="000C36D8" w:rsidRPr="004243EA" w:rsidRDefault="008A2304" w:rsidP="00B011B5">
            <w:pPr>
              <w:jc w:val="center"/>
            </w:pPr>
            <w:r>
              <w:t>14 (</w:t>
            </w:r>
            <w:r w:rsidR="00F23F44">
              <w:t>1.8</w:t>
            </w:r>
            <w:r>
              <w:t>)</w:t>
            </w:r>
          </w:p>
        </w:tc>
        <w:tc>
          <w:tcPr>
            <w:tcW w:w="1489" w:type="dxa"/>
          </w:tcPr>
          <w:p w14:paraId="3A7F3F9F" w14:textId="1C00B64A" w:rsidR="000C36D8" w:rsidRPr="004243EA" w:rsidRDefault="00F23F44" w:rsidP="00B011B5">
            <w:pPr>
              <w:jc w:val="center"/>
            </w:pPr>
            <w:r>
              <w:t>0</w:t>
            </w:r>
            <w:r w:rsidR="00AC17C8">
              <w:t xml:space="preserve"> (0.</w:t>
            </w:r>
            <w:r w:rsidR="00AC17C8" w:rsidRPr="004243EA">
              <w:t>0</w:t>
            </w:r>
            <w:r w:rsidR="00AC17C8">
              <w:t>)</w:t>
            </w:r>
          </w:p>
        </w:tc>
      </w:tr>
      <w:tr w:rsidR="000C36D8" w:rsidRPr="004243EA" w14:paraId="2D1453D9" w14:textId="77777777" w:rsidTr="002718BD">
        <w:tc>
          <w:tcPr>
            <w:tcW w:w="3114" w:type="dxa"/>
            <w:vMerge/>
          </w:tcPr>
          <w:p w14:paraId="1242483A" w14:textId="77777777" w:rsidR="000C36D8" w:rsidRPr="004243EA" w:rsidRDefault="000C36D8" w:rsidP="00D10D9A"/>
        </w:tc>
        <w:tc>
          <w:tcPr>
            <w:tcW w:w="2551" w:type="dxa"/>
          </w:tcPr>
          <w:p w14:paraId="13D98A27" w14:textId="695FA697" w:rsidR="000C36D8" w:rsidRPr="004243EA" w:rsidRDefault="000C36D8" w:rsidP="00D10D9A">
            <w:r w:rsidRPr="00144DCC">
              <w:t>Constipation</w:t>
            </w:r>
          </w:p>
        </w:tc>
        <w:tc>
          <w:tcPr>
            <w:tcW w:w="1418" w:type="dxa"/>
          </w:tcPr>
          <w:p w14:paraId="1B95ACAC" w14:textId="5FDAB14F" w:rsidR="000C36D8" w:rsidRPr="004243EA" w:rsidRDefault="00051C52" w:rsidP="00B011B5">
            <w:pPr>
              <w:jc w:val="center"/>
            </w:pPr>
            <w:r>
              <w:t>261 (</w:t>
            </w:r>
            <w:r w:rsidR="00F23F44">
              <w:t>32.8</w:t>
            </w:r>
            <w:r>
              <w:t>)</w:t>
            </w:r>
          </w:p>
        </w:tc>
        <w:tc>
          <w:tcPr>
            <w:tcW w:w="1488" w:type="dxa"/>
          </w:tcPr>
          <w:p w14:paraId="3E398885" w14:textId="5B46EF21" w:rsidR="000C36D8" w:rsidRPr="004243EA" w:rsidRDefault="00D1502A" w:rsidP="00B011B5">
            <w:pPr>
              <w:jc w:val="center"/>
            </w:pPr>
            <w:r>
              <w:t>6 (</w:t>
            </w:r>
            <w:r w:rsidR="000C36D8" w:rsidRPr="004243EA">
              <w:t>0.</w:t>
            </w:r>
            <w:r w:rsidR="00366EA9">
              <w:t>8</w:t>
            </w:r>
            <w:r>
              <w:t>)</w:t>
            </w:r>
          </w:p>
        </w:tc>
        <w:tc>
          <w:tcPr>
            <w:tcW w:w="1489" w:type="dxa"/>
          </w:tcPr>
          <w:p w14:paraId="580E064B" w14:textId="7B50AE3D" w:rsidR="000C36D8" w:rsidRPr="004243EA" w:rsidRDefault="00366EA9" w:rsidP="00B011B5">
            <w:pPr>
              <w:jc w:val="center"/>
            </w:pPr>
            <w:r>
              <w:t>0</w:t>
            </w:r>
            <w:r w:rsidR="005D1A20">
              <w:t xml:space="preserve"> </w:t>
            </w:r>
            <w:r w:rsidR="00AC17C8">
              <w:t>(0.</w:t>
            </w:r>
            <w:r w:rsidR="00AC17C8" w:rsidRPr="004243EA">
              <w:t>0</w:t>
            </w:r>
            <w:r w:rsidR="00AC17C8">
              <w:t>)</w:t>
            </w:r>
          </w:p>
        </w:tc>
      </w:tr>
      <w:tr w:rsidR="000C36D8" w:rsidRPr="004243EA" w14:paraId="7A154A95" w14:textId="77777777" w:rsidTr="002718BD">
        <w:tc>
          <w:tcPr>
            <w:tcW w:w="3114" w:type="dxa"/>
            <w:vMerge/>
          </w:tcPr>
          <w:p w14:paraId="1A0E62BA" w14:textId="77777777" w:rsidR="000C36D8" w:rsidRPr="004243EA" w:rsidRDefault="000C36D8" w:rsidP="00D10D9A"/>
        </w:tc>
        <w:tc>
          <w:tcPr>
            <w:tcW w:w="2551" w:type="dxa"/>
          </w:tcPr>
          <w:p w14:paraId="34EE264E" w14:textId="0FD0F268" w:rsidR="000C36D8" w:rsidRPr="004243EA" w:rsidRDefault="000C36D8" w:rsidP="00D10D9A">
            <w:r w:rsidRPr="00144DCC">
              <w:t xml:space="preserve">Dry </w:t>
            </w:r>
            <w:proofErr w:type="spellStart"/>
            <w:r w:rsidRPr="00144DCC">
              <w:t>mouth</w:t>
            </w:r>
            <w:r w:rsidR="00366EA9" w:rsidRPr="00144DCC">
              <w:rPr>
                <w:vertAlign w:val="superscript"/>
              </w:rPr>
              <w:t>b</w:t>
            </w:r>
            <w:proofErr w:type="spellEnd"/>
          </w:p>
        </w:tc>
        <w:tc>
          <w:tcPr>
            <w:tcW w:w="1418" w:type="dxa"/>
          </w:tcPr>
          <w:p w14:paraId="2F4042AC" w14:textId="1B7BD5FD" w:rsidR="000C36D8" w:rsidRPr="004243EA" w:rsidRDefault="000A7D9B" w:rsidP="00CA1535">
            <w:pPr>
              <w:jc w:val="center"/>
            </w:pPr>
            <w:r>
              <w:t>344 (</w:t>
            </w:r>
            <w:r w:rsidR="000C36D8" w:rsidRPr="004243EA">
              <w:t>43</w:t>
            </w:r>
            <w:r w:rsidR="00366EA9">
              <w:t>.2</w:t>
            </w:r>
            <w:r>
              <w:t>)</w:t>
            </w:r>
          </w:p>
        </w:tc>
        <w:tc>
          <w:tcPr>
            <w:tcW w:w="1488" w:type="dxa"/>
          </w:tcPr>
          <w:p w14:paraId="3436B4F3" w14:textId="4BE3EB52" w:rsidR="000C36D8" w:rsidRPr="004243EA" w:rsidRDefault="00D56E0E" w:rsidP="00CA1535">
            <w:pPr>
              <w:jc w:val="center"/>
            </w:pPr>
            <w:r>
              <w:t>0</w:t>
            </w:r>
            <w:r w:rsidR="00925731">
              <w:t xml:space="preserve"> </w:t>
            </w:r>
            <w:r>
              <w:t>(0.</w:t>
            </w:r>
            <w:r w:rsidR="000C36D8" w:rsidRPr="004243EA">
              <w:t>0</w:t>
            </w:r>
            <w:r>
              <w:t>)</w:t>
            </w:r>
          </w:p>
        </w:tc>
        <w:tc>
          <w:tcPr>
            <w:tcW w:w="1489" w:type="dxa"/>
          </w:tcPr>
          <w:p w14:paraId="4F4A8D23" w14:textId="7AE1102D" w:rsidR="000C36D8" w:rsidRPr="004243EA" w:rsidRDefault="00DE467E" w:rsidP="00CA1535">
            <w:pPr>
              <w:jc w:val="center"/>
            </w:pPr>
            <w:r>
              <w:t>0 (0.</w:t>
            </w:r>
            <w:r w:rsidRPr="004243EA">
              <w:t>0</w:t>
            </w:r>
            <w:r>
              <w:t>)</w:t>
            </w:r>
          </w:p>
        </w:tc>
      </w:tr>
      <w:tr w:rsidR="000C36D8" w:rsidRPr="004243EA" w14:paraId="00C3DBCD" w14:textId="77777777" w:rsidTr="002718BD">
        <w:tc>
          <w:tcPr>
            <w:tcW w:w="3114" w:type="dxa"/>
            <w:vMerge w:val="restart"/>
          </w:tcPr>
          <w:p w14:paraId="3DA6BF5F" w14:textId="2087695F" w:rsidR="000C36D8" w:rsidRPr="004243EA" w:rsidRDefault="000C36D8" w:rsidP="00D10D9A">
            <w:r w:rsidRPr="004243EA">
              <w:t>Skin and subcutaneous tissue disorders</w:t>
            </w:r>
          </w:p>
        </w:tc>
        <w:tc>
          <w:tcPr>
            <w:tcW w:w="2551" w:type="dxa"/>
          </w:tcPr>
          <w:p w14:paraId="4108681E" w14:textId="631E8A98" w:rsidR="000C36D8" w:rsidRPr="00CA1535" w:rsidRDefault="000C36D8" w:rsidP="00D10D9A">
            <w:pPr>
              <w:rPr>
                <w:i/>
              </w:rPr>
            </w:pPr>
            <w:r w:rsidRPr="00CA1535">
              <w:rPr>
                <w:i/>
              </w:rPr>
              <w:t>Very common</w:t>
            </w:r>
          </w:p>
        </w:tc>
        <w:tc>
          <w:tcPr>
            <w:tcW w:w="1418" w:type="dxa"/>
          </w:tcPr>
          <w:p w14:paraId="7A8F211C" w14:textId="77777777" w:rsidR="000C36D8" w:rsidRPr="004243EA" w:rsidRDefault="000C36D8" w:rsidP="00CA1535">
            <w:pPr>
              <w:jc w:val="center"/>
            </w:pPr>
          </w:p>
        </w:tc>
        <w:tc>
          <w:tcPr>
            <w:tcW w:w="1488" w:type="dxa"/>
          </w:tcPr>
          <w:p w14:paraId="2DE66D76" w14:textId="77777777" w:rsidR="000C36D8" w:rsidRPr="004243EA" w:rsidRDefault="000C36D8" w:rsidP="00CA1535">
            <w:pPr>
              <w:jc w:val="center"/>
            </w:pPr>
          </w:p>
        </w:tc>
        <w:tc>
          <w:tcPr>
            <w:tcW w:w="1489" w:type="dxa"/>
          </w:tcPr>
          <w:p w14:paraId="5FF623AF" w14:textId="20A67BC1" w:rsidR="000C36D8" w:rsidRPr="004243EA" w:rsidRDefault="000C36D8" w:rsidP="00CA1535">
            <w:pPr>
              <w:jc w:val="center"/>
            </w:pPr>
          </w:p>
        </w:tc>
      </w:tr>
      <w:tr w:rsidR="000C36D8" w:rsidRPr="004243EA" w14:paraId="61991DF4" w14:textId="77777777" w:rsidTr="002718BD">
        <w:tc>
          <w:tcPr>
            <w:tcW w:w="3114" w:type="dxa"/>
            <w:vMerge/>
          </w:tcPr>
          <w:p w14:paraId="3A9F077D" w14:textId="77777777" w:rsidR="000C36D8" w:rsidRPr="004243EA" w:rsidRDefault="000C36D8" w:rsidP="00D10D9A"/>
        </w:tc>
        <w:tc>
          <w:tcPr>
            <w:tcW w:w="2551" w:type="dxa"/>
          </w:tcPr>
          <w:p w14:paraId="01EF1829" w14:textId="1D20D15D" w:rsidR="000C36D8" w:rsidRPr="004243EA" w:rsidRDefault="000C36D8" w:rsidP="00D10D9A">
            <w:proofErr w:type="spellStart"/>
            <w:r w:rsidRPr="00144DCC">
              <w:t>Rash</w:t>
            </w:r>
            <w:r w:rsidR="00366EA9" w:rsidRPr="00144DCC">
              <w:rPr>
                <w:vertAlign w:val="superscript"/>
              </w:rPr>
              <w:t>b</w:t>
            </w:r>
            <w:proofErr w:type="spellEnd"/>
          </w:p>
        </w:tc>
        <w:tc>
          <w:tcPr>
            <w:tcW w:w="1418" w:type="dxa"/>
          </w:tcPr>
          <w:p w14:paraId="4C7E96E3" w14:textId="29214068" w:rsidR="000C36D8" w:rsidRPr="004243EA" w:rsidRDefault="0047673A" w:rsidP="00CA1535">
            <w:pPr>
              <w:jc w:val="center"/>
            </w:pPr>
            <w:r>
              <w:t>261 (</w:t>
            </w:r>
            <w:r w:rsidR="000C78FE">
              <w:t>32.8</w:t>
            </w:r>
            <w:r>
              <w:t>)</w:t>
            </w:r>
          </w:p>
        </w:tc>
        <w:tc>
          <w:tcPr>
            <w:tcW w:w="1488" w:type="dxa"/>
          </w:tcPr>
          <w:p w14:paraId="6CCE981E" w14:textId="76A4F4B9" w:rsidR="000C36D8" w:rsidRPr="004243EA" w:rsidRDefault="005572B0" w:rsidP="00CA1535">
            <w:pPr>
              <w:jc w:val="center"/>
            </w:pPr>
            <w:r>
              <w:t>5 (</w:t>
            </w:r>
            <w:r w:rsidR="000C36D8" w:rsidRPr="004243EA">
              <w:t>0.</w:t>
            </w:r>
            <w:r w:rsidR="000C78FE">
              <w:t>6</w:t>
            </w:r>
            <w:r>
              <w:t>)</w:t>
            </w:r>
          </w:p>
        </w:tc>
        <w:tc>
          <w:tcPr>
            <w:tcW w:w="1489" w:type="dxa"/>
          </w:tcPr>
          <w:p w14:paraId="2F6F72F0" w14:textId="008FE636" w:rsidR="000C36D8" w:rsidRPr="004243EA" w:rsidRDefault="000C78FE" w:rsidP="00CA1535">
            <w:pPr>
              <w:jc w:val="center"/>
            </w:pPr>
            <w:r>
              <w:t>0</w:t>
            </w:r>
            <w:r w:rsidR="00AF201F">
              <w:t>(0.</w:t>
            </w:r>
            <w:r w:rsidR="00AF201F" w:rsidRPr="004243EA">
              <w:t>0</w:t>
            </w:r>
            <w:r w:rsidR="00AF201F">
              <w:t>)</w:t>
            </w:r>
          </w:p>
        </w:tc>
      </w:tr>
      <w:tr w:rsidR="000C36D8" w:rsidRPr="004243EA" w14:paraId="5F548E48" w14:textId="77777777" w:rsidTr="002718BD">
        <w:tc>
          <w:tcPr>
            <w:tcW w:w="3114" w:type="dxa"/>
            <w:vMerge w:val="restart"/>
          </w:tcPr>
          <w:p w14:paraId="6A5556DC" w14:textId="2CF9F07B" w:rsidR="000C36D8" w:rsidRPr="004243EA" w:rsidRDefault="000C36D8" w:rsidP="00D10D9A">
            <w:r w:rsidRPr="004243EA">
              <w:t>General disorders and administration site conditions</w:t>
            </w:r>
          </w:p>
        </w:tc>
        <w:tc>
          <w:tcPr>
            <w:tcW w:w="2551" w:type="dxa"/>
          </w:tcPr>
          <w:p w14:paraId="66F21FF1" w14:textId="5CE1C3B3" w:rsidR="000C36D8" w:rsidRPr="00CA1535" w:rsidRDefault="000C36D8" w:rsidP="00D10D9A">
            <w:pPr>
              <w:rPr>
                <w:i/>
              </w:rPr>
            </w:pPr>
            <w:r w:rsidRPr="00CA1535">
              <w:rPr>
                <w:i/>
              </w:rPr>
              <w:t>Very common</w:t>
            </w:r>
          </w:p>
        </w:tc>
        <w:tc>
          <w:tcPr>
            <w:tcW w:w="1418" w:type="dxa"/>
          </w:tcPr>
          <w:p w14:paraId="71C06193" w14:textId="77777777" w:rsidR="000C36D8" w:rsidRPr="004243EA" w:rsidRDefault="000C36D8" w:rsidP="00CA1535">
            <w:pPr>
              <w:jc w:val="center"/>
            </w:pPr>
          </w:p>
        </w:tc>
        <w:tc>
          <w:tcPr>
            <w:tcW w:w="1488" w:type="dxa"/>
          </w:tcPr>
          <w:p w14:paraId="6C4F8F56" w14:textId="77777777" w:rsidR="000C36D8" w:rsidRPr="004243EA" w:rsidRDefault="000C36D8" w:rsidP="00CA1535">
            <w:pPr>
              <w:jc w:val="center"/>
            </w:pPr>
          </w:p>
        </w:tc>
        <w:tc>
          <w:tcPr>
            <w:tcW w:w="1489" w:type="dxa"/>
          </w:tcPr>
          <w:p w14:paraId="7C6C3C5C" w14:textId="531BCB35" w:rsidR="000C36D8" w:rsidRPr="004243EA" w:rsidRDefault="000C36D8" w:rsidP="00CA1535">
            <w:pPr>
              <w:jc w:val="center"/>
            </w:pPr>
          </w:p>
        </w:tc>
      </w:tr>
      <w:tr w:rsidR="000C36D8" w:rsidRPr="004243EA" w14:paraId="1AA7534A" w14:textId="77777777" w:rsidTr="002718BD">
        <w:tc>
          <w:tcPr>
            <w:tcW w:w="3114" w:type="dxa"/>
            <w:vMerge/>
          </w:tcPr>
          <w:p w14:paraId="5EC734AA" w14:textId="77777777" w:rsidR="000C36D8" w:rsidRPr="004243EA" w:rsidRDefault="000C36D8" w:rsidP="00D10D9A"/>
        </w:tc>
        <w:tc>
          <w:tcPr>
            <w:tcW w:w="2551" w:type="dxa"/>
          </w:tcPr>
          <w:p w14:paraId="1B3C58B8" w14:textId="05068A46" w:rsidR="000C36D8" w:rsidRPr="004243EA" w:rsidRDefault="000C36D8" w:rsidP="00D10D9A">
            <w:r w:rsidRPr="00144DCC">
              <w:t>Pyrexia</w:t>
            </w:r>
          </w:p>
        </w:tc>
        <w:tc>
          <w:tcPr>
            <w:tcW w:w="1418" w:type="dxa"/>
          </w:tcPr>
          <w:p w14:paraId="75244117" w14:textId="4B96418E" w:rsidR="000C36D8" w:rsidRPr="004243EA" w:rsidRDefault="003434E0" w:rsidP="00CA1535">
            <w:pPr>
              <w:jc w:val="center"/>
            </w:pPr>
            <w:r>
              <w:t>135 (</w:t>
            </w:r>
            <w:r w:rsidR="000C36D8" w:rsidRPr="004243EA">
              <w:t>1</w:t>
            </w:r>
            <w:r w:rsidR="000C78FE">
              <w:t>7.0</w:t>
            </w:r>
            <w:r>
              <w:t>)</w:t>
            </w:r>
          </w:p>
        </w:tc>
        <w:tc>
          <w:tcPr>
            <w:tcW w:w="1488" w:type="dxa"/>
          </w:tcPr>
          <w:p w14:paraId="7EFFED6B" w14:textId="1401B584" w:rsidR="000C36D8" w:rsidRPr="004243EA" w:rsidRDefault="00AF201F" w:rsidP="00CA1535">
            <w:pPr>
              <w:jc w:val="center"/>
            </w:pPr>
            <w:r>
              <w:t>1 (</w:t>
            </w:r>
            <w:r w:rsidR="000C36D8" w:rsidRPr="004243EA">
              <w:t>0.1</w:t>
            </w:r>
            <w:r>
              <w:t>)</w:t>
            </w:r>
          </w:p>
        </w:tc>
        <w:tc>
          <w:tcPr>
            <w:tcW w:w="1489" w:type="dxa"/>
          </w:tcPr>
          <w:p w14:paraId="0AE1FCAE" w14:textId="07E8855A" w:rsidR="000C36D8" w:rsidRPr="004243EA" w:rsidRDefault="00227C19" w:rsidP="00CA1535">
            <w:pPr>
              <w:jc w:val="center"/>
            </w:pPr>
            <w:r>
              <w:t>0</w:t>
            </w:r>
            <w:r w:rsidR="00AF201F">
              <w:t>(0.</w:t>
            </w:r>
            <w:r w:rsidR="00AF201F" w:rsidRPr="004243EA">
              <w:t>0</w:t>
            </w:r>
            <w:r w:rsidR="00AF201F">
              <w:t>)</w:t>
            </w:r>
          </w:p>
        </w:tc>
      </w:tr>
      <w:tr w:rsidR="000C36D8" w:rsidRPr="004243EA" w14:paraId="04095CE5" w14:textId="77777777" w:rsidTr="002718BD">
        <w:tc>
          <w:tcPr>
            <w:tcW w:w="3114" w:type="dxa"/>
            <w:vMerge/>
          </w:tcPr>
          <w:p w14:paraId="40FC3A3F" w14:textId="77777777" w:rsidR="000C36D8" w:rsidRPr="004243EA" w:rsidRDefault="000C36D8" w:rsidP="00D10D9A"/>
        </w:tc>
        <w:tc>
          <w:tcPr>
            <w:tcW w:w="2551" w:type="dxa"/>
          </w:tcPr>
          <w:p w14:paraId="2753692A" w14:textId="6BEDFAD5" w:rsidR="000C36D8" w:rsidRPr="004243EA" w:rsidRDefault="000C36D8" w:rsidP="00D10D9A">
            <w:proofErr w:type="spellStart"/>
            <w:r w:rsidRPr="004243EA">
              <w:t>Fatigue</w:t>
            </w:r>
            <w:r w:rsidR="00227C19">
              <w:rPr>
                <w:vertAlign w:val="superscript"/>
              </w:rPr>
              <w:t>b</w:t>
            </w:r>
            <w:proofErr w:type="spellEnd"/>
          </w:p>
        </w:tc>
        <w:tc>
          <w:tcPr>
            <w:tcW w:w="1418" w:type="dxa"/>
          </w:tcPr>
          <w:p w14:paraId="45F647C6" w14:textId="11D8E236" w:rsidR="000C36D8" w:rsidRPr="004243EA" w:rsidRDefault="00141E8C" w:rsidP="00562050">
            <w:pPr>
              <w:jc w:val="center"/>
            </w:pPr>
            <w:r>
              <w:t>365 (</w:t>
            </w:r>
            <w:r w:rsidR="00227C19">
              <w:t>45.9</w:t>
            </w:r>
            <w:r>
              <w:t>)</w:t>
            </w:r>
          </w:p>
        </w:tc>
        <w:tc>
          <w:tcPr>
            <w:tcW w:w="1488" w:type="dxa"/>
          </w:tcPr>
          <w:p w14:paraId="4FBC8C5F" w14:textId="66BFF9F9" w:rsidR="000C36D8" w:rsidRPr="004243EA" w:rsidRDefault="008A3C11" w:rsidP="00562050">
            <w:pPr>
              <w:jc w:val="center"/>
            </w:pPr>
            <w:r>
              <w:t xml:space="preserve">25 </w:t>
            </w:r>
            <w:r w:rsidR="00D14997">
              <w:t>(</w:t>
            </w:r>
            <w:r w:rsidR="009F0FE2">
              <w:t>3.1</w:t>
            </w:r>
            <w:r w:rsidR="00D14997">
              <w:t>)</w:t>
            </w:r>
          </w:p>
        </w:tc>
        <w:tc>
          <w:tcPr>
            <w:tcW w:w="1489" w:type="dxa"/>
          </w:tcPr>
          <w:p w14:paraId="142C56C4" w14:textId="73E8733C" w:rsidR="000C36D8" w:rsidRPr="004243EA" w:rsidRDefault="00D14997" w:rsidP="00562050">
            <w:pPr>
              <w:jc w:val="center"/>
            </w:pPr>
            <w:r>
              <w:t>0 (0.</w:t>
            </w:r>
            <w:r w:rsidRPr="004243EA">
              <w:t>0</w:t>
            </w:r>
            <w:r>
              <w:t>)</w:t>
            </w:r>
          </w:p>
        </w:tc>
      </w:tr>
      <w:tr w:rsidR="000C36D8" w:rsidRPr="004243EA" w14:paraId="48C0E9DE" w14:textId="77777777" w:rsidTr="002718BD">
        <w:tc>
          <w:tcPr>
            <w:tcW w:w="3114" w:type="dxa"/>
            <w:vMerge/>
          </w:tcPr>
          <w:p w14:paraId="0E9C07FE" w14:textId="77777777" w:rsidR="000C36D8" w:rsidRPr="004243EA" w:rsidRDefault="000C36D8" w:rsidP="00D10D9A"/>
        </w:tc>
        <w:tc>
          <w:tcPr>
            <w:tcW w:w="2551" w:type="dxa"/>
          </w:tcPr>
          <w:p w14:paraId="12EB6229" w14:textId="7D199344" w:rsidR="000C36D8" w:rsidRPr="00144DCC" w:rsidRDefault="000C36D8" w:rsidP="00D10D9A">
            <w:proofErr w:type="spellStart"/>
            <w:r w:rsidRPr="00144DCC">
              <w:t>Oedema</w:t>
            </w:r>
            <w:r w:rsidR="00321CB9" w:rsidRPr="00144DCC">
              <w:rPr>
                <w:vertAlign w:val="superscript"/>
              </w:rPr>
              <w:t>b</w:t>
            </w:r>
            <w:proofErr w:type="spellEnd"/>
          </w:p>
        </w:tc>
        <w:tc>
          <w:tcPr>
            <w:tcW w:w="1418" w:type="dxa"/>
          </w:tcPr>
          <w:p w14:paraId="6B216BED" w14:textId="5AF10C07" w:rsidR="000C36D8" w:rsidRPr="004243EA" w:rsidRDefault="00152077" w:rsidP="00562050">
            <w:pPr>
              <w:jc w:val="center"/>
            </w:pPr>
            <w:r>
              <w:t>386 (</w:t>
            </w:r>
            <w:r w:rsidR="00321CB9">
              <w:t>48.5</w:t>
            </w:r>
            <w:r>
              <w:t>)</w:t>
            </w:r>
          </w:p>
        </w:tc>
        <w:tc>
          <w:tcPr>
            <w:tcW w:w="1488" w:type="dxa"/>
          </w:tcPr>
          <w:p w14:paraId="74962A8D" w14:textId="7D15729A" w:rsidR="000C36D8" w:rsidRPr="004243EA" w:rsidRDefault="00B10581" w:rsidP="00562050">
            <w:pPr>
              <w:jc w:val="center"/>
            </w:pPr>
            <w:r>
              <w:t>6 (</w:t>
            </w:r>
            <w:r w:rsidR="00321CB9">
              <w:t>0.8</w:t>
            </w:r>
            <w:r>
              <w:t>)</w:t>
            </w:r>
          </w:p>
        </w:tc>
        <w:tc>
          <w:tcPr>
            <w:tcW w:w="1489" w:type="dxa"/>
          </w:tcPr>
          <w:p w14:paraId="7C36434D" w14:textId="6B3E7BC8" w:rsidR="000C36D8" w:rsidRPr="004243EA" w:rsidRDefault="00AF201F" w:rsidP="00562050">
            <w:pPr>
              <w:jc w:val="center"/>
            </w:pPr>
            <w:r>
              <w:t>0 (0.</w:t>
            </w:r>
            <w:r w:rsidRPr="004243EA">
              <w:t>0</w:t>
            </w:r>
            <w:r>
              <w:t>)</w:t>
            </w:r>
          </w:p>
        </w:tc>
      </w:tr>
      <w:tr w:rsidR="000C36D8" w:rsidRPr="004243EA" w14:paraId="25A38C99" w14:textId="77777777" w:rsidTr="002718BD">
        <w:tc>
          <w:tcPr>
            <w:tcW w:w="3114" w:type="dxa"/>
            <w:vMerge w:val="restart"/>
          </w:tcPr>
          <w:p w14:paraId="2BD6A02F" w14:textId="22A9BE2E" w:rsidR="000C36D8" w:rsidRPr="004243EA" w:rsidRDefault="000C36D8" w:rsidP="00D10D9A">
            <w:proofErr w:type="spellStart"/>
            <w:r w:rsidRPr="004243EA">
              <w:t>Investigations</w:t>
            </w:r>
            <w:r w:rsidR="00B21C6B" w:rsidRPr="00B21C6B">
              <w:rPr>
                <w:vertAlign w:val="superscript"/>
              </w:rPr>
              <w:t>c</w:t>
            </w:r>
            <w:proofErr w:type="spellEnd"/>
          </w:p>
        </w:tc>
        <w:tc>
          <w:tcPr>
            <w:tcW w:w="2551" w:type="dxa"/>
          </w:tcPr>
          <w:p w14:paraId="63CBEA76" w14:textId="3943EA08" w:rsidR="000C36D8" w:rsidRPr="00562050" w:rsidRDefault="000C36D8" w:rsidP="00D10D9A">
            <w:pPr>
              <w:rPr>
                <w:i/>
              </w:rPr>
            </w:pPr>
            <w:r w:rsidRPr="00562050">
              <w:rPr>
                <w:i/>
              </w:rPr>
              <w:t>Very common</w:t>
            </w:r>
          </w:p>
        </w:tc>
        <w:tc>
          <w:tcPr>
            <w:tcW w:w="1418" w:type="dxa"/>
          </w:tcPr>
          <w:p w14:paraId="20EEA455" w14:textId="77777777" w:rsidR="000C36D8" w:rsidRPr="004243EA" w:rsidRDefault="000C36D8" w:rsidP="00562050">
            <w:pPr>
              <w:jc w:val="center"/>
            </w:pPr>
          </w:p>
        </w:tc>
        <w:tc>
          <w:tcPr>
            <w:tcW w:w="1488" w:type="dxa"/>
          </w:tcPr>
          <w:p w14:paraId="24DB0DFB" w14:textId="77777777" w:rsidR="000C36D8" w:rsidRPr="004243EA" w:rsidRDefault="000C36D8" w:rsidP="00562050">
            <w:pPr>
              <w:jc w:val="center"/>
            </w:pPr>
          </w:p>
        </w:tc>
        <w:tc>
          <w:tcPr>
            <w:tcW w:w="1489" w:type="dxa"/>
          </w:tcPr>
          <w:p w14:paraId="7E232731" w14:textId="5178DD9F" w:rsidR="000C36D8" w:rsidRPr="004243EA" w:rsidRDefault="000C36D8" w:rsidP="00562050">
            <w:pPr>
              <w:jc w:val="center"/>
            </w:pPr>
          </w:p>
        </w:tc>
      </w:tr>
      <w:tr w:rsidR="000C36D8" w:rsidRPr="004243EA" w14:paraId="45D9E5D8" w14:textId="77777777" w:rsidTr="002718BD">
        <w:tc>
          <w:tcPr>
            <w:tcW w:w="3114" w:type="dxa"/>
            <w:vMerge/>
          </w:tcPr>
          <w:p w14:paraId="4F614FDD" w14:textId="77777777" w:rsidR="000C36D8" w:rsidRPr="004243EA" w:rsidRDefault="000C36D8" w:rsidP="00D10D9A"/>
        </w:tc>
        <w:tc>
          <w:tcPr>
            <w:tcW w:w="2551" w:type="dxa"/>
          </w:tcPr>
          <w:p w14:paraId="6341A62D" w14:textId="3685E272" w:rsidR="000C36D8" w:rsidRPr="004243EA" w:rsidRDefault="000C36D8" w:rsidP="00D10D9A">
            <w:r w:rsidRPr="00144DCC">
              <w:t>ALT increased</w:t>
            </w:r>
          </w:p>
        </w:tc>
        <w:tc>
          <w:tcPr>
            <w:tcW w:w="1418" w:type="dxa"/>
          </w:tcPr>
          <w:p w14:paraId="689104D5" w14:textId="18E5892C" w:rsidR="000C36D8" w:rsidRPr="004243EA" w:rsidRDefault="00472BBF" w:rsidP="00562050">
            <w:pPr>
              <w:jc w:val="center"/>
            </w:pPr>
            <w:r>
              <w:t>439 (55.5)</w:t>
            </w:r>
          </w:p>
        </w:tc>
        <w:tc>
          <w:tcPr>
            <w:tcW w:w="1488" w:type="dxa"/>
          </w:tcPr>
          <w:p w14:paraId="44A824E2" w14:textId="44B0F349" w:rsidR="000C36D8" w:rsidRPr="004243EA" w:rsidRDefault="00992C9D" w:rsidP="00562050">
            <w:pPr>
              <w:jc w:val="center"/>
            </w:pPr>
            <w:r>
              <w:t>85 (10.7)</w:t>
            </w:r>
          </w:p>
        </w:tc>
        <w:tc>
          <w:tcPr>
            <w:tcW w:w="1489" w:type="dxa"/>
          </w:tcPr>
          <w:p w14:paraId="1E733C38" w14:textId="23FA3D48" w:rsidR="000C36D8" w:rsidRPr="004243EA" w:rsidRDefault="00C90C93" w:rsidP="00562050">
            <w:pPr>
              <w:jc w:val="center"/>
            </w:pPr>
            <w:r>
              <w:t>8 (1.0)</w:t>
            </w:r>
          </w:p>
        </w:tc>
      </w:tr>
      <w:tr w:rsidR="000C36D8" w:rsidRPr="004243EA" w14:paraId="426F6194" w14:textId="77777777" w:rsidTr="002718BD">
        <w:tc>
          <w:tcPr>
            <w:tcW w:w="3114" w:type="dxa"/>
            <w:vMerge/>
          </w:tcPr>
          <w:p w14:paraId="7105BFEA" w14:textId="77777777" w:rsidR="000C36D8" w:rsidRPr="004243EA" w:rsidRDefault="000C36D8" w:rsidP="00D10D9A"/>
        </w:tc>
        <w:tc>
          <w:tcPr>
            <w:tcW w:w="2551" w:type="dxa"/>
          </w:tcPr>
          <w:p w14:paraId="04A06D3F" w14:textId="2F3E1325" w:rsidR="000C36D8" w:rsidRPr="004243EA" w:rsidRDefault="000C36D8" w:rsidP="00D10D9A">
            <w:r w:rsidRPr="00144DCC">
              <w:t>AST increased</w:t>
            </w:r>
          </w:p>
        </w:tc>
        <w:tc>
          <w:tcPr>
            <w:tcW w:w="1418" w:type="dxa"/>
          </w:tcPr>
          <w:p w14:paraId="198BB978" w14:textId="03FBEAE3" w:rsidR="000C36D8" w:rsidRPr="004243EA" w:rsidRDefault="00472BBF" w:rsidP="00562050">
            <w:pPr>
              <w:jc w:val="center"/>
            </w:pPr>
            <w:r>
              <w:t>466 (58.9)</w:t>
            </w:r>
          </w:p>
        </w:tc>
        <w:tc>
          <w:tcPr>
            <w:tcW w:w="1488" w:type="dxa"/>
          </w:tcPr>
          <w:p w14:paraId="65F3A550" w14:textId="5553C882" w:rsidR="000C36D8" w:rsidRPr="004243EA" w:rsidRDefault="00992C9D" w:rsidP="00562050">
            <w:pPr>
              <w:jc w:val="center"/>
            </w:pPr>
            <w:r>
              <w:t>77 (9.7)</w:t>
            </w:r>
          </w:p>
        </w:tc>
        <w:tc>
          <w:tcPr>
            <w:tcW w:w="1489" w:type="dxa"/>
          </w:tcPr>
          <w:p w14:paraId="2056F12F" w14:textId="369D5024" w:rsidR="000C36D8" w:rsidRPr="004243EA" w:rsidRDefault="00C90C93" w:rsidP="00562050">
            <w:pPr>
              <w:jc w:val="center"/>
            </w:pPr>
            <w:r>
              <w:t>7 (0.9)</w:t>
            </w:r>
          </w:p>
        </w:tc>
      </w:tr>
      <w:tr w:rsidR="000C36D8" w:rsidRPr="004243EA" w14:paraId="405A4A1B" w14:textId="77777777" w:rsidTr="002718BD">
        <w:tc>
          <w:tcPr>
            <w:tcW w:w="3114" w:type="dxa"/>
            <w:vMerge/>
          </w:tcPr>
          <w:p w14:paraId="662D08C6" w14:textId="77777777" w:rsidR="000C36D8" w:rsidRPr="004243EA" w:rsidRDefault="000C36D8" w:rsidP="00D10D9A"/>
        </w:tc>
        <w:tc>
          <w:tcPr>
            <w:tcW w:w="2551" w:type="dxa"/>
          </w:tcPr>
          <w:p w14:paraId="68B67A34" w14:textId="154B9086" w:rsidR="000C36D8" w:rsidRPr="00144DCC" w:rsidRDefault="000C36D8" w:rsidP="00D10D9A">
            <w:r w:rsidRPr="00144DCC">
              <w:t>Platelets decreased</w:t>
            </w:r>
          </w:p>
        </w:tc>
        <w:tc>
          <w:tcPr>
            <w:tcW w:w="1418" w:type="dxa"/>
          </w:tcPr>
          <w:p w14:paraId="3B7B1AC5" w14:textId="4494C5E9" w:rsidR="000C36D8" w:rsidRPr="004243EA" w:rsidRDefault="00920DBF" w:rsidP="00562050">
            <w:pPr>
              <w:jc w:val="center"/>
            </w:pPr>
            <w:r>
              <w:t>296 (</w:t>
            </w:r>
            <w:r w:rsidR="000C36D8" w:rsidRPr="004243EA">
              <w:t>3</w:t>
            </w:r>
            <w:r w:rsidR="00E5150A">
              <w:t>7.4</w:t>
            </w:r>
            <w:r>
              <w:t>)</w:t>
            </w:r>
          </w:p>
        </w:tc>
        <w:tc>
          <w:tcPr>
            <w:tcW w:w="1488" w:type="dxa"/>
          </w:tcPr>
          <w:p w14:paraId="1704498E" w14:textId="09470DA2" w:rsidR="000C36D8" w:rsidRPr="004243EA" w:rsidRDefault="00920DBF" w:rsidP="00562050">
            <w:pPr>
              <w:jc w:val="center"/>
            </w:pPr>
            <w:r>
              <w:t>15 (</w:t>
            </w:r>
            <w:r w:rsidR="00735AAC">
              <w:t>1.9</w:t>
            </w:r>
            <w:r>
              <w:t>)</w:t>
            </w:r>
          </w:p>
        </w:tc>
        <w:tc>
          <w:tcPr>
            <w:tcW w:w="1489" w:type="dxa"/>
          </w:tcPr>
          <w:p w14:paraId="7CBED765" w14:textId="6A8EB5A6" w:rsidR="000C36D8" w:rsidRPr="004243EA" w:rsidRDefault="00D278F3" w:rsidP="00562050">
            <w:pPr>
              <w:jc w:val="center"/>
            </w:pPr>
            <w:r>
              <w:t>10 (</w:t>
            </w:r>
            <w:r w:rsidR="00E56485">
              <w:t>1.3</w:t>
            </w:r>
            <w:r>
              <w:t>)</w:t>
            </w:r>
          </w:p>
        </w:tc>
      </w:tr>
      <w:tr w:rsidR="000C36D8" w:rsidRPr="004243EA" w14:paraId="46328294" w14:textId="77777777" w:rsidTr="002718BD">
        <w:tc>
          <w:tcPr>
            <w:tcW w:w="3114" w:type="dxa"/>
            <w:vMerge/>
          </w:tcPr>
          <w:p w14:paraId="135FB680" w14:textId="77777777" w:rsidR="000C36D8" w:rsidRPr="004243EA" w:rsidRDefault="000C36D8" w:rsidP="00D10D9A"/>
        </w:tc>
        <w:tc>
          <w:tcPr>
            <w:tcW w:w="2551" w:type="dxa"/>
          </w:tcPr>
          <w:p w14:paraId="59E90299" w14:textId="3F7DA128" w:rsidR="000C36D8" w:rsidRPr="00144DCC" w:rsidRDefault="000C36D8" w:rsidP="00D10D9A">
            <w:r w:rsidRPr="00144DCC">
              <w:t>Lymphocyte count decreased</w:t>
            </w:r>
          </w:p>
        </w:tc>
        <w:tc>
          <w:tcPr>
            <w:tcW w:w="1418" w:type="dxa"/>
          </w:tcPr>
          <w:p w14:paraId="5B1586F7" w14:textId="6D7477DF" w:rsidR="000C36D8" w:rsidRPr="004243EA" w:rsidRDefault="00995796" w:rsidP="00562050">
            <w:pPr>
              <w:jc w:val="center"/>
            </w:pPr>
            <w:r>
              <w:t>396 (</w:t>
            </w:r>
            <w:r w:rsidR="00E5150A">
              <w:t>51.8</w:t>
            </w:r>
            <w:r>
              <w:t>)</w:t>
            </w:r>
          </w:p>
        </w:tc>
        <w:tc>
          <w:tcPr>
            <w:tcW w:w="1488" w:type="dxa"/>
          </w:tcPr>
          <w:p w14:paraId="1CC2666D" w14:textId="772351E2" w:rsidR="000C36D8" w:rsidRPr="004243EA" w:rsidRDefault="00CF5C9B" w:rsidP="00562050">
            <w:pPr>
              <w:jc w:val="center"/>
            </w:pPr>
            <w:r>
              <w:t>135 (</w:t>
            </w:r>
            <w:r w:rsidR="000C36D8" w:rsidRPr="004243EA">
              <w:t>1</w:t>
            </w:r>
            <w:r w:rsidR="00735AAC">
              <w:t>7.6</w:t>
            </w:r>
            <w:r>
              <w:t>)</w:t>
            </w:r>
          </w:p>
        </w:tc>
        <w:tc>
          <w:tcPr>
            <w:tcW w:w="1489" w:type="dxa"/>
          </w:tcPr>
          <w:p w14:paraId="63E79456" w14:textId="619D7C35" w:rsidR="000C36D8" w:rsidRPr="004243EA" w:rsidRDefault="00CF5C9B" w:rsidP="00562050">
            <w:pPr>
              <w:jc w:val="center"/>
            </w:pPr>
            <w:r>
              <w:t>14 (</w:t>
            </w:r>
            <w:r w:rsidR="00E56485">
              <w:t>1.8</w:t>
            </w:r>
            <w:r>
              <w:t>)</w:t>
            </w:r>
          </w:p>
        </w:tc>
      </w:tr>
      <w:tr w:rsidR="000C36D8" w:rsidRPr="004243EA" w14:paraId="4DDD2DA9" w14:textId="77777777" w:rsidTr="002718BD">
        <w:tc>
          <w:tcPr>
            <w:tcW w:w="3114" w:type="dxa"/>
            <w:vMerge/>
          </w:tcPr>
          <w:p w14:paraId="2A2C1B94" w14:textId="77777777" w:rsidR="000C36D8" w:rsidRPr="004243EA" w:rsidRDefault="000C36D8" w:rsidP="00D10D9A"/>
        </w:tc>
        <w:tc>
          <w:tcPr>
            <w:tcW w:w="2551" w:type="dxa"/>
          </w:tcPr>
          <w:p w14:paraId="792AB688" w14:textId="0F2931FA" w:rsidR="000C36D8" w:rsidRPr="004243EA" w:rsidRDefault="000C36D8" w:rsidP="00D10D9A">
            <w:r w:rsidRPr="00144DCC">
              <w:t>Magnesium decreased</w:t>
            </w:r>
          </w:p>
        </w:tc>
        <w:tc>
          <w:tcPr>
            <w:tcW w:w="1418" w:type="dxa"/>
          </w:tcPr>
          <w:p w14:paraId="76A98154" w14:textId="51131D8F" w:rsidR="000C36D8" w:rsidRPr="004243EA" w:rsidRDefault="00B0505B" w:rsidP="00562050">
            <w:pPr>
              <w:jc w:val="center"/>
            </w:pPr>
            <w:r>
              <w:t>259 (</w:t>
            </w:r>
            <w:r w:rsidR="00E5150A">
              <w:t>32.9</w:t>
            </w:r>
            <w:r>
              <w:t>)</w:t>
            </w:r>
          </w:p>
        </w:tc>
        <w:tc>
          <w:tcPr>
            <w:tcW w:w="1488" w:type="dxa"/>
          </w:tcPr>
          <w:p w14:paraId="00C35A99" w14:textId="14B08576" w:rsidR="000C36D8" w:rsidRPr="004243EA" w:rsidRDefault="003B244F" w:rsidP="00562050">
            <w:pPr>
              <w:jc w:val="center"/>
            </w:pPr>
            <w:r>
              <w:t>3 (</w:t>
            </w:r>
            <w:r w:rsidR="000C36D8" w:rsidRPr="004243EA">
              <w:t>0.</w:t>
            </w:r>
            <w:r w:rsidR="00735AAC">
              <w:t>4</w:t>
            </w:r>
            <w:r>
              <w:t>)</w:t>
            </w:r>
          </w:p>
        </w:tc>
        <w:tc>
          <w:tcPr>
            <w:tcW w:w="1489" w:type="dxa"/>
          </w:tcPr>
          <w:p w14:paraId="5FD37284" w14:textId="06227681" w:rsidR="000C36D8" w:rsidRPr="004243EA" w:rsidRDefault="00D865EF" w:rsidP="00562050">
            <w:pPr>
              <w:jc w:val="center"/>
            </w:pPr>
            <w:r>
              <w:t>2 (</w:t>
            </w:r>
            <w:r w:rsidR="00E56485">
              <w:t>0.3</w:t>
            </w:r>
            <w:r>
              <w:t>)</w:t>
            </w:r>
          </w:p>
        </w:tc>
      </w:tr>
      <w:tr w:rsidR="000C36D8" w:rsidRPr="004243EA" w14:paraId="58E5D076" w14:textId="77777777" w:rsidTr="002718BD">
        <w:tc>
          <w:tcPr>
            <w:tcW w:w="3114" w:type="dxa"/>
            <w:vMerge/>
          </w:tcPr>
          <w:p w14:paraId="0F686A46" w14:textId="77777777" w:rsidR="000C36D8" w:rsidRPr="004243EA" w:rsidRDefault="000C36D8" w:rsidP="00D10D9A"/>
        </w:tc>
        <w:tc>
          <w:tcPr>
            <w:tcW w:w="2551" w:type="dxa"/>
          </w:tcPr>
          <w:p w14:paraId="33C1AABE" w14:textId="4D4E167E" w:rsidR="000C36D8" w:rsidRPr="004243EA" w:rsidRDefault="000C36D8" w:rsidP="00D10D9A">
            <w:r w:rsidRPr="00144DCC">
              <w:t>Creatinine increased</w:t>
            </w:r>
          </w:p>
        </w:tc>
        <w:tc>
          <w:tcPr>
            <w:tcW w:w="1418" w:type="dxa"/>
          </w:tcPr>
          <w:p w14:paraId="27C0050E" w14:textId="436CA775" w:rsidR="000C36D8" w:rsidRPr="004243EA" w:rsidRDefault="000C58EC" w:rsidP="00562050">
            <w:pPr>
              <w:jc w:val="center"/>
            </w:pPr>
            <w:r>
              <w:t>374 (</w:t>
            </w:r>
            <w:r w:rsidR="00897656">
              <w:t>47.3</w:t>
            </w:r>
            <w:r>
              <w:t>)</w:t>
            </w:r>
          </w:p>
        </w:tc>
        <w:tc>
          <w:tcPr>
            <w:tcW w:w="1488" w:type="dxa"/>
          </w:tcPr>
          <w:p w14:paraId="474BAD67" w14:textId="28919119" w:rsidR="000C36D8" w:rsidRPr="004243EA" w:rsidRDefault="004B482C" w:rsidP="00562050">
            <w:pPr>
              <w:jc w:val="center"/>
            </w:pPr>
            <w:r>
              <w:t>12 (</w:t>
            </w:r>
            <w:r w:rsidR="000C36D8" w:rsidRPr="004243EA">
              <w:t>1.</w:t>
            </w:r>
            <w:r w:rsidR="00735AAC">
              <w:t>5</w:t>
            </w:r>
            <w:r>
              <w:t>)</w:t>
            </w:r>
          </w:p>
        </w:tc>
        <w:tc>
          <w:tcPr>
            <w:tcW w:w="1489" w:type="dxa"/>
          </w:tcPr>
          <w:p w14:paraId="0C8EAF40" w14:textId="6357F346" w:rsidR="000C36D8" w:rsidRPr="004243EA" w:rsidRDefault="004B482C" w:rsidP="00562050">
            <w:pPr>
              <w:jc w:val="center"/>
            </w:pPr>
            <w:r>
              <w:t>7 (</w:t>
            </w:r>
            <w:r w:rsidR="00E56485">
              <w:t>0.9</w:t>
            </w:r>
            <w:r>
              <w:t>)</w:t>
            </w:r>
          </w:p>
        </w:tc>
      </w:tr>
      <w:tr w:rsidR="000C36D8" w:rsidRPr="004243EA" w14:paraId="038A8839" w14:textId="77777777" w:rsidTr="002718BD">
        <w:tc>
          <w:tcPr>
            <w:tcW w:w="3114" w:type="dxa"/>
            <w:vMerge w:val="restart"/>
          </w:tcPr>
          <w:p w14:paraId="58B68FC2" w14:textId="479041EB" w:rsidR="000C36D8" w:rsidRPr="004243EA" w:rsidRDefault="000C36D8" w:rsidP="00D10D9A">
            <w:r w:rsidRPr="004243EA">
              <w:lastRenderedPageBreak/>
              <w:t>Blood and lymphatic system</w:t>
            </w:r>
          </w:p>
        </w:tc>
        <w:tc>
          <w:tcPr>
            <w:tcW w:w="2551" w:type="dxa"/>
          </w:tcPr>
          <w:p w14:paraId="6EB5F411" w14:textId="4BF26F11" w:rsidR="000C36D8" w:rsidRPr="00562050" w:rsidRDefault="000C36D8" w:rsidP="00D10D9A">
            <w:pPr>
              <w:rPr>
                <w:i/>
              </w:rPr>
            </w:pPr>
            <w:r w:rsidRPr="00562050">
              <w:rPr>
                <w:i/>
              </w:rPr>
              <w:t>Very common</w:t>
            </w:r>
          </w:p>
        </w:tc>
        <w:tc>
          <w:tcPr>
            <w:tcW w:w="1418" w:type="dxa"/>
          </w:tcPr>
          <w:p w14:paraId="55613446" w14:textId="77777777" w:rsidR="000C36D8" w:rsidRPr="004243EA" w:rsidRDefault="000C36D8" w:rsidP="00562050">
            <w:pPr>
              <w:jc w:val="center"/>
            </w:pPr>
          </w:p>
        </w:tc>
        <w:tc>
          <w:tcPr>
            <w:tcW w:w="1488" w:type="dxa"/>
          </w:tcPr>
          <w:p w14:paraId="074AEE3B" w14:textId="77777777" w:rsidR="000C36D8" w:rsidRPr="004243EA" w:rsidRDefault="000C36D8" w:rsidP="00562050">
            <w:pPr>
              <w:jc w:val="center"/>
            </w:pPr>
          </w:p>
        </w:tc>
        <w:tc>
          <w:tcPr>
            <w:tcW w:w="1489" w:type="dxa"/>
          </w:tcPr>
          <w:p w14:paraId="0D1F4443" w14:textId="6432AE05" w:rsidR="000C36D8" w:rsidRPr="004243EA" w:rsidRDefault="000C36D8" w:rsidP="00562050">
            <w:pPr>
              <w:jc w:val="center"/>
            </w:pPr>
          </w:p>
        </w:tc>
      </w:tr>
      <w:tr w:rsidR="000C36D8" w14:paraId="43771F96" w14:textId="77777777" w:rsidTr="002718BD">
        <w:tc>
          <w:tcPr>
            <w:tcW w:w="3114" w:type="dxa"/>
            <w:vMerge/>
          </w:tcPr>
          <w:p w14:paraId="6A335F3E" w14:textId="77777777" w:rsidR="000C36D8" w:rsidRPr="004243EA" w:rsidRDefault="000C36D8" w:rsidP="00D10D9A"/>
        </w:tc>
        <w:tc>
          <w:tcPr>
            <w:tcW w:w="2551" w:type="dxa"/>
          </w:tcPr>
          <w:p w14:paraId="4FD9C1A9" w14:textId="05B03D97" w:rsidR="000C36D8" w:rsidRPr="004243EA" w:rsidRDefault="000C36D8" w:rsidP="00D10D9A">
            <w:proofErr w:type="spellStart"/>
            <w:r w:rsidRPr="004243EA">
              <w:t>Haemorrhage</w:t>
            </w:r>
            <w:r w:rsidR="00897656" w:rsidRPr="00562050">
              <w:rPr>
                <w:vertAlign w:val="superscript"/>
              </w:rPr>
              <w:t>b</w:t>
            </w:r>
            <w:proofErr w:type="spellEnd"/>
          </w:p>
        </w:tc>
        <w:tc>
          <w:tcPr>
            <w:tcW w:w="1418" w:type="dxa"/>
          </w:tcPr>
          <w:p w14:paraId="6FE75F10" w14:textId="7B07E32A" w:rsidR="000C36D8" w:rsidRPr="004243EA" w:rsidRDefault="00DF6569" w:rsidP="00562050">
            <w:pPr>
              <w:jc w:val="center"/>
            </w:pPr>
            <w:r>
              <w:t>175 (</w:t>
            </w:r>
            <w:r w:rsidR="00897656">
              <w:t>22.0</w:t>
            </w:r>
            <w:r>
              <w:t>)</w:t>
            </w:r>
          </w:p>
        </w:tc>
        <w:tc>
          <w:tcPr>
            <w:tcW w:w="1488" w:type="dxa"/>
          </w:tcPr>
          <w:p w14:paraId="15861AC6" w14:textId="014AED92" w:rsidR="000C36D8" w:rsidRDefault="00BC7FB8" w:rsidP="00562050">
            <w:pPr>
              <w:jc w:val="center"/>
            </w:pPr>
            <w:r>
              <w:t>17 (</w:t>
            </w:r>
            <w:r w:rsidR="000C36D8" w:rsidRPr="004243EA">
              <w:t>2.</w:t>
            </w:r>
            <w:r w:rsidR="00735AAC">
              <w:t>1</w:t>
            </w:r>
            <w:r>
              <w:t>)</w:t>
            </w:r>
          </w:p>
        </w:tc>
        <w:tc>
          <w:tcPr>
            <w:tcW w:w="1489" w:type="dxa"/>
          </w:tcPr>
          <w:p w14:paraId="1A36CD85" w14:textId="23C77527" w:rsidR="000C36D8" w:rsidRDefault="00AC17C8" w:rsidP="00562050">
            <w:pPr>
              <w:jc w:val="center"/>
            </w:pPr>
            <w:r>
              <w:t>4 (</w:t>
            </w:r>
            <w:r w:rsidR="00E56485">
              <w:t>0.5</w:t>
            </w:r>
            <w:r>
              <w:t>)</w:t>
            </w:r>
          </w:p>
        </w:tc>
      </w:tr>
    </w:tbl>
    <w:p w14:paraId="2A875E6E" w14:textId="48BCF183" w:rsidR="00B8472E" w:rsidRPr="00562050" w:rsidRDefault="00B8472E" w:rsidP="00562050">
      <w:pPr>
        <w:spacing w:after="0" w:line="240" w:lineRule="auto"/>
        <w:ind w:left="142"/>
        <w:rPr>
          <w:rFonts w:ascii="Cambria" w:hAnsi="Cambria"/>
          <w:sz w:val="18"/>
          <w:szCs w:val="18"/>
        </w:rPr>
      </w:pPr>
      <w:proofErr w:type="gramStart"/>
      <w:r w:rsidRPr="00562050">
        <w:rPr>
          <w:rFonts w:ascii="Cambria" w:hAnsi="Cambria"/>
          <w:sz w:val="18"/>
          <w:szCs w:val="18"/>
          <w:vertAlign w:val="superscript"/>
        </w:rPr>
        <w:t>a</w:t>
      </w:r>
      <w:r w:rsidRPr="00562050">
        <w:rPr>
          <w:rFonts w:ascii="Cambria" w:hAnsi="Cambria"/>
          <w:sz w:val="18"/>
          <w:szCs w:val="18"/>
        </w:rPr>
        <w:t xml:space="preserve"> Hypersensitivity reactions</w:t>
      </w:r>
      <w:proofErr w:type="gramEnd"/>
      <w:r w:rsidRPr="00562050">
        <w:rPr>
          <w:rFonts w:ascii="Cambria" w:hAnsi="Cambria"/>
          <w:sz w:val="18"/>
          <w:szCs w:val="18"/>
        </w:rPr>
        <w:t xml:space="preserve"> were </w:t>
      </w:r>
      <w:proofErr w:type="spellStart"/>
      <w:r w:rsidRPr="00562050">
        <w:rPr>
          <w:rFonts w:ascii="Cambria" w:hAnsi="Cambria"/>
          <w:sz w:val="18"/>
          <w:szCs w:val="18"/>
        </w:rPr>
        <w:t>characterised</w:t>
      </w:r>
      <w:proofErr w:type="spellEnd"/>
      <w:r w:rsidRPr="00562050">
        <w:rPr>
          <w:rFonts w:ascii="Cambria" w:hAnsi="Cambria"/>
          <w:sz w:val="18"/>
          <w:szCs w:val="18"/>
        </w:rPr>
        <w:t xml:space="preserve"> by a maculopapular rash often preceded by a fever with associated arthralgias/myalgias during the patient's first cycle of treatment (typically between Days 7-21).</w:t>
      </w:r>
    </w:p>
    <w:p w14:paraId="41B96BD7" w14:textId="1BF5C8FA" w:rsidR="00B8472E" w:rsidRPr="00562050" w:rsidRDefault="00B8472E" w:rsidP="00562050">
      <w:pPr>
        <w:spacing w:after="0" w:line="240" w:lineRule="auto"/>
        <w:ind w:left="142"/>
        <w:rPr>
          <w:rFonts w:ascii="Cambria" w:hAnsi="Cambria"/>
          <w:sz w:val="18"/>
          <w:szCs w:val="18"/>
        </w:rPr>
      </w:pPr>
      <w:r w:rsidRPr="00562050">
        <w:rPr>
          <w:rFonts w:ascii="Cambria" w:hAnsi="Cambria"/>
          <w:sz w:val="18"/>
          <w:szCs w:val="18"/>
          <w:vertAlign w:val="superscript"/>
        </w:rPr>
        <w:t>b</w:t>
      </w:r>
      <w:r w:rsidR="00AF728E" w:rsidRPr="00562050">
        <w:rPr>
          <w:rFonts w:ascii="Cambria" w:hAnsi="Cambria"/>
          <w:sz w:val="18"/>
          <w:szCs w:val="18"/>
          <w:vertAlign w:val="superscript"/>
        </w:rPr>
        <w:t xml:space="preserve"> </w:t>
      </w:r>
      <w:r w:rsidR="00AF728E" w:rsidRPr="00562050">
        <w:rPr>
          <w:rFonts w:ascii="Cambria" w:hAnsi="Cambria"/>
          <w:sz w:val="18"/>
          <w:szCs w:val="18"/>
        </w:rPr>
        <w:t>Composite terms</w:t>
      </w:r>
    </w:p>
    <w:p w14:paraId="113370A0" w14:textId="0F2E18FB" w:rsidR="00BF097E" w:rsidRPr="00562050" w:rsidRDefault="00B8472E" w:rsidP="00562050">
      <w:pPr>
        <w:spacing w:after="0" w:line="240" w:lineRule="auto"/>
        <w:ind w:left="142"/>
        <w:rPr>
          <w:rFonts w:ascii="Cambria" w:hAnsi="Cambria"/>
          <w:sz w:val="18"/>
          <w:szCs w:val="18"/>
        </w:rPr>
      </w:pPr>
      <w:r w:rsidRPr="00562050">
        <w:rPr>
          <w:rFonts w:ascii="Cambria" w:hAnsi="Cambria"/>
          <w:sz w:val="18"/>
          <w:szCs w:val="18"/>
          <w:vertAlign w:val="superscript"/>
        </w:rPr>
        <w:t>c</w:t>
      </w:r>
      <w:r w:rsidRPr="00562050">
        <w:rPr>
          <w:rFonts w:ascii="Cambria" w:hAnsi="Cambria"/>
          <w:sz w:val="18"/>
          <w:szCs w:val="18"/>
        </w:rPr>
        <w:t xml:space="preserve"> </w:t>
      </w:r>
      <w:r w:rsidR="00261E6E" w:rsidRPr="00562050">
        <w:rPr>
          <w:rFonts w:ascii="Cambria" w:hAnsi="Cambria"/>
          <w:sz w:val="18"/>
          <w:szCs w:val="18"/>
        </w:rPr>
        <w:t>Based on laboratory assessments. Percentage is calculated based on the number of patients with baseline assessment and at least one post-baseline assessment as the denominator, which was 765 for Lymphocyte count decrease, 787 for Magnesium decreased and 791 for the others.</w:t>
      </w:r>
    </w:p>
    <w:p w14:paraId="11282186" w14:textId="77777777" w:rsidR="001C7D5D" w:rsidRDefault="001C7D5D" w:rsidP="008744E2"/>
    <w:p w14:paraId="11D9397F" w14:textId="20412084" w:rsidR="005A5F5E" w:rsidRPr="001C7D5D" w:rsidRDefault="005A5F5E" w:rsidP="3F81EE28">
      <w:pPr>
        <w:rPr>
          <w:rFonts w:eastAsiaTheme="majorEastAsia" w:cstheme="majorBidi"/>
          <w:b/>
          <w:bCs/>
        </w:rPr>
      </w:pPr>
      <w:r w:rsidRPr="3F81EE28">
        <w:rPr>
          <w:rFonts w:eastAsiaTheme="majorEastAsia" w:cstheme="majorBidi"/>
          <w:b/>
          <w:bCs/>
        </w:rPr>
        <w:t>Additional adverse drug reactions from clinical trials</w:t>
      </w:r>
    </w:p>
    <w:p w14:paraId="4D558EF7" w14:textId="227B26DC" w:rsidR="007274B2" w:rsidRDefault="0099412C" w:rsidP="005A5F5E">
      <w:r>
        <w:t xml:space="preserve">The following </w:t>
      </w:r>
      <w:r w:rsidR="00111B03">
        <w:t xml:space="preserve">adverse reactions have been observed in </w:t>
      </w:r>
      <w:proofErr w:type="spellStart"/>
      <w:r w:rsidR="00111B03">
        <w:t>selpercatinib</w:t>
      </w:r>
      <w:proofErr w:type="spellEnd"/>
      <w:r w:rsidR="00111B03">
        <w:t>-treated patients in on-going</w:t>
      </w:r>
      <w:r w:rsidR="005D6BF2">
        <w:t xml:space="preserve"> LIBRETTO-001 trial:</w:t>
      </w:r>
    </w:p>
    <w:p w14:paraId="557F82D2" w14:textId="166F7F10" w:rsidR="005A5F5E" w:rsidRDefault="005A5F5E" w:rsidP="005A5F5E">
      <w:r>
        <w:t xml:space="preserve">Chylothorax (1.4%) and </w:t>
      </w:r>
      <w:proofErr w:type="spellStart"/>
      <w:r>
        <w:t>chylous</w:t>
      </w:r>
      <w:proofErr w:type="spellEnd"/>
      <w:r>
        <w:t xml:space="preserve"> ascites (1.4%) (n=807).</w:t>
      </w:r>
    </w:p>
    <w:p w14:paraId="40854659" w14:textId="37E39BBF" w:rsidR="00381F8B" w:rsidRDefault="00381F8B" w:rsidP="005A5F5E">
      <w:r>
        <w:t>Hypothyroidism (15.4%) (n=825)</w:t>
      </w:r>
    </w:p>
    <w:p w14:paraId="31DAAF80" w14:textId="1F28BA78" w:rsidR="00381F8B" w:rsidRDefault="00381F8B" w:rsidP="005A5F5E">
      <w:r>
        <w:t>Interstitial lung disease/pneumonitis (2.2%) (n=825)</w:t>
      </w:r>
    </w:p>
    <w:p w14:paraId="4378E430" w14:textId="394DE662" w:rsidR="008744E2" w:rsidRPr="00EE539C" w:rsidRDefault="008744E2" w:rsidP="00005AAA">
      <w:pPr>
        <w:pStyle w:val="Heading3"/>
        <w:rPr>
          <w:rFonts w:ascii="Cambria" w:hAnsi="Cambria"/>
          <w:b w:val="0"/>
          <w:bCs w:val="0"/>
        </w:rPr>
      </w:pPr>
      <w:r w:rsidRPr="00EE539C">
        <w:t>Description of selected adverse reactions</w:t>
      </w:r>
      <w:fldSimple w:instr=" DOCVARIABLE vault_nd_defee1c9-5be9-4927-8fad-50bd054b5796 \* MERGEFORMAT ">
        <w:r w:rsidR="00270901">
          <w:t xml:space="preserve"> </w:t>
        </w:r>
      </w:fldSimple>
    </w:p>
    <w:p w14:paraId="411DFA04" w14:textId="52343909" w:rsidR="008744E2" w:rsidRPr="00B643B6" w:rsidRDefault="008744E2" w:rsidP="00B643B6">
      <w:pPr>
        <w:pStyle w:val="Heading3"/>
        <w:rPr>
          <w:i/>
          <w:iCs/>
        </w:rPr>
      </w:pPr>
      <w:r w:rsidRPr="00B643B6">
        <w:rPr>
          <w:i/>
          <w:iCs/>
        </w:rPr>
        <w:t>Aminotransferase elevations (AST / ALT increased)</w:t>
      </w:r>
      <w:r w:rsidR="00270901">
        <w:rPr>
          <w:i/>
          <w:iCs/>
        </w:rPr>
        <w:fldChar w:fldCharType="begin"/>
      </w:r>
      <w:r w:rsidR="00270901">
        <w:rPr>
          <w:i/>
          <w:iCs/>
        </w:rPr>
        <w:instrText xml:space="preserve"> DOCVARIABLE vault_nd_3b86adda-2e04-4cd5-9f25-6ee451ad5178 \* MERGEFORMAT </w:instrText>
      </w:r>
      <w:r w:rsidR="00270901">
        <w:rPr>
          <w:i/>
          <w:iCs/>
        </w:rPr>
        <w:fldChar w:fldCharType="separate"/>
      </w:r>
      <w:r w:rsidR="00270901">
        <w:rPr>
          <w:i/>
          <w:iCs/>
        </w:rPr>
        <w:t xml:space="preserve"> </w:t>
      </w:r>
      <w:r w:rsidR="00270901">
        <w:rPr>
          <w:i/>
          <w:iCs/>
        </w:rPr>
        <w:fldChar w:fldCharType="end"/>
      </w:r>
    </w:p>
    <w:p w14:paraId="360D4FEF" w14:textId="6586EFB8" w:rsidR="008744E2" w:rsidRPr="004410B4" w:rsidRDefault="008744E2" w:rsidP="00097716">
      <w:pPr>
        <w:jc w:val="both"/>
      </w:pPr>
      <w:r w:rsidRPr="00EE539C">
        <w:t xml:space="preserve">Based on laboratory assessment, ALT and AST elevations were reported in </w:t>
      </w:r>
      <w:r w:rsidR="00961896" w:rsidRPr="00EE539C">
        <w:t>55</w:t>
      </w:r>
      <w:r w:rsidRPr="00EE539C">
        <w:t>.</w:t>
      </w:r>
      <w:r w:rsidR="006A4044" w:rsidRPr="00EE539C">
        <w:t>5</w:t>
      </w:r>
      <w:r w:rsidRPr="00EE539C">
        <w:t>% and 5</w:t>
      </w:r>
      <w:r w:rsidR="00961896" w:rsidRPr="00EE539C">
        <w:t>8.9</w:t>
      </w:r>
      <w:r w:rsidRPr="00EE539C">
        <w:t>% patients, respectively.</w:t>
      </w:r>
      <w:r w:rsidR="00C3389D" w:rsidRPr="00EE539C">
        <w:t xml:space="preserve"> </w:t>
      </w:r>
      <w:r w:rsidRPr="00EE539C">
        <w:t xml:space="preserve">Grade 3 or 4 ALT or AST elevations were reported in </w:t>
      </w:r>
      <w:r w:rsidR="006A4044" w:rsidRPr="00EE539C">
        <w:t>1</w:t>
      </w:r>
      <w:r w:rsidR="006A25A8" w:rsidRPr="00EE539C">
        <w:t>1</w:t>
      </w:r>
      <w:r w:rsidR="006A4044" w:rsidRPr="00EE539C">
        <w:t>.</w:t>
      </w:r>
      <w:r w:rsidR="006A25A8" w:rsidRPr="00EE539C">
        <w:rPr>
          <w:rFonts w:ascii="Cambria" w:hAnsi="Cambria"/>
        </w:rPr>
        <w:t>8</w:t>
      </w:r>
      <w:r w:rsidRPr="00EE539C">
        <w:t xml:space="preserve">% and </w:t>
      </w:r>
      <w:r w:rsidR="006A25A8" w:rsidRPr="00EE539C">
        <w:t>10.6</w:t>
      </w:r>
      <w:r w:rsidRPr="00EE539C">
        <w:t>% patients respectively.</w:t>
      </w:r>
    </w:p>
    <w:p w14:paraId="17D96E7D" w14:textId="3B53474A" w:rsidR="001129B3" w:rsidRDefault="004410B4" w:rsidP="00097716">
      <w:pPr>
        <w:jc w:val="both"/>
      </w:pPr>
      <w:r>
        <w:t>The median time to first onset was: AST increase 4.3 weeks (range: 0.7, 151.7), ALT increase 4.3 weeks (range: 0.9, 144.0).</w:t>
      </w:r>
    </w:p>
    <w:p w14:paraId="676C103C" w14:textId="4C0FDE8C" w:rsidR="008744E2" w:rsidRPr="001129B3" w:rsidRDefault="008744E2" w:rsidP="00097716">
      <w:pPr>
        <w:jc w:val="both"/>
      </w:pPr>
      <w:r w:rsidRPr="001129B3">
        <w:t xml:space="preserve">Dose modification is recommended for patients who develop Grade 3 or 4 ALT or AST increase (see section </w:t>
      </w:r>
      <w:r w:rsidR="000067B0" w:rsidRPr="001129B3">
        <w:fldChar w:fldCharType="begin"/>
      </w:r>
      <w:r w:rsidR="000067B0" w:rsidRPr="00EE539C">
        <w:instrText xml:space="preserve"> REF _Ref99351469 \n \h </w:instrText>
      </w:r>
      <w:r w:rsidR="00A074B9" w:rsidRPr="00471534">
        <w:instrText xml:space="preserve"> \* MERGEFORMAT </w:instrText>
      </w:r>
      <w:r w:rsidR="000067B0" w:rsidRPr="001129B3">
        <w:fldChar w:fldCharType="separate"/>
      </w:r>
      <w:r w:rsidR="000067B0" w:rsidRPr="001129B3">
        <w:t>4.2</w:t>
      </w:r>
      <w:r w:rsidR="000067B0" w:rsidRPr="001129B3">
        <w:fldChar w:fldCharType="end"/>
      </w:r>
      <w:r w:rsidR="000067B0" w:rsidRPr="00EE539C">
        <w:t xml:space="preserve"> </w:t>
      </w:r>
      <w:r w:rsidR="000067B0" w:rsidRPr="001129B3">
        <w:fldChar w:fldCharType="begin"/>
      </w:r>
      <w:r w:rsidR="000067B0" w:rsidRPr="00EE539C">
        <w:instrText xml:space="preserve"> REF _Ref99351469 \h </w:instrText>
      </w:r>
      <w:r w:rsidR="00A074B9" w:rsidRPr="00471534">
        <w:instrText xml:space="preserve"> \* MERGEFORMAT </w:instrText>
      </w:r>
      <w:r w:rsidR="000067B0" w:rsidRPr="001129B3">
        <w:fldChar w:fldCharType="separate"/>
      </w:r>
      <w:r w:rsidR="000067B0" w:rsidRPr="001129B3">
        <w:t>Dose and method of administration</w:t>
      </w:r>
      <w:r w:rsidR="000067B0" w:rsidRPr="001129B3">
        <w:fldChar w:fldCharType="end"/>
      </w:r>
      <w:r w:rsidRPr="00EE539C">
        <w:t>).</w:t>
      </w:r>
    </w:p>
    <w:p w14:paraId="37B7AADC" w14:textId="63ECFF92" w:rsidR="008744E2" w:rsidRPr="00B643B6" w:rsidRDefault="008744E2" w:rsidP="00B643B6">
      <w:pPr>
        <w:pStyle w:val="Heading3"/>
        <w:rPr>
          <w:i/>
          <w:iCs/>
        </w:rPr>
      </w:pPr>
      <w:r w:rsidRPr="00B643B6">
        <w:rPr>
          <w:i/>
          <w:iCs/>
        </w:rPr>
        <w:t>QT interval prolongation</w:t>
      </w:r>
      <w:r w:rsidR="00270901">
        <w:rPr>
          <w:i/>
          <w:iCs/>
        </w:rPr>
        <w:fldChar w:fldCharType="begin"/>
      </w:r>
      <w:r w:rsidR="00270901">
        <w:rPr>
          <w:i/>
          <w:iCs/>
        </w:rPr>
        <w:instrText xml:space="preserve"> DOCVARIABLE vault_nd_0960f63e-506f-4850-863d-af3b3c6786a8 \* MERGEFORMAT </w:instrText>
      </w:r>
      <w:r w:rsidR="00270901">
        <w:rPr>
          <w:i/>
          <w:iCs/>
        </w:rPr>
        <w:fldChar w:fldCharType="separate"/>
      </w:r>
      <w:r w:rsidR="00270901">
        <w:rPr>
          <w:i/>
          <w:iCs/>
        </w:rPr>
        <w:t xml:space="preserve"> </w:t>
      </w:r>
      <w:r w:rsidR="00270901">
        <w:rPr>
          <w:i/>
          <w:iCs/>
        </w:rPr>
        <w:fldChar w:fldCharType="end"/>
      </w:r>
    </w:p>
    <w:p w14:paraId="5E403F58" w14:textId="77777777" w:rsidR="00C70F4E" w:rsidRPr="00EE539C" w:rsidRDefault="00C70F4E" w:rsidP="00097716">
      <w:pPr>
        <w:jc w:val="both"/>
      </w:pPr>
      <w:r w:rsidRPr="004410B4">
        <w:t xml:space="preserve">In the 792 patients who had ECGs, review of data showed 7.3% of patients had &gt;500 msec maximum post-baseline </w:t>
      </w:r>
      <w:proofErr w:type="spellStart"/>
      <w:r w:rsidRPr="004410B4">
        <w:t>QTcF</w:t>
      </w:r>
      <w:proofErr w:type="spellEnd"/>
      <w:r w:rsidRPr="004410B4">
        <w:t xml:space="preserve"> value, and 19.8% of</w:t>
      </w:r>
      <w:r w:rsidRPr="00B615B9">
        <w:t xml:space="preserve"> patients had a &gt;60 msec maximum increase from baseline in </w:t>
      </w:r>
      <w:proofErr w:type="spellStart"/>
      <w:r w:rsidRPr="00B615B9">
        <w:t>QTcF</w:t>
      </w:r>
      <w:proofErr w:type="spellEnd"/>
      <w:r w:rsidRPr="00B615B9">
        <w:t xml:space="preserve"> intervals. At the time of the last post-baseline measurement, increase in QTc value &gt;60 msec was reported in 2.1% of patients.</w:t>
      </w:r>
    </w:p>
    <w:p w14:paraId="61CAEE74" w14:textId="77777777" w:rsidR="00C70F4E" w:rsidRPr="00EE539C" w:rsidRDefault="00C70F4E" w:rsidP="00097716">
      <w:pPr>
        <w:jc w:val="both"/>
      </w:pPr>
      <w:r w:rsidRPr="00EE539C">
        <w:t xml:space="preserve">There were no reports of </w:t>
      </w:r>
      <w:r w:rsidRPr="00EE539C">
        <w:rPr>
          <w:i/>
        </w:rPr>
        <w:t>Torsade de pointes</w:t>
      </w:r>
      <w:r w:rsidRPr="00EE539C">
        <w:t xml:space="preserve">, sudden death, ventricular tachycardia, ventricular fibrillation, or ventricular flutter related to </w:t>
      </w:r>
      <w:proofErr w:type="spellStart"/>
      <w:r w:rsidRPr="00EE539C">
        <w:t>selpercatinib</w:t>
      </w:r>
      <w:proofErr w:type="spellEnd"/>
      <w:r w:rsidRPr="00EE539C">
        <w:t>. No patient discontinued treatment due to QT prolongation.</w:t>
      </w:r>
    </w:p>
    <w:p w14:paraId="7351781A" w14:textId="484E9577" w:rsidR="00C70F4E" w:rsidRPr="004410B4" w:rsidRDefault="00C70F4E" w:rsidP="00097716">
      <w:pPr>
        <w:jc w:val="both"/>
      </w:pPr>
      <w:r w:rsidRPr="00EE539C">
        <w:lastRenderedPageBreak/>
        <w:t>R</w:t>
      </w:r>
      <w:r w:rsidR="00E448C2" w:rsidRPr="00EE539C">
        <w:t>ETEVMO</w:t>
      </w:r>
      <w:r w:rsidRPr="00EE539C">
        <w:t xml:space="preserve"> may require dose interruption or modification (see sections </w:t>
      </w:r>
      <w:r w:rsidR="00760AEE" w:rsidRPr="004410B4">
        <w:fldChar w:fldCharType="begin"/>
      </w:r>
      <w:r w:rsidR="00760AEE" w:rsidRPr="00EE539C">
        <w:instrText xml:space="preserve"> REF _Ref99351469 \n \h </w:instrText>
      </w:r>
      <w:r w:rsidR="00A074B9" w:rsidRPr="00471534">
        <w:instrText xml:space="preserve"> \* MERGEFORMAT </w:instrText>
      </w:r>
      <w:r w:rsidR="00760AEE" w:rsidRPr="004410B4">
        <w:fldChar w:fldCharType="separate"/>
      </w:r>
      <w:r w:rsidR="00760AEE" w:rsidRPr="004410B4">
        <w:t>4.2</w:t>
      </w:r>
      <w:r w:rsidR="00760AEE" w:rsidRPr="004410B4">
        <w:fldChar w:fldCharType="end"/>
      </w:r>
      <w:r w:rsidR="00760AEE" w:rsidRPr="00EE539C">
        <w:t xml:space="preserve"> </w:t>
      </w:r>
      <w:r w:rsidR="00760AEE" w:rsidRPr="004410B4">
        <w:fldChar w:fldCharType="begin"/>
      </w:r>
      <w:r w:rsidR="00760AEE" w:rsidRPr="00EE539C">
        <w:instrText xml:space="preserve"> REF _Ref99351469 \h </w:instrText>
      </w:r>
      <w:r w:rsidR="00A074B9" w:rsidRPr="00471534">
        <w:instrText xml:space="preserve"> \* MERGEFORMAT </w:instrText>
      </w:r>
      <w:r w:rsidR="00760AEE" w:rsidRPr="004410B4">
        <w:fldChar w:fldCharType="separate"/>
      </w:r>
      <w:r w:rsidR="00760AEE" w:rsidRPr="004410B4">
        <w:t>Dose and method of administration</w:t>
      </w:r>
      <w:r w:rsidR="00760AEE" w:rsidRPr="004410B4">
        <w:fldChar w:fldCharType="end"/>
      </w:r>
      <w:r w:rsidRPr="00EE539C">
        <w:t xml:space="preserve"> and </w:t>
      </w:r>
      <w:r w:rsidR="00760AEE" w:rsidRPr="004410B4">
        <w:fldChar w:fldCharType="begin"/>
      </w:r>
      <w:r w:rsidR="00760AEE" w:rsidRPr="00EE539C">
        <w:instrText xml:space="preserve"> REF _Ref99026326 \n \h </w:instrText>
      </w:r>
      <w:r w:rsidR="00A074B9" w:rsidRPr="00471534">
        <w:instrText xml:space="preserve"> \* MERGEFORMAT </w:instrText>
      </w:r>
      <w:r w:rsidR="00760AEE" w:rsidRPr="004410B4">
        <w:fldChar w:fldCharType="separate"/>
      </w:r>
      <w:r w:rsidR="00760AEE" w:rsidRPr="004410B4">
        <w:t>4.4</w:t>
      </w:r>
      <w:r w:rsidR="00760AEE" w:rsidRPr="004410B4">
        <w:fldChar w:fldCharType="end"/>
      </w:r>
      <w:r w:rsidR="00760AEE" w:rsidRPr="00EE539C">
        <w:t xml:space="preserve"> </w:t>
      </w:r>
      <w:r w:rsidR="00760AEE" w:rsidRPr="004410B4">
        <w:fldChar w:fldCharType="begin"/>
      </w:r>
      <w:r w:rsidR="00760AEE" w:rsidRPr="00EE539C">
        <w:instrText xml:space="preserve"> REF _Ref99026326 \h </w:instrText>
      </w:r>
      <w:r w:rsidR="00EE539C" w:rsidRPr="00471534">
        <w:instrText xml:space="preserve"> \* MERGEFORMAT </w:instrText>
      </w:r>
      <w:r w:rsidR="00760AEE" w:rsidRPr="004410B4">
        <w:fldChar w:fldCharType="separate"/>
      </w:r>
      <w:r w:rsidR="00760AEE" w:rsidRPr="004410B4">
        <w:t>Special warnings and precautions for use</w:t>
      </w:r>
      <w:r w:rsidR="00760AEE" w:rsidRPr="004410B4">
        <w:fldChar w:fldCharType="end"/>
      </w:r>
      <w:r w:rsidRPr="00EE539C">
        <w:t>).</w:t>
      </w:r>
    </w:p>
    <w:p w14:paraId="6B6887B2" w14:textId="25946EF1" w:rsidR="008744E2" w:rsidRPr="00B643B6" w:rsidRDefault="008744E2" w:rsidP="00B643B6">
      <w:pPr>
        <w:pStyle w:val="Heading3"/>
        <w:rPr>
          <w:i/>
          <w:iCs/>
        </w:rPr>
      </w:pPr>
      <w:r w:rsidRPr="00B643B6">
        <w:rPr>
          <w:i/>
          <w:iCs/>
        </w:rPr>
        <w:t>Hypertension</w:t>
      </w:r>
      <w:r w:rsidR="00270901">
        <w:rPr>
          <w:i/>
          <w:iCs/>
        </w:rPr>
        <w:fldChar w:fldCharType="begin"/>
      </w:r>
      <w:r w:rsidR="00270901">
        <w:rPr>
          <w:i/>
          <w:iCs/>
        </w:rPr>
        <w:instrText xml:space="preserve"> DOCVARIABLE vault_nd_686701a4-f213-45e5-ae1f-afafd33896fc \* MERGEFORMAT </w:instrText>
      </w:r>
      <w:r w:rsidR="00270901">
        <w:rPr>
          <w:i/>
          <w:iCs/>
        </w:rPr>
        <w:fldChar w:fldCharType="separate"/>
      </w:r>
      <w:r w:rsidR="00270901">
        <w:rPr>
          <w:i/>
          <w:iCs/>
        </w:rPr>
        <w:t xml:space="preserve"> </w:t>
      </w:r>
      <w:r w:rsidR="00270901">
        <w:rPr>
          <w:i/>
          <w:iCs/>
        </w:rPr>
        <w:fldChar w:fldCharType="end"/>
      </w:r>
    </w:p>
    <w:p w14:paraId="246591F6" w14:textId="77777777" w:rsidR="00987D9E" w:rsidRPr="004410B4" w:rsidRDefault="00987D9E" w:rsidP="00097716">
      <w:pPr>
        <w:jc w:val="both"/>
      </w:pPr>
      <w:r w:rsidRPr="004410B4">
        <w:t>In the 793</w:t>
      </w:r>
      <w:r w:rsidRPr="00EE539C">
        <w:t xml:space="preserve"> patients who had blood pressure measurements, the median maximum increase from baseline systolic pressure was 31 mm Hg (range: –12, +96). Only 10.8% of patients retained their baseline grade during treatment, 42.2% had an increasing shift of 1 grade</w:t>
      </w:r>
      <w:r w:rsidRPr="004410B4">
        <w:t>, 37.1</w:t>
      </w:r>
      <w:r w:rsidRPr="00EE539C">
        <w:t xml:space="preserve">% of 2 grades, and 9.3% of 3 grades. A treatment emergent adverse event of hypertension was reported in 43.9% patients with history of hypertension (28.2% with grade 3, 4) and 38.8% of patients without history of hypertension (13.7% with grade </w:t>
      </w:r>
      <w:r w:rsidRPr="004410B4">
        <w:t>3, 4).</w:t>
      </w:r>
    </w:p>
    <w:p w14:paraId="679D52AC" w14:textId="77777777" w:rsidR="00987D9E" w:rsidRPr="004410B4" w:rsidRDefault="00987D9E" w:rsidP="00097716">
      <w:pPr>
        <w:jc w:val="both"/>
      </w:pPr>
      <w:r w:rsidRPr="004410B4">
        <w:t xml:space="preserve">Overall, a total </w:t>
      </w:r>
      <w:r w:rsidRPr="00EE539C">
        <w:t>of 19.6% displayed treatment-emergent Grade 3 hypertension (defined as maximum systolic blood pressure greater than 160 mm Hg). Grade 4 treatment emergent hypertension was reported in 0.1% patients. Diastolic blood pressure resul</w:t>
      </w:r>
      <w:r w:rsidRPr="004410B4">
        <w:t>ts were similar, but the increases were of lesser magnitude.</w:t>
      </w:r>
    </w:p>
    <w:p w14:paraId="62774930" w14:textId="60D84612" w:rsidR="00987D9E" w:rsidRPr="004410B4" w:rsidRDefault="00987D9E" w:rsidP="00097716">
      <w:pPr>
        <w:jc w:val="both"/>
      </w:pPr>
      <w:r w:rsidRPr="00B5294F">
        <w:t xml:space="preserve">One patient </w:t>
      </w:r>
      <w:r w:rsidRPr="00EE539C">
        <w:t xml:space="preserve">was permanently discontinued due to hypertension. Dose modification is recommended in patients who develop hypertension (see section </w:t>
      </w:r>
      <w:r w:rsidR="009A1898" w:rsidRPr="001129B3">
        <w:fldChar w:fldCharType="begin"/>
      </w:r>
      <w:r w:rsidR="009A1898" w:rsidRPr="00EE539C">
        <w:instrText xml:space="preserve"> REF _Ref99351469 \n \h </w:instrText>
      </w:r>
      <w:r w:rsidR="00EE539C" w:rsidRPr="00471534">
        <w:instrText xml:space="preserve"> \* MERGEFORMAT </w:instrText>
      </w:r>
      <w:r w:rsidR="009A1898" w:rsidRPr="001129B3">
        <w:fldChar w:fldCharType="separate"/>
      </w:r>
      <w:r w:rsidR="009A1898" w:rsidRPr="001129B3">
        <w:t>4.2</w:t>
      </w:r>
      <w:r w:rsidR="009A1898" w:rsidRPr="001129B3">
        <w:fldChar w:fldCharType="end"/>
      </w:r>
      <w:r w:rsidR="009A1898" w:rsidRPr="00EE539C">
        <w:t xml:space="preserve"> </w:t>
      </w:r>
      <w:r w:rsidR="009A1898" w:rsidRPr="00EE539C">
        <w:fldChar w:fldCharType="begin"/>
      </w:r>
      <w:r w:rsidR="009A1898" w:rsidRPr="00EE539C">
        <w:instrText xml:space="preserve"> REF _Ref99351469 \h </w:instrText>
      </w:r>
      <w:r w:rsidR="00EE539C" w:rsidRPr="00471534">
        <w:instrText xml:space="preserve"> \* MERGEFORMAT </w:instrText>
      </w:r>
      <w:r w:rsidR="009A1898" w:rsidRPr="00EE539C">
        <w:fldChar w:fldCharType="separate"/>
      </w:r>
      <w:r w:rsidR="009A1898" w:rsidRPr="001129B3">
        <w:t>Dose an</w:t>
      </w:r>
      <w:r w:rsidR="009A1898" w:rsidRPr="004410B4">
        <w:t>d method of administration</w:t>
      </w:r>
      <w:r w:rsidR="009A1898" w:rsidRPr="00EE539C">
        <w:fldChar w:fldCharType="end"/>
      </w:r>
      <w:r w:rsidRPr="00EE539C">
        <w:t xml:space="preserve">). Selpercatinib should be discontinued permanently if medically significant hypertension cannot be controlled with antihypertensive therapy (see section </w:t>
      </w:r>
      <w:r w:rsidR="009A1898" w:rsidRPr="004410B4">
        <w:fldChar w:fldCharType="begin"/>
      </w:r>
      <w:r w:rsidR="009A1898" w:rsidRPr="00EE539C">
        <w:instrText xml:space="preserve"> REF _Ref99026326 \n \h </w:instrText>
      </w:r>
      <w:r w:rsidR="00EE539C" w:rsidRPr="00471534">
        <w:instrText xml:space="preserve"> \* MERGEFORMAT </w:instrText>
      </w:r>
      <w:r w:rsidR="009A1898" w:rsidRPr="004410B4">
        <w:fldChar w:fldCharType="separate"/>
      </w:r>
      <w:r w:rsidR="009A1898" w:rsidRPr="004410B4">
        <w:t>4.4</w:t>
      </w:r>
      <w:r w:rsidR="009A1898" w:rsidRPr="004410B4">
        <w:fldChar w:fldCharType="end"/>
      </w:r>
      <w:r w:rsidR="009A1898" w:rsidRPr="00EE539C">
        <w:t xml:space="preserve"> </w:t>
      </w:r>
      <w:r w:rsidR="009A1898" w:rsidRPr="004410B4">
        <w:fldChar w:fldCharType="begin"/>
      </w:r>
      <w:r w:rsidR="009A1898" w:rsidRPr="00EE539C">
        <w:instrText xml:space="preserve"> REF _Ref99026326 \h </w:instrText>
      </w:r>
      <w:r w:rsidR="00EE539C" w:rsidRPr="00471534">
        <w:instrText xml:space="preserve"> \* MERGEFORMAT </w:instrText>
      </w:r>
      <w:r w:rsidR="009A1898" w:rsidRPr="004410B4">
        <w:fldChar w:fldCharType="separate"/>
      </w:r>
      <w:r w:rsidR="009A1898" w:rsidRPr="004410B4">
        <w:t>Special warnings and precautions for use</w:t>
      </w:r>
      <w:r w:rsidR="009A1898" w:rsidRPr="004410B4">
        <w:fldChar w:fldCharType="end"/>
      </w:r>
      <w:r w:rsidRPr="00EE539C">
        <w:t>).</w:t>
      </w:r>
    </w:p>
    <w:p w14:paraId="2993791D" w14:textId="25841B01" w:rsidR="008744E2" w:rsidRPr="00B643B6" w:rsidRDefault="008744E2" w:rsidP="00B643B6">
      <w:pPr>
        <w:pStyle w:val="Heading3"/>
        <w:rPr>
          <w:i/>
          <w:iCs/>
        </w:rPr>
      </w:pPr>
      <w:r w:rsidRPr="00B643B6">
        <w:rPr>
          <w:i/>
          <w:iCs/>
        </w:rPr>
        <w:t>Hypersensitivity</w:t>
      </w:r>
      <w:r w:rsidR="00270901">
        <w:rPr>
          <w:i/>
          <w:iCs/>
        </w:rPr>
        <w:fldChar w:fldCharType="begin"/>
      </w:r>
      <w:r w:rsidR="00270901">
        <w:rPr>
          <w:i/>
          <w:iCs/>
        </w:rPr>
        <w:instrText xml:space="preserve"> DOCVARIABLE vault_nd_5f5df576-353b-4933-9095-de79a2565bbf \* MERGEFORMAT </w:instrText>
      </w:r>
      <w:r w:rsidR="00270901">
        <w:rPr>
          <w:i/>
          <w:iCs/>
        </w:rPr>
        <w:fldChar w:fldCharType="separate"/>
      </w:r>
      <w:r w:rsidR="00270901">
        <w:rPr>
          <w:i/>
          <w:iCs/>
        </w:rPr>
        <w:t xml:space="preserve"> </w:t>
      </w:r>
      <w:r w:rsidR="00270901">
        <w:rPr>
          <w:i/>
          <w:iCs/>
        </w:rPr>
        <w:fldChar w:fldCharType="end"/>
      </w:r>
    </w:p>
    <w:p w14:paraId="3397C22B" w14:textId="77777777" w:rsidR="0021538D" w:rsidRPr="003A1067" w:rsidRDefault="0021538D" w:rsidP="00097716">
      <w:pPr>
        <w:jc w:val="both"/>
      </w:pPr>
      <w:r w:rsidRPr="00B615B9">
        <w:t>Signs and symptoms of hypersensitivity included fever, rash and arthralgias or myalgias with concurrent decreased platelets or increased aminotransferase.</w:t>
      </w:r>
    </w:p>
    <w:p w14:paraId="6000B619" w14:textId="3CB527EA" w:rsidR="0021538D" w:rsidRPr="00EE539C" w:rsidRDefault="0021538D" w:rsidP="00057411">
      <w:pPr>
        <w:jc w:val="both"/>
      </w:pPr>
      <w:r w:rsidRPr="003A1067">
        <w:t>In study LIBRETTO-001</w:t>
      </w:r>
      <w:r w:rsidRPr="00EE539C">
        <w:t xml:space="preserve">, 24.7% (197/796) of patients treated with </w:t>
      </w:r>
      <w:proofErr w:type="spellStart"/>
      <w:r w:rsidRPr="00EE539C">
        <w:t>selpercatinib</w:t>
      </w:r>
      <w:proofErr w:type="spellEnd"/>
      <w:r w:rsidRPr="00EE539C">
        <w:t xml:space="preserve"> had previously received anti-PD-1/PD-L1 </w:t>
      </w:r>
      <w:r w:rsidRPr="004410B4">
        <w:t>immunotherapy. Hypersensitivity occurred in a total of 5.9%</w:t>
      </w:r>
      <w:r w:rsidR="005D5DA2" w:rsidRPr="004410B4">
        <w:t xml:space="preserve"> </w:t>
      </w:r>
      <w:r w:rsidRPr="00B5294F">
        <w:t xml:space="preserve">(47/796) of patients receiving </w:t>
      </w:r>
      <w:proofErr w:type="spellStart"/>
      <w:r w:rsidRPr="00B5294F">
        <w:t>selpercatinib</w:t>
      </w:r>
      <w:proofErr w:type="spellEnd"/>
      <w:r w:rsidRPr="00B5294F">
        <w:t>, including Grade 3 hypersensitivity in 1.9%</w:t>
      </w:r>
      <w:r w:rsidR="005D5DA2" w:rsidRPr="00B615B9">
        <w:t xml:space="preserve"> </w:t>
      </w:r>
      <w:r w:rsidRPr="003A1067">
        <w:t>(15/796) of patients.</w:t>
      </w:r>
    </w:p>
    <w:p w14:paraId="1656CC0E" w14:textId="77777777" w:rsidR="0021538D" w:rsidRPr="004410B4" w:rsidRDefault="0021538D" w:rsidP="00057411">
      <w:pPr>
        <w:jc w:val="both"/>
      </w:pPr>
      <w:r w:rsidRPr="004410B4">
        <w:t>Of the 47 patients with hypersensitivity, 55.3% (26</w:t>
      </w:r>
      <w:r w:rsidRPr="00EE539C">
        <w:t xml:space="preserve">/47) had NSCLC and had </w:t>
      </w:r>
      <w:r w:rsidRPr="004410B4">
        <w:t>received prior anti-PD-1/PD-L1 immunotherapy.</w:t>
      </w:r>
    </w:p>
    <w:p w14:paraId="1ADEE8F0" w14:textId="77777777" w:rsidR="0021538D" w:rsidRPr="004410B4" w:rsidRDefault="0021538D" w:rsidP="00057411">
      <w:pPr>
        <w:jc w:val="both"/>
      </w:pPr>
      <w:r w:rsidRPr="00B5294F">
        <w:t xml:space="preserve">Grade 3 hypersensitivity occurred in 3.6% (7/197) </w:t>
      </w:r>
      <w:r w:rsidRPr="00EE539C">
        <w:t>of the patients previously treated with anti-PD-1/PD-L1 immunotherapy.</w:t>
      </w:r>
    </w:p>
    <w:p w14:paraId="0165D795" w14:textId="77777777" w:rsidR="0021538D" w:rsidRPr="004410B4" w:rsidRDefault="0021538D" w:rsidP="00057411">
      <w:pPr>
        <w:jc w:val="both"/>
      </w:pPr>
      <w:r w:rsidRPr="004410B4">
        <w:t xml:space="preserve">The median </w:t>
      </w:r>
      <w:r w:rsidRPr="00EE539C">
        <w:t>time to onset was 1.9 weeks (range: 0.7 to 112.1 weeks): 1.7 weeks in pa</w:t>
      </w:r>
      <w:r w:rsidRPr="004410B4">
        <w:t>tients with previous anti-PD-1/PD-L1 immunotherapy and 4.4 weeks in patients who were anti-PD-1/PD-L1 immunotherapy naïve.</w:t>
      </w:r>
    </w:p>
    <w:p w14:paraId="0217A6D5" w14:textId="5E0DF2EE" w:rsidR="0051365D" w:rsidRPr="004410B4" w:rsidRDefault="00625C49" w:rsidP="00057411">
      <w:pPr>
        <w:jc w:val="both"/>
      </w:pPr>
      <w:r w:rsidRPr="004410B4">
        <w:t>RETEVMO</w:t>
      </w:r>
      <w:r w:rsidR="008744E2" w:rsidRPr="00B5294F">
        <w:t xml:space="preserve"> may require dose interruption or modification (see section </w:t>
      </w:r>
      <w:bookmarkStart w:id="12" w:name="_Hlk98843715"/>
      <w:r w:rsidR="00057411" w:rsidRPr="004410B4">
        <w:fldChar w:fldCharType="begin"/>
      </w:r>
      <w:r w:rsidR="00057411" w:rsidRPr="00EE539C">
        <w:instrText xml:space="preserve"> REF _Ref99351469 \n \h  \* MERGEFORMAT </w:instrText>
      </w:r>
      <w:r w:rsidR="00057411" w:rsidRPr="004410B4">
        <w:fldChar w:fldCharType="separate"/>
      </w:r>
      <w:r w:rsidR="00057411" w:rsidRPr="004410B4">
        <w:t>4.2</w:t>
      </w:r>
      <w:r w:rsidR="00057411" w:rsidRPr="004410B4">
        <w:fldChar w:fldCharType="end"/>
      </w:r>
      <w:r w:rsidR="00057411" w:rsidRPr="00EE539C">
        <w:t xml:space="preserve"> </w:t>
      </w:r>
      <w:r w:rsidR="00057411" w:rsidRPr="004410B4">
        <w:fldChar w:fldCharType="begin"/>
      </w:r>
      <w:r w:rsidR="00057411" w:rsidRPr="00EE539C">
        <w:instrText xml:space="preserve"> REF _Ref99351469 \h  \* MERGEFORMAT </w:instrText>
      </w:r>
      <w:r w:rsidR="00057411" w:rsidRPr="004410B4">
        <w:fldChar w:fldCharType="separate"/>
      </w:r>
      <w:r w:rsidR="00057411" w:rsidRPr="004410B4">
        <w:t>Dose and method of administration</w:t>
      </w:r>
      <w:r w:rsidR="00057411" w:rsidRPr="004410B4">
        <w:fldChar w:fldCharType="end"/>
      </w:r>
      <w:r w:rsidR="008744E2" w:rsidRPr="00EE539C">
        <w:t>)</w:t>
      </w:r>
      <w:bookmarkEnd w:id="12"/>
      <w:r w:rsidR="008744E2" w:rsidRPr="00EE539C">
        <w:t>.</w:t>
      </w:r>
    </w:p>
    <w:p w14:paraId="41BA2953" w14:textId="591AE4AD" w:rsidR="008744E2" w:rsidRPr="00B643B6" w:rsidRDefault="008744E2" w:rsidP="00B643B6">
      <w:pPr>
        <w:pStyle w:val="Heading3"/>
        <w:rPr>
          <w:i/>
          <w:iCs/>
        </w:rPr>
      </w:pPr>
      <w:proofErr w:type="spellStart"/>
      <w:r w:rsidRPr="00B643B6">
        <w:rPr>
          <w:i/>
          <w:iCs/>
        </w:rPr>
        <w:lastRenderedPageBreak/>
        <w:t>Haemorrhages</w:t>
      </w:r>
      <w:proofErr w:type="spellEnd"/>
      <w:r w:rsidR="00270901">
        <w:rPr>
          <w:i/>
          <w:iCs/>
        </w:rPr>
        <w:fldChar w:fldCharType="begin"/>
      </w:r>
      <w:r w:rsidR="00270901">
        <w:rPr>
          <w:i/>
          <w:iCs/>
        </w:rPr>
        <w:instrText xml:space="preserve"> DOCVARIABLE vault_nd_6ca50ddb-ecb5-4e2c-8299-c21a8a9cd7e6 \* MERGEFORMAT </w:instrText>
      </w:r>
      <w:r w:rsidR="00270901">
        <w:rPr>
          <w:i/>
          <w:iCs/>
        </w:rPr>
        <w:fldChar w:fldCharType="separate"/>
      </w:r>
      <w:r w:rsidR="00270901">
        <w:rPr>
          <w:i/>
          <w:iCs/>
        </w:rPr>
        <w:t xml:space="preserve"> </w:t>
      </w:r>
      <w:r w:rsidR="00270901">
        <w:rPr>
          <w:i/>
          <w:iCs/>
        </w:rPr>
        <w:fldChar w:fldCharType="end"/>
      </w:r>
    </w:p>
    <w:p w14:paraId="437529DD" w14:textId="32720D2C" w:rsidR="00171C6F" w:rsidRPr="00B5294F" w:rsidRDefault="00171C6F" w:rsidP="004167D0">
      <w:pPr>
        <w:jc w:val="both"/>
      </w:pPr>
      <w:r w:rsidRPr="004410B4">
        <w:t xml:space="preserve">Grade ≥3 </w:t>
      </w:r>
      <w:proofErr w:type="spellStart"/>
      <w:r w:rsidRPr="004410B4">
        <w:t>haemorrhagic</w:t>
      </w:r>
      <w:proofErr w:type="spellEnd"/>
      <w:r w:rsidRPr="004410B4">
        <w:t xml:space="preserve"> events occurred in 3.1% </w:t>
      </w:r>
      <w:r w:rsidR="004F291F" w:rsidRPr="004410B4">
        <w:t>(25/</w:t>
      </w:r>
      <w:r w:rsidR="002414DC" w:rsidRPr="00B5294F">
        <w:t xml:space="preserve">796) </w:t>
      </w:r>
      <w:r w:rsidRPr="00EE539C">
        <w:t xml:space="preserve">of patients treated with </w:t>
      </w:r>
      <w:proofErr w:type="spellStart"/>
      <w:r w:rsidRPr="00EE539C">
        <w:t>selpercatinib</w:t>
      </w:r>
      <w:proofErr w:type="spellEnd"/>
      <w:r w:rsidRPr="00EE539C">
        <w:t xml:space="preserve">, including 4 (0.5%) patients with fatal </w:t>
      </w:r>
      <w:proofErr w:type="spellStart"/>
      <w:r w:rsidRPr="00EE539C">
        <w:t>haemorrhagic</w:t>
      </w:r>
      <w:proofErr w:type="spellEnd"/>
      <w:r w:rsidRPr="00EE539C">
        <w:t xml:space="preserve"> events, two cases of cerebral </w:t>
      </w:r>
      <w:proofErr w:type="spellStart"/>
      <w:r w:rsidRPr="00EE539C">
        <w:t>haemorrhage</w:t>
      </w:r>
      <w:proofErr w:type="spellEnd"/>
      <w:r w:rsidRPr="00EE539C">
        <w:t xml:space="preserve">, and one case each of tracheostomy site </w:t>
      </w:r>
      <w:proofErr w:type="spellStart"/>
      <w:r w:rsidRPr="00EE539C">
        <w:t>haemorrhage</w:t>
      </w:r>
      <w:proofErr w:type="spellEnd"/>
      <w:r w:rsidRPr="00EE539C">
        <w:t xml:space="preserve">, and </w:t>
      </w:r>
      <w:proofErr w:type="spellStart"/>
      <w:r w:rsidRPr="00EE539C">
        <w:t>haemoptysis</w:t>
      </w:r>
      <w:proofErr w:type="spellEnd"/>
      <w:r w:rsidRPr="00EE539C">
        <w:t xml:space="preserve">. The median time to onset was 24.3 weeks </w:t>
      </w:r>
      <w:r w:rsidRPr="004410B4">
        <w:t>(range: 0.1 week to 147.6 weeks).</w:t>
      </w:r>
    </w:p>
    <w:p w14:paraId="57AD2C2D" w14:textId="0E6402B7" w:rsidR="008744E2" w:rsidRPr="004410B4" w:rsidRDefault="008744E2" w:rsidP="004167D0">
      <w:pPr>
        <w:jc w:val="both"/>
      </w:pPr>
      <w:r w:rsidRPr="00B615B9">
        <w:t xml:space="preserve">Selpercatinib should be discontinued permanently in patients with severe or life-threatening </w:t>
      </w:r>
      <w:proofErr w:type="spellStart"/>
      <w:r w:rsidRPr="00B615B9">
        <w:t>haemorrhage</w:t>
      </w:r>
      <w:proofErr w:type="spellEnd"/>
      <w:r w:rsidRPr="00B615B9">
        <w:t xml:space="preserve"> (see section</w:t>
      </w:r>
      <w:r w:rsidR="00625C49" w:rsidRPr="00B615B9">
        <w:t xml:space="preserve"> </w:t>
      </w:r>
      <w:r w:rsidR="00BB243D" w:rsidRPr="004410B4">
        <w:fldChar w:fldCharType="begin"/>
      </w:r>
      <w:r w:rsidR="00BB243D" w:rsidRPr="00EE539C">
        <w:instrText xml:space="preserve"> REF _Ref99351469 \n \h  \* MERGEFORMAT </w:instrText>
      </w:r>
      <w:r w:rsidR="00BB243D" w:rsidRPr="004410B4">
        <w:fldChar w:fldCharType="separate"/>
      </w:r>
      <w:r w:rsidR="00BB243D" w:rsidRPr="004410B4">
        <w:t>4.2</w:t>
      </w:r>
      <w:r w:rsidR="00BB243D" w:rsidRPr="004410B4">
        <w:fldChar w:fldCharType="end"/>
      </w:r>
      <w:r w:rsidR="00BB243D" w:rsidRPr="00EE539C">
        <w:t xml:space="preserve"> </w:t>
      </w:r>
      <w:r w:rsidR="00BB243D" w:rsidRPr="004410B4">
        <w:fldChar w:fldCharType="begin"/>
      </w:r>
      <w:r w:rsidR="00BB243D" w:rsidRPr="00EE539C">
        <w:instrText xml:space="preserve"> REF _Ref99351469 \h  \* MERGEFORMAT </w:instrText>
      </w:r>
      <w:r w:rsidR="00BB243D" w:rsidRPr="004410B4">
        <w:fldChar w:fldCharType="separate"/>
      </w:r>
      <w:r w:rsidR="00BB243D" w:rsidRPr="004410B4">
        <w:t>Dose and method of administration</w:t>
      </w:r>
      <w:r w:rsidR="00BB243D" w:rsidRPr="004410B4">
        <w:fldChar w:fldCharType="end"/>
      </w:r>
      <w:r w:rsidRPr="00EE539C">
        <w:t>).</w:t>
      </w:r>
    </w:p>
    <w:p w14:paraId="29849C5B" w14:textId="2C440F1F" w:rsidR="008744E2" w:rsidRPr="004410B4" w:rsidRDefault="008744E2" w:rsidP="00005AAA">
      <w:pPr>
        <w:pStyle w:val="Heading3"/>
      </w:pPr>
      <w:r w:rsidRPr="004410B4">
        <w:t>Additional information on special populations</w:t>
      </w:r>
      <w:fldSimple w:instr=" DOCVARIABLE vault_nd_325f3c58-089a-416c-9f72-30fbb53c07fd \* MERGEFORMAT ">
        <w:r w:rsidR="00270901">
          <w:t xml:space="preserve"> </w:t>
        </w:r>
      </w:fldSimple>
    </w:p>
    <w:p w14:paraId="5F6F1903" w14:textId="685B8427" w:rsidR="008744E2" w:rsidRPr="00B643B6" w:rsidRDefault="008744E2" w:rsidP="00B643B6">
      <w:pPr>
        <w:pStyle w:val="Heading3"/>
        <w:rPr>
          <w:i/>
          <w:iCs/>
        </w:rPr>
      </w:pPr>
      <w:proofErr w:type="spellStart"/>
      <w:r w:rsidRPr="00B643B6">
        <w:rPr>
          <w:i/>
          <w:iCs/>
        </w:rPr>
        <w:t>Paediatric</w:t>
      </w:r>
      <w:proofErr w:type="spellEnd"/>
      <w:r w:rsidRPr="00B643B6">
        <w:rPr>
          <w:i/>
          <w:iCs/>
        </w:rPr>
        <w:t xml:space="preserve"> patients</w:t>
      </w:r>
      <w:r w:rsidR="00270901">
        <w:rPr>
          <w:i/>
          <w:iCs/>
        </w:rPr>
        <w:fldChar w:fldCharType="begin"/>
      </w:r>
      <w:r w:rsidR="00270901">
        <w:rPr>
          <w:i/>
          <w:iCs/>
        </w:rPr>
        <w:instrText xml:space="preserve"> DOCVARIABLE vault_nd_0156b208-76f1-45b3-9c01-40f3213bc706 \* MERGEFORMAT </w:instrText>
      </w:r>
      <w:r w:rsidR="00270901">
        <w:rPr>
          <w:i/>
          <w:iCs/>
        </w:rPr>
        <w:fldChar w:fldCharType="separate"/>
      </w:r>
      <w:r w:rsidR="00270901">
        <w:rPr>
          <w:i/>
          <w:iCs/>
        </w:rPr>
        <w:t xml:space="preserve"> </w:t>
      </w:r>
      <w:r w:rsidR="00270901">
        <w:rPr>
          <w:i/>
          <w:iCs/>
        </w:rPr>
        <w:fldChar w:fldCharType="end"/>
      </w:r>
    </w:p>
    <w:p w14:paraId="565CB6B8" w14:textId="34CFB979" w:rsidR="00625C49" w:rsidRPr="004410B4" w:rsidRDefault="008744E2" w:rsidP="004167D0">
      <w:pPr>
        <w:jc w:val="both"/>
      </w:pPr>
      <w:r w:rsidRPr="003A1067">
        <w:t xml:space="preserve">The safety of </w:t>
      </w:r>
      <w:proofErr w:type="spellStart"/>
      <w:r w:rsidRPr="003A1067">
        <w:t>selpercatinib</w:t>
      </w:r>
      <w:proofErr w:type="spellEnd"/>
      <w:r w:rsidRPr="003A1067">
        <w:t xml:space="preserve"> in children aged</w:t>
      </w:r>
      <w:r w:rsidR="00625C49" w:rsidRPr="003A1067">
        <w:t xml:space="preserve"> </w:t>
      </w:r>
      <w:r w:rsidRPr="003A1067">
        <w:t>less than 18 years has not been established</w:t>
      </w:r>
      <w:r w:rsidRPr="00EE539C">
        <w:t>.</w:t>
      </w:r>
    </w:p>
    <w:p w14:paraId="0497C6A5" w14:textId="21BF042C" w:rsidR="008744E2" w:rsidRPr="00B643B6" w:rsidRDefault="008744E2" w:rsidP="00B643B6">
      <w:pPr>
        <w:pStyle w:val="Heading3"/>
        <w:rPr>
          <w:i/>
          <w:iCs/>
        </w:rPr>
      </w:pPr>
      <w:r w:rsidRPr="00B643B6">
        <w:rPr>
          <w:i/>
          <w:iCs/>
        </w:rPr>
        <w:t>Elderly</w:t>
      </w:r>
      <w:r w:rsidR="00270901">
        <w:rPr>
          <w:i/>
          <w:iCs/>
        </w:rPr>
        <w:fldChar w:fldCharType="begin"/>
      </w:r>
      <w:r w:rsidR="00270901">
        <w:rPr>
          <w:i/>
          <w:iCs/>
        </w:rPr>
        <w:instrText xml:space="preserve"> DOCVARIABLE vault_nd_b92e8b4f-f686-4e4f-a326-8aad36024755 \* MERGEFORMAT </w:instrText>
      </w:r>
      <w:r w:rsidR="00270901">
        <w:rPr>
          <w:i/>
          <w:iCs/>
        </w:rPr>
        <w:fldChar w:fldCharType="separate"/>
      </w:r>
      <w:r w:rsidR="00270901">
        <w:rPr>
          <w:i/>
          <w:iCs/>
        </w:rPr>
        <w:t xml:space="preserve"> </w:t>
      </w:r>
      <w:r w:rsidR="00270901">
        <w:rPr>
          <w:i/>
          <w:iCs/>
        </w:rPr>
        <w:fldChar w:fldCharType="end"/>
      </w:r>
    </w:p>
    <w:p w14:paraId="7190332D" w14:textId="319D2515" w:rsidR="00B82363" w:rsidRPr="00EE539C" w:rsidRDefault="00B82363" w:rsidP="004167D0">
      <w:pPr>
        <w:jc w:val="both"/>
      </w:pPr>
      <w:r w:rsidRPr="004410B4">
        <w:t xml:space="preserve">In patients receiving </w:t>
      </w:r>
      <w:proofErr w:type="spellStart"/>
      <w:r w:rsidRPr="004410B4">
        <w:t>selpercatinib</w:t>
      </w:r>
      <w:proofErr w:type="spellEnd"/>
      <w:r w:rsidRPr="004410B4">
        <w:t xml:space="preserve">, 24.4% were ≥65-74 years of age, 8.3% were </w:t>
      </w:r>
      <w:r w:rsidR="005A6441" w:rsidRPr="004410B4">
        <w:t>≥</w:t>
      </w:r>
      <w:r w:rsidRPr="00B5294F">
        <w:t xml:space="preserve">75-84 </w:t>
      </w:r>
      <w:r w:rsidRPr="00EE539C">
        <w:t xml:space="preserve">years of age, and 1.0% ≥ 85 years of age. The frequency of serious adverse events reported was higher in </w:t>
      </w:r>
      <w:r w:rsidRPr="004410B4">
        <w:t>patients ≥65-74 years (51.5%), 75-84 years (56.1%), and ≥85 years (100.0%), than in patients &lt;65 years (39.4%) of age.</w:t>
      </w:r>
    </w:p>
    <w:p w14:paraId="656ABCAE" w14:textId="77777777" w:rsidR="00B82363" w:rsidRPr="00B82363" w:rsidRDefault="00B82363" w:rsidP="004167D0">
      <w:pPr>
        <w:jc w:val="both"/>
      </w:pPr>
      <w:r w:rsidRPr="001129B3">
        <w:t xml:space="preserve">The frequency of AE leading to discontinuation of </w:t>
      </w:r>
      <w:proofErr w:type="spellStart"/>
      <w:r w:rsidRPr="001129B3">
        <w:t>selpercatinib</w:t>
      </w:r>
      <w:proofErr w:type="spellEnd"/>
      <w:r w:rsidRPr="001129B3">
        <w:t xml:space="preserve"> was higher in patients ≥65-74 years (7.2%), 75-84 years (18.2</w:t>
      </w:r>
      <w:r w:rsidRPr="004410B4">
        <w:t>%), and ≥85 years (25.0%), than in patients &lt;65 years of age (6.8%).</w:t>
      </w:r>
    </w:p>
    <w:p w14:paraId="76177F78" w14:textId="374ACDB2" w:rsidR="00E17783" w:rsidRPr="00E17783" w:rsidRDefault="0021200F" w:rsidP="00B82363">
      <w:pPr>
        <w:pStyle w:val="Heading3"/>
      </w:pPr>
      <w:r>
        <w:t>Reporting suspected adverse effects</w:t>
      </w:r>
      <w:fldSimple w:instr=" DOCVARIABLE vault_nd_7e282256-d146-4ac4-aa43-1c60f4eab773 \* MERGEFORMAT ">
        <w:r w:rsidR="00270901">
          <w:t xml:space="preserve"> </w:t>
        </w:r>
      </w:fldSimple>
    </w:p>
    <w:p w14:paraId="2167778E" w14:textId="470002DA" w:rsidR="00A33B11" w:rsidRPr="005B2812" w:rsidRDefault="005B2812" w:rsidP="005B2812">
      <w:r w:rsidRPr="00A25DAD">
        <w:t xml:space="preserve">Reporting suspected adverse reactions after registration of the medicinal product is important. It allows continued monitoring of the benefit-risk balance of the medicinal product. Healthcare professionals are asked to report any suspected adverse reactions at </w:t>
      </w:r>
      <w:hyperlink r:id="rId13" w:history="1">
        <w:r w:rsidRPr="00497C85">
          <w:rPr>
            <w:rStyle w:val="Hyperlink"/>
          </w:rPr>
          <w:t>www.tga.gov.au/reporting-problems</w:t>
        </w:r>
      </w:hyperlink>
      <w:r w:rsidRPr="00497C85">
        <w:t>.</w:t>
      </w:r>
    </w:p>
    <w:p w14:paraId="62026CF4" w14:textId="63E4F581" w:rsidR="001A3992" w:rsidRDefault="001A3992" w:rsidP="00D10D9A">
      <w:pPr>
        <w:pStyle w:val="Heading2"/>
      </w:pPr>
      <w:r>
        <w:t>Overdose</w:t>
      </w:r>
      <w:fldSimple w:instr=" DOCVARIABLE vault_nd_34ea0dd2-4920-490c-b400-24f2e3779ac8 \* MERGEFORMAT ">
        <w:r w:rsidR="00270901">
          <w:t xml:space="preserve"> </w:t>
        </w:r>
      </w:fldSimple>
    </w:p>
    <w:p w14:paraId="45807B47" w14:textId="3E7AA2D9" w:rsidR="001D6A8D" w:rsidRPr="00A25DAD" w:rsidRDefault="001D6A8D" w:rsidP="00101FAF">
      <w:pPr>
        <w:jc w:val="both"/>
      </w:pPr>
      <w:r w:rsidRPr="00A25DAD">
        <w:t>Symptoms of overdose have not been established. In the event of suspected overdose, supportive care should be provided.</w:t>
      </w:r>
    </w:p>
    <w:p w14:paraId="15CF4DB5" w14:textId="05A23081" w:rsidR="00990DD9" w:rsidRPr="00A25DAD" w:rsidRDefault="005B2812" w:rsidP="00101FAF">
      <w:pPr>
        <w:jc w:val="both"/>
      </w:pPr>
      <w:r w:rsidRPr="00A25DAD">
        <w:t>For information on the management of overdose, contact the Poisons Information Centre on 13 11 26 (Australia).</w:t>
      </w:r>
    </w:p>
    <w:p w14:paraId="264E8D61" w14:textId="1F170E27" w:rsidR="001A3992" w:rsidRPr="00270901" w:rsidRDefault="001A3992" w:rsidP="00D10D9A">
      <w:pPr>
        <w:pStyle w:val="Heading1"/>
        <w:rPr>
          <w:lang w:val="en-US"/>
        </w:rPr>
      </w:pPr>
      <w:r w:rsidRPr="00270901">
        <w:rPr>
          <w:lang w:val="en-US"/>
        </w:rPr>
        <w:t>Pharmacological properties</w:t>
      </w:r>
      <w:r w:rsidR="00270901">
        <w:rPr>
          <w:lang w:val="en-US"/>
        </w:rPr>
        <w:fldChar w:fldCharType="begin"/>
      </w:r>
      <w:r w:rsidR="00270901">
        <w:rPr>
          <w:lang w:val="en-US"/>
        </w:rPr>
        <w:instrText xml:space="preserve"> DOCVARIABLE VAULT_ND_33b6e8c1-75a9-48eb-bf64-cfccc6751a07 \* MERGEFORMAT </w:instrText>
      </w:r>
      <w:r w:rsidR="00270901">
        <w:rPr>
          <w:lang w:val="en-US"/>
        </w:rPr>
        <w:fldChar w:fldCharType="separate"/>
      </w:r>
      <w:r w:rsidR="00270901">
        <w:rPr>
          <w:lang w:val="en-US"/>
        </w:rPr>
        <w:t xml:space="preserve"> </w:t>
      </w:r>
      <w:r w:rsidR="00270901">
        <w:rPr>
          <w:lang w:val="en-US"/>
        </w:rPr>
        <w:fldChar w:fldCharType="end"/>
      </w:r>
    </w:p>
    <w:p w14:paraId="2E928C92" w14:textId="6FD45EBE" w:rsidR="001A3992" w:rsidRDefault="001A3992" w:rsidP="00D10D9A">
      <w:pPr>
        <w:pStyle w:val="Heading2"/>
        <w:rPr>
          <w:lang w:val="en-US"/>
        </w:rPr>
      </w:pPr>
      <w:bookmarkStart w:id="13" w:name="_Ref99352243"/>
      <w:r w:rsidRPr="00EC3C40">
        <w:rPr>
          <w:lang w:val="en-US"/>
        </w:rPr>
        <w:t>Pharmacodynamic properties</w:t>
      </w:r>
      <w:bookmarkEnd w:id="13"/>
      <w:r w:rsidR="00270901">
        <w:rPr>
          <w:lang w:val="en-US"/>
        </w:rPr>
        <w:fldChar w:fldCharType="begin"/>
      </w:r>
      <w:r w:rsidR="00270901">
        <w:rPr>
          <w:lang w:val="en-US"/>
        </w:rPr>
        <w:instrText xml:space="preserve"> DOCVARIABLE vault_nd_9a16fe62-674e-458b-a858-2f7a1fddd1be \* MERGEFORMAT </w:instrText>
      </w:r>
      <w:r w:rsidR="00270901">
        <w:rPr>
          <w:lang w:val="en-US"/>
        </w:rPr>
        <w:fldChar w:fldCharType="separate"/>
      </w:r>
      <w:r w:rsidR="00270901">
        <w:rPr>
          <w:lang w:val="en-US"/>
        </w:rPr>
        <w:t xml:space="preserve"> </w:t>
      </w:r>
      <w:r w:rsidR="00270901">
        <w:rPr>
          <w:lang w:val="en-US"/>
        </w:rPr>
        <w:fldChar w:fldCharType="end"/>
      </w:r>
    </w:p>
    <w:p w14:paraId="58995A63" w14:textId="77777777" w:rsidR="0048301E" w:rsidRPr="00A25DAD" w:rsidRDefault="004D091E" w:rsidP="00C94F0E">
      <w:pPr>
        <w:jc w:val="both"/>
      </w:pPr>
      <w:r w:rsidRPr="00A25DAD">
        <w:t>Pharmacotherapeutic group: Antineoplastic and immunomodulating agents, antineoplastic agents, protein kinase inhibitors</w:t>
      </w:r>
      <w:r w:rsidR="0048301E" w:rsidRPr="00A25DAD">
        <w:t>.</w:t>
      </w:r>
      <w:r w:rsidRPr="00A25DAD">
        <w:t xml:space="preserve"> </w:t>
      </w:r>
    </w:p>
    <w:p w14:paraId="76CED292" w14:textId="292D57F7" w:rsidR="004D091E" w:rsidRPr="00A25DAD" w:rsidRDefault="004D091E" w:rsidP="00A25DAD">
      <w:r w:rsidRPr="00A25DAD">
        <w:lastRenderedPageBreak/>
        <w:t>ATC code: L01EX22</w:t>
      </w:r>
    </w:p>
    <w:p w14:paraId="4B9473B3" w14:textId="7A9FE99F" w:rsidR="0086574F" w:rsidRPr="00B643B6" w:rsidRDefault="0086574F" w:rsidP="00B643B6">
      <w:pPr>
        <w:pStyle w:val="Heading3"/>
        <w:rPr>
          <w:i/>
          <w:iCs/>
        </w:rPr>
      </w:pPr>
      <w:r w:rsidRPr="00B643B6">
        <w:rPr>
          <w:i/>
          <w:iCs/>
        </w:rPr>
        <w:t>Cardiac electrophysiology</w:t>
      </w:r>
      <w:r w:rsidR="00270901">
        <w:rPr>
          <w:i/>
          <w:iCs/>
        </w:rPr>
        <w:fldChar w:fldCharType="begin"/>
      </w:r>
      <w:r w:rsidR="00270901">
        <w:rPr>
          <w:i/>
          <w:iCs/>
        </w:rPr>
        <w:instrText xml:space="preserve"> DOCVARIABLE vault_nd_fcf8dc99-986c-4c5b-82fc-520305f6143f \* MERGEFORMAT </w:instrText>
      </w:r>
      <w:r w:rsidR="00270901">
        <w:rPr>
          <w:i/>
          <w:iCs/>
        </w:rPr>
        <w:fldChar w:fldCharType="separate"/>
      </w:r>
      <w:r w:rsidR="00270901">
        <w:rPr>
          <w:i/>
          <w:iCs/>
        </w:rPr>
        <w:t xml:space="preserve"> </w:t>
      </w:r>
      <w:r w:rsidR="00270901">
        <w:rPr>
          <w:i/>
          <w:iCs/>
        </w:rPr>
        <w:fldChar w:fldCharType="end"/>
      </w:r>
    </w:p>
    <w:p w14:paraId="1B2D1DAF" w14:textId="34F63657" w:rsidR="0086574F" w:rsidRPr="00265F2F" w:rsidRDefault="0086574F" w:rsidP="007A7191">
      <w:pPr>
        <w:jc w:val="both"/>
      </w:pPr>
      <w:r w:rsidRPr="00265F2F">
        <w:t>In a thorough QT study with positive control in 32 healthy subjects, no large change (that is, &gt;20</w:t>
      </w:r>
      <w:r w:rsidR="00120976" w:rsidRPr="00265F2F">
        <w:t> </w:t>
      </w:r>
      <w:proofErr w:type="spellStart"/>
      <w:r w:rsidRPr="00265F2F">
        <w:t>ms</w:t>
      </w:r>
      <w:proofErr w:type="spellEnd"/>
      <w:r w:rsidRPr="00265F2F">
        <w:t xml:space="preserve">) in the </w:t>
      </w:r>
      <w:proofErr w:type="spellStart"/>
      <w:r w:rsidRPr="00265F2F">
        <w:t>QTcF</w:t>
      </w:r>
      <w:proofErr w:type="spellEnd"/>
      <w:r w:rsidRPr="00265F2F">
        <w:t xml:space="preserve"> interval</w:t>
      </w:r>
      <w:r w:rsidR="00515F7A" w:rsidRPr="00265F2F">
        <w:t xml:space="preserve"> </w:t>
      </w:r>
      <w:r w:rsidRPr="00265F2F">
        <w:t xml:space="preserve">was detected at </w:t>
      </w:r>
      <w:proofErr w:type="spellStart"/>
      <w:r w:rsidRPr="00265F2F">
        <w:t>selpercatinib</w:t>
      </w:r>
      <w:proofErr w:type="spellEnd"/>
      <w:r w:rsidRPr="00265F2F">
        <w:t xml:space="preserve"> concentrations </w:t>
      </w:r>
      <w:proofErr w:type="gramStart"/>
      <w:r w:rsidRPr="00265F2F">
        <w:t>similar to</w:t>
      </w:r>
      <w:proofErr w:type="gramEnd"/>
      <w:r w:rsidRPr="00265F2F">
        <w:t xml:space="preserve"> those observed with a therapeutic dosing schedule. An exposure-response analysis indicated that supra therapeutic concentrations could lead to an increase in QTc &gt; 20 </w:t>
      </w:r>
      <w:proofErr w:type="spellStart"/>
      <w:r w:rsidRPr="00265F2F">
        <w:t>ms.</w:t>
      </w:r>
      <w:proofErr w:type="spellEnd"/>
    </w:p>
    <w:p w14:paraId="25450AC2" w14:textId="5570A9C0" w:rsidR="0086574F" w:rsidRPr="00A25DAD" w:rsidRDefault="0086574F" w:rsidP="00CE5E1B">
      <w:pPr>
        <w:jc w:val="both"/>
      </w:pPr>
      <w:r w:rsidRPr="00265F2F">
        <w:t xml:space="preserve">In patients receiving </w:t>
      </w:r>
      <w:proofErr w:type="spellStart"/>
      <w:r w:rsidRPr="00265F2F">
        <w:t>selpercatinib</w:t>
      </w:r>
      <w:proofErr w:type="spellEnd"/>
      <w:r w:rsidRPr="00265F2F">
        <w:t>, QT interval prolongation was reported. Therefore, dose interruption or modification</w:t>
      </w:r>
      <w:r w:rsidR="00515F7A" w:rsidRPr="00265F2F">
        <w:t xml:space="preserve"> </w:t>
      </w:r>
      <w:r w:rsidRPr="00265F2F">
        <w:t xml:space="preserve">may be required in patients (see sections </w:t>
      </w:r>
      <w:r w:rsidR="00CE5E1B">
        <w:fldChar w:fldCharType="begin"/>
      </w:r>
      <w:r w:rsidR="00CE5E1B">
        <w:instrText xml:space="preserve"> REF _Ref99351469 \n \h </w:instrText>
      </w:r>
      <w:r w:rsidR="00CE5E1B">
        <w:fldChar w:fldCharType="separate"/>
      </w:r>
      <w:r w:rsidR="00CE5E1B">
        <w:t>4.2</w:t>
      </w:r>
      <w:r w:rsidR="00CE5E1B">
        <w:fldChar w:fldCharType="end"/>
      </w:r>
      <w:r w:rsidR="000F36B3">
        <w:t xml:space="preserve"> </w:t>
      </w:r>
      <w:r w:rsidR="00CE5E1B">
        <w:fldChar w:fldCharType="begin"/>
      </w:r>
      <w:r w:rsidR="00CE5E1B">
        <w:instrText xml:space="preserve"> REF _Ref99351469 \h </w:instrText>
      </w:r>
      <w:r w:rsidR="00CE5E1B">
        <w:fldChar w:fldCharType="separate"/>
      </w:r>
      <w:r w:rsidR="00CE5E1B">
        <w:t>Dose and method of administration</w:t>
      </w:r>
      <w:r w:rsidR="00CE5E1B">
        <w:fldChar w:fldCharType="end"/>
      </w:r>
      <w:r w:rsidRPr="00265F2F">
        <w:t xml:space="preserve"> and </w:t>
      </w:r>
      <w:r w:rsidR="00CE5E1B">
        <w:fldChar w:fldCharType="begin"/>
      </w:r>
      <w:r w:rsidR="00CE5E1B">
        <w:instrText xml:space="preserve"> REF _Ref99026326 \n \h </w:instrText>
      </w:r>
      <w:r w:rsidR="00CE5E1B">
        <w:fldChar w:fldCharType="separate"/>
      </w:r>
      <w:r w:rsidR="00CE5E1B">
        <w:t>4.4</w:t>
      </w:r>
      <w:r w:rsidR="00CE5E1B">
        <w:fldChar w:fldCharType="end"/>
      </w:r>
      <w:r w:rsidR="000F36B3">
        <w:t xml:space="preserve"> </w:t>
      </w:r>
      <w:r w:rsidR="00CE5E1B">
        <w:fldChar w:fldCharType="begin"/>
      </w:r>
      <w:r w:rsidR="00CE5E1B">
        <w:instrText xml:space="preserve"> REF _Ref99026326 \h </w:instrText>
      </w:r>
      <w:r w:rsidR="00CE5E1B">
        <w:fldChar w:fldCharType="separate"/>
      </w:r>
      <w:r w:rsidR="00CE5E1B">
        <w:t>Special warnings and precautions for use</w:t>
      </w:r>
      <w:r w:rsidR="00CE5E1B">
        <w:fldChar w:fldCharType="end"/>
      </w:r>
      <w:r w:rsidRPr="00265F2F">
        <w:t>).</w:t>
      </w:r>
    </w:p>
    <w:p w14:paraId="472777B5" w14:textId="1FF5C930" w:rsidR="001A3992" w:rsidRDefault="001A3992" w:rsidP="00BB3100">
      <w:pPr>
        <w:pStyle w:val="Heading3"/>
      </w:pPr>
      <w:r w:rsidRPr="00B878CC">
        <w:t>Mechanism of action</w:t>
      </w:r>
      <w:fldSimple w:instr=" DOCVARIABLE vault_nd_2532e895-c2c1-418c-884a-eb00f0693242 \* MERGEFORMAT ">
        <w:r w:rsidR="00270901">
          <w:t xml:space="preserve"> </w:t>
        </w:r>
      </w:fldSimple>
    </w:p>
    <w:p w14:paraId="3077EAC6" w14:textId="36A8EB32" w:rsidR="0068261E" w:rsidRDefault="0068261E" w:rsidP="0068261E">
      <w:pPr>
        <w:jc w:val="both"/>
      </w:pPr>
      <w:r>
        <w:t>Selpercatinib is an orally available, small molecule inhibitor of the rearranged during transfection (RET) receptor tyrosine kinase. Chromosomal rearrangements involving in-frame fusions of RET with various partners can result in constitutively activated chimeric RET fusion proteins that can act as oncogenic drivers, promoting cell proliferation and survival in tumor cell lines. Point mutations in RET can also result in constitutively activated RET proteins that can promote cell growth and survival in tumor cell lines.</w:t>
      </w:r>
    </w:p>
    <w:p w14:paraId="74A6523C" w14:textId="11FF05FE" w:rsidR="0068261E" w:rsidRDefault="0068261E" w:rsidP="0068261E">
      <w:pPr>
        <w:jc w:val="both"/>
      </w:pPr>
      <w:r>
        <w:t xml:space="preserve">In RET enzyme assays, </w:t>
      </w:r>
      <w:proofErr w:type="spellStart"/>
      <w:r>
        <w:t>selpercatinib</w:t>
      </w:r>
      <w:proofErr w:type="spellEnd"/>
      <w:r>
        <w:t xml:space="preserve"> inhibits the kinase activity of RET, RET-V804L, RET-V804M, RET-A883F, RET-S904F, </w:t>
      </w:r>
      <w:r w:rsidR="00F957C8">
        <w:t xml:space="preserve">RET-A764T, RET-S891A </w:t>
      </w:r>
      <w:r>
        <w:t xml:space="preserve">and RET-M918T with IC50 values of 0.20 </w:t>
      </w:r>
      <w:proofErr w:type="spellStart"/>
      <w:r>
        <w:t>nM</w:t>
      </w:r>
      <w:proofErr w:type="spellEnd"/>
      <w:r>
        <w:t xml:space="preserve"> to 2.21 </w:t>
      </w:r>
      <w:proofErr w:type="spellStart"/>
      <w:r>
        <w:t>nM.</w:t>
      </w:r>
      <w:proofErr w:type="spellEnd"/>
      <w:r>
        <w:t xml:space="preserve"> In kinase screening assays, </w:t>
      </w:r>
      <w:proofErr w:type="spellStart"/>
      <w:r>
        <w:t>selpercatinib</w:t>
      </w:r>
      <w:proofErr w:type="spellEnd"/>
      <w:r>
        <w:t xml:space="preserve"> at a concentration of 100 </w:t>
      </w:r>
      <w:proofErr w:type="spellStart"/>
      <w:r>
        <w:t>nM</w:t>
      </w:r>
      <w:proofErr w:type="spellEnd"/>
      <w:r>
        <w:t xml:space="preserve"> inhibits only six of 329 non-RET kinases by more than 50% of the control. Among these, </w:t>
      </w:r>
      <w:proofErr w:type="spellStart"/>
      <w:r>
        <w:t>selpercatinib</w:t>
      </w:r>
      <w:proofErr w:type="spellEnd"/>
      <w:r>
        <w:t xml:space="preserve"> inhibits two kinases with IC50 values within 35-fold of RET: FLT4 (0.7-fold in an enzyme-based assay and 8-fold in a cell-based assay); and FLT1 (1.6-fold). Selpercatinib inhibits PDGFRB with an IC50 value of 2100 </w:t>
      </w:r>
      <w:proofErr w:type="spellStart"/>
      <w:r>
        <w:t>nM</w:t>
      </w:r>
      <w:proofErr w:type="spellEnd"/>
      <w:r>
        <w:t xml:space="preserve">, and JAK1, JAK2, JAK3, TRKA, and TRKC with IC50 values greater than 5000 </w:t>
      </w:r>
      <w:proofErr w:type="spellStart"/>
      <w:r>
        <w:t>nM</w:t>
      </w:r>
      <w:proofErr w:type="spellEnd"/>
      <w:r>
        <w:t xml:space="preserve"> in enzyme assays.</w:t>
      </w:r>
    </w:p>
    <w:p w14:paraId="02B3A570" w14:textId="5AAB268C" w:rsidR="0068261E" w:rsidRDefault="0068261E" w:rsidP="0068261E">
      <w:pPr>
        <w:jc w:val="both"/>
      </w:pPr>
      <w:r>
        <w:t xml:space="preserve">Selpercatinib demonstrates </w:t>
      </w:r>
      <w:r w:rsidRPr="00FA1F96">
        <w:rPr>
          <w:i/>
          <w:iCs/>
        </w:rPr>
        <w:t>in vitro</w:t>
      </w:r>
      <w:r>
        <w:t xml:space="preserve"> inhibition of human cancer cell lines derived from multiple </w:t>
      </w:r>
      <w:proofErr w:type="spellStart"/>
      <w:r>
        <w:t>tumour</w:t>
      </w:r>
      <w:proofErr w:type="spellEnd"/>
      <w:r>
        <w:t xml:space="preserve"> types </w:t>
      </w:r>
      <w:proofErr w:type="spellStart"/>
      <w:r>
        <w:t>harbo</w:t>
      </w:r>
      <w:r w:rsidR="00A03341">
        <w:t>u</w:t>
      </w:r>
      <w:r>
        <w:t>ring</w:t>
      </w:r>
      <w:proofErr w:type="spellEnd"/>
      <w:r>
        <w:t xml:space="preserve"> RET fusion genes and RET mutations with EC50 values equal to 10 </w:t>
      </w:r>
      <w:proofErr w:type="spellStart"/>
      <w:r>
        <w:t>nM</w:t>
      </w:r>
      <w:proofErr w:type="spellEnd"/>
      <w:r>
        <w:t xml:space="preserve"> or less. In </w:t>
      </w:r>
      <w:r w:rsidRPr="00FA1F96">
        <w:rPr>
          <w:i/>
          <w:iCs/>
        </w:rPr>
        <w:t>in vivo</w:t>
      </w:r>
      <w:r>
        <w:t xml:space="preserve"> mouse studies, </w:t>
      </w:r>
      <w:proofErr w:type="spellStart"/>
      <w:r>
        <w:t>selpercatinib</w:t>
      </w:r>
      <w:proofErr w:type="spellEnd"/>
      <w:r>
        <w:t xml:space="preserve"> demonstrates inhibition of tumor growth in RET fusion and RET</w:t>
      </w:r>
      <w:r w:rsidR="00A82ADE">
        <w:t xml:space="preserve"> </w:t>
      </w:r>
      <w:r>
        <w:t>mutant cancer cell lines, patient-derived RET fusion xenograft models, and a patient-derived RET</w:t>
      </w:r>
      <w:r w:rsidR="00A82ADE">
        <w:t xml:space="preserve"> </w:t>
      </w:r>
      <w:r>
        <w:t xml:space="preserve">fusion xenograft model </w:t>
      </w:r>
      <w:proofErr w:type="spellStart"/>
      <w:r>
        <w:t>harbo</w:t>
      </w:r>
      <w:r w:rsidR="002C4D61">
        <w:t>u</w:t>
      </w:r>
      <w:r>
        <w:t>ring</w:t>
      </w:r>
      <w:proofErr w:type="spellEnd"/>
      <w:r>
        <w:t xml:space="preserve"> a RET V804M mutation. Selpercatinib also exhibits intracranial</w:t>
      </w:r>
      <w:r w:rsidR="00A82ADE">
        <w:t xml:space="preserve"> </w:t>
      </w:r>
      <w:r>
        <w:t>anti-</w:t>
      </w:r>
      <w:proofErr w:type="spellStart"/>
      <w:r>
        <w:t>tumo</w:t>
      </w:r>
      <w:r w:rsidR="00A82ADE">
        <w:t>u</w:t>
      </w:r>
      <w:r>
        <w:t>r</w:t>
      </w:r>
      <w:proofErr w:type="spellEnd"/>
      <w:r>
        <w:t xml:space="preserve"> activity of patient-derived RET fusion xenograft </w:t>
      </w:r>
      <w:proofErr w:type="spellStart"/>
      <w:r>
        <w:t>tumo</w:t>
      </w:r>
      <w:r w:rsidR="00A82ADE">
        <w:t>u</w:t>
      </w:r>
      <w:r>
        <w:t>rs</w:t>
      </w:r>
      <w:proofErr w:type="spellEnd"/>
      <w:r>
        <w:t xml:space="preserve"> implanted directly into the brain of</w:t>
      </w:r>
      <w:r w:rsidR="00A82ADE">
        <w:t xml:space="preserve"> </w:t>
      </w:r>
      <w:r>
        <w:t>mice.</w:t>
      </w:r>
    </w:p>
    <w:p w14:paraId="1281E9C9" w14:textId="531ED488" w:rsidR="0068261E" w:rsidRPr="00A25DAD" w:rsidRDefault="0068261E" w:rsidP="0068261E">
      <w:pPr>
        <w:jc w:val="both"/>
      </w:pPr>
      <w:r>
        <w:t xml:space="preserve">In additional radioligand binding assays, </w:t>
      </w:r>
      <w:proofErr w:type="spellStart"/>
      <w:r>
        <w:t>selpercatinib</w:t>
      </w:r>
      <w:proofErr w:type="spellEnd"/>
      <w:r>
        <w:t xml:space="preserve"> inhibits two out of 54 non-kinase targets at a</w:t>
      </w:r>
      <w:r w:rsidR="00A82ADE">
        <w:t xml:space="preserve"> </w:t>
      </w:r>
      <w:r>
        <w:t xml:space="preserve">concentration of 1 </w:t>
      </w:r>
      <w:proofErr w:type="spellStart"/>
      <w:r>
        <w:t>μM</w:t>
      </w:r>
      <w:proofErr w:type="spellEnd"/>
      <w:r>
        <w:t>: 5-HT transporter (70.2%) and α2c receptor (51.7%).</w:t>
      </w:r>
    </w:p>
    <w:p w14:paraId="50283D36" w14:textId="301315FB" w:rsidR="001A3992" w:rsidRDefault="001A3992" w:rsidP="009F42E7">
      <w:pPr>
        <w:pStyle w:val="Heading3"/>
        <w:rPr>
          <w:lang w:val="en-US"/>
        </w:rPr>
      </w:pPr>
      <w:r w:rsidRPr="00B878CC">
        <w:t>Clinical</w:t>
      </w:r>
      <w:r w:rsidRPr="00B878CC">
        <w:rPr>
          <w:lang w:val="en-US"/>
        </w:rPr>
        <w:t xml:space="preserve"> trials</w:t>
      </w:r>
      <w:r w:rsidR="00270901">
        <w:rPr>
          <w:lang w:val="en-US"/>
        </w:rPr>
        <w:fldChar w:fldCharType="begin"/>
      </w:r>
      <w:r w:rsidR="00270901">
        <w:rPr>
          <w:lang w:val="en-US"/>
        </w:rPr>
        <w:instrText xml:space="preserve"> DOCVARIABLE vault_nd_d0124836-2e1a-44b4-9e3b-edb4100c7888 \* MERGEFORMAT </w:instrText>
      </w:r>
      <w:r w:rsidR="00270901">
        <w:rPr>
          <w:lang w:val="en-US"/>
        </w:rPr>
        <w:fldChar w:fldCharType="separate"/>
      </w:r>
      <w:r w:rsidR="00270901">
        <w:rPr>
          <w:lang w:val="en-US"/>
        </w:rPr>
        <w:t xml:space="preserve"> </w:t>
      </w:r>
      <w:r w:rsidR="00270901">
        <w:rPr>
          <w:lang w:val="en-US"/>
        </w:rPr>
        <w:fldChar w:fldCharType="end"/>
      </w:r>
    </w:p>
    <w:p w14:paraId="672A5544" w14:textId="524BB213" w:rsidR="00515F7A" w:rsidRPr="00B643B6" w:rsidRDefault="00515F7A" w:rsidP="00B643B6">
      <w:pPr>
        <w:pStyle w:val="Heading3"/>
        <w:rPr>
          <w:i/>
          <w:iCs/>
        </w:rPr>
      </w:pPr>
      <w:r w:rsidRPr="00B643B6">
        <w:rPr>
          <w:i/>
          <w:iCs/>
        </w:rPr>
        <w:t>Clinical efficacy and safety</w:t>
      </w:r>
      <w:r w:rsidR="00270901">
        <w:rPr>
          <w:i/>
          <w:iCs/>
        </w:rPr>
        <w:fldChar w:fldCharType="begin"/>
      </w:r>
      <w:r w:rsidR="00270901">
        <w:rPr>
          <w:i/>
          <w:iCs/>
        </w:rPr>
        <w:instrText xml:space="preserve"> DOCVARIABLE vault_nd_4bba797d-3ae0-4112-90cb-2692070315b5 \* MERGEFORMAT </w:instrText>
      </w:r>
      <w:r w:rsidR="00270901">
        <w:rPr>
          <w:i/>
          <w:iCs/>
        </w:rPr>
        <w:fldChar w:fldCharType="separate"/>
      </w:r>
      <w:r w:rsidR="00270901">
        <w:rPr>
          <w:i/>
          <w:iCs/>
        </w:rPr>
        <w:t xml:space="preserve"> </w:t>
      </w:r>
      <w:r w:rsidR="00270901">
        <w:rPr>
          <w:i/>
          <w:iCs/>
        </w:rPr>
        <w:fldChar w:fldCharType="end"/>
      </w:r>
    </w:p>
    <w:p w14:paraId="4B2CDD9D" w14:textId="5778C28B" w:rsidR="00120976" w:rsidRPr="00120976" w:rsidRDefault="00120976" w:rsidP="006055FE">
      <w:pPr>
        <w:jc w:val="both"/>
      </w:pPr>
      <w:r w:rsidRPr="00120976">
        <w:t xml:space="preserve">The efficacy of </w:t>
      </w:r>
      <w:r>
        <w:t>RETEVMO</w:t>
      </w:r>
      <w:r w:rsidRPr="00120976">
        <w:t xml:space="preserve"> was evaluated in adult patients with advanced RET fusion-positive NSCLC in a phase 1/2, multi</w:t>
      </w:r>
      <w:r>
        <w:t>-</w:t>
      </w:r>
      <w:proofErr w:type="spellStart"/>
      <w:r w:rsidRPr="00120976">
        <w:t>centr</w:t>
      </w:r>
      <w:r>
        <w:t>e</w:t>
      </w:r>
      <w:proofErr w:type="spellEnd"/>
      <w:r w:rsidRPr="00120976">
        <w:t>,</w:t>
      </w:r>
      <w:r>
        <w:t xml:space="preserve"> </w:t>
      </w:r>
      <w:r w:rsidRPr="00120976">
        <w:t xml:space="preserve">open-label, single-arm clinical study: Study LIBRETTO-001. </w:t>
      </w:r>
      <w:r w:rsidRPr="00120976">
        <w:lastRenderedPageBreak/>
        <w:t>This study included two parts: phase 1 (dose escalation)</w:t>
      </w:r>
      <w:r>
        <w:t xml:space="preserve"> </w:t>
      </w:r>
      <w:r w:rsidRPr="00120976">
        <w:t>and phase 2 (dose expansion). The primary objective of the phase 1 portion was to determine the recommended phase</w:t>
      </w:r>
      <w:r>
        <w:t xml:space="preserve"> </w:t>
      </w:r>
      <w:r w:rsidRPr="00120976">
        <w:t xml:space="preserve">2 dose of </w:t>
      </w:r>
      <w:proofErr w:type="spellStart"/>
      <w:r w:rsidRPr="00120976">
        <w:t>selpercatinib</w:t>
      </w:r>
      <w:proofErr w:type="spellEnd"/>
      <w:r w:rsidRPr="00120976">
        <w:t>. The primary objective of the phase 2 part was to evaluate the anti-</w:t>
      </w:r>
      <w:proofErr w:type="spellStart"/>
      <w:r w:rsidRPr="00120976">
        <w:t>tumour</w:t>
      </w:r>
      <w:proofErr w:type="spellEnd"/>
      <w:r w:rsidRPr="00120976">
        <w:t xml:space="preserve"> activity of </w:t>
      </w:r>
      <w:proofErr w:type="spellStart"/>
      <w:r w:rsidRPr="00120976">
        <w:t>selpercatinib</w:t>
      </w:r>
      <w:proofErr w:type="spellEnd"/>
      <w:r>
        <w:t xml:space="preserve"> </w:t>
      </w:r>
      <w:r w:rsidRPr="00120976">
        <w:t>by determining ORR, as assessed by independent review committee. Patients with measurable or non-measurable</w:t>
      </w:r>
      <w:r>
        <w:t xml:space="preserve"> </w:t>
      </w:r>
      <w:r w:rsidRPr="00120976">
        <w:t xml:space="preserve">disease as determined by RECIST 1.1, with evidence of a RET gene alteration in </w:t>
      </w:r>
      <w:proofErr w:type="spellStart"/>
      <w:r w:rsidRPr="00120976">
        <w:t>tumour</w:t>
      </w:r>
      <w:proofErr w:type="spellEnd"/>
      <w:r w:rsidRPr="00120976">
        <w:t xml:space="preserve"> and who had failed or were</w:t>
      </w:r>
      <w:r w:rsidR="00B62B01">
        <w:t xml:space="preserve"> </w:t>
      </w:r>
      <w:r w:rsidRPr="00120976">
        <w:t>intolerant to standard of care were enrolled. Patients with CNS metastases were eligible if stable, while patients with</w:t>
      </w:r>
      <w:r w:rsidR="00B62B01">
        <w:t xml:space="preserve"> </w:t>
      </w:r>
      <w:r w:rsidRPr="00120976">
        <w:t xml:space="preserve">symptomatic primary CNS </w:t>
      </w:r>
      <w:proofErr w:type="spellStart"/>
      <w:r w:rsidRPr="00120976">
        <w:t>tumo</w:t>
      </w:r>
      <w:r w:rsidR="00B62B01">
        <w:t>u</w:t>
      </w:r>
      <w:r w:rsidRPr="00120976">
        <w:t>r</w:t>
      </w:r>
      <w:proofErr w:type="spellEnd"/>
      <w:r w:rsidRPr="00120976">
        <w:t>, metastases, leptomeningeal carcinomatosis or spinal cord compression were</w:t>
      </w:r>
      <w:r w:rsidR="00B62B01">
        <w:t xml:space="preserve"> </w:t>
      </w:r>
      <w:r w:rsidRPr="00120976">
        <w:t>excluded. Patients with known primary driver alteration other than RET, clinically significant active cardiovascular</w:t>
      </w:r>
      <w:r w:rsidR="00B62B01">
        <w:t xml:space="preserve"> </w:t>
      </w:r>
      <w:proofErr w:type="gramStart"/>
      <w:r w:rsidRPr="00120976">
        <w:t>disease</w:t>
      </w:r>
      <w:proofErr w:type="gramEnd"/>
      <w:r w:rsidRPr="00120976">
        <w:t xml:space="preserve"> or history of myocardial infarction, </w:t>
      </w:r>
      <w:proofErr w:type="spellStart"/>
      <w:r w:rsidRPr="00120976">
        <w:t>QTcF</w:t>
      </w:r>
      <w:proofErr w:type="spellEnd"/>
      <w:r w:rsidRPr="00120976">
        <w:t xml:space="preserve"> interval &gt; 470 msec were excluded.</w:t>
      </w:r>
    </w:p>
    <w:p w14:paraId="77405793" w14:textId="7C104EBE" w:rsidR="00A25DAD" w:rsidRDefault="00120976" w:rsidP="00193BAB">
      <w:pPr>
        <w:jc w:val="both"/>
      </w:pPr>
      <w:r w:rsidRPr="00120976">
        <w:t xml:space="preserve">Patients in the phase 2 portion of the study received </w:t>
      </w:r>
      <w:r w:rsidR="00B62B01">
        <w:t>RETEVMO</w:t>
      </w:r>
      <w:r w:rsidRPr="00120976">
        <w:t xml:space="preserve"> 160 mg orally twice daily until unacceptable toxicity or</w:t>
      </w:r>
      <w:r w:rsidR="00B62B01">
        <w:t xml:space="preserve"> </w:t>
      </w:r>
      <w:r w:rsidRPr="00120976">
        <w:t>disease progression. Identification of a RET gene alteration was prospectively determined in local laboratories using next</w:t>
      </w:r>
      <w:r w:rsidR="00B62B01">
        <w:t xml:space="preserve"> </w:t>
      </w:r>
      <w:r w:rsidRPr="00120976">
        <w:t>generation sequencing (NGS), polymerase chain reaction (PCR), or fluorescence in situ hybridization (FISH)</w:t>
      </w:r>
      <w:r w:rsidR="0020370C">
        <w:t xml:space="preserve"> and </w:t>
      </w:r>
      <w:proofErr w:type="spellStart"/>
      <w:r w:rsidR="0020370C">
        <w:t>Nan</w:t>
      </w:r>
      <w:r w:rsidR="00920FC3">
        <w:t>ostring</w:t>
      </w:r>
      <w:proofErr w:type="spellEnd"/>
      <w:r w:rsidR="00920FC3">
        <w:t xml:space="preserve"> technology</w:t>
      </w:r>
      <w:r w:rsidRPr="00120976">
        <w:t>. The major</w:t>
      </w:r>
      <w:r w:rsidR="00B62B01">
        <w:t xml:space="preserve"> </w:t>
      </w:r>
      <w:r w:rsidRPr="00120976">
        <w:t>efficacy outcome measures were overall response rate (ORR) and duration of response (DOR), as determined by a</w:t>
      </w:r>
      <w:r w:rsidR="00B62B01">
        <w:t xml:space="preserve"> </w:t>
      </w:r>
      <w:r w:rsidRPr="00120976">
        <w:t>blinded independent review committee (IRC) according to RECIST v1.1.</w:t>
      </w:r>
    </w:p>
    <w:p w14:paraId="18A9BE72" w14:textId="697A97E0" w:rsidR="00C8004B" w:rsidRPr="00B643B6" w:rsidRDefault="00E6778E" w:rsidP="00B643B6">
      <w:pPr>
        <w:pStyle w:val="Heading3"/>
        <w:rPr>
          <w:i/>
          <w:iCs/>
        </w:rPr>
      </w:pPr>
      <w:r w:rsidRPr="00B643B6">
        <w:rPr>
          <w:i/>
          <w:iCs/>
        </w:rPr>
        <w:t>Treatment</w:t>
      </w:r>
      <w:r w:rsidR="00CC108E" w:rsidRPr="00B643B6">
        <w:rPr>
          <w:i/>
          <w:iCs/>
        </w:rPr>
        <w:t>-naïve RET fusion-positive NSCLC</w:t>
      </w:r>
      <w:r w:rsidR="00270901">
        <w:rPr>
          <w:i/>
          <w:iCs/>
        </w:rPr>
        <w:fldChar w:fldCharType="begin"/>
      </w:r>
      <w:r w:rsidR="00270901">
        <w:rPr>
          <w:i/>
          <w:iCs/>
        </w:rPr>
        <w:instrText xml:space="preserve"> DOCVARIABLE vault_nd_7682adfa-28e2-4abe-992b-36283a886e43 \* MERGEFORMAT </w:instrText>
      </w:r>
      <w:r w:rsidR="00270901">
        <w:rPr>
          <w:i/>
          <w:iCs/>
        </w:rPr>
        <w:fldChar w:fldCharType="separate"/>
      </w:r>
      <w:r w:rsidR="00270901">
        <w:rPr>
          <w:i/>
          <w:iCs/>
        </w:rPr>
        <w:t xml:space="preserve"> </w:t>
      </w:r>
      <w:r w:rsidR="00270901">
        <w:rPr>
          <w:i/>
          <w:iCs/>
        </w:rPr>
        <w:fldChar w:fldCharType="end"/>
      </w:r>
    </w:p>
    <w:p w14:paraId="4DB49DFD" w14:textId="623EED14" w:rsidR="00CC108E" w:rsidRDefault="00691290" w:rsidP="00F03F74">
      <w:pPr>
        <w:jc w:val="both"/>
      </w:pPr>
      <w:r>
        <w:t xml:space="preserve">Of the </w:t>
      </w:r>
      <w:r w:rsidR="00AC1B26">
        <w:t xml:space="preserve">356 </w:t>
      </w:r>
      <w:r>
        <w:rPr>
          <w:i/>
        </w:rPr>
        <w:t>RET</w:t>
      </w:r>
      <w:r>
        <w:t xml:space="preserve"> fusion-positive NSCLC patients enrolled in LIBRETTO-001</w:t>
      </w:r>
      <w:r w:rsidR="00BE2FD6">
        <w:t xml:space="preserve">, 69 were treatment naïve. </w:t>
      </w:r>
      <w:r w:rsidR="00397FB6">
        <w:t xml:space="preserve">Most patients (98.6%) had metastatic disease at enrolment. </w:t>
      </w:r>
      <w:r w:rsidR="00C96CF6">
        <w:t>The median age was 63 years (range 23 years to 92 years), 62.3%</w:t>
      </w:r>
      <w:r w:rsidR="0094471B">
        <w:t xml:space="preserve"> of patients were female, 69.6% of patients were White, 18.8% were Asian</w:t>
      </w:r>
      <w:r w:rsidR="00793283">
        <w:t>, 5.8% were Black and 69.6% were never smokers.</w:t>
      </w:r>
      <w:r w:rsidR="001C526E">
        <w:t xml:space="preserve"> </w:t>
      </w:r>
      <w:r w:rsidR="00414E03" w:rsidRPr="00566923">
        <w:t>ECOG performance status was reported as 0-1 (94.2%) or 2 (5.8%). The most common fusion partner was KIF5B (69.6%), followed by CCDC6 (14.5%) and then NCOA4 (1.4%).</w:t>
      </w:r>
    </w:p>
    <w:p w14:paraId="0188AD26" w14:textId="0DF8D620" w:rsidR="005F50D5" w:rsidRPr="00665A6F" w:rsidRDefault="00665A6F" w:rsidP="003021EB">
      <w:pPr>
        <w:jc w:val="both"/>
      </w:pPr>
      <w:r>
        <w:t xml:space="preserve">Efficacy results for treatment-naïve </w:t>
      </w:r>
      <w:r>
        <w:rPr>
          <w:i/>
        </w:rPr>
        <w:t>RET</w:t>
      </w:r>
      <w:r>
        <w:t xml:space="preserve"> fusion-positive NSCLC patients are </w:t>
      </w:r>
      <w:proofErr w:type="spellStart"/>
      <w:r>
        <w:t>summarised</w:t>
      </w:r>
      <w:proofErr w:type="spellEnd"/>
      <w:r>
        <w:t xml:space="preserve"> </w:t>
      </w:r>
      <w:r w:rsidR="004D01EB">
        <w:t xml:space="preserve">in </w:t>
      </w:r>
      <w:r w:rsidR="00600DB2">
        <w:fldChar w:fldCharType="begin"/>
      </w:r>
      <w:r w:rsidR="00600DB2">
        <w:instrText xml:space="preserve"> REF _Ref99451146 \h </w:instrText>
      </w:r>
      <w:r w:rsidR="00600DB2">
        <w:fldChar w:fldCharType="separate"/>
      </w:r>
      <w:r w:rsidR="00600DB2">
        <w:t xml:space="preserve">Table </w:t>
      </w:r>
      <w:r w:rsidR="00600DB2">
        <w:rPr>
          <w:noProof/>
        </w:rPr>
        <w:t>4</w:t>
      </w:r>
      <w:r w:rsidR="00600DB2">
        <w:fldChar w:fldCharType="end"/>
      </w:r>
      <w:r w:rsidR="004D01EB">
        <w:t>.</w:t>
      </w:r>
    </w:p>
    <w:p w14:paraId="278035DC" w14:textId="039C0E5F" w:rsidR="0049621E" w:rsidRPr="000F6D11" w:rsidRDefault="00C90E93" w:rsidP="00733529">
      <w:pPr>
        <w:pStyle w:val="Caption"/>
        <w:keepNext/>
        <w:rPr>
          <w:b w:val="0"/>
        </w:rPr>
      </w:pPr>
      <w:bookmarkStart w:id="14" w:name="_Ref99451146"/>
      <w:r>
        <w:t xml:space="preserve">Table </w:t>
      </w:r>
      <w:r w:rsidR="003021EB">
        <w:fldChar w:fldCharType="begin"/>
      </w:r>
      <w:r w:rsidR="003021EB">
        <w:instrText xml:space="preserve"> SEQ Table \* ARABIC </w:instrText>
      </w:r>
      <w:r w:rsidR="003021EB">
        <w:fldChar w:fldCharType="separate"/>
      </w:r>
      <w:r w:rsidR="00CC57B1">
        <w:rPr>
          <w:noProof/>
        </w:rPr>
        <w:t>4</w:t>
      </w:r>
      <w:r w:rsidR="003021EB">
        <w:fldChar w:fldCharType="end"/>
      </w:r>
      <w:bookmarkEnd w:id="14"/>
      <w:r>
        <w:t xml:space="preserve"> </w:t>
      </w:r>
      <w:r w:rsidRPr="000F6D11">
        <w:t>Objective response and duration of response</w:t>
      </w:r>
      <w:r w:rsidR="00925E62">
        <w:t xml:space="preserve"> for treatment naive</w:t>
      </w:r>
      <w:fldSimple w:instr=" DOCVARIABLE vault_nd_67981cf7-4d73-42bd-9cc6-ef5b3ca1b543 \* MERGEFORMAT ">
        <w:r w:rsidR="00270901">
          <w:t xml:space="preserve"> </w:t>
        </w:r>
      </w:fldSimple>
    </w:p>
    <w:tbl>
      <w:tblPr>
        <w:tblStyle w:val="TableGrid"/>
        <w:tblW w:w="0" w:type="auto"/>
        <w:tblLook w:val="04A0" w:firstRow="1" w:lastRow="0" w:firstColumn="1" w:lastColumn="0" w:noHBand="0" w:noVBand="1"/>
      </w:tblPr>
      <w:tblGrid>
        <w:gridCol w:w="4508"/>
        <w:gridCol w:w="4508"/>
      </w:tblGrid>
      <w:tr w:rsidR="00B12E79" w14:paraId="75C68348" w14:textId="77777777" w:rsidTr="00B12E79">
        <w:tc>
          <w:tcPr>
            <w:tcW w:w="4508" w:type="dxa"/>
          </w:tcPr>
          <w:p w14:paraId="06DA40F0" w14:textId="77777777" w:rsidR="00B12E79" w:rsidRPr="000F6D11" w:rsidRDefault="00B12E79" w:rsidP="00D10D9A">
            <w:pPr>
              <w:rPr>
                <w:b/>
              </w:rPr>
            </w:pPr>
          </w:p>
        </w:tc>
        <w:tc>
          <w:tcPr>
            <w:tcW w:w="4508" w:type="dxa"/>
          </w:tcPr>
          <w:p w14:paraId="7DF9DDFF" w14:textId="7D97D7FB" w:rsidR="00B12E79" w:rsidRPr="000F6D11" w:rsidRDefault="001B34B9" w:rsidP="00600DB2">
            <w:pPr>
              <w:jc w:val="center"/>
              <w:rPr>
                <w:b/>
              </w:rPr>
            </w:pPr>
            <w:r w:rsidRPr="000F6D11">
              <w:rPr>
                <w:b/>
              </w:rPr>
              <w:t>Efficacy by IRC</w:t>
            </w:r>
            <w:r w:rsidR="005F1F08" w:rsidRPr="000F6D11">
              <w:rPr>
                <w:b/>
              </w:rPr>
              <w:t xml:space="preserve"> assessment</w:t>
            </w:r>
          </w:p>
        </w:tc>
      </w:tr>
      <w:tr w:rsidR="00B12E79" w14:paraId="2F2265E4" w14:textId="77777777" w:rsidTr="00B12E79">
        <w:tc>
          <w:tcPr>
            <w:tcW w:w="4508" w:type="dxa"/>
          </w:tcPr>
          <w:p w14:paraId="5BA766E7" w14:textId="3CB48ABE" w:rsidR="00B12E79" w:rsidRPr="00B05A7F" w:rsidRDefault="009D0D63" w:rsidP="00D10D9A">
            <w:r w:rsidRPr="00B05A7F">
              <w:t>n</w:t>
            </w:r>
          </w:p>
        </w:tc>
        <w:tc>
          <w:tcPr>
            <w:tcW w:w="4508" w:type="dxa"/>
          </w:tcPr>
          <w:p w14:paraId="40238E99" w14:textId="0AAE3CCE" w:rsidR="00B12E79" w:rsidRDefault="00FD5F36" w:rsidP="00600DB2">
            <w:pPr>
              <w:jc w:val="center"/>
            </w:pPr>
            <w:r>
              <w:t>69</w:t>
            </w:r>
          </w:p>
        </w:tc>
      </w:tr>
      <w:tr w:rsidR="00B12E79" w14:paraId="1F88D5A0" w14:textId="77777777" w:rsidTr="00B12E79">
        <w:tc>
          <w:tcPr>
            <w:tcW w:w="4508" w:type="dxa"/>
          </w:tcPr>
          <w:p w14:paraId="55AB9B4B" w14:textId="414EAAFA" w:rsidR="00B12E79" w:rsidRPr="000F6D11" w:rsidRDefault="00FD5F36" w:rsidP="00D10D9A">
            <w:pPr>
              <w:rPr>
                <w:b/>
              </w:rPr>
            </w:pPr>
            <w:r w:rsidRPr="000F6D11">
              <w:rPr>
                <w:b/>
              </w:rPr>
              <w:t>Objective response (CR+PR)</w:t>
            </w:r>
          </w:p>
        </w:tc>
        <w:tc>
          <w:tcPr>
            <w:tcW w:w="4508" w:type="dxa"/>
          </w:tcPr>
          <w:p w14:paraId="33716051" w14:textId="77777777" w:rsidR="00B12E79" w:rsidRDefault="00B12E79" w:rsidP="00600DB2">
            <w:pPr>
              <w:jc w:val="center"/>
            </w:pPr>
          </w:p>
        </w:tc>
      </w:tr>
      <w:tr w:rsidR="00B12E79" w14:paraId="1F5AB940" w14:textId="77777777" w:rsidTr="00B12E79">
        <w:tc>
          <w:tcPr>
            <w:tcW w:w="4508" w:type="dxa"/>
          </w:tcPr>
          <w:p w14:paraId="5F781891" w14:textId="6FACADD5" w:rsidR="00B12E79" w:rsidRPr="00600DB2" w:rsidRDefault="00A479F6" w:rsidP="00D10D9A">
            <w:r w:rsidRPr="00600DB2">
              <w:t>% (95% CI)</w:t>
            </w:r>
          </w:p>
        </w:tc>
        <w:tc>
          <w:tcPr>
            <w:tcW w:w="4508" w:type="dxa"/>
          </w:tcPr>
          <w:p w14:paraId="1D534A6B" w14:textId="3A338359" w:rsidR="00B12E79" w:rsidRDefault="00727F85" w:rsidP="00600DB2">
            <w:pPr>
              <w:jc w:val="center"/>
            </w:pPr>
            <w:r w:rsidRPr="00727F85">
              <w:t>84.1 (73.3, 91.8)</w:t>
            </w:r>
          </w:p>
        </w:tc>
      </w:tr>
      <w:tr w:rsidR="00B12E79" w14:paraId="0E075423" w14:textId="77777777" w:rsidTr="00B12E79">
        <w:tc>
          <w:tcPr>
            <w:tcW w:w="4508" w:type="dxa"/>
          </w:tcPr>
          <w:p w14:paraId="76817F93" w14:textId="55D49B07" w:rsidR="00B12E79" w:rsidRPr="00600DB2" w:rsidRDefault="00A479F6" w:rsidP="00D10D9A">
            <w:r w:rsidRPr="00600DB2">
              <w:t>Complete response n (%)</w:t>
            </w:r>
          </w:p>
        </w:tc>
        <w:tc>
          <w:tcPr>
            <w:tcW w:w="4508" w:type="dxa"/>
          </w:tcPr>
          <w:p w14:paraId="61081480" w14:textId="58A098A0" w:rsidR="00B12E79" w:rsidRDefault="002352E2" w:rsidP="00600DB2">
            <w:pPr>
              <w:jc w:val="center"/>
            </w:pPr>
            <w:r w:rsidRPr="002352E2">
              <w:t>4 (5.8)</w:t>
            </w:r>
          </w:p>
        </w:tc>
      </w:tr>
      <w:tr w:rsidR="00B12E79" w14:paraId="26AB4664" w14:textId="77777777" w:rsidTr="00B12E79">
        <w:tc>
          <w:tcPr>
            <w:tcW w:w="4508" w:type="dxa"/>
          </w:tcPr>
          <w:p w14:paraId="4A3369D4" w14:textId="76E27F5B" w:rsidR="00B12E79" w:rsidRPr="00600DB2" w:rsidRDefault="00A479F6" w:rsidP="00D10D9A">
            <w:r w:rsidRPr="00600DB2">
              <w:t>Partial response n (%)</w:t>
            </w:r>
          </w:p>
        </w:tc>
        <w:tc>
          <w:tcPr>
            <w:tcW w:w="4508" w:type="dxa"/>
          </w:tcPr>
          <w:p w14:paraId="316FBCD0" w14:textId="29CB66BE" w:rsidR="00B12E79" w:rsidRDefault="002352E2" w:rsidP="00600DB2">
            <w:pPr>
              <w:jc w:val="center"/>
            </w:pPr>
            <w:r w:rsidRPr="002352E2">
              <w:t>54 (78.3)</w:t>
            </w:r>
          </w:p>
        </w:tc>
      </w:tr>
      <w:tr w:rsidR="00A479F6" w14:paraId="5A25DB82" w14:textId="77777777" w:rsidTr="00B12E79">
        <w:tc>
          <w:tcPr>
            <w:tcW w:w="4508" w:type="dxa"/>
          </w:tcPr>
          <w:p w14:paraId="5ADE17E0" w14:textId="66BBB2B4" w:rsidR="00A479F6" w:rsidRPr="000F6D11" w:rsidRDefault="00A479F6" w:rsidP="00D10D9A">
            <w:pPr>
              <w:rPr>
                <w:b/>
              </w:rPr>
            </w:pPr>
            <w:r w:rsidRPr="000F6D11">
              <w:rPr>
                <w:b/>
              </w:rPr>
              <w:t>Duration of response (months</w:t>
            </w:r>
            <w:r w:rsidRPr="00B05A7F">
              <w:rPr>
                <w:b/>
              </w:rPr>
              <w:t>)</w:t>
            </w:r>
            <w:r w:rsidR="00573F30">
              <w:rPr>
                <w:b/>
              </w:rPr>
              <w:t>*</w:t>
            </w:r>
          </w:p>
        </w:tc>
        <w:tc>
          <w:tcPr>
            <w:tcW w:w="4508" w:type="dxa"/>
          </w:tcPr>
          <w:p w14:paraId="1546D9FF" w14:textId="77777777" w:rsidR="00A479F6" w:rsidRDefault="00A479F6" w:rsidP="00600DB2">
            <w:pPr>
              <w:jc w:val="center"/>
            </w:pPr>
          </w:p>
        </w:tc>
      </w:tr>
      <w:tr w:rsidR="00A479F6" w14:paraId="4A30DA38" w14:textId="77777777" w:rsidTr="00B12E79">
        <w:tc>
          <w:tcPr>
            <w:tcW w:w="4508" w:type="dxa"/>
          </w:tcPr>
          <w:p w14:paraId="4E963AB5" w14:textId="55AD41C4" w:rsidR="00A479F6" w:rsidRPr="00600DB2" w:rsidRDefault="003A31D9" w:rsidP="00D10D9A">
            <w:r w:rsidRPr="00600DB2">
              <w:t>Median</w:t>
            </w:r>
            <w:r w:rsidR="00F901BC" w:rsidRPr="00600DB2">
              <w:t>, 95% CI</w:t>
            </w:r>
          </w:p>
        </w:tc>
        <w:tc>
          <w:tcPr>
            <w:tcW w:w="4508" w:type="dxa"/>
          </w:tcPr>
          <w:p w14:paraId="74570A3E" w14:textId="1D855338" w:rsidR="00A479F6" w:rsidRDefault="002352E2" w:rsidP="00600DB2">
            <w:pPr>
              <w:jc w:val="center"/>
            </w:pPr>
            <w:r w:rsidRPr="002352E2">
              <w:t>20.21 (13.0, NE)</w:t>
            </w:r>
          </w:p>
        </w:tc>
      </w:tr>
      <w:tr w:rsidR="00A479F6" w14:paraId="5F9B25A9" w14:textId="77777777" w:rsidTr="00B12E79">
        <w:tc>
          <w:tcPr>
            <w:tcW w:w="4508" w:type="dxa"/>
          </w:tcPr>
          <w:p w14:paraId="69751DCE" w14:textId="7DE6DBC6" w:rsidR="00A479F6" w:rsidRPr="00600DB2" w:rsidRDefault="00F901BC" w:rsidP="00D10D9A">
            <w:r w:rsidRPr="00600DB2">
              <w:t>Median duration of follow up</w:t>
            </w:r>
          </w:p>
        </w:tc>
        <w:tc>
          <w:tcPr>
            <w:tcW w:w="4508" w:type="dxa"/>
          </w:tcPr>
          <w:p w14:paraId="4D054E56" w14:textId="57E5979E" w:rsidR="00A479F6" w:rsidRDefault="00344A18" w:rsidP="00600DB2">
            <w:pPr>
              <w:jc w:val="center"/>
            </w:pPr>
            <w:r w:rsidRPr="00344A18">
              <w:t>20.27</w:t>
            </w:r>
          </w:p>
        </w:tc>
      </w:tr>
      <w:tr w:rsidR="00A479F6" w14:paraId="64181B77" w14:textId="77777777" w:rsidTr="00B12E79">
        <w:tc>
          <w:tcPr>
            <w:tcW w:w="4508" w:type="dxa"/>
          </w:tcPr>
          <w:p w14:paraId="4036731C" w14:textId="6935CC7B" w:rsidR="00A479F6" w:rsidRPr="000F6D11" w:rsidRDefault="00F901BC" w:rsidP="00D10D9A">
            <w:pPr>
              <w:rPr>
                <w:b/>
              </w:rPr>
            </w:pPr>
            <w:r w:rsidRPr="000F6D11">
              <w:rPr>
                <w:b/>
              </w:rPr>
              <w:t>Progression-free survival (months)</w:t>
            </w:r>
          </w:p>
        </w:tc>
        <w:tc>
          <w:tcPr>
            <w:tcW w:w="4508" w:type="dxa"/>
          </w:tcPr>
          <w:p w14:paraId="03EADC75" w14:textId="77777777" w:rsidR="00A479F6" w:rsidRDefault="00A479F6" w:rsidP="00600DB2">
            <w:pPr>
              <w:jc w:val="center"/>
            </w:pPr>
          </w:p>
        </w:tc>
      </w:tr>
      <w:tr w:rsidR="00F901BC" w14:paraId="64861E86" w14:textId="77777777" w:rsidTr="00B12E79">
        <w:tc>
          <w:tcPr>
            <w:tcW w:w="4508" w:type="dxa"/>
          </w:tcPr>
          <w:p w14:paraId="0EE2E0EA" w14:textId="103D9E3B" w:rsidR="00F901BC" w:rsidRPr="00B05A7F" w:rsidRDefault="00CA4A1D" w:rsidP="00D10D9A">
            <w:r w:rsidRPr="00B05A7F">
              <w:t>Median, 95% CI</w:t>
            </w:r>
          </w:p>
        </w:tc>
        <w:tc>
          <w:tcPr>
            <w:tcW w:w="4508" w:type="dxa"/>
          </w:tcPr>
          <w:p w14:paraId="30DB34D2" w14:textId="58EB8167" w:rsidR="00F901BC" w:rsidRDefault="00344A18" w:rsidP="00B05A7F">
            <w:pPr>
              <w:jc w:val="center"/>
            </w:pPr>
            <w:r w:rsidRPr="00344A18">
              <w:t>21.95 (13.8, NE)</w:t>
            </w:r>
          </w:p>
        </w:tc>
      </w:tr>
      <w:tr w:rsidR="00CA4A1D" w14:paraId="3B9292CA" w14:textId="77777777" w:rsidTr="00B12E79">
        <w:tc>
          <w:tcPr>
            <w:tcW w:w="4508" w:type="dxa"/>
          </w:tcPr>
          <w:p w14:paraId="61FA7DA8" w14:textId="5D910B74" w:rsidR="00CA4A1D" w:rsidRPr="00B05A7F" w:rsidRDefault="00CA4A1D" w:rsidP="00D10D9A">
            <w:r w:rsidRPr="00B05A7F">
              <w:t xml:space="preserve">Median duration </w:t>
            </w:r>
            <w:r w:rsidR="00475DF4" w:rsidRPr="00B05A7F">
              <w:t>of follow-up (months)</w:t>
            </w:r>
          </w:p>
        </w:tc>
        <w:tc>
          <w:tcPr>
            <w:tcW w:w="4508" w:type="dxa"/>
          </w:tcPr>
          <w:p w14:paraId="61B36E12" w14:textId="3C9AE7C6" w:rsidR="00CA4A1D" w:rsidRDefault="00344A18" w:rsidP="00B05A7F">
            <w:pPr>
              <w:jc w:val="center"/>
            </w:pPr>
            <w:r w:rsidRPr="00344A18">
              <w:t>21.91</w:t>
            </w:r>
          </w:p>
        </w:tc>
      </w:tr>
      <w:tr w:rsidR="00CA4A1D" w14:paraId="1184F458" w14:textId="77777777" w:rsidTr="00B12E79">
        <w:tc>
          <w:tcPr>
            <w:tcW w:w="4508" w:type="dxa"/>
          </w:tcPr>
          <w:p w14:paraId="623AEDEA" w14:textId="4135E278" w:rsidR="00CA4A1D" w:rsidRPr="000F6D11" w:rsidRDefault="00475DF4" w:rsidP="00D10D9A">
            <w:pPr>
              <w:rPr>
                <w:b/>
              </w:rPr>
            </w:pPr>
            <w:r w:rsidRPr="000F6D11">
              <w:rPr>
                <w:b/>
              </w:rPr>
              <w:t xml:space="preserve">Overall survival (OS) </w:t>
            </w:r>
            <w:r w:rsidR="007F6E03" w:rsidRPr="000F6D11">
              <w:rPr>
                <w:b/>
              </w:rPr>
              <w:t>(</w:t>
            </w:r>
            <w:r w:rsidRPr="000F6D11">
              <w:rPr>
                <w:b/>
              </w:rPr>
              <w:t>months</w:t>
            </w:r>
            <w:r w:rsidR="007F6E03" w:rsidRPr="000F6D11">
              <w:rPr>
                <w:b/>
              </w:rPr>
              <w:t>)*</w:t>
            </w:r>
          </w:p>
        </w:tc>
        <w:tc>
          <w:tcPr>
            <w:tcW w:w="4508" w:type="dxa"/>
          </w:tcPr>
          <w:p w14:paraId="09C624F8" w14:textId="77777777" w:rsidR="00CA4A1D" w:rsidRDefault="00CA4A1D" w:rsidP="00B05A7F">
            <w:pPr>
              <w:jc w:val="center"/>
            </w:pPr>
          </w:p>
        </w:tc>
      </w:tr>
      <w:tr w:rsidR="00CA4A1D" w14:paraId="66A30A9F" w14:textId="77777777" w:rsidTr="00B12E79">
        <w:tc>
          <w:tcPr>
            <w:tcW w:w="4508" w:type="dxa"/>
          </w:tcPr>
          <w:p w14:paraId="655BC085" w14:textId="26F1FC64" w:rsidR="00CA4A1D" w:rsidRPr="00B05A7F" w:rsidRDefault="007F6E03" w:rsidP="00D10D9A">
            <w:r w:rsidRPr="00B05A7F">
              <w:t>Median, 95% CI</w:t>
            </w:r>
          </w:p>
        </w:tc>
        <w:tc>
          <w:tcPr>
            <w:tcW w:w="4508" w:type="dxa"/>
          </w:tcPr>
          <w:p w14:paraId="0BF59007" w14:textId="3B8BE915" w:rsidR="00CA4A1D" w:rsidRDefault="00EA1D91" w:rsidP="00B05A7F">
            <w:pPr>
              <w:jc w:val="center"/>
            </w:pPr>
            <w:r w:rsidRPr="00EA1D91">
              <w:t>NE (27.9, NE)</w:t>
            </w:r>
          </w:p>
        </w:tc>
      </w:tr>
      <w:tr w:rsidR="007F6E03" w14:paraId="29607490" w14:textId="77777777" w:rsidTr="00B12E79">
        <w:tc>
          <w:tcPr>
            <w:tcW w:w="4508" w:type="dxa"/>
          </w:tcPr>
          <w:p w14:paraId="5FC1D810" w14:textId="15A20156" w:rsidR="007F6E03" w:rsidRPr="00B05A7F" w:rsidRDefault="007F6E03" w:rsidP="00D10D9A">
            <w:r w:rsidRPr="00B05A7F">
              <w:lastRenderedPageBreak/>
              <w:t>Median duration of follow-up (months)</w:t>
            </w:r>
          </w:p>
        </w:tc>
        <w:tc>
          <w:tcPr>
            <w:tcW w:w="4508" w:type="dxa"/>
          </w:tcPr>
          <w:p w14:paraId="2A8AC97C" w14:textId="33C81AA9" w:rsidR="007F6E03" w:rsidRDefault="00EA1D91" w:rsidP="00B05A7F">
            <w:pPr>
              <w:jc w:val="center"/>
            </w:pPr>
            <w:r w:rsidRPr="00EA1D91">
              <w:t>25.20</w:t>
            </w:r>
          </w:p>
        </w:tc>
      </w:tr>
    </w:tbl>
    <w:p w14:paraId="074C5E4D" w14:textId="77777777" w:rsidR="00EF61C1" w:rsidRPr="00EF61C1" w:rsidRDefault="00EF61C1" w:rsidP="00315239">
      <w:pPr>
        <w:spacing w:after="0" w:line="240" w:lineRule="auto"/>
        <w:ind w:left="142"/>
        <w:rPr>
          <w:rFonts w:ascii="Cambria" w:hAnsi="Cambria"/>
          <w:sz w:val="18"/>
          <w:szCs w:val="18"/>
        </w:rPr>
      </w:pPr>
      <w:r w:rsidRPr="00EF61C1">
        <w:rPr>
          <w:rFonts w:ascii="Cambria" w:hAnsi="Cambria"/>
          <w:sz w:val="18"/>
          <w:szCs w:val="18"/>
        </w:rPr>
        <w:t>NE = not estimable</w:t>
      </w:r>
    </w:p>
    <w:p w14:paraId="1563B0B4" w14:textId="7B056283" w:rsidR="00427B52" w:rsidRPr="001E0920" w:rsidRDefault="00EF61C1" w:rsidP="00315239">
      <w:pPr>
        <w:spacing w:after="0" w:line="240" w:lineRule="auto"/>
        <w:ind w:left="142"/>
        <w:rPr>
          <w:rFonts w:ascii="Cambria" w:hAnsi="Cambria"/>
          <w:sz w:val="18"/>
          <w:szCs w:val="18"/>
        </w:rPr>
      </w:pPr>
      <w:r w:rsidRPr="00EF61C1">
        <w:rPr>
          <w:rFonts w:ascii="Cambria" w:hAnsi="Cambria"/>
          <w:sz w:val="18"/>
          <w:szCs w:val="18"/>
        </w:rPr>
        <w:t>*The OS rate was 92.7% (95% CI: 83.3, 96.9) at 12 months, 69.3% (95%</w:t>
      </w:r>
      <w:r w:rsidR="00C93BD6">
        <w:rPr>
          <w:rFonts w:ascii="Cambria" w:hAnsi="Cambria"/>
          <w:sz w:val="18"/>
          <w:szCs w:val="18"/>
        </w:rPr>
        <w:t xml:space="preserve"> </w:t>
      </w:r>
      <w:r w:rsidRPr="00EF61C1">
        <w:rPr>
          <w:rFonts w:ascii="Cambria" w:hAnsi="Cambria"/>
          <w:sz w:val="18"/>
          <w:szCs w:val="18"/>
        </w:rPr>
        <w:t>CI: 55.2, 79.7) at 24 months, and 57.1% (95%</w:t>
      </w:r>
      <w:r w:rsidR="00C93BD6">
        <w:rPr>
          <w:rFonts w:ascii="Cambria" w:hAnsi="Cambria"/>
          <w:sz w:val="18"/>
          <w:szCs w:val="18"/>
        </w:rPr>
        <w:t xml:space="preserve"> </w:t>
      </w:r>
      <w:r w:rsidRPr="00EF61C1">
        <w:rPr>
          <w:rFonts w:ascii="Cambria" w:hAnsi="Cambria"/>
          <w:sz w:val="18"/>
          <w:szCs w:val="18"/>
        </w:rPr>
        <w:t>CI: 35.9, 73.6) at 36 months.</w:t>
      </w:r>
    </w:p>
    <w:p w14:paraId="429D3518" w14:textId="77777777" w:rsidR="00315239" w:rsidRDefault="00315239" w:rsidP="00315239">
      <w:pPr>
        <w:spacing w:after="0" w:line="240" w:lineRule="auto"/>
        <w:ind w:left="142"/>
        <w:rPr>
          <w:rFonts w:ascii="Cambria" w:hAnsi="Cambria"/>
          <w:sz w:val="18"/>
          <w:szCs w:val="18"/>
        </w:rPr>
      </w:pPr>
    </w:p>
    <w:p w14:paraId="0633D4BF" w14:textId="6867844B" w:rsidR="00427B52" w:rsidRPr="00B643B6" w:rsidRDefault="00427B52" w:rsidP="00B643B6">
      <w:pPr>
        <w:pStyle w:val="Heading3"/>
        <w:rPr>
          <w:i/>
          <w:iCs/>
        </w:rPr>
      </w:pPr>
      <w:r w:rsidRPr="00B643B6">
        <w:rPr>
          <w:i/>
          <w:iCs/>
        </w:rPr>
        <w:t>Treatment-experienced</w:t>
      </w:r>
      <w:r w:rsidR="00553DDA" w:rsidRPr="00B643B6">
        <w:rPr>
          <w:i/>
          <w:iCs/>
        </w:rPr>
        <w:t xml:space="preserve"> RET fusion-positive NSCLC</w:t>
      </w:r>
      <w:r w:rsidR="00270901">
        <w:rPr>
          <w:i/>
          <w:iCs/>
        </w:rPr>
        <w:fldChar w:fldCharType="begin"/>
      </w:r>
      <w:r w:rsidR="00270901">
        <w:rPr>
          <w:i/>
          <w:iCs/>
        </w:rPr>
        <w:instrText xml:space="preserve"> DOCVARIABLE vault_nd_ba68d464-33c8-4c69-a2b4-8d0912ff25b2 \* MERGEFORMAT </w:instrText>
      </w:r>
      <w:r w:rsidR="00270901">
        <w:rPr>
          <w:i/>
          <w:iCs/>
        </w:rPr>
        <w:fldChar w:fldCharType="separate"/>
      </w:r>
      <w:r w:rsidR="00270901">
        <w:rPr>
          <w:i/>
          <w:iCs/>
        </w:rPr>
        <w:t xml:space="preserve"> </w:t>
      </w:r>
      <w:r w:rsidR="00270901">
        <w:rPr>
          <w:i/>
          <w:iCs/>
        </w:rPr>
        <w:fldChar w:fldCharType="end"/>
      </w:r>
    </w:p>
    <w:p w14:paraId="53EBD1EE" w14:textId="77777777" w:rsidR="00D97BFE" w:rsidRDefault="004A729C" w:rsidP="00C93BD6">
      <w:pPr>
        <w:jc w:val="both"/>
      </w:pPr>
      <w:r w:rsidRPr="00B370FF">
        <w:t xml:space="preserve">A total of 247 patients had received prior platinum-based chemotherapy. </w:t>
      </w:r>
      <w:r w:rsidR="00434FB5" w:rsidRPr="00B370FF">
        <w:t xml:space="preserve">Most patients (97.2%) had metastatic disease at enrolment. </w:t>
      </w:r>
      <w:r w:rsidRPr="00B370FF">
        <w:t>The median age was 61 years (range 23 years to 81 years). 56.7% of patients were female</w:t>
      </w:r>
      <w:r w:rsidR="00BF6DF5" w:rsidRPr="00B370FF">
        <w:t>,</w:t>
      </w:r>
      <w:r w:rsidRPr="00B370FF">
        <w:t xml:space="preserve"> 43.7% of patients were White, 47.8% were Asian, 4.9% were Black, and 66.8% were never smokers. ECOG performance status was reported as 0-1 (97.</w:t>
      </w:r>
      <w:r w:rsidR="00A66F86" w:rsidRPr="00B370FF">
        <w:t>1</w:t>
      </w:r>
      <w:r w:rsidRPr="00B370FF">
        <w:t xml:space="preserve">%) or 2 (2.8%). The most common fusion partner was KIF5B (61.9%), followed by CCDC6 (21.5%) and then NCOA4 (2.0%). The median number of prior systemic therapies was 2 (range 1–15) and 43.3% (n = 107/247) received 3 or more prior systemic regimens; prior treatments included anti PD1/PD-L1 therapy (58.3%), multi-kinase inhibitor (MKI) (34.4%) and </w:t>
      </w:r>
      <w:proofErr w:type="spellStart"/>
      <w:r w:rsidRPr="00B370FF">
        <w:t>taxanes</w:t>
      </w:r>
      <w:proofErr w:type="spellEnd"/>
      <w:r w:rsidRPr="00B370FF">
        <w:t xml:space="preserve"> (34.8%); 39.3% had other systemic therapy. </w:t>
      </w:r>
    </w:p>
    <w:p w14:paraId="1BBD8401" w14:textId="3924CD7C" w:rsidR="006C518F" w:rsidRPr="001E0920" w:rsidRDefault="004A729C" w:rsidP="00C93BD6">
      <w:pPr>
        <w:jc w:val="both"/>
      </w:pPr>
      <w:r w:rsidRPr="00B370FF">
        <w:t xml:space="preserve">Efficacy results for previously treated </w:t>
      </w:r>
      <w:r w:rsidRPr="00B370FF">
        <w:rPr>
          <w:i/>
        </w:rPr>
        <w:t>RET</w:t>
      </w:r>
      <w:r w:rsidRPr="00B370FF">
        <w:t xml:space="preserve"> fusion-positive NSCLC patients are </w:t>
      </w:r>
      <w:proofErr w:type="spellStart"/>
      <w:r w:rsidRPr="00B370FF">
        <w:t>summarised</w:t>
      </w:r>
      <w:proofErr w:type="spellEnd"/>
      <w:r w:rsidRPr="00B370FF">
        <w:t xml:space="preserve"> in </w:t>
      </w:r>
      <w:r w:rsidR="00CC57B1">
        <w:fldChar w:fldCharType="begin"/>
      </w:r>
      <w:r w:rsidR="00CC57B1">
        <w:instrText xml:space="preserve"> REF _Ref99452021 \h </w:instrText>
      </w:r>
      <w:r w:rsidR="00CC57B1">
        <w:fldChar w:fldCharType="separate"/>
      </w:r>
      <w:r w:rsidR="00CC57B1">
        <w:t xml:space="preserve">Table </w:t>
      </w:r>
      <w:r w:rsidR="00CC57B1">
        <w:rPr>
          <w:noProof/>
        </w:rPr>
        <w:t>5</w:t>
      </w:r>
      <w:r w:rsidR="00CC57B1">
        <w:fldChar w:fldCharType="end"/>
      </w:r>
      <w:r w:rsidRPr="00B370FF">
        <w:t>.</w:t>
      </w:r>
    </w:p>
    <w:p w14:paraId="145CA074" w14:textId="79BDF41E" w:rsidR="00A476AF" w:rsidRPr="002970AD" w:rsidRDefault="00A476AF" w:rsidP="00CC57B1">
      <w:pPr>
        <w:pStyle w:val="Caption"/>
        <w:keepNext/>
        <w:rPr>
          <w:b w:val="0"/>
        </w:rPr>
      </w:pPr>
      <w:bookmarkStart w:id="15" w:name="_Ref99452021"/>
      <w:r>
        <w:t xml:space="preserve">Table </w:t>
      </w:r>
      <w:r w:rsidR="00CC57B1">
        <w:fldChar w:fldCharType="begin"/>
      </w:r>
      <w:r w:rsidR="00CC57B1">
        <w:instrText xml:space="preserve"> SEQ Table \* ARABIC </w:instrText>
      </w:r>
      <w:r w:rsidR="00CC57B1">
        <w:fldChar w:fldCharType="separate"/>
      </w:r>
      <w:r w:rsidR="00CC57B1">
        <w:rPr>
          <w:noProof/>
        </w:rPr>
        <w:t>5</w:t>
      </w:r>
      <w:r w:rsidR="00CC57B1">
        <w:fldChar w:fldCharType="end"/>
      </w:r>
      <w:bookmarkEnd w:id="15"/>
      <w:r w:rsidRPr="002970AD">
        <w:t xml:space="preserve"> Objective response and duration of response</w:t>
      </w:r>
      <w:r w:rsidR="00925E62">
        <w:t xml:space="preserve"> for treatment experienced</w:t>
      </w:r>
      <w:fldSimple w:instr=" DOCVARIABLE vault_nd_d7b8c88e-5451-4dcc-87a3-68d46fec3815 \* MERGEFORMAT ">
        <w:r w:rsidR="00270901">
          <w:t xml:space="preserve"> </w:t>
        </w:r>
      </w:fldSimple>
    </w:p>
    <w:tbl>
      <w:tblPr>
        <w:tblStyle w:val="TableGrid"/>
        <w:tblW w:w="0" w:type="auto"/>
        <w:tblLook w:val="04A0" w:firstRow="1" w:lastRow="0" w:firstColumn="1" w:lastColumn="0" w:noHBand="0" w:noVBand="1"/>
      </w:tblPr>
      <w:tblGrid>
        <w:gridCol w:w="4531"/>
        <w:gridCol w:w="4395"/>
      </w:tblGrid>
      <w:tr w:rsidR="00ED1465" w:rsidRPr="00990DD9" w14:paraId="108FAADE" w14:textId="77777777" w:rsidTr="00ED1465">
        <w:trPr>
          <w:tblHeader/>
        </w:trPr>
        <w:tc>
          <w:tcPr>
            <w:tcW w:w="4531" w:type="dxa"/>
          </w:tcPr>
          <w:p w14:paraId="0BF19DA7" w14:textId="77777777" w:rsidR="00ED1465" w:rsidRPr="00990DD9" w:rsidRDefault="00ED1465" w:rsidP="00D10D9A"/>
        </w:tc>
        <w:tc>
          <w:tcPr>
            <w:tcW w:w="4395" w:type="dxa"/>
          </w:tcPr>
          <w:p w14:paraId="23CD8A83" w14:textId="77777777" w:rsidR="00ED1465" w:rsidRPr="002970AD" w:rsidRDefault="00ED1465" w:rsidP="00281120">
            <w:pPr>
              <w:jc w:val="center"/>
              <w:rPr>
                <w:b/>
              </w:rPr>
            </w:pPr>
            <w:r w:rsidRPr="002970AD">
              <w:rPr>
                <w:b/>
              </w:rPr>
              <w:t>Efficacy eligible patients</w:t>
            </w:r>
          </w:p>
          <w:p w14:paraId="7650B07D" w14:textId="1F47968A" w:rsidR="00ED1465" w:rsidRPr="00990DD9" w:rsidRDefault="00ED1465" w:rsidP="00281120">
            <w:pPr>
              <w:jc w:val="center"/>
            </w:pPr>
            <w:r w:rsidRPr="002970AD">
              <w:rPr>
                <w:b/>
              </w:rPr>
              <w:t>IRC assessment</w:t>
            </w:r>
          </w:p>
        </w:tc>
      </w:tr>
      <w:tr w:rsidR="00ED1465" w:rsidRPr="00990DD9" w14:paraId="2ECF7B63" w14:textId="77777777" w:rsidTr="00ED1465">
        <w:tc>
          <w:tcPr>
            <w:tcW w:w="4531" w:type="dxa"/>
          </w:tcPr>
          <w:p w14:paraId="729AB913" w14:textId="609B955A" w:rsidR="00ED1465" w:rsidRPr="00281120" w:rsidRDefault="00ED1465" w:rsidP="00D10D9A">
            <w:r w:rsidRPr="00281120">
              <w:t>n</w:t>
            </w:r>
          </w:p>
        </w:tc>
        <w:tc>
          <w:tcPr>
            <w:tcW w:w="4395" w:type="dxa"/>
          </w:tcPr>
          <w:p w14:paraId="02C08589" w14:textId="47AC8EA3" w:rsidR="00ED1465" w:rsidRPr="00990DD9" w:rsidRDefault="001726EC" w:rsidP="00281120">
            <w:pPr>
              <w:jc w:val="center"/>
            </w:pPr>
            <w:r>
              <w:t>247</w:t>
            </w:r>
          </w:p>
        </w:tc>
      </w:tr>
      <w:tr w:rsidR="00ED1465" w:rsidRPr="00990DD9" w14:paraId="53A6D98A" w14:textId="77777777" w:rsidTr="00ED1465">
        <w:tc>
          <w:tcPr>
            <w:tcW w:w="4531" w:type="dxa"/>
          </w:tcPr>
          <w:p w14:paraId="68BD5BA8" w14:textId="0D92E6D2" w:rsidR="00ED1465" w:rsidRPr="002970AD" w:rsidRDefault="00ED1465" w:rsidP="00D10D9A">
            <w:pPr>
              <w:rPr>
                <w:b/>
              </w:rPr>
            </w:pPr>
            <w:r w:rsidRPr="002970AD">
              <w:rPr>
                <w:b/>
              </w:rPr>
              <w:t>Objective response (CR + PR)</w:t>
            </w:r>
          </w:p>
        </w:tc>
        <w:tc>
          <w:tcPr>
            <w:tcW w:w="4395" w:type="dxa"/>
          </w:tcPr>
          <w:p w14:paraId="0F192B82" w14:textId="77777777" w:rsidR="00ED1465" w:rsidRPr="00990DD9" w:rsidRDefault="00ED1465" w:rsidP="00281120">
            <w:pPr>
              <w:jc w:val="center"/>
            </w:pPr>
          </w:p>
        </w:tc>
      </w:tr>
      <w:tr w:rsidR="00ED1465" w:rsidRPr="00990DD9" w14:paraId="100A96F5" w14:textId="77777777" w:rsidTr="00ED1465">
        <w:tc>
          <w:tcPr>
            <w:tcW w:w="4531" w:type="dxa"/>
          </w:tcPr>
          <w:p w14:paraId="42F46FA1" w14:textId="49B3FF3A" w:rsidR="00ED1465" w:rsidRPr="00281120" w:rsidRDefault="00ED1465" w:rsidP="00D10D9A">
            <w:r w:rsidRPr="00281120">
              <w:t>%</w:t>
            </w:r>
            <w:r w:rsidR="00D22A43" w:rsidRPr="00281120">
              <w:t xml:space="preserve"> (95% CI)</w:t>
            </w:r>
          </w:p>
        </w:tc>
        <w:tc>
          <w:tcPr>
            <w:tcW w:w="4395" w:type="dxa"/>
          </w:tcPr>
          <w:p w14:paraId="4D996027" w14:textId="52934E45" w:rsidR="00ED1465" w:rsidRPr="00990DD9" w:rsidRDefault="001726EC" w:rsidP="00281120">
            <w:pPr>
              <w:jc w:val="center"/>
            </w:pPr>
            <w:r>
              <w:t>61.1 (54.7, 67.2)</w:t>
            </w:r>
          </w:p>
        </w:tc>
      </w:tr>
      <w:tr w:rsidR="00AC115A" w:rsidRPr="00990DD9" w14:paraId="206BE230" w14:textId="77777777" w:rsidTr="00ED1465">
        <w:tc>
          <w:tcPr>
            <w:tcW w:w="4531" w:type="dxa"/>
          </w:tcPr>
          <w:p w14:paraId="014DDFDE" w14:textId="44D0C2DA" w:rsidR="00AC115A" w:rsidRPr="00281120" w:rsidRDefault="00AC115A" w:rsidP="00D10D9A">
            <w:r w:rsidRPr="00281120">
              <w:t>Complete response n (%)</w:t>
            </w:r>
          </w:p>
        </w:tc>
        <w:tc>
          <w:tcPr>
            <w:tcW w:w="4395" w:type="dxa"/>
          </w:tcPr>
          <w:p w14:paraId="31C65306" w14:textId="7F2168B0" w:rsidR="00AC115A" w:rsidRPr="00990DD9" w:rsidRDefault="004563FA" w:rsidP="00281120">
            <w:pPr>
              <w:jc w:val="center"/>
            </w:pPr>
            <w:r>
              <w:t>18 (7.3)</w:t>
            </w:r>
          </w:p>
        </w:tc>
      </w:tr>
      <w:tr w:rsidR="00AC115A" w:rsidRPr="00990DD9" w14:paraId="31FA196B" w14:textId="77777777" w:rsidTr="00ED1465">
        <w:tc>
          <w:tcPr>
            <w:tcW w:w="4531" w:type="dxa"/>
          </w:tcPr>
          <w:p w14:paraId="65D114D4" w14:textId="17D00688" w:rsidR="00AC115A" w:rsidRPr="00281120" w:rsidRDefault="00AC115A" w:rsidP="00D10D9A">
            <w:r w:rsidRPr="00281120">
              <w:t>Partial response n (%)</w:t>
            </w:r>
          </w:p>
        </w:tc>
        <w:tc>
          <w:tcPr>
            <w:tcW w:w="4395" w:type="dxa"/>
          </w:tcPr>
          <w:p w14:paraId="552971A8" w14:textId="55963D38" w:rsidR="00AC115A" w:rsidRPr="00990DD9" w:rsidRDefault="004563FA" w:rsidP="00281120">
            <w:pPr>
              <w:jc w:val="center"/>
            </w:pPr>
            <w:r>
              <w:t>133 (53.8)</w:t>
            </w:r>
          </w:p>
        </w:tc>
      </w:tr>
      <w:tr w:rsidR="00AC115A" w:rsidRPr="00990DD9" w14:paraId="495B8210" w14:textId="77777777" w:rsidTr="00ED1465">
        <w:tc>
          <w:tcPr>
            <w:tcW w:w="4531" w:type="dxa"/>
          </w:tcPr>
          <w:p w14:paraId="62ADDA1D" w14:textId="6DA3F07C" w:rsidR="00AC115A" w:rsidRPr="002970AD" w:rsidRDefault="00AC115A" w:rsidP="00D10D9A">
            <w:pPr>
              <w:rPr>
                <w:b/>
              </w:rPr>
            </w:pPr>
            <w:r w:rsidRPr="002970AD">
              <w:rPr>
                <w:b/>
              </w:rPr>
              <w:t>Duration of response (months)</w:t>
            </w:r>
            <w:r w:rsidRPr="002970AD">
              <w:rPr>
                <w:b/>
                <w:vertAlign w:val="superscript"/>
              </w:rPr>
              <w:t>*</w:t>
            </w:r>
          </w:p>
        </w:tc>
        <w:tc>
          <w:tcPr>
            <w:tcW w:w="4395" w:type="dxa"/>
          </w:tcPr>
          <w:p w14:paraId="787205F5" w14:textId="2ADF44A0" w:rsidR="00AC115A" w:rsidRPr="00990DD9" w:rsidRDefault="00AC115A" w:rsidP="00281120">
            <w:pPr>
              <w:jc w:val="center"/>
            </w:pPr>
          </w:p>
        </w:tc>
      </w:tr>
      <w:tr w:rsidR="00AC115A" w:rsidRPr="00990DD9" w14:paraId="14DADC0A" w14:textId="77777777" w:rsidTr="00ED1465">
        <w:tc>
          <w:tcPr>
            <w:tcW w:w="4531" w:type="dxa"/>
          </w:tcPr>
          <w:p w14:paraId="7DF64FF9" w14:textId="22974A63" w:rsidR="00AC115A" w:rsidRPr="00281120" w:rsidRDefault="00AC115A" w:rsidP="00D10D9A">
            <w:r w:rsidRPr="00281120">
              <w:t>Median</w:t>
            </w:r>
            <w:r w:rsidR="00E65279" w:rsidRPr="00281120">
              <w:t xml:space="preserve"> (</w:t>
            </w:r>
            <w:r w:rsidRPr="00281120">
              <w:t>95% CI</w:t>
            </w:r>
            <w:r w:rsidR="00E65279" w:rsidRPr="00281120">
              <w:t>)</w:t>
            </w:r>
          </w:p>
        </w:tc>
        <w:tc>
          <w:tcPr>
            <w:tcW w:w="4395" w:type="dxa"/>
          </w:tcPr>
          <w:p w14:paraId="21B416C9" w14:textId="31384E8D" w:rsidR="00AC115A" w:rsidRPr="00990DD9" w:rsidRDefault="004563FA" w:rsidP="00281120">
            <w:pPr>
              <w:jc w:val="center"/>
            </w:pPr>
            <w:r>
              <w:t>28.58 (20.4, NE)</w:t>
            </w:r>
          </w:p>
        </w:tc>
      </w:tr>
      <w:tr w:rsidR="00AC115A" w:rsidRPr="00990DD9" w14:paraId="426EE8DF" w14:textId="77777777" w:rsidTr="00ED1465">
        <w:tc>
          <w:tcPr>
            <w:tcW w:w="4531" w:type="dxa"/>
          </w:tcPr>
          <w:p w14:paraId="64FD2E34" w14:textId="6A79DA01" w:rsidR="00AC115A" w:rsidRPr="00281120" w:rsidRDefault="00F11ED9" w:rsidP="00D10D9A">
            <w:r w:rsidRPr="00281120">
              <w:t>Median duration of follow-up (months)</w:t>
            </w:r>
          </w:p>
        </w:tc>
        <w:tc>
          <w:tcPr>
            <w:tcW w:w="4395" w:type="dxa"/>
          </w:tcPr>
          <w:p w14:paraId="0F120C4F" w14:textId="59319743" w:rsidR="00AC115A" w:rsidRPr="00990DD9" w:rsidRDefault="00E20F99" w:rsidP="00281120">
            <w:pPr>
              <w:jc w:val="center"/>
            </w:pPr>
            <w:r>
              <w:t>21.19</w:t>
            </w:r>
          </w:p>
        </w:tc>
      </w:tr>
      <w:tr w:rsidR="00AC115A" w:rsidRPr="00990DD9" w14:paraId="5FCB0312" w14:textId="77777777" w:rsidTr="00ED1465">
        <w:tc>
          <w:tcPr>
            <w:tcW w:w="4531" w:type="dxa"/>
          </w:tcPr>
          <w:p w14:paraId="7E389DB7" w14:textId="404CFD72" w:rsidR="00AC115A" w:rsidRPr="002970AD" w:rsidRDefault="00F11ED9" w:rsidP="00D10D9A">
            <w:pPr>
              <w:rPr>
                <w:b/>
              </w:rPr>
            </w:pPr>
            <w:r w:rsidRPr="002970AD">
              <w:rPr>
                <w:b/>
              </w:rPr>
              <w:t>Progression-free survival (months)</w:t>
            </w:r>
          </w:p>
        </w:tc>
        <w:tc>
          <w:tcPr>
            <w:tcW w:w="4395" w:type="dxa"/>
          </w:tcPr>
          <w:p w14:paraId="03F8185B" w14:textId="251AD1CF" w:rsidR="00AC115A" w:rsidRPr="00990DD9" w:rsidRDefault="00AC115A" w:rsidP="00281120">
            <w:pPr>
              <w:jc w:val="center"/>
            </w:pPr>
          </w:p>
        </w:tc>
      </w:tr>
      <w:tr w:rsidR="00F11ED9" w:rsidRPr="00990DD9" w14:paraId="7EFCF296" w14:textId="77777777" w:rsidTr="00ED1465">
        <w:tc>
          <w:tcPr>
            <w:tcW w:w="4531" w:type="dxa"/>
          </w:tcPr>
          <w:p w14:paraId="31B8E538" w14:textId="3C880C18" w:rsidR="00F11ED9" w:rsidRPr="00281120" w:rsidRDefault="00F11ED9" w:rsidP="00D10D9A">
            <w:r w:rsidRPr="00281120">
              <w:t>Median (95% CI)</w:t>
            </w:r>
          </w:p>
        </w:tc>
        <w:tc>
          <w:tcPr>
            <w:tcW w:w="4395" w:type="dxa"/>
          </w:tcPr>
          <w:p w14:paraId="1D3E6D89" w14:textId="044F549D" w:rsidR="00F11ED9" w:rsidRPr="00990DD9" w:rsidRDefault="00E20F99" w:rsidP="00281120">
            <w:pPr>
              <w:jc w:val="center"/>
            </w:pPr>
            <w:r>
              <w:t>24.94 (19.3, NE)</w:t>
            </w:r>
          </w:p>
        </w:tc>
      </w:tr>
      <w:tr w:rsidR="00F11ED9" w:rsidRPr="00990DD9" w14:paraId="7C6AF7A8" w14:textId="77777777" w:rsidTr="00ED1465">
        <w:tc>
          <w:tcPr>
            <w:tcW w:w="4531" w:type="dxa"/>
          </w:tcPr>
          <w:p w14:paraId="76020738" w14:textId="4ACCDA47" w:rsidR="00F11ED9" w:rsidRPr="00281120" w:rsidRDefault="00F11ED9" w:rsidP="00D10D9A">
            <w:r w:rsidRPr="00281120">
              <w:t>Median duration of follow-up (months)</w:t>
            </w:r>
          </w:p>
        </w:tc>
        <w:tc>
          <w:tcPr>
            <w:tcW w:w="4395" w:type="dxa"/>
          </w:tcPr>
          <w:p w14:paraId="46DBE19C" w14:textId="59832063" w:rsidR="00F11ED9" w:rsidRPr="00990DD9" w:rsidRDefault="00E20F99" w:rsidP="00281120">
            <w:pPr>
              <w:jc w:val="center"/>
            </w:pPr>
            <w:r>
              <w:t>24.71</w:t>
            </w:r>
          </w:p>
        </w:tc>
      </w:tr>
      <w:tr w:rsidR="00F11ED9" w:rsidRPr="00990DD9" w14:paraId="28FDD319" w14:textId="77777777" w:rsidTr="00ED1465">
        <w:tc>
          <w:tcPr>
            <w:tcW w:w="4531" w:type="dxa"/>
          </w:tcPr>
          <w:p w14:paraId="01340992" w14:textId="29DF8A99" w:rsidR="00F11ED9" w:rsidRPr="002970AD" w:rsidRDefault="005A0DB4" w:rsidP="00D10D9A">
            <w:pPr>
              <w:rPr>
                <w:b/>
              </w:rPr>
            </w:pPr>
            <w:r w:rsidRPr="002970AD">
              <w:rPr>
                <w:b/>
              </w:rPr>
              <w:t>Overall survival (months)</w:t>
            </w:r>
          </w:p>
        </w:tc>
        <w:tc>
          <w:tcPr>
            <w:tcW w:w="4395" w:type="dxa"/>
          </w:tcPr>
          <w:p w14:paraId="445FC463" w14:textId="77777777" w:rsidR="00F11ED9" w:rsidRPr="00990DD9" w:rsidRDefault="00F11ED9" w:rsidP="00281120">
            <w:pPr>
              <w:jc w:val="center"/>
            </w:pPr>
          </w:p>
        </w:tc>
      </w:tr>
      <w:tr w:rsidR="00F11ED9" w:rsidRPr="00990DD9" w14:paraId="4CC3921C" w14:textId="77777777" w:rsidTr="00ED1465">
        <w:tc>
          <w:tcPr>
            <w:tcW w:w="4531" w:type="dxa"/>
          </w:tcPr>
          <w:p w14:paraId="70810AAD" w14:textId="69C2D1FD" w:rsidR="00F11ED9" w:rsidRPr="00281120" w:rsidRDefault="005A0DB4" w:rsidP="00D10D9A">
            <w:r w:rsidRPr="00281120">
              <w:t>Median (95% CI)</w:t>
            </w:r>
          </w:p>
        </w:tc>
        <w:tc>
          <w:tcPr>
            <w:tcW w:w="4395" w:type="dxa"/>
          </w:tcPr>
          <w:p w14:paraId="21837F9E" w14:textId="55523633" w:rsidR="00F11ED9" w:rsidRPr="00990DD9" w:rsidRDefault="00962BB6" w:rsidP="00281120">
            <w:pPr>
              <w:jc w:val="center"/>
            </w:pPr>
            <w:r>
              <w:t>NE (33.5, NE)</w:t>
            </w:r>
          </w:p>
        </w:tc>
      </w:tr>
      <w:tr w:rsidR="00F11ED9" w:rsidRPr="00990DD9" w14:paraId="415B339B" w14:textId="77777777" w:rsidTr="00ED1465">
        <w:tc>
          <w:tcPr>
            <w:tcW w:w="4531" w:type="dxa"/>
          </w:tcPr>
          <w:p w14:paraId="39495580" w14:textId="45884E08" w:rsidR="00F11ED9" w:rsidRPr="00281120" w:rsidRDefault="005A0DB4" w:rsidP="00D10D9A">
            <w:r w:rsidRPr="00281120">
              <w:t>Median duration of follow-up (months)</w:t>
            </w:r>
          </w:p>
        </w:tc>
        <w:tc>
          <w:tcPr>
            <w:tcW w:w="4395" w:type="dxa"/>
          </w:tcPr>
          <w:p w14:paraId="4D61F0AE" w14:textId="47D54098" w:rsidR="00F11ED9" w:rsidRPr="00990DD9" w:rsidRDefault="00962BB6" w:rsidP="00281120">
            <w:pPr>
              <w:jc w:val="center"/>
            </w:pPr>
            <w:r>
              <w:t>26.41</w:t>
            </w:r>
          </w:p>
        </w:tc>
      </w:tr>
    </w:tbl>
    <w:p w14:paraId="0337DB09" w14:textId="77777777" w:rsidR="00DB1137" w:rsidRPr="00990DD9" w:rsidRDefault="00DB1137" w:rsidP="00887096">
      <w:pPr>
        <w:spacing w:after="0" w:line="240" w:lineRule="auto"/>
        <w:ind w:left="142"/>
        <w:rPr>
          <w:rFonts w:ascii="Cambria" w:hAnsi="Cambria"/>
          <w:sz w:val="18"/>
          <w:szCs w:val="18"/>
        </w:rPr>
      </w:pPr>
      <w:r w:rsidRPr="00990DD9">
        <w:rPr>
          <w:rFonts w:ascii="Cambria" w:hAnsi="Cambria"/>
          <w:sz w:val="18"/>
          <w:szCs w:val="18"/>
        </w:rPr>
        <w:t>NE = not estimable</w:t>
      </w:r>
    </w:p>
    <w:p w14:paraId="34B381C2" w14:textId="77777777" w:rsidR="00887096" w:rsidRDefault="00DB1137" w:rsidP="00887096">
      <w:pPr>
        <w:spacing w:after="0" w:line="240" w:lineRule="auto"/>
        <w:ind w:left="142"/>
        <w:rPr>
          <w:rFonts w:ascii="Cambria" w:hAnsi="Cambria"/>
          <w:sz w:val="18"/>
          <w:szCs w:val="18"/>
        </w:rPr>
      </w:pPr>
      <w:r w:rsidRPr="00990DD9">
        <w:rPr>
          <w:rFonts w:ascii="Cambria" w:hAnsi="Cambria"/>
          <w:sz w:val="18"/>
          <w:szCs w:val="18"/>
        </w:rPr>
        <w:t>*</w:t>
      </w:r>
      <w:r w:rsidR="00962BB6">
        <w:rPr>
          <w:rFonts w:ascii="Cambria" w:hAnsi="Cambria"/>
          <w:sz w:val="18"/>
          <w:szCs w:val="18"/>
        </w:rPr>
        <w:t xml:space="preserve"> </w:t>
      </w:r>
      <w:r w:rsidR="00962BB6" w:rsidRPr="00962BB6">
        <w:rPr>
          <w:rFonts w:ascii="Cambria" w:hAnsi="Cambria"/>
          <w:sz w:val="18"/>
          <w:szCs w:val="18"/>
        </w:rPr>
        <w:t>The OS rate was 87.9% (95% CI: 83.0, 91.4) at 12 moths, 68.9% (95%CI: 62.2, 74.7) at 24 months, and 58.5% (95%CI: 49.7, 66.3) at 36 months.</w:t>
      </w:r>
    </w:p>
    <w:p w14:paraId="1E27D4EA" w14:textId="5273849E" w:rsidR="00962BB6" w:rsidRPr="00834FBA" w:rsidRDefault="00962BB6" w:rsidP="00887096">
      <w:pPr>
        <w:spacing w:after="0" w:line="240" w:lineRule="auto"/>
        <w:ind w:left="142"/>
        <w:rPr>
          <w:rFonts w:ascii="Cambria" w:hAnsi="Cambria"/>
          <w:sz w:val="16"/>
          <w:szCs w:val="16"/>
        </w:rPr>
      </w:pPr>
      <w:r w:rsidRPr="00834FBA">
        <w:rPr>
          <w:rFonts w:ascii="Cambria" w:hAnsi="Cambria"/>
          <w:sz w:val="16"/>
          <w:szCs w:val="16"/>
        </w:rPr>
        <w:br/>
      </w:r>
    </w:p>
    <w:p w14:paraId="74A84B64" w14:textId="0552D659" w:rsidR="009C17E3" w:rsidRPr="00B643B6" w:rsidRDefault="009C17E3" w:rsidP="00B643B6">
      <w:pPr>
        <w:pStyle w:val="Heading3"/>
        <w:rPr>
          <w:i/>
          <w:iCs/>
        </w:rPr>
      </w:pPr>
      <w:r w:rsidRPr="00B643B6">
        <w:rPr>
          <w:i/>
          <w:iCs/>
        </w:rPr>
        <w:t>CNS response in RET fusion-positive NSCLC</w:t>
      </w:r>
      <w:r w:rsidR="00270901">
        <w:rPr>
          <w:i/>
          <w:iCs/>
        </w:rPr>
        <w:fldChar w:fldCharType="begin"/>
      </w:r>
      <w:r w:rsidR="00270901">
        <w:rPr>
          <w:i/>
          <w:iCs/>
        </w:rPr>
        <w:instrText xml:space="preserve"> DOCVARIABLE vault_nd_d7dfd47c-651a-4643-84f7-fafbecb8c9bf \* MERGEFORMAT </w:instrText>
      </w:r>
      <w:r w:rsidR="00270901">
        <w:rPr>
          <w:i/>
          <w:iCs/>
        </w:rPr>
        <w:fldChar w:fldCharType="separate"/>
      </w:r>
      <w:r w:rsidR="00270901">
        <w:rPr>
          <w:i/>
          <w:iCs/>
        </w:rPr>
        <w:t xml:space="preserve"> </w:t>
      </w:r>
      <w:r w:rsidR="00270901">
        <w:rPr>
          <w:i/>
          <w:iCs/>
        </w:rPr>
        <w:fldChar w:fldCharType="end"/>
      </w:r>
    </w:p>
    <w:p w14:paraId="4B0F91CC" w14:textId="6CD72740" w:rsidR="00745776" w:rsidRDefault="004450F8" w:rsidP="00113744">
      <w:pPr>
        <w:jc w:val="both"/>
      </w:pPr>
      <w:r>
        <w:t xml:space="preserve">A total of </w:t>
      </w:r>
      <w:r w:rsidR="00083085" w:rsidRPr="00083085">
        <w:t>106 RET fusion-positive NSCLC patients had CNS metastasis at baseline, including 26 patients with measurable CNS lesions according to IRC assessment. The CNS ORR in patients with measurable disease was 84.6% (22/26; 95% CI: 65.1, 95.6). CR was observed in 7 (26.9%) patients and PR in 15 (57.7%) patients. The median CNS DOR was 9.36 months (range: 7.4, 15.3).</w:t>
      </w:r>
    </w:p>
    <w:p w14:paraId="32C10E05" w14:textId="678C0A0E" w:rsidR="001A3992" w:rsidRDefault="001A3992" w:rsidP="00D10D9A">
      <w:pPr>
        <w:pStyle w:val="Heading2"/>
        <w:rPr>
          <w:lang w:val="en-US"/>
        </w:rPr>
      </w:pPr>
      <w:bookmarkStart w:id="16" w:name="_Ref99028023"/>
      <w:r w:rsidRPr="00EC3C40">
        <w:rPr>
          <w:lang w:val="en-US"/>
        </w:rPr>
        <w:lastRenderedPageBreak/>
        <w:t>Pharmacokinetic properties</w:t>
      </w:r>
      <w:bookmarkEnd w:id="16"/>
      <w:r w:rsidR="00270901">
        <w:rPr>
          <w:lang w:val="en-US"/>
        </w:rPr>
        <w:fldChar w:fldCharType="begin"/>
      </w:r>
      <w:r w:rsidR="00270901">
        <w:rPr>
          <w:lang w:val="en-US"/>
        </w:rPr>
        <w:instrText xml:space="preserve"> DOCVARIABLE vault_nd_fff9f9ce-0578-4445-8c72-bb66485c3cdf \* MERGEFORMAT </w:instrText>
      </w:r>
      <w:r w:rsidR="00270901">
        <w:rPr>
          <w:lang w:val="en-US"/>
        </w:rPr>
        <w:fldChar w:fldCharType="separate"/>
      </w:r>
      <w:r w:rsidR="00270901">
        <w:rPr>
          <w:lang w:val="en-US"/>
        </w:rPr>
        <w:t xml:space="preserve"> </w:t>
      </w:r>
      <w:r w:rsidR="00270901">
        <w:rPr>
          <w:lang w:val="en-US"/>
        </w:rPr>
        <w:fldChar w:fldCharType="end"/>
      </w:r>
    </w:p>
    <w:p w14:paraId="5E73977D" w14:textId="75293782" w:rsidR="00E92146" w:rsidRPr="00E92146" w:rsidRDefault="00E92146" w:rsidP="00CD5157">
      <w:pPr>
        <w:jc w:val="both"/>
        <w:rPr>
          <w:lang w:val="en-US"/>
        </w:rPr>
      </w:pPr>
      <w:r w:rsidRPr="00E92146">
        <w:rPr>
          <w:lang w:val="en-US"/>
        </w:rPr>
        <w:t xml:space="preserve">The pharmacokinetics of </w:t>
      </w:r>
      <w:proofErr w:type="spellStart"/>
      <w:r w:rsidRPr="00E92146">
        <w:rPr>
          <w:lang w:val="en-US"/>
        </w:rPr>
        <w:t>selpercatinib</w:t>
      </w:r>
      <w:proofErr w:type="spellEnd"/>
      <w:r w:rsidRPr="00E92146">
        <w:rPr>
          <w:lang w:val="en-US"/>
        </w:rPr>
        <w:t xml:space="preserve"> were evaluated in patients with locally advanced or metastatic solid </w:t>
      </w:r>
      <w:proofErr w:type="spellStart"/>
      <w:r w:rsidRPr="00E92146">
        <w:rPr>
          <w:lang w:val="en-US"/>
        </w:rPr>
        <w:t>tumo</w:t>
      </w:r>
      <w:r>
        <w:rPr>
          <w:lang w:val="en-US"/>
        </w:rPr>
        <w:t>u</w:t>
      </w:r>
      <w:r w:rsidRPr="00E92146">
        <w:rPr>
          <w:lang w:val="en-US"/>
        </w:rPr>
        <w:t>rs</w:t>
      </w:r>
      <w:proofErr w:type="spellEnd"/>
      <w:r>
        <w:rPr>
          <w:lang w:val="en-US"/>
        </w:rPr>
        <w:t xml:space="preserve"> </w:t>
      </w:r>
      <w:r w:rsidRPr="00E92146">
        <w:rPr>
          <w:lang w:val="en-US"/>
        </w:rPr>
        <w:t xml:space="preserve">administered 160 mg twice daily unless otherwise specified. </w:t>
      </w:r>
      <w:proofErr w:type="gramStart"/>
      <w:r w:rsidRPr="00E92146">
        <w:rPr>
          <w:lang w:val="en-US"/>
        </w:rPr>
        <w:t>Steady-state</w:t>
      </w:r>
      <w:proofErr w:type="gramEnd"/>
      <w:r w:rsidRPr="00E92146">
        <w:rPr>
          <w:lang w:val="en-US"/>
        </w:rPr>
        <w:t xml:space="preserve"> </w:t>
      </w:r>
      <w:proofErr w:type="spellStart"/>
      <w:r w:rsidRPr="00E92146">
        <w:rPr>
          <w:lang w:val="en-US"/>
        </w:rPr>
        <w:t>selpercatinib</w:t>
      </w:r>
      <w:proofErr w:type="spellEnd"/>
      <w:r w:rsidRPr="00E92146">
        <w:rPr>
          <w:lang w:val="en-US"/>
        </w:rPr>
        <w:t xml:space="preserve"> AUC and </w:t>
      </w:r>
      <w:proofErr w:type="spellStart"/>
      <w:r w:rsidRPr="00E92146">
        <w:rPr>
          <w:lang w:val="en-US"/>
        </w:rPr>
        <w:t>C</w:t>
      </w:r>
      <w:r w:rsidRPr="00E92146">
        <w:rPr>
          <w:vertAlign w:val="subscript"/>
          <w:lang w:val="en-US"/>
        </w:rPr>
        <w:t>max</w:t>
      </w:r>
      <w:proofErr w:type="spellEnd"/>
      <w:r>
        <w:rPr>
          <w:lang w:val="en-US"/>
        </w:rPr>
        <w:t xml:space="preserve"> </w:t>
      </w:r>
      <w:r w:rsidRPr="00E92146">
        <w:rPr>
          <w:lang w:val="en-US"/>
        </w:rPr>
        <w:t>increased in a</w:t>
      </w:r>
      <w:r>
        <w:rPr>
          <w:lang w:val="en-US"/>
        </w:rPr>
        <w:t xml:space="preserve"> </w:t>
      </w:r>
      <w:r w:rsidRPr="00E92146">
        <w:rPr>
          <w:lang w:val="en-US"/>
        </w:rPr>
        <w:t>linear to supra-dose proportional manner over the dose range of 20 mg once daily to 240 mg twice daily.</w:t>
      </w:r>
    </w:p>
    <w:p w14:paraId="7D20A11D" w14:textId="0661EAD5" w:rsidR="00E92146" w:rsidRPr="00E92146" w:rsidRDefault="00E92146" w:rsidP="00CD5157">
      <w:pPr>
        <w:jc w:val="both"/>
        <w:rPr>
          <w:lang w:val="en-US"/>
        </w:rPr>
      </w:pPr>
      <w:r w:rsidRPr="00E92146">
        <w:rPr>
          <w:lang w:val="en-US"/>
        </w:rPr>
        <w:t>Steady-state was reached by approximately 7 days and the median accumulation ratio after administration of 160 mg</w:t>
      </w:r>
      <w:r>
        <w:rPr>
          <w:lang w:val="en-US"/>
        </w:rPr>
        <w:t xml:space="preserve"> </w:t>
      </w:r>
      <w:r w:rsidRPr="00E92146">
        <w:rPr>
          <w:lang w:val="en-US"/>
        </w:rPr>
        <w:t xml:space="preserve">twice daily was 3.4-fold. Mean steady-state </w:t>
      </w:r>
      <w:proofErr w:type="spellStart"/>
      <w:r w:rsidRPr="00E92146">
        <w:rPr>
          <w:lang w:val="en-US"/>
        </w:rPr>
        <w:t>selpercatinib</w:t>
      </w:r>
      <w:proofErr w:type="spellEnd"/>
      <w:r w:rsidRPr="00E92146">
        <w:rPr>
          <w:lang w:val="en-US"/>
        </w:rPr>
        <w:t xml:space="preserve"> [coefficient of variation (CV%)] </w:t>
      </w:r>
      <w:proofErr w:type="spellStart"/>
      <w:r w:rsidRPr="00E92146">
        <w:rPr>
          <w:lang w:val="en-US"/>
        </w:rPr>
        <w:t>C</w:t>
      </w:r>
      <w:r w:rsidRPr="00E92146">
        <w:rPr>
          <w:vertAlign w:val="subscript"/>
          <w:lang w:val="en-US"/>
        </w:rPr>
        <w:t>max</w:t>
      </w:r>
      <w:proofErr w:type="spellEnd"/>
      <w:r>
        <w:rPr>
          <w:lang w:val="en-US"/>
        </w:rPr>
        <w:t xml:space="preserve"> </w:t>
      </w:r>
      <w:r w:rsidRPr="00E92146">
        <w:rPr>
          <w:lang w:val="en-US"/>
        </w:rPr>
        <w:t>was 2,980 (53%) ng/mL</w:t>
      </w:r>
      <w:r>
        <w:rPr>
          <w:lang w:val="en-US"/>
        </w:rPr>
        <w:t xml:space="preserve"> </w:t>
      </w:r>
      <w:r w:rsidRPr="00E92146">
        <w:rPr>
          <w:lang w:val="en-US"/>
        </w:rPr>
        <w:t>and AUC</w:t>
      </w:r>
      <w:r w:rsidRPr="008C450F">
        <w:rPr>
          <w:vertAlign w:val="subscript"/>
          <w:lang w:val="en-US"/>
        </w:rPr>
        <w:t>0-24h</w:t>
      </w:r>
      <w:r w:rsidRPr="00E92146">
        <w:rPr>
          <w:lang w:val="en-US"/>
        </w:rPr>
        <w:t xml:space="preserve"> was 51,600 (58%) ng*h/</w:t>
      </w:r>
      <w:proofErr w:type="spellStart"/>
      <w:r w:rsidRPr="00E92146">
        <w:rPr>
          <w:lang w:val="en-US"/>
        </w:rPr>
        <w:t>mL.</w:t>
      </w:r>
      <w:proofErr w:type="spellEnd"/>
    </w:p>
    <w:p w14:paraId="5A68AAC6" w14:textId="09EDB0B6" w:rsidR="00C90D17" w:rsidRPr="00E92146" w:rsidRDefault="00E92146" w:rsidP="00CD5157">
      <w:pPr>
        <w:jc w:val="both"/>
        <w:rPr>
          <w:lang w:val="en-US"/>
        </w:rPr>
      </w:pPr>
      <w:r w:rsidRPr="00E92146">
        <w:rPr>
          <w:lang w:val="en-US"/>
        </w:rPr>
        <w:t>Selpercatinib may increase</w:t>
      </w:r>
      <w:r w:rsidR="00B35F51">
        <w:rPr>
          <w:lang w:val="en-US"/>
        </w:rPr>
        <w:t xml:space="preserve"> </w:t>
      </w:r>
      <w:r w:rsidRPr="00E92146">
        <w:rPr>
          <w:lang w:val="en-US"/>
        </w:rPr>
        <w:t>serum creatinine by decreasing renal tubular secretion of creatinine via inhibition of MATE1.</w:t>
      </w:r>
    </w:p>
    <w:p w14:paraId="3343A1A5" w14:textId="53E13C3E" w:rsidR="0021200F" w:rsidRDefault="0021200F" w:rsidP="00BB3100">
      <w:pPr>
        <w:pStyle w:val="Heading3"/>
      </w:pPr>
      <w:r w:rsidRPr="00497C85">
        <w:t>Absorption</w:t>
      </w:r>
      <w:fldSimple w:instr=" DOCVARIABLE vault_nd_c20a115c-37b9-4e5d-a99e-0891038fc6cc \* MERGEFORMAT ">
        <w:r w:rsidR="00270901">
          <w:t xml:space="preserve"> </w:t>
        </w:r>
      </w:fldSimple>
    </w:p>
    <w:p w14:paraId="4D4D09E4" w14:textId="336A2E04" w:rsidR="00412861" w:rsidRPr="00412861" w:rsidRDefault="00412861" w:rsidP="0028212B">
      <w:pPr>
        <w:jc w:val="both"/>
      </w:pPr>
      <w:r w:rsidRPr="00412861">
        <w:t xml:space="preserve">After an oral dose of 160 mg, </w:t>
      </w:r>
      <w:r>
        <w:t>RETEVMO</w:t>
      </w:r>
      <w:r w:rsidRPr="00412861">
        <w:t xml:space="preserve"> was rapidly absorbed, with </w:t>
      </w:r>
      <w:proofErr w:type="spellStart"/>
      <w:r w:rsidRPr="00412861">
        <w:t>T</w:t>
      </w:r>
      <w:r w:rsidRPr="00412861">
        <w:rPr>
          <w:vertAlign w:val="subscript"/>
        </w:rPr>
        <w:t>max</w:t>
      </w:r>
      <w:proofErr w:type="spellEnd"/>
      <w:r>
        <w:t xml:space="preserve"> </w:t>
      </w:r>
      <w:r w:rsidRPr="00412861">
        <w:t>of approximately 2</w:t>
      </w:r>
      <w:r>
        <w:t> </w:t>
      </w:r>
      <w:r w:rsidRPr="00412861">
        <w:t>hours. Geometric mean</w:t>
      </w:r>
      <w:r>
        <w:t xml:space="preserve"> </w:t>
      </w:r>
      <w:r w:rsidRPr="00412861">
        <w:t>absolute oral bioavailability was 73.2% (range: 60.2-81.5%).</w:t>
      </w:r>
    </w:p>
    <w:p w14:paraId="1F814ADE" w14:textId="19B1DCA3" w:rsidR="00412861" w:rsidRPr="00B643B6" w:rsidRDefault="00412861" w:rsidP="00B643B6">
      <w:pPr>
        <w:pStyle w:val="Heading3"/>
        <w:rPr>
          <w:i/>
          <w:iCs/>
        </w:rPr>
      </w:pPr>
      <w:r w:rsidRPr="00B643B6">
        <w:rPr>
          <w:i/>
          <w:iCs/>
        </w:rPr>
        <w:t>Effect of food</w:t>
      </w:r>
      <w:r w:rsidR="00270901">
        <w:rPr>
          <w:i/>
          <w:iCs/>
        </w:rPr>
        <w:fldChar w:fldCharType="begin"/>
      </w:r>
      <w:r w:rsidR="00270901">
        <w:rPr>
          <w:i/>
          <w:iCs/>
        </w:rPr>
        <w:instrText xml:space="preserve"> DOCVARIABLE vault_nd_cc500b33-20e3-46f1-b6d2-d60bc8a1261f \* MERGEFORMAT </w:instrText>
      </w:r>
      <w:r w:rsidR="00270901">
        <w:rPr>
          <w:i/>
          <w:iCs/>
        </w:rPr>
        <w:fldChar w:fldCharType="separate"/>
      </w:r>
      <w:r w:rsidR="00270901">
        <w:rPr>
          <w:i/>
          <w:iCs/>
        </w:rPr>
        <w:t xml:space="preserve"> </w:t>
      </w:r>
      <w:r w:rsidR="00270901">
        <w:rPr>
          <w:i/>
          <w:iCs/>
        </w:rPr>
        <w:fldChar w:fldCharType="end"/>
      </w:r>
    </w:p>
    <w:p w14:paraId="7EFA990E" w14:textId="039765F4" w:rsidR="00412861" w:rsidRPr="00412861" w:rsidRDefault="00412861" w:rsidP="0028212B">
      <w:pPr>
        <w:jc w:val="both"/>
      </w:pPr>
      <w:r w:rsidRPr="00412861">
        <w:t xml:space="preserve">Compared to </w:t>
      </w:r>
      <w:proofErr w:type="spellStart"/>
      <w:r w:rsidRPr="00412861">
        <w:t>selpercatinib</w:t>
      </w:r>
      <w:proofErr w:type="spellEnd"/>
      <w:r w:rsidRPr="00412861">
        <w:t xml:space="preserve"> AUC and </w:t>
      </w:r>
      <w:proofErr w:type="spellStart"/>
      <w:r w:rsidRPr="00412861">
        <w:t>C</w:t>
      </w:r>
      <w:r w:rsidRPr="00412861">
        <w:rPr>
          <w:vertAlign w:val="subscript"/>
        </w:rPr>
        <w:t>max</w:t>
      </w:r>
      <w:proofErr w:type="spellEnd"/>
      <w:r>
        <w:t xml:space="preserve"> </w:t>
      </w:r>
      <w:r w:rsidRPr="00412861">
        <w:t xml:space="preserve">in the fasted state, </w:t>
      </w:r>
      <w:proofErr w:type="spellStart"/>
      <w:r w:rsidRPr="00412861">
        <w:t>selpercatinib</w:t>
      </w:r>
      <w:proofErr w:type="spellEnd"/>
      <w:r w:rsidRPr="00412861">
        <w:t xml:space="preserve"> AUC was increased by 9% and </w:t>
      </w:r>
      <w:proofErr w:type="spellStart"/>
      <w:r w:rsidRPr="00412861">
        <w:t>C</w:t>
      </w:r>
      <w:r w:rsidRPr="00412861">
        <w:rPr>
          <w:vertAlign w:val="subscript"/>
        </w:rPr>
        <w:t>max</w:t>
      </w:r>
      <w:proofErr w:type="spellEnd"/>
      <w:r>
        <w:t xml:space="preserve"> </w:t>
      </w:r>
      <w:r w:rsidRPr="00412861">
        <w:t>was</w:t>
      </w:r>
      <w:r>
        <w:t xml:space="preserve"> </w:t>
      </w:r>
      <w:r w:rsidRPr="00412861">
        <w:t>reduced by 14% after oral administration of a single 160 mg dose to healthy subjects taken with a high-fat meal. These</w:t>
      </w:r>
      <w:r>
        <w:t xml:space="preserve"> </w:t>
      </w:r>
      <w:r w:rsidRPr="00412861">
        <w:t xml:space="preserve">changes were not considered to be clinically relevant. Therefore, </w:t>
      </w:r>
      <w:proofErr w:type="spellStart"/>
      <w:r w:rsidRPr="00412861">
        <w:t>selpercatinib</w:t>
      </w:r>
      <w:proofErr w:type="spellEnd"/>
      <w:r w:rsidRPr="00412861">
        <w:t xml:space="preserve"> can be taken with or without food.</w:t>
      </w:r>
    </w:p>
    <w:p w14:paraId="0B19449F" w14:textId="1D3B188F" w:rsidR="00412861" w:rsidRDefault="0021200F" w:rsidP="00BB3100">
      <w:pPr>
        <w:pStyle w:val="Heading3"/>
      </w:pPr>
      <w:r w:rsidRPr="00497C85">
        <w:t>Distribution</w:t>
      </w:r>
      <w:fldSimple w:instr=" DOCVARIABLE vault_nd_e8f8f783-e3cc-4b91-90a7-502ca0a9a98a \* MERGEFORMAT ">
        <w:r w:rsidR="00270901">
          <w:t xml:space="preserve"> </w:t>
        </w:r>
      </w:fldSimple>
    </w:p>
    <w:p w14:paraId="7EAB969A" w14:textId="7B2EED48" w:rsidR="00412861" w:rsidRDefault="002F5677" w:rsidP="00554487">
      <w:pPr>
        <w:jc w:val="both"/>
      </w:pPr>
      <w:r w:rsidRPr="002F5677">
        <w:t>Selpercatinib mean (CV%) volume of distribution (</w:t>
      </w:r>
      <w:proofErr w:type="spellStart"/>
      <w:r w:rsidRPr="002F5677">
        <w:t>V</w:t>
      </w:r>
      <w:r w:rsidRPr="002F5677">
        <w:rPr>
          <w:vertAlign w:val="subscript"/>
        </w:rPr>
        <w:t>ss</w:t>
      </w:r>
      <w:proofErr w:type="spellEnd"/>
      <w:r w:rsidRPr="002F5677">
        <w:t>/F), estimated by Population PK analysis, is 191 L (69%) following</w:t>
      </w:r>
      <w:r>
        <w:t xml:space="preserve"> </w:t>
      </w:r>
      <w:r w:rsidRPr="002F5677">
        <w:t xml:space="preserve">oral administration of </w:t>
      </w:r>
      <w:proofErr w:type="spellStart"/>
      <w:r w:rsidRPr="002F5677">
        <w:t>selpercatinib</w:t>
      </w:r>
      <w:proofErr w:type="spellEnd"/>
      <w:r w:rsidRPr="002F5677">
        <w:t xml:space="preserve"> in adult patients. Selpercatinib is 96% bound to human plasma proteins</w:t>
      </w:r>
      <w:r>
        <w:t xml:space="preserve"> </w:t>
      </w:r>
      <w:r w:rsidRPr="00331E77">
        <w:rPr>
          <w:i/>
        </w:rPr>
        <w:t>in vitro</w:t>
      </w:r>
      <w:r>
        <w:t xml:space="preserve"> </w:t>
      </w:r>
      <w:r w:rsidRPr="002F5677">
        <w:t>and</w:t>
      </w:r>
      <w:r>
        <w:t xml:space="preserve"> </w:t>
      </w:r>
      <w:r w:rsidRPr="002F5677">
        <w:t>binding is independent of concentration. The blood-to-plasma concentration ratio is 0.7.</w:t>
      </w:r>
    </w:p>
    <w:p w14:paraId="5791263A" w14:textId="680179DC" w:rsidR="0021200F" w:rsidRDefault="0021200F" w:rsidP="00BB3100">
      <w:pPr>
        <w:pStyle w:val="Heading3"/>
      </w:pPr>
      <w:r w:rsidRPr="00497C85">
        <w:t>Metabolism</w:t>
      </w:r>
      <w:fldSimple w:instr=" DOCVARIABLE vault_nd_c3033bee-aaea-4c8a-a296-7c26dd177ef7 \* MERGEFORMAT ">
        <w:r w:rsidR="00270901">
          <w:t xml:space="preserve"> </w:t>
        </w:r>
      </w:fldSimple>
    </w:p>
    <w:p w14:paraId="2CBEEABE" w14:textId="6E3B2E8E" w:rsidR="00525712" w:rsidRPr="00525712" w:rsidRDefault="00525712" w:rsidP="00331E77">
      <w:pPr>
        <w:jc w:val="both"/>
      </w:pPr>
      <w:r w:rsidRPr="002F5677">
        <w:t xml:space="preserve">Selpercatinib is </w:t>
      </w:r>
      <w:proofErr w:type="spellStart"/>
      <w:r w:rsidRPr="002F5677">
        <w:t>metaboli</w:t>
      </w:r>
      <w:r w:rsidR="00331E77">
        <w:t>s</w:t>
      </w:r>
      <w:r w:rsidRPr="002F5677">
        <w:t>ed</w:t>
      </w:r>
      <w:proofErr w:type="spellEnd"/>
      <w:r w:rsidRPr="002F5677">
        <w:t xml:space="preserve"> predominantly by CYP3A4. Following oral administration of a single [</w:t>
      </w:r>
      <w:r w:rsidRPr="00525712">
        <w:rPr>
          <w:vertAlign w:val="superscript"/>
        </w:rPr>
        <w:t>14</w:t>
      </w:r>
      <w:r w:rsidRPr="002F5677">
        <w:t xml:space="preserve">C] </w:t>
      </w:r>
      <w:proofErr w:type="spellStart"/>
      <w:r w:rsidRPr="002F5677">
        <w:t>radiolabel</w:t>
      </w:r>
      <w:r>
        <w:t>l</w:t>
      </w:r>
      <w:r w:rsidRPr="002F5677">
        <w:t>ed</w:t>
      </w:r>
      <w:proofErr w:type="spellEnd"/>
      <w:r w:rsidRPr="002F5677">
        <w:t xml:space="preserve"> 160mg dose of </w:t>
      </w:r>
      <w:proofErr w:type="spellStart"/>
      <w:r w:rsidRPr="002F5677">
        <w:t>selpercatinib</w:t>
      </w:r>
      <w:proofErr w:type="spellEnd"/>
      <w:r w:rsidRPr="002F5677">
        <w:t xml:space="preserve"> to healthy subjects, unchanged </w:t>
      </w:r>
      <w:proofErr w:type="spellStart"/>
      <w:r w:rsidRPr="002F5677">
        <w:t>selpercatinib</w:t>
      </w:r>
      <w:proofErr w:type="spellEnd"/>
      <w:r w:rsidRPr="002F5677">
        <w:t xml:space="preserve"> constituted 86% of the measured radioactive</w:t>
      </w:r>
      <w:r>
        <w:t xml:space="preserve"> </w:t>
      </w:r>
      <w:r w:rsidRPr="002F5677">
        <w:t>components in plasma.</w:t>
      </w:r>
    </w:p>
    <w:p w14:paraId="767453F6" w14:textId="29A71103" w:rsidR="0021200F" w:rsidRDefault="0021200F" w:rsidP="00BB3100">
      <w:pPr>
        <w:pStyle w:val="Heading3"/>
      </w:pPr>
      <w:r w:rsidRPr="00497C85">
        <w:t>Excretion</w:t>
      </w:r>
      <w:fldSimple w:instr=" DOCVARIABLE vault_nd_4501b0ed-c761-4caf-8c1b-9bbc4c6d965a \* MERGEFORMAT ">
        <w:r w:rsidR="00270901">
          <w:t xml:space="preserve"> </w:t>
        </w:r>
      </w:fldSimple>
    </w:p>
    <w:p w14:paraId="16FC3155" w14:textId="641C4204" w:rsidR="00525712" w:rsidRDefault="00525712" w:rsidP="009F48C5">
      <w:pPr>
        <w:jc w:val="both"/>
      </w:pPr>
      <w:r w:rsidRPr="00525712">
        <w:t xml:space="preserve">The mean (CV%) clearance (CL/F) of </w:t>
      </w:r>
      <w:proofErr w:type="spellStart"/>
      <w:r w:rsidRPr="00525712">
        <w:t>selpercatinib</w:t>
      </w:r>
      <w:proofErr w:type="spellEnd"/>
      <w:r w:rsidRPr="00525712">
        <w:t xml:space="preserve"> is 6.0 </w:t>
      </w:r>
      <w:r w:rsidR="00EE0EA5" w:rsidRPr="00525712">
        <w:t xml:space="preserve">L/h </w:t>
      </w:r>
      <w:r w:rsidRPr="00525712">
        <w:t>(49%) and the half-life is 22 hours following oral</w:t>
      </w:r>
      <w:r w:rsidR="00EE0EA5">
        <w:t xml:space="preserve"> </w:t>
      </w:r>
      <w:r w:rsidRPr="00525712">
        <w:t xml:space="preserve">administration of </w:t>
      </w:r>
      <w:proofErr w:type="spellStart"/>
      <w:r w:rsidRPr="00525712">
        <w:t>selpercatinib</w:t>
      </w:r>
      <w:proofErr w:type="spellEnd"/>
      <w:r w:rsidRPr="00525712">
        <w:t xml:space="preserve"> in adult patients. Following oral administration of a single [</w:t>
      </w:r>
      <w:r w:rsidRPr="00EE0EA5">
        <w:rPr>
          <w:vertAlign w:val="superscript"/>
        </w:rPr>
        <w:t>14</w:t>
      </w:r>
      <w:r w:rsidRPr="00525712">
        <w:t xml:space="preserve">C] </w:t>
      </w:r>
      <w:proofErr w:type="spellStart"/>
      <w:r w:rsidRPr="00525712">
        <w:t>radiolabe</w:t>
      </w:r>
      <w:r w:rsidR="00EE0EA5">
        <w:t>l</w:t>
      </w:r>
      <w:r w:rsidRPr="00525712">
        <w:t>led</w:t>
      </w:r>
      <w:proofErr w:type="spellEnd"/>
      <w:r w:rsidRPr="00525712">
        <w:t xml:space="preserve"> 160 mg dose</w:t>
      </w:r>
      <w:r w:rsidR="00EE0EA5">
        <w:t xml:space="preserve"> </w:t>
      </w:r>
      <w:r w:rsidRPr="00525712">
        <w:t xml:space="preserve">of </w:t>
      </w:r>
      <w:proofErr w:type="spellStart"/>
      <w:r w:rsidRPr="00525712">
        <w:t>selpercatinib</w:t>
      </w:r>
      <w:proofErr w:type="spellEnd"/>
      <w:r w:rsidRPr="00525712">
        <w:t xml:space="preserve"> to healthy subjects, 69% (14% unchanged) of the administered radioactivity was recovered in </w:t>
      </w:r>
      <w:proofErr w:type="spellStart"/>
      <w:r w:rsidRPr="00525712">
        <w:t>faeces</w:t>
      </w:r>
      <w:proofErr w:type="spellEnd"/>
      <w:r w:rsidRPr="00525712">
        <w:t xml:space="preserve"> and</w:t>
      </w:r>
      <w:r w:rsidR="00EE0EA5">
        <w:t xml:space="preserve"> </w:t>
      </w:r>
      <w:r w:rsidRPr="00525712">
        <w:t>24% (11.5% unchanged) was recovered in urine.</w:t>
      </w:r>
    </w:p>
    <w:p w14:paraId="5BE2E4B7" w14:textId="708B24FF" w:rsidR="00EE0EA5" w:rsidRPr="00F30094" w:rsidRDefault="00EE0EA5" w:rsidP="009F48C5">
      <w:pPr>
        <w:pStyle w:val="Heading3"/>
      </w:pPr>
      <w:r w:rsidRPr="00F30094">
        <w:lastRenderedPageBreak/>
        <w:t>Special populations</w:t>
      </w:r>
      <w:fldSimple w:instr=" DOCVARIABLE vault_nd_f3ec6770-6e80-419f-be79-498c30c2a56e \* MERGEFORMAT ">
        <w:r w:rsidR="00270901">
          <w:t xml:space="preserve"> </w:t>
        </w:r>
      </w:fldSimple>
    </w:p>
    <w:p w14:paraId="2A6D18E6" w14:textId="2CCA473A" w:rsidR="00EE0EA5" w:rsidRPr="00B643B6" w:rsidRDefault="00EE0EA5" w:rsidP="00B643B6">
      <w:pPr>
        <w:pStyle w:val="Heading3"/>
        <w:rPr>
          <w:i/>
          <w:iCs/>
        </w:rPr>
      </w:pPr>
      <w:r w:rsidRPr="00B643B6">
        <w:rPr>
          <w:i/>
          <w:iCs/>
        </w:rPr>
        <w:t xml:space="preserve">Age, </w:t>
      </w:r>
      <w:proofErr w:type="gramStart"/>
      <w:r w:rsidRPr="00B643B6">
        <w:rPr>
          <w:i/>
          <w:iCs/>
        </w:rPr>
        <w:t>gender</w:t>
      </w:r>
      <w:proofErr w:type="gramEnd"/>
      <w:r w:rsidRPr="00B643B6">
        <w:rPr>
          <w:i/>
          <w:iCs/>
        </w:rPr>
        <w:t xml:space="preserve"> and body weight</w:t>
      </w:r>
      <w:r w:rsidR="00270901">
        <w:rPr>
          <w:i/>
          <w:iCs/>
        </w:rPr>
        <w:fldChar w:fldCharType="begin"/>
      </w:r>
      <w:r w:rsidR="00270901">
        <w:rPr>
          <w:i/>
          <w:iCs/>
        </w:rPr>
        <w:instrText xml:space="preserve"> DOCVARIABLE vault_nd_1ab6e24b-7b4b-4d00-8e73-6da55c99e0c7 \* MERGEFORMAT </w:instrText>
      </w:r>
      <w:r w:rsidR="00270901">
        <w:rPr>
          <w:i/>
          <w:iCs/>
        </w:rPr>
        <w:fldChar w:fldCharType="separate"/>
      </w:r>
      <w:r w:rsidR="00270901">
        <w:rPr>
          <w:i/>
          <w:iCs/>
        </w:rPr>
        <w:t xml:space="preserve"> </w:t>
      </w:r>
      <w:r w:rsidR="00270901">
        <w:rPr>
          <w:i/>
          <w:iCs/>
        </w:rPr>
        <w:fldChar w:fldCharType="end"/>
      </w:r>
    </w:p>
    <w:p w14:paraId="3660EFEB" w14:textId="04A68C86" w:rsidR="00EE0EA5" w:rsidRPr="00EE0EA5" w:rsidRDefault="00EE0EA5" w:rsidP="001674A0">
      <w:pPr>
        <w:jc w:val="both"/>
      </w:pPr>
      <w:r w:rsidRPr="00EE0EA5">
        <w:t xml:space="preserve">Age (range: 15 years to 90 years) or gender had no clinically meaningful effect on the pharmacokinetics of </w:t>
      </w:r>
      <w:r>
        <w:t>RETEVMO</w:t>
      </w:r>
      <w:r w:rsidRPr="00EE0EA5">
        <w:t>.</w:t>
      </w:r>
      <w:r>
        <w:t xml:space="preserve"> </w:t>
      </w:r>
      <w:r w:rsidRPr="00EE0EA5">
        <w:t xml:space="preserve">Patients with a body weight ≤50 kg should start </w:t>
      </w:r>
      <w:r>
        <w:t>RETEVMO</w:t>
      </w:r>
      <w:r w:rsidRPr="00EE0EA5">
        <w:t xml:space="preserve"> treatment with a dose of 120 mg twice daily, while patients&gt;50 kg should start </w:t>
      </w:r>
      <w:r w:rsidR="005246BB">
        <w:t>RETEVMO</w:t>
      </w:r>
      <w:r w:rsidR="005246BB" w:rsidRPr="00EE0EA5">
        <w:t xml:space="preserve"> </w:t>
      </w:r>
      <w:r w:rsidRPr="00EE0EA5">
        <w:t>treatment with a dose of 160 mg twice daily.</w:t>
      </w:r>
    </w:p>
    <w:p w14:paraId="3FE0E556" w14:textId="3CF5DF7B" w:rsidR="00EE0EA5" w:rsidRPr="00B643B6" w:rsidRDefault="00EE0EA5" w:rsidP="00B643B6">
      <w:pPr>
        <w:pStyle w:val="Heading3"/>
        <w:rPr>
          <w:i/>
          <w:iCs/>
        </w:rPr>
      </w:pPr>
      <w:r w:rsidRPr="00B643B6">
        <w:rPr>
          <w:i/>
          <w:iCs/>
        </w:rPr>
        <w:t>Hepatic impairment</w:t>
      </w:r>
      <w:r w:rsidR="00270901">
        <w:rPr>
          <w:i/>
          <w:iCs/>
        </w:rPr>
        <w:fldChar w:fldCharType="begin"/>
      </w:r>
      <w:r w:rsidR="00270901">
        <w:rPr>
          <w:i/>
          <w:iCs/>
        </w:rPr>
        <w:instrText xml:space="preserve"> DOCVARIABLE vault_nd_29fe3b23-6d53-40f0-9cb0-75597a133464 \* MERGEFORMAT </w:instrText>
      </w:r>
      <w:r w:rsidR="00270901">
        <w:rPr>
          <w:i/>
          <w:iCs/>
        </w:rPr>
        <w:fldChar w:fldCharType="separate"/>
      </w:r>
      <w:r w:rsidR="00270901">
        <w:rPr>
          <w:i/>
          <w:iCs/>
        </w:rPr>
        <w:t xml:space="preserve"> </w:t>
      </w:r>
      <w:r w:rsidR="00270901">
        <w:rPr>
          <w:i/>
          <w:iCs/>
        </w:rPr>
        <w:fldChar w:fldCharType="end"/>
      </w:r>
    </w:p>
    <w:p w14:paraId="18F7A442" w14:textId="77777777" w:rsidR="00F255BD" w:rsidRDefault="000A7938" w:rsidP="00EE0EA5">
      <w:r>
        <w:t xml:space="preserve">Selpercatinib is </w:t>
      </w:r>
      <w:proofErr w:type="spellStart"/>
      <w:r>
        <w:t>metab</w:t>
      </w:r>
      <w:r w:rsidR="00F255BD">
        <w:t>o</w:t>
      </w:r>
      <w:r>
        <w:t>lised</w:t>
      </w:r>
      <w:proofErr w:type="spellEnd"/>
      <w:r>
        <w:t xml:space="preserve"> in the liver. </w:t>
      </w:r>
    </w:p>
    <w:p w14:paraId="19D693B3" w14:textId="5CD95751" w:rsidR="00EE0EA5" w:rsidRPr="00EE0EA5" w:rsidRDefault="00EE0EA5" w:rsidP="003A68EB">
      <w:pPr>
        <w:jc w:val="both"/>
      </w:pPr>
      <w:r w:rsidRPr="00EE0EA5">
        <w:t>Selpercatinib AUC</w:t>
      </w:r>
      <w:r w:rsidRPr="005246BB">
        <w:rPr>
          <w:vertAlign w:val="subscript"/>
        </w:rPr>
        <w:t>0-∞</w:t>
      </w:r>
      <w:r w:rsidR="005246BB">
        <w:t xml:space="preserve"> </w:t>
      </w:r>
      <w:r w:rsidRPr="00EE0EA5">
        <w:t>increased by 7% in subjects with mild, 32% in subjects with moderate Child-Pugh classification.</w:t>
      </w:r>
      <w:r w:rsidR="005246BB">
        <w:t xml:space="preserve"> </w:t>
      </w:r>
      <w:r w:rsidRPr="00EE0EA5">
        <w:t xml:space="preserve">Thus, </w:t>
      </w:r>
      <w:proofErr w:type="spellStart"/>
      <w:r w:rsidRPr="00EE0EA5">
        <w:t>selpercatinib</w:t>
      </w:r>
      <w:proofErr w:type="spellEnd"/>
      <w:r w:rsidRPr="00EE0EA5">
        <w:t xml:space="preserve"> exposure (AUC) in subjects with mild and moderate hepatic impairment (Child-Pugh class A and B)</w:t>
      </w:r>
      <w:r w:rsidR="00990DD9">
        <w:t xml:space="preserve"> </w:t>
      </w:r>
      <w:r w:rsidRPr="00EE0EA5">
        <w:t>is comparable to exposure in healthy subjects when a dose of 160 mg is administered.</w:t>
      </w:r>
    </w:p>
    <w:p w14:paraId="707A73D5" w14:textId="687DFD93" w:rsidR="00EE0EA5" w:rsidRPr="00EE0EA5" w:rsidRDefault="00EE0EA5" w:rsidP="003A68EB">
      <w:pPr>
        <w:jc w:val="both"/>
      </w:pPr>
      <w:r w:rsidRPr="00EE0EA5">
        <w:t>Selpercatinib AUC</w:t>
      </w:r>
      <w:r w:rsidRPr="005246BB">
        <w:rPr>
          <w:vertAlign w:val="subscript"/>
        </w:rPr>
        <w:t>0-∞</w:t>
      </w:r>
      <w:r w:rsidR="005246BB">
        <w:t xml:space="preserve"> </w:t>
      </w:r>
      <w:r w:rsidRPr="00EE0EA5">
        <w:t>increased by 77% in subjects with severe hepatic impairment (Child-Pugh class C). There is</w:t>
      </w:r>
      <w:r w:rsidR="005246BB">
        <w:t xml:space="preserve"> </w:t>
      </w:r>
      <w:r w:rsidRPr="00EE0EA5">
        <w:t xml:space="preserve">limited clinical data on the safety of </w:t>
      </w:r>
      <w:proofErr w:type="spellStart"/>
      <w:r w:rsidRPr="00EE0EA5">
        <w:t>selpercatinib</w:t>
      </w:r>
      <w:proofErr w:type="spellEnd"/>
      <w:r w:rsidRPr="00EE0EA5">
        <w:t xml:space="preserve"> in patients with severe hepatic impairment. Therefore, dose</w:t>
      </w:r>
      <w:r w:rsidR="005246BB">
        <w:t xml:space="preserve"> </w:t>
      </w:r>
      <w:r w:rsidRPr="00EE0EA5">
        <w:t xml:space="preserve">modification is recommended for patients with severe hepatic impairment (section </w:t>
      </w:r>
      <w:r w:rsidR="003A68EB">
        <w:fldChar w:fldCharType="begin"/>
      </w:r>
      <w:r w:rsidR="003A68EB">
        <w:instrText xml:space="preserve"> REF _Ref99351469 \n \h </w:instrText>
      </w:r>
      <w:r w:rsidR="003A68EB">
        <w:fldChar w:fldCharType="separate"/>
      </w:r>
      <w:r w:rsidR="003A68EB">
        <w:t>4.2</w:t>
      </w:r>
      <w:r w:rsidR="003A68EB">
        <w:fldChar w:fldCharType="end"/>
      </w:r>
      <w:r w:rsidR="003A68EB">
        <w:t xml:space="preserve"> </w:t>
      </w:r>
      <w:r w:rsidR="003A68EB">
        <w:fldChar w:fldCharType="begin"/>
      </w:r>
      <w:r w:rsidR="003A68EB">
        <w:instrText xml:space="preserve"> REF _Ref99351469 \h </w:instrText>
      </w:r>
      <w:r w:rsidR="003A68EB">
        <w:fldChar w:fldCharType="separate"/>
      </w:r>
      <w:r w:rsidR="003A68EB">
        <w:t>Dose and method of administration</w:t>
      </w:r>
      <w:r w:rsidR="003A68EB">
        <w:fldChar w:fldCharType="end"/>
      </w:r>
      <w:r w:rsidRPr="00EE0EA5">
        <w:t>).</w:t>
      </w:r>
    </w:p>
    <w:p w14:paraId="24BAB1AF" w14:textId="3A3DE6D8" w:rsidR="00EE0EA5" w:rsidRPr="00B643B6" w:rsidRDefault="00EE0EA5" w:rsidP="00B643B6">
      <w:pPr>
        <w:pStyle w:val="Heading3"/>
        <w:rPr>
          <w:i/>
          <w:iCs/>
        </w:rPr>
      </w:pPr>
      <w:r w:rsidRPr="00B643B6">
        <w:rPr>
          <w:i/>
          <w:iCs/>
        </w:rPr>
        <w:t>Renal impairment</w:t>
      </w:r>
      <w:r w:rsidR="00270901">
        <w:rPr>
          <w:i/>
          <w:iCs/>
        </w:rPr>
        <w:fldChar w:fldCharType="begin"/>
      </w:r>
      <w:r w:rsidR="00270901">
        <w:rPr>
          <w:i/>
          <w:iCs/>
        </w:rPr>
        <w:instrText xml:space="preserve"> DOCVARIABLE vault_nd_d7e0e002-8254-4fee-a071-168d3cdf86ea \* MERGEFORMAT </w:instrText>
      </w:r>
      <w:r w:rsidR="00270901">
        <w:rPr>
          <w:i/>
          <w:iCs/>
        </w:rPr>
        <w:fldChar w:fldCharType="separate"/>
      </w:r>
      <w:r w:rsidR="00270901">
        <w:rPr>
          <w:i/>
          <w:iCs/>
        </w:rPr>
        <w:t xml:space="preserve"> </w:t>
      </w:r>
      <w:r w:rsidR="00270901">
        <w:rPr>
          <w:i/>
          <w:iCs/>
        </w:rPr>
        <w:fldChar w:fldCharType="end"/>
      </w:r>
    </w:p>
    <w:p w14:paraId="36832209" w14:textId="19C890EB" w:rsidR="004E0C1D" w:rsidRDefault="00EE0EA5" w:rsidP="00EE0EA5">
      <w:r w:rsidRPr="00EE0EA5">
        <w:t xml:space="preserve">In a clinical pharmacology study using single dose </w:t>
      </w:r>
      <w:proofErr w:type="spellStart"/>
      <w:r w:rsidRPr="00EE0EA5">
        <w:t>selpercatinib</w:t>
      </w:r>
      <w:proofErr w:type="spellEnd"/>
      <w:r w:rsidRPr="00EE0EA5">
        <w:t xml:space="preserve"> 160 mg, exposure (AUC) was unchanged in subjects</w:t>
      </w:r>
      <w:r w:rsidR="005246BB">
        <w:t xml:space="preserve"> </w:t>
      </w:r>
      <w:r w:rsidRPr="00EE0EA5">
        <w:t>with mild, moderate, or severe renal impairment. End stage renal disease (eGFR &lt;15 m</w:t>
      </w:r>
      <w:r w:rsidR="005246BB">
        <w:t>L</w:t>
      </w:r>
      <w:r w:rsidRPr="00EE0EA5">
        <w:t>/min) and dialysis patients have</w:t>
      </w:r>
      <w:r w:rsidR="005246BB">
        <w:t xml:space="preserve"> </w:t>
      </w:r>
      <w:r w:rsidRPr="00EE0EA5">
        <w:t>not been studied.</w:t>
      </w:r>
    </w:p>
    <w:p w14:paraId="67C5FCDA" w14:textId="6BC68AF1" w:rsidR="001A3992" w:rsidRDefault="001A3992" w:rsidP="00D10D9A">
      <w:pPr>
        <w:pStyle w:val="Heading2"/>
        <w:rPr>
          <w:lang w:val="en-US"/>
        </w:rPr>
      </w:pPr>
      <w:bookmarkStart w:id="17" w:name="_Ref99356454"/>
      <w:r w:rsidRPr="00EC3C40">
        <w:rPr>
          <w:lang w:val="en-US"/>
        </w:rPr>
        <w:t>Preclinical safety data</w:t>
      </w:r>
      <w:bookmarkEnd w:id="17"/>
      <w:r w:rsidR="00270901">
        <w:rPr>
          <w:lang w:val="en-US"/>
        </w:rPr>
        <w:fldChar w:fldCharType="begin"/>
      </w:r>
      <w:r w:rsidR="00270901">
        <w:rPr>
          <w:lang w:val="en-US"/>
        </w:rPr>
        <w:instrText xml:space="preserve"> DOCVARIABLE vault_nd_26c8c5f0-6c06-454c-a36f-aa9f0139a283 \* MERGEFORMAT </w:instrText>
      </w:r>
      <w:r w:rsidR="00270901">
        <w:rPr>
          <w:lang w:val="en-US"/>
        </w:rPr>
        <w:fldChar w:fldCharType="separate"/>
      </w:r>
      <w:r w:rsidR="00270901">
        <w:rPr>
          <w:lang w:val="en-US"/>
        </w:rPr>
        <w:t xml:space="preserve"> </w:t>
      </w:r>
      <w:r w:rsidR="00270901">
        <w:rPr>
          <w:lang w:val="en-US"/>
        </w:rPr>
        <w:fldChar w:fldCharType="end"/>
      </w:r>
    </w:p>
    <w:p w14:paraId="31821408" w14:textId="3E1A47E1" w:rsidR="001A3992" w:rsidRDefault="001A3992" w:rsidP="00BB3100">
      <w:pPr>
        <w:pStyle w:val="Heading3"/>
      </w:pPr>
      <w:r w:rsidRPr="00B878CC">
        <w:t>Genotoxicity</w:t>
      </w:r>
      <w:fldSimple w:instr=" DOCVARIABLE vault_nd_1fb5ac3d-5c85-4491-88c6-b7cfc84cc87b \* MERGEFORMAT ">
        <w:r w:rsidR="00270901">
          <w:t xml:space="preserve"> </w:t>
        </w:r>
      </w:fldSimple>
    </w:p>
    <w:p w14:paraId="765CC6A1" w14:textId="5BD368B5" w:rsidR="00FF38FC" w:rsidRPr="00CF6E36" w:rsidRDefault="00970482" w:rsidP="00FA1F96">
      <w:pPr>
        <w:jc w:val="both"/>
      </w:pPr>
      <w:r w:rsidRPr="00970482">
        <w:t xml:space="preserve">Selpercatinib did not cause mutations in a bacterial mutagenicity assay and was negative in an </w:t>
      </w:r>
      <w:r w:rsidRPr="00FA1F96">
        <w:rPr>
          <w:i/>
          <w:iCs/>
        </w:rPr>
        <w:t>in vitro</w:t>
      </w:r>
      <w:r w:rsidRPr="00970482">
        <w:t xml:space="preserve"> micronucleus assay in human peripheral blood lymphocytes.</w:t>
      </w:r>
      <w:r>
        <w:t xml:space="preserve"> </w:t>
      </w:r>
      <w:r w:rsidR="00CF6E36" w:rsidRPr="00CF6E36">
        <w:t>Selpercatinib is not genotoxic at therapeutic doses. In an</w:t>
      </w:r>
      <w:r w:rsidR="00CF6E36" w:rsidRPr="00F75475">
        <w:rPr>
          <w:i/>
        </w:rPr>
        <w:t xml:space="preserve"> in vivo</w:t>
      </w:r>
      <w:r w:rsidR="00CF6E36">
        <w:t xml:space="preserve"> </w:t>
      </w:r>
      <w:r w:rsidR="00CF6E36" w:rsidRPr="00CF6E36">
        <w:t xml:space="preserve">micronucleus assay in rats, </w:t>
      </w:r>
      <w:proofErr w:type="spellStart"/>
      <w:r w:rsidR="00CF6E36" w:rsidRPr="00CF6E36">
        <w:t>selpercatinib</w:t>
      </w:r>
      <w:proofErr w:type="spellEnd"/>
      <w:r w:rsidR="00CF6E36" w:rsidRPr="00CF6E36">
        <w:t xml:space="preserve"> was positive at</w:t>
      </w:r>
      <w:r w:rsidR="00CF6E36">
        <w:t xml:space="preserve"> </w:t>
      </w:r>
      <w:r w:rsidR="00CF6E36" w:rsidRPr="00CF6E36">
        <w:t xml:space="preserve">concentrations &gt;7 times the </w:t>
      </w:r>
      <w:proofErr w:type="spellStart"/>
      <w:r w:rsidR="00CF6E36" w:rsidRPr="00CF6E36">
        <w:t>C</w:t>
      </w:r>
      <w:r w:rsidR="00CF6E36" w:rsidRPr="00FF38FC">
        <w:rPr>
          <w:vertAlign w:val="subscript"/>
        </w:rPr>
        <w:t>max</w:t>
      </w:r>
      <w:proofErr w:type="spellEnd"/>
      <w:r w:rsidR="00CF6E36">
        <w:t xml:space="preserve"> </w:t>
      </w:r>
      <w:r w:rsidR="00CF6E36" w:rsidRPr="00CF6E36">
        <w:t xml:space="preserve">at the human dose of 160 mg twice daily. </w:t>
      </w:r>
    </w:p>
    <w:p w14:paraId="664752C4" w14:textId="26F13AEF" w:rsidR="001A3992" w:rsidRDefault="001A3992" w:rsidP="00BB3100">
      <w:pPr>
        <w:pStyle w:val="Heading3"/>
        <w:rPr>
          <w:lang w:val="en-US"/>
        </w:rPr>
      </w:pPr>
      <w:proofErr w:type="spellStart"/>
      <w:r w:rsidRPr="00B878CC">
        <w:t>Carcin</w:t>
      </w:r>
      <w:r w:rsidRPr="00B878CC">
        <w:rPr>
          <w:lang w:val="en-US"/>
        </w:rPr>
        <w:t>ogenicity</w:t>
      </w:r>
      <w:proofErr w:type="spellEnd"/>
      <w:r w:rsidR="00270901">
        <w:rPr>
          <w:lang w:val="en-US"/>
        </w:rPr>
        <w:fldChar w:fldCharType="begin"/>
      </w:r>
      <w:r w:rsidR="00270901">
        <w:rPr>
          <w:lang w:val="en-US"/>
        </w:rPr>
        <w:instrText xml:space="preserve"> DOCVARIABLE vault_nd_5aa4c513-c673-4211-ba2e-a2ca5339d9a7 \* MERGEFORMAT </w:instrText>
      </w:r>
      <w:r w:rsidR="00270901">
        <w:rPr>
          <w:lang w:val="en-US"/>
        </w:rPr>
        <w:fldChar w:fldCharType="separate"/>
      </w:r>
      <w:r w:rsidR="00270901">
        <w:rPr>
          <w:lang w:val="en-US"/>
        </w:rPr>
        <w:t xml:space="preserve"> </w:t>
      </w:r>
      <w:r w:rsidR="00270901">
        <w:rPr>
          <w:lang w:val="en-US"/>
        </w:rPr>
        <w:fldChar w:fldCharType="end"/>
      </w:r>
    </w:p>
    <w:p w14:paraId="205A7539" w14:textId="4CE4DCDD" w:rsidR="002A01DD" w:rsidRPr="00FF38FC" w:rsidRDefault="00FF38FC" w:rsidP="002533C8">
      <w:pPr>
        <w:jc w:val="both"/>
        <w:rPr>
          <w:lang w:val="en-US"/>
        </w:rPr>
      </w:pPr>
      <w:r w:rsidRPr="00FF38FC">
        <w:rPr>
          <w:lang w:val="en-US"/>
        </w:rPr>
        <w:t xml:space="preserve">Long-term studies to assess the carcinogenic potential of </w:t>
      </w:r>
      <w:proofErr w:type="spellStart"/>
      <w:r w:rsidRPr="00FF38FC">
        <w:rPr>
          <w:lang w:val="en-US"/>
        </w:rPr>
        <w:t>selpercatinib</w:t>
      </w:r>
      <w:proofErr w:type="spellEnd"/>
      <w:r w:rsidRPr="00FF38FC">
        <w:rPr>
          <w:lang w:val="en-US"/>
        </w:rPr>
        <w:t xml:space="preserve"> have not been performed.</w:t>
      </w:r>
    </w:p>
    <w:p w14:paraId="593F1D91" w14:textId="3317FCD8" w:rsidR="001A3992" w:rsidRDefault="001A3992" w:rsidP="00A85A71">
      <w:pPr>
        <w:pStyle w:val="Heading1"/>
        <w:pageBreakBefore/>
        <w:ind w:left="431" w:hanging="431"/>
        <w:rPr>
          <w:lang w:val="en-US"/>
        </w:rPr>
      </w:pPr>
      <w:r>
        <w:rPr>
          <w:lang w:val="en-US"/>
        </w:rPr>
        <w:lastRenderedPageBreak/>
        <w:t>Pharmaceutical particulars</w:t>
      </w:r>
      <w:r w:rsidR="00270901">
        <w:rPr>
          <w:lang w:val="en-US"/>
        </w:rPr>
        <w:fldChar w:fldCharType="begin"/>
      </w:r>
      <w:r w:rsidR="00270901">
        <w:rPr>
          <w:lang w:val="en-US"/>
        </w:rPr>
        <w:instrText xml:space="preserve"> DOCVARIABLE VAULT_ND_7f4d76a1-abc6-4238-b96e-70c939628750 \* MERGEFORMAT </w:instrText>
      </w:r>
      <w:r w:rsidR="00270901">
        <w:rPr>
          <w:lang w:val="en-US"/>
        </w:rPr>
        <w:fldChar w:fldCharType="separate"/>
      </w:r>
      <w:r w:rsidR="00270901">
        <w:rPr>
          <w:lang w:val="en-US"/>
        </w:rPr>
        <w:t xml:space="preserve"> </w:t>
      </w:r>
      <w:r w:rsidR="00270901">
        <w:rPr>
          <w:lang w:val="en-US"/>
        </w:rPr>
        <w:fldChar w:fldCharType="end"/>
      </w:r>
    </w:p>
    <w:p w14:paraId="655E20E2" w14:textId="590E9307" w:rsidR="005B2812" w:rsidRPr="00497C85" w:rsidRDefault="005B2812" w:rsidP="00D10D9A">
      <w:pPr>
        <w:pStyle w:val="Heading2"/>
        <w:rPr>
          <w:lang w:val="en-US"/>
        </w:rPr>
      </w:pPr>
      <w:bookmarkStart w:id="18" w:name="_Ref99013879"/>
      <w:r w:rsidRPr="00497C85">
        <w:rPr>
          <w:lang w:val="en-US"/>
        </w:rPr>
        <w:t>List of excipients</w:t>
      </w:r>
      <w:bookmarkEnd w:id="18"/>
      <w:r w:rsidR="00270901">
        <w:rPr>
          <w:lang w:val="en-US"/>
        </w:rPr>
        <w:fldChar w:fldCharType="begin"/>
      </w:r>
      <w:r w:rsidR="00270901">
        <w:rPr>
          <w:lang w:val="en-US"/>
        </w:rPr>
        <w:instrText xml:space="preserve"> DOCVARIABLE vault_nd_77ce3bd4-3fff-4e47-b423-86421c290351 \* MERGEFORMAT </w:instrText>
      </w:r>
      <w:r w:rsidR="00270901">
        <w:rPr>
          <w:lang w:val="en-US"/>
        </w:rPr>
        <w:fldChar w:fldCharType="separate"/>
      </w:r>
      <w:r w:rsidR="00270901">
        <w:rPr>
          <w:lang w:val="en-US"/>
        </w:rPr>
        <w:t xml:space="preserve"> </w:t>
      </w:r>
      <w:r w:rsidR="00270901">
        <w:rPr>
          <w:lang w:val="en-US"/>
        </w:rPr>
        <w:fldChar w:fldCharType="end"/>
      </w:r>
    </w:p>
    <w:p w14:paraId="7C20C8A6" w14:textId="75C9CD9A" w:rsidR="00CC1052" w:rsidRPr="00CC1052" w:rsidRDefault="00CC1052" w:rsidP="00830000">
      <w:pPr>
        <w:pStyle w:val="Heading3"/>
      </w:pPr>
      <w:r w:rsidRPr="00CC1052">
        <w:t>Capsule content</w:t>
      </w:r>
      <w:fldSimple w:instr=" DOCVARIABLE vault_nd_94931798-3cab-4aef-b810-7f3590c04129 \* MERGEFORMAT ">
        <w:r w:rsidR="00270901">
          <w:t xml:space="preserve"> </w:t>
        </w:r>
      </w:fldSimple>
    </w:p>
    <w:p w14:paraId="10BE7840" w14:textId="5F190460" w:rsidR="00CC1052" w:rsidRPr="00CC1052" w:rsidRDefault="00C10F00" w:rsidP="00830000">
      <w:pPr>
        <w:spacing w:after="0"/>
      </w:pPr>
      <w:r>
        <w:t>M</w:t>
      </w:r>
      <w:r w:rsidR="00CC1052" w:rsidRPr="00CC1052">
        <w:t>icrocrystalline</w:t>
      </w:r>
      <w:r>
        <w:t xml:space="preserve"> cellulose</w:t>
      </w:r>
    </w:p>
    <w:p w14:paraId="13B7454A" w14:textId="678FF76F" w:rsidR="002A7734" w:rsidRPr="00CC1052" w:rsidRDefault="00C10F00" w:rsidP="00830000">
      <w:pPr>
        <w:spacing w:after="0"/>
      </w:pPr>
      <w:r>
        <w:t>C</w:t>
      </w:r>
      <w:r w:rsidR="00CC1052" w:rsidRPr="00CC1052">
        <w:t>olloidal anhydrous</w:t>
      </w:r>
      <w:r>
        <w:t xml:space="preserve"> silica</w:t>
      </w:r>
    </w:p>
    <w:p w14:paraId="0F89B26A" w14:textId="2CA6FA84" w:rsidR="00CC1052" w:rsidRPr="00CC1052" w:rsidRDefault="00CC1052" w:rsidP="00830000">
      <w:pPr>
        <w:pStyle w:val="Heading3"/>
      </w:pPr>
      <w:r w:rsidRPr="00CC1052">
        <w:t>Capsule shell</w:t>
      </w:r>
      <w:fldSimple w:instr=" DOCVARIABLE vault_nd_654b935d-3825-4bb6-bf9e-48e949042047 \* MERGEFORMAT ">
        <w:r w:rsidR="00270901">
          <w:t xml:space="preserve"> </w:t>
        </w:r>
      </w:fldSimple>
    </w:p>
    <w:p w14:paraId="308E4E12" w14:textId="1B5A58C0" w:rsidR="00CC1052" w:rsidRPr="00C10F00" w:rsidRDefault="00CC1052" w:rsidP="00830000">
      <w:pPr>
        <w:pStyle w:val="Heading4"/>
        <w:rPr>
          <w:rFonts w:ascii="Cambria" w:hAnsi="Cambria"/>
          <w:i w:val="0"/>
          <w:iCs w:val="0"/>
        </w:rPr>
      </w:pPr>
      <w:r w:rsidRPr="00C10F00">
        <w:t>RETEVMO 40 mg hard capsules</w:t>
      </w:r>
      <w:fldSimple w:instr=" DOCVARIABLE vault_nd_be224684-c0a8-43cd-8dc2-43c84cc29d65 \* MERGEFORMAT ">
        <w:r w:rsidR="00270901">
          <w:t xml:space="preserve"> </w:t>
        </w:r>
      </w:fldSimple>
    </w:p>
    <w:p w14:paraId="5E55DFE7" w14:textId="77777777" w:rsidR="00CC1052" w:rsidRPr="00CC1052" w:rsidRDefault="00CC1052" w:rsidP="00830000">
      <w:pPr>
        <w:spacing w:after="0"/>
      </w:pPr>
      <w:r w:rsidRPr="00CC1052">
        <w:t>Gelatin</w:t>
      </w:r>
    </w:p>
    <w:p w14:paraId="1F7B992E" w14:textId="0B439FA3" w:rsidR="00CC1052" w:rsidRPr="00CC1052" w:rsidRDefault="00CC1052" w:rsidP="00830000">
      <w:pPr>
        <w:spacing w:after="0"/>
      </w:pPr>
      <w:r w:rsidRPr="00CC1052">
        <w:t xml:space="preserve">Titanium dioxide </w:t>
      </w:r>
    </w:p>
    <w:p w14:paraId="63B041A4" w14:textId="5A760B9D" w:rsidR="00CC1052" w:rsidRPr="00CC1052" w:rsidRDefault="00CC1052" w:rsidP="00830000">
      <w:pPr>
        <w:spacing w:after="0"/>
      </w:pPr>
      <w:r w:rsidRPr="00CC1052">
        <w:t xml:space="preserve">Iron </w:t>
      </w:r>
      <w:r w:rsidR="00130800">
        <w:t>o</w:t>
      </w:r>
      <w:r w:rsidRPr="00CC1052">
        <w:t xml:space="preserve">xide </w:t>
      </w:r>
      <w:r w:rsidR="00130800">
        <w:t>black</w:t>
      </w:r>
    </w:p>
    <w:p w14:paraId="7BD318CD" w14:textId="1B8079D3" w:rsidR="00CC1052" w:rsidRPr="00C10F00" w:rsidRDefault="00CC1052" w:rsidP="00830000">
      <w:pPr>
        <w:pStyle w:val="Heading4"/>
        <w:rPr>
          <w:rFonts w:ascii="Cambria" w:hAnsi="Cambria"/>
          <w:i w:val="0"/>
          <w:iCs w:val="0"/>
        </w:rPr>
      </w:pPr>
      <w:r w:rsidRPr="00C10F00">
        <w:t>RETEVMO 80 mg hard capsules</w:t>
      </w:r>
      <w:fldSimple w:instr=" DOCVARIABLE vault_nd_c8d89a79-6995-4042-9779-f79d5fb9eb57 \* MERGEFORMAT ">
        <w:r w:rsidR="00270901">
          <w:t xml:space="preserve"> </w:t>
        </w:r>
      </w:fldSimple>
    </w:p>
    <w:p w14:paraId="6C6B63B6" w14:textId="77777777" w:rsidR="00CC1052" w:rsidRPr="00CC1052" w:rsidRDefault="00CC1052" w:rsidP="002746CC">
      <w:pPr>
        <w:spacing w:after="0"/>
      </w:pPr>
      <w:r w:rsidRPr="00CC1052">
        <w:t>Gelatin</w:t>
      </w:r>
    </w:p>
    <w:p w14:paraId="6EDD250A" w14:textId="007A1A34" w:rsidR="00CC1052" w:rsidRPr="00CC1052" w:rsidRDefault="00CC1052" w:rsidP="002746CC">
      <w:pPr>
        <w:spacing w:after="0"/>
      </w:pPr>
      <w:r w:rsidRPr="00CC1052">
        <w:t xml:space="preserve">Titanium dioxide </w:t>
      </w:r>
    </w:p>
    <w:p w14:paraId="34E2EE70" w14:textId="59B98A89" w:rsidR="00CC1052" w:rsidRPr="00CC1052" w:rsidRDefault="00CC1052" w:rsidP="002746CC">
      <w:pPr>
        <w:spacing w:after="0"/>
      </w:pPr>
      <w:r w:rsidRPr="00CC1052">
        <w:t xml:space="preserve">Brilliant Blue FCF </w:t>
      </w:r>
    </w:p>
    <w:p w14:paraId="00E217A2" w14:textId="1F39305A" w:rsidR="00CC1052" w:rsidRPr="00CC1052" w:rsidRDefault="00CC1052" w:rsidP="002746CC">
      <w:pPr>
        <w:pStyle w:val="Heading4"/>
      </w:pPr>
      <w:r w:rsidRPr="00CC1052">
        <w:t>Capsule black ink</w:t>
      </w:r>
      <w:fldSimple w:instr=" DOCVARIABLE vault_nd_89495eff-ea16-4e1b-9b79-43206123ad03 \* MERGEFORMAT ">
        <w:r w:rsidR="00270901">
          <w:t xml:space="preserve"> </w:t>
        </w:r>
      </w:fldSimple>
    </w:p>
    <w:p w14:paraId="53A49C7A" w14:textId="2EC7FA58" w:rsidR="003C2EEC" w:rsidRPr="00C959A7" w:rsidRDefault="006B22B6" w:rsidP="00C959A7">
      <w:pPr>
        <w:rPr>
          <w:b/>
          <w:smallCaps/>
          <w:sz w:val="24"/>
          <w:lang w:val="en-US"/>
        </w:rPr>
      </w:pPr>
      <w:proofErr w:type="spellStart"/>
      <w:r>
        <w:t>TekPrint</w:t>
      </w:r>
      <w:proofErr w:type="spellEnd"/>
      <w:r>
        <w:t xml:space="preserve"> SW-9049 </w:t>
      </w:r>
      <w:r w:rsidR="00361EBE">
        <w:t>Black Ink</w:t>
      </w:r>
    </w:p>
    <w:p w14:paraId="6460CA98" w14:textId="037C5A7A" w:rsidR="005B2812" w:rsidRPr="00497C85" w:rsidRDefault="005B2812" w:rsidP="00CC1052">
      <w:pPr>
        <w:pStyle w:val="Heading2"/>
        <w:rPr>
          <w:lang w:val="en-US"/>
        </w:rPr>
      </w:pPr>
      <w:r w:rsidRPr="00497C85">
        <w:rPr>
          <w:lang w:val="en-US"/>
        </w:rPr>
        <w:t>Incompatibilities</w:t>
      </w:r>
      <w:r w:rsidR="00270901">
        <w:rPr>
          <w:lang w:val="en-US"/>
        </w:rPr>
        <w:fldChar w:fldCharType="begin"/>
      </w:r>
      <w:r w:rsidR="00270901">
        <w:rPr>
          <w:lang w:val="en-US"/>
        </w:rPr>
        <w:instrText xml:space="preserve"> DOCVARIABLE vault_nd_674392f4-7792-49aa-9cda-b042b2dee59a \* MERGEFORMAT </w:instrText>
      </w:r>
      <w:r w:rsidR="00270901">
        <w:rPr>
          <w:lang w:val="en-US"/>
        </w:rPr>
        <w:fldChar w:fldCharType="separate"/>
      </w:r>
      <w:r w:rsidR="00270901">
        <w:rPr>
          <w:lang w:val="en-US"/>
        </w:rPr>
        <w:t xml:space="preserve"> </w:t>
      </w:r>
      <w:r w:rsidR="00270901">
        <w:rPr>
          <w:lang w:val="en-US"/>
        </w:rPr>
        <w:fldChar w:fldCharType="end"/>
      </w:r>
    </w:p>
    <w:p w14:paraId="7049084D" w14:textId="32293350" w:rsidR="005B2812" w:rsidRPr="00497C85" w:rsidRDefault="005B2812" w:rsidP="00634755">
      <w:pPr>
        <w:jc w:val="both"/>
        <w:rPr>
          <w:lang w:val="en-US"/>
        </w:rPr>
      </w:pPr>
      <w:r w:rsidRPr="00497C85">
        <w:t xml:space="preserve">Incompatibilities were either not assessed or not identified as part of the registration of this medicine. </w:t>
      </w:r>
    </w:p>
    <w:p w14:paraId="3CD05F12" w14:textId="05B07011" w:rsidR="005B2812" w:rsidRPr="00497C85" w:rsidRDefault="005B2812" w:rsidP="00D10D9A">
      <w:pPr>
        <w:pStyle w:val="Heading2"/>
        <w:rPr>
          <w:lang w:val="en-US"/>
        </w:rPr>
      </w:pPr>
      <w:r w:rsidRPr="00497C85">
        <w:rPr>
          <w:lang w:val="en-US"/>
        </w:rPr>
        <w:t>Shelf life</w:t>
      </w:r>
      <w:r w:rsidR="00270901">
        <w:rPr>
          <w:lang w:val="en-US"/>
        </w:rPr>
        <w:fldChar w:fldCharType="begin"/>
      </w:r>
      <w:r w:rsidR="00270901">
        <w:rPr>
          <w:lang w:val="en-US"/>
        </w:rPr>
        <w:instrText xml:space="preserve"> DOCVARIABLE vault_nd_e745d5cc-190e-42a9-bfe9-960f01f62a44 \* MERGEFORMAT </w:instrText>
      </w:r>
      <w:r w:rsidR="00270901">
        <w:rPr>
          <w:lang w:val="en-US"/>
        </w:rPr>
        <w:fldChar w:fldCharType="separate"/>
      </w:r>
      <w:r w:rsidR="00270901">
        <w:rPr>
          <w:lang w:val="en-US"/>
        </w:rPr>
        <w:t xml:space="preserve"> </w:t>
      </w:r>
      <w:r w:rsidR="00270901">
        <w:rPr>
          <w:lang w:val="en-US"/>
        </w:rPr>
        <w:fldChar w:fldCharType="end"/>
      </w:r>
    </w:p>
    <w:p w14:paraId="20DBFB00" w14:textId="3C3383A0" w:rsidR="005B2812" w:rsidRPr="00497C85" w:rsidRDefault="005B2812" w:rsidP="00634755">
      <w:pPr>
        <w:jc w:val="both"/>
        <w:rPr>
          <w:lang w:val="en-US"/>
        </w:rPr>
      </w:pPr>
      <w:r w:rsidRPr="00497C85">
        <w:t xml:space="preserve">In Australia, information on the shelf life can be found on the public summary of the Australian Register of Therapeutic Goods (ARTG). The expiry date can be found on the packaging. </w:t>
      </w:r>
    </w:p>
    <w:p w14:paraId="3238F117" w14:textId="3BC8B7B0" w:rsidR="005B2812" w:rsidRDefault="005B2812" w:rsidP="00D10D9A">
      <w:pPr>
        <w:pStyle w:val="Heading2"/>
        <w:rPr>
          <w:lang w:val="en-US"/>
        </w:rPr>
      </w:pPr>
      <w:r w:rsidRPr="00497C85">
        <w:rPr>
          <w:lang w:val="en-US"/>
        </w:rPr>
        <w:t>Special precautions for storage</w:t>
      </w:r>
      <w:r w:rsidR="00270901">
        <w:rPr>
          <w:lang w:val="en-US"/>
        </w:rPr>
        <w:fldChar w:fldCharType="begin"/>
      </w:r>
      <w:r w:rsidR="00270901">
        <w:rPr>
          <w:lang w:val="en-US"/>
        </w:rPr>
        <w:instrText xml:space="preserve"> DOCVARIABLE vault_nd_fba45538-19f5-4736-a078-80fe40437196 \* MERGEFORMAT </w:instrText>
      </w:r>
      <w:r w:rsidR="00270901">
        <w:rPr>
          <w:lang w:val="en-US"/>
        </w:rPr>
        <w:fldChar w:fldCharType="separate"/>
      </w:r>
      <w:r w:rsidR="00270901">
        <w:rPr>
          <w:lang w:val="en-US"/>
        </w:rPr>
        <w:t xml:space="preserve"> </w:t>
      </w:r>
      <w:r w:rsidR="00270901">
        <w:rPr>
          <w:lang w:val="en-US"/>
        </w:rPr>
        <w:fldChar w:fldCharType="end"/>
      </w:r>
    </w:p>
    <w:p w14:paraId="23ED866D" w14:textId="362A7EC2" w:rsidR="008A20AF" w:rsidRPr="002970AD" w:rsidRDefault="007B4D64" w:rsidP="00634755">
      <w:pPr>
        <w:jc w:val="both"/>
      </w:pPr>
      <w:r>
        <w:t xml:space="preserve">Store </w:t>
      </w:r>
      <w:r w:rsidR="009F10F5">
        <w:t>below</w:t>
      </w:r>
      <w:r w:rsidR="000E46CC">
        <w:t xml:space="preserve"> </w:t>
      </w:r>
      <w:r w:rsidR="000E46CC" w:rsidRPr="000E46CC">
        <w:t>30 °C</w:t>
      </w:r>
      <w:r w:rsidR="000E46CC">
        <w:t>.</w:t>
      </w:r>
    </w:p>
    <w:p w14:paraId="4D85BAC6" w14:textId="0A3A237A" w:rsidR="005B2812" w:rsidRDefault="005B2812" w:rsidP="00D10D9A">
      <w:pPr>
        <w:pStyle w:val="Heading2"/>
        <w:rPr>
          <w:lang w:val="en-US"/>
        </w:rPr>
      </w:pPr>
      <w:r w:rsidRPr="00497C85">
        <w:rPr>
          <w:lang w:val="en-US"/>
        </w:rPr>
        <w:t>Nature and contents of container</w:t>
      </w:r>
      <w:r w:rsidR="00270901">
        <w:rPr>
          <w:lang w:val="en-US"/>
        </w:rPr>
        <w:fldChar w:fldCharType="begin"/>
      </w:r>
      <w:r w:rsidR="00270901">
        <w:rPr>
          <w:lang w:val="en-US"/>
        </w:rPr>
        <w:instrText xml:space="preserve"> DOCVARIABLE vault_nd_bda3b15a-4b47-45d4-87b5-8ae54bfc2da5 \* MERGEFORMAT </w:instrText>
      </w:r>
      <w:r w:rsidR="00270901">
        <w:rPr>
          <w:lang w:val="en-US"/>
        </w:rPr>
        <w:fldChar w:fldCharType="separate"/>
      </w:r>
      <w:r w:rsidR="00270901">
        <w:rPr>
          <w:lang w:val="en-US"/>
        </w:rPr>
        <w:t xml:space="preserve"> </w:t>
      </w:r>
      <w:r w:rsidR="00270901">
        <w:rPr>
          <w:lang w:val="en-US"/>
        </w:rPr>
        <w:fldChar w:fldCharType="end"/>
      </w:r>
    </w:p>
    <w:p w14:paraId="1E9FC3F4" w14:textId="62058366" w:rsidR="00CE75B0" w:rsidRDefault="00CE75B0" w:rsidP="005964DE">
      <w:pPr>
        <w:pStyle w:val="Heading3"/>
        <w:rPr>
          <w:lang w:val="en-US"/>
        </w:rPr>
      </w:pPr>
      <w:r>
        <w:rPr>
          <w:lang w:val="en-US"/>
        </w:rPr>
        <w:t>RETEVMO 40 mg immediate hard capsules</w:t>
      </w:r>
      <w:r w:rsidR="00270901">
        <w:rPr>
          <w:lang w:val="en-US"/>
        </w:rPr>
        <w:fldChar w:fldCharType="begin"/>
      </w:r>
      <w:r w:rsidR="00270901">
        <w:rPr>
          <w:lang w:val="en-US"/>
        </w:rPr>
        <w:instrText xml:space="preserve"> DOCVARIABLE vault_nd_87467e22-ed52-48d6-986f-0550334585f7 \* MERGEFORMAT </w:instrText>
      </w:r>
      <w:r w:rsidR="00270901">
        <w:rPr>
          <w:lang w:val="en-US"/>
        </w:rPr>
        <w:fldChar w:fldCharType="separate"/>
      </w:r>
      <w:r w:rsidR="00270901">
        <w:rPr>
          <w:lang w:val="en-US"/>
        </w:rPr>
        <w:t xml:space="preserve"> </w:t>
      </w:r>
      <w:r w:rsidR="00270901">
        <w:rPr>
          <w:lang w:val="en-US"/>
        </w:rPr>
        <w:fldChar w:fldCharType="end"/>
      </w:r>
    </w:p>
    <w:p w14:paraId="31C48877" w14:textId="174DB564" w:rsidR="00CE378E" w:rsidRDefault="00CE75B0" w:rsidP="002313D9">
      <w:pPr>
        <w:rPr>
          <w:lang w:val="en-US"/>
        </w:rPr>
      </w:pPr>
      <w:r>
        <w:rPr>
          <w:lang w:val="en-US"/>
        </w:rPr>
        <w:t xml:space="preserve">Supplied as PCTFE/PVC blisters sealed with an </w:t>
      </w:r>
      <w:r w:rsidR="006266E3">
        <w:rPr>
          <w:lang w:val="en-US"/>
        </w:rPr>
        <w:t>aluminum</w:t>
      </w:r>
      <w:r>
        <w:rPr>
          <w:lang w:val="en-US"/>
        </w:rPr>
        <w:t xml:space="preserve"> foil </w:t>
      </w:r>
      <w:r w:rsidR="006266E3">
        <w:rPr>
          <w:lang w:val="en-US"/>
        </w:rPr>
        <w:t>in a blister card, in packs of 14, 42, 56 or 168 capsules.</w:t>
      </w:r>
    </w:p>
    <w:p w14:paraId="0FB51B30" w14:textId="6E44DB4F" w:rsidR="006266E3" w:rsidRPr="006266E3" w:rsidRDefault="006266E3" w:rsidP="005964DE">
      <w:pPr>
        <w:pStyle w:val="Heading3"/>
        <w:rPr>
          <w:lang w:val="en-US"/>
        </w:rPr>
      </w:pPr>
      <w:r>
        <w:rPr>
          <w:lang w:val="en-US"/>
        </w:rPr>
        <w:t>RETEVMO 80 mg immediate hard capsules</w:t>
      </w:r>
      <w:r w:rsidR="00270901">
        <w:rPr>
          <w:lang w:val="en-US"/>
        </w:rPr>
        <w:fldChar w:fldCharType="begin"/>
      </w:r>
      <w:r w:rsidR="00270901">
        <w:rPr>
          <w:lang w:val="en-US"/>
        </w:rPr>
        <w:instrText xml:space="preserve"> DOCVARIABLE vault_nd_3fac7dd8-7fdc-40f9-a900-4c2e3427ed9b \* MERGEFORMAT </w:instrText>
      </w:r>
      <w:r w:rsidR="00270901">
        <w:rPr>
          <w:lang w:val="en-US"/>
        </w:rPr>
        <w:fldChar w:fldCharType="separate"/>
      </w:r>
      <w:r w:rsidR="00270901">
        <w:rPr>
          <w:lang w:val="en-US"/>
        </w:rPr>
        <w:t xml:space="preserve"> </w:t>
      </w:r>
      <w:r w:rsidR="00270901">
        <w:rPr>
          <w:lang w:val="en-US"/>
        </w:rPr>
        <w:fldChar w:fldCharType="end"/>
      </w:r>
    </w:p>
    <w:p w14:paraId="5C15BEF2" w14:textId="1927777F" w:rsidR="006266E3" w:rsidRDefault="006266E3" w:rsidP="006266E3">
      <w:pPr>
        <w:rPr>
          <w:lang w:val="en-US"/>
        </w:rPr>
      </w:pPr>
      <w:r>
        <w:rPr>
          <w:lang w:val="en-US"/>
        </w:rPr>
        <w:t>Supplied as PCTFE/PVC blisters sealed with an aluminum foil in a blister card, in packs of 14, 28, 56 or 112 capsules.</w:t>
      </w:r>
    </w:p>
    <w:p w14:paraId="2D3B24AC" w14:textId="52E829FD" w:rsidR="006266E3" w:rsidRPr="00CE75B0" w:rsidRDefault="006266E3" w:rsidP="00CE75B0">
      <w:pPr>
        <w:rPr>
          <w:lang w:val="en-US"/>
        </w:rPr>
      </w:pPr>
      <w:r>
        <w:rPr>
          <w:lang w:val="en-US"/>
        </w:rPr>
        <w:lastRenderedPageBreak/>
        <w:t>Not all pack sizes may be marketed.</w:t>
      </w:r>
    </w:p>
    <w:p w14:paraId="1E5B1958" w14:textId="417736BE" w:rsidR="005B2812" w:rsidRPr="00497C85" w:rsidRDefault="005B2812" w:rsidP="00D10D9A">
      <w:pPr>
        <w:pStyle w:val="Heading2"/>
        <w:rPr>
          <w:lang w:val="en-US"/>
        </w:rPr>
      </w:pPr>
      <w:r w:rsidRPr="00497C85">
        <w:rPr>
          <w:lang w:val="en-US"/>
        </w:rPr>
        <w:t>Special precautions for disposal</w:t>
      </w:r>
      <w:r w:rsidR="00270901">
        <w:rPr>
          <w:lang w:val="en-US"/>
        </w:rPr>
        <w:fldChar w:fldCharType="begin"/>
      </w:r>
      <w:r w:rsidR="00270901">
        <w:rPr>
          <w:lang w:val="en-US"/>
        </w:rPr>
        <w:instrText xml:space="preserve"> DOCVARIABLE vault_nd_bdb06841-ad29-4c6f-8647-cc82ea9c0cd6 \* MERGEFORMAT </w:instrText>
      </w:r>
      <w:r w:rsidR="00270901">
        <w:rPr>
          <w:lang w:val="en-US"/>
        </w:rPr>
        <w:fldChar w:fldCharType="separate"/>
      </w:r>
      <w:r w:rsidR="00270901">
        <w:rPr>
          <w:lang w:val="en-US"/>
        </w:rPr>
        <w:t xml:space="preserve"> </w:t>
      </w:r>
      <w:r w:rsidR="00270901">
        <w:rPr>
          <w:lang w:val="en-US"/>
        </w:rPr>
        <w:fldChar w:fldCharType="end"/>
      </w:r>
    </w:p>
    <w:p w14:paraId="0CA85742" w14:textId="79FB6B33" w:rsidR="005B2812" w:rsidRPr="00497C85" w:rsidRDefault="0021200F" w:rsidP="006E6459">
      <w:pPr>
        <w:jc w:val="both"/>
        <w:rPr>
          <w:lang w:val="en-US"/>
        </w:rPr>
      </w:pPr>
      <w:r w:rsidRPr="00497C85">
        <w:t>In Australia, any unused medicine or waste material should be disposed of</w:t>
      </w:r>
      <w:r>
        <w:t xml:space="preserve"> in accordance with local requirements. </w:t>
      </w:r>
    </w:p>
    <w:p w14:paraId="31282EB5" w14:textId="29F38CC7" w:rsidR="001A3992" w:rsidRPr="00EC3C40" w:rsidRDefault="001A3992" w:rsidP="00D10D9A">
      <w:pPr>
        <w:pStyle w:val="Heading2"/>
        <w:rPr>
          <w:lang w:val="en-US"/>
        </w:rPr>
      </w:pPr>
      <w:r w:rsidRPr="00EC3C40">
        <w:rPr>
          <w:lang w:val="en-US"/>
        </w:rPr>
        <w:t>Physicochemical properties</w:t>
      </w:r>
      <w:r w:rsidR="00270901">
        <w:rPr>
          <w:lang w:val="en-US"/>
        </w:rPr>
        <w:fldChar w:fldCharType="begin"/>
      </w:r>
      <w:r w:rsidR="00270901">
        <w:rPr>
          <w:lang w:val="en-US"/>
        </w:rPr>
        <w:instrText xml:space="preserve"> DOCVARIABLE vault_nd_22cbafc3-f462-4dc4-92e2-b00ca71625a9 \* MERGEFORMAT </w:instrText>
      </w:r>
      <w:r w:rsidR="00270901">
        <w:rPr>
          <w:lang w:val="en-US"/>
        </w:rPr>
        <w:fldChar w:fldCharType="separate"/>
      </w:r>
      <w:r w:rsidR="00270901">
        <w:rPr>
          <w:lang w:val="en-US"/>
        </w:rPr>
        <w:t xml:space="preserve"> </w:t>
      </w:r>
      <w:r w:rsidR="00270901">
        <w:rPr>
          <w:lang w:val="en-US"/>
        </w:rPr>
        <w:fldChar w:fldCharType="end"/>
      </w:r>
    </w:p>
    <w:p w14:paraId="6D94A447" w14:textId="06684841" w:rsidR="001A3992" w:rsidRDefault="001A3992" w:rsidP="00BB3100">
      <w:pPr>
        <w:pStyle w:val="Heading3"/>
        <w:rPr>
          <w:lang w:val="en-US"/>
        </w:rPr>
      </w:pPr>
      <w:r>
        <w:rPr>
          <w:lang w:val="en-US"/>
        </w:rPr>
        <w:t>Chemical structure</w:t>
      </w:r>
      <w:r w:rsidR="00270901">
        <w:rPr>
          <w:lang w:val="en-US"/>
        </w:rPr>
        <w:fldChar w:fldCharType="begin"/>
      </w:r>
      <w:r w:rsidR="00270901">
        <w:rPr>
          <w:lang w:val="en-US"/>
        </w:rPr>
        <w:instrText xml:space="preserve"> DOCVARIABLE vault_nd_d2803fd1-b0d0-45e5-90f8-03476db14a65 \* MERGEFORMAT </w:instrText>
      </w:r>
      <w:r w:rsidR="00270901">
        <w:rPr>
          <w:lang w:val="en-US"/>
        </w:rPr>
        <w:fldChar w:fldCharType="separate"/>
      </w:r>
      <w:r w:rsidR="00270901">
        <w:rPr>
          <w:lang w:val="en-US"/>
        </w:rPr>
        <w:t xml:space="preserve"> </w:t>
      </w:r>
      <w:r w:rsidR="00270901">
        <w:rPr>
          <w:lang w:val="en-US"/>
        </w:rPr>
        <w:fldChar w:fldCharType="end"/>
      </w:r>
    </w:p>
    <w:p w14:paraId="3A583AD6" w14:textId="2A639961" w:rsidR="002766D7" w:rsidRDefault="002766D7" w:rsidP="002766D7">
      <w:r w:rsidRPr="00646076">
        <w:rPr>
          <w:lang w:val="en-US"/>
        </w:rPr>
        <w:t xml:space="preserve">The </w:t>
      </w:r>
      <w:r w:rsidR="00646076" w:rsidRPr="00646076">
        <w:rPr>
          <w:lang w:val="en-US"/>
        </w:rPr>
        <w:t xml:space="preserve">empirical formula for </w:t>
      </w:r>
      <w:proofErr w:type="spellStart"/>
      <w:r w:rsidR="00646076" w:rsidRPr="00646076">
        <w:rPr>
          <w:lang w:val="en-US"/>
        </w:rPr>
        <w:t>selpercatinib</w:t>
      </w:r>
      <w:proofErr w:type="spellEnd"/>
      <w:r w:rsidR="00646076" w:rsidRPr="00646076">
        <w:rPr>
          <w:lang w:val="en-US"/>
        </w:rPr>
        <w:t xml:space="preserve"> is </w:t>
      </w:r>
      <w:r w:rsidR="00646076" w:rsidRPr="00646076">
        <w:t>C</w:t>
      </w:r>
      <w:r w:rsidR="00646076" w:rsidRPr="00C0359E">
        <w:rPr>
          <w:vertAlign w:val="subscript"/>
        </w:rPr>
        <w:t>29</w:t>
      </w:r>
      <w:r w:rsidR="00646076" w:rsidRPr="00646076">
        <w:t>H</w:t>
      </w:r>
      <w:r w:rsidR="00646076" w:rsidRPr="00C0359E">
        <w:rPr>
          <w:vertAlign w:val="subscript"/>
        </w:rPr>
        <w:t>31</w:t>
      </w:r>
      <w:r w:rsidR="00646076" w:rsidRPr="00646076">
        <w:t>N</w:t>
      </w:r>
      <w:r w:rsidR="00646076" w:rsidRPr="00C0359E">
        <w:rPr>
          <w:vertAlign w:val="subscript"/>
        </w:rPr>
        <w:t>7</w:t>
      </w:r>
      <w:r w:rsidR="00646076" w:rsidRPr="00646076">
        <w:t>O</w:t>
      </w:r>
      <w:r w:rsidR="00646076" w:rsidRPr="00C0359E">
        <w:rPr>
          <w:vertAlign w:val="subscript"/>
        </w:rPr>
        <w:t>3</w:t>
      </w:r>
      <w:r w:rsidR="00C0359E">
        <w:rPr>
          <w:vertAlign w:val="subscript"/>
        </w:rPr>
        <w:t xml:space="preserve"> </w:t>
      </w:r>
      <w:r w:rsidR="00C0359E">
        <w:t>and it has the following structural formula.</w:t>
      </w:r>
    </w:p>
    <w:p w14:paraId="49FFDAEE" w14:textId="4DA611BF" w:rsidR="00C0359E" w:rsidRDefault="00C0359E" w:rsidP="002766D7">
      <w:pPr>
        <w:rPr>
          <w:rFonts w:ascii="Cambria" w:hAnsi="Cambria"/>
        </w:rPr>
      </w:pPr>
      <w:r>
        <w:rPr>
          <w:noProof/>
        </w:rPr>
        <w:drawing>
          <wp:inline distT="0" distB="0" distL="0" distR="0" wp14:anchorId="7A44A181" wp14:editId="35F4C7A7">
            <wp:extent cx="3139712" cy="1303133"/>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139712" cy="1303133"/>
                    </a:xfrm>
                    <a:prstGeom prst="rect">
                      <a:avLst/>
                    </a:prstGeom>
                  </pic:spPr>
                </pic:pic>
              </a:graphicData>
            </a:graphic>
          </wp:inline>
        </w:drawing>
      </w:r>
    </w:p>
    <w:p w14:paraId="7A6F1F6A" w14:textId="46285840" w:rsidR="001A3992" w:rsidRDefault="001A3992" w:rsidP="00BB3100">
      <w:pPr>
        <w:pStyle w:val="Heading3"/>
        <w:rPr>
          <w:lang w:val="en-US"/>
        </w:rPr>
      </w:pPr>
      <w:r w:rsidRPr="00EC3C40">
        <w:rPr>
          <w:lang w:val="en-US"/>
        </w:rPr>
        <w:t>CAS number</w:t>
      </w:r>
      <w:r w:rsidR="00270901">
        <w:rPr>
          <w:lang w:val="en-US"/>
        </w:rPr>
        <w:fldChar w:fldCharType="begin"/>
      </w:r>
      <w:r w:rsidR="00270901">
        <w:rPr>
          <w:lang w:val="en-US"/>
        </w:rPr>
        <w:instrText xml:space="preserve"> DOCVARIABLE vault_nd_34e40a77-62b9-46b1-9ab8-c2d3de61babb \* MERGEFORMAT </w:instrText>
      </w:r>
      <w:r w:rsidR="00270901">
        <w:rPr>
          <w:lang w:val="en-US"/>
        </w:rPr>
        <w:fldChar w:fldCharType="separate"/>
      </w:r>
      <w:r w:rsidR="00270901">
        <w:rPr>
          <w:lang w:val="en-US"/>
        </w:rPr>
        <w:t xml:space="preserve"> </w:t>
      </w:r>
      <w:r w:rsidR="00270901">
        <w:rPr>
          <w:lang w:val="en-US"/>
        </w:rPr>
        <w:fldChar w:fldCharType="end"/>
      </w:r>
    </w:p>
    <w:p w14:paraId="237224B1" w14:textId="01EC76FE" w:rsidR="005B38AA" w:rsidRPr="005B38AA" w:rsidRDefault="005B38AA" w:rsidP="005B38AA">
      <w:pPr>
        <w:rPr>
          <w:lang w:val="en-US"/>
        </w:rPr>
      </w:pPr>
      <w:r w:rsidRPr="005B38AA">
        <w:rPr>
          <w:lang w:val="en-US"/>
        </w:rPr>
        <w:t>2152628-33-4</w:t>
      </w:r>
    </w:p>
    <w:p w14:paraId="14152DCE" w14:textId="4CC57B79" w:rsidR="001A3992" w:rsidRPr="00270901" w:rsidRDefault="001A3992" w:rsidP="00A85A71">
      <w:pPr>
        <w:pStyle w:val="Heading1"/>
        <w:spacing w:before="240"/>
        <w:ind w:left="431" w:hanging="431"/>
        <w:rPr>
          <w:lang w:val="en-US"/>
        </w:rPr>
      </w:pPr>
      <w:r w:rsidRPr="00270901">
        <w:rPr>
          <w:lang w:val="en-US"/>
        </w:rPr>
        <w:t>Medicine schedule (Poisons Standard)</w:t>
      </w:r>
      <w:r w:rsidR="00270901">
        <w:rPr>
          <w:lang w:val="en-US"/>
        </w:rPr>
        <w:fldChar w:fldCharType="begin"/>
      </w:r>
      <w:r w:rsidR="00270901">
        <w:rPr>
          <w:lang w:val="en-US"/>
        </w:rPr>
        <w:instrText xml:space="preserve"> DOCVARIABLE VAULT_ND_a77dc822-7b19-4d1a-9f6c-82af2bb9815b \* MERGEFORMAT </w:instrText>
      </w:r>
      <w:r w:rsidR="00270901">
        <w:rPr>
          <w:lang w:val="en-US"/>
        </w:rPr>
        <w:fldChar w:fldCharType="separate"/>
      </w:r>
      <w:r w:rsidR="00270901">
        <w:rPr>
          <w:lang w:val="en-US"/>
        </w:rPr>
        <w:t xml:space="preserve"> </w:t>
      </w:r>
      <w:r w:rsidR="00270901">
        <w:rPr>
          <w:lang w:val="en-US"/>
        </w:rPr>
        <w:fldChar w:fldCharType="end"/>
      </w:r>
    </w:p>
    <w:p w14:paraId="20C3FD35" w14:textId="0D48CA9B" w:rsidR="005B38AA" w:rsidRDefault="005B38AA" w:rsidP="005B38AA">
      <w:pPr>
        <w:rPr>
          <w:lang w:val="en-US"/>
        </w:rPr>
      </w:pPr>
      <w:r w:rsidRPr="005B38AA">
        <w:rPr>
          <w:lang w:val="en-US"/>
        </w:rPr>
        <w:t>Schedule 4</w:t>
      </w:r>
    </w:p>
    <w:p w14:paraId="0B8AFAE6" w14:textId="5BEFB7CB" w:rsidR="00285173" w:rsidRPr="00270901" w:rsidRDefault="001A3992" w:rsidP="00A85A71">
      <w:pPr>
        <w:pStyle w:val="Heading1"/>
        <w:spacing w:before="240"/>
        <w:ind w:left="431" w:hanging="431"/>
        <w:rPr>
          <w:lang w:val="en-US"/>
        </w:rPr>
      </w:pPr>
      <w:r w:rsidRPr="00270901">
        <w:rPr>
          <w:lang w:val="en-US"/>
        </w:rPr>
        <w:t>Sponsor</w:t>
      </w:r>
      <w:r w:rsidR="00270901">
        <w:rPr>
          <w:lang w:val="en-US"/>
        </w:rPr>
        <w:fldChar w:fldCharType="begin"/>
      </w:r>
      <w:r w:rsidR="00270901">
        <w:rPr>
          <w:lang w:val="en-US"/>
        </w:rPr>
        <w:instrText xml:space="preserve"> DOCVARIABLE VAULT_ND_1b8ab57c-ff0f-41df-a48f-b4991b2e84cb \* MERGEFORMAT </w:instrText>
      </w:r>
      <w:r w:rsidR="00270901">
        <w:rPr>
          <w:lang w:val="en-US"/>
        </w:rPr>
        <w:fldChar w:fldCharType="separate"/>
      </w:r>
      <w:r w:rsidR="00270901">
        <w:rPr>
          <w:lang w:val="en-US"/>
        </w:rPr>
        <w:t xml:space="preserve"> </w:t>
      </w:r>
      <w:r w:rsidR="00270901">
        <w:rPr>
          <w:lang w:val="en-US"/>
        </w:rPr>
        <w:fldChar w:fldCharType="end"/>
      </w:r>
    </w:p>
    <w:p w14:paraId="032BBBBA" w14:textId="4B25F953" w:rsidR="005B38AA" w:rsidRPr="00FE4717" w:rsidRDefault="00630D19" w:rsidP="006E6459">
      <w:pPr>
        <w:spacing w:after="0"/>
        <w:rPr>
          <w:lang w:val="en-US"/>
        </w:rPr>
      </w:pPr>
      <w:r w:rsidRPr="00FE4717">
        <w:rPr>
          <w:lang w:val="en-US"/>
        </w:rPr>
        <w:t>Eli Lilly Australia Pty Ltd</w:t>
      </w:r>
    </w:p>
    <w:p w14:paraId="141B7DDE" w14:textId="77777777" w:rsidR="004B4CCA" w:rsidRPr="004B4CCA" w:rsidRDefault="004B4CCA" w:rsidP="004B4CCA">
      <w:pPr>
        <w:spacing w:after="0"/>
        <w:rPr>
          <w:lang w:val="en-US"/>
        </w:rPr>
      </w:pPr>
      <w:r w:rsidRPr="004B4CCA">
        <w:rPr>
          <w:lang w:val="en-US"/>
        </w:rPr>
        <w:t>Level 9, 60 Margaret Street, Sydney, NSW 2000</w:t>
      </w:r>
    </w:p>
    <w:p w14:paraId="6A35C871" w14:textId="7DB876B3" w:rsidR="004B4CCA" w:rsidRPr="00FE4717" w:rsidRDefault="004B4CCA" w:rsidP="004B4CCA">
      <w:pPr>
        <w:spacing w:after="0"/>
        <w:rPr>
          <w:lang w:val="en-US"/>
        </w:rPr>
      </w:pPr>
      <w:r w:rsidRPr="004B4CCA">
        <w:rPr>
          <w:lang w:val="en-US"/>
        </w:rPr>
        <w:t>AUSTRALIA</w:t>
      </w:r>
    </w:p>
    <w:p w14:paraId="2F59D02C" w14:textId="037A977F" w:rsidR="00630D19" w:rsidRDefault="00630D19" w:rsidP="006E6459">
      <w:pPr>
        <w:spacing w:after="0"/>
        <w:rPr>
          <w:lang w:val="en-US"/>
        </w:rPr>
      </w:pPr>
      <w:r w:rsidRPr="00FE4717">
        <w:rPr>
          <w:lang w:val="en-US"/>
        </w:rPr>
        <w:t xml:space="preserve">Phone: </w:t>
      </w:r>
      <w:r w:rsidR="00FE4717" w:rsidRPr="00FE4717">
        <w:rPr>
          <w:lang w:val="en-US"/>
        </w:rPr>
        <w:t>1800 454 559</w:t>
      </w:r>
    </w:p>
    <w:p w14:paraId="1112A394" w14:textId="555F1339" w:rsidR="005509C5" w:rsidRDefault="005509C5" w:rsidP="006E6459">
      <w:pPr>
        <w:spacing w:after="0"/>
        <w:rPr>
          <w:lang w:val="en-US"/>
        </w:rPr>
      </w:pPr>
    </w:p>
    <w:p w14:paraId="6DC812D5" w14:textId="6B58F2FD" w:rsidR="00285173" w:rsidRPr="00270901" w:rsidRDefault="00285173" w:rsidP="00A85A71">
      <w:pPr>
        <w:pStyle w:val="Heading1"/>
        <w:spacing w:before="0"/>
        <w:ind w:left="431" w:hanging="431"/>
        <w:rPr>
          <w:lang w:val="en-US"/>
        </w:rPr>
      </w:pPr>
      <w:r w:rsidRPr="00270901">
        <w:rPr>
          <w:lang w:val="en-US"/>
        </w:rPr>
        <w:t xml:space="preserve">Date of first approval </w:t>
      </w:r>
      <w:r w:rsidR="00270901">
        <w:rPr>
          <w:lang w:val="en-US"/>
        </w:rPr>
        <w:fldChar w:fldCharType="begin"/>
      </w:r>
      <w:r w:rsidR="00270901">
        <w:rPr>
          <w:lang w:val="en-US"/>
        </w:rPr>
        <w:instrText xml:space="preserve"> DOCVARIABLE VAULT_ND_a8d0e9cb-c804-473c-a452-e195d3a9c24a \* MERGEFORMAT </w:instrText>
      </w:r>
      <w:r w:rsidR="00270901">
        <w:rPr>
          <w:lang w:val="en-US"/>
        </w:rPr>
        <w:fldChar w:fldCharType="separate"/>
      </w:r>
      <w:r w:rsidR="00270901">
        <w:rPr>
          <w:lang w:val="en-US"/>
        </w:rPr>
        <w:t xml:space="preserve"> </w:t>
      </w:r>
      <w:r w:rsidR="00270901">
        <w:rPr>
          <w:lang w:val="en-US"/>
        </w:rPr>
        <w:fldChar w:fldCharType="end"/>
      </w:r>
    </w:p>
    <w:p w14:paraId="2F8767F2" w14:textId="4EDBA58B" w:rsidR="00285173" w:rsidRPr="00270901" w:rsidRDefault="00285173" w:rsidP="00A85A71">
      <w:pPr>
        <w:pStyle w:val="Heading1"/>
        <w:spacing w:before="240"/>
        <w:ind w:left="431" w:hanging="431"/>
        <w:rPr>
          <w:lang w:val="en-US"/>
        </w:rPr>
      </w:pPr>
      <w:r w:rsidRPr="00270901">
        <w:rPr>
          <w:lang w:val="en-US"/>
        </w:rPr>
        <w:t>Date of revision</w:t>
      </w:r>
      <w:r w:rsidR="00270901">
        <w:rPr>
          <w:lang w:val="en-US"/>
        </w:rPr>
        <w:fldChar w:fldCharType="begin"/>
      </w:r>
      <w:r w:rsidR="00270901">
        <w:rPr>
          <w:lang w:val="en-US"/>
        </w:rPr>
        <w:instrText xml:space="preserve"> DOCVARIABLE VAULT_ND_d3614ec3-a66c-4d68-a05c-8df0d6c1f572 \* MERGEFORMAT </w:instrText>
      </w:r>
      <w:r w:rsidR="00270901">
        <w:rPr>
          <w:lang w:val="en-US"/>
        </w:rPr>
        <w:fldChar w:fldCharType="separate"/>
      </w:r>
      <w:r w:rsidR="00270901">
        <w:rPr>
          <w:lang w:val="en-US"/>
        </w:rPr>
        <w:t xml:space="preserve"> </w:t>
      </w:r>
      <w:r w:rsidR="00270901">
        <w:rPr>
          <w:lang w:val="en-US"/>
        </w:rPr>
        <w:fldChar w:fldCharType="end"/>
      </w:r>
    </w:p>
    <w:p w14:paraId="78AB7E69" w14:textId="38FC540E" w:rsidR="00285173" w:rsidRDefault="00285173" w:rsidP="002313D9">
      <w:pPr>
        <w:pStyle w:val="Heading2"/>
        <w:numPr>
          <w:ilvl w:val="0"/>
          <w:numId w:val="0"/>
        </w:numPr>
        <w:ind w:left="1002"/>
        <w:rPr>
          <w:lang w:val="en-US"/>
        </w:rPr>
      </w:pPr>
      <w:r w:rsidRPr="007D497E">
        <w:rPr>
          <w:lang w:val="en-US"/>
        </w:rPr>
        <w:t>Summary table of changes</w:t>
      </w:r>
      <w:r w:rsidR="00270901">
        <w:rPr>
          <w:lang w:val="en-US"/>
        </w:rPr>
        <w:fldChar w:fldCharType="begin"/>
      </w:r>
      <w:r w:rsidR="00270901">
        <w:rPr>
          <w:lang w:val="en-US"/>
        </w:rPr>
        <w:instrText xml:space="preserve"> DOCVARIABLE vault_nd_b2e806c6-88f7-41e5-a307-150eebc8f4ea \* MERGEFORMAT </w:instrText>
      </w:r>
      <w:r w:rsidR="00270901">
        <w:rPr>
          <w:lang w:val="en-US"/>
        </w:rPr>
        <w:fldChar w:fldCharType="separate"/>
      </w:r>
      <w:r w:rsidR="00270901">
        <w:rPr>
          <w:lang w:val="en-US"/>
        </w:rPr>
        <w:t xml:space="preserve"> </w:t>
      </w:r>
      <w:r w:rsidR="00270901">
        <w:rPr>
          <w:lang w:val="en-US"/>
        </w:rPr>
        <w:fldChar w:fldCharType="end"/>
      </w:r>
    </w:p>
    <w:tbl>
      <w:tblPr>
        <w:tblStyle w:val="LightGrid"/>
        <w:tblW w:w="0" w:type="auto"/>
        <w:tblCellMar>
          <w:top w:w="57" w:type="dxa"/>
          <w:bottom w:w="57" w:type="dxa"/>
        </w:tblCellMar>
        <w:tblLook w:val="06A0" w:firstRow="1" w:lastRow="0" w:firstColumn="1" w:lastColumn="0" w:noHBand="1" w:noVBand="1"/>
      </w:tblPr>
      <w:tblGrid>
        <w:gridCol w:w="1374"/>
        <w:gridCol w:w="7632"/>
      </w:tblGrid>
      <w:tr w:rsidR="00285173" w14:paraId="304D7364" w14:textId="77777777" w:rsidTr="002718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shd w:val="clear" w:color="auto" w:fill="F2F2F2" w:themeFill="background1" w:themeFillShade="F2"/>
            <w:vAlign w:val="center"/>
          </w:tcPr>
          <w:p w14:paraId="661D77A1" w14:textId="77777777" w:rsidR="00285173" w:rsidRPr="002E277D" w:rsidRDefault="00285173" w:rsidP="002718BD">
            <w:pPr>
              <w:rPr>
                <w:lang w:val="en-US"/>
              </w:rPr>
            </w:pPr>
            <w:r w:rsidRPr="002E277D">
              <w:rPr>
                <w:lang w:val="en-US"/>
              </w:rPr>
              <w:t>Section Changed</w:t>
            </w:r>
          </w:p>
        </w:tc>
        <w:tc>
          <w:tcPr>
            <w:tcW w:w="7858" w:type="dxa"/>
            <w:shd w:val="clear" w:color="auto" w:fill="F2F2F2" w:themeFill="background1" w:themeFillShade="F2"/>
            <w:vAlign w:val="center"/>
          </w:tcPr>
          <w:p w14:paraId="13835480" w14:textId="77777777" w:rsidR="00285173" w:rsidRPr="002E277D" w:rsidRDefault="00285173" w:rsidP="002718BD">
            <w:pPr>
              <w:cnfStyle w:val="100000000000" w:firstRow="1" w:lastRow="0" w:firstColumn="0" w:lastColumn="0" w:oddVBand="0" w:evenVBand="0" w:oddHBand="0" w:evenHBand="0" w:firstRowFirstColumn="0" w:firstRowLastColumn="0" w:lastRowFirstColumn="0" w:lastRowLastColumn="0"/>
              <w:rPr>
                <w:lang w:val="en-US"/>
              </w:rPr>
            </w:pPr>
            <w:r w:rsidRPr="002E277D">
              <w:rPr>
                <w:lang w:val="en-US"/>
              </w:rPr>
              <w:t>Summary of new information</w:t>
            </w:r>
          </w:p>
        </w:tc>
      </w:tr>
      <w:tr w:rsidR="00285173" w14:paraId="52C59DC7" w14:textId="77777777" w:rsidTr="002718BD">
        <w:tc>
          <w:tcPr>
            <w:cnfStyle w:val="001000000000" w:firstRow="0" w:lastRow="0" w:firstColumn="1" w:lastColumn="0" w:oddVBand="0" w:evenVBand="0" w:oddHBand="0" w:evenHBand="0" w:firstRowFirstColumn="0" w:firstRowLastColumn="0" w:lastRowFirstColumn="0" w:lastRowLastColumn="0"/>
            <w:tcW w:w="1384" w:type="dxa"/>
            <w:vAlign w:val="center"/>
          </w:tcPr>
          <w:p w14:paraId="26508258" w14:textId="7C038B8B" w:rsidR="00285173" w:rsidRPr="008D4E60" w:rsidRDefault="00FE4717" w:rsidP="002718BD">
            <w:pPr>
              <w:rPr>
                <w:lang w:val="en-US"/>
              </w:rPr>
            </w:pPr>
            <w:r w:rsidRPr="00DD30AA">
              <w:rPr>
                <w:lang w:val="en-US"/>
              </w:rPr>
              <w:t>All</w:t>
            </w:r>
          </w:p>
        </w:tc>
        <w:tc>
          <w:tcPr>
            <w:tcW w:w="7858" w:type="dxa"/>
            <w:vAlign w:val="center"/>
          </w:tcPr>
          <w:p w14:paraId="79A53A97" w14:textId="752562FF" w:rsidR="00285173" w:rsidRPr="00FE4717" w:rsidRDefault="00FE4717" w:rsidP="002718BD">
            <w:pPr>
              <w:cnfStyle w:val="000000000000" w:firstRow="0" w:lastRow="0" w:firstColumn="0" w:lastColumn="0" w:oddVBand="0" w:evenVBand="0" w:oddHBand="0" w:evenHBand="0" w:firstRowFirstColumn="0" w:firstRowLastColumn="0" w:lastRowFirstColumn="0" w:lastRowLastColumn="0"/>
              <w:rPr>
                <w:lang w:val="en-US"/>
              </w:rPr>
            </w:pPr>
            <w:r w:rsidRPr="00FE4717">
              <w:rPr>
                <w:lang w:val="en-US"/>
              </w:rPr>
              <w:t xml:space="preserve">New </w:t>
            </w:r>
            <w:r w:rsidR="00BA1FDF">
              <w:rPr>
                <w:lang w:val="en-US"/>
              </w:rPr>
              <w:t>c</w:t>
            </w:r>
            <w:r w:rsidRPr="00FE4717">
              <w:rPr>
                <w:lang w:val="en-US"/>
              </w:rPr>
              <w:t xml:space="preserve">hemical </w:t>
            </w:r>
            <w:r w:rsidR="00BA1FDF">
              <w:rPr>
                <w:lang w:val="en-US"/>
              </w:rPr>
              <w:t>e</w:t>
            </w:r>
            <w:r w:rsidRPr="00FE4717">
              <w:rPr>
                <w:lang w:val="en-US"/>
              </w:rPr>
              <w:t>ntity</w:t>
            </w:r>
          </w:p>
        </w:tc>
      </w:tr>
    </w:tbl>
    <w:p w14:paraId="16DB5DAF" w14:textId="77777777" w:rsidR="00960CD5" w:rsidRDefault="00960CD5" w:rsidP="00A85A71">
      <w:pPr>
        <w:pStyle w:val="Heading1"/>
        <w:numPr>
          <w:ilvl w:val="0"/>
          <w:numId w:val="0"/>
        </w:numPr>
      </w:pPr>
    </w:p>
    <w:sectPr w:rsidR="00960CD5">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F42E42" w14:textId="77777777" w:rsidR="00BF0E9D" w:rsidRDefault="00BF0E9D" w:rsidP="00D10D9A">
      <w:r>
        <w:separator/>
      </w:r>
    </w:p>
    <w:p w14:paraId="149F6FB3" w14:textId="77777777" w:rsidR="00BF0E9D" w:rsidRDefault="00BF0E9D" w:rsidP="00D10D9A"/>
  </w:endnote>
  <w:endnote w:type="continuationSeparator" w:id="0">
    <w:p w14:paraId="0C5608FD" w14:textId="77777777" w:rsidR="00BF0E9D" w:rsidRDefault="00BF0E9D" w:rsidP="00D10D9A">
      <w:r>
        <w:continuationSeparator/>
      </w:r>
    </w:p>
    <w:p w14:paraId="5BA38B87" w14:textId="77777777" w:rsidR="00BF0E9D" w:rsidRDefault="00BF0E9D" w:rsidP="00D10D9A"/>
  </w:endnote>
  <w:endnote w:type="continuationNotice" w:id="1">
    <w:p w14:paraId="491D49A3" w14:textId="77777777" w:rsidR="00BF0E9D" w:rsidRDefault="00BF0E9D" w:rsidP="00D10D9A"/>
    <w:p w14:paraId="039EDF2A" w14:textId="77777777" w:rsidR="00BF0E9D" w:rsidRDefault="00BF0E9D" w:rsidP="00D10D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Wingdings 3">
    <w:panose1 w:val="050401020108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3163430"/>
      <w:docPartObj>
        <w:docPartGallery w:val="Page Numbers (Bottom of Page)"/>
        <w:docPartUnique/>
      </w:docPartObj>
    </w:sdtPr>
    <w:sdtEndPr/>
    <w:sdtContent>
      <w:p w14:paraId="20D0D965" w14:textId="77777777" w:rsidR="00190F5F" w:rsidRPr="00C1185E" w:rsidRDefault="00190F5F" w:rsidP="00D10D9A">
        <w:pPr>
          <w:pStyle w:val="Footer"/>
          <w:rPr>
            <w:sz w:val="12"/>
            <w:szCs w:val="12"/>
          </w:rPr>
        </w:pPr>
      </w:p>
      <w:p w14:paraId="7E6F92AD" w14:textId="2843BDB2" w:rsidR="002974A3" w:rsidRPr="00C1185E" w:rsidRDefault="00190F5F" w:rsidP="00D10D9A">
        <w:pPr>
          <w:pStyle w:val="Footer"/>
        </w:pPr>
        <w:r w:rsidRPr="00C1185E">
          <w:t>RETEVMO vD0.</w:t>
        </w:r>
        <w:r w:rsidR="001C014C">
          <w:t>5</w:t>
        </w:r>
        <w:r w:rsidR="00E11BF3">
          <w:t xml:space="preserve"> </w:t>
        </w:r>
        <w:r w:rsidR="001C014C">
          <w:t>Jun</w:t>
        </w:r>
        <w:r w:rsidR="000C73AB">
          <w:t>2023</w:t>
        </w:r>
        <w:r w:rsidRPr="00C1185E">
          <w:tab/>
        </w:r>
        <w:r w:rsidRPr="00C1185E">
          <w:tab/>
          <w:t xml:space="preserve">Page </w:t>
        </w:r>
        <w:r w:rsidRPr="00C1185E">
          <w:fldChar w:fldCharType="begin"/>
        </w:r>
        <w:r w:rsidRPr="00C1185E">
          <w:instrText xml:space="preserve"> PAGE  \* Arabic  \* MERGEFORMAT </w:instrText>
        </w:r>
        <w:r w:rsidRPr="00C1185E">
          <w:fldChar w:fldCharType="separate"/>
        </w:r>
        <w:r w:rsidRPr="00C1185E">
          <w:t>1</w:t>
        </w:r>
        <w:r w:rsidRPr="00C1185E">
          <w:fldChar w:fldCharType="end"/>
        </w:r>
        <w:r w:rsidRPr="00C1185E">
          <w:t xml:space="preserve"> of </w:t>
        </w:r>
        <w:r>
          <w:fldChar w:fldCharType="begin"/>
        </w:r>
        <w:r w:rsidRPr="00C1185E">
          <w:rPr>
            <w:b/>
            <w:bCs/>
            <w:sz w:val="20"/>
            <w:szCs w:val="20"/>
          </w:rPr>
          <w:instrText xml:space="preserve"> NUMPAGES  \* Arabic  \* MERGEFORMAT </w:instrText>
        </w:r>
        <w:r>
          <w:fldChar w:fldCharType="separate"/>
        </w:r>
        <w:r w:rsidRPr="00C1185E">
          <w:t>2</w:t>
        </w:r>
        <w:r>
          <w:fldChar w:fldCharType="end"/>
        </w:r>
      </w:p>
    </w:sdtContent>
  </w:sdt>
  <w:p w14:paraId="163744D0" w14:textId="77777777" w:rsidR="002718BD" w:rsidRPr="00C1185E" w:rsidRDefault="002718B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1BE911" w14:textId="77777777" w:rsidR="00BF0E9D" w:rsidRDefault="00BF0E9D" w:rsidP="00D10D9A">
      <w:r>
        <w:separator/>
      </w:r>
    </w:p>
    <w:p w14:paraId="6FC90DDC" w14:textId="77777777" w:rsidR="00BF0E9D" w:rsidRDefault="00BF0E9D" w:rsidP="00D10D9A"/>
  </w:footnote>
  <w:footnote w:type="continuationSeparator" w:id="0">
    <w:p w14:paraId="323FDEDC" w14:textId="77777777" w:rsidR="00BF0E9D" w:rsidRDefault="00BF0E9D" w:rsidP="00D10D9A">
      <w:r>
        <w:continuationSeparator/>
      </w:r>
    </w:p>
    <w:p w14:paraId="57557A62" w14:textId="77777777" w:rsidR="00BF0E9D" w:rsidRDefault="00BF0E9D" w:rsidP="00D10D9A"/>
  </w:footnote>
  <w:footnote w:type="continuationNotice" w:id="1">
    <w:p w14:paraId="3E780627" w14:textId="77777777" w:rsidR="00BF0E9D" w:rsidRDefault="00BF0E9D" w:rsidP="00D10D9A"/>
    <w:p w14:paraId="1D90E182" w14:textId="77777777" w:rsidR="00BF0E9D" w:rsidRDefault="00BF0E9D" w:rsidP="00D10D9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shd w:val="clear" w:color="auto" w:fill="E4F2E0"/>
      <w:tblLook w:val="04A0" w:firstRow="1" w:lastRow="0" w:firstColumn="1" w:lastColumn="0" w:noHBand="0" w:noVBand="1"/>
    </w:tblPr>
    <w:tblGrid>
      <w:gridCol w:w="9016"/>
    </w:tblGrid>
    <w:tr w:rsidR="00A85A71" w:rsidRPr="000B2145" w14:paraId="539608F0" w14:textId="77777777" w:rsidTr="0017348B">
      <w:trPr>
        <w:trHeight w:val="1012"/>
      </w:trPr>
      <w:tc>
        <w:tcPr>
          <w:tcW w:w="9180" w:type="dxa"/>
          <w:shd w:val="clear" w:color="auto" w:fill="E4F2E0"/>
        </w:tcPr>
        <w:p w14:paraId="69EA10DE" w14:textId="77777777" w:rsidR="00A85A71" w:rsidRPr="000E4791" w:rsidRDefault="00A85A71" w:rsidP="00A85A71">
          <w:pPr>
            <w:pStyle w:val="Footer"/>
            <w:rPr>
              <w:b/>
              <w:sz w:val="18"/>
              <w:szCs w:val="18"/>
            </w:rPr>
          </w:pPr>
          <w:bookmarkStart w:id="19" w:name="_Hlk109054010"/>
          <w:r w:rsidRPr="00EE2A41">
            <w:rPr>
              <w:b/>
              <w:sz w:val="18"/>
              <w:szCs w:val="18"/>
            </w:rPr>
            <w:t xml:space="preserve">Attachment </w:t>
          </w:r>
          <w:r w:rsidRPr="00203367">
            <w:rPr>
              <w:b/>
              <w:sz w:val="18"/>
              <w:szCs w:val="18"/>
            </w:rPr>
            <w:t xml:space="preserve">AusPAR – Retevmo – </w:t>
          </w:r>
          <w:proofErr w:type="spellStart"/>
          <w:r w:rsidRPr="00203367">
            <w:rPr>
              <w:b/>
              <w:sz w:val="18"/>
              <w:szCs w:val="18"/>
            </w:rPr>
            <w:t>selpercatinib</w:t>
          </w:r>
          <w:proofErr w:type="spellEnd"/>
          <w:r w:rsidRPr="00203367">
            <w:rPr>
              <w:b/>
              <w:sz w:val="18"/>
              <w:szCs w:val="18"/>
            </w:rPr>
            <w:t xml:space="preserve"> – Eli Lilly Australia Pty Ltd – PM-2022-02343-1-4</w:t>
          </w:r>
          <w:r>
            <w:rPr>
              <w:b/>
              <w:sz w:val="18"/>
              <w:szCs w:val="18"/>
            </w:rPr>
            <w:t xml:space="preserve"> </w:t>
          </w:r>
          <w:r w:rsidRPr="00203367">
            <w:rPr>
              <w:b/>
              <w:sz w:val="18"/>
              <w:szCs w:val="18"/>
            </w:rPr>
            <w:t>FINAL 23 January 2024</w:t>
          </w:r>
          <w:r>
            <w:rPr>
              <w:b/>
              <w:sz w:val="18"/>
              <w:szCs w:val="18"/>
            </w:rPr>
            <w:t>.</w:t>
          </w:r>
          <w:r w:rsidRPr="00EE2A41">
            <w:rPr>
              <w:b/>
              <w:sz w:val="18"/>
              <w:szCs w:val="18"/>
            </w:rPr>
            <w:t xml:space="preserve"> This is the Product Information that was approved with the submission described in this AusPAR. It may have been superseded. For the most recent PI, please refer to the TGA website at</w:t>
          </w:r>
          <w:r w:rsidRPr="000E4791">
            <w:rPr>
              <w:b/>
              <w:sz w:val="18"/>
              <w:szCs w:val="18"/>
            </w:rPr>
            <w:t xml:space="preserve"> &lt;</w:t>
          </w:r>
          <w:hyperlink r:id="rId1" w:history="1">
            <w:r w:rsidRPr="000E4791">
              <w:rPr>
                <w:rStyle w:val="Hyperlink"/>
                <w:b/>
                <w:sz w:val="18"/>
                <w:szCs w:val="18"/>
              </w:rPr>
              <w:t>https://www.tga.gov.au/product-information-pi</w:t>
            </w:r>
          </w:hyperlink>
          <w:r w:rsidRPr="000E4791">
            <w:rPr>
              <w:b/>
              <w:sz w:val="18"/>
              <w:szCs w:val="18"/>
              <w:u w:val="single"/>
            </w:rPr>
            <w:t>&gt;</w:t>
          </w:r>
        </w:p>
      </w:tc>
    </w:tr>
    <w:bookmarkEnd w:id="19"/>
  </w:tbl>
  <w:p w14:paraId="7BBBB790" w14:textId="77777777" w:rsidR="00A85A71" w:rsidRDefault="00A85A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33F3E"/>
    <w:multiLevelType w:val="hybridMultilevel"/>
    <w:tmpl w:val="5AB64A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A756BCB"/>
    <w:multiLevelType w:val="hybridMultilevel"/>
    <w:tmpl w:val="300459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7660B4"/>
    <w:multiLevelType w:val="hybridMultilevel"/>
    <w:tmpl w:val="870431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F7E6EB5"/>
    <w:multiLevelType w:val="hybridMultilevel"/>
    <w:tmpl w:val="AA2AA9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4435439"/>
    <w:multiLevelType w:val="hybridMultilevel"/>
    <w:tmpl w:val="D23AB8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D4314C0"/>
    <w:multiLevelType w:val="hybridMultilevel"/>
    <w:tmpl w:val="98F6A9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48C5FE4"/>
    <w:multiLevelType w:val="hybridMultilevel"/>
    <w:tmpl w:val="46BAA1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10B5839"/>
    <w:multiLevelType w:val="hybridMultilevel"/>
    <w:tmpl w:val="7E9A64BC"/>
    <w:lvl w:ilvl="0" w:tplc="BCEE6FC0">
      <w:numFmt w:val="bullet"/>
      <w:lvlText w:val="-"/>
      <w:lvlJc w:val="left"/>
      <w:pPr>
        <w:ind w:left="720" w:hanging="360"/>
      </w:pPr>
      <w:rPr>
        <w:rFonts w:ascii="Cambria" w:eastAsiaTheme="minorHAnsi" w:hAnsi="Cambri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7507084"/>
    <w:multiLevelType w:val="hybridMultilevel"/>
    <w:tmpl w:val="B91605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3295EF4"/>
    <w:multiLevelType w:val="hybridMultilevel"/>
    <w:tmpl w:val="6298CA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6D42C05"/>
    <w:multiLevelType w:val="multilevel"/>
    <w:tmpl w:val="88CA3A76"/>
    <w:lvl w:ilvl="0">
      <w:start w:val="1"/>
      <w:numFmt w:val="decimal"/>
      <w:lvlText w:val="Note %1:"/>
      <w:lvlJc w:val="left"/>
      <w:pPr>
        <w:ind w:left="1021" w:hanging="1021"/>
      </w:pPr>
      <w:rPr>
        <w:rFonts w:ascii="Cambria" w:hAnsi="Cambria"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676F49FC"/>
    <w:multiLevelType w:val="hybridMultilevel"/>
    <w:tmpl w:val="76C6F6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0332797"/>
    <w:multiLevelType w:val="multilevel"/>
    <w:tmpl w:val="0C090025"/>
    <w:lvl w:ilvl="0">
      <w:start w:val="1"/>
      <w:numFmt w:val="decimal"/>
      <w:pStyle w:val="Heading1"/>
      <w:lvlText w:val="%1"/>
      <w:lvlJc w:val="left"/>
      <w:pPr>
        <w:ind w:left="432" w:hanging="432"/>
      </w:pPr>
    </w:lvl>
    <w:lvl w:ilvl="1">
      <w:start w:val="1"/>
      <w:numFmt w:val="decimal"/>
      <w:pStyle w:val="Heading2"/>
      <w:lvlText w:val="%1.%2"/>
      <w:lvlJc w:val="left"/>
      <w:pPr>
        <w:ind w:left="1002"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15:restartNumberingAfterBreak="0">
    <w:nsid w:val="712E4FFD"/>
    <w:multiLevelType w:val="hybridMultilevel"/>
    <w:tmpl w:val="E526A6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2613446"/>
    <w:multiLevelType w:val="hybridMultilevel"/>
    <w:tmpl w:val="D384F4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311220D"/>
    <w:multiLevelType w:val="hybridMultilevel"/>
    <w:tmpl w:val="E814E9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A3F201C"/>
    <w:multiLevelType w:val="hybridMultilevel"/>
    <w:tmpl w:val="0DC6AF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FB401D6"/>
    <w:multiLevelType w:val="hybridMultilevel"/>
    <w:tmpl w:val="270C46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70864943">
    <w:abstractNumId w:val="12"/>
  </w:num>
  <w:num w:numId="2" w16cid:durableId="1634168819">
    <w:abstractNumId w:val="2"/>
  </w:num>
  <w:num w:numId="3" w16cid:durableId="698507021">
    <w:abstractNumId w:val="0"/>
  </w:num>
  <w:num w:numId="4" w16cid:durableId="434860699">
    <w:abstractNumId w:val="8"/>
  </w:num>
  <w:num w:numId="5" w16cid:durableId="394664334">
    <w:abstractNumId w:val="17"/>
  </w:num>
  <w:num w:numId="6" w16cid:durableId="1839497094">
    <w:abstractNumId w:val="14"/>
  </w:num>
  <w:num w:numId="7" w16cid:durableId="1848709735">
    <w:abstractNumId w:val="11"/>
  </w:num>
  <w:num w:numId="8" w16cid:durableId="554045116">
    <w:abstractNumId w:val="15"/>
  </w:num>
  <w:num w:numId="9" w16cid:durableId="1672296433">
    <w:abstractNumId w:val="4"/>
  </w:num>
  <w:num w:numId="10" w16cid:durableId="2041322790">
    <w:abstractNumId w:val="10"/>
  </w:num>
  <w:num w:numId="11" w16cid:durableId="204752844">
    <w:abstractNumId w:val="12"/>
  </w:num>
  <w:num w:numId="12" w16cid:durableId="162546725">
    <w:abstractNumId w:val="12"/>
  </w:num>
  <w:num w:numId="13" w16cid:durableId="874999296">
    <w:abstractNumId w:val="7"/>
  </w:num>
  <w:num w:numId="14" w16cid:durableId="1573003769">
    <w:abstractNumId w:val="13"/>
  </w:num>
  <w:num w:numId="15" w16cid:durableId="1001007076">
    <w:abstractNumId w:val="1"/>
  </w:num>
  <w:num w:numId="16" w16cid:durableId="1976523634">
    <w:abstractNumId w:val="3"/>
  </w:num>
  <w:num w:numId="17" w16cid:durableId="1494103087">
    <w:abstractNumId w:val="9"/>
  </w:num>
  <w:num w:numId="18" w16cid:durableId="572159887">
    <w:abstractNumId w:val="16"/>
  </w:num>
  <w:num w:numId="19" w16cid:durableId="299920868">
    <w:abstractNumId w:val="5"/>
  </w:num>
  <w:num w:numId="20" w16cid:durableId="204174092">
    <w:abstractNumId w:val="6"/>
  </w:num>
  <w:num w:numId="21" w16cid:durableId="5459473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vault_nd_0156b208-76f1-45b3-9c01-40f3213bc706" w:val=" "/>
    <w:docVar w:name="vault_nd_0452a47d-ebfa-4652-a7f9-342cc67bbddc" w:val=" "/>
    <w:docVar w:name="vault_nd_0960f63e-506f-4850-863d-af3b3c6786a8" w:val=" "/>
    <w:docVar w:name="vault_nd_0c1a6597-3be4-4688-a91c-f544ac777a1d" w:val=" "/>
    <w:docVar w:name="vault_nd_12d75585-b7c0-4e51-9a27-ba62bac0e1a2" w:val=" "/>
    <w:docVar w:name="vault_nd_17041827-5688-482c-a8d1-7e3b2f6d98cb" w:val=" "/>
    <w:docVar w:name="vault_nd_1ab6e24b-7b4b-4d00-8e73-6da55c99e0c7" w:val=" "/>
    <w:docVar w:name="VAULT_ND_1b8ab57c-ff0f-41df-a48f-b4991b2e84cb" w:val=" "/>
    <w:docVar w:name="vault_nd_1c6ab5dd-9a82-49ac-a3a3-0f828b7465c3" w:val=" "/>
    <w:docVar w:name="vault_nd_1fb5ac3d-5c85-4491-88c6-b7cfc84cc87b" w:val=" "/>
    <w:docVar w:name="vault_nd_22cbafc3-f462-4dc4-92e2-b00ca71625a9" w:val=" "/>
    <w:docVar w:name="vault_nd_23ebd976-6b1b-4c43-84b6-3ea995e9ee09" w:val=" "/>
    <w:docVar w:name="vault_nd_2532e895-c2c1-418c-884a-eb00f0693242" w:val=" "/>
    <w:docVar w:name="vault_nd_26c8c5f0-6c06-454c-a36f-aa9f0139a283" w:val=" "/>
    <w:docVar w:name="vault_nd_294e6575-119e-48f3-a0ba-8a04b5ff8896" w:val=" "/>
    <w:docVar w:name="vault_nd_29fe3b23-6d53-40f0-9cb0-75597a133464" w:val=" "/>
    <w:docVar w:name="vault_nd_2a41273c-c74c-4456-9ca0-61d8e310d78d" w:val=" "/>
    <w:docVar w:name="vault_nd_2a4ca74f-4f54-4210-9724-a7a6c24d7c59" w:val=" "/>
    <w:docVar w:name="vault_nd_2eee9b4e-5d3d-4694-ab0a-76d84e45f34e" w:val=" "/>
    <w:docVar w:name="vault_nd_325f3c58-089a-416c-9f72-30fbb53c07fd" w:val=" "/>
    <w:docVar w:name="VAULT_ND_33b6e8c1-75a9-48eb-bf64-cfccc6751a07" w:val=" "/>
    <w:docVar w:name="vault_nd_34e40a77-62b9-46b1-9ab8-c2d3de61babb" w:val=" "/>
    <w:docVar w:name="vault_nd_34ea0dd2-4920-490c-b400-24f2e3779ac8" w:val=" "/>
    <w:docVar w:name="vault_nd_35a5ece0-db7f-4d72-9234-6334ca8e21f1" w:val=" "/>
    <w:docVar w:name="vault_nd_3a5b00b5-3f4d-43c5-b213-8b785a33a741" w:val=" "/>
    <w:docVar w:name="vault_nd_3b86adda-2e04-4cd5-9f25-6ee451ad5178" w:val=" "/>
    <w:docVar w:name="vault_nd_3eb2144f-19fd-4a69-9140-0132351abb6c" w:val=" "/>
    <w:docVar w:name="vault_nd_3fac7dd8-7fdc-40f9-a900-4c2e3427ed9b" w:val=" "/>
    <w:docVar w:name="vault_nd_4501b0ed-c761-4caf-8c1b-9bbc4c6d965a" w:val=" "/>
    <w:docVar w:name="vault_nd_45743835-c2c3-4599-bc34-634f5794703a" w:val=" "/>
    <w:docVar w:name="vault_nd_467dd39e-9465-4616-938e-0813831cb428" w:val=" "/>
    <w:docVar w:name="vault_nd_4bba797d-3ae0-4112-90cb-2692070315b5" w:val=" "/>
    <w:docVar w:name="VAULT_ND_4f08b642-f38b-4481-a7bb-eefc0751d775" w:val=" "/>
    <w:docVar w:name="vault_nd_4fe0063b-1f5d-4b57-b546-debd9d480828" w:val=" "/>
    <w:docVar w:name="vault_nd_54ef0258-47ae-4731-adad-6e91e6d33774" w:val=" "/>
    <w:docVar w:name="vault_nd_566cab9f-ba5d-440d-9b9b-09ee4e79728c" w:val=" "/>
    <w:docVar w:name="VAULT_ND_59620341-fa4e-4c36-ae75-f6fc58cafd26" w:val=" "/>
    <w:docVar w:name="vault_nd_5aa4c513-c673-4211-ba2e-a2ca5339d9a7" w:val=" "/>
    <w:docVar w:name="vault_nd_5f5df576-353b-4933-9095-de79a2565bbf" w:val=" "/>
    <w:docVar w:name="VAULT_ND_60663b8c-dfdf-45d6-918f-8d490b814d8d" w:val=" "/>
    <w:docVar w:name="vault_nd_654b935d-3825-4bb6-bf9e-48e949042047" w:val=" "/>
    <w:docVar w:name="vault_nd_65f6d464-354b-4150-bd81-319b72b20722" w:val=" "/>
    <w:docVar w:name="vault_nd_674392f4-7792-49aa-9cda-b042b2dee59a" w:val=" "/>
    <w:docVar w:name="vault_nd_67981cf7-4d73-42bd-9cc6-ef5b3ca1b543" w:val=" "/>
    <w:docVar w:name="vault_nd_682b0344-7017-44f2-919d-2d46c1c1cba8" w:val=" "/>
    <w:docVar w:name="vault_nd_686701a4-f213-45e5-ae1f-afafd33896fc" w:val=" "/>
    <w:docVar w:name="vault_nd_6a111b8c-5530-4053-9d44-c7e7ba60c408" w:val=" "/>
    <w:docVar w:name="vault_nd_6ca50ddb-ecb5-4e2c-8299-c21a8a9cd7e6" w:val=" "/>
    <w:docVar w:name="vault_nd_7682adfa-28e2-4abe-992b-36283a886e43" w:val=" "/>
    <w:docVar w:name="vault_nd_77ce3bd4-3fff-4e47-b423-86421c290351" w:val=" "/>
    <w:docVar w:name="vault_nd_7e282256-d146-4ac4-aa43-1c60f4eab773" w:val=" "/>
    <w:docVar w:name="VAULT_ND_7f4d76a1-abc6-4238-b96e-70c939628750" w:val=" "/>
    <w:docVar w:name="vault_nd_84915e0b-4aec-4d9c-a159-ed24d3fa3096" w:val=" "/>
    <w:docVar w:name="vault_nd_87467e22-ed52-48d6-986f-0550334585f7" w:val=" "/>
    <w:docVar w:name="vault_nd_87b4f9a1-12fb-408f-9caf-565f55fef2cb" w:val=" "/>
    <w:docVar w:name="vault_nd_89495eff-ea16-4e1b-9b79-43206123ad03" w:val=" "/>
    <w:docVar w:name="vault_nd_94931798-3cab-4aef-b810-7f3590c04129" w:val=" "/>
    <w:docVar w:name="vault_nd_97ed22cb-d802-4d42-a3c6-3048170abd07" w:val=" "/>
    <w:docVar w:name="vault_nd_9a16fe62-674e-458b-a858-2f7a1fddd1be" w:val=" "/>
    <w:docVar w:name="VAULT_ND_a77dc822-7b19-4d1a-9f6c-82af2bb9815b" w:val=" "/>
    <w:docVar w:name="vault_nd_a8b02f58-e322-445e-bbe6-01d99e1f6017" w:val=" "/>
    <w:docVar w:name="VAULT_ND_a8d0e9cb-c804-473c-a452-e195d3a9c24a" w:val=" "/>
    <w:docVar w:name="vault_nd_aa7531b7-5e57-4023-bc3d-d9f7d30b214e" w:val=" "/>
    <w:docVar w:name="vault_nd_ad75817b-248a-410d-84b9-f2babb352dde" w:val=" "/>
    <w:docVar w:name="vault_nd_b113758a-9cd0-4934-bb6e-0c9adcba4758" w:val=" "/>
    <w:docVar w:name="VAULT_ND_b1e9fa51-51f1-48e4-9b4d-0d97fb432034" w:val=" "/>
    <w:docVar w:name="vault_nd_b2dd3e33-5e36-4841-bb24-9619cd0d4376" w:val=" "/>
    <w:docVar w:name="vault_nd_b2e806c6-88f7-41e5-a307-150eebc8f4ea" w:val=" "/>
    <w:docVar w:name="vault_nd_b5453526-54b5-4484-b0ef-b810a6a8e46e" w:val=" "/>
    <w:docVar w:name="vault_nd_b92e8b4f-f686-4e4f-a326-8aad36024755" w:val=" "/>
    <w:docVar w:name="vault_nd_ba68d464-33c8-4c69-a2b4-8d0912ff25b2" w:val=" "/>
    <w:docVar w:name="vault_nd_bda3b15a-4b47-45d4-87b5-8ae54bfc2da5" w:val=" "/>
    <w:docVar w:name="vault_nd_bdb06841-ad29-4c6f-8647-cc82ea9c0cd6" w:val=" "/>
    <w:docVar w:name="vault_nd_be224684-c0a8-43cd-8dc2-43c84cc29d65" w:val=" "/>
    <w:docVar w:name="vault_nd_c20a115c-37b9-4e5d-a99e-0891038fc6cc" w:val=" "/>
    <w:docVar w:name="vault_nd_c2ae012a-3b73-41ad-9d02-d14901b4330d" w:val=" "/>
    <w:docVar w:name="vault_nd_c3033bee-aaea-4c8a-a296-7c26dd177ef7" w:val=" "/>
    <w:docVar w:name="vault_nd_c54aca95-8f8c-4b60-a90b-1d70591584a1" w:val=" "/>
    <w:docVar w:name="vault_nd_c8d89a79-6995-4042-9779-f79d5fb9eb57" w:val=" "/>
    <w:docVar w:name="vault_nd_c8e1e30a-27ec-4501-8f48-0f58cce78b8e" w:val=" "/>
    <w:docVar w:name="vault_nd_cb2e0f73-4a4f-4033-b747-040bed89f05f" w:val=" "/>
    <w:docVar w:name="vault_nd_cc500b33-20e3-46f1-b6d2-d60bc8a1261f" w:val=" "/>
    <w:docVar w:name="vault_nd_cc6ed057-4b99-4107-b803-54cd07884da1" w:val=" "/>
    <w:docVar w:name="vault_nd_d0124836-2e1a-44b4-9e3b-edb4100c7888" w:val=" "/>
    <w:docVar w:name="vault_nd_d08a49f6-e1b7-462c-8228-6ef015d3398f" w:val=" "/>
    <w:docVar w:name="vault_nd_d25d0500-3418-4c77-b3ba-ee93a4e79406" w:val=" "/>
    <w:docVar w:name="vault_nd_d2803fd1-b0d0-45e5-90f8-03476db14a65" w:val=" "/>
    <w:docVar w:name="VAULT_ND_d3614ec3-a66c-4d68-a05c-8df0d6c1f572" w:val=" "/>
    <w:docVar w:name="vault_nd_d7b8c88e-5451-4dcc-87a3-68d46fec3815" w:val=" "/>
    <w:docVar w:name="vault_nd_d7dfd47c-651a-4643-84f7-fafbecb8c9bf" w:val=" "/>
    <w:docVar w:name="vault_nd_d7e0e002-8254-4fee-a071-168d3cdf86ea" w:val=" "/>
    <w:docVar w:name="vault_nd_dd2dc3bb-7770-4257-8e9d-784d513adc52" w:val=" "/>
    <w:docVar w:name="vault_nd_dd9d4466-2972-4f83-b4ce-0893166695a8" w:val=" "/>
    <w:docVar w:name="vault_nd_defee1c9-5be9-4927-8fad-50bd054b5796" w:val=" "/>
    <w:docVar w:name="vault_nd_e745d5cc-190e-42a9-bfe9-960f01f62a44" w:val=" "/>
    <w:docVar w:name="vault_nd_e8f8f783-e3cc-4b91-90a7-502ca0a9a98a" w:val=" "/>
    <w:docVar w:name="vault_nd_e900808d-5651-403b-8e7a-dd59979a5567" w:val=" "/>
    <w:docVar w:name="vault_nd_ecbccb14-12a4-4777-91f9-16152aa12168" w:val=" "/>
    <w:docVar w:name="vault_nd_f281357d-346b-4f3c-a9c6-4f046b156312" w:val=" "/>
    <w:docVar w:name="vault_nd_f3bae2e1-463c-4612-b8bd-f5daf27f8811" w:val=" "/>
    <w:docVar w:name="vault_nd_f3ec6770-6e80-419f-be79-498c30c2a56e" w:val=" "/>
    <w:docVar w:name="vault_nd_f58dbd09-d552-42bd-b5a5-1d3976ba76bb" w:val=" "/>
    <w:docVar w:name="vault_nd_fa282ad6-9447-4395-87e7-bd06c2ad08e2" w:val=" "/>
    <w:docVar w:name="vault_nd_fba45538-19f5-4736-a078-80fe40437196" w:val=" "/>
    <w:docVar w:name="VAULT_ND_fbd30744-2f8b-45a8-99ab-18d8d089a521" w:val=" "/>
    <w:docVar w:name="vault_nd_fcec3591-e765-45b7-a8d6-5614c027baac" w:val=" "/>
    <w:docVar w:name="vault_nd_fcf8dc99-986c-4c5b-82fc-520305f6143f" w:val=" "/>
    <w:docVar w:name="vault_nd_fff9f9ce-0578-4445-8c72-bb66485c3cdf" w:val=" "/>
  </w:docVars>
  <w:rsids>
    <w:rsidRoot w:val="00686C70"/>
    <w:rsid w:val="000010C5"/>
    <w:rsid w:val="00001631"/>
    <w:rsid w:val="00002113"/>
    <w:rsid w:val="000028EA"/>
    <w:rsid w:val="00003114"/>
    <w:rsid w:val="00003F6D"/>
    <w:rsid w:val="00005AAA"/>
    <w:rsid w:val="000067B0"/>
    <w:rsid w:val="000068EA"/>
    <w:rsid w:val="00007215"/>
    <w:rsid w:val="00007282"/>
    <w:rsid w:val="00007D74"/>
    <w:rsid w:val="00011520"/>
    <w:rsid w:val="0001196D"/>
    <w:rsid w:val="00011AFA"/>
    <w:rsid w:val="00011C4F"/>
    <w:rsid w:val="000153E4"/>
    <w:rsid w:val="00015987"/>
    <w:rsid w:val="00016ABC"/>
    <w:rsid w:val="000219A7"/>
    <w:rsid w:val="00022516"/>
    <w:rsid w:val="00022FC1"/>
    <w:rsid w:val="00024495"/>
    <w:rsid w:val="0002535D"/>
    <w:rsid w:val="00026E62"/>
    <w:rsid w:val="000310FF"/>
    <w:rsid w:val="00031F59"/>
    <w:rsid w:val="00033597"/>
    <w:rsid w:val="00034088"/>
    <w:rsid w:val="00037ABD"/>
    <w:rsid w:val="00037ED3"/>
    <w:rsid w:val="000407ED"/>
    <w:rsid w:val="00041C5B"/>
    <w:rsid w:val="00042302"/>
    <w:rsid w:val="000430F6"/>
    <w:rsid w:val="000447D8"/>
    <w:rsid w:val="00046198"/>
    <w:rsid w:val="00046E2D"/>
    <w:rsid w:val="00047341"/>
    <w:rsid w:val="000478D5"/>
    <w:rsid w:val="00047D18"/>
    <w:rsid w:val="00051C52"/>
    <w:rsid w:val="00052606"/>
    <w:rsid w:val="00052F49"/>
    <w:rsid w:val="00053D37"/>
    <w:rsid w:val="00053D82"/>
    <w:rsid w:val="00054684"/>
    <w:rsid w:val="000552C2"/>
    <w:rsid w:val="00056D3D"/>
    <w:rsid w:val="000571C4"/>
    <w:rsid w:val="00057411"/>
    <w:rsid w:val="0005774C"/>
    <w:rsid w:val="00061827"/>
    <w:rsid w:val="00061B30"/>
    <w:rsid w:val="00061EDC"/>
    <w:rsid w:val="00062A83"/>
    <w:rsid w:val="000633A8"/>
    <w:rsid w:val="00063850"/>
    <w:rsid w:val="000646F2"/>
    <w:rsid w:val="00064992"/>
    <w:rsid w:val="00066862"/>
    <w:rsid w:val="00066D04"/>
    <w:rsid w:val="0006772C"/>
    <w:rsid w:val="00071262"/>
    <w:rsid w:val="000726D5"/>
    <w:rsid w:val="00072D24"/>
    <w:rsid w:val="00075201"/>
    <w:rsid w:val="00075630"/>
    <w:rsid w:val="00076252"/>
    <w:rsid w:val="00077DAE"/>
    <w:rsid w:val="00080542"/>
    <w:rsid w:val="00083085"/>
    <w:rsid w:val="000854C7"/>
    <w:rsid w:val="00085F18"/>
    <w:rsid w:val="0008685D"/>
    <w:rsid w:val="00086C02"/>
    <w:rsid w:val="00087E06"/>
    <w:rsid w:val="00087FBF"/>
    <w:rsid w:val="0009071C"/>
    <w:rsid w:val="000919FB"/>
    <w:rsid w:val="00092253"/>
    <w:rsid w:val="00093FFD"/>
    <w:rsid w:val="0009433B"/>
    <w:rsid w:val="00094A5A"/>
    <w:rsid w:val="00097716"/>
    <w:rsid w:val="00097BB7"/>
    <w:rsid w:val="00097D44"/>
    <w:rsid w:val="000A0ADA"/>
    <w:rsid w:val="000A0BDE"/>
    <w:rsid w:val="000A194F"/>
    <w:rsid w:val="000A29E3"/>
    <w:rsid w:val="000A3F2F"/>
    <w:rsid w:val="000A5C3F"/>
    <w:rsid w:val="000A6AF5"/>
    <w:rsid w:val="000A7938"/>
    <w:rsid w:val="000A7D9B"/>
    <w:rsid w:val="000B1055"/>
    <w:rsid w:val="000B4306"/>
    <w:rsid w:val="000B5603"/>
    <w:rsid w:val="000B739B"/>
    <w:rsid w:val="000B7668"/>
    <w:rsid w:val="000C0DFD"/>
    <w:rsid w:val="000C1D42"/>
    <w:rsid w:val="000C36D8"/>
    <w:rsid w:val="000C3FF1"/>
    <w:rsid w:val="000C4676"/>
    <w:rsid w:val="000C58EC"/>
    <w:rsid w:val="000C73AB"/>
    <w:rsid w:val="000C78FE"/>
    <w:rsid w:val="000D05A6"/>
    <w:rsid w:val="000D0640"/>
    <w:rsid w:val="000D5E43"/>
    <w:rsid w:val="000D6598"/>
    <w:rsid w:val="000D73BF"/>
    <w:rsid w:val="000E00B3"/>
    <w:rsid w:val="000E28ED"/>
    <w:rsid w:val="000E46CC"/>
    <w:rsid w:val="000E4A94"/>
    <w:rsid w:val="000E4DAF"/>
    <w:rsid w:val="000E5074"/>
    <w:rsid w:val="000E5250"/>
    <w:rsid w:val="000E5785"/>
    <w:rsid w:val="000F1828"/>
    <w:rsid w:val="000F2354"/>
    <w:rsid w:val="000F2435"/>
    <w:rsid w:val="000F36B3"/>
    <w:rsid w:val="000F406B"/>
    <w:rsid w:val="000F4373"/>
    <w:rsid w:val="000F65EC"/>
    <w:rsid w:val="000F6D11"/>
    <w:rsid w:val="000F6D65"/>
    <w:rsid w:val="000F7343"/>
    <w:rsid w:val="000F75BA"/>
    <w:rsid w:val="00101CF8"/>
    <w:rsid w:val="00101FAF"/>
    <w:rsid w:val="00102A95"/>
    <w:rsid w:val="00103771"/>
    <w:rsid w:val="001052DE"/>
    <w:rsid w:val="00106D1D"/>
    <w:rsid w:val="00110F76"/>
    <w:rsid w:val="00111B03"/>
    <w:rsid w:val="001129B3"/>
    <w:rsid w:val="00112BD4"/>
    <w:rsid w:val="00112E49"/>
    <w:rsid w:val="00113744"/>
    <w:rsid w:val="00116B79"/>
    <w:rsid w:val="001171C4"/>
    <w:rsid w:val="00120976"/>
    <w:rsid w:val="001216AF"/>
    <w:rsid w:val="00121DC4"/>
    <w:rsid w:val="00127F19"/>
    <w:rsid w:val="00130800"/>
    <w:rsid w:val="00130AAC"/>
    <w:rsid w:val="00133D6D"/>
    <w:rsid w:val="00135886"/>
    <w:rsid w:val="00135FA4"/>
    <w:rsid w:val="00135FC6"/>
    <w:rsid w:val="001374F2"/>
    <w:rsid w:val="00140384"/>
    <w:rsid w:val="00140547"/>
    <w:rsid w:val="00141243"/>
    <w:rsid w:val="001414DF"/>
    <w:rsid w:val="00141E8C"/>
    <w:rsid w:val="0014202C"/>
    <w:rsid w:val="0014255F"/>
    <w:rsid w:val="0014335B"/>
    <w:rsid w:val="00144DCC"/>
    <w:rsid w:val="001468FA"/>
    <w:rsid w:val="00150761"/>
    <w:rsid w:val="001508EA"/>
    <w:rsid w:val="00151B0A"/>
    <w:rsid w:val="00152077"/>
    <w:rsid w:val="0015269E"/>
    <w:rsid w:val="00153434"/>
    <w:rsid w:val="0015393B"/>
    <w:rsid w:val="001616D3"/>
    <w:rsid w:val="00161CE5"/>
    <w:rsid w:val="00162716"/>
    <w:rsid w:val="00162C5B"/>
    <w:rsid w:val="001646D4"/>
    <w:rsid w:val="00164AB9"/>
    <w:rsid w:val="00165137"/>
    <w:rsid w:val="00166843"/>
    <w:rsid w:val="00166AAC"/>
    <w:rsid w:val="001674A0"/>
    <w:rsid w:val="00171C6F"/>
    <w:rsid w:val="001725AE"/>
    <w:rsid w:val="001726EC"/>
    <w:rsid w:val="001730C6"/>
    <w:rsid w:val="0017379D"/>
    <w:rsid w:val="001755AC"/>
    <w:rsid w:val="00180D5B"/>
    <w:rsid w:val="00182794"/>
    <w:rsid w:val="00182DE4"/>
    <w:rsid w:val="00183FB9"/>
    <w:rsid w:val="00184656"/>
    <w:rsid w:val="00184DC2"/>
    <w:rsid w:val="0018562D"/>
    <w:rsid w:val="001862C8"/>
    <w:rsid w:val="0018639B"/>
    <w:rsid w:val="00186F33"/>
    <w:rsid w:val="00187833"/>
    <w:rsid w:val="00187EF4"/>
    <w:rsid w:val="00190F5F"/>
    <w:rsid w:val="00192EDE"/>
    <w:rsid w:val="001938F7"/>
    <w:rsid w:val="00193BAB"/>
    <w:rsid w:val="00193BD7"/>
    <w:rsid w:val="001940E3"/>
    <w:rsid w:val="00194FE9"/>
    <w:rsid w:val="001A1399"/>
    <w:rsid w:val="001A147D"/>
    <w:rsid w:val="001A3992"/>
    <w:rsid w:val="001A704E"/>
    <w:rsid w:val="001B2BC9"/>
    <w:rsid w:val="001B34B9"/>
    <w:rsid w:val="001C014C"/>
    <w:rsid w:val="001C2285"/>
    <w:rsid w:val="001C4FD6"/>
    <w:rsid w:val="001C526E"/>
    <w:rsid w:val="001C55BF"/>
    <w:rsid w:val="001C663E"/>
    <w:rsid w:val="001C73AF"/>
    <w:rsid w:val="001C7D5D"/>
    <w:rsid w:val="001D009F"/>
    <w:rsid w:val="001D483D"/>
    <w:rsid w:val="001D6A8D"/>
    <w:rsid w:val="001E026A"/>
    <w:rsid w:val="001E0920"/>
    <w:rsid w:val="001E25EA"/>
    <w:rsid w:val="001E26D6"/>
    <w:rsid w:val="001E2B50"/>
    <w:rsid w:val="001E34EA"/>
    <w:rsid w:val="001E4A76"/>
    <w:rsid w:val="001E6571"/>
    <w:rsid w:val="001F04C9"/>
    <w:rsid w:val="001F04EC"/>
    <w:rsid w:val="001F336F"/>
    <w:rsid w:val="001F51CD"/>
    <w:rsid w:val="001F5F20"/>
    <w:rsid w:val="001F6CBA"/>
    <w:rsid w:val="001F72AF"/>
    <w:rsid w:val="00200046"/>
    <w:rsid w:val="00202875"/>
    <w:rsid w:val="002029A7"/>
    <w:rsid w:val="0020370C"/>
    <w:rsid w:val="00203891"/>
    <w:rsid w:val="00206DF6"/>
    <w:rsid w:val="002074BC"/>
    <w:rsid w:val="0021200F"/>
    <w:rsid w:val="0021351C"/>
    <w:rsid w:val="0021538D"/>
    <w:rsid w:val="002153BF"/>
    <w:rsid w:val="00217EBE"/>
    <w:rsid w:val="00221ADE"/>
    <w:rsid w:val="002220E5"/>
    <w:rsid w:val="002227BF"/>
    <w:rsid w:val="00222CBB"/>
    <w:rsid w:val="0022362A"/>
    <w:rsid w:val="0022486B"/>
    <w:rsid w:val="00225809"/>
    <w:rsid w:val="00227739"/>
    <w:rsid w:val="00227C19"/>
    <w:rsid w:val="00227E5F"/>
    <w:rsid w:val="002313D9"/>
    <w:rsid w:val="00232574"/>
    <w:rsid w:val="0023260B"/>
    <w:rsid w:val="00233EF6"/>
    <w:rsid w:val="002347DA"/>
    <w:rsid w:val="002352E2"/>
    <w:rsid w:val="00235A8B"/>
    <w:rsid w:val="002361D1"/>
    <w:rsid w:val="002414DC"/>
    <w:rsid w:val="002416C0"/>
    <w:rsid w:val="002427E9"/>
    <w:rsid w:val="002430A8"/>
    <w:rsid w:val="0024518D"/>
    <w:rsid w:val="00247942"/>
    <w:rsid w:val="0025069B"/>
    <w:rsid w:val="002509F6"/>
    <w:rsid w:val="0025269E"/>
    <w:rsid w:val="002533C8"/>
    <w:rsid w:val="00253DF3"/>
    <w:rsid w:val="00254076"/>
    <w:rsid w:val="0025544C"/>
    <w:rsid w:val="0025713C"/>
    <w:rsid w:val="00261E6E"/>
    <w:rsid w:val="002633F3"/>
    <w:rsid w:val="00265DCF"/>
    <w:rsid w:val="00265F2F"/>
    <w:rsid w:val="00270901"/>
    <w:rsid w:val="002709F7"/>
    <w:rsid w:val="002718BD"/>
    <w:rsid w:val="00272432"/>
    <w:rsid w:val="0027378B"/>
    <w:rsid w:val="00273974"/>
    <w:rsid w:val="00273A2C"/>
    <w:rsid w:val="002746CC"/>
    <w:rsid w:val="00275337"/>
    <w:rsid w:val="00275FCA"/>
    <w:rsid w:val="002766D7"/>
    <w:rsid w:val="002767AC"/>
    <w:rsid w:val="002804B1"/>
    <w:rsid w:val="00280DDC"/>
    <w:rsid w:val="00281120"/>
    <w:rsid w:val="0028199D"/>
    <w:rsid w:val="00281A1D"/>
    <w:rsid w:val="0028212B"/>
    <w:rsid w:val="0028214F"/>
    <w:rsid w:val="00283CC8"/>
    <w:rsid w:val="00285173"/>
    <w:rsid w:val="00286613"/>
    <w:rsid w:val="0028669C"/>
    <w:rsid w:val="002876CC"/>
    <w:rsid w:val="0029025C"/>
    <w:rsid w:val="00291D0A"/>
    <w:rsid w:val="00292E21"/>
    <w:rsid w:val="002935FF"/>
    <w:rsid w:val="00293667"/>
    <w:rsid w:val="002970AD"/>
    <w:rsid w:val="002974A3"/>
    <w:rsid w:val="002A01DD"/>
    <w:rsid w:val="002A20EC"/>
    <w:rsid w:val="002A295E"/>
    <w:rsid w:val="002A3351"/>
    <w:rsid w:val="002A3EFD"/>
    <w:rsid w:val="002A4349"/>
    <w:rsid w:val="002A5F1A"/>
    <w:rsid w:val="002A68E3"/>
    <w:rsid w:val="002A6BA3"/>
    <w:rsid w:val="002A7309"/>
    <w:rsid w:val="002A7734"/>
    <w:rsid w:val="002B335D"/>
    <w:rsid w:val="002B362B"/>
    <w:rsid w:val="002B3842"/>
    <w:rsid w:val="002B3AC1"/>
    <w:rsid w:val="002B431F"/>
    <w:rsid w:val="002B5FCE"/>
    <w:rsid w:val="002B7E8A"/>
    <w:rsid w:val="002C147A"/>
    <w:rsid w:val="002C1C06"/>
    <w:rsid w:val="002C26C3"/>
    <w:rsid w:val="002C2921"/>
    <w:rsid w:val="002C4296"/>
    <w:rsid w:val="002C4D61"/>
    <w:rsid w:val="002C74D5"/>
    <w:rsid w:val="002D0EF1"/>
    <w:rsid w:val="002D32B3"/>
    <w:rsid w:val="002D3E90"/>
    <w:rsid w:val="002D53DB"/>
    <w:rsid w:val="002E101B"/>
    <w:rsid w:val="002E277D"/>
    <w:rsid w:val="002E27D2"/>
    <w:rsid w:val="002E2F16"/>
    <w:rsid w:val="002E30B4"/>
    <w:rsid w:val="002E4FB2"/>
    <w:rsid w:val="002E51B1"/>
    <w:rsid w:val="002E639C"/>
    <w:rsid w:val="002E6741"/>
    <w:rsid w:val="002E7300"/>
    <w:rsid w:val="002F26DF"/>
    <w:rsid w:val="002F3425"/>
    <w:rsid w:val="002F5677"/>
    <w:rsid w:val="002F69B3"/>
    <w:rsid w:val="002F6B34"/>
    <w:rsid w:val="003021EB"/>
    <w:rsid w:val="003029A4"/>
    <w:rsid w:val="00304D16"/>
    <w:rsid w:val="003072BC"/>
    <w:rsid w:val="00307B3B"/>
    <w:rsid w:val="00307CEF"/>
    <w:rsid w:val="003128BE"/>
    <w:rsid w:val="0031306C"/>
    <w:rsid w:val="00313075"/>
    <w:rsid w:val="00313D4A"/>
    <w:rsid w:val="003149C0"/>
    <w:rsid w:val="00315239"/>
    <w:rsid w:val="00317243"/>
    <w:rsid w:val="00320B28"/>
    <w:rsid w:val="003211E0"/>
    <w:rsid w:val="00321CB9"/>
    <w:rsid w:val="003222E2"/>
    <w:rsid w:val="00322895"/>
    <w:rsid w:val="00322C08"/>
    <w:rsid w:val="003236E6"/>
    <w:rsid w:val="003250E4"/>
    <w:rsid w:val="0032626A"/>
    <w:rsid w:val="003277BA"/>
    <w:rsid w:val="00330436"/>
    <w:rsid w:val="0033157F"/>
    <w:rsid w:val="00331E77"/>
    <w:rsid w:val="003325E5"/>
    <w:rsid w:val="003331F5"/>
    <w:rsid w:val="00334389"/>
    <w:rsid w:val="00334FAE"/>
    <w:rsid w:val="00335049"/>
    <w:rsid w:val="00335D19"/>
    <w:rsid w:val="00337C34"/>
    <w:rsid w:val="00337E27"/>
    <w:rsid w:val="00340C00"/>
    <w:rsid w:val="00341FD2"/>
    <w:rsid w:val="0034203C"/>
    <w:rsid w:val="003431CF"/>
    <w:rsid w:val="003432F7"/>
    <w:rsid w:val="003434E0"/>
    <w:rsid w:val="00344A18"/>
    <w:rsid w:val="00345209"/>
    <w:rsid w:val="0034655F"/>
    <w:rsid w:val="0034769D"/>
    <w:rsid w:val="0035198C"/>
    <w:rsid w:val="003545C7"/>
    <w:rsid w:val="00355004"/>
    <w:rsid w:val="00356EF5"/>
    <w:rsid w:val="00356F08"/>
    <w:rsid w:val="0036183B"/>
    <w:rsid w:val="00361EBE"/>
    <w:rsid w:val="00362C8C"/>
    <w:rsid w:val="00363440"/>
    <w:rsid w:val="003656FD"/>
    <w:rsid w:val="0036598A"/>
    <w:rsid w:val="00366EA9"/>
    <w:rsid w:val="003700A2"/>
    <w:rsid w:val="00371E06"/>
    <w:rsid w:val="00372C36"/>
    <w:rsid w:val="00374085"/>
    <w:rsid w:val="00375DF3"/>
    <w:rsid w:val="0037777D"/>
    <w:rsid w:val="0038127E"/>
    <w:rsid w:val="003816EB"/>
    <w:rsid w:val="00381F8B"/>
    <w:rsid w:val="00383966"/>
    <w:rsid w:val="0038622C"/>
    <w:rsid w:val="00386598"/>
    <w:rsid w:val="00386D69"/>
    <w:rsid w:val="00392D69"/>
    <w:rsid w:val="00393F56"/>
    <w:rsid w:val="003953D0"/>
    <w:rsid w:val="00395438"/>
    <w:rsid w:val="0039572F"/>
    <w:rsid w:val="00395783"/>
    <w:rsid w:val="00395D09"/>
    <w:rsid w:val="00395EE6"/>
    <w:rsid w:val="00397FB6"/>
    <w:rsid w:val="003A0CDB"/>
    <w:rsid w:val="003A1067"/>
    <w:rsid w:val="003A185E"/>
    <w:rsid w:val="003A22B8"/>
    <w:rsid w:val="003A31D9"/>
    <w:rsid w:val="003A52E7"/>
    <w:rsid w:val="003A68EB"/>
    <w:rsid w:val="003B014F"/>
    <w:rsid w:val="003B244F"/>
    <w:rsid w:val="003B29AA"/>
    <w:rsid w:val="003B489F"/>
    <w:rsid w:val="003B4DAB"/>
    <w:rsid w:val="003B4F4C"/>
    <w:rsid w:val="003B767C"/>
    <w:rsid w:val="003B7AA1"/>
    <w:rsid w:val="003C2EEC"/>
    <w:rsid w:val="003C4148"/>
    <w:rsid w:val="003C6FFA"/>
    <w:rsid w:val="003C72ED"/>
    <w:rsid w:val="003C7DCE"/>
    <w:rsid w:val="003D1AC5"/>
    <w:rsid w:val="003D2E78"/>
    <w:rsid w:val="003D2EF7"/>
    <w:rsid w:val="003D4E2E"/>
    <w:rsid w:val="003D6B06"/>
    <w:rsid w:val="003D7445"/>
    <w:rsid w:val="003E33EA"/>
    <w:rsid w:val="003E3D41"/>
    <w:rsid w:val="003E4778"/>
    <w:rsid w:val="003F0FAC"/>
    <w:rsid w:val="003F25E9"/>
    <w:rsid w:val="003F424C"/>
    <w:rsid w:val="003F7412"/>
    <w:rsid w:val="00401588"/>
    <w:rsid w:val="0040609E"/>
    <w:rsid w:val="00407881"/>
    <w:rsid w:val="00407D80"/>
    <w:rsid w:val="004105F1"/>
    <w:rsid w:val="00410E47"/>
    <w:rsid w:val="00411530"/>
    <w:rsid w:val="00411B3F"/>
    <w:rsid w:val="00412797"/>
    <w:rsid w:val="00412861"/>
    <w:rsid w:val="00412C00"/>
    <w:rsid w:val="00414E03"/>
    <w:rsid w:val="00416167"/>
    <w:rsid w:val="004163D9"/>
    <w:rsid w:val="004167D0"/>
    <w:rsid w:val="00416B53"/>
    <w:rsid w:val="00417CCE"/>
    <w:rsid w:val="004204B5"/>
    <w:rsid w:val="004207A5"/>
    <w:rsid w:val="00421C78"/>
    <w:rsid w:val="00422EDD"/>
    <w:rsid w:val="0042359B"/>
    <w:rsid w:val="00423F97"/>
    <w:rsid w:val="004243EA"/>
    <w:rsid w:val="004246DB"/>
    <w:rsid w:val="0042593A"/>
    <w:rsid w:val="0042789A"/>
    <w:rsid w:val="00427B52"/>
    <w:rsid w:val="0043061C"/>
    <w:rsid w:val="00431ACD"/>
    <w:rsid w:val="00433EC6"/>
    <w:rsid w:val="00433F4A"/>
    <w:rsid w:val="004340AD"/>
    <w:rsid w:val="00434FB5"/>
    <w:rsid w:val="0043507F"/>
    <w:rsid w:val="00437968"/>
    <w:rsid w:val="004410B4"/>
    <w:rsid w:val="00441E7D"/>
    <w:rsid w:val="004429AB"/>
    <w:rsid w:val="004434D5"/>
    <w:rsid w:val="00444C21"/>
    <w:rsid w:val="004450F8"/>
    <w:rsid w:val="004453FB"/>
    <w:rsid w:val="004459C3"/>
    <w:rsid w:val="00445E3A"/>
    <w:rsid w:val="004504FA"/>
    <w:rsid w:val="0045103D"/>
    <w:rsid w:val="004536F5"/>
    <w:rsid w:val="004555CA"/>
    <w:rsid w:val="00455913"/>
    <w:rsid w:val="00455E45"/>
    <w:rsid w:val="004563C7"/>
    <w:rsid w:val="004563FA"/>
    <w:rsid w:val="00456544"/>
    <w:rsid w:val="00456C38"/>
    <w:rsid w:val="0045773C"/>
    <w:rsid w:val="0046255E"/>
    <w:rsid w:val="00463841"/>
    <w:rsid w:val="0046482D"/>
    <w:rsid w:val="0046518B"/>
    <w:rsid w:val="00465EC7"/>
    <w:rsid w:val="00466901"/>
    <w:rsid w:val="00466A1A"/>
    <w:rsid w:val="0047143E"/>
    <w:rsid w:val="00471534"/>
    <w:rsid w:val="00472BBF"/>
    <w:rsid w:val="00473470"/>
    <w:rsid w:val="004738D4"/>
    <w:rsid w:val="00473FE1"/>
    <w:rsid w:val="00475DF4"/>
    <w:rsid w:val="00476687"/>
    <w:rsid w:val="0047673A"/>
    <w:rsid w:val="00476ACF"/>
    <w:rsid w:val="00480914"/>
    <w:rsid w:val="0048301E"/>
    <w:rsid w:val="00483D5E"/>
    <w:rsid w:val="004843ED"/>
    <w:rsid w:val="00486D13"/>
    <w:rsid w:val="00487DA4"/>
    <w:rsid w:val="00491412"/>
    <w:rsid w:val="00495012"/>
    <w:rsid w:val="00495D01"/>
    <w:rsid w:val="0049621E"/>
    <w:rsid w:val="004A1321"/>
    <w:rsid w:val="004A14A3"/>
    <w:rsid w:val="004A2848"/>
    <w:rsid w:val="004A4052"/>
    <w:rsid w:val="004A5C64"/>
    <w:rsid w:val="004A6821"/>
    <w:rsid w:val="004A729C"/>
    <w:rsid w:val="004B016C"/>
    <w:rsid w:val="004B0371"/>
    <w:rsid w:val="004B37EE"/>
    <w:rsid w:val="004B4581"/>
    <w:rsid w:val="004B482C"/>
    <w:rsid w:val="004B4CCA"/>
    <w:rsid w:val="004B502D"/>
    <w:rsid w:val="004B6B19"/>
    <w:rsid w:val="004B6DFF"/>
    <w:rsid w:val="004C05B1"/>
    <w:rsid w:val="004C0EFF"/>
    <w:rsid w:val="004C178F"/>
    <w:rsid w:val="004C3152"/>
    <w:rsid w:val="004C45EE"/>
    <w:rsid w:val="004D01EB"/>
    <w:rsid w:val="004D024B"/>
    <w:rsid w:val="004D091E"/>
    <w:rsid w:val="004D1B46"/>
    <w:rsid w:val="004D1B78"/>
    <w:rsid w:val="004D1EA0"/>
    <w:rsid w:val="004D5004"/>
    <w:rsid w:val="004D609A"/>
    <w:rsid w:val="004D63E7"/>
    <w:rsid w:val="004D68A2"/>
    <w:rsid w:val="004D78C8"/>
    <w:rsid w:val="004D7AE4"/>
    <w:rsid w:val="004E0538"/>
    <w:rsid w:val="004E0C1D"/>
    <w:rsid w:val="004E1191"/>
    <w:rsid w:val="004E147D"/>
    <w:rsid w:val="004E3B76"/>
    <w:rsid w:val="004E3F1D"/>
    <w:rsid w:val="004E42DC"/>
    <w:rsid w:val="004E5276"/>
    <w:rsid w:val="004E5BE7"/>
    <w:rsid w:val="004E78F3"/>
    <w:rsid w:val="004F1D15"/>
    <w:rsid w:val="004F291F"/>
    <w:rsid w:val="004F6D9B"/>
    <w:rsid w:val="004F7771"/>
    <w:rsid w:val="00500937"/>
    <w:rsid w:val="00501632"/>
    <w:rsid w:val="00502BAF"/>
    <w:rsid w:val="0050377C"/>
    <w:rsid w:val="00504B03"/>
    <w:rsid w:val="00505538"/>
    <w:rsid w:val="00506747"/>
    <w:rsid w:val="0050696E"/>
    <w:rsid w:val="00506B38"/>
    <w:rsid w:val="00510DE5"/>
    <w:rsid w:val="00511461"/>
    <w:rsid w:val="00511C25"/>
    <w:rsid w:val="00511E64"/>
    <w:rsid w:val="00512355"/>
    <w:rsid w:val="0051241E"/>
    <w:rsid w:val="0051249A"/>
    <w:rsid w:val="00512D82"/>
    <w:rsid w:val="0051365D"/>
    <w:rsid w:val="00513EAC"/>
    <w:rsid w:val="00514426"/>
    <w:rsid w:val="00515F7A"/>
    <w:rsid w:val="00516A88"/>
    <w:rsid w:val="0051767B"/>
    <w:rsid w:val="00521457"/>
    <w:rsid w:val="00522737"/>
    <w:rsid w:val="00522899"/>
    <w:rsid w:val="00522A4D"/>
    <w:rsid w:val="005246BB"/>
    <w:rsid w:val="00524ADE"/>
    <w:rsid w:val="00524EAD"/>
    <w:rsid w:val="00525712"/>
    <w:rsid w:val="005265E9"/>
    <w:rsid w:val="00526949"/>
    <w:rsid w:val="005302C7"/>
    <w:rsid w:val="0053057C"/>
    <w:rsid w:val="005325E6"/>
    <w:rsid w:val="00532DE5"/>
    <w:rsid w:val="005377EE"/>
    <w:rsid w:val="00540476"/>
    <w:rsid w:val="00542092"/>
    <w:rsid w:val="005421C1"/>
    <w:rsid w:val="0054686C"/>
    <w:rsid w:val="00546CA3"/>
    <w:rsid w:val="005509C5"/>
    <w:rsid w:val="00553712"/>
    <w:rsid w:val="00553DDA"/>
    <w:rsid w:val="00554487"/>
    <w:rsid w:val="00554DF2"/>
    <w:rsid w:val="0055517B"/>
    <w:rsid w:val="00556BFB"/>
    <w:rsid w:val="005572B0"/>
    <w:rsid w:val="00557B13"/>
    <w:rsid w:val="00561415"/>
    <w:rsid w:val="00562050"/>
    <w:rsid w:val="00562149"/>
    <w:rsid w:val="00563A50"/>
    <w:rsid w:val="00565ADA"/>
    <w:rsid w:val="00566923"/>
    <w:rsid w:val="00566D71"/>
    <w:rsid w:val="005702C9"/>
    <w:rsid w:val="00570A99"/>
    <w:rsid w:val="00572249"/>
    <w:rsid w:val="005733B3"/>
    <w:rsid w:val="00573F30"/>
    <w:rsid w:val="005740AC"/>
    <w:rsid w:val="005740CC"/>
    <w:rsid w:val="005756BF"/>
    <w:rsid w:val="00575B1B"/>
    <w:rsid w:val="00575CFE"/>
    <w:rsid w:val="00577505"/>
    <w:rsid w:val="00577F71"/>
    <w:rsid w:val="005844A5"/>
    <w:rsid w:val="005850AC"/>
    <w:rsid w:val="00587C9C"/>
    <w:rsid w:val="00590025"/>
    <w:rsid w:val="00591EA4"/>
    <w:rsid w:val="005933C1"/>
    <w:rsid w:val="0059389C"/>
    <w:rsid w:val="00594109"/>
    <w:rsid w:val="005964DE"/>
    <w:rsid w:val="005965D3"/>
    <w:rsid w:val="005979C7"/>
    <w:rsid w:val="005A0DB4"/>
    <w:rsid w:val="005A1B66"/>
    <w:rsid w:val="005A2C3D"/>
    <w:rsid w:val="005A4BDC"/>
    <w:rsid w:val="005A5F5E"/>
    <w:rsid w:val="005A6441"/>
    <w:rsid w:val="005A721D"/>
    <w:rsid w:val="005A7CE9"/>
    <w:rsid w:val="005B1C8F"/>
    <w:rsid w:val="005B1E1C"/>
    <w:rsid w:val="005B24AA"/>
    <w:rsid w:val="005B2812"/>
    <w:rsid w:val="005B2EEA"/>
    <w:rsid w:val="005B2EF3"/>
    <w:rsid w:val="005B38AA"/>
    <w:rsid w:val="005B520C"/>
    <w:rsid w:val="005B5298"/>
    <w:rsid w:val="005B5664"/>
    <w:rsid w:val="005B6CA1"/>
    <w:rsid w:val="005C3C48"/>
    <w:rsid w:val="005C50C0"/>
    <w:rsid w:val="005C55D2"/>
    <w:rsid w:val="005C6E52"/>
    <w:rsid w:val="005C7BA6"/>
    <w:rsid w:val="005D111C"/>
    <w:rsid w:val="005D1A20"/>
    <w:rsid w:val="005D459D"/>
    <w:rsid w:val="005D45B0"/>
    <w:rsid w:val="005D53E4"/>
    <w:rsid w:val="005D54D4"/>
    <w:rsid w:val="005D57E0"/>
    <w:rsid w:val="005D5DA2"/>
    <w:rsid w:val="005D6BF2"/>
    <w:rsid w:val="005E1630"/>
    <w:rsid w:val="005E2454"/>
    <w:rsid w:val="005E2758"/>
    <w:rsid w:val="005E2E6F"/>
    <w:rsid w:val="005E5D6D"/>
    <w:rsid w:val="005F13DF"/>
    <w:rsid w:val="005F1F08"/>
    <w:rsid w:val="005F4722"/>
    <w:rsid w:val="005F50D5"/>
    <w:rsid w:val="005F5C42"/>
    <w:rsid w:val="005F66F1"/>
    <w:rsid w:val="00600DB2"/>
    <w:rsid w:val="006018AE"/>
    <w:rsid w:val="00601F08"/>
    <w:rsid w:val="00602A15"/>
    <w:rsid w:val="0060351C"/>
    <w:rsid w:val="006055FE"/>
    <w:rsid w:val="00605649"/>
    <w:rsid w:val="00605A33"/>
    <w:rsid w:val="0060762C"/>
    <w:rsid w:val="006115CD"/>
    <w:rsid w:val="00611863"/>
    <w:rsid w:val="00611C27"/>
    <w:rsid w:val="00612A5C"/>
    <w:rsid w:val="00612F51"/>
    <w:rsid w:val="00613AE8"/>
    <w:rsid w:val="00615919"/>
    <w:rsid w:val="00620856"/>
    <w:rsid w:val="00620EC1"/>
    <w:rsid w:val="0062145F"/>
    <w:rsid w:val="006222F1"/>
    <w:rsid w:val="00622852"/>
    <w:rsid w:val="00622EE7"/>
    <w:rsid w:val="00623F94"/>
    <w:rsid w:val="006244DD"/>
    <w:rsid w:val="00624DF1"/>
    <w:rsid w:val="00625C49"/>
    <w:rsid w:val="006266E3"/>
    <w:rsid w:val="006309BA"/>
    <w:rsid w:val="00630D19"/>
    <w:rsid w:val="00631A33"/>
    <w:rsid w:val="00632580"/>
    <w:rsid w:val="00634247"/>
    <w:rsid w:val="00634755"/>
    <w:rsid w:val="006354EA"/>
    <w:rsid w:val="0063577C"/>
    <w:rsid w:val="006363C6"/>
    <w:rsid w:val="006404D2"/>
    <w:rsid w:val="006410C5"/>
    <w:rsid w:val="00641717"/>
    <w:rsid w:val="006421BB"/>
    <w:rsid w:val="006427D9"/>
    <w:rsid w:val="00642980"/>
    <w:rsid w:val="00642CA0"/>
    <w:rsid w:val="00646076"/>
    <w:rsid w:val="006472B4"/>
    <w:rsid w:val="00647A55"/>
    <w:rsid w:val="00652DDA"/>
    <w:rsid w:val="00654215"/>
    <w:rsid w:val="00660BE2"/>
    <w:rsid w:val="0066148B"/>
    <w:rsid w:val="00661CE2"/>
    <w:rsid w:val="00663A01"/>
    <w:rsid w:val="00664B7C"/>
    <w:rsid w:val="00665A6F"/>
    <w:rsid w:val="0066621E"/>
    <w:rsid w:val="0066799C"/>
    <w:rsid w:val="00667CB8"/>
    <w:rsid w:val="0067077A"/>
    <w:rsid w:val="00671005"/>
    <w:rsid w:val="0067146B"/>
    <w:rsid w:val="006717E3"/>
    <w:rsid w:val="00671A94"/>
    <w:rsid w:val="0067441A"/>
    <w:rsid w:val="006755DA"/>
    <w:rsid w:val="00676390"/>
    <w:rsid w:val="0068035A"/>
    <w:rsid w:val="00681FE3"/>
    <w:rsid w:val="006822D1"/>
    <w:rsid w:val="0068246B"/>
    <w:rsid w:val="0068261E"/>
    <w:rsid w:val="00683A46"/>
    <w:rsid w:val="00686C70"/>
    <w:rsid w:val="00686FEE"/>
    <w:rsid w:val="00687801"/>
    <w:rsid w:val="00687EF1"/>
    <w:rsid w:val="006901BB"/>
    <w:rsid w:val="00690D48"/>
    <w:rsid w:val="00691290"/>
    <w:rsid w:val="006929ED"/>
    <w:rsid w:val="00695460"/>
    <w:rsid w:val="00695692"/>
    <w:rsid w:val="00695B0A"/>
    <w:rsid w:val="00696C54"/>
    <w:rsid w:val="006979B6"/>
    <w:rsid w:val="006A09C9"/>
    <w:rsid w:val="006A0F45"/>
    <w:rsid w:val="006A25A8"/>
    <w:rsid w:val="006A3B03"/>
    <w:rsid w:val="006A3B9A"/>
    <w:rsid w:val="006A4044"/>
    <w:rsid w:val="006A4559"/>
    <w:rsid w:val="006A5048"/>
    <w:rsid w:val="006A643B"/>
    <w:rsid w:val="006A6561"/>
    <w:rsid w:val="006A69F6"/>
    <w:rsid w:val="006A7A18"/>
    <w:rsid w:val="006B06C5"/>
    <w:rsid w:val="006B123F"/>
    <w:rsid w:val="006B22B6"/>
    <w:rsid w:val="006B2839"/>
    <w:rsid w:val="006B5983"/>
    <w:rsid w:val="006B6355"/>
    <w:rsid w:val="006B7941"/>
    <w:rsid w:val="006C0666"/>
    <w:rsid w:val="006C098A"/>
    <w:rsid w:val="006C518F"/>
    <w:rsid w:val="006C5757"/>
    <w:rsid w:val="006C69F2"/>
    <w:rsid w:val="006D2D07"/>
    <w:rsid w:val="006D46BE"/>
    <w:rsid w:val="006D4723"/>
    <w:rsid w:val="006E0B8E"/>
    <w:rsid w:val="006E19FB"/>
    <w:rsid w:val="006E1F97"/>
    <w:rsid w:val="006E2450"/>
    <w:rsid w:val="006E2794"/>
    <w:rsid w:val="006E3174"/>
    <w:rsid w:val="006E504F"/>
    <w:rsid w:val="006E546A"/>
    <w:rsid w:val="006E59C5"/>
    <w:rsid w:val="006E6459"/>
    <w:rsid w:val="006F0139"/>
    <w:rsid w:val="006F0EF9"/>
    <w:rsid w:val="006F0F66"/>
    <w:rsid w:val="006F374F"/>
    <w:rsid w:val="006F3C15"/>
    <w:rsid w:val="006F3C98"/>
    <w:rsid w:val="006F491C"/>
    <w:rsid w:val="006F4972"/>
    <w:rsid w:val="006F56D3"/>
    <w:rsid w:val="006F5DF5"/>
    <w:rsid w:val="006F70B0"/>
    <w:rsid w:val="00702A18"/>
    <w:rsid w:val="0070409C"/>
    <w:rsid w:val="00704893"/>
    <w:rsid w:val="00704B83"/>
    <w:rsid w:val="00705072"/>
    <w:rsid w:val="00705281"/>
    <w:rsid w:val="007062DC"/>
    <w:rsid w:val="0071067E"/>
    <w:rsid w:val="00712CC8"/>
    <w:rsid w:val="00713290"/>
    <w:rsid w:val="0071353F"/>
    <w:rsid w:val="007156C3"/>
    <w:rsid w:val="007157E1"/>
    <w:rsid w:val="007158D2"/>
    <w:rsid w:val="00715CC7"/>
    <w:rsid w:val="007253F5"/>
    <w:rsid w:val="00725919"/>
    <w:rsid w:val="00726F68"/>
    <w:rsid w:val="007274B2"/>
    <w:rsid w:val="00727F85"/>
    <w:rsid w:val="00730E61"/>
    <w:rsid w:val="00730FD5"/>
    <w:rsid w:val="00731F0A"/>
    <w:rsid w:val="00732FDF"/>
    <w:rsid w:val="00733529"/>
    <w:rsid w:val="00733DDA"/>
    <w:rsid w:val="00735AAC"/>
    <w:rsid w:val="00736C9B"/>
    <w:rsid w:val="00742601"/>
    <w:rsid w:val="00743C82"/>
    <w:rsid w:val="00744995"/>
    <w:rsid w:val="00745776"/>
    <w:rsid w:val="007475A8"/>
    <w:rsid w:val="00747E68"/>
    <w:rsid w:val="00750165"/>
    <w:rsid w:val="00751951"/>
    <w:rsid w:val="007528BC"/>
    <w:rsid w:val="00755BE5"/>
    <w:rsid w:val="00760AEE"/>
    <w:rsid w:val="007611E5"/>
    <w:rsid w:val="00763733"/>
    <w:rsid w:val="007643EF"/>
    <w:rsid w:val="00765057"/>
    <w:rsid w:val="00765276"/>
    <w:rsid w:val="0076663F"/>
    <w:rsid w:val="00770789"/>
    <w:rsid w:val="00770CF4"/>
    <w:rsid w:val="007716EC"/>
    <w:rsid w:val="00772185"/>
    <w:rsid w:val="00772A3A"/>
    <w:rsid w:val="00772DCF"/>
    <w:rsid w:val="00774361"/>
    <w:rsid w:val="0077458B"/>
    <w:rsid w:val="00774DA7"/>
    <w:rsid w:val="007753F4"/>
    <w:rsid w:val="00776404"/>
    <w:rsid w:val="0077755F"/>
    <w:rsid w:val="00777679"/>
    <w:rsid w:val="0078351D"/>
    <w:rsid w:val="007837CD"/>
    <w:rsid w:val="007837F6"/>
    <w:rsid w:val="00785406"/>
    <w:rsid w:val="0078685A"/>
    <w:rsid w:val="007875DE"/>
    <w:rsid w:val="0079240C"/>
    <w:rsid w:val="0079317D"/>
    <w:rsid w:val="00793283"/>
    <w:rsid w:val="00795977"/>
    <w:rsid w:val="0079724C"/>
    <w:rsid w:val="00797D4A"/>
    <w:rsid w:val="007A144F"/>
    <w:rsid w:val="007A34E6"/>
    <w:rsid w:val="007A650F"/>
    <w:rsid w:val="007A7191"/>
    <w:rsid w:val="007B000D"/>
    <w:rsid w:val="007B1678"/>
    <w:rsid w:val="007B227E"/>
    <w:rsid w:val="007B3B41"/>
    <w:rsid w:val="007B496D"/>
    <w:rsid w:val="007B4BC4"/>
    <w:rsid w:val="007B4D64"/>
    <w:rsid w:val="007B5C02"/>
    <w:rsid w:val="007B696C"/>
    <w:rsid w:val="007B6C14"/>
    <w:rsid w:val="007C027E"/>
    <w:rsid w:val="007C02E3"/>
    <w:rsid w:val="007C1D54"/>
    <w:rsid w:val="007C66C8"/>
    <w:rsid w:val="007D02E9"/>
    <w:rsid w:val="007D1DEB"/>
    <w:rsid w:val="007D271F"/>
    <w:rsid w:val="007D4FAB"/>
    <w:rsid w:val="007D5691"/>
    <w:rsid w:val="007D6822"/>
    <w:rsid w:val="007D7910"/>
    <w:rsid w:val="007E08DD"/>
    <w:rsid w:val="007E09BD"/>
    <w:rsid w:val="007E2909"/>
    <w:rsid w:val="007E389A"/>
    <w:rsid w:val="007E46C4"/>
    <w:rsid w:val="007E4E0E"/>
    <w:rsid w:val="007F01B0"/>
    <w:rsid w:val="007F03C7"/>
    <w:rsid w:val="007F0B0A"/>
    <w:rsid w:val="007F2F31"/>
    <w:rsid w:val="007F3F69"/>
    <w:rsid w:val="007F4D5C"/>
    <w:rsid w:val="007F5F7F"/>
    <w:rsid w:val="007F626F"/>
    <w:rsid w:val="007F6D63"/>
    <w:rsid w:val="007F6E03"/>
    <w:rsid w:val="007F7FB9"/>
    <w:rsid w:val="008014AB"/>
    <w:rsid w:val="00801A69"/>
    <w:rsid w:val="00803DB9"/>
    <w:rsid w:val="00805028"/>
    <w:rsid w:val="00806698"/>
    <w:rsid w:val="00810866"/>
    <w:rsid w:val="008115EE"/>
    <w:rsid w:val="0081162C"/>
    <w:rsid w:val="00811666"/>
    <w:rsid w:val="00811800"/>
    <w:rsid w:val="008138DB"/>
    <w:rsid w:val="00814B22"/>
    <w:rsid w:val="008159FC"/>
    <w:rsid w:val="0081618F"/>
    <w:rsid w:val="0081639E"/>
    <w:rsid w:val="00816467"/>
    <w:rsid w:val="00821119"/>
    <w:rsid w:val="00822950"/>
    <w:rsid w:val="00822CC2"/>
    <w:rsid w:val="00822DDD"/>
    <w:rsid w:val="008255BA"/>
    <w:rsid w:val="00825709"/>
    <w:rsid w:val="008275FB"/>
    <w:rsid w:val="00827CE2"/>
    <w:rsid w:val="00830000"/>
    <w:rsid w:val="00830AAB"/>
    <w:rsid w:val="00832C25"/>
    <w:rsid w:val="00833A87"/>
    <w:rsid w:val="00834FBA"/>
    <w:rsid w:val="00836021"/>
    <w:rsid w:val="00836D47"/>
    <w:rsid w:val="008371EC"/>
    <w:rsid w:val="00837391"/>
    <w:rsid w:val="008407EE"/>
    <w:rsid w:val="008428E6"/>
    <w:rsid w:val="00851AD8"/>
    <w:rsid w:val="008537B9"/>
    <w:rsid w:val="00857CB1"/>
    <w:rsid w:val="008602DB"/>
    <w:rsid w:val="0086096E"/>
    <w:rsid w:val="00860FC0"/>
    <w:rsid w:val="00861C8B"/>
    <w:rsid w:val="00861EA0"/>
    <w:rsid w:val="00864663"/>
    <w:rsid w:val="0086574F"/>
    <w:rsid w:val="008679E5"/>
    <w:rsid w:val="00867EE6"/>
    <w:rsid w:val="008710A2"/>
    <w:rsid w:val="00871985"/>
    <w:rsid w:val="00871C00"/>
    <w:rsid w:val="008740E5"/>
    <w:rsid w:val="008741C3"/>
    <w:rsid w:val="008744E2"/>
    <w:rsid w:val="0087453C"/>
    <w:rsid w:val="00874C1C"/>
    <w:rsid w:val="008753B0"/>
    <w:rsid w:val="00875A22"/>
    <w:rsid w:val="00875F47"/>
    <w:rsid w:val="008760CF"/>
    <w:rsid w:val="00876119"/>
    <w:rsid w:val="00876CE4"/>
    <w:rsid w:val="0087755C"/>
    <w:rsid w:val="00881699"/>
    <w:rsid w:val="008830F0"/>
    <w:rsid w:val="0088353E"/>
    <w:rsid w:val="00887096"/>
    <w:rsid w:val="008931D6"/>
    <w:rsid w:val="00894622"/>
    <w:rsid w:val="00896731"/>
    <w:rsid w:val="0089676B"/>
    <w:rsid w:val="00897656"/>
    <w:rsid w:val="008977C8"/>
    <w:rsid w:val="008A20AF"/>
    <w:rsid w:val="008A2304"/>
    <w:rsid w:val="008A3C11"/>
    <w:rsid w:val="008A4C84"/>
    <w:rsid w:val="008B0691"/>
    <w:rsid w:val="008B2C32"/>
    <w:rsid w:val="008B4305"/>
    <w:rsid w:val="008B4D53"/>
    <w:rsid w:val="008B706D"/>
    <w:rsid w:val="008C01E9"/>
    <w:rsid w:val="008C11A3"/>
    <w:rsid w:val="008C1D4D"/>
    <w:rsid w:val="008C26A6"/>
    <w:rsid w:val="008C450F"/>
    <w:rsid w:val="008C49F2"/>
    <w:rsid w:val="008C522A"/>
    <w:rsid w:val="008C54DA"/>
    <w:rsid w:val="008C5EFD"/>
    <w:rsid w:val="008C62A0"/>
    <w:rsid w:val="008C6B9D"/>
    <w:rsid w:val="008D0691"/>
    <w:rsid w:val="008D0AC2"/>
    <w:rsid w:val="008D2212"/>
    <w:rsid w:val="008D3043"/>
    <w:rsid w:val="008D365B"/>
    <w:rsid w:val="008D41FC"/>
    <w:rsid w:val="008D4833"/>
    <w:rsid w:val="008D4E60"/>
    <w:rsid w:val="008D72B1"/>
    <w:rsid w:val="008D7F00"/>
    <w:rsid w:val="008E09DD"/>
    <w:rsid w:val="008E158E"/>
    <w:rsid w:val="008E1E25"/>
    <w:rsid w:val="008E3677"/>
    <w:rsid w:val="008E41EF"/>
    <w:rsid w:val="008E488E"/>
    <w:rsid w:val="008E6563"/>
    <w:rsid w:val="008E7006"/>
    <w:rsid w:val="008F0249"/>
    <w:rsid w:val="008F0907"/>
    <w:rsid w:val="008F0BEE"/>
    <w:rsid w:val="008F158A"/>
    <w:rsid w:val="008F1E97"/>
    <w:rsid w:val="008F3D05"/>
    <w:rsid w:val="008F40EA"/>
    <w:rsid w:val="008F5FCD"/>
    <w:rsid w:val="0090026A"/>
    <w:rsid w:val="00901D6E"/>
    <w:rsid w:val="009028D4"/>
    <w:rsid w:val="009046F1"/>
    <w:rsid w:val="00905FE6"/>
    <w:rsid w:val="009075D6"/>
    <w:rsid w:val="00907D07"/>
    <w:rsid w:val="009102F8"/>
    <w:rsid w:val="00913397"/>
    <w:rsid w:val="0091592D"/>
    <w:rsid w:val="00920DBF"/>
    <w:rsid w:val="00920FC3"/>
    <w:rsid w:val="00922375"/>
    <w:rsid w:val="00923538"/>
    <w:rsid w:val="00925549"/>
    <w:rsid w:val="0092559F"/>
    <w:rsid w:val="00925731"/>
    <w:rsid w:val="00925E62"/>
    <w:rsid w:val="0093071B"/>
    <w:rsid w:val="0093075A"/>
    <w:rsid w:val="00931907"/>
    <w:rsid w:val="00931E53"/>
    <w:rsid w:val="00934531"/>
    <w:rsid w:val="00934DEC"/>
    <w:rsid w:val="009378BA"/>
    <w:rsid w:val="00937F2A"/>
    <w:rsid w:val="00940F61"/>
    <w:rsid w:val="00941246"/>
    <w:rsid w:val="00941E7E"/>
    <w:rsid w:val="0094471B"/>
    <w:rsid w:val="00944FAE"/>
    <w:rsid w:val="00946F79"/>
    <w:rsid w:val="00951711"/>
    <w:rsid w:val="00953030"/>
    <w:rsid w:val="00953CFC"/>
    <w:rsid w:val="0095423C"/>
    <w:rsid w:val="00954A9E"/>
    <w:rsid w:val="00955354"/>
    <w:rsid w:val="00957EAE"/>
    <w:rsid w:val="0096069D"/>
    <w:rsid w:val="00960CD5"/>
    <w:rsid w:val="00960F41"/>
    <w:rsid w:val="00961896"/>
    <w:rsid w:val="0096224D"/>
    <w:rsid w:val="00962BB6"/>
    <w:rsid w:val="00962EDC"/>
    <w:rsid w:val="0096416A"/>
    <w:rsid w:val="00964C06"/>
    <w:rsid w:val="00964CB8"/>
    <w:rsid w:val="00966113"/>
    <w:rsid w:val="00966AC3"/>
    <w:rsid w:val="00966F2E"/>
    <w:rsid w:val="00967381"/>
    <w:rsid w:val="00970482"/>
    <w:rsid w:val="0097137B"/>
    <w:rsid w:val="00972EAA"/>
    <w:rsid w:val="00973BED"/>
    <w:rsid w:val="00973F97"/>
    <w:rsid w:val="0098115A"/>
    <w:rsid w:val="00981A4D"/>
    <w:rsid w:val="00982AD7"/>
    <w:rsid w:val="00982D29"/>
    <w:rsid w:val="00983F1B"/>
    <w:rsid w:val="00987D9E"/>
    <w:rsid w:val="009900B9"/>
    <w:rsid w:val="00990DD9"/>
    <w:rsid w:val="00991FBB"/>
    <w:rsid w:val="00992ACE"/>
    <w:rsid w:val="00992B54"/>
    <w:rsid w:val="00992C9D"/>
    <w:rsid w:val="0099412C"/>
    <w:rsid w:val="00995796"/>
    <w:rsid w:val="00997BC6"/>
    <w:rsid w:val="009A1898"/>
    <w:rsid w:val="009A405F"/>
    <w:rsid w:val="009A548C"/>
    <w:rsid w:val="009A55C3"/>
    <w:rsid w:val="009A603C"/>
    <w:rsid w:val="009A6D0A"/>
    <w:rsid w:val="009B15D9"/>
    <w:rsid w:val="009B1824"/>
    <w:rsid w:val="009B26D8"/>
    <w:rsid w:val="009B3679"/>
    <w:rsid w:val="009B3E59"/>
    <w:rsid w:val="009B4BCA"/>
    <w:rsid w:val="009C17E3"/>
    <w:rsid w:val="009C2123"/>
    <w:rsid w:val="009C2765"/>
    <w:rsid w:val="009C515F"/>
    <w:rsid w:val="009C5A15"/>
    <w:rsid w:val="009C6B75"/>
    <w:rsid w:val="009D0D63"/>
    <w:rsid w:val="009D28E2"/>
    <w:rsid w:val="009D7542"/>
    <w:rsid w:val="009E1173"/>
    <w:rsid w:val="009E288F"/>
    <w:rsid w:val="009E2C26"/>
    <w:rsid w:val="009E3239"/>
    <w:rsid w:val="009E48DD"/>
    <w:rsid w:val="009E4C3A"/>
    <w:rsid w:val="009E4FA2"/>
    <w:rsid w:val="009E5243"/>
    <w:rsid w:val="009E54D9"/>
    <w:rsid w:val="009E6598"/>
    <w:rsid w:val="009F027E"/>
    <w:rsid w:val="009F078B"/>
    <w:rsid w:val="009F0FE2"/>
    <w:rsid w:val="009F10F5"/>
    <w:rsid w:val="009F130D"/>
    <w:rsid w:val="009F1A4C"/>
    <w:rsid w:val="009F2D39"/>
    <w:rsid w:val="009F42E7"/>
    <w:rsid w:val="009F48C5"/>
    <w:rsid w:val="009F6148"/>
    <w:rsid w:val="009F65E0"/>
    <w:rsid w:val="009F674B"/>
    <w:rsid w:val="009F6F1A"/>
    <w:rsid w:val="009F7D7F"/>
    <w:rsid w:val="00A03341"/>
    <w:rsid w:val="00A04C9A"/>
    <w:rsid w:val="00A05D9E"/>
    <w:rsid w:val="00A074B9"/>
    <w:rsid w:val="00A07D82"/>
    <w:rsid w:val="00A1087B"/>
    <w:rsid w:val="00A10A99"/>
    <w:rsid w:val="00A10E1F"/>
    <w:rsid w:val="00A12B10"/>
    <w:rsid w:val="00A133BF"/>
    <w:rsid w:val="00A142D2"/>
    <w:rsid w:val="00A14D4A"/>
    <w:rsid w:val="00A14EB5"/>
    <w:rsid w:val="00A15F5F"/>
    <w:rsid w:val="00A228D8"/>
    <w:rsid w:val="00A2367E"/>
    <w:rsid w:val="00A24A38"/>
    <w:rsid w:val="00A25DAD"/>
    <w:rsid w:val="00A25DEA"/>
    <w:rsid w:val="00A25F26"/>
    <w:rsid w:val="00A26792"/>
    <w:rsid w:val="00A277DC"/>
    <w:rsid w:val="00A27933"/>
    <w:rsid w:val="00A30EC9"/>
    <w:rsid w:val="00A31AA4"/>
    <w:rsid w:val="00A33506"/>
    <w:rsid w:val="00A33511"/>
    <w:rsid w:val="00A33B11"/>
    <w:rsid w:val="00A33EBC"/>
    <w:rsid w:val="00A37209"/>
    <w:rsid w:val="00A400EA"/>
    <w:rsid w:val="00A40188"/>
    <w:rsid w:val="00A405F8"/>
    <w:rsid w:val="00A40611"/>
    <w:rsid w:val="00A414E3"/>
    <w:rsid w:val="00A41F6E"/>
    <w:rsid w:val="00A427E2"/>
    <w:rsid w:val="00A42A40"/>
    <w:rsid w:val="00A43070"/>
    <w:rsid w:val="00A437C3"/>
    <w:rsid w:val="00A448B8"/>
    <w:rsid w:val="00A45066"/>
    <w:rsid w:val="00A45417"/>
    <w:rsid w:val="00A4562A"/>
    <w:rsid w:val="00A45B4B"/>
    <w:rsid w:val="00A46A1A"/>
    <w:rsid w:val="00A47154"/>
    <w:rsid w:val="00A476AF"/>
    <w:rsid w:val="00A479F6"/>
    <w:rsid w:val="00A50537"/>
    <w:rsid w:val="00A52419"/>
    <w:rsid w:val="00A525C9"/>
    <w:rsid w:val="00A5502D"/>
    <w:rsid w:val="00A56AE1"/>
    <w:rsid w:val="00A56D7C"/>
    <w:rsid w:val="00A64655"/>
    <w:rsid w:val="00A64E36"/>
    <w:rsid w:val="00A65386"/>
    <w:rsid w:val="00A658D4"/>
    <w:rsid w:val="00A665E6"/>
    <w:rsid w:val="00A66D49"/>
    <w:rsid w:val="00A66F86"/>
    <w:rsid w:val="00A706E1"/>
    <w:rsid w:val="00A709C5"/>
    <w:rsid w:val="00A709E4"/>
    <w:rsid w:val="00A718D8"/>
    <w:rsid w:val="00A71A50"/>
    <w:rsid w:val="00A7370B"/>
    <w:rsid w:val="00A76C06"/>
    <w:rsid w:val="00A80F8C"/>
    <w:rsid w:val="00A82507"/>
    <w:rsid w:val="00A82ADE"/>
    <w:rsid w:val="00A833C1"/>
    <w:rsid w:val="00A85799"/>
    <w:rsid w:val="00A85A71"/>
    <w:rsid w:val="00A86579"/>
    <w:rsid w:val="00A93734"/>
    <w:rsid w:val="00A94229"/>
    <w:rsid w:val="00A95475"/>
    <w:rsid w:val="00AA00EE"/>
    <w:rsid w:val="00AA0324"/>
    <w:rsid w:val="00AA0FC3"/>
    <w:rsid w:val="00AA1452"/>
    <w:rsid w:val="00AA1C94"/>
    <w:rsid w:val="00AA2807"/>
    <w:rsid w:val="00AA33F3"/>
    <w:rsid w:val="00AA638F"/>
    <w:rsid w:val="00AA702A"/>
    <w:rsid w:val="00AA706A"/>
    <w:rsid w:val="00AB0278"/>
    <w:rsid w:val="00AB267B"/>
    <w:rsid w:val="00AB63E0"/>
    <w:rsid w:val="00AB64CB"/>
    <w:rsid w:val="00AB6869"/>
    <w:rsid w:val="00AB70FF"/>
    <w:rsid w:val="00AB7290"/>
    <w:rsid w:val="00AB73B5"/>
    <w:rsid w:val="00AC0C7E"/>
    <w:rsid w:val="00AC115A"/>
    <w:rsid w:val="00AC17C8"/>
    <w:rsid w:val="00AC1B26"/>
    <w:rsid w:val="00AC2582"/>
    <w:rsid w:val="00AC33DF"/>
    <w:rsid w:val="00AC351B"/>
    <w:rsid w:val="00AC3673"/>
    <w:rsid w:val="00AC4833"/>
    <w:rsid w:val="00AC587C"/>
    <w:rsid w:val="00AC5989"/>
    <w:rsid w:val="00AC72E4"/>
    <w:rsid w:val="00AD0260"/>
    <w:rsid w:val="00AD1148"/>
    <w:rsid w:val="00AD1387"/>
    <w:rsid w:val="00AD2DF4"/>
    <w:rsid w:val="00AD3A01"/>
    <w:rsid w:val="00AD54B2"/>
    <w:rsid w:val="00AD6416"/>
    <w:rsid w:val="00AD67FA"/>
    <w:rsid w:val="00AD7308"/>
    <w:rsid w:val="00AE0A5C"/>
    <w:rsid w:val="00AE2B95"/>
    <w:rsid w:val="00AE4372"/>
    <w:rsid w:val="00AE47AA"/>
    <w:rsid w:val="00AE4F2A"/>
    <w:rsid w:val="00AE7421"/>
    <w:rsid w:val="00AE7920"/>
    <w:rsid w:val="00AE797B"/>
    <w:rsid w:val="00AF018F"/>
    <w:rsid w:val="00AF201F"/>
    <w:rsid w:val="00AF238D"/>
    <w:rsid w:val="00AF2A1F"/>
    <w:rsid w:val="00AF2E79"/>
    <w:rsid w:val="00AF3332"/>
    <w:rsid w:val="00AF3E4C"/>
    <w:rsid w:val="00AF3FD3"/>
    <w:rsid w:val="00AF6842"/>
    <w:rsid w:val="00AF728E"/>
    <w:rsid w:val="00AF7C05"/>
    <w:rsid w:val="00B00E0C"/>
    <w:rsid w:val="00B00E15"/>
    <w:rsid w:val="00B011B5"/>
    <w:rsid w:val="00B01892"/>
    <w:rsid w:val="00B03288"/>
    <w:rsid w:val="00B036F1"/>
    <w:rsid w:val="00B0379C"/>
    <w:rsid w:val="00B03C90"/>
    <w:rsid w:val="00B0406B"/>
    <w:rsid w:val="00B05040"/>
    <w:rsid w:val="00B0505B"/>
    <w:rsid w:val="00B05A7F"/>
    <w:rsid w:val="00B10581"/>
    <w:rsid w:val="00B12E79"/>
    <w:rsid w:val="00B12F6F"/>
    <w:rsid w:val="00B1467B"/>
    <w:rsid w:val="00B156CF"/>
    <w:rsid w:val="00B15B10"/>
    <w:rsid w:val="00B1622F"/>
    <w:rsid w:val="00B17E66"/>
    <w:rsid w:val="00B2096C"/>
    <w:rsid w:val="00B20D43"/>
    <w:rsid w:val="00B219E9"/>
    <w:rsid w:val="00B21C6B"/>
    <w:rsid w:val="00B22046"/>
    <w:rsid w:val="00B221E7"/>
    <w:rsid w:val="00B2416E"/>
    <w:rsid w:val="00B24CC0"/>
    <w:rsid w:val="00B271BE"/>
    <w:rsid w:val="00B27D9F"/>
    <w:rsid w:val="00B30226"/>
    <w:rsid w:val="00B306D9"/>
    <w:rsid w:val="00B31027"/>
    <w:rsid w:val="00B338DB"/>
    <w:rsid w:val="00B34898"/>
    <w:rsid w:val="00B353E3"/>
    <w:rsid w:val="00B3572E"/>
    <w:rsid w:val="00B35F51"/>
    <w:rsid w:val="00B369CC"/>
    <w:rsid w:val="00B36D2B"/>
    <w:rsid w:val="00B370FF"/>
    <w:rsid w:val="00B37599"/>
    <w:rsid w:val="00B377AF"/>
    <w:rsid w:val="00B40DA7"/>
    <w:rsid w:val="00B413BF"/>
    <w:rsid w:val="00B42747"/>
    <w:rsid w:val="00B4291F"/>
    <w:rsid w:val="00B45127"/>
    <w:rsid w:val="00B4674C"/>
    <w:rsid w:val="00B4772B"/>
    <w:rsid w:val="00B5294F"/>
    <w:rsid w:val="00B52966"/>
    <w:rsid w:val="00B53797"/>
    <w:rsid w:val="00B53A4A"/>
    <w:rsid w:val="00B53A50"/>
    <w:rsid w:val="00B5535A"/>
    <w:rsid w:val="00B567F5"/>
    <w:rsid w:val="00B5716A"/>
    <w:rsid w:val="00B601BA"/>
    <w:rsid w:val="00B60440"/>
    <w:rsid w:val="00B615B9"/>
    <w:rsid w:val="00B627B6"/>
    <w:rsid w:val="00B62B01"/>
    <w:rsid w:val="00B634A2"/>
    <w:rsid w:val="00B63FD4"/>
    <w:rsid w:val="00B643B6"/>
    <w:rsid w:val="00B64B5A"/>
    <w:rsid w:val="00B67955"/>
    <w:rsid w:val="00B70066"/>
    <w:rsid w:val="00B70146"/>
    <w:rsid w:val="00B70F83"/>
    <w:rsid w:val="00B715F0"/>
    <w:rsid w:val="00B72596"/>
    <w:rsid w:val="00B73185"/>
    <w:rsid w:val="00B76FB6"/>
    <w:rsid w:val="00B7721B"/>
    <w:rsid w:val="00B8032D"/>
    <w:rsid w:val="00B80629"/>
    <w:rsid w:val="00B80660"/>
    <w:rsid w:val="00B82363"/>
    <w:rsid w:val="00B8352E"/>
    <w:rsid w:val="00B843B6"/>
    <w:rsid w:val="00B8448F"/>
    <w:rsid w:val="00B846DF"/>
    <w:rsid w:val="00B8472E"/>
    <w:rsid w:val="00B856EE"/>
    <w:rsid w:val="00B85963"/>
    <w:rsid w:val="00B85BB5"/>
    <w:rsid w:val="00B86584"/>
    <w:rsid w:val="00B874C0"/>
    <w:rsid w:val="00B879E3"/>
    <w:rsid w:val="00B87D76"/>
    <w:rsid w:val="00B9430F"/>
    <w:rsid w:val="00B94F9B"/>
    <w:rsid w:val="00B95037"/>
    <w:rsid w:val="00B95822"/>
    <w:rsid w:val="00B962AF"/>
    <w:rsid w:val="00B96ECD"/>
    <w:rsid w:val="00B96FCB"/>
    <w:rsid w:val="00B97080"/>
    <w:rsid w:val="00B972DD"/>
    <w:rsid w:val="00BA1048"/>
    <w:rsid w:val="00BA1D32"/>
    <w:rsid w:val="00BA1FDF"/>
    <w:rsid w:val="00BA2CF3"/>
    <w:rsid w:val="00BA2E7E"/>
    <w:rsid w:val="00BA47EE"/>
    <w:rsid w:val="00BA515B"/>
    <w:rsid w:val="00BA5E72"/>
    <w:rsid w:val="00BB1E76"/>
    <w:rsid w:val="00BB243D"/>
    <w:rsid w:val="00BB3100"/>
    <w:rsid w:val="00BB461F"/>
    <w:rsid w:val="00BB47F6"/>
    <w:rsid w:val="00BB5A68"/>
    <w:rsid w:val="00BB7290"/>
    <w:rsid w:val="00BB739E"/>
    <w:rsid w:val="00BC0E48"/>
    <w:rsid w:val="00BC1DA0"/>
    <w:rsid w:val="00BC2D9A"/>
    <w:rsid w:val="00BC336D"/>
    <w:rsid w:val="00BC5B7E"/>
    <w:rsid w:val="00BC5CB6"/>
    <w:rsid w:val="00BC62CE"/>
    <w:rsid w:val="00BC7759"/>
    <w:rsid w:val="00BC7D00"/>
    <w:rsid w:val="00BC7FB8"/>
    <w:rsid w:val="00BD19A0"/>
    <w:rsid w:val="00BD399D"/>
    <w:rsid w:val="00BD4A13"/>
    <w:rsid w:val="00BD4EB9"/>
    <w:rsid w:val="00BD5230"/>
    <w:rsid w:val="00BD7509"/>
    <w:rsid w:val="00BE0B7F"/>
    <w:rsid w:val="00BE2707"/>
    <w:rsid w:val="00BE2A26"/>
    <w:rsid w:val="00BE2FD6"/>
    <w:rsid w:val="00BE5F97"/>
    <w:rsid w:val="00BF0844"/>
    <w:rsid w:val="00BF097E"/>
    <w:rsid w:val="00BF0E7A"/>
    <w:rsid w:val="00BF0E9D"/>
    <w:rsid w:val="00BF2A23"/>
    <w:rsid w:val="00BF3A09"/>
    <w:rsid w:val="00BF41E3"/>
    <w:rsid w:val="00BF683C"/>
    <w:rsid w:val="00BF6DF5"/>
    <w:rsid w:val="00BF71C3"/>
    <w:rsid w:val="00C002ED"/>
    <w:rsid w:val="00C013F8"/>
    <w:rsid w:val="00C031DC"/>
    <w:rsid w:val="00C03461"/>
    <w:rsid w:val="00C03479"/>
    <w:rsid w:val="00C0359E"/>
    <w:rsid w:val="00C0511D"/>
    <w:rsid w:val="00C05C5A"/>
    <w:rsid w:val="00C065A8"/>
    <w:rsid w:val="00C067EE"/>
    <w:rsid w:val="00C06BDF"/>
    <w:rsid w:val="00C072A5"/>
    <w:rsid w:val="00C10435"/>
    <w:rsid w:val="00C10F00"/>
    <w:rsid w:val="00C1185E"/>
    <w:rsid w:val="00C1345E"/>
    <w:rsid w:val="00C149EB"/>
    <w:rsid w:val="00C15897"/>
    <w:rsid w:val="00C20824"/>
    <w:rsid w:val="00C22602"/>
    <w:rsid w:val="00C23EAA"/>
    <w:rsid w:val="00C26C75"/>
    <w:rsid w:val="00C27655"/>
    <w:rsid w:val="00C31DBD"/>
    <w:rsid w:val="00C3272E"/>
    <w:rsid w:val="00C32954"/>
    <w:rsid w:val="00C32DDF"/>
    <w:rsid w:val="00C33190"/>
    <w:rsid w:val="00C3389D"/>
    <w:rsid w:val="00C33C1F"/>
    <w:rsid w:val="00C369CD"/>
    <w:rsid w:val="00C36D27"/>
    <w:rsid w:val="00C372F8"/>
    <w:rsid w:val="00C4069E"/>
    <w:rsid w:val="00C4191F"/>
    <w:rsid w:val="00C4425B"/>
    <w:rsid w:val="00C47E4C"/>
    <w:rsid w:val="00C506B9"/>
    <w:rsid w:val="00C5079D"/>
    <w:rsid w:val="00C5086F"/>
    <w:rsid w:val="00C509F8"/>
    <w:rsid w:val="00C556B0"/>
    <w:rsid w:val="00C55B54"/>
    <w:rsid w:val="00C55C14"/>
    <w:rsid w:val="00C60068"/>
    <w:rsid w:val="00C627E1"/>
    <w:rsid w:val="00C62E33"/>
    <w:rsid w:val="00C657A0"/>
    <w:rsid w:val="00C66626"/>
    <w:rsid w:val="00C670A4"/>
    <w:rsid w:val="00C70F4E"/>
    <w:rsid w:val="00C72DCE"/>
    <w:rsid w:val="00C73817"/>
    <w:rsid w:val="00C74B9E"/>
    <w:rsid w:val="00C75836"/>
    <w:rsid w:val="00C8004B"/>
    <w:rsid w:val="00C8008C"/>
    <w:rsid w:val="00C80CB3"/>
    <w:rsid w:val="00C8158B"/>
    <w:rsid w:val="00C81669"/>
    <w:rsid w:val="00C822FB"/>
    <w:rsid w:val="00C82F07"/>
    <w:rsid w:val="00C82F45"/>
    <w:rsid w:val="00C859BA"/>
    <w:rsid w:val="00C86FD6"/>
    <w:rsid w:val="00C87926"/>
    <w:rsid w:val="00C90C30"/>
    <w:rsid w:val="00C90C93"/>
    <w:rsid w:val="00C90D17"/>
    <w:rsid w:val="00C90E93"/>
    <w:rsid w:val="00C92D08"/>
    <w:rsid w:val="00C93BD6"/>
    <w:rsid w:val="00C94F0E"/>
    <w:rsid w:val="00C956E1"/>
    <w:rsid w:val="00C959A7"/>
    <w:rsid w:val="00C95B1B"/>
    <w:rsid w:val="00C96C8F"/>
    <w:rsid w:val="00C96CF6"/>
    <w:rsid w:val="00C974F7"/>
    <w:rsid w:val="00CA10C7"/>
    <w:rsid w:val="00CA1535"/>
    <w:rsid w:val="00CA24B7"/>
    <w:rsid w:val="00CA3974"/>
    <w:rsid w:val="00CA4A1D"/>
    <w:rsid w:val="00CA6AC6"/>
    <w:rsid w:val="00CA76E6"/>
    <w:rsid w:val="00CA795D"/>
    <w:rsid w:val="00CB1034"/>
    <w:rsid w:val="00CB206A"/>
    <w:rsid w:val="00CB35DE"/>
    <w:rsid w:val="00CB3CE5"/>
    <w:rsid w:val="00CB5A30"/>
    <w:rsid w:val="00CB7401"/>
    <w:rsid w:val="00CB7B5F"/>
    <w:rsid w:val="00CB7DEF"/>
    <w:rsid w:val="00CC1052"/>
    <w:rsid w:val="00CC108E"/>
    <w:rsid w:val="00CC22DD"/>
    <w:rsid w:val="00CC3F95"/>
    <w:rsid w:val="00CC57B1"/>
    <w:rsid w:val="00CC5FA0"/>
    <w:rsid w:val="00CC6226"/>
    <w:rsid w:val="00CC71B1"/>
    <w:rsid w:val="00CC74EF"/>
    <w:rsid w:val="00CC7D37"/>
    <w:rsid w:val="00CD232A"/>
    <w:rsid w:val="00CD30C3"/>
    <w:rsid w:val="00CD5157"/>
    <w:rsid w:val="00CD54E9"/>
    <w:rsid w:val="00CD5B28"/>
    <w:rsid w:val="00CD63C9"/>
    <w:rsid w:val="00CD68AD"/>
    <w:rsid w:val="00CD6A33"/>
    <w:rsid w:val="00CD7277"/>
    <w:rsid w:val="00CE378E"/>
    <w:rsid w:val="00CE4640"/>
    <w:rsid w:val="00CE5E1B"/>
    <w:rsid w:val="00CE6E18"/>
    <w:rsid w:val="00CE75B0"/>
    <w:rsid w:val="00CF143B"/>
    <w:rsid w:val="00CF266E"/>
    <w:rsid w:val="00CF295F"/>
    <w:rsid w:val="00CF5757"/>
    <w:rsid w:val="00CF5C9B"/>
    <w:rsid w:val="00CF6B4E"/>
    <w:rsid w:val="00CF6E36"/>
    <w:rsid w:val="00CF7197"/>
    <w:rsid w:val="00CF74EB"/>
    <w:rsid w:val="00CF7747"/>
    <w:rsid w:val="00CF77D9"/>
    <w:rsid w:val="00D0453C"/>
    <w:rsid w:val="00D04773"/>
    <w:rsid w:val="00D06352"/>
    <w:rsid w:val="00D06716"/>
    <w:rsid w:val="00D0691A"/>
    <w:rsid w:val="00D07636"/>
    <w:rsid w:val="00D10D9A"/>
    <w:rsid w:val="00D111F0"/>
    <w:rsid w:val="00D133C0"/>
    <w:rsid w:val="00D14997"/>
    <w:rsid w:val="00D1502A"/>
    <w:rsid w:val="00D15224"/>
    <w:rsid w:val="00D1718D"/>
    <w:rsid w:val="00D21178"/>
    <w:rsid w:val="00D21CEB"/>
    <w:rsid w:val="00D2241F"/>
    <w:rsid w:val="00D22A43"/>
    <w:rsid w:val="00D25E01"/>
    <w:rsid w:val="00D278F3"/>
    <w:rsid w:val="00D30BAB"/>
    <w:rsid w:val="00D3114B"/>
    <w:rsid w:val="00D3144E"/>
    <w:rsid w:val="00D316B5"/>
    <w:rsid w:val="00D31E48"/>
    <w:rsid w:val="00D32D1D"/>
    <w:rsid w:val="00D33FCC"/>
    <w:rsid w:val="00D369BE"/>
    <w:rsid w:val="00D377AE"/>
    <w:rsid w:val="00D4003F"/>
    <w:rsid w:val="00D43B28"/>
    <w:rsid w:val="00D4469A"/>
    <w:rsid w:val="00D461E8"/>
    <w:rsid w:val="00D47EDC"/>
    <w:rsid w:val="00D50418"/>
    <w:rsid w:val="00D50FEA"/>
    <w:rsid w:val="00D51B1E"/>
    <w:rsid w:val="00D52577"/>
    <w:rsid w:val="00D53239"/>
    <w:rsid w:val="00D536D3"/>
    <w:rsid w:val="00D53A30"/>
    <w:rsid w:val="00D53D92"/>
    <w:rsid w:val="00D548A2"/>
    <w:rsid w:val="00D552ED"/>
    <w:rsid w:val="00D56645"/>
    <w:rsid w:val="00D56E0E"/>
    <w:rsid w:val="00D575C6"/>
    <w:rsid w:val="00D60187"/>
    <w:rsid w:val="00D615E2"/>
    <w:rsid w:val="00D62DA3"/>
    <w:rsid w:val="00D66379"/>
    <w:rsid w:val="00D664C1"/>
    <w:rsid w:val="00D6684B"/>
    <w:rsid w:val="00D679E1"/>
    <w:rsid w:val="00D7152D"/>
    <w:rsid w:val="00D71ADB"/>
    <w:rsid w:val="00D71E4D"/>
    <w:rsid w:val="00D7354F"/>
    <w:rsid w:val="00D7368F"/>
    <w:rsid w:val="00D73AEC"/>
    <w:rsid w:val="00D749CF"/>
    <w:rsid w:val="00D76696"/>
    <w:rsid w:val="00D76A3B"/>
    <w:rsid w:val="00D778E3"/>
    <w:rsid w:val="00D77E02"/>
    <w:rsid w:val="00D812ED"/>
    <w:rsid w:val="00D81EBF"/>
    <w:rsid w:val="00D85FE8"/>
    <w:rsid w:val="00D8633E"/>
    <w:rsid w:val="00D865EF"/>
    <w:rsid w:val="00D90A01"/>
    <w:rsid w:val="00D90CFB"/>
    <w:rsid w:val="00D92BFC"/>
    <w:rsid w:val="00D94070"/>
    <w:rsid w:val="00D94E95"/>
    <w:rsid w:val="00D9545B"/>
    <w:rsid w:val="00D97BFE"/>
    <w:rsid w:val="00DA05F7"/>
    <w:rsid w:val="00DA2021"/>
    <w:rsid w:val="00DA32C9"/>
    <w:rsid w:val="00DA58CF"/>
    <w:rsid w:val="00DA594F"/>
    <w:rsid w:val="00DA78F3"/>
    <w:rsid w:val="00DB0882"/>
    <w:rsid w:val="00DB0C92"/>
    <w:rsid w:val="00DB1137"/>
    <w:rsid w:val="00DB2195"/>
    <w:rsid w:val="00DB23F0"/>
    <w:rsid w:val="00DB2897"/>
    <w:rsid w:val="00DB2B61"/>
    <w:rsid w:val="00DB2E6B"/>
    <w:rsid w:val="00DB3003"/>
    <w:rsid w:val="00DB46DA"/>
    <w:rsid w:val="00DB74A6"/>
    <w:rsid w:val="00DC0441"/>
    <w:rsid w:val="00DC062F"/>
    <w:rsid w:val="00DC16E1"/>
    <w:rsid w:val="00DC1A10"/>
    <w:rsid w:val="00DC1B50"/>
    <w:rsid w:val="00DC4095"/>
    <w:rsid w:val="00DC4B62"/>
    <w:rsid w:val="00DC78DE"/>
    <w:rsid w:val="00DD17DF"/>
    <w:rsid w:val="00DD2BBF"/>
    <w:rsid w:val="00DD30AA"/>
    <w:rsid w:val="00DD56CD"/>
    <w:rsid w:val="00DD6745"/>
    <w:rsid w:val="00DD6FC1"/>
    <w:rsid w:val="00DE467E"/>
    <w:rsid w:val="00DE4DC4"/>
    <w:rsid w:val="00DE5191"/>
    <w:rsid w:val="00DE51E6"/>
    <w:rsid w:val="00DE598F"/>
    <w:rsid w:val="00DE5DA1"/>
    <w:rsid w:val="00DE6936"/>
    <w:rsid w:val="00DE6D64"/>
    <w:rsid w:val="00DE6DE6"/>
    <w:rsid w:val="00DF02CF"/>
    <w:rsid w:val="00DF09AE"/>
    <w:rsid w:val="00DF106D"/>
    <w:rsid w:val="00DF58A0"/>
    <w:rsid w:val="00DF5AC2"/>
    <w:rsid w:val="00DF6314"/>
    <w:rsid w:val="00DF6569"/>
    <w:rsid w:val="00E010F6"/>
    <w:rsid w:val="00E031C6"/>
    <w:rsid w:val="00E0424F"/>
    <w:rsid w:val="00E043CF"/>
    <w:rsid w:val="00E04915"/>
    <w:rsid w:val="00E11BF3"/>
    <w:rsid w:val="00E12BE5"/>
    <w:rsid w:val="00E1375E"/>
    <w:rsid w:val="00E14019"/>
    <w:rsid w:val="00E154C7"/>
    <w:rsid w:val="00E15A15"/>
    <w:rsid w:val="00E17576"/>
    <w:rsid w:val="00E17783"/>
    <w:rsid w:val="00E20F99"/>
    <w:rsid w:val="00E21335"/>
    <w:rsid w:val="00E22507"/>
    <w:rsid w:val="00E24797"/>
    <w:rsid w:val="00E24E4D"/>
    <w:rsid w:val="00E30B90"/>
    <w:rsid w:val="00E3121D"/>
    <w:rsid w:val="00E312E2"/>
    <w:rsid w:val="00E33E22"/>
    <w:rsid w:val="00E343C5"/>
    <w:rsid w:val="00E35E31"/>
    <w:rsid w:val="00E3603D"/>
    <w:rsid w:val="00E368C3"/>
    <w:rsid w:val="00E369F3"/>
    <w:rsid w:val="00E37EF2"/>
    <w:rsid w:val="00E4262B"/>
    <w:rsid w:val="00E42CF5"/>
    <w:rsid w:val="00E445FF"/>
    <w:rsid w:val="00E448C2"/>
    <w:rsid w:val="00E451C2"/>
    <w:rsid w:val="00E45503"/>
    <w:rsid w:val="00E4555B"/>
    <w:rsid w:val="00E501DA"/>
    <w:rsid w:val="00E5150A"/>
    <w:rsid w:val="00E51E97"/>
    <w:rsid w:val="00E527F9"/>
    <w:rsid w:val="00E5294A"/>
    <w:rsid w:val="00E52EA1"/>
    <w:rsid w:val="00E53B0D"/>
    <w:rsid w:val="00E549D5"/>
    <w:rsid w:val="00E56485"/>
    <w:rsid w:val="00E569ED"/>
    <w:rsid w:val="00E56B92"/>
    <w:rsid w:val="00E577B6"/>
    <w:rsid w:val="00E60750"/>
    <w:rsid w:val="00E61983"/>
    <w:rsid w:val="00E640B6"/>
    <w:rsid w:val="00E6452A"/>
    <w:rsid w:val="00E6458D"/>
    <w:rsid w:val="00E64E90"/>
    <w:rsid w:val="00E65279"/>
    <w:rsid w:val="00E6778E"/>
    <w:rsid w:val="00E678C0"/>
    <w:rsid w:val="00E7056F"/>
    <w:rsid w:val="00E70903"/>
    <w:rsid w:val="00E71300"/>
    <w:rsid w:val="00E72561"/>
    <w:rsid w:val="00E74A56"/>
    <w:rsid w:val="00E7628A"/>
    <w:rsid w:val="00E76D90"/>
    <w:rsid w:val="00E7717F"/>
    <w:rsid w:val="00E7778D"/>
    <w:rsid w:val="00E77A37"/>
    <w:rsid w:val="00E77F3A"/>
    <w:rsid w:val="00E81DCD"/>
    <w:rsid w:val="00E82CA6"/>
    <w:rsid w:val="00E8334E"/>
    <w:rsid w:val="00E83475"/>
    <w:rsid w:val="00E86002"/>
    <w:rsid w:val="00E90409"/>
    <w:rsid w:val="00E90C35"/>
    <w:rsid w:val="00E90CA3"/>
    <w:rsid w:val="00E913E6"/>
    <w:rsid w:val="00E917B1"/>
    <w:rsid w:val="00E91EC6"/>
    <w:rsid w:val="00E92146"/>
    <w:rsid w:val="00E925AD"/>
    <w:rsid w:val="00E92C59"/>
    <w:rsid w:val="00E9363E"/>
    <w:rsid w:val="00EA1D91"/>
    <w:rsid w:val="00EA32F4"/>
    <w:rsid w:val="00EA39C5"/>
    <w:rsid w:val="00EA5411"/>
    <w:rsid w:val="00EA5E6D"/>
    <w:rsid w:val="00EA620D"/>
    <w:rsid w:val="00EB019C"/>
    <w:rsid w:val="00EB05E8"/>
    <w:rsid w:val="00EB1839"/>
    <w:rsid w:val="00EB1BA8"/>
    <w:rsid w:val="00EB1F5B"/>
    <w:rsid w:val="00EB2E1B"/>
    <w:rsid w:val="00EB3150"/>
    <w:rsid w:val="00EB33C7"/>
    <w:rsid w:val="00EB4DCA"/>
    <w:rsid w:val="00EB5C92"/>
    <w:rsid w:val="00EB6A14"/>
    <w:rsid w:val="00EC0E13"/>
    <w:rsid w:val="00EC12C7"/>
    <w:rsid w:val="00EC5719"/>
    <w:rsid w:val="00EC7470"/>
    <w:rsid w:val="00EC7849"/>
    <w:rsid w:val="00ED1465"/>
    <w:rsid w:val="00ED2A0C"/>
    <w:rsid w:val="00ED2F0C"/>
    <w:rsid w:val="00ED4C43"/>
    <w:rsid w:val="00ED5530"/>
    <w:rsid w:val="00ED5B9E"/>
    <w:rsid w:val="00ED6015"/>
    <w:rsid w:val="00ED7E59"/>
    <w:rsid w:val="00EE0EA5"/>
    <w:rsid w:val="00EE3198"/>
    <w:rsid w:val="00EE4B53"/>
    <w:rsid w:val="00EE51CD"/>
    <w:rsid w:val="00EE539C"/>
    <w:rsid w:val="00EE7FDE"/>
    <w:rsid w:val="00EF0B46"/>
    <w:rsid w:val="00EF1153"/>
    <w:rsid w:val="00EF166E"/>
    <w:rsid w:val="00EF1F1A"/>
    <w:rsid w:val="00EF22FC"/>
    <w:rsid w:val="00EF2994"/>
    <w:rsid w:val="00EF37A9"/>
    <w:rsid w:val="00EF426D"/>
    <w:rsid w:val="00EF47FF"/>
    <w:rsid w:val="00EF53C8"/>
    <w:rsid w:val="00EF61C1"/>
    <w:rsid w:val="00EF686C"/>
    <w:rsid w:val="00EF7392"/>
    <w:rsid w:val="00F035EE"/>
    <w:rsid w:val="00F03F74"/>
    <w:rsid w:val="00F07977"/>
    <w:rsid w:val="00F079C3"/>
    <w:rsid w:val="00F11ED9"/>
    <w:rsid w:val="00F124BE"/>
    <w:rsid w:val="00F12617"/>
    <w:rsid w:val="00F13387"/>
    <w:rsid w:val="00F13FCD"/>
    <w:rsid w:val="00F17ABC"/>
    <w:rsid w:val="00F22F95"/>
    <w:rsid w:val="00F230B2"/>
    <w:rsid w:val="00F23B9B"/>
    <w:rsid w:val="00F23F30"/>
    <w:rsid w:val="00F23F44"/>
    <w:rsid w:val="00F24B26"/>
    <w:rsid w:val="00F255BD"/>
    <w:rsid w:val="00F26DE2"/>
    <w:rsid w:val="00F2740F"/>
    <w:rsid w:val="00F30094"/>
    <w:rsid w:val="00F30EA8"/>
    <w:rsid w:val="00F32A9F"/>
    <w:rsid w:val="00F33156"/>
    <w:rsid w:val="00F33367"/>
    <w:rsid w:val="00F33436"/>
    <w:rsid w:val="00F33E37"/>
    <w:rsid w:val="00F349DD"/>
    <w:rsid w:val="00F36676"/>
    <w:rsid w:val="00F36CAE"/>
    <w:rsid w:val="00F37510"/>
    <w:rsid w:val="00F407CA"/>
    <w:rsid w:val="00F420E5"/>
    <w:rsid w:val="00F46E80"/>
    <w:rsid w:val="00F46EFA"/>
    <w:rsid w:val="00F47A88"/>
    <w:rsid w:val="00F52B7F"/>
    <w:rsid w:val="00F53617"/>
    <w:rsid w:val="00F5373D"/>
    <w:rsid w:val="00F57C4E"/>
    <w:rsid w:val="00F607EB"/>
    <w:rsid w:val="00F60BD7"/>
    <w:rsid w:val="00F618ED"/>
    <w:rsid w:val="00F62CE5"/>
    <w:rsid w:val="00F63574"/>
    <w:rsid w:val="00F63657"/>
    <w:rsid w:val="00F63673"/>
    <w:rsid w:val="00F63D9E"/>
    <w:rsid w:val="00F63EBF"/>
    <w:rsid w:val="00F6434F"/>
    <w:rsid w:val="00F65D9D"/>
    <w:rsid w:val="00F65ED0"/>
    <w:rsid w:val="00F67831"/>
    <w:rsid w:val="00F71E1B"/>
    <w:rsid w:val="00F7245D"/>
    <w:rsid w:val="00F73842"/>
    <w:rsid w:val="00F7433B"/>
    <w:rsid w:val="00F74DD6"/>
    <w:rsid w:val="00F751AA"/>
    <w:rsid w:val="00F75475"/>
    <w:rsid w:val="00F7667A"/>
    <w:rsid w:val="00F76FEB"/>
    <w:rsid w:val="00F77FC3"/>
    <w:rsid w:val="00F8029B"/>
    <w:rsid w:val="00F82F4A"/>
    <w:rsid w:val="00F855C2"/>
    <w:rsid w:val="00F86F11"/>
    <w:rsid w:val="00F901BC"/>
    <w:rsid w:val="00F91BA1"/>
    <w:rsid w:val="00F928C5"/>
    <w:rsid w:val="00F94876"/>
    <w:rsid w:val="00F957C8"/>
    <w:rsid w:val="00F970A1"/>
    <w:rsid w:val="00F97DAA"/>
    <w:rsid w:val="00FA151D"/>
    <w:rsid w:val="00FA1F96"/>
    <w:rsid w:val="00FA29C1"/>
    <w:rsid w:val="00FA3743"/>
    <w:rsid w:val="00FA6F99"/>
    <w:rsid w:val="00FA72C7"/>
    <w:rsid w:val="00FA7513"/>
    <w:rsid w:val="00FA75B5"/>
    <w:rsid w:val="00FB06A9"/>
    <w:rsid w:val="00FB0BEE"/>
    <w:rsid w:val="00FB1F64"/>
    <w:rsid w:val="00FB28CB"/>
    <w:rsid w:val="00FB45C2"/>
    <w:rsid w:val="00FB6A88"/>
    <w:rsid w:val="00FB7C65"/>
    <w:rsid w:val="00FB7D7F"/>
    <w:rsid w:val="00FC00C8"/>
    <w:rsid w:val="00FC1238"/>
    <w:rsid w:val="00FC1393"/>
    <w:rsid w:val="00FC38FB"/>
    <w:rsid w:val="00FD04CF"/>
    <w:rsid w:val="00FD0B85"/>
    <w:rsid w:val="00FD2714"/>
    <w:rsid w:val="00FD2D7C"/>
    <w:rsid w:val="00FD3513"/>
    <w:rsid w:val="00FD5F36"/>
    <w:rsid w:val="00FD6506"/>
    <w:rsid w:val="00FD67CB"/>
    <w:rsid w:val="00FD70D4"/>
    <w:rsid w:val="00FD7428"/>
    <w:rsid w:val="00FD758A"/>
    <w:rsid w:val="00FE4415"/>
    <w:rsid w:val="00FE4717"/>
    <w:rsid w:val="00FE6737"/>
    <w:rsid w:val="00FE726F"/>
    <w:rsid w:val="00FE7E92"/>
    <w:rsid w:val="00FF1602"/>
    <w:rsid w:val="00FF32C5"/>
    <w:rsid w:val="00FF38FC"/>
    <w:rsid w:val="00FF55C5"/>
    <w:rsid w:val="00FF5950"/>
    <w:rsid w:val="00FF59E2"/>
    <w:rsid w:val="00FF5B44"/>
    <w:rsid w:val="022143D6"/>
    <w:rsid w:val="0322E6AE"/>
    <w:rsid w:val="0AA2DBC5"/>
    <w:rsid w:val="187F3B48"/>
    <w:rsid w:val="29462C06"/>
    <w:rsid w:val="29DAA412"/>
    <w:rsid w:val="2AF95C25"/>
    <w:rsid w:val="32B2FB26"/>
    <w:rsid w:val="3CA8EB0C"/>
    <w:rsid w:val="3F81EE28"/>
    <w:rsid w:val="4B802F77"/>
    <w:rsid w:val="4CC329D6"/>
    <w:rsid w:val="5089DBAC"/>
    <w:rsid w:val="59A76CC9"/>
    <w:rsid w:val="61C7B057"/>
    <w:rsid w:val="64CA4FD2"/>
    <w:rsid w:val="7024FBE6"/>
    <w:rsid w:val="74F54A5C"/>
    <w:rsid w:val="7BEF715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B08D01"/>
  <w15:docId w15:val="{475D0BC9-A245-426D-A1BD-8D1114FC5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0D9A"/>
    <w:rPr>
      <w:rFonts w:asciiTheme="majorHAnsi" w:hAnsiTheme="majorHAnsi" w:cstheme="minorHAnsi"/>
      <w:lang w:val="en"/>
    </w:rPr>
  </w:style>
  <w:style w:type="paragraph" w:styleId="Heading1">
    <w:name w:val="heading 1"/>
    <w:basedOn w:val="Normal"/>
    <w:next w:val="Normal"/>
    <w:link w:val="Heading1Char"/>
    <w:uiPriority w:val="9"/>
    <w:qFormat/>
    <w:rsid w:val="001A3992"/>
    <w:pPr>
      <w:keepNext/>
      <w:keepLines/>
      <w:numPr>
        <w:numId w:val="1"/>
      </w:numPr>
      <w:spacing w:before="480" w:after="0"/>
      <w:outlineLvl w:val="0"/>
    </w:pPr>
    <w:rPr>
      <w:rFonts w:eastAsiaTheme="majorEastAsia" w:cstheme="majorBidi"/>
      <w:b/>
      <w:bCs/>
      <w:caps/>
      <w:sz w:val="28"/>
      <w:szCs w:val="28"/>
    </w:rPr>
  </w:style>
  <w:style w:type="paragraph" w:styleId="Heading2">
    <w:name w:val="heading 2"/>
    <w:basedOn w:val="Normal"/>
    <w:next w:val="Normal"/>
    <w:link w:val="Heading2Char"/>
    <w:uiPriority w:val="9"/>
    <w:unhideWhenUsed/>
    <w:qFormat/>
    <w:rsid w:val="001A3992"/>
    <w:pPr>
      <w:numPr>
        <w:ilvl w:val="1"/>
        <w:numId w:val="1"/>
      </w:numPr>
      <w:spacing w:before="240"/>
      <w:outlineLvl w:val="1"/>
    </w:pPr>
    <w:rPr>
      <w:b/>
      <w:smallCaps/>
      <w:sz w:val="24"/>
    </w:rPr>
  </w:style>
  <w:style w:type="paragraph" w:styleId="Heading3">
    <w:name w:val="heading 3"/>
    <w:basedOn w:val="Normal"/>
    <w:next w:val="Normal"/>
    <w:link w:val="Heading3Char"/>
    <w:uiPriority w:val="9"/>
    <w:unhideWhenUsed/>
    <w:qFormat/>
    <w:rsid w:val="00005AAA"/>
    <w:pPr>
      <w:keepNext/>
      <w:keepLines/>
      <w:spacing w:before="200"/>
      <w:outlineLvl w:val="2"/>
    </w:pPr>
    <w:rPr>
      <w:rFonts w:eastAsiaTheme="majorEastAsia" w:cstheme="majorBidi"/>
      <w:b/>
      <w:bCs/>
    </w:rPr>
  </w:style>
  <w:style w:type="paragraph" w:styleId="Heading4">
    <w:name w:val="heading 4"/>
    <w:basedOn w:val="Normal"/>
    <w:next w:val="Normal"/>
    <w:link w:val="Heading4Char"/>
    <w:uiPriority w:val="9"/>
    <w:unhideWhenUsed/>
    <w:qFormat/>
    <w:rsid w:val="00DA58CF"/>
    <w:pPr>
      <w:keepNext/>
      <w:keepLines/>
      <w:spacing w:before="200" w:after="0"/>
      <w:ind w:left="864" w:hanging="864"/>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5F4722"/>
    <w:pPr>
      <w:keepNext/>
      <w:keepLines/>
      <w:spacing w:before="200" w:after="0"/>
      <w:ind w:left="1008" w:hanging="1008"/>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1A3992"/>
    <w:pPr>
      <w:keepNext/>
      <w:keepLines/>
      <w:numPr>
        <w:ilvl w:val="5"/>
        <w:numId w:val="1"/>
      </w:numPr>
      <w:spacing w:before="200" w:after="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1A3992"/>
    <w:pPr>
      <w:keepNext/>
      <w:keepLines/>
      <w:numPr>
        <w:ilvl w:val="6"/>
        <w:numId w:val="1"/>
      </w:numPr>
      <w:spacing w:before="200" w:after="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1A3992"/>
    <w:pPr>
      <w:keepNext/>
      <w:keepLines/>
      <w:numPr>
        <w:ilvl w:val="7"/>
        <w:numId w:val="1"/>
      </w:numPr>
      <w:spacing w:before="200" w:after="0"/>
      <w:outlineLvl w:val="7"/>
    </w:pPr>
    <w:rPr>
      <w:rFonts w:eastAsiaTheme="majorEastAsia"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1A3992"/>
    <w:pPr>
      <w:keepNext/>
      <w:keepLines/>
      <w:numPr>
        <w:ilvl w:val="8"/>
        <w:numId w:val="1"/>
      </w:numPr>
      <w:spacing w:before="200" w:after="0"/>
      <w:outlineLvl w:val="8"/>
    </w:pPr>
    <w:rPr>
      <w:rFonts w:eastAsiaTheme="majorEastAsia"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3992"/>
    <w:rPr>
      <w:rFonts w:asciiTheme="majorHAnsi" w:eastAsiaTheme="majorEastAsia" w:hAnsiTheme="majorHAnsi" w:cstheme="majorBidi"/>
      <w:b/>
      <w:bCs/>
      <w:caps/>
      <w:sz w:val="28"/>
      <w:szCs w:val="28"/>
      <w:lang w:val="en"/>
    </w:rPr>
  </w:style>
  <w:style w:type="character" w:customStyle="1" w:styleId="Heading2Char">
    <w:name w:val="Heading 2 Char"/>
    <w:basedOn w:val="DefaultParagraphFont"/>
    <w:link w:val="Heading2"/>
    <w:uiPriority w:val="9"/>
    <w:rsid w:val="001A3992"/>
    <w:rPr>
      <w:rFonts w:asciiTheme="majorHAnsi" w:hAnsiTheme="majorHAnsi" w:cstheme="minorHAnsi"/>
      <w:b/>
      <w:smallCaps/>
      <w:sz w:val="24"/>
      <w:lang w:val="en"/>
    </w:rPr>
  </w:style>
  <w:style w:type="character" w:customStyle="1" w:styleId="Heading3Char">
    <w:name w:val="Heading 3 Char"/>
    <w:basedOn w:val="DefaultParagraphFont"/>
    <w:link w:val="Heading3"/>
    <w:uiPriority w:val="9"/>
    <w:rsid w:val="001A3992"/>
    <w:rPr>
      <w:rFonts w:asciiTheme="majorHAnsi" w:eastAsiaTheme="majorEastAsia" w:hAnsiTheme="majorHAnsi" w:cstheme="majorBidi"/>
      <w:b/>
      <w:bCs/>
      <w:lang w:val="en"/>
    </w:rPr>
  </w:style>
  <w:style w:type="character" w:customStyle="1" w:styleId="Heading4Char">
    <w:name w:val="Heading 4 Char"/>
    <w:basedOn w:val="DefaultParagraphFont"/>
    <w:link w:val="Heading4"/>
    <w:uiPriority w:val="9"/>
    <w:rsid w:val="001A3992"/>
    <w:rPr>
      <w:rFonts w:asciiTheme="majorHAnsi" w:eastAsiaTheme="majorEastAsia" w:hAnsiTheme="majorHAnsi" w:cstheme="majorBidi"/>
      <w:b/>
      <w:bCs/>
      <w:i/>
      <w:iCs/>
      <w:lang w:val="en"/>
    </w:rPr>
  </w:style>
  <w:style w:type="character" w:customStyle="1" w:styleId="Heading5Char">
    <w:name w:val="Heading 5 Char"/>
    <w:basedOn w:val="DefaultParagraphFont"/>
    <w:link w:val="Heading5"/>
    <w:uiPriority w:val="9"/>
    <w:rsid w:val="001A3992"/>
    <w:rPr>
      <w:rFonts w:asciiTheme="majorHAnsi" w:eastAsiaTheme="majorEastAsia" w:hAnsiTheme="majorHAnsi" w:cstheme="majorBidi"/>
      <w:lang w:val="en"/>
    </w:rPr>
  </w:style>
  <w:style w:type="character" w:customStyle="1" w:styleId="Heading6Char">
    <w:name w:val="Heading 6 Char"/>
    <w:basedOn w:val="DefaultParagraphFont"/>
    <w:link w:val="Heading6"/>
    <w:uiPriority w:val="9"/>
    <w:semiHidden/>
    <w:rsid w:val="001A3992"/>
    <w:rPr>
      <w:rFonts w:asciiTheme="majorHAnsi" w:eastAsiaTheme="majorEastAsia" w:hAnsiTheme="majorHAnsi" w:cstheme="majorBidi"/>
      <w:i/>
      <w:iCs/>
      <w:color w:val="243F60" w:themeColor="accent1" w:themeShade="7F"/>
      <w:lang w:val="en"/>
    </w:rPr>
  </w:style>
  <w:style w:type="character" w:customStyle="1" w:styleId="Heading7Char">
    <w:name w:val="Heading 7 Char"/>
    <w:basedOn w:val="DefaultParagraphFont"/>
    <w:link w:val="Heading7"/>
    <w:uiPriority w:val="9"/>
    <w:semiHidden/>
    <w:rsid w:val="001A3992"/>
    <w:rPr>
      <w:rFonts w:asciiTheme="majorHAnsi" w:eastAsiaTheme="majorEastAsia" w:hAnsiTheme="majorHAnsi" w:cstheme="majorBidi"/>
      <w:i/>
      <w:iCs/>
      <w:color w:val="404040" w:themeColor="text1" w:themeTint="BF"/>
      <w:lang w:val="en"/>
    </w:rPr>
  </w:style>
  <w:style w:type="character" w:customStyle="1" w:styleId="Heading8Char">
    <w:name w:val="Heading 8 Char"/>
    <w:basedOn w:val="DefaultParagraphFont"/>
    <w:link w:val="Heading8"/>
    <w:uiPriority w:val="9"/>
    <w:semiHidden/>
    <w:rsid w:val="001A3992"/>
    <w:rPr>
      <w:rFonts w:asciiTheme="majorHAnsi" w:eastAsiaTheme="majorEastAsia" w:hAnsiTheme="majorHAnsi" w:cstheme="majorBidi"/>
      <w:color w:val="404040" w:themeColor="text1" w:themeTint="BF"/>
      <w:sz w:val="20"/>
      <w:szCs w:val="20"/>
      <w:lang w:val="en"/>
    </w:rPr>
  </w:style>
  <w:style w:type="character" w:customStyle="1" w:styleId="Heading9Char">
    <w:name w:val="Heading 9 Char"/>
    <w:basedOn w:val="DefaultParagraphFont"/>
    <w:link w:val="Heading9"/>
    <w:uiPriority w:val="9"/>
    <w:semiHidden/>
    <w:rsid w:val="001A3992"/>
    <w:rPr>
      <w:rFonts w:asciiTheme="majorHAnsi" w:eastAsiaTheme="majorEastAsia" w:hAnsiTheme="majorHAnsi" w:cstheme="majorBidi"/>
      <w:i/>
      <w:iCs/>
      <w:color w:val="404040" w:themeColor="text1" w:themeTint="BF"/>
      <w:sz w:val="20"/>
      <w:szCs w:val="20"/>
      <w:lang w:val="en"/>
    </w:rPr>
  </w:style>
  <w:style w:type="paragraph" w:styleId="ListParagraph">
    <w:name w:val="List Paragraph"/>
    <w:basedOn w:val="Normal"/>
    <w:uiPriority w:val="34"/>
    <w:qFormat/>
    <w:rsid w:val="001A3992"/>
    <w:pPr>
      <w:ind w:left="720"/>
      <w:contextualSpacing/>
    </w:pPr>
    <w:rPr>
      <w:rFonts w:ascii="Cambria" w:hAnsi="Cambria"/>
    </w:rPr>
  </w:style>
  <w:style w:type="character" w:styleId="CommentReference">
    <w:name w:val="annotation reference"/>
    <w:basedOn w:val="DefaultParagraphFont"/>
    <w:uiPriority w:val="99"/>
    <w:unhideWhenUsed/>
    <w:rsid w:val="001A3992"/>
    <w:rPr>
      <w:sz w:val="16"/>
      <w:szCs w:val="16"/>
    </w:rPr>
  </w:style>
  <w:style w:type="paragraph" w:styleId="CommentText">
    <w:name w:val="annotation text"/>
    <w:aliases w:val="Annotationtext,- H19,Comment Text Char Char,Comment Text Char1 Char Char,Comment Text Char Char Char Char,Comment Text Char Char1"/>
    <w:basedOn w:val="Normal"/>
    <w:link w:val="CommentTextChar"/>
    <w:uiPriority w:val="99"/>
    <w:unhideWhenUsed/>
    <w:qFormat/>
    <w:rsid w:val="001A3992"/>
    <w:pPr>
      <w:spacing w:line="240" w:lineRule="auto"/>
    </w:pPr>
    <w:rPr>
      <w:rFonts w:ascii="Cambria" w:hAnsi="Cambria"/>
      <w:sz w:val="20"/>
      <w:szCs w:val="20"/>
    </w:rPr>
  </w:style>
  <w:style w:type="character" w:customStyle="1" w:styleId="CommentTextChar">
    <w:name w:val="Comment Text Char"/>
    <w:aliases w:val="Annotationtext Char,- H19 Char,Comment Text Char Char Char,Comment Text Char1 Char Char Char,Comment Text Char Char Char Char Char,Comment Text Char Char1 Char"/>
    <w:basedOn w:val="DefaultParagraphFont"/>
    <w:link w:val="CommentText"/>
    <w:uiPriority w:val="99"/>
    <w:rsid w:val="001A3992"/>
    <w:rPr>
      <w:rFonts w:ascii="Cambria" w:hAnsi="Cambria"/>
      <w:sz w:val="20"/>
      <w:szCs w:val="20"/>
    </w:rPr>
  </w:style>
  <w:style w:type="paragraph" w:styleId="FootnoteText">
    <w:name w:val="footnote text"/>
    <w:basedOn w:val="Normal"/>
    <w:link w:val="FootnoteTextChar"/>
    <w:uiPriority w:val="99"/>
    <w:rsid w:val="001A3992"/>
    <w:pPr>
      <w:keepLines/>
      <w:spacing w:before="180" w:after="180"/>
    </w:pPr>
    <w:rPr>
      <w:rFonts w:ascii="Calibri" w:eastAsia="Calibri" w:hAnsi="Calibri" w:cs="Times New Roman"/>
      <w:sz w:val="20"/>
    </w:rPr>
  </w:style>
  <w:style w:type="character" w:customStyle="1" w:styleId="FootnoteTextChar">
    <w:name w:val="Footnote Text Char"/>
    <w:basedOn w:val="DefaultParagraphFont"/>
    <w:link w:val="FootnoteText"/>
    <w:uiPriority w:val="99"/>
    <w:rsid w:val="001A3992"/>
    <w:rPr>
      <w:rFonts w:ascii="Calibri" w:eastAsia="Calibri" w:hAnsi="Calibri" w:cs="Times New Roman"/>
      <w:sz w:val="20"/>
    </w:rPr>
  </w:style>
  <w:style w:type="character" w:styleId="FootnoteReference">
    <w:name w:val="footnote reference"/>
    <w:basedOn w:val="DefaultParagraphFont"/>
    <w:uiPriority w:val="99"/>
    <w:unhideWhenUsed/>
    <w:rsid w:val="001A3992"/>
    <w:rPr>
      <w:vertAlign w:val="superscript"/>
    </w:rPr>
  </w:style>
  <w:style w:type="paragraph" w:styleId="ListBullet">
    <w:name w:val="List Bullet"/>
    <w:basedOn w:val="Normal"/>
    <w:uiPriority w:val="99"/>
    <w:unhideWhenUsed/>
    <w:rsid w:val="001A3992"/>
    <w:pPr>
      <w:ind w:left="425" w:hanging="425"/>
      <w:contextualSpacing/>
    </w:pPr>
    <w:rPr>
      <w:rFonts w:ascii="Cambria" w:hAnsi="Cambria"/>
    </w:rPr>
  </w:style>
  <w:style w:type="character" w:styleId="Hyperlink">
    <w:name w:val="Hyperlink"/>
    <w:basedOn w:val="DefaultParagraphFont"/>
    <w:uiPriority w:val="99"/>
    <w:unhideWhenUsed/>
    <w:rsid w:val="001A3992"/>
    <w:rPr>
      <w:color w:val="0000FF" w:themeColor="hyperlink"/>
      <w:u w:val="single"/>
    </w:rPr>
  </w:style>
  <w:style w:type="table" w:styleId="LightGrid">
    <w:name w:val="Light Grid"/>
    <w:basedOn w:val="TableNormal"/>
    <w:uiPriority w:val="62"/>
    <w:rsid w:val="001A399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Footer">
    <w:name w:val="footer"/>
    <w:basedOn w:val="Normal"/>
    <w:link w:val="FooterChar"/>
    <w:unhideWhenUsed/>
    <w:rsid w:val="001A3992"/>
    <w:pPr>
      <w:tabs>
        <w:tab w:val="center" w:pos="4513"/>
        <w:tab w:val="right" w:pos="9026"/>
      </w:tabs>
      <w:spacing w:after="0" w:line="240" w:lineRule="auto"/>
    </w:pPr>
    <w:rPr>
      <w:rFonts w:ascii="Cambria" w:hAnsi="Cambria"/>
    </w:rPr>
  </w:style>
  <w:style w:type="character" w:customStyle="1" w:styleId="FooterChar">
    <w:name w:val="Footer Char"/>
    <w:basedOn w:val="DefaultParagraphFont"/>
    <w:link w:val="Footer"/>
    <w:rsid w:val="001A3992"/>
    <w:rPr>
      <w:rFonts w:ascii="Cambria" w:hAnsi="Cambria"/>
    </w:rPr>
  </w:style>
  <w:style w:type="paragraph" w:styleId="BalloonText">
    <w:name w:val="Balloon Text"/>
    <w:basedOn w:val="Normal"/>
    <w:link w:val="BalloonTextChar"/>
    <w:uiPriority w:val="99"/>
    <w:semiHidden/>
    <w:unhideWhenUsed/>
    <w:rsid w:val="001A39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3992"/>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411B3F"/>
    <w:rPr>
      <w:rFonts w:asciiTheme="minorHAnsi" w:hAnsiTheme="minorHAnsi"/>
      <w:b/>
      <w:bCs/>
    </w:rPr>
  </w:style>
  <w:style w:type="character" w:customStyle="1" w:styleId="CommentSubjectChar">
    <w:name w:val="Comment Subject Char"/>
    <w:basedOn w:val="CommentTextChar"/>
    <w:link w:val="CommentSubject"/>
    <w:uiPriority w:val="99"/>
    <w:semiHidden/>
    <w:rsid w:val="00411B3F"/>
    <w:rPr>
      <w:rFonts w:ascii="Cambria" w:hAnsi="Cambria"/>
      <w:b/>
      <w:bCs/>
      <w:sz w:val="20"/>
      <w:szCs w:val="20"/>
    </w:rPr>
  </w:style>
  <w:style w:type="paragraph" w:styleId="Header">
    <w:name w:val="header"/>
    <w:basedOn w:val="Normal"/>
    <w:link w:val="HeaderChar"/>
    <w:uiPriority w:val="99"/>
    <w:unhideWhenUsed/>
    <w:rsid w:val="00190F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0F5F"/>
  </w:style>
  <w:style w:type="table" w:styleId="TableGrid">
    <w:name w:val="Table Grid"/>
    <w:basedOn w:val="TableNormal"/>
    <w:uiPriority w:val="59"/>
    <w:rsid w:val="002B3A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91EA4"/>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2B3842"/>
    <w:pPr>
      <w:spacing w:after="0" w:line="240" w:lineRule="auto"/>
    </w:pPr>
  </w:style>
  <w:style w:type="character" w:styleId="UnresolvedMention">
    <w:name w:val="Unresolved Mention"/>
    <w:basedOn w:val="DefaultParagraphFont"/>
    <w:uiPriority w:val="99"/>
    <w:unhideWhenUsed/>
    <w:rsid w:val="00EF686C"/>
    <w:rPr>
      <w:color w:val="605E5C"/>
      <w:shd w:val="clear" w:color="auto" w:fill="E1DFDD"/>
    </w:rPr>
  </w:style>
  <w:style w:type="character" w:styleId="Mention">
    <w:name w:val="Mention"/>
    <w:basedOn w:val="DefaultParagraphFont"/>
    <w:uiPriority w:val="99"/>
    <w:unhideWhenUsed/>
    <w:rsid w:val="00EF686C"/>
    <w:rPr>
      <w:color w:val="2B579A"/>
      <w:shd w:val="clear" w:color="auto" w:fill="E1DFDD"/>
    </w:rPr>
  </w:style>
  <w:style w:type="paragraph" w:styleId="Caption">
    <w:name w:val="caption"/>
    <w:basedOn w:val="Normal"/>
    <w:next w:val="Normal"/>
    <w:uiPriority w:val="35"/>
    <w:unhideWhenUsed/>
    <w:qFormat/>
    <w:rsid w:val="002718BD"/>
    <w:pPr>
      <w:spacing w:line="240" w:lineRule="auto"/>
    </w:pPr>
    <w:rPr>
      <w:b/>
      <w:bCs/>
    </w:rPr>
  </w:style>
  <w:style w:type="character" w:styleId="FollowedHyperlink">
    <w:name w:val="FollowedHyperlink"/>
    <w:basedOn w:val="DefaultParagraphFont"/>
    <w:uiPriority w:val="99"/>
    <w:semiHidden/>
    <w:unhideWhenUsed/>
    <w:rsid w:val="002718BD"/>
    <w:rPr>
      <w:color w:val="800080" w:themeColor="followedHyperlink"/>
      <w:u w:val="single"/>
    </w:rPr>
  </w:style>
  <w:style w:type="paragraph" w:customStyle="1" w:styleId="DraftingNotesAgency">
    <w:name w:val="Drafting Notes (Agency)"/>
    <w:basedOn w:val="Normal"/>
    <w:next w:val="Normal"/>
    <w:link w:val="DraftingNotesAgencyChar"/>
    <w:rsid w:val="00275FCA"/>
    <w:pPr>
      <w:spacing w:after="140" w:line="280" w:lineRule="atLeast"/>
    </w:pPr>
    <w:rPr>
      <w:rFonts w:ascii="Courier New" w:eastAsia="Verdana" w:hAnsi="Courier New" w:cs="Times New Roman"/>
      <w:i/>
      <w:color w:val="339966"/>
      <w:szCs w:val="18"/>
      <w:lang w:val="en-GB" w:eastAsia="en-GB"/>
    </w:rPr>
  </w:style>
  <w:style w:type="character" w:customStyle="1" w:styleId="DraftingNotesAgencyChar">
    <w:name w:val="Drafting Notes (Agency) Char"/>
    <w:link w:val="DraftingNotesAgency"/>
    <w:rsid w:val="00275FCA"/>
    <w:rPr>
      <w:rFonts w:ascii="Courier New" w:eastAsia="Verdana" w:hAnsi="Courier New" w:cs="Times New Roman"/>
      <w:i/>
      <w:color w:val="339966"/>
      <w:szCs w:val="18"/>
      <w:lang w:val="en-GB" w:eastAsia="en-GB"/>
    </w:rPr>
  </w:style>
  <w:style w:type="paragraph" w:styleId="Title">
    <w:name w:val="Title"/>
    <w:basedOn w:val="Normal"/>
    <w:next w:val="Normal"/>
    <w:link w:val="TitleChar"/>
    <w:uiPriority w:val="10"/>
    <w:qFormat/>
    <w:rsid w:val="00270901"/>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270901"/>
    <w:rPr>
      <w:rFonts w:asciiTheme="majorHAnsi" w:eastAsiaTheme="majorEastAsia" w:hAnsiTheme="majorHAnsi" w:cstheme="majorBidi"/>
      <w:spacing w:val="-10"/>
      <w:kern w:val="28"/>
      <w:sz w:val="56"/>
      <w:szCs w:val="56"/>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035520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ga.gov.au/reporting-problem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ga.gov.au/reporting-problem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284759\Downloads\pi-template-new-format-with-black-triangle%2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085344ca-2f23-4ac3-8921-9dfc5a10ae6e">
      <UserInfo>
        <DisplayName/>
        <AccountId xsi:nil="true"/>
        <AccountType/>
      </UserInfo>
    </SharedWithUsers>
    <TaxCatchAll xmlns="085344ca-2f23-4ac3-8921-9dfc5a10ae6e" xsi:nil="true"/>
    <lcf76f155ced4ddcb4097134ff3c332f xmlns="213b5b92-4a10-49b8-8c40-5a7742dd02e5">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D6307FE19AC940B8F601C25AFE33FA" ma:contentTypeVersion="16" ma:contentTypeDescription="Create a new document." ma:contentTypeScope="" ma:versionID="c3d972ea6ad749c719a9cdcaa9030eff">
  <xsd:schema xmlns:xsd="http://www.w3.org/2001/XMLSchema" xmlns:xs="http://www.w3.org/2001/XMLSchema" xmlns:p="http://schemas.microsoft.com/office/2006/metadata/properties" xmlns:ns2="213b5b92-4a10-49b8-8c40-5a7742dd02e5" xmlns:ns3="085344ca-2f23-4ac3-8921-9dfc5a10ae6e" targetNamespace="http://schemas.microsoft.com/office/2006/metadata/properties" ma:root="true" ma:fieldsID="9f7da64862036b23703883d2583574fc" ns2:_="" ns3:_="">
    <xsd:import namespace="213b5b92-4a10-49b8-8c40-5a7742dd02e5"/>
    <xsd:import namespace="085344ca-2f23-4ac3-8921-9dfc5a10ae6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3b5b92-4a10-49b8-8c40-5a7742dd02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9adb9bf-65a7-4dcd-b9fe-2cabe70ed69e"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5344ca-2f23-4ac3-8921-9dfc5a10ae6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08361a4-8a4c-4c02-b146-31b945b74c74}" ma:internalName="TaxCatchAll" ma:showField="CatchAllData" ma:web="085344ca-2f23-4ac3-8921-9dfc5a10ae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012D22-ED63-4A4A-BB1A-06772A7CBD79}">
  <ds:schemaRefs>
    <ds:schemaRef ds:uri="http://schemas.openxmlformats.org/officeDocument/2006/bibliography"/>
  </ds:schemaRefs>
</ds:datastoreItem>
</file>

<file path=customXml/itemProps2.xml><?xml version="1.0" encoding="utf-8"?>
<ds:datastoreItem xmlns:ds="http://schemas.openxmlformats.org/officeDocument/2006/customXml" ds:itemID="{8E5A95C0-C366-404D-BA8E-54395DEAE50E}">
  <ds:schemaRefs>
    <ds:schemaRef ds:uri="http://schemas.microsoft.com/sharepoint/v3/contenttype/forms"/>
  </ds:schemaRefs>
</ds:datastoreItem>
</file>

<file path=customXml/itemProps3.xml><?xml version="1.0" encoding="utf-8"?>
<ds:datastoreItem xmlns:ds="http://schemas.openxmlformats.org/officeDocument/2006/customXml" ds:itemID="{EB1E60CF-0F19-408F-9298-92473891F934}">
  <ds:schemaRefs>
    <ds:schemaRef ds:uri="http://schemas.microsoft.com/office/2006/metadata/properties"/>
    <ds:schemaRef ds:uri="http://schemas.microsoft.com/office/infopath/2007/PartnerControls"/>
    <ds:schemaRef ds:uri="10bda268-b5be-4629-8734-09314cbfd9d0"/>
    <ds:schemaRef ds:uri="085344ca-2f23-4ac3-8921-9dfc5a10ae6e"/>
    <ds:schemaRef ds:uri="213b5b92-4a10-49b8-8c40-5a7742dd02e5"/>
  </ds:schemaRefs>
</ds:datastoreItem>
</file>

<file path=customXml/itemProps4.xml><?xml version="1.0" encoding="utf-8"?>
<ds:datastoreItem xmlns:ds="http://schemas.openxmlformats.org/officeDocument/2006/customXml" ds:itemID="{B6B049A8-AE3E-4548-B573-2C39006079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3b5b92-4a10-49b8-8c40-5a7742dd02e5"/>
    <ds:schemaRef ds:uri="085344ca-2f23-4ac3-8921-9dfc5a10ae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pi-template-new-format-with-black-triangle (3).dotx</Template>
  <TotalTime>0</TotalTime>
  <Pages>22</Pages>
  <Words>6774</Words>
  <Characters>51859</Characters>
  <Application>Microsoft Office Word</Application>
  <DocSecurity>0</DocSecurity>
  <Lines>1264</Lines>
  <Paragraphs>771</Paragraphs>
  <ScaleCrop>false</ScaleCrop>
  <HeadingPairs>
    <vt:vector size="2" baseType="variant">
      <vt:variant>
        <vt:lpstr>Title</vt:lpstr>
      </vt:variant>
      <vt:variant>
        <vt:i4>1</vt:i4>
      </vt:variant>
    </vt:vector>
  </HeadingPairs>
  <TitlesOfParts>
    <vt:vector size="1" baseType="lpstr">
      <vt:lpstr>Attachment Product information for Retevmo</vt:lpstr>
    </vt:vector>
  </TitlesOfParts>
  <Company>Eli Lilly Australia Pty Ltd</Company>
  <LinksUpToDate>false</LinksUpToDate>
  <CharactersWithSpaces>57862</CharactersWithSpaces>
  <SharedDoc>false</SharedDoc>
  <HLinks>
    <vt:vector size="12" baseType="variant">
      <vt:variant>
        <vt:i4>5898317</vt:i4>
      </vt:variant>
      <vt:variant>
        <vt:i4>327</vt:i4>
      </vt:variant>
      <vt:variant>
        <vt:i4>0</vt:i4>
      </vt:variant>
      <vt:variant>
        <vt:i4>5</vt:i4>
      </vt:variant>
      <vt:variant>
        <vt:lpwstr>http://www.tga.gov.au/reporting-problems</vt:lpwstr>
      </vt:variant>
      <vt:variant>
        <vt:lpwstr/>
      </vt:variant>
      <vt:variant>
        <vt:i4>5898317</vt:i4>
      </vt:variant>
      <vt:variant>
        <vt:i4>0</vt:i4>
      </vt:variant>
      <vt:variant>
        <vt:i4>0</vt:i4>
      </vt:variant>
      <vt:variant>
        <vt:i4>5</vt:i4>
      </vt:variant>
      <vt:variant>
        <vt:lpwstr>http://www.tga.gov.au/reporting-problems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for Retevmo</dc:title>
  <dc:subject>prescription medicines</dc:subject>
  <dc:creator>LACK, Janet</dc:creator>
  <cp:keywords/>
  <cp:lastModifiedBy>LACK, Janet</cp:lastModifiedBy>
  <cp:revision>2</cp:revision>
  <cp:lastPrinted>2017-11-15T14:13:00Z</cp:lastPrinted>
  <dcterms:created xsi:type="dcterms:W3CDTF">2024-01-31T21:59:00Z</dcterms:created>
  <dcterms:modified xsi:type="dcterms:W3CDTF">2024-01-31T21:59:00Z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0x010100F3D6307FE19AC940B8F601C25AFE33FA</vt:lpwstr>
  </property>
  <property fmtid="{D5CDD505-2E9C-101B-9397-08002B2CF9AE}" pid="3" name="Order">
    <vt:r8>28728200</vt:r8>
  </property>
  <property fmtid="{D5CDD505-2E9C-101B-9397-08002B2CF9AE}" pid="4" name="MediaServiceImageTags">
    <vt:lpwstr/>
  </property>
</Properties>
</file>