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36786A37" w:rsidR="009F29CE" w:rsidRPr="00215D48" w:rsidRDefault="00346EC2" w:rsidP="00A4143B">
            <w:pPr>
              <w:pStyle w:val="Title"/>
            </w:pPr>
            <w:r w:rsidRPr="00346EC2">
              <w:t xml:space="preserve">Australian Public Assessment Report for </w:t>
            </w:r>
            <w:r w:rsidR="009F29CE" w:rsidRPr="009F29CE">
              <w:t xml:space="preserve">MS-2 Step </w:t>
            </w:r>
            <w:r w:rsidR="0067334C">
              <w:t>(</w:t>
            </w:r>
            <w:r w:rsidR="009F29CE" w:rsidRPr="009F29CE">
              <w:t>composite pack</w:t>
            </w:r>
            <w:r w:rsidR="0067334C">
              <w:t>)</w:t>
            </w:r>
          </w:p>
        </w:tc>
      </w:tr>
      <w:tr w:rsidR="00F02AEC" w:rsidRPr="00215D48" w14:paraId="318A40A3" w14:textId="77777777" w:rsidTr="00346EC2">
        <w:trPr>
          <w:trHeight w:val="995"/>
        </w:trPr>
        <w:tc>
          <w:tcPr>
            <w:tcW w:w="8720" w:type="dxa"/>
          </w:tcPr>
          <w:p w14:paraId="1AA7C701" w14:textId="5170B362" w:rsidR="00F02AEC" w:rsidRPr="00215D48" w:rsidRDefault="00346EC2" w:rsidP="007452E8">
            <w:pPr>
              <w:pStyle w:val="Subtitle"/>
              <w:ind w:left="0"/>
            </w:pPr>
            <w:r w:rsidRPr="00346EC2">
              <w:t xml:space="preserve">Active ingredients: </w:t>
            </w:r>
            <w:r w:rsidR="009F29CE" w:rsidRPr="009F29CE">
              <w:t xml:space="preserve">mifepristone </w:t>
            </w:r>
            <w:r w:rsidR="009F29CE">
              <w:t xml:space="preserve">&amp; </w:t>
            </w:r>
            <w:r w:rsidR="009F29CE" w:rsidRPr="009F29CE">
              <w:t xml:space="preserve">misoprostol </w:t>
            </w:r>
          </w:p>
        </w:tc>
      </w:tr>
      <w:tr w:rsidR="00346EC2" w:rsidRPr="00215D48" w14:paraId="362CCAE4" w14:textId="77777777" w:rsidTr="007452E8">
        <w:trPr>
          <w:trHeight w:val="1916"/>
        </w:trPr>
        <w:tc>
          <w:tcPr>
            <w:tcW w:w="8720" w:type="dxa"/>
          </w:tcPr>
          <w:p w14:paraId="709C45C0" w14:textId="54A724DD" w:rsidR="00346EC2" w:rsidRPr="00215D48" w:rsidRDefault="00346EC2" w:rsidP="007452E8">
            <w:pPr>
              <w:pStyle w:val="Subtitle"/>
              <w:ind w:left="0"/>
            </w:pPr>
            <w:r w:rsidRPr="00346EC2">
              <w:t>Sponsor:</w:t>
            </w:r>
            <w:r w:rsidR="009F29CE">
              <w:t xml:space="preserve"> MS Health Pty Ltd</w:t>
            </w:r>
          </w:p>
        </w:tc>
      </w:tr>
      <w:tr w:rsidR="00F02AEC" w:rsidRPr="00215D48" w14:paraId="37F2AA1F" w14:textId="77777777" w:rsidTr="007452E8">
        <w:tc>
          <w:tcPr>
            <w:tcW w:w="8720" w:type="dxa"/>
          </w:tcPr>
          <w:p w14:paraId="1FDE8DCD" w14:textId="3B78F7E5" w:rsidR="00F02AEC" w:rsidRPr="00215D48" w:rsidRDefault="003A4AA4" w:rsidP="007452E8">
            <w:pPr>
              <w:pStyle w:val="Date"/>
            </w:pPr>
            <w:r>
              <w:t>February</w:t>
            </w:r>
            <w:r w:rsidRPr="00215D48">
              <w:t xml:space="preserve"> </w:t>
            </w:r>
            <w:r w:rsidR="009F29CE">
              <w:t>2024</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3"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4"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005FC09D" w:rsidR="00175CD8" w:rsidRPr="00346EC2" w:rsidRDefault="00F02AEC" w:rsidP="00346EC2">
      <w:pPr>
        <w:pStyle w:val="LegalCopy"/>
        <w:rPr>
          <w:rFonts w:cs="Arial"/>
        </w:rPr>
      </w:pPr>
      <w:r w:rsidRPr="00215D48">
        <w:rPr>
          <w:rFonts w:cs="Arial"/>
        </w:rPr>
        <w:t>© Commonwealth of Australia 20</w:t>
      </w:r>
      <w:r>
        <w:rPr>
          <w:rFonts w:cs="Arial"/>
        </w:rPr>
        <w:t>2</w:t>
      </w:r>
      <w:r w:rsidR="00C90965">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4D9ADF6E" w14:textId="31D73CF2" w:rsidR="006B4FD7"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58831604" w:history="1">
            <w:r w:rsidR="006B4FD7" w:rsidRPr="00703C1A">
              <w:rPr>
                <w:rStyle w:val="Hyperlink"/>
                <w:noProof/>
              </w:rPr>
              <w:t>List of abbreviations</w:t>
            </w:r>
            <w:r w:rsidR="006B4FD7">
              <w:rPr>
                <w:noProof/>
                <w:webHidden/>
              </w:rPr>
              <w:tab/>
            </w:r>
            <w:r w:rsidR="006B4FD7">
              <w:rPr>
                <w:noProof/>
                <w:webHidden/>
              </w:rPr>
              <w:fldChar w:fldCharType="begin"/>
            </w:r>
            <w:r w:rsidR="006B4FD7">
              <w:rPr>
                <w:noProof/>
                <w:webHidden/>
              </w:rPr>
              <w:instrText xml:space="preserve"> PAGEREF _Toc158831604 \h </w:instrText>
            </w:r>
            <w:r w:rsidR="006B4FD7">
              <w:rPr>
                <w:noProof/>
                <w:webHidden/>
              </w:rPr>
            </w:r>
            <w:r w:rsidR="006B4FD7">
              <w:rPr>
                <w:noProof/>
                <w:webHidden/>
              </w:rPr>
              <w:fldChar w:fldCharType="separate"/>
            </w:r>
            <w:r w:rsidR="006B4FD7">
              <w:rPr>
                <w:noProof/>
                <w:webHidden/>
              </w:rPr>
              <w:t>4</w:t>
            </w:r>
            <w:r w:rsidR="006B4FD7">
              <w:rPr>
                <w:noProof/>
                <w:webHidden/>
              </w:rPr>
              <w:fldChar w:fldCharType="end"/>
            </w:r>
          </w:hyperlink>
        </w:p>
        <w:p w14:paraId="497A616B" w14:textId="1FBDA05A" w:rsidR="006B4FD7" w:rsidRDefault="0051599C">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831605" w:history="1">
            <w:r w:rsidR="006B4FD7" w:rsidRPr="00703C1A">
              <w:rPr>
                <w:rStyle w:val="Hyperlink"/>
                <w:noProof/>
              </w:rPr>
              <w:t>Product submission</w:t>
            </w:r>
            <w:r w:rsidR="006B4FD7">
              <w:rPr>
                <w:noProof/>
                <w:webHidden/>
              </w:rPr>
              <w:tab/>
            </w:r>
            <w:r w:rsidR="006B4FD7">
              <w:rPr>
                <w:noProof/>
                <w:webHidden/>
              </w:rPr>
              <w:fldChar w:fldCharType="begin"/>
            </w:r>
            <w:r w:rsidR="006B4FD7">
              <w:rPr>
                <w:noProof/>
                <w:webHidden/>
              </w:rPr>
              <w:instrText xml:space="preserve"> PAGEREF _Toc158831605 \h </w:instrText>
            </w:r>
            <w:r w:rsidR="006B4FD7">
              <w:rPr>
                <w:noProof/>
                <w:webHidden/>
              </w:rPr>
            </w:r>
            <w:r w:rsidR="006B4FD7">
              <w:rPr>
                <w:noProof/>
                <w:webHidden/>
              </w:rPr>
              <w:fldChar w:fldCharType="separate"/>
            </w:r>
            <w:r w:rsidR="006B4FD7">
              <w:rPr>
                <w:noProof/>
                <w:webHidden/>
              </w:rPr>
              <w:t>5</w:t>
            </w:r>
            <w:r w:rsidR="006B4FD7">
              <w:rPr>
                <w:noProof/>
                <w:webHidden/>
              </w:rPr>
              <w:fldChar w:fldCharType="end"/>
            </w:r>
          </w:hyperlink>
        </w:p>
        <w:p w14:paraId="76F81345" w14:textId="45612413" w:rsidR="006B4FD7" w:rsidRDefault="0051599C">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831606" w:history="1">
            <w:r w:rsidR="006B4FD7" w:rsidRPr="00703C1A">
              <w:rPr>
                <w:rStyle w:val="Hyperlink"/>
                <w:noProof/>
                <w:lang w:eastAsia="en-AU"/>
              </w:rPr>
              <w:t>Submission details</w:t>
            </w:r>
            <w:r w:rsidR="006B4FD7">
              <w:rPr>
                <w:noProof/>
                <w:webHidden/>
              </w:rPr>
              <w:tab/>
            </w:r>
            <w:r w:rsidR="006B4FD7">
              <w:rPr>
                <w:noProof/>
                <w:webHidden/>
              </w:rPr>
              <w:fldChar w:fldCharType="begin"/>
            </w:r>
            <w:r w:rsidR="006B4FD7">
              <w:rPr>
                <w:noProof/>
                <w:webHidden/>
              </w:rPr>
              <w:instrText xml:space="preserve"> PAGEREF _Toc158831606 \h </w:instrText>
            </w:r>
            <w:r w:rsidR="006B4FD7">
              <w:rPr>
                <w:noProof/>
                <w:webHidden/>
              </w:rPr>
            </w:r>
            <w:r w:rsidR="006B4FD7">
              <w:rPr>
                <w:noProof/>
                <w:webHidden/>
              </w:rPr>
              <w:fldChar w:fldCharType="separate"/>
            </w:r>
            <w:r w:rsidR="006B4FD7">
              <w:rPr>
                <w:noProof/>
                <w:webHidden/>
              </w:rPr>
              <w:t>5</w:t>
            </w:r>
            <w:r w:rsidR="006B4FD7">
              <w:rPr>
                <w:noProof/>
                <w:webHidden/>
              </w:rPr>
              <w:fldChar w:fldCharType="end"/>
            </w:r>
          </w:hyperlink>
        </w:p>
        <w:p w14:paraId="26083042" w14:textId="273D3435" w:rsidR="006B4FD7" w:rsidRDefault="0051599C">
          <w:pPr>
            <w:pStyle w:val="TOC3"/>
            <w:rPr>
              <w:rFonts w:asciiTheme="minorHAnsi" w:eastAsiaTheme="minorEastAsia" w:hAnsiTheme="minorHAnsi" w:cstheme="minorBidi"/>
              <w:b w:val="0"/>
              <w:noProof/>
              <w:color w:val="auto"/>
              <w:kern w:val="2"/>
              <w:szCs w:val="22"/>
              <w:lang w:eastAsia="en-AU"/>
              <w14:ligatures w14:val="standardContextual"/>
            </w:rPr>
          </w:pPr>
          <w:hyperlink w:anchor="_Toc158831607" w:history="1">
            <w:r w:rsidR="006B4FD7" w:rsidRPr="00703C1A">
              <w:rPr>
                <w:rStyle w:val="Hyperlink"/>
                <w:noProof/>
              </w:rPr>
              <w:t>Clinical rationale</w:t>
            </w:r>
            <w:r w:rsidR="006B4FD7">
              <w:rPr>
                <w:noProof/>
                <w:webHidden/>
              </w:rPr>
              <w:tab/>
            </w:r>
            <w:r w:rsidR="006B4FD7">
              <w:rPr>
                <w:noProof/>
                <w:webHidden/>
              </w:rPr>
              <w:fldChar w:fldCharType="begin"/>
            </w:r>
            <w:r w:rsidR="006B4FD7">
              <w:rPr>
                <w:noProof/>
                <w:webHidden/>
              </w:rPr>
              <w:instrText xml:space="preserve"> PAGEREF _Toc158831607 \h </w:instrText>
            </w:r>
            <w:r w:rsidR="006B4FD7">
              <w:rPr>
                <w:noProof/>
                <w:webHidden/>
              </w:rPr>
            </w:r>
            <w:r w:rsidR="006B4FD7">
              <w:rPr>
                <w:noProof/>
                <w:webHidden/>
              </w:rPr>
              <w:fldChar w:fldCharType="separate"/>
            </w:r>
            <w:r w:rsidR="006B4FD7">
              <w:rPr>
                <w:noProof/>
                <w:webHidden/>
              </w:rPr>
              <w:t>6</w:t>
            </w:r>
            <w:r w:rsidR="006B4FD7">
              <w:rPr>
                <w:noProof/>
                <w:webHidden/>
              </w:rPr>
              <w:fldChar w:fldCharType="end"/>
            </w:r>
          </w:hyperlink>
        </w:p>
        <w:p w14:paraId="233026ED" w14:textId="22B91883" w:rsidR="006B4FD7" w:rsidRDefault="0051599C">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831608" w:history="1">
            <w:r w:rsidR="006B4FD7" w:rsidRPr="00703C1A">
              <w:rPr>
                <w:rStyle w:val="Hyperlink"/>
                <w:noProof/>
              </w:rPr>
              <w:t>Regulatory status</w:t>
            </w:r>
            <w:r w:rsidR="006B4FD7">
              <w:rPr>
                <w:noProof/>
                <w:webHidden/>
              </w:rPr>
              <w:tab/>
            </w:r>
            <w:r w:rsidR="006B4FD7">
              <w:rPr>
                <w:noProof/>
                <w:webHidden/>
              </w:rPr>
              <w:fldChar w:fldCharType="begin"/>
            </w:r>
            <w:r w:rsidR="006B4FD7">
              <w:rPr>
                <w:noProof/>
                <w:webHidden/>
              </w:rPr>
              <w:instrText xml:space="preserve"> PAGEREF _Toc158831608 \h </w:instrText>
            </w:r>
            <w:r w:rsidR="006B4FD7">
              <w:rPr>
                <w:noProof/>
                <w:webHidden/>
              </w:rPr>
            </w:r>
            <w:r w:rsidR="006B4FD7">
              <w:rPr>
                <w:noProof/>
                <w:webHidden/>
              </w:rPr>
              <w:fldChar w:fldCharType="separate"/>
            </w:r>
            <w:r w:rsidR="006B4FD7">
              <w:rPr>
                <w:noProof/>
                <w:webHidden/>
              </w:rPr>
              <w:t>6</w:t>
            </w:r>
            <w:r w:rsidR="006B4FD7">
              <w:rPr>
                <w:noProof/>
                <w:webHidden/>
              </w:rPr>
              <w:fldChar w:fldCharType="end"/>
            </w:r>
          </w:hyperlink>
        </w:p>
        <w:p w14:paraId="09520880" w14:textId="28A65FAE" w:rsidR="006B4FD7" w:rsidRDefault="0051599C">
          <w:pPr>
            <w:pStyle w:val="TOC3"/>
            <w:rPr>
              <w:rFonts w:asciiTheme="minorHAnsi" w:eastAsiaTheme="minorEastAsia" w:hAnsiTheme="minorHAnsi" w:cstheme="minorBidi"/>
              <w:b w:val="0"/>
              <w:noProof/>
              <w:color w:val="auto"/>
              <w:kern w:val="2"/>
              <w:szCs w:val="22"/>
              <w:lang w:eastAsia="en-AU"/>
              <w14:ligatures w14:val="standardContextual"/>
            </w:rPr>
          </w:pPr>
          <w:hyperlink w:anchor="_Toc158831609" w:history="1">
            <w:r w:rsidR="006B4FD7" w:rsidRPr="00703C1A">
              <w:rPr>
                <w:rStyle w:val="Hyperlink"/>
                <w:noProof/>
              </w:rPr>
              <w:t>Australian regulatory status</w:t>
            </w:r>
            <w:r w:rsidR="006B4FD7">
              <w:rPr>
                <w:noProof/>
                <w:webHidden/>
              </w:rPr>
              <w:tab/>
            </w:r>
            <w:r w:rsidR="006B4FD7">
              <w:rPr>
                <w:noProof/>
                <w:webHidden/>
              </w:rPr>
              <w:fldChar w:fldCharType="begin"/>
            </w:r>
            <w:r w:rsidR="006B4FD7">
              <w:rPr>
                <w:noProof/>
                <w:webHidden/>
              </w:rPr>
              <w:instrText xml:space="preserve"> PAGEREF _Toc158831609 \h </w:instrText>
            </w:r>
            <w:r w:rsidR="006B4FD7">
              <w:rPr>
                <w:noProof/>
                <w:webHidden/>
              </w:rPr>
            </w:r>
            <w:r w:rsidR="006B4FD7">
              <w:rPr>
                <w:noProof/>
                <w:webHidden/>
              </w:rPr>
              <w:fldChar w:fldCharType="separate"/>
            </w:r>
            <w:r w:rsidR="006B4FD7">
              <w:rPr>
                <w:noProof/>
                <w:webHidden/>
              </w:rPr>
              <w:t>6</w:t>
            </w:r>
            <w:r w:rsidR="006B4FD7">
              <w:rPr>
                <w:noProof/>
                <w:webHidden/>
              </w:rPr>
              <w:fldChar w:fldCharType="end"/>
            </w:r>
          </w:hyperlink>
        </w:p>
        <w:p w14:paraId="2B1CC508" w14:textId="38054C4D" w:rsidR="006B4FD7" w:rsidRDefault="0051599C">
          <w:pPr>
            <w:pStyle w:val="TOC3"/>
            <w:rPr>
              <w:rFonts w:asciiTheme="minorHAnsi" w:eastAsiaTheme="minorEastAsia" w:hAnsiTheme="minorHAnsi" w:cstheme="minorBidi"/>
              <w:b w:val="0"/>
              <w:noProof/>
              <w:color w:val="auto"/>
              <w:kern w:val="2"/>
              <w:szCs w:val="22"/>
              <w:lang w:eastAsia="en-AU"/>
              <w14:ligatures w14:val="standardContextual"/>
            </w:rPr>
          </w:pPr>
          <w:hyperlink w:anchor="_Toc158831610" w:history="1">
            <w:r w:rsidR="006B4FD7" w:rsidRPr="00703C1A">
              <w:rPr>
                <w:rStyle w:val="Hyperlink"/>
                <w:noProof/>
              </w:rPr>
              <w:t>Foreign regulatory status</w:t>
            </w:r>
            <w:r w:rsidR="006B4FD7">
              <w:rPr>
                <w:noProof/>
                <w:webHidden/>
              </w:rPr>
              <w:tab/>
            </w:r>
            <w:r w:rsidR="006B4FD7">
              <w:rPr>
                <w:noProof/>
                <w:webHidden/>
              </w:rPr>
              <w:fldChar w:fldCharType="begin"/>
            </w:r>
            <w:r w:rsidR="006B4FD7">
              <w:rPr>
                <w:noProof/>
                <w:webHidden/>
              </w:rPr>
              <w:instrText xml:space="preserve"> PAGEREF _Toc158831610 \h </w:instrText>
            </w:r>
            <w:r w:rsidR="006B4FD7">
              <w:rPr>
                <w:noProof/>
                <w:webHidden/>
              </w:rPr>
            </w:r>
            <w:r w:rsidR="006B4FD7">
              <w:rPr>
                <w:noProof/>
                <w:webHidden/>
              </w:rPr>
              <w:fldChar w:fldCharType="separate"/>
            </w:r>
            <w:r w:rsidR="006B4FD7">
              <w:rPr>
                <w:noProof/>
                <w:webHidden/>
              </w:rPr>
              <w:t>7</w:t>
            </w:r>
            <w:r w:rsidR="006B4FD7">
              <w:rPr>
                <w:noProof/>
                <w:webHidden/>
              </w:rPr>
              <w:fldChar w:fldCharType="end"/>
            </w:r>
          </w:hyperlink>
        </w:p>
        <w:p w14:paraId="09BF9608" w14:textId="71F3B739" w:rsidR="006B4FD7" w:rsidRDefault="0051599C">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831611" w:history="1">
            <w:r w:rsidR="006B4FD7" w:rsidRPr="00703C1A">
              <w:rPr>
                <w:rStyle w:val="Hyperlink"/>
                <w:noProof/>
              </w:rPr>
              <w:t>Registration timeline</w:t>
            </w:r>
            <w:r w:rsidR="006B4FD7">
              <w:rPr>
                <w:noProof/>
                <w:webHidden/>
              </w:rPr>
              <w:tab/>
            </w:r>
            <w:r w:rsidR="006B4FD7">
              <w:rPr>
                <w:noProof/>
                <w:webHidden/>
              </w:rPr>
              <w:fldChar w:fldCharType="begin"/>
            </w:r>
            <w:r w:rsidR="006B4FD7">
              <w:rPr>
                <w:noProof/>
                <w:webHidden/>
              </w:rPr>
              <w:instrText xml:space="preserve"> PAGEREF _Toc158831611 \h </w:instrText>
            </w:r>
            <w:r w:rsidR="006B4FD7">
              <w:rPr>
                <w:noProof/>
                <w:webHidden/>
              </w:rPr>
            </w:r>
            <w:r w:rsidR="006B4FD7">
              <w:rPr>
                <w:noProof/>
                <w:webHidden/>
              </w:rPr>
              <w:fldChar w:fldCharType="separate"/>
            </w:r>
            <w:r w:rsidR="006B4FD7">
              <w:rPr>
                <w:noProof/>
                <w:webHidden/>
              </w:rPr>
              <w:t>7</w:t>
            </w:r>
            <w:r w:rsidR="006B4FD7">
              <w:rPr>
                <w:noProof/>
                <w:webHidden/>
              </w:rPr>
              <w:fldChar w:fldCharType="end"/>
            </w:r>
          </w:hyperlink>
        </w:p>
        <w:p w14:paraId="15EB6762" w14:textId="1BFB48E1" w:rsidR="006B4FD7" w:rsidRDefault="0051599C">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831612" w:history="1">
            <w:r w:rsidR="006B4FD7" w:rsidRPr="00703C1A">
              <w:rPr>
                <w:rStyle w:val="Hyperlink"/>
                <w:noProof/>
              </w:rPr>
              <w:t>Submission overview and risk/benefit assessment</w:t>
            </w:r>
            <w:r w:rsidR="006B4FD7">
              <w:rPr>
                <w:noProof/>
                <w:webHidden/>
              </w:rPr>
              <w:tab/>
            </w:r>
            <w:r w:rsidR="006B4FD7">
              <w:rPr>
                <w:noProof/>
                <w:webHidden/>
              </w:rPr>
              <w:fldChar w:fldCharType="begin"/>
            </w:r>
            <w:r w:rsidR="006B4FD7">
              <w:rPr>
                <w:noProof/>
                <w:webHidden/>
              </w:rPr>
              <w:instrText xml:space="preserve"> PAGEREF _Toc158831612 \h </w:instrText>
            </w:r>
            <w:r w:rsidR="006B4FD7">
              <w:rPr>
                <w:noProof/>
                <w:webHidden/>
              </w:rPr>
            </w:r>
            <w:r w:rsidR="006B4FD7">
              <w:rPr>
                <w:noProof/>
                <w:webHidden/>
              </w:rPr>
              <w:fldChar w:fldCharType="separate"/>
            </w:r>
            <w:r w:rsidR="006B4FD7">
              <w:rPr>
                <w:noProof/>
                <w:webHidden/>
              </w:rPr>
              <w:t>8</w:t>
            </w:r>
            <w:r w:rsidR="006B4FD7">
              <w:rPr>
                <w:noProof/>
                <w:webHidden/>
              </w:rPr>
              <w:fldChar w:fldCharType="end"/>
            </w:r>
          </w:hyperlink>
        </w:p>
        <w:p w14:paraId="02E9D01B" w14:textId="065FE0F8" w:rsidR="006B4FD7" w:rsidRDefault="0051599C">
          <w:pPr>
            <w:pStyle w:val="TOC3"/>
            <w:rPr>
              <w:rFonts w:asciiTheme="minorHAnsi" w:eastAsiaTheme="minorEastAsia" w:hAnsiTheme="minorHAnsi" w:cstheme="minorBidi"/>
              <w:b w:val="0"/>
              <w:noProof/>
              <w:color w:val="auto"/>
              <w:kern w:val="2"/>
              <w:szCs w:val="22"/>
              <w:lang w:eastAsia="en-AU"/>
              <w14:ligatures w14:val="standardContextual"/>
            </w:rPr>
          </w:pPr>
          <w:hyperlink w:anchor="_Toc158831613" w:history="1">
            <w:r w:rsidR="006B4FD7" w:rsidRPr="00703C1A">
              <w:rPr>
                <w:rStyle w:val="Hyperlink"/>
                <w:noProof/>
              </w:rPr>
              <w:t>Recommendation following the clinical evaluation</w:t>
            </w:r>
            <w:r w:rsidR="006B4FD7">
              <w:rPr>
                <w:noProof/>
                <w:webHidden/>
              </w:rPr>
              <w:tab/>
            </w:r>
            <w:r w:rsidR="006B4FD7">
              <w:rPr>
                <w:noProof/>
                <w:webHidden/>
              </w:rPr>
              <w:fldChar w:fldCharType="begin"/>
            </w:r>
            <w:r w:rsidR="006B4FD7">
              <w:rPr>
                <w:noProof/>
                <w:webHidden/>
              </w:rPr>
              <w:instrText xml:space="preserve"> PAGEREF _Toc158831613 \h </w:instrText>
            </w:r>
            <w:r w:rsidR="006B4FD7">
              <w:rPr>
                <w:noProof/>
                <w:webHidden/>
              </w:rPr>
            </w:r>
            <w:r w:rsidR="006B4FD7">
              <w:rPr>
                <w:noProof/>
                <w:webHidden/>
              </w:rPr>
              <w:fldChar w:fldCharType="separate"/>
            </w:r>
            <w:r w:rsidR="006B4FD7">
              <w:rPr>
                <w:noProof/>
                <w:webHidden/>
              </w:rPr>
              <w:t>10</w:t>
            </w:r>
            <w:r w:rsidR="006B4FD7">
              <w:rPr>
                <w:noProof/>
                <w:webHidden/>
              </w:rPr>
              <w:fldChar w:fldCharType="end"/>
            </w:r>
          </w:hyperlink>
        </w:p>
        <w:p w14:paraId="5EE14372" w14:textId="167C3FFD" w:rsidR="006B4FD7" w:rsidRDefault="0051599C">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831614" w:history="1">
            <w:r w:rsidR="006B4FD7" w:rsidRPr="00703C1A">
              <w:rPr>
                <w:rStyle w:val="Hyperlink"/>
                <w:noProof/>
                <w:lang w:eastAsia="en-AU"/>
              </w:rPr>
              <w:t>Risk management plan (RMP)</w:t>
            </w:r>
            <w:r w:rsidR="006B4FD7">
              <w:rPr>
                <w:noProof/>
                <w:webHidden/>
              </w:rPr>
              <w:tab/>
            </w:r>
            <w:r w:rsidR="006B4FD7">
              <w:rPr>
                <w:noProof/>
                <w:webHidden/>
              </w:rPr>
              <w:fldChar w:fldCharType="begin"/>
            </w:r>
            <w:r w:rsidR="006B4FD7">
              <w:rPr>
                <w:noProof/>
                <w:webHidden/>
              </w:rPr>
              <w:instrText xml:space="preserve"> PAGEREF _Toc158831614 \h </w:instrText>
            </w:r>
            <w:r w:rsidR="006B4FD7">
              <w:rPr>
                <w:noProof/>
                <w:webHidden/>
              </w:rPr>
            </w:r>
            <w:r w:rsidR="006B4FD7">
              <w:rPr>
                <w:noProof/>
                <w:webHidden/>
              </w:rPr>
              <w:fldChar w:fldCharType="separate"/>
            </w:r>
            <w:r w:rsidR="006B4FD7">
              <w:rPr>
                <w:noProof/>
                <w:webHidden/>
              </w:rPr>
              <w:t>10</w:t>
            </w:r>
            <w:r w:rsidR="006B4FD7">
              <w:rPr>
                <w:noProof/>
                <w:webHidden/>
              </w:rPr>
              <w:fldChar w:fldCharType="end"/>
            </w:r>
          </w:hyperlink>
        </w:p>
        <w:p w14:paraId="02E549A2" w14:textId="07E4BBFF" w:rsidR="006B4FD7" w:rsidRDefault="0051599C">
          <w:pPr>
            <w:pStyle w:val="TOC3"/>
            <w:rPr>
              <w:rFonts w:asciiTheme="minorHAnsi" w:eastAsiaTheme="minorEastAsia" w:hAnsiTheme="minorHAnsi" w:cstheme="minorBidi"/>
              <w:b w:val="0"/>
              <w:noProof/>
              <w:color w:val="auto"/>
              <w:kern w:val="2"/>
              <w:szCs w:val="22"/>
              <w:lang w:eastAsia="en-AU"/>
              <w14:ligatures w14:val="standardContextual"/>
            </w:rPr>
          </w:pPr>
          <w:hyperlink w:anchor="_Toc158831615" w:history="1">
            <w:r w:rsidR="006B4FD7" w:rsidRPr="00703C1A">
              <w:rPr>
                <w:rStyle w:val="Hyperlink"/>
                <w:noProof/>
              </w:rPr>
              <w:t>Advisory Committee considerations</w:t>
            </w:r>
            <w:r w:rsidR="006B4FD7">
              <w:rPr>
                <w:noProof/>
                <w:webHidden/>
              </w:rPr>
              <w:tab/>
            </w:r>
            <w:r w:rsidR="006B4FD7">
              <w:rPr>
                <w:noProof/>
                <w:webHidden/>
              </w:rPr>
              <w:fldChar w:fldCharType="begin"/>
            </w:r>
            <w:r w:rsidR="006B4FD7">
              <w:rPr>
                <w:noProof/>
                <w:webHidden/>
              </w:rPr>
              <w:instrText xml:space="preserve"> PAGEREF _Toc158831615 \h </w:instrText>
            </w:r>
            <w:r w:rsidR="006B4FD7">
              <w:rPr>
                <w:noProof/>
                <w:webHidden/>
              </w:rPr>
            </w:r>
            <w:r w:rsidR="006B4FD7">
              <w:rPr>
                <w:noProof/>
                <w:webHidden/>
              </w:rPr>
              <w:fldChar w:fldCharType="separate"/>
            </w:r>
            <w:r w:rsidR="006B4FD7">
              <w:rPr>
                <w:noProof/>
                <w:webHidden/>
              </w:rPr>
              <w:t>11</w:t>
            </w:r>
            <w:r w:rsidR="006B4FD7">
              <w:rPr>
                <w:noProof/>
                <w:webHidden/>
              </w:rPr>
              <w:fldChar w:fldCharType="end"/>
            </w:r>
          </w:hyperlink>
        </w:p>
        <w:p w14:paraId="31466E78" w14:textId="7CD26C8B" w:rsidR="006B4FD7" w:rsidRDefault="0051599C">
          <w:pPr>
            <w:pStyle w:val="TOC3"/>
            <w:rPr>
              <w:rFonts w:asciiTheme="minorHAnsi" w:eastAsiaTheme="minorEastAsia" w:hAnsiTheme="minorHAnsi" w:cstheme="minorBidi"/>
              <w:b w:val="0"/>
              <w:noProof/>
              <w:color w:val="auto"/>
              <w:kern w:val="2"/>
              <w:szCs w:val="22"/>
              <w:lang w:eastAsia="en-AU"/>
              <w14:ligatures w14:val="standardContextual"/>
            </w:rPr>
          </w:pPr>
          <w:hyperlink w:anchor="_Toc158831616" w:history="1">
            <w:r w:rsidR="006B4FD7" w:rsidRPr="00703C1A">
              <w:rPr>
                <w:rStyle w:val="Hyperlink"/>
                <w:noProof/>
              </w:rPr>
              <w:t>Risk/benefit assessment (post ACM Meeting)</w:t>
            </w:r>
            <w:r w:rsidR="006B4FD7">
              <w:rPr>
                <w:noProof/>
                <w:webHidden/>
              </w:rPr>
              <w:tab/>
            </w:r>
            <w:r w:rsidR="006B4FD7">
              <w:rPr>
                <w:noProof/>
                <w:webHidden/>
              </w:rPr>
              <w:fldChar w:fldCharType="begin"/>
            </w:r>
            <w:r w:rsidR="006B4FD7">
              <w:rPr>
                <w:noProof/>
                <w:webHidden/>
              </w:rPr>
              <w:instrText xml:space="preserve"> PAGEREF _Toc158831616 \h </w:instrText>
            </w:r>
            <w:r w:rsidR="006B4FD7">
              <w:rPr>
                <w:noProof/>
                <w:webHidden/>
              </w:rPr>
            </w:r>
            <w:r w:rsidR="006B4FD7">
              <w:rPr>
                <w:noProof/>
                <w:webHidden/>
              </w:rPr>
              <w:fldChar w:fldCharType="separate"/>
            </w:r>
            <w:r w:rsidR="006B4FD7">
              <w:rPr>
                <w:noProof/>
                <w:webHidden/>
              </w:rPr>
              <w:t>13</w:t>
            </w:r>
            <w:r w:rsidR="006B4FD7">
              <w:rPr>
                <w:noProof/>
                <w:webHidden/>
              </w:rPr>
              <w:fldChar w:fldCharType="end"/>
            </w:r>
          </w:hyperlink>
        </w:p>
        <w:p w14:paraId="7608C849" w14:textId="674FE515" w:rsidR="006B4FD7" w:rsidRDefault="0051599C">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831617" w:history="1">
            <w:r w:rsidR="006B4FD7" w:rsidRPr="00703C1A">
              <w:rPr>
                <w:rStyle w:val="Hyperlink"/>
                <w:noProof/>
              </w:rPr>
              <w:t>Outcome</w:t>
            </w:r>
            <w:r w:rsidR="006B4FD7">
              <w:rPr>
                <w:noProof/>
                <w:webHidden/>
              </w:rPr>
              <w:tab/>
            </w:r>
            <w:r w:rsidR="006B4FD7">
              <w:rPr>
                <w:noProof/>
                <w:webHidden/>
              </w:rPr>
              <w:fldChar w:fldCharType="begin"/>
            </w:r>
            <w:r w:rsidR="006B4FD7">
              <w:rPr>
                <w:noProof/>
                <w:webHidden/>
              </w:rPr>
              <w:instrText xml:space="preserve"> PAGEREF _Toc158831617 \h </w:instrText>
            </w:r>
            <w:r w:rsidR="006B4FD7">
              <w:rPr>
                <w:noProof/>
                <w:webHidden/>
              </w:rPr>
            </w:r>
            <w:r w:rsidR="006B4FD7">
              <w:rPr>
                <w:noProof/>
                <w:webHidden/>
              </w:rPr>
              <w:fldChar w:fldCharType="separate"/>
            </w:r>
            <w:r w:rsidR="006B4FD7">
              <w:rPr>
                <w:noProof/>
                <w:webHidden/>
              </w:rPr>
              <w:t>14</w:t>
            </w:r>
            <w:r w:rsidR="006B4FD7">
              <w:rPr>
                <w:noProof/>
                <w:webHidden/>
              </w:rPr>
              <w:fldChar w:fldCharType="end"/>
            </w:r>
          </w:hyperlink>
        </w:p>
        <w:p w14:paraId="49F88F6E" w14:textId="7FCE129F" w:rsidR="006B4FD7" w:rsidRDefault="0051599C">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58831618" w:history="1">
            <w:r w:rsidR="006B4FD7" w:rsidRPr="00703C1A">
              <w:rPr>
                <w:rStyle w:val="Hyperlink"/>
                <w:noProof/>
              </w:rPr>
              <w:t>Attachment 1. Product Information</w:t>
            </w:r>
            <w:r w:rsidR="006B4FD7">
              <w:rPr>
                <w:noProof/>
                <w:webHidden/>
              </w:rPr>
              <w:tab/>
            </w:r>
            <w:r w:rsidR="006B4FD7">
              <w:rPr>
                <w:noProof/>
                <w:webHidden/>
              </w:rPr>
              <w:fldChar w:fldCharType="begin"/>
            </w:r>
            <w:r w:rsidR="006B4FD7">
              <w:rPr>
                <w:noProof/>
                <w:webHidden/>
              </w:rPr>
              <w:instrText xml:space="preserve"> PAGEREF _Toc158831618 \h </w:instrText>
            </w:r>
            <w:r w:rsidR="006B4FD7">
              <w:rPr>
                <w:noProof/>
                <w:webHidden/>
              </w:rPr>
            </w:r>
            <w:r w:rsidR="006B4FD7">
              <w:rPr>
                <w:noProof/>
                <w:webHidden/>
              </w:rPr>
              <w:fldChar w:fldCharType="separate"/>
            </w:r>
            <w:r w:rsidR="006B4FD7">
              <w:rPr>
                <w:noProof/>
                <w:webHidden/>
              </w:rPr>
              <w:t>15</w:t>
            </w:r>
            <w:r w:rsidR="006B4FD7">
              <w:rPr>
                <w:noProof/>
                <w:webHidden/>
              </w:rPr>
              <w:fldChar w:fldCharType="end"/>
            </w:r>
          </w:hyperlink>
        </w:p>
        <w:p w14:paraId="77659F2D" w14:textId="0A55D153"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58831604"/>
      <w:bookmarkStart w:id="3" w:name="_Toc323739589"/>
      <w:bookmarkStart w:id="4" w:name="_Toc356305216"/>
      <w:r>
        <w:lastRenderedPageBreak/>
        <w:t>List of abbreviations</w:t>
      </w:r>
      <w:bookmarkEnd w:id="0"/>
      <w:bookmarkEnd w:id="1"/>
      <w:bookmarkEnd w:id="2"/>
    </w:p>
    <w:p w14:paraId="58578454" w14:textId="6F38B139" w:rsidR="00324B33" w:rsidRDefault="00324B33" w:rsidP="00324B33">
      <w:pPr>
        <w:rPr>
          <w:i/>
          <w:color w:val="007099"/>
        </w:rPr>
      </w:pPr>
    </w:p>
    <w:tbl>
      <w:tblPr>
        <w:tblStyle w:val="TableTGAblue2023"/>
        <w:tblW w:w="5000" w:type="pct"/>
        <w:tblLook w:val="04A0" w:firstRow="1" w:lastRow="0" w:firstColumn="1" w:lastColumn="0" w:noHBand="0" w:noVBand="1"/>
      </w:tblPr>
      <w:tblGrid>
        <w:gridCol w:w="2174"/>
        <w:gridCol w:w="6886"/>
      </w:tblGrid>
      <w:tr w:rsidR="00BD4090" w:rsidRPr="00D01DDB" w14:paraId="2DDC9147" w14:textId="77777777" w:rsidTr="00F20887">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AB2F5F4" w14:textId="77777777" w:rsidR="00BD4090" w:rsidRPr="00D01DDB" w:rsidRDefault="00BD4090" w:rsidP="00F20887">
            <w:pPr>
              <w:rPr>
                <w:szCs w:val="22"/>
              </w:rPr>
            </w:pPr>
            <w:r w:rsidRPr="00D01DDB">
              <w:rPr>
                <w:szCs w:val="22"/>
              </w:rPr>
              <w:t>Abbreviation</w:t>
            </w:r>
          </w:p>
        </w:tc>
        <w:tc>
          <w:tcPr>
            <w:tcW w:w="3800" w:type="pct"/>
          </w:tcPr>
          <w:p w14:paraId="5E924E8E" w14:textId="77777777" w:rsidR="00BD4090" w:rsidRPr="00D01DDB" w:rsidRDefault="00BD4090" w:rsidP="00F20887">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BD4090" w:rsidRPr="00D01DDB" w14:paraId="7577CEAF"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1BE15A8" w14:textId="77777777" w:rsidR="00BD4090" w:rsidRPr="00D01DDB" w:rsidRDefault="00BD4090" w:rsidP="00F20887">
            <w:pPr>
              <w:rPr>
                <w:szCs w:val="22"/>
              </w:rPr>
            </w:pPr>
            <w:r w:rsidRPr="00D01DDB">
              <w:rPr>
                <w:szCs w:val="22"/>
              </w:rPr>
              <w:t>ACM</w:t>
            </w:r>
          </w:p>
        </w:tc>
        <w:tc>
          <w:tcPr>
            <w:tcW w:w="3800" w:type="pct"/>
          </w:tcPr>
          <w:p w14:paraId="74517EBB"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BD4090" w:rsidRPr="00D01DDB" w14:paraId="4C6F137B"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040FEFF" w14:textId="77777777" w:rsidR="00BD4090" w:rsidRPr="00D01DDB" w:rsidRDefault="00BD4090" w:rsidP="00F20887">
            <w:pPr>
              <w:rPr>
                <w:szCs w:val="22"/>
              </w:rPr>
            </w:pPr>
            <w:r w:rsidRPr="00D01DDB">
              <w:rPr>
                <w:szCs w:val="22"/>
              </w:rPr>
              <w:t>ACV</w:t>
            </w:r>
          </w:p>
        </w:tc>
        <w:tc>
          <w:tcPr>
            <w:tcW w:w="3800" w:type="pct"/>
          </w:tcPr>
          <w:p w14:paraId="28833403"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Vaccines</w:t>
            </w:r>
          </w:p>
        </w:tc>
      </w:tr>
      <w:tr w:rsidR="00BD4090" w:rsidRPr="00D01DDB" w14:paraId="1E960090"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4B3EF5" w14:textId="77777777" w:rsidR="00BD4090" w:rsidRPr="00D01DDB" w:rsidRDefault="00BD4090" w:rsidP="00F20887">
            <w:pPr>
              <w:rPr>
                <w:szCs w:val="22"/>
              </w:rPr>
            </w:pPr>
            <w:r w:rsidRPr="000A6CBC">
              <w:rPr>
                <w:bCs/>
                <w:szCs w:val="22"/>
              </w:rPr>
              <w:t>AHPRA</w:t>
            </w:r>
          </w:p>
        </w:tc>
        <w:tc>
          <w:tcPr>
            <w:tcW w:w="3800" w:type="pct"/>
          </w:tcPr>
          <w:p w14:paraId="4DBB1EB6"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612A5A">
              <w:rPr>
                <w:szCs w:val="22"/>
              </w:rPr>
              <w:t>Australian Health Practitioner Regulation Agency</w:t>
            </w:r>
          </w:p>
        </w:tc>
      </w:tr>
      <w:tr w:rsidR="00BD4090" w:rsidRPr="00D01DDB" w14:paraId="1B3B32DD"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A062FC" w14:textId="77777777" w:rsidR="00BD4090" w:rsidRPr="00D01DDB" w:rsidRDefault="00BD4090" w:rsidP="00F20887">
            <w:pPr>
              <w:rPr>
                <w:szCs w:val="22"/>
              </w:rPr>
            </w:pPr>
            <w:r w:rsidRPr="00D01DDB">
              <w:rPr>
                <w:szCs w:val="22"/>
              </w:rPr>
              <w:t>ARTG</w:t>
            </w:r>
          </w:p>
        </w:tc>
        <w:tc>
          <w:tcPr>
            <w:tcW w:w="3800" w:type="pct"/>
          </w:tcPr>
          <w:p w14:paraId="5302531C"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BD4090" w:rsidRPr="00D01DDB" w14:paraId="470FF241"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1B0C05" w14:textId="77777777" w:rsidR="00BD4090" w:rsidRPr="00D01DDB" w:rsidRDefault="00BD4090" w:rsidP="00F20887">
            <w:pPr>
              <w:rPr>
                <w:szCs w:val="22"/>
              </w:rPr>
            </w:pPr>
            <w:r w:rsidRPr="00D01DDB">
              <w:rPr>
                <w:szCs w:val="22"/>
              </w:rPr>
              <w:t>ASA</w:t>
            </w:r>
          </w:p>
        </w:tc>
        <w:tc>
          <w:tcPr>
            <w:tcW w:w="3800" w:type="pct"/>
          </w:tcPr>
          <w:p w14:paraId="2DA8FD73"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Pr>
                <w:szCs w:val="22"/>
              </w:rPr>
              <w:noBreakHyphen/>
            </w:r>
            <w:r w:rsidRPr="00D01DDB">
              <w:rPr>
                <w:szCs w:val="22"/>
              </w:rPr>
              <w:t>specific annex</w:t>
            </w:r>
          </w:p>
        </w:tc>
      </w:tr>
      <w:tr w:rsidR="00BD4090" w:rsidRPr="00D01DDB" w14:paraId="5C72F33A"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CD7A69" w14:textId="77777777" w:rsidR="00BD4090" w:rsidRPr="00D01DDB" w:rsidRDefault="00BD4090" w:rsidP="00F20887">
            <w:pPr>
              <w:rPr>
                <w:szCs w:val="22"/>
              </w:rPr>
            </w:pPr>
            <w:r w:rsidRPr="00D01DDB">
              <w:rPr>
                <w:szCs w:val="22"/>
              </w:rPr>
              <w:t>CMI</w:t>
            </w:r>
          </w:p>
        </w:tc>
        <w:tc>
          <w:tcPr>
            <w:tcW w:w="3800" w:type="pct"/>
          </w:tcPr>
          <w:p w14:paraId="6ADDDCF8"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1F7C7E" w:rsidRPr="00D01DDB" w14:paraId="257411B5"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C51B30A" w14:textId="689DA990" w:rsidR="001F7C7E" w:rsidRPr="00E50AD7" w:rsidRDefault="001F7C7E" w:rsidP="00F20887">
            <w:pPr>
              <w:rPr>
                <w:szCs w:val="22"/>
              </w:rPr>
            </w:pPr>
            <w:r w:rsidRPr="00E50AD7">
              <w:rPr>
                <w:szCs w:val="22"/>
              </w:rPr>
              <w:t>hCG</w:t>
            </w:r>
          </w:p>
        </w:tc>
        <w:tc>
          <w:tcPr>
            <w:tcW w:w="3800" w:type="pct"/>
          </w:tcPr>
          <w:p w14:paraId="054E3C83" w14:textId="35ECD485" w:rsidR="001F7C7E" w:rsidRDefault="001F7C7E" w:rsidP="00F20887">
            <w:pPr>
              <w:cnfStyle w:val="000000000000" w:firstRow="0" w:lastRow="0" w:firstColumn="0" w:lastColumn="0" w:oddVBand="0" w:evenVBand="0" w:oddHBand="0" w:evenHBand="0" w:firstRowFirstColumn="0" w:firstRowLastColumn="0" w:lastRowFirstColumn="0" w:lastRowLastColumn="0"/>
              <w:rPr>
                <w:szCs w:val="22"/>
              </w:rPr>
            </w:pPr>
            <w:r>
              <w:rPr>
                <w:szCs w:val="22"/>
              </w:rPr>
              <w:t>H</w:t>
            </w:r>
            <w:r w:rsidRPr="00005017">
              <w:rPr>
                <w:szCs w:val="22"/>
              </w:rPr>
              <w:t xml:space="preserve">uman chorionic gonadotropin </w:t>
            </w:r>
          </w:p>
        </w:tc>
      </w:tr>
      <w:tr w:rsidR="00A95896" w:rsidRPr="00D01DDB" w14:paraId="62407895"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EBCB3F2" w14:textId="2EB7EB71" w:rsidR="00A95896" w:rsidRPr="00612A5A" w:rsidRDefault="00A95896" w:rsidP="00F20887">
            <w:pPr>
              <w:rPr>
                <w:szCs w:val="22"/>
              </w:rPr>
            </w:pPr>
            <w:r w:rsidRPr="00E50AD7">
              <w:rPr>
                <w:szCs w:val="22"/>
              </w:rPr>
              <w:t>MLPs</w:t>
            </w:r>
          </w:p>
        </w:tc>
        <w:tc>
          <w:tcPr>
            <w:tcW w:w="3800" w:type="pct"/>
          </w:tcPr>
          <w:p w14:paraId="68500E46" w14:textId="2479D5E8" w:rsidR="00A95896" w:rsidRDefault="00A95896" w:rsidP="00F20887">
            <w:pPr>
              <w:cnfStyle w:val="000000000000" w:firstRow="0" w:lastRow="0" w:firstColumn="0" w:lastColumn="0" w:oddVBand="0" w:evenVBand="0" w:oddHBand="0" w:evenHBand="0" w:firstRowFirstColumn="0" w:firstRowLastColumn="0" w:lastRowFirstColumn="0" w:lastRowLastColumn="0"/>
              <w:rPr>
                <w:szCs w:val="22"/>
              </w:rPr>
            </w:pPr>
            <w:r>
              <w:rPr>
                <w:szCs w:val="22"/>
              </w:rPr>
              <w:t>Mid-level providers</w:t>
            </w:r>
          </w:p>
        </w:tc>
      </w:tr>
      <w:tr w:rsidR="00BD4090" w:rsidRPr="00D01DDB" w14:paraId="653FD614"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0E9EFE2" w14:textId="77777777" w:rsidR="00BD4090" w:rsidRPr="00D01DDB" w:rsidRDefault="00BD4090" w:rsidP="00F20887">
            <w:pPr>
              <w:rPr>
                <w:szCs w:val="22"/>
              </w:rPr>
            </w:pPr>
            <w:r w:rsidRPr="00612A5A">
              <w:rPr>
                <w:szCs w:val="22"/>
              </w:rPr>
              <w:t>MToP</w:t>
            </w:r>
          </w:p>
        </w:tc>
        <w:tc>
          <w:tcPr>
            <w:tcW w:w="3800" w:type="pct"/>
          </w:tcPr>
          <w:p w14:paraId="69A47595"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Pr>
                <w:szCs w:val="22"/>
              </w:rPr>
              <w:t>M</w:t>
            </w:r>
            <w:r w:rsidRPr="00612A5A">
              <w:rPr>
                <w:szCs w:val="22"/>
              </w:rPr>
              <w:t>edical termination of pregnancy</w:t>
            </w:r>
          </w:p>
        </w:tc>
      </w:tr>
      <w:tr w:rsidR="00BD4090" w:rsidRPr="00D01DDB" w14:paraId="2120F04A"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04AE42" w14:textId="77777777" w:rsidR="00BD4090" w:rsidRPr="00D01DDB" w:rsidRDefault="00BD4090" w:rsidP="00F20887">
            <w:pPr>
              <w:rPr>
                <w:szCs w:val="22"/>
              </w:rPr>
            </w:pPr>
            <w:r w:rsidRPr="00D01DDB">
              <w:rPr>
                <w:szCs w:val="22"/>
              </w:rPr>
              <w:t>PI</w:t>
            </w:r>
          </w:p>
        </w:tc>
        <w:tc>
          <w:tcPr>
            <w:tcW w:w="3800" w:type="pct"/>
          </w:tcPr>
          <w:p w14:paraId="179DF086"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BD4090" w:rsidRPr="00D01DDB" w14:paraId="4C5C6F17"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7AF15C9" w14:textId="77777777" w:rsidR="00BD4090" w:rsidRPr="00D01DDB" w:rsidRDefault="00BD4090" w:rsidP="00F20887">
            <w:pPr>
              <w:rPr>
                <w:szCs w:val="22"/>
              </w:rPr>
            </w:pPr>
            <w:r w:rsidRPr="00D01DDB">
              <w:rPr>
                <w:szCs w:val="22"/>
              </w:rPr>
              <w:t>RMP</w:t>
            </w:r>
          </w:p>
        </w:tc>
        <w:tc>
          <w:tcPr>
            <w:tcW w:w="3800" w:type="pct"/>
          </w:tcPr>
          <w:p w14:paraId="62E37DC2"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BD4090" w:rsidRPr="00D01DDB" w14:paraId="02F0F3F0"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11EA99D" w14:textId="77777777" w:rsidR="00BD4090" w:rsidRPr="00D01DDB" w:rsidRDefault="00BD4090" w:rsidP="00F20887">
            <w:pPr>
              <w:rPr>
                <w:szCs w:val="22"/>
              </w:rPr>
            </w:pPr>
            <w:r w:rsidRPr="00397668">
              <w:rPr>
                <w:szCs w:val="22"/>
              </w:rPr>
              <w:t>SoSC</w:t>
            </w:r>
          </w:p>
        </w:tc>
        <w:tc>
          <w:tcPr>
            <w:tcW w:w="3800" w:type="pct"/>
          </w:tcPr>
          <w:p w14:paraId="605DA0DC"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Pr>
                <w:szCs w:val="22"/>
              </w:rPr>
              <w:t>S</w:t>
            </w:r>
            <w:r w:rsidRPr="00397668">
              <w:rPr>
                <w:szCs w:val="22"/>
              </w:rPr>
              <w:t>ummary of safety concerns</w:t>
            </w:r>
          </w:p>
        </w:tc>
      </w:tr>
      <w:tr w:rsidR="00BD4090" w:rsidRPr="00D01DDB" w14:paraId="6920795D" w14:textId="77777777" w:rsidTr="00F20887">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0CAF3C2" w14:textId="77777777" w:rsidR="00BD4090" w:rsidRPr="00D01DDB" w:rsidRDefault="00BD4090" w:rsidP="00F20887">
            <w:pPr>
              <w:rPr>
                <w:szCs w:val="22"/>
              </w:rPr>
            </w:pPr>
            <w:r w:rsidRPr="00D01DDB">
              <w:rPr>
                <w:szCs w:val="22"/>
              </w:rPr>
              <w:t>TGA</w:t>
            </w:r>
          </w:p>
        </w:tc>
        <w:tc>
          <w:tcPr>
            <w:tcW w:w="3800" w:type="pct"/>
          </w:tcPr>
          <w:p w14:paraId="34F654D0" w14:textId="77777777" w:rsidR="00BD4090" w:rsidRPr="00D01DDB" w:rsidRDefault="00BD4090" w:rsidP="00F20887">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58831605"/>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58831606"/>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70D07FD7" w:rsidR="00324B33" w:rsidRPr="00BD5DBD" w:rsidRDefault="00324B33" w:rsidP="007452E8">
            <w:pPr>
              <w:rPr>
                <w:i/>
                <w:szCs w:val="22"/>
              </w:rPr>
            </w:pPr>
            <w:r w:rsidRPr="00BD5DBD">
              <w:rPr>
                <w:i/>
                <w:szCs w:val="22"/>
              </w:rPr>
              <w:t>Type of submission:</w:t>
            </w:r>
          </w:p>
        </w:tc>
        <w:tc>
          <w:tcPr>
            <w:tcW w:w="3423" w:type="pct"/>
          </w:tcPr>
          <w:p w14:paraId="4F07C303" w14:textId="239AA71D" w:rsidR="00324B33" w:rsidRPr="00BD5DBD" w:rsidRDefault="009F29CE" w:rsidP="007452E8">
            <w:pPr>
              <w:rPr>
                <w:szCs w:val="22"/>
              </w:rPr>
            </w:pPr>
            <w:r w:rsidRPr="009F29CE">
              <w:rPr>
                <w:szCs w:val="22"/>
              </w:rPr>
              <w:t>Type J</w:t>
            </w:r>
            <w:r>
              <w:rPr>
                <w:szCs w:val="22"/>
              </w:rPr>
              <w:t xml:space="preserve"> (</w:t>
            </w:r>
            <w:r w:rsidRPr="009F29CE">
              <w:rPr>
                <w:szCs w:val="22"/>
              </w:rPr>
              <w:t>P</w:t>
            </w:r>
            <w:r>
              <w:rPr>
                <w:szCs w:val="22"/>
              </w:rPr>
              <w:t xml:space="preserve">roduct </w:t>
            </w:r>
            <w:r w:rsidRPr="009F29CE">
              <w:rPr>
                <w:szCs w:val="22"/>
              </w:rPr>
              <w:t>I</w:t>
            </w:r>
            <w:r>
              <w:rPr>
                <w:szCs w:val="22"/>
              </w:rPr>
              <w:t>nformation</w:t>
            </w:r>
            <w:r w:rsidRPr="009F29CE">
              <w:rPr>
                <w:szCs w:val="22"/>
              </w:rPr>
              <w:t xml:space="preserve"> Change Requiring Evaluation of Data</w:t>
            </w:r>
            <w:r>
              <w:rPr>
                <w:szCs w:val="22"/>
              </w:rPr>
              <w:t>)</w:t>
            </w:r>
          </w:p>
        </w:tc>
      </w:tr>
      <w:tr w:rsidR="00324B33" w:rsidRPr="00BD5DBD" w14:paraId="13482B61" w14:textId="77777777" w:rsidTr="00F865A7">
        <w:tc>
          <w:tcPr>
            <w:tcW w:w="1577" w:type="pct"/>
          </w:tcPr>
          <w:p w14:paraId="2C427FCF" w14:textId="7AF053EC" w:rsidR="00324B33" w:rsidRPr="00BD5DBD" w:rsidRDefault="00324B33" w:rsidP="007452E8">
            <w:pPr>
              <w:rPr>
                <w:i/>
                <w:szCs w:val="22"/>
              </w:rPr>
            </w:pPr>
            <w:r w:rsidRPr="00BD5DBD">
              <w:rPr>
                <w:i/>
                <w:szCs w:val="22"/>
              </w:rPr>
              <w:t>Product name:</w:t>
            </w:r>
          </w:p>
        </w:tc>
        <w:tc>
          <w:tcPr>
            <w:tcW w:w="3423" w:type="pct"/>
          </w:tcPr>
          <w:p w14:paraId="0E2DEF76" w14:textId="21967C93" w:rsidR="00324B33" w:rsidRPr="00BD5DBD" w:rsidRDefault="0058049A" w:rsidP="0058049A">
            <w:pPr>
              <w:pStyle w:val="Default"/>
              <w:rPr>
                <w:szCs w:val="22"/>
              </w:rPr>
            </w:pPr>
            <w:r>
              <w:rPr>
                <w:sz w:val="22"/>
                <w:szCs w:val="22"/>
              </w:rPr>
              <w:t xml:space="preserve">MS-2 Step composite pack </w:t>
            </w:r>
          </w:p>
        </w:tc>
      </w:tr>
      <w:tr w:rsidR="00324B33" w:rsidRPr="00BD5DBD" w14:paraId="01255B5B" w14:textId="77777777" w:rsidTr="00F865A7">
        <w:tc>
          <w:tcPr>
            <w:tcW w:w="1577" w:type="pct"/>
          </w:tcPr>
          <w:p w14:paraId="52B4F3D7" w14:textId="7010DCB0" w:rsidR="00324B33" w:rsidRPr="00BD5DBD" w:rsidRDefault="00324B33" w:rsidP="007452E8">
            <w:pPr>
              <w:rPr>
                <w:i/>
                <w:szCs w:val="22"/>
              </w:rPr>
            </w:pPr>
            <w:r w:rsidRPr="00BD5DBD">
              <w:rPr>
                <w:i/>
                <w:szCs w:val="22"/>
              </w:rPr>
              <w:t>Active ingredients:</w:t>
            </w:r>
          </w:p>
        </w:tc>
        <w:tc>
          <w:tcPr>
            <w:tcW w:w="3423" w:type="pct"/>
          </w:tcPr>
          <w:p w14:paraId="02FB6383" w14:textId="6F01F1E1" w:rsidR="00324B33" w:rsidRPr="00BD5DBD" w:rsidRDefault="0058049A" w:rsidP="0058049A">
            <w:pPr>
              <w:pStyle w:val="Default"/>
              <w:rPr>
                <w:szCs w:val="22"/>
              </w:rPr>
            </w:pPr>
            <w:r>
              <w:rPr>
                <w:sz w:val="22"/>
                <w:szCs w:val="22"/>
              </w:rPr>
              <w:t>Mifepristone</w:t>
            </w:r>
            <w:r w:rsidR="009D0907">
              <w:rPr>
                <w:sz w:val="22"/>
                <w:szCs w:val="22"/>
              </w:rPr>
              <w:t xml:space="preserve"> </w:t>
            </w:r>
            <w:r w:rsidR="009D0907" w:rsidRPr="009D0907">
              <w:rPr>
                <w:sz w:val="22"/>
                <w:szCs w:val="22"/>
              </w:rPr>
              <w:t>Linepharma</w:t>
            </w:r>
            <w:r>
              <w:rPr>
                <w:sz w:val="22"/>
                <w:szCs w:val="22"/>
              </w:rPr>
              <w:t xml:space="preserve">, </w:t>
            </w:r>
            <w:r w:rsidR="009D0907" w:rsidRPr="009D0907">
              <w:rPr>
                <w:sz w:val="22"/>
                <w:szCs w:val="22"/>
              </w:rPr>
              <w:t>GyMiso</w:t>
            </w:r>
            <w:r w:rsidR="009D0907">
              <w:rPr>
                <w:sz w:val="22"/>
                <w:szCs w:val="22"/>
              </w:rPr>
              <w:t xml:space="preserve"> </w:t>
            </w:r>
            <w:r>
              <w:rPr>
                <w:sz w:val="22"/>
                <w:szCs w:val="22"/>
              </w:rPr>
              <w:t>misoprostol</w:t>
            </w:r>
            <w:r w:rsidR="009D0907">
              <w:rPr>
                <w:sz w:val="22"/>
                <w:szCs w:val="22"/>
              </w:rPr>
              <w:t>.</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7179CFF4" w:rsidR="00324B33" w:rsidRPr="00BD5DBD" w:rsidRDefault="00324B33" w:rsidP="007452E8">
            <w:pPr>
              <w:rPr>
                <w:szCs w:val="22"/>
              </w:rPr>
            </w:pPr>
            <w:r w:rsidRPr="00BD5DBD">
              <w:rPr>
                <w:szCs w:val="22"/>
              </w:rPr>
              <w:t xml:space="preserve">Approved </w:t>
            </w:r>
          </w:p>
        </w:tc>
      </w:tr>
      <w:tr w:rsidR="00AE1947" w:rsidRPr="00BD5DBD" w14:paraId="32B72632" w14:textId="77777777" w:rsidTr="00F865A7">
        <w:tc>
          <w:tcPr>
            <w:tcW w:w="1577" w:type="pct"/>
          </w:tcPr>
          <w:p w14:paraId="332A5CD5" w14:textId="682CD1B3" w:rsidR="00AE1947" w:rsidRPr="00BD5DBD" w:rsidRDefault="00AE1947" w:rsidP="00C018DE">
            <w:r w:rsidRPr="00BD5DBD">
              <w:rPr>
                <w:i/>
                <w:szCs w:val="22"/>
              </w:rPr>
              <w:t>Date of decision:</w:t>
            </w:r>
          </w:p>
        </w:tc>
        <w:tc>
          <w:tcPr>
            <w:tcW w:w="3423" w:type="pct"/>
          </w:tcPr>
          <w:p w14:paraId="7B381CD6" w14:textId="40DEBDE6" w:rsidR="00AE1947" w:rsidRPr="00BD5DBD" w:rsidRDefault="0058049A" w:rsidP="00602658">
            <w:pPr>
              <w:rPr>
                <w:szCs w:val="22"/>
              </w:rPr>
            </w:pPr>
            <w:r>
              <w:rPr>
                <w:szCs w:val="22"/>
              </w:rPr>
              <w:t>28 June 2023</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7ADD1678" w:rsidR="00324B33" w:rsidRPr="00BD5DBD" w:rsidRDefault="00C5610E" w:rsidP="007452E8">
            <w:pPr>
              <w:rPr>
                <w:szCs w:val="22"/>
              </w:rPr>
            </w:pPr>
            <w:r>
              <w:rPr>
                <w:szCs w:val="22"/>
              </w:rPr>
              <w:t>10 July 2023</w:t>
            </w:r>
          </w:p>
        </w:tc>
      </w:tr>
      <w:tr w:rsidR="00324B33" w:rsidRPr="00BD5DBD" w14:paraId="547E08D7" w14:textId="77777777" w:rsidTr="00F865A7">
        <w:tc>
          <w:tcPr>
            <w:tcW w:w="1577" w:type="pct"/>
          </w:tcPr>
          <w:p w14:paraId="5030EF30" w14:textId="09F068DF" w:rsidR="00324B33" w:rsidRPr="00BD5DBD" w:rsidRDefault="00324B33" w:rsidP="007452E8">
            <w:pPr>
              <w:rPr>
                <w:i/>
                <w:szCs w:val="22"/>
              </w:rPr>
            </w:pPr>
            <w:r w:rsidRPr="00BD5DBD">
              <w:rPr>
                <w:i/>
                <w:szCs w:val="22"/>
              </w:rPr>
              <w:t>ARTG number:</w:t>
            </w:r>
          </w:p>
        </w:tc>
        <w:tc>
          <w:tcPr>
            <w:tcW w:w="3423" w:type="pct"/>
          </w:tcPr>
          <w:p w14:paraId="0054E912" w14:textId="05663FB0" w:rsidR="00324B33" w:rsidRPr="00BD5DBD" w:rsidRDefault="0058049A" w:rsidP="007452E8">
            <w:pPr>
              <w:rPr>
                <w:szCs w:val="22"/>
              </w:rPr>
            </w:pPr>
            <w:r w:rsidRPr="0058049A">
              <w:rPr>
                <w:szCs w:val="22"/>
              </w:rPr>
              <w:t>210574</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8DD94B0" w14:textId="5FA8DD46" w:rsidR="00324B33" w:rsidRPr="00BD5DBD" w:rsidRDefault="00C5610E" w:rsidP="00C5610E">
            <w:pPr>
              <w:rPr>
                <w:szCs w:val="22"/>
              </w:rPr>
            </w:pPr>
            <w:r w:rsidRPr="00C5610E">
              <w:rPr>
                <w:szCs w:val="22"/>
              </w:rPr>
              <w:t>MS Health Pty Ltd</w:t>
            </w:r>
            <w:r>
              <w:rPr>
                <w:szCs w:val="22"/>
              </w:rPr>
              <w:t xml:space="preserve">, </w:t>
            </w:r>
            <w:r w:rsidRPr="00C5610E">
              <w:rPr>
                <w:szCs w:val="22"/>
              </w:rPr>
              <w:t>Suite 60, 278 Church Street,</w:t>
            </w:r>
            <w:r>
              <w:rPr>
                <w:szCs w:val="22"/>
              </w:rPr>
              <w:t xml:space="preserve"> </w:t>
            </w:r>
            <w:r w:rsidRPr="00C5610E">
              <w:rPr>
                <w:szCs w:val="22"/>
              </w:rPr>
              <w:t>Richmond, VIC, Australia, 3121</w:t>
            </w:r>
            <w:r>
              <w:rPr>
                <w:szCs w:val="22"/>
              </w:rPr>
              <w:t>.</w:t>
            </w:r>
            <w:r w:rsidRPr="00C5610E">
              <w:rPr>
                <w:szCs w:val="22"/>
              </w:rPr>
              <w:t xml:space="preserve"> </w:t>
            </w:r>
          </w:p>
        </w:tc>
      </w:tr>
      <w:tr w:rsidR="00324B33" w:rsidRPr="00BD5DBD" w14:paraId="5322B989" w14:textId="77777777" w:rsidTr="00F865A7">
        <w:tc>
          <w:tcPr>
            <w:tcW w:w="1577" w:type="pct"/>
          </w:tcPr>
          <w:p w14:paraId="24F217E3" w14:textId="7381F0EC" w:rsidR="00324B33" w:rsidRPr="00BD5DBD" w:rsidRDefault="00324B33" w:rsidP="007452E8">
            <w:pPr>
              <w:rPr>
                <w:i/>
                <w:szCs w:val="22"/>
              </w:rPr>
            </w:pPr>
            <w:r w:rsidRPr="00BD5DBD">
              <w:rPr>
                <w:i/>
                <w:szCs w:val="22"/>
              </w:rPr>
              <w:t>Dose form:</w:t>
            </w:r>
          </w:p>
        </w:tc>
        <w:tc>
          <w:tcPr>
            <w:tcW w:w="3423" w:type="pct"/>
          </w:tcPr>
          <w:p w14:paraId="768B254C" w14:textId="39B5BF36" w:rsidR="00324B33" w:rsidRPr="00BD5DBD" w:rsidRDefault="009D0907" w:rsidP="007452E8">
            <w:pPr>
              <w:rPr>
                <w:szCs w:val="22"/>
              </w:rPr>
            </w:pPr>
            <w:r>
              <w:rPr>
                <w:szCs w:val="22"/>
              </w:rPr>
              <w:t>Tablet</w:t>
            </w:r>
          </w:p>
        </w:tc>
      </w:tr>
      <w:tr w:rsidR="00324B33" w:rsidRPr="00BD5DBD" w14:paraId="115243E6" w14:textId="77777777" w:rsidTr="00F865A7">
        <w:tc>
          <w:tcPr>
            <w:tcW w:w="1577" w:type="pct"/>
          </w:tcPr>
          <w:p w14:paraId="7634B062" w14:textId="04667F89" w:rsidR="00324B33" w:rsidRPr="00BD5DBD" w:rsidRDefault="00324B33" w:rsidP="007452E8">
            <w:pPr>
              <w:rPr>
                <w:i/>
                <w:szCs w:val="22"/>
              </w:rPr>
            </w:pPr>
            <w:r w:rsidRPr="00BD5DBD">
              <w:rPr>
                <w:i/>
                <w:szCs w:val="22"/>
              </w:rPr>
              <w:t>Strength:</w:t>
            </w:r>
          </w:p>
        </w:tc>
        <w:tc>
          <w:tcPr>
            <w:tcW w:w="3423" w:type="pct"/>
          </w:tcPr>
          <w:p w14:paraId="68415AB9" w14:textId="6CAE976A" w:rsidR="00324B33" w:rsidRDefault="009D0907" w:rsidP="007452E8">
            <w:pPr>
              <w:rPr>
                <w:szCs w:val="22"/>
              </w:rPr>
            </w:pPr>
            <w:r w:rsidRPr="009D0907">
              <w:rPr>
                <w:szCs w:val="22"/>
              </w:rPr>
              <w:t xml:space="preserve">Each tablet </w:t>
            </w:r>
            <w:r>
              <w:rPr>
                <w:szCs w:val="22"/>
              </w:rPr>
              <w:t xml:space="preserve">of </w:t>
            </w:r>
            <w:r w:rsidRPr="009D0907">
              <w:rPr>
                <w:szCs w:val="22"/>
              </w:rPr>
              <w:t>Mifepristone Linepharma contains 200 mg of mifepristone</w:t>
            </w:r>
            <w:r>
              <w:rPr>
                <w:szCs w:val="22"/>
              </w:rPr>
              <w:t xml:space="preserve">. </w:t>
            </w:r>
          </w:p>
          <w:p w14:paraId="5E5F83DB" w14:textId="2ABC0F5F" w:rsidR="009D0907" w:rsidRPr="00BD5DBD" w:rsidRDefault="009D0907" w:rsidP="007452E8">
            <w:pPr>
              <w:rPr>
                <w:szCs w:val="22"/>
              </w:rPr>
            </w:pPr>
            <w:r>
              <w:rPr>
                <w:szCs w:val="22"/>
              </w:rPr>
              <w:t xml:space="preserve">Each tablet of </w:t>
            </w:r>
            <w:r w:rsidRPr="009D0907">
              <w:rPr>
                <w:szCs w:val="22"/>
              </w:rPr>
              <w:t>GyMiso misoprostol</w:t>
            </w:r>
            <w:r>
              <w:rPr>
                <w:szCs w:val="22"/>
              </w:rPr>
              <w:t xml:space="preserve"> </w:t>
            </w:r>
            <w:r w:rsidRPr="009D0907">
              <w:rPr>
                <w:szCs w:val="22"/>
              </w:rPr>
              <w:t>contains 200 micrograms of misoprostol</w:t>
            </w:r>
            <w:r>
              <w:rPr>
                <w:szCs w:val="22"/>
              </w:rPr>
              <w:t>.</w:t>
            </w:r>
          </w:p>
        </w:tc>
      </w:tr>
      <w:tr w:rsidR="00324B33" w:rsidRPr="00BD5DBD" w14:paraId="34B07BA6" w14:textId="77777777" w:rsidTr="00F865A7">
        <w:tc>
          <w:tcPr>
            <w:tcW w:w="1577" w:type="pct"/>
          </w:tcPr>
          <w:p w14:paraId="1C039224" w14:textId="3D3FD9C1" w:rsidR="00324B33" w:rsidRPr="00BD5DBD" w:rsidRDefault="00324B33" w:rsidP="007452E8">
            <w:pPr>
              <w:rPr>
                <w:i/>
                <w:szCs w:val="22"/>
              </w:rPr>
            </w:pPr>
            <w:r w:rsidRPr="00BD5DBD">
              <w:rPr>
                <w:i/>
                <w:szCs w:val="22"/>
              </w:rPr>
              <w:t>Container:</w:t>
            </w:r>
          </w:p>
        </w:tc>
        <w:tc>
          <w:tcPr>
            <w:tcW w:w="3423" w:type="pct"/>
          </w:tcPr>
          <w:p w14:paraId="500A42C6" w14:textId="71FAA8AE" w:rsidR="00324B33" w:rsidRPr="00BD5DBD" w:rsidRDefault="009D0907" w:rsidP="007452E8">
            <w:pPr>
              <w:rPr>
                <w:szCs w:val="22"/>
              </w:rPr>
            </w:pPr>
            <w:r>
              <w:rPr>
                <w:szCs w:val="22"/>
              </w:rPr>
              <w:t>Carton</w:t>
            </w:r>
          </w:p>
        </w:tc>
      </w:tr>
      <w:tr w:rsidR="00324B33" w:rsidRPr="00BD5DBD" w14:paraId="176B6773" w14:textId="77777777" w:rsidTr="00F865A7">
        <w:tc>
          <w:tcPr>
            <w:tcW w:w="1577" w:type="pct"/>
          </w:tcPr>
          <w:p w14:paraId="71846159" w14:textId="6FD28976" w:rsidR="00324B33" w:rsidRPr="00BD5DBD" w:rsidRDefault="00324B33" w:rsidP="007452E8">
            <w:pPr>
              <w:rPr>
                <w:i/>
                <w:szCs w:val="22"/>
              </w:rPr>
            </w:pPr>
            <w:r w:rsidRPr="00BD5DBD">
              <w:rPr>
                <w:i/>
                <w:szCs w:val="22"/>
              </w:rPr>
              <w:t>Pack size:</w:t>
            </w:r>
          </w:p>
        </w:tc>
        <w:tc>
          <w:tcPr>
            <w:tcW w:w="3423" w:type="pct"/>
          </w:tcPr>
          <w:p w14:paraId="7E978F8F" w14:textId="11010968" w:rsidR="00324B33" w:rsidRPr="00BD5DBD" w:rsidRDefault="009D0907" w:rsidP="009D0907">
            <w:pPr>
              <w:rPr>
                <w:szCs w:val="22"/>
              </w:rPr>
            </w:pPr>
            <w:r w:rsidRPr="009D0907">
              <w:rPr>
                <w:szCs w:val="22"/>
              </w:rPr>
              <w:t>One (1) Mifepristone Linepharma tablet and four (4) GyMiso tablets per</w:t>
            </w:r>
            <w:r>
              <w:rPr>
                <w:szCs w:val="22"/>
              </w:rPr>
              <w:t xml:space="preserve"> </w:t>
            </w:r>
            <w:r w:rsidRPr="009D0907">
              <w:rPr>
                <w:szCs w:val="22"/>
              </w:rPr>
              <w:t>MS-2 Step pack</w:t>
            </w:r>
            <w:r>
              <w:rPr>
                <w:szCs w:val="22"/>
              </w:rPr>
              <w:t>.</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A03B250" w14:textId="6123ADB4" w:rsidR="00B742E7" w:rsidRDefault="00863F8D" w:rsidP="00863F8D">
            <w:pPr>
              <w:rPr>
                <w:szCs w:val="22"/>
              </w:rPr>
            </w:pPr>
            <w:r w:rsidRPr="00367C19">
              <w:rPr>
                <w:szCs w:val="22"/>
              </w:rPr>
              <w:t>MS-2 Step is indicated in females of childbearing age for the medical termination of an intrauterine pregnancy, up to 63 days of gestation.</w:t>
            </w:r>
          </w:p>
          <w:p w14:paraId="513025F1" w14:textId="4703709B" w:rsidR="00863F8D" w:rsidRPr="00367C19" w:rsidRDefault="00863F8D" w:rsidP="00863F8D">
            <w:pPr>
              <w:rPr>
                <w:szCs w:val="22"/>
              </w:rPr>
            </w:pPr>
            <w:r w:rsidRPr="00367C19">
              <w:rPr>
                <w:szCs w:val="22"/>
              </w:rPr>
              <w:t xml:space="preserve">In the current submission, approval was granted to make the following changes in the </w:t>
            </w:r>
            <w:r w:rsidR="00B742E7">
              <w:rPr>
                <w:szCs w:val="22"/>
              </w:rPr>
              <w:t>Product Information (</w:t>
            </w:r>
            <w:r w:rsidRPr="00367C19">
              <w:rPr>
                <w:szCs w:val="22"/>
              </w:rPr>
              <w:t>PI</w:t>
            </w:r>
            <w:r w:rsidR="00B742E7">
              <w:rPr>
                <w:szCs w:val="22"/>
              </w:rPr>
              <w:t>) and to the Risk Management Plan (RMP)</w:t>
            </w:r>
            <w:r w:rsidRPr="00367C19">
              <w:rPr>
                <w:szCs w:val="22"/>
              </w:rPr>
              <w:t>:</w:t>
            </w:r>
          </w:p>
          <w:p w14:paraId="31CEBC04" w14:textId="05FB8D88" w:rsidR="00B742E7" w:rsidRPr="00B742E7" w:rsidRDefault="00B742E7" w:rsidP="00B742E7">
            <w:pPr>
              <w:rPr>
                <w:szCs w:val="22"/>
              </w:rPr>
            </w:pPr>
            <w:r>
              <w:rPr>
                <w:szCs w:val="22"/>
              </w:rPr>
              <w:t>PI</w:t>
            </w:r>
          </w:p>
          <w:p w14:paraId="14E76325" w14:textId="5B28B063" w:rsidR="00367C19" w:rsidRPr="00367C19" w:rsidRDefault="000443C2" w:rsidP="00367C19">
            <w:pPr>
              <w:pStyle w:val="ListParagraph"/>
              <w:numPr>
                <w:ilvl w:val="0"/>
                <w:numId w:val="14"/>
              </w:numPr>
              <w:rPr>
                <w:rFonts w:ascii="Cambria" w:hAnsi="Cambria"/>
                <w:sz w:val="22"/>
                <w:szCs w:val="22"/>
              </w:rPr>
            </w:pPr>
            <w:r>
              <w:rPr>
                <w:rFonts w:ascii="Cambria" w:hAnsi="Cambria"/>
                <w:sz w:val="22"/>
                <w:szCs w:val="22"/>
              </w:rPr>
              <w:t>A</w:t>
            </w:r>
            <w:r w:rsidRPr="00367C19">
              <w:rPr>
                <w:rFonts w:ascii="Cambria" w:hAnsi="Cambria"/>
                <w:sz w:val="22"/>
                <w:szCs w:val="22"/>
              </w:rPr>
              <w:t xml:space="preserve">mend </w:t>
            </w:r>
            <w:r w:rsidR="00863F8D" w:rsidRPr="00367C19">
              <w:rPr>
                <w:rFonts w:ascii="Cambria" w:hAnsi="Cambria"/>
                <w:sz w:val="22"/>
                <w:szCs w:val="22"/>
              </w:rPr>
              <w:t>‘</w:t>
            </w:r>
            <w:r w:rsidR="00863F8D" w:rsidRPr="00B742E7">
              <w:rPr>
                <w:rFonts w:ascii="Cambria" w:hAnsi="Cambria"/>
                <w:i/>
                <w:iCs/>
                <w:sz w:val="22"/>
                <w:szCs w:val="22"/>
              </w:rPr>
              <w:t>medical practitioner</w:t>
            </w:r>
            <w:r w:rsidR="00863F8D" w:rsidRPr="00367C19">
              <w:rPr>
                <w:rFonts w:ascii="Cambria" w:hAnsi="Cambria"/>
                <w:sz w:val="22"/>
                <w:szCs w:val="22"/>
              </w:rPr>
              <w:t xml:space="preserve">’ </w:t>
            </w:r>
            <w:r>
              <w:rPr>
                <w:rFonts w:ascii="Cambria" w:hAnsi="Cambria"/>
                <w:sz w:val="22"/>
                <w:szCs w:val="22"/>
              </w:rPr>
              <w:t xml:space="preserve">in the boxed warning </w:t>
            </w:r>
            <w:r w:rsidR="00863F8D" w:rsidRPr="00367C19">
              <w:rPr>
                <w:rFonts w:ascii="Cambria" w:hAnsi="Cambria"/>
                <w:sz w:val="22"/>
                <w:szCs w:val="22"/>
              </w:rPr>
              <w:t>to ‘</w:t>
            </w:r>
            <w:r w:rsidR="00863F8D" w:rsidRPr="00B742E7">
              <w:rPr>
                <w:rFonts w:ascii="Cambria" w:hAnsi="Cambria"/>
                <w:i/>
                <w:iCs/>
                <w:sz w:val="22"/>
                <w:szCs w:val="22"/>
              </w:rPr>
              <w:t>healthcare practitioner</w:t>
            </w:r>
            <w:r w:rsidR="00863F8D" w:rsidRPr="00367C19">
              <w:rPr>
                <w:rFonts w:ascii="Cambria" w:hAnsi="Cambria"/>
                <w:sz w:val="22"/>
                <w:szCs w:val="22"/>
              </w:rPr>
              <w:t xml:space="preserve">’  </w:t>
            </w:r>
          </w:p>
          <w:p w14:paraId="678DA0AB" w14:textId="65737147" w:rsidR="00324B33" w:rsidRDefault="000443C2" w:rsidP="00367C19">
            <w:pPr>
              <w:pStyle w:val="ListParagraph"/>
              <w:numPr>
                <w:ilvl w:val="0"/>
                <w:numId w:val="14"/>
              </w:numPr>
              <w:rPr>
                <w:rFonts w:ascii="Cambria" w:hAnsi="Cambria"/>
                <w:sz w:val="22"/>
                <w:szCs w:val="22"/>
              </w:rPr>
            </w:pPr>
            <w:r>
              <w:rPr>
                <w:rFonts w:ascii="Cambria" w:hAnsi="Cambria"/>
                <w:sz w:val="22"/>
                <w:szCs w:val="22"/>
              </w:rPr>
              <w:t>A</w:t>
            </w:r>
            <w:r w:rsidRPr="00367C19">
              <w:rPr>
                <w:rFonts w:ascii="Cambria" w:hAnsi="Cambria"/>
                <w:sz w:val="22"/>
                <w:szCs w:val="22"/>
              </w:rPr>
              <w:t xml:space="preserve">mend </w:t>
            </w:r>
            <w:r w:rsidR="00863F8D" w:rsidRPr="00367C19">
              <w:rPr>
                <w:rFonts w:ascii="Cambria" w:hAnsi="Cambria"/>
                <w:sz w:val="22"/>
                <w:szCs w:val="22"/>
              </w:rPr>
              <w:t>‘</w:t>
            </w:r>
            <w:r w:rsidR="00863F8D" w:rsidRPr="00B742E7">
              <w:rPr>
                <w:rFonts w:ascii="Cambria" w:hAnsi="Cambria"/>
                <w:i/>
                <w:iCs/>
                <w:sz w:val="22"/>
                <w:szCs w:val="22"/>
              </w:rPr>
              <w:t>doctors with the appropriate qualifications and certified training</w:t>
            </w:r>
            <w:r w:rsidR="00863F8D" w:rsidRPr="00367C19">
              <w:rPr>
                <w:rFonts w:ascii="Cambria" w:hAnsi="Cambria"/>
                <w:sz w:val="22"/>
                <w:szCs w:val="22"/>
              </w:rPr>
              <w:t xml:space="preserve">’ </w:t>
            </w:r>
            <w:r>
              <w:rPr>
                <w:rFonts w:ascii="Cambria" w:hAnsi="Cambria"/>
                <w:sz w:val="22"/>
                <w:szCs w:val="22"/>
              </w:rPr>
              <w:t xml:space="preserve">in Section 4.2 </w:t>
            </w:r>
            <w:r w:rsidR="00863F8D" w:rsidRPr="00367C19">
              <w:rPr>
                <w:rFonts w:ascii="Cambria" w:hAnsi="Cambria"/>
                <w:sz w:val="22"/>
                <w:szCs w:val="22"/>
              </w:rPr>
              <w:t>to ‘</w:t>
            </w:r>
            <w:r w:rsidR="00863F8D" w:rsidRPr="00B742E7">
              <w:rPr>
                <w:rFonts w:ascii="Cambria" w:hAnsi="Cambria"/>
                <w:i/>
                <w:iCs/>
                <w:sz w:val="22"/>
                <w:szCs w:val="22"/>
              </w:rPr>
              <w:t>healthcare practitioners with the appropriate qualifications and training</w:t>
            </w:r>
            <w:r w:rsidR="00863F8D" w:rsidRPr="00367C19">
              <w:rPr>
                <w:rFonts w:ascii="Cambria" w:hAnsi="Cambria"/>
                <w:sz w:val="22"/>
                <w:szCs w:val="22"/>
              </w:rPr>
              <w:t xml:space="preserve">’ (in accordance with individual state and territory requirements) </w:t>
            </w:r>
          </w:p>
          <w:p w14:paraId="1C15D3FA" w14:textId="64468EE2" w:rsidR="00B742E7" w:rsidRPr="00B742E7" w:rsidRDefault="00B742E7" w:rsidP="00B742E7">
            <w:pPr>
              <w:rPr>
                <w:szCs w:val="22"/>
              </w:rPr>
            </w:pPr>
            <w:r>
              <w:rPr>
                <w:szCs w:val="22"/>
              </w:rPr>
              <w:t>RMP</w:t>
            </w:r>
          </w:p>
          <w:p w14:paraId="7A056328" w14:textId="0E795D54" w:rsidR="00B742E7" w:rsidRPr="00B742E7" w:rsidRDefault="00B742E7" w:rsidP="00B742E7">
            <w:pPr>
              <w:pStyle w:val="ListParagraph"/>
              <w:numPr>
                <w:ilvl w:val="0"/>
                <w:numId w:val="14"/>
              </w:numPr>
              <w:rPr>
                <w:rFonts w:ascii="Cambria" w:hAnsi="Cambria"/>
                <w:sz w:val="22"/>
                <w:szCs w:val="22"/>
              </w:rPr>
            </w:pPr>
            <w:r w:rsidRPr="00B742E7">
              <w:rPr>
                <w:rFonts w:ascii="Cambria" w:hAnsi="Cambria"/>
                <w:sz w:val="22"/>
                <w:szCs w:val="22"/>
              </w:rPr>
              <w:t>Removal of the requirement for pharmacist registration</w:t>
            </w:r>
            <w:r>
              <w:rPr>
                <w:rFonts w:ascii="Cambria" w:hAnsi="Cambria"/>
                <w:sz w:val="22"/>
                <w:szCs w:val="22"/>
              </w:rPr>
              <w:t xml:space="preserve"> to dispense the product</w:t>
            </w:r>
          </w:p>
          <w:p w14:paraId="2D6CA016" w14:textId="30F96014" w:rsidR="00B742E7" w:rsidRDefault="00B742E7" w:rsidP="00367C19">
            <w:pPr>
              <w:pStyle w:val="ListParagraph"/>
              <w:numPr>
                <w:ilvl w:val="0"/>
                <w:numId w:val="14"/>
              </w:numPr>
              <w:rPr>
                <w:rFonts w:ascii="Cambria" w:hAnsi="Cambria"/>
                <w:sz w:val="22"/>
                <w:szCs w:val="22"/>
              </w:rPr>
            </w:pPr>
            <w:r>
              <w:rPr>
                <w:rFonts w:ascii="Cambria" w:hAnsi="Cambria"/>
                <w:sz w:val="22"/>
                <w:szCs w:val="22"/>
              </w:rPr>
              <w:t>Removal of the mandatory training and certification requirement for prescribers</w:t>
            </w:r>
          </w:p>
          <w:p w14:paraId="6E143E2E" w14:textId="6058100D" w:rsidR="00367C19" w:rsidRPr="00367C19" w:rsidRDefault="00367C19" w:rsidP="00367C19">
            <w:pPr>
              <w:pStyle w:val="ListParagraph"/>
              <w:numPr>
                <w:ilvl w:val="0"/>
                <w:numId w:val="14"/>
              </w:numPr>
              <w:rPr>
                <w:rFonts w:ascii="Cambria" w:hAnsi="Cambria"/>
                <w:sz w:val="22"/>
                <w:szCs w:val="22"/>
              </w:rPr>
            </w:pPr>
            <w:r w:rsidRPr="00367C19">
              <w:rPr>
                <w:rFonts w:ascii="Cambria" w:hAnsi="Cambria"/>
                <w:sz w:val="22"/>
                <w:szCs w:val="22"/>
              </w:rPr>
              <w:lastRenderedPageBreak/>
              <w:t xml:space="preserve">Removal of </w:t>
            </w:r>
            <w:r>
              <w:rPr>
                <w:rFonts w:ascii="Cambria" w:hAnsi="Cambria"/>
                <w:sz w:val="22"/>
                <w:szCs w:val="22"/>
              </w:rPr>
              <w:t xml:space="preserve">the </w:t>
            </w:r>
            <w:r w:rsidRPr="00367C19">
              <w:rPr>
                <w:rFonts w:ascii="Cambria" w:hAnsi="Cambria"/>
                <w:sz w:val="22"/>
                <w:szCs w:val="22"/>
              </w:rPr>
              <w:t xml:space="preserve">24-hour </w:t>
            </w:r>
            <w:r w:rsidR="00B742E7">
              <w:rPr>
                <w:rFonts w:ascii="Cambria" w:hAnsi="Cambria"/>
                <w:sz w:val="22"/>
                <w:szCs w:val="22"/>
              </w:rPr>
              <w:t>tele</w:t>
            </w:r>
            <w:r w:rsidRPr="00367C19">
              <w:rPr>
                <w:rFonts w:ascii="Cambria" w:hAnsi="Cambria"/>
                <w:sz w:val="22"/>
                <w:szCs w:val="22"/>
              </w:rPr>
              <w:t>phone</w:t>
            </w:r>
            <w:r w:rsidR="00B742E7">
              <w:rPr>
                <w:rFonts w:ascii="Cambria" w:hAnsi="Cambria"/>
                <w:sz w:val="22"/>
                <w:szCs w:val="22"/>
              </w:rPr>
              <w:t xml:space="preserve"> nurse aftercare</w:t>
            </w:r>
            <w:r w:rsidRPr="00367C19">
              <w:rPr>
                <w:rFonts w:ascii="Cambria" w:hAnsi="Cambria"/>
                <w:sz w:val="22"/>
                <w:szCs w:val="22"/>
              </w:rPr>
              <w:t xml:space="preserve"> service for patients</w:t>
            </w:r>
            <w:r>
              <w:rPr>
                <w:rFonts w:ascii="Cambria" w:hAnsi="Cambria"/>
                <w:sz w:val="22"/>
                <w:szCs w:val="22"/>
              </w:rPr>
              <w:t>.</w:t>
            </w:r>
          </w:p>
        </w:tc>
      </w:tr>
      <w:tr w:rsidR="00324B33" w:rsidRPr="00BD5DBD" w14:paraId="5AFDEED3" w14:textId="77777777" w:rsidTr="00F865A7">
        <w:tc>
          <w:tcPr>
            <w:tcW w:w="1577" w:type="pct"/>
          </w:tcPr>
          <w:p w14:paraId="03884BD1" w14:textId="77777777" w:rsidR="00324B33" w:rsidRPr="00BD5DBD" w:rsidRDefault="00324B33" w:rsidP="007452E8">
            <w:pPr>
              <w:rPr>
                <w:i/>
                <w:szCs w:val="22"/>
              </w:rPr>
            </w:pPr>
            <w:r w:rsidRPr="00BD5DBD">
              <w:rPr>
                <w:i/>
                <w:szCs w:val="22"/>
              </w:rPr>
              <w:lastRenderedPageBreak/>
              <w:t>Route(s) of administration:</w:t>
            </w:r>
          </w:p>
        </w:tc>
        <w:tc>
          <w:tcPr>
            <w:tcW w:w="3423" w:type="pct"/>
          </w:tcPr>
          <w:p w14:paraId="1ED1357E" w14:textId="0589C48A" w:rsidR="00324B33" w:rsidRPr="00BD5DBD" w:rsidRDefault="00863F8D" w:rsidP="007452E8">
            <w:pPr>
              <w:rPr>
                <w:szCs w:val="22"/>
              </w:rPr>
            </w:pPr>
            <w:r>
              <w:rPr>
                <w:szCs w:val="22"/>
              </w:rPr>
              <w:t>Oral</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651F961C" w14:textId="77777777" w:rsidR="00722CDF" w:rsidRPr="00722CDF" w:rsidRDefault="00722CDF" w:rsidP="00722CDF">
            <w:pPr>
              <w:rPr>
                <w:szCs w:val="22"/>
              </w:rPr>
            </w:pPr>
            <w:r w:rsidRPr="00722CDF">
              <w:rPr>
                <w:szCs w:val="22"/>
              </w:rPr>
              <w:t>Mifepristone: 200 mg of mifepristone (1 tablet containing 200 mg) orally, followed 36 to 48 hours later by the administration of GyMiso®.</w:t>
            </w:r>
          </w:p>
          <w:p w14:paraId="5F919ED6" w14:textId="424F563C" w:rsidR="00722CDF" w:rsidRDefault="00722CDF" w:rsidP="00722CDF">
            <w:pPr>
              <w:rPr>
                <w:szCs w:val="22"/>
              </w:rPr>
            </w:pPr>
            <w:r w:rsidRPr="00722CDF">
              <w:rPr>
                <w:szCs w:val="22"/>
              </w:rPr>
              <w:t>GyMiso®: 800 micrograms of misoprostol (4 tablets, each tablet containing 200 micrograms) buccally, i.e</w:t>
            </w:r>
            <w:r w:rsidR="0067334C">
              <w:rPr>
                <w:szCs w:val="22"/>
              </w:rPr>
              <w:t>.,</w:t>
            </w:r>
            <w:r w:rsidRPr="00722CDF">
              <w:rPr>
                <w:szCs w:val="22"/>
              </w:rPr>
              <w:t xml:space="preserve"> kept between the cheek and the gum for 30 minutes before any fragments being swallowed with water. </w:t>
            </w:r>
          </w:p>
          <w:p w14:paraId="3D0B2D5C" w14:textId="73B0C565" w:rsidR="00324B33" w:rsidRPr="00BD5DBD" w:rsidRDefault="00324B33" w:rsidP="00722CDF">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bl>
    <w:p w14:paraId="37C47E09" w14:textId="14D3762D" w:rsidR="00CB6813" w:rsidRDefault="00CB6813" w:rsidP="00CB6813">
      <w:pPr>
        <w:pStyle w:val="Heading4"/>
      </w:pPr>
      <w:bookmarkStart w:id="11" w:name="_Toc158831607"/>
      <w:bookmarkStart w:id="12" w:name="_Toc314842485"/>
      <w:bookmarkStart w:id="13" w:name="_Toc247691504"/>
      <w:r>
        <w:t>C</w:t>
      </w:r>
      <w:r w:rsidRPr="00DE1344">
        <w:t>linical rational</w:t>
      </w:r>
      <w:r w:rsidR="0025785B">
        <w:t>e</w:t>
      </w:r>
      <w:bookmarkEnd w:id="11"/>
    </w:p>
    <w:p w14:paraId="239B2C1C" w14:textId="4301DE93" w:rsidR="00722CDF" w:rsidRPr="00722CDF" w:rsidRDefault="00722CDF" w:rsidP="00722CDF">
      <w:pPr>
        <w:spacing w:before="120" w:line="240" w:lineRule="atLeast"/>
        <w:rPr>
          <w:rFonts w:eastAsia="Cambria" w:cs="Times New Roman"/>
          <w:szCs w:val="22"/>
          <w:lang w:eastAsia="ja-JP"/>
        </w:rPr>
      </w:pPr>
      <w:r w:rsidRPr="00722CDF">
        <w:rPr>
          <w:rFonts w:eastAsia="Cambria" w:cs="Times New Roman"/>
          <w:szCs w:val="22"/>
          <w:lang w:eastAsia="ja-JP"/>
        </w:rPr>
        <w:t xml:space="preserve">Mifepristone belongs to the </w:t>
      </w:r>
      <w:r w:rsidR="00397668">
        <w:rPr>
          <w:rFonts w:eastAsia="Cambria" w:cs="Times New Roman"/>
          <w:szCs w:val="22"/>
          <w:lang w:eastAsia="ja-JP"/>
        </w:rPr>
        <w:t>p</w:t>
      </w:r>
      <w:r w:rsidRPr="00722CDF">
        <w:rPr>
          <w:rFonts w:eastAsia="Cambria" w:cs="Times New Roman"/>
          <w:szCs w:val="22"/>
          <w:lang w:eastAsia="ja-JP"/>
        </w:rPr>
        <w:t>harmacotherapeutic group: Other sex hormone and modulator of the reproductive function/antiprogestogen, ATC code GO3XB01.</w:t>
      </w:r>
    </w:p>
    <w:p w14:paraId="12F7F176" w14:textId="428DF251" w:rsidR="00722CDF" w:rsidRPr="00722CDF" w:rsidRDefault="00722CDF" w:rsidP="00722CDF">
      <w:pPr>
        <w:spacing w:before="120" w:line="240" w:lineRule="atLeast"/>
        <w:rPr>
          <w:rFonts w:eastAsia="Cambria" w:cs="Times New Roman"/>
          <w:szCs w:val="22"/>
          <w:lang w:eastAsia="ja-JP"/>
        </w:rPr>
      </w:pPr>
      <w:r w:rsidRPr="00722CDF">
        <w:rPr>
          <w:rFonts w:eastAsia="Cambria" w:cs="Times New Roman"/>
          <w:szCs w:val="22"/>
          <w:lang w:eastAsia="ja-JP"/>
        </w:rPr>
        <w:t xml:space="preserve">Misoprostol belongs to the </w:t>
      </w:r>
      <w:r w:rsidR="00397668">
        <w:rPr>
          <w:rFonts w:eastAsia="Cambria" w:cs="Times New Roman"/>
          <w:szCs w:val="22"/>
          <w:lang w:eastAsia="ja-JP"/>
        </w:rPr>
        <w:t>p</w:t>
      </w:r>
      <w:r w:rsidRPr="00722CDF">
        <w:rPr>
          <w:rFonts w:eastAsia="Cambria" w:cs="Times New Roman"/>
          <w:szCs w:val="22"/>
          <w:lang w:eastAsia="ja-JP"/>
        </w:rPr>
        <w:t>harmacotherapeutic group: Other gynaecological medicines – prostaglandins, ATC code G02AD06.</w:t>
      </w:r>
    </w:p>
    <w:p w14:paraId="7FEA5FB5" w14:textId="0CE8878A" w:rsidR="000443C2" w:rsidRDefault="00722CDF" w:rsidP="00722CDF">
      <w:pPr>
        <w:rPr>
          <w:rFonts w:eastAsia="Cambria" w:cs="Times New Roman"/>
          <w:szCs w:val="22"/>
          <w:lang w:eastAsia="ja-JP"/>
        </w:rPr>
      </w:pPr>
      <w:r w:rsidRPr="00722CDF">
        <w:rPr>
          <w:rFonts w:eastAsia="Cambria" w:cs="Times New Roman"/>
          <w:szCs w:val="22"/>
          <w:lang w:eastAsia="ja-JP"/>
        </w:rPr>
        <w:t xml:space="preserve">Mifepristone is a synthetic steroid with an antiprogestational action </w:t>
      </w:r>
      <w:r w:rsidR="00B742E7">
        <w:rPr>
          <w:rFonts w:eastAsia="Cambria" w:cs="Times New Roman"/>
          <w:szCs w:val="22"/>
          <w:lang w:eastAsia="ja-JP"/>
        </w:rPr>
        <w:t>due to</w:t>
      </w:r>
      <w:r w:rsidRPr="00722CDF">
        <w:rPr>
          <w:rFonts w:eastAsia="Cambria" w:cs="Times New Roman"/>
          <w:szCs w:val="22"/>
          <w:lang w:eastAsia="ja-JP"/>
        </w:rPr>
        <w:t xml:space="preserve"> competition with progesterone at the progesterone receptors. In women at doses of greater than or equal to 1 mg/kg, mifepristone antagonises the endometrial and myometrial effects of progesterone. During pregnancy it sensitises the myometrium to the contraction inducing action of prostaglandins.</w:t>
      </w:r>
    </w:p>
    <w:p w14:paraId="01A39097" w14:textId="7363F0B9" w:rsidR="00B742E7" w:rsidRDefault="00722CDF" w:rsidP="00722CDF">
      <w:pPr>
        <w:rPr>
          <w:rFonts w:eastAsia="Cambria" w:cs="Times New Roman"/>
          <w:szCs w:val="22"/>
          <w:lang w:eastAsia="ja-JP"/>
        </w:rPr>
      </w:pPr>
      <w:r w:rsidRPr="00722CDF">
        <w:rPr>
          <w:rFonts w:eastAsia="Cambria" w:cs="Times New Roman"/>
          <w:szCs w:val="22"/>
          <w:lang w:eastAsia="ja-JP"/>
        </w:rPr>
        <w:t>Misoprostol is a synthetic analogue of prostaglandin E1. At the recommended dosages, misoprostol induces contractions of the smooth muscle fibres in the myometrium and relaxation of the uterine cervix.</w:t>
      </w:r>
    </w:p>
    <w:p w14:paraId="049A58E9" w14:textId="64626A7B" w:rsidR="00CB6813" w:rsidRDefault="000443C2" w:rsidP="00722CDF">
      <w:pPr>
        <w:rPr>
          <w:i/>
          <w:color w:val="007099"/>
        </w:rPr>
      </w:pPr>
      <w:r>
        <w:rPr>
          <w:rFonts w:eastAsia="Cambria" w:cs="Times New Roman"/>
          <w:szCs w:val="22"/>
          <w:lang w:eastAsia="ja-JP"/>
        </w:rPr>
        <w:t>When used for</w:t>
      </w:r>
      <w:r w:rsidR="00722CDF" w:rsidRPr="00722CDF">
        <w:rPr>
          <w:rFonts w:eastAsia="Cambria" w:cs="Times New Roman"/>
          <w:szCs w:val="22"/>
          <w:lang w:eastAsia="ja-JP"/>
        </w:rPr>
        <w:t xml:space="preserve"> early termination of pregnancy</w:t>
      </w:r>
      <w:r w:rsidR="00B742E7">
        <w:rPr>
          <w:rFonts w:eastAsia="Cambria" w:cs="Times New Roman"/>
          <w:szCs w:val="22"/>
          <w:lang w:eastAsia="ja-JP"/>
        </w:rPr>
        <w:t xml:space="preserve"> (&lt;12 weeks gestation)</w:t>
      </w:r>
      <w:r w:rsidR="00722CDF" w:rsidRPr="00722CDF">
        <w:rPr>
          <w:rFonts w:eastAsia="Cambria" w:cs="Times New Roman"/>
          <w:szCs w:val="22"/>
          <w:lang w:eastAsia="ja-JP"/>
        </w:rPr>
        <w:t xml:space="preserve">, the combination of </w:t>
      </w:r>
      <w:r>
        <w:rPr>
          <w:rFonts w:eastAsia="Cambria" w:cs="Times New Roman"/>
          <w:szCs w:val="22"/>
          <w:lang w:eastAsia="ja-JP"/>
        </w:rPr>
        <w:t>misoprostol</w:t>
      </w:r>
      <w:r w:rsidR="00722CDF" w:rsidRPr="00722CDF">
        <w:rPr>
          <w:rFonts w:eastAsia="Cambria" w:cs="Times New Roman"/>
          <w:szCs w:val="22"/>
          <w:lang w:eastAsia="ja-JP"/>
        </w:rPr>
        <w:t xml:space="preserve"> in a sequential regimen after mifepristone leads to an increase</w:t>
      </w:r>
      <w:r w:rsidR="00B742E7">
        <w:rPr>
          <w:rFonts w:eastAsia="Cambria" w:cs="Times New Roman"/>
          <w:szCs w:val="22"/>
          <w:lang w:eastAsia="ja-JP"/>
        </w:rPr>
        <w:t>d</w:t>
      </w:r>
      <w:r w:rsidR="00722CDF" w:rsidRPr="00722CDF">
        <w:rPr>
          <w:rFonts w:eastAsia="Cambria" w:cs="Times New Roman"/>
          <w:szCs w:val="22"/>
          <w:lang w:eastAsia="ja-JP"/>
        </w:rPr>
        <w:t xml:space="preserve"> success rate and accelerates the expulsion of the conceptus.</w:t>
      </w:r>
    </w:p>
    <w:p w14:paraId="0D615854" w14:textId="77777777" w:rsidR="00324B33" w:rsidRPr="003F31A2" w:rsidRDefault="00324B33" w:rsidP="00324B33">
      <w:pPr>
        <w:pStyle w:val="Heading3"/>
      </w:pPr>
      <w:bookmarkStart w:id="14" w:name="_Toc103679291"/>
      <w:bookmarkStart w:id="15" w:name="_Toc158831608"/>
      <w:r>
        <w:t>Regulatory status</w:t>
      </w:r>
      <w:bookmarkEnd w:id="12"/>
      <w:bookmarkEnd w:id="13"/>
      <w:bookmarkEnd w:id="14"/>
      <w:bookmarkEnd w:id="15"/>
    </w:p>
    <w:p w14:paraId="72C889D6" w14:textId="7E200950" w:rsidR="0017005C" w:rsidRPr="00BD5DBD" w:rsidRDefault="0017005C" w:rsidP="00741AB9">
      <w:pPr>
        <w:pStyle w:val="Heading4"/>
      </w:pPr>
      <w:bookmarkStart w:id="16" w:name="_Toc158831609"/>
      <w:r w:rsidRPr="00BD5DBD">
        <w:t>Australian regulatory</w:t>
      </w:r>
      <w:r>
        <w:t xml:space="preserve"> sta</w:t>
      </w:r>
      <w:r w:rsidR="0025785B">
        <w:t>t</w:t>
      </w:r>
      <w:r>
        <w:t>us</w:t>
      </w:r>
      <w:bookmarkEnd w:id="16"/>
    </w:p>
    <w:p w14:paraId="78AB82FA" w14:textId="2538D7FA" w:rsidR="001E2BE4" w:rsidRPr="001E2BE4" w:rsidRDefault="001E2BE4" w:rsidP="001E2BE4">
      <w:pPr>
        <w:spacing w:before="120" w:line="240" w:lineRule="atLeast"/>
        <w:rPr>
          <w:rFonts w:eastAsia="Cambria" w:cs="Times New Roman"/>
          <w:szCs w:val="22"/>
          <w:lang w:eastAsia="ja-JP"/>
        </w:rPr>
      </w:pPr>
      <w:r w:rsidRPr="001E2BE4">
        <w:rPr>
          <w:rFonts w:eastAsia="Cambria" w:cs="Times New Roman"/>
          <w:szCs w:val="22"/>
          <w:lang w:eastAsia="ja-JP"/>
        </w:rPr>
        <w:t xml:space="preserve">The individual components of MS-2 Step, Mifepristone Linepharma (mifepristone 200 mg tablet) and GyMiso (misoprostol 200 microgram tablet) were </w:t>
      </w:r>
      <w:r w:rsidR="00B742E7">
        <w:rPr>
          <w:rFonts w:eastAsia="Cambria" w:cs="Times New Roman"/>
          <w:szCs w:val="22"/>
          <w:lang w:eastAsia="ja-JP"/>
        </w:rPr>
        <w:t xml:space="preserve">both </w:t>
      </w:r>
      <w:r w:rsidRPr="001E2BE4">
        <w:rPr>
          <w:rFonts w:eastAsia="Cambria" w:cs="Times New Roman"/>
          <w:szCs w:val="22"/>
          <w:lang w:eastAsia="ja-JP"/>
        </w:rPr>
        <w:t xml:space="preserve">registered in Australia on 29 August 2012 for </w:t>
      </w:r>
      <w:r w:rsidR="00B742E7">
        <w:rPr>
          <w:rFonts w:eastAsia="Cambria" w:cs="Times New Roman"/>
          <w:szCs w:val="22"/>
          <w:lang w:eastAsia="ja-JP"/>
        </w:rPr>
        <w:t>the following indications</w:t>
      </w:r>
      <w:r w:rsidRPr="001E2BE4">
        <w:rPr>
          <w:rFonts w:eastAsia="Cambria" w:cs="Times New Roman"/>
          <w:szCs w:val="22"/>
          <w:lang w:eastAsia="ja-JP"/>
        </w:rPr>
        <w:t>:</w:t>
      </w:r>
    </w:p>
    <w:p w14:paraId="66CC9A05" w14:textId="77777777" w:rsidR="001E2BE4" w:rsidRPr="001E2BE4" w:rsidRDefault="001E2BE4" w:rsidP="001E2BE4">
      <w:pPr>
        <w:spacing w:before="120" w:line="240" w:lineRule="atLeast"/>
        <w:rPr>
          <w:rFonts w:eastAsia="Cambria" w:cs="Times New Roman"/>
          <w:szCs w:val="22"/>
          <w:lang w:eastAsia="ja-JP"/>
        </w:rPr>
      </w:pPr>
      <w:r w:rsidRPr="001E2BE4">
        <w:rPr>
          <w:rFonts w:eastAsia="Cambria" w:cs="Times New Roman"/>
          <w:szCs w:val="22"/>
          <w:lang w:eastAsia="ja-JP"/>
        </w:rPr>
        <w:t>Mifepristone Linepharma (AUST R 175671):</w:t>
      </w:r>
    </w:p>
    <w:p w14:paraId="523D8C8E" w14:textId="77777777" w:rsidR="001E2BE4" w:rsidRPr="001E2BE4" w:rsidRDefault="001E2BE4" w:rsidP="00B742E7">
      <w:pPr>
        <w:spacing w:before="120" w:line="240" w:lineRule="atLeast"/>
        <w:ind w:left="720"/>
        <w:rPr>
          <w:rFonts w:eastAsia="Cambria" w:cs="Times New Roman"/>
          <w:i/>
          <w:szCs w:val="22"/>
          <w:lang w:eastAsia="ja-JP"/>
        </w:rPr>
      </w:pPr>
      <w:r w:rsidRPr="001E2BE4">
        <w:rPr>
          <w:rFonts w:eastAsia="Cambria" w:cs="Times New Roman"/>
          <w:i/>
          <w:szCs w:val="22"/>
          <w:lang w:eastAsia="ja-JP"/>
        </w:rPr>
        <w:t>Medical termination of a developing intra-uterine pregnancy. In sequential combination with a prostaglandin analogue up to 49 days of gestation; and preparation for the action of registered prostaglandin analogues that are indicated for the termination of pregnancy for medical reasons beyond the first trimester.</w:t>
      </w:r>
    </w:p>
    <w:p w14:paraId="1E45FC27" w14:textId="77777777" w:rsidR="001E2BE4" w:rsidRPr="001E2BE4" w:rsidRDefault="001E2BE4" w:rsidP="001E2BE4">
      <w:pPr>
        <w:spacing w:before="120" w:line="240" w:lineRule="atLeast"/>
        <w:rPr>
          <w:rFonts w:eastAsia="Cambria" w:cs="Times New Roman"/>
          <w:szCs w:val="22"/>
          <w:lang w:eastAsia="ja-JP"/>
        </w:rPr>
      </w:pPr>
      <w:r w:rsidRPr="001E2BE4">
        <w:rPr>
          <w:rFonts w:eastAsia="Cambria" w:cs="Times New Roman"/>
          <w:szCs w:val="22"/>
          <w:lang w:eastAsia="ja-JP"/>
        </w:rPr>
        <w:t>GyMiso (AUST R 188015):</w:t>
      </w:r>
    </w:p>
    <w:p w14:paraId="7DE73277" w14:textId="77777777" w:rsidR="001E2BE4" w:rsidRPr="001E2BE4" w:rsidRDefault="001E2BE4" w:rsidP="00B742E7">
      <w:pPr>
        <w:spacing w:before="120" w:line="240" w:lineRule="atLeast"/>
        <w:ind w:left="720"/>
        <w:rPr>
          <w:rFonts w:eastAsia="Cambria" w:cs="Times New Roman"/>
          <w:i/>
          <w:iCs/>
          <w:szCs w:val="22"/>
          <w:lang w:eastAsia="ja-JP"/>
        </w:rPr>
      </w:pPr>
      <w:r w:rsidRPr="001E2BE4">
        <w:rPr>
          <w:rFonts w:eastAsia="Cambria" w:cs="Times New Roman"/>
          <w:i/>
          <w:iCs/>
          <w:szCs w:val="22"/>
          <w:lang w:eastAsia="ja-JP"/>
        </w:rPr>
        <w:lastRenderedPageBreak/>
        <w:t>GyMiso is indicated in females of childbearing age for the medical termination of a developing intrauterine pregnancy in sequential combination with a mifepristone 200 mg tablet, up to 49 days of gestation.</w:t>
      </w:r>
    </w:p>
    <w:p w14:paraId="05A7E954" w14:textId="66955244" w:rsidR="00B742E7" w:rsidRPr="00BD5DBD" w:rsidRDefault="00B742E7" w:rsidP="00B742E7">
      <w:pPr>
        <w:rPr>
          <w:szCs w:val="22"/>
        </w:rPr>
      </w:pPr>
      <w:r w:rsidRPr="00BD5DBD">
        <w:rPr>
          <w:szCs w:val="22"/>
        </w:rPr>
        <w:t xml:space="preserve">The </w:t>
      </w:r>
      <w:r>
        <w:rPr>
          <w:szCs w:val="22"/>
        </w:rPr>
        <w:t xml:space="preserve">MS-2 Step </w:t>
      </w:r>
      <w:r w:rsidRPr="001E2BE4">
        <w:rPr>
          <w:rFonts w:eastAsia="Cambria" w:cs="Times New Roman"/>
          <w:szCs w:val="22"/>
          <w:lang w:eastAsia="ja-JP"/>
        </w:rPr>
        <w:t xml:space="preserve">composite pack containing Mifepristone Linepharma (mifepristone) 200 mg tablet and GyMiso (misoprostol) 200 microgram tablets </w:t>
      </w:r>
      <w:r w:rsidRPr="00BD5DBD">
        <w:rPr>
          <w:szCs w:val="22"/>
        </w:rPr>
        <w:t xml:space="preserve">received initial registration </w:t>
      </w:r>
      <w:r>
        <w:rPr>
          <w:szCs w:val="22"/>
        </w:rPr>
        <w:t>in</w:t>
      </w:r>
      <w:r w:rsidRPr="00BD5DBD">
        <w:rPr>
          <w:szCs w:val="22"/>
        </w:rPr>
        <w:t xml:space="preserve"> the </w:t>
      </w:r>
      <w:hyperlink r:id="rId16" w:history="1">
        <w:r w:rsidRPr="00BD5DBD">
          <w:rPr>
            <w:rStyle w:val="Hyperlink"/>
            <w:szCs w:val="22"/>
          </w:rPr>
          <w:t>Australian Register of Therapeutic Goods</w:t>
        </w:r>
      </w:hyperlink>
      <w:r w:rsidRPr="00BD5DBD">
        <w:rPr>
          <w:szCs w:val="22"/>
        </w:rPr>
        <w:t xml:space="preserve"> (</w:t>
      </w:r>
      <w:hyperlink r:id="rId17" w:history="1">
        <w:r w:rsidRPr="00BD5DBD">
          <w:rPr>
            <w:rStyle w:val="Hyperlink"/>
            <w:szCs w:val="22"/>
          </w:rPr>
          <w:t>ARTG</w:t>
        </w:r>
      </w:hyperlink>
      <w:r w:rsidRPr="00BD5DBD">
        <w:rPr>
          <w:szCs w:val="22"/>
        </w:rPr>
        <w:t>) on</w:t>
      </w:r>
      <w:r>
        <w:rPr>
          <w:szCs w:val="22"/>
        </w:rPr>
        <w:t xml:space="preserve"> 4 June 2014 </w:t>
      </w:r>
      <w:r w:rsidRPr="001E2BE4">
        <w:rPr>
          <w:rFonts w:eastAsia="Cambria" w:cs="Times New Roman"/>
          <w:szCs w:val="22"/>
          <w:lang w:eastAsia="ja-JP"/>
        </w:rPr>
        <w:t>(Submission PM-2013-01037-1-5)</w:t>
      </w:r>
      <w:r>
        <w:rPr>
          <w:szCs w:val="22"/>
        </w:rPr>
        <w:t>.</w:t>
      </w:r>
      <w:r w:rsidRPr="00BD5DBD">
        <w:rPr>
          <w:szCs w:val="22"/>
        </w:rPr>
        <w:t xml:space="preserve"> </w:t>
      </w:r>
      <w:r>
        <w:rPr>
          <w:szCs w:val="22"/>
        </w:rPr>
        <w:t>I</w:t>
      </w:r>
      <w:r w:rsidRPr="00BD5DBD">
        <w:rPr>
          <w:szCs w:val="22"/>
        </w:rPr>
        <w:t>t was approved for the following indication:</w:t>
      </w:r>
    </w:p>
    <w:p w14:paraId="15AEED1F" w14:textId="77777777" w:rsidR="00B742E7" w:rsidRPr="00722CDF" w:rsidRDefault="00B742E7" w:rsidP="00B742E7">
      <w:pPr>
        <w:spacing w:before="120" w:line="240" w:lineRule="atLeast"/>
        <w:ind w:left="720"/>
        <w:rPr>
          <w:rFonts w:eastAsia="Cambria" w:cs="Times New Roman"/>
          <w:i/>
          <w:iCs/>
          <w:szCs w:val="22"/>
          <w:lang w:eastAsia="ja-JP"/>
        </w:rPr>
      </w:pPr>
      <w:r w:rsidRPr="00722CDF">
        <w:rPr>
          <w:rFonts w:eastAsia="Cambria" w:cs="Times New Roman"/>
          <w:i/>
          <w:iCs/>
          <w:szCs w:val="22"/>
          <w:lang w:eastAsia="ja-JP"/>
        </w:rPr>
        <w:t xml:space="preserve">MS-2 Step is indicated in females of childbearing age for the medical termination of an intrauterine pregnancy, up to 63 days of gestation. </w:t>
      </w:r>
    </w:p>
    <w:p w14:paraId="72CB7B2D" w14:textId="77777777" w:rsidR="00B742E7" w:rsidRPr="00722CDF" w:rsidRDefault="00B742E7" w:rsidP="00B742E7">
      <w:pPr>
        <w:spacing w:before="120" w:line="240" w:lineRule="atLeast"/>
        <w:ind w:left="720"/>
        <w:rPr>
          <w:rFonts w:eastAsia="Cambria" w:cs="Times New Roman"/>
          <w:i/>
          <w:iCs/>
          <w:szCs w:val="22"/>
          <w:lang w:eastAsia="ja-JP"/>
        </w:rPr>
      </w:pPr>
      <w:r w:rsidRPr="00722CDF">
        <w:rPr>
          <w:rFonts w:eastAsia="Cambria" w:cs="Times New Roman"/>
          <w:i/>
          <w:iCs/>
          <w:szCs w:val="22"/>
          <w:lang w:eastAsia="ja-JP"/>
        </w:rPr>
        <w:t xml:space="preserve">It is recommended that the duration of pregnancy (i.e., up to 63 days gestation) be confirmed by ultrasound. In the event that an ultrasound is not possible, extra caution should be exercised. </w:t>
      </w:r>
    </w:p>
    <w:p w14:paraId="0341610A" w14:textId="77777777" w:rsidR="00B742E7" w:rsidRDefault="00B742E7" w:rsidP="00B742E7">
      <w:pPr>
        <w:spacing w:before="120" w:line="240" w:lineRule="atLeast"/>
        <w:ind w:left="720"/>
        <w:rPr>
          <w:rFonts w:eastAsia="Cambria" w:cs="Times New Roman"/>
          <w:i/>
          <w:iCs/>
          <w:szCs w:val="22"/>
          <w:lang w:eastAsia="ja-JP"/>
        </w:rPr>
      </w:pPr>
      <w:r w:rsidRPr="00722CDF">
        <w:rPr>
          <w:rFonts w:eastAsia="Cambria" w:cs="Times New Roman"/>
          <w:i/>
          <w:iCs/>
          <w:szCs w:val="22"/>
          <w:lang w:eastAsia="ja-JP"/>
        </w:rPr>
        <w:t>Ultrasound is also useful to exclude ectopic pregnancy.</w:t>
      </w:r>
    </w:p>
    <w:p w14:paraId="2987F851" w14:textId="771490B8" w:rsidR="001E2BE4" w:rsidRPr="001E2BE4" w:rsidRDefault="00B742E7" w:rsidP="001E2BE4">
      <w:pPr>
        <w:spacing w:before="120" w:line="240" w:lineRule="atLeast"/>
        <w:rPr>
          <w:rFonts w:eastAsia="Cambria" w:cs="Times New Roman"/>
          <w:szCs w:val="22"/>
          <w:lang w:eastAsia="ja-JP"/>
        </w:rPr>
      </w:pPr>
      <w:r>
        <w:rPr>
          <w:rFonts w:eastAsia="Cambria" w:cs="Times New Roman"/>
          <w:szCs w:val="22"/>
          <w:lang w:eastAsia="ja-JP"/>
        </w:rPr>
        <w:t>T</w:t>
      </w:r>
      <w:r w:rsidR="001E2BE4" w:rsidRPr="001E2BE4">
        <w:rPr>
          <w:rFonts w:eastAsia="Cambria" w:cs="Times New Roman"/>
          <w:szCs w:val="22"/>
          <w:lang w:eastAsia="ja-JP"/>
        </w:rPr>
        <w:t xml:space="preserve">he </w:t>
      </w:r>
      <w:r>
        <w:rPr>
          <w:rFonts w:eastAsia="Cambria" w:cs="Times New Roman"/>
          <w:szCs w:val="22"/>
          <w:lang w:eastAsia="ja-JP"/>
        </w:rPr>
        <w:t xml:space="preserve">gestational limit </w:t>
      </w:r>
      <w:r w:rsidR="001E2BE4" w:rsidRPr="001E2BE4">
        <w:rPr>
          <w:rFonts w:eastAsia="Cambria" w:cs="Times New Roman"/>
          <w:szCs w:val="22"/>
          <w:lang w:eastAsia="ja-JP"/>
        </w:rPr>
        <w:t xml:space="preserve">was </w:t>
      </w:r>
      <w:r>
        <w:rPr>
          <w:rFonts w:eastAsia="Cambria" w:cs="Times New Roman"/>
          <w:szCs w:val="22"/>
          <w:lang w:eastAsia="ja-JP"/>
        </w:rPr>
        <w:t>increased</w:t>
      </w:r>
      <w:r w:rsidRPr="001E2BE4">
        <w:rPr>
          <w:rFonts w:eastAsia="Cambria" w:cs="Times New Roman"/>
          <w:szCs w:val="22"/>
          <w:lang w:eastAsia="ja-JP"/>
        </w:rPr>
        <w:t xml:space="preserve"> </w:t>
      </w:r>
      <w:r>
        <w:rPr>
          <w:rFonts w:eastAsia="Cambria" w:cs="Times New Roman"/>
          <w:szCs w:val="22"/>
          <w:lang w:eastAsia="ja-JP"/>
        </w:rPr>
        <w:t xml:space="preserve">as part of this submission for the MS-2 Step </w:t>
      </w:r>
      <w:r w:rsidR="001E2BE4" w:rsidRPr="001E2BE4">
        <w:rPr>
          <w:rFonts w:eastAsia="Cambria" w:cs="Times New Roman"/>
          <w:szCs w:val="22"/>
          <w:lang w:eastAsia="ja-JP"/>
        </w:rPr>
        <w:t xml:space="preserve">from 49 days </w:t>
      </w:r>
      <w:r>
        <w:rPr>
          <w:rFonts w:eastAsia="Cambria" w:cs="Times New Roman"/>
          <w:szCs w:val="22"/>
          <w:lang w:eastAsia="ja-JP"/>
        </w:rPr>
        <w:t xml:space="preserve">for the individual components, to </w:t>
      </w:r>
      <w:r w:rsidR="001E2BE4" w:rsidRPr="001E2BE4">
        <w:rPr>
          <w:rFonts w:eastAsia="Cambria" w:cs="Times New Roman"/>
          <w:szCs w:val="22"/>
          <w:lang w:eastAsia="ja-JP"/>
        </w:rPr>
        <w:t>up to 63 days gestation</w:t>
      </w:r>
      <w:r w:rsidRPr="00B742E7">
        <w:rPr>
          <w:rFonts w:eastAsia="Cambria" w:cs="Times New Roman"/>
          <w:szCs w:val="22"/>
          <w:lang w:eastAsia="ja-JP"/>
        </w:rPr>
        <w:t xml:space="preserve"> </w:t>
      </w:r>
      <w:r>
        <w:rPr>
          <w:rFonts w:eastAsia="Cambria" w:cs="Times New Roman"/>
          <w:szCs w:val="22"/>
          <w:lang w:eastAsia="ja-JP"/>
        </w:rPr>
        <w:t>for the composite pack</w:t>
      </w:r>
      <w:r w:rsidR="001E2BE4" w:rsidRPr="001E2BE4">
        <w:rPr>
          <w:rFonts w:eastAsia="Cambria" w:cs="Times New Roman"/>
          <w:szCs w:val="22"/>
          <w:lang w:eastAsia="ja-JP"/>
        </w:rPr>
        <w:t xml:space="preserve">. </w:t>
      </w:r>
    </w:p>
    <w:p w14:paraId="2F34593E" w14:textId="0C621BE3" w:rsidR="001E2BE4" w:rsidRPr="00722CDF" w:rsidRDefault="001E2BE4" w:rsidP="00B742E7">
      <w:pPr>
        <w:spacing w:before="120" w:line="240" w:lineRule="atLeast"/>
        <w:rPr>
          <w:rFonts w:eastAsia="Cambria" w:cs="Times New Roman"/>
          <w:i/>
          <w:iCs/>
          <w:szCs w:val="22"/>
          <w:lang w:eastAsia="ja-JP"/>
        </w:rPr>
      </w:pPr>
      <w:r w:rsidRPr="001E2BE4">
        <w:rPr>
          <w:rFonts w:eastAsia="Cambria" w:cs="Times New Roman"/>
          <w:szCs w:val="22"/>
          <w:lang w:eastAsia="ja-JP"/>
        </w:rPr>
        <w:t xml:space="preserve">Following registration of </w:t>
      </w:r>
      <w:r w:rsidR="00B742E7">
        <w:rPr>
          <w:rFonts w:eastAsia="Cambria" w:cs="Times New Roman"/>
          <w:szCs w:val="22"/>
          <w:lang w:eastAsia="ja-JP"/>
        </w:rPr>
        <w:t xml:space="preserve">the </w:t>
      </w:r>
      <w:r w:rsidRPr="001E2BE4">
        <w:rPr>
          <w:rFonts w:eastAsia="Cambria" w:cs="Times New Roman"/>
          <w:szCs w:val="22"/>
          <w:lang w:eastAsia="ja-JP"/>
        </w:rPr>
        <w:t>MS-2 Step composite pack, the Sponsor withdrew the GyMiso mono product from the market</w:t>
      </w:r>
      <w:r w:rsidR="00E50AD7">
        <w:rPr>
          <w:rFonts w:eastAsia="Cambria" w:cs="Times New Roman"/>
          <w:szCs w:val="22"/>
          <w:lang w:eastAsia="ja-JP"/>
        </w:rPr>
        <w:t xml:space="preserve"> </w:t>
      </w:r>
      <w:r w:rsidRPr="001E2BE4">
        <w:rPr>
          <w:rFonts w:eastAsia="Cambria" w:cs="Times New Roman"/>
          <w:szCs w:val="22"/>
          <w:lang w:eastAsia="ja-JP"/>
        </w:rPr>
        <w:t xml:space="preserve">and removed the </w:t>
      </w:r>
      <w:r w:rsidR="00B742E7">
        <w:rPr>
          <w:rFonts w:eastAsia="Cambria" w:cs="Times New Roman"/>
          <w:szCs w:val="22"/>
          <w:lang w:eastAsia="ja-JP"/>
        </w:rPr>
        <w:t xml:space="preserve">early </w:t>
      </w:r>
      <w:r w:rsidR="00B742E7" w:rsidRPr="001E2BE4">
        <w:rPr>
          <w:rFonts w:eastAsia="Cambria" w:cs="Times New Roman"/>
          <w:szCs w:val="22"/>
          <w:lang w:eastAsia="ja-JP"/>
        </w:rPr>
        <w:t xml:space="preserve">termination of pregnancy </w:t>
      </w:r>
      <w:r w:rsidRPr="001E2BE4">
        <w:rPr>
          <w:rFonts w:eastAsia="Cambria" w:cs="Times New Roman"/>
          <w:szCs w:val="22"/>
          <w:lang w:eastAsia="ja-JP"/>
        </w:rPr>
        <w:t xml:space="preserve">indication </w:t>
      </w:r>
      <w:r w:rsidR="00B742E7">
        <w:rPr>
          <w:rFonts w:eastAsia="Cambria" w:cs="Times New Roman"/>
          <w:szCs w:val="22"/>
          <w:lang w:eastAsia="ja-JP"/>
        </w:rPr>
        <w:t>from</w:t>
      </w:r>
      <w:r w:rsidRPr="001E2BE4">
        <w:rPr>
          <w:rFonts w:eastAsia="Cambria" w:cs="Times New Roman"/>
          <w:szCs w:val="22"/>
          <w:lang w:eastAsia="ja-JP"/>
        </w:rPr>
        <w:t xml:space="preserve"> the Mifepristone Linepharma mono product</w:t>
      </w:r>
      <w:r>
        <w:rPr>
          <w:rFonts w:eastAsia="Cambria" w:cs="Times New Roman"/>
          <w:szCs w:val="22"/>
          <w:lang w:eastAsia="ja-JP"/>
        </w:rPr>
        <w:t xml:space="preserve">. </w:t>
      </w:r>
      <w:r w:rsidR="00B742E7">
        <w:rPr>
          <w:rFonts w:eastAsia="Cambria" w:cs="Times New Roman"/>
          <w:szCs w:val="22"/>
          <w:lang w:eastAsia="ja-JP"/>
        </w:rPr>
        <w:t xml:space="preserve">Mifepristone Linepharma is now only registered </w:t>
      </w:r>
      <w:r w:rsidR="00B742E7" w:rsidRPr="00B742E7">
        <w:rPr>
          <w:rFonts w:eastAsia="Cambria" w:cs="Times New Roman"/>
          <w:i/>
          <w:iCs/>
          <w:szCs w:val="22"/>
          <w:lang w:eastAsia="ja-JP"/>
        </w:rPr>
        <w:t>in females of childbearing age for preparation for the action of registered prostaglandin analogues that are indicated for the termination of pregnancy for medical reasons beyond the first trimester</w:t>
      </w:r>
      <w:r w:rsidR="00B742E7">
        <w:rPr>
          <w:rFonts w:eastAsia="Cambria" w:cs="Times New Roman"/>
          <w:szCs w:val="22"/>
          <w:lang w:eastAsia="ja-JP"/>
        </w:rPr>
        <w:t>.</w:t>
      </w:r>
    </w:p>
    <w:p w14:paraId="546C1031" w14:textId="37CE63C6" w:rsidR="0017005C" w:rsidRDefault="0017005C" w:rsidP="0017005C">
      <w:pPr>
        <w:pStyle w:val="Heading4"/>
      </w:pPr>
      <w:bookmarkStart w:id="17" w:name="_Toc158831610"/>
      <w:r>
        <w:t>Foreign</w:t>
      </w:r>
      <w:r w:rsidRPr="00BD5DBD">
        <w:t xml:space="preserve"> regulatory</w:t>
      </w:r>
      <w:r>
        <w:t xml:space="preserve"> status</w:t>
      </w:r>
      <w:bookmarkEnd w:id="17"/>
    </w:p>
    <w:p w14:paraId="78C35722" w14:textId="7C74A0DA" w:rsidR="00563F82" w:rsidRDefault="009D5F25" w:rsidP="001E2BE4">
      <w:pPr>
        <w:spacing w:before="120" w:line="240" w:lineRule="atLeast"/>
        <w:rPr>
          <w:rFonts w:eastAsia="Cambria" w:cs="Times New Roman"/>
          <w:szCs w:val="22"/>
          <w:lang w:eastAsia="ja-JP"/>
        </w:rPr>
      </w:pPr>
      <w:r>
        <w:rPr>
          <w:rFonts w:eastAsia="Cambria" w:cs="Times New Roman"/>
          <w:szCs w:val="22"/>
          <w:lang w:eastAsia="ja-JP"/>
        </w:rPr>
        <w:t xml:space="preserve">As of May 2023, the combination </w:t>
      </w:r>
      <w:r w:rsidR="003A4AA4">
        <w:rPr>
          <w:rFonts w:eastAsia="Cambria" w:cs="Times New Roman"/>
          <w:szCs w:val="22"/>
          <w:lang w:eastAsia="ja-JP"/>
        </w:rPr>
        <w:t>of active ingredients,</w:t>
      </w:r>
      <w:r>
        <w:rPr>
          <w:rFonts w:eastAsia="Cambria" w:cs="Times New Roman"/>
          <w:szCs w:val="22"/>
          <w:lang w:eastAsia="ja-JP"/>
        </w:rPr>
        <w:t xml:space="preserve"> m</w:t>
      </w:r>
      <w:r w:rsidRPr="00B742E7">
        <w:rPr>
          <w:rFonts w:eastAsia="Cambria" w:cs="Times New Roman"/>
          <w:szCs w:val="22"/>
          <w:lang w:eastAsia="ja-JP"/>
        </w:rPr>
        <w:t xml:space="preserve">ifepristone </w:t>
      </w:r>
      <w:r w:rsidR="00B742E7">
        <w:rPr>
          <w:rFonts w:eastAsia="Cambria" w:cs="Times New Roman"/>
          <w:szCs w:val="22"/>
          <w:lang w:eastAsia="ja-JP"/>
        </w:rPr>
        <w:t>and</w:t>
      </w:r>
      <w:r w:rsidRPr="00B742E7">
        <w:rPr>
          <w:rFonts w:eastAsia="Cambria" w:cs="Times New Roman"/>
          <w:szCs w:val="22"/>
          <w:lang w:eastAsia="ja-JP"/>
        </w:rPr>
        <w:t xml:space="preserve"> misoprostol</w:t>
      </w:r>
      <w:r>
        <w:rPr>
          <w:rFonts w:eastAsia="Cambria" w:cs="Times New Roman"/>
          <w:szCs w:val="22"/>
          <w:lang w:eastAsia="ja-JP"/>
        </w:rPr>
        <w:t xml:space="preserve"> is approved for medical termination of pregnancy in over 96 countries, noting there are varying controls around </w:t>
      </w:r>
      <w:r w:rsidR="00563F82">
        <w:rPr>
          <w:rFonts w:eastAsia="Cambria" w:cs="Times New Roman"/>
          <w:szCs w:val="22"/>
          <w:lang w:eastAsia="ja-JP"/>
        </w:rPr>
        <w:t xml:space="preserve">access and </w:t>
      </w:r>
      <w:r>
        <w:rPr>
          <w:rFonts w:eastAsia="Cambria" w:cs="Times New Roman"/>
          <w:szCs w:val="22"/>
          <w:lang w:eastAsia="ja-JP"/>
        </w:rPr>
        <w:t xml:space="preserve">prescribing between jurisdictions. </w:t>
      </w:r>
    </w:p>
    <w:p w14:paraId="51153B0F" w14:textId="6C93D8C5" w:rsidR="001E2BE4" w:rsidRPr="001E2BE4" w:rsidRDefault="001E2BE4" w:rsidP="001E2BE4">
      <w:pPr>
        <w:spacing w:before="120" w:line="240" w:lineRule="atLeast"/>
        <w:rPr>
          <w:rFonts w:eastAsia="Cambria" w:cs="Times New Roman"/>
          <w:szCs w:val="22"/>
          <w:lang w:eastAsia="ja-JP"/>
        </w:rPr>
      </w:pPr>
      <w:r w:rsidRPr="001E2BE4">
        <w:rPr>
          <w:rFonts w:eastAsia="Cambria" w:cs="Times New Roman"/>
          <w:szCs w:val="22"/>
          <w:lang w:eastAsia="ja-JP"/>
        </w:rPr>
        <w:t xml:space="preserve">MS-2 Step </w:t>
      </w:r>
      <w:r w:rsidR="00B742E7">
        <w:rPr>
          <w:rFonts w:eastAsia="Cambria" w:cs="Times New Roman"/>
          <w:szCs w:val="22"/>
          <w:lang w:eastAsia="ja-JP"/>
        </w:rPr>
        <w:t>composite</w:t>
      </w:r>
      <w:r w:rsidR="00B742E7" w:rsidRPr="001E2BE4">
        <w:rPr>
          <w:rFonts w:eastAsia="Cambria" w:cs="Times New Roman"/>
          <w:szCs w:val="22"/>
          <w:lang w:eastAsia="ja-JP"/>
        </w:rPr>
        <w:t xml:space="preserve"> </w:t>
      </w:r>
      <w:r w:rsidRPr="001E2BE4">
        <w:rPr>
          <w:rFonts w:eastAsia="Cambria" w:cs="Times New Roman"/>
          <w:szCs w:val="22"/>
          <w:lang w:eastAsia="ja-JP"/>
        </w:rPr>
        <w:t xml:space="preserve">pack </w:t>
      </w:r>
      <w:r w:rsidR="00B742E7">
        <w:rPr>
          <w:rFonts w:eastAsia="Cambria" w:cs="Times New Roman"/>
          <w:szCs w:val="22"/>
          <w:lang w:eastAsia="ja-JP"/>
        </w:rPr>
        <w:t xml:space="preserve">(sponsored by MS Health) </w:t>
      </w:r>
      <w:r w:rsidR="009D5F25">
        <w:rPr>
          <w:rFonts w:eastAsia="Cambria" w:cs="Times New Roman"/>
          <w:szCs w:val="22"/>
          <w:lang w:eastAsia="ja-JP"/>
        </w:rPr>
        <w:t xml:space="preserve">is currently </w:t>
      </w:r>
      <w:r w:rsidR="00563F82">
        <w:rPr>
          <w:rFonts w:eastAsia="Cambria" w:cs="Times New Roman"/>
          <w:szCs w:val="22"/>
          <w:lang w:eastAsia="ja-JP"/>
        </w:rPr>
        <w:t xml:space="preserve">only registered for use in Australia. </w:t>
      </w:r>
      <w:r w:rsidR="00B742E7">
        <w:rPr>
          <w:rFonts w:eastAsia="Cambria" w:cs="Times New Roman"/>
          <w:szCs w:val="22"/>
          <w:lang w:eastAsia="ja-JP"/>
        </w:rPr>
        <w:t>However</w:t>
      </w:r>
      <w:r w:rsidR="00563F82">
        <w:rPr>
          <w:rFonts w:eastAsia="Cambria" w:cs="Times New Roman"/>
          <w:szCs w:val="22"/>
          <w:lang w:eastAsia="ja-JP"/>
        </w:rPr>
        <w:t>, t</w:t>
      </w:r>
      <w:r w:rsidRPr="001E2BE4">
        <w:rPr>
          <w:rFonts w:eastAsia="Cambria" w:cs="Times New Roman"/>
          <w:szCs w:val="22"/>
          <w:lang w:eastAsia="ja-JP"/>
        </w:rPr>
        <w:t>he</w:t>
      </w:r>
      <w:r w:rsidR="009E0782" w:rsidRPr="001E2BE4">
        <w:rPr>
          <w:rFonts w:eastAsia="Cambria" w:cs="Times New Roman"/>
          <w:szCs w:val="22"/>
          <w:lang w:eastAsia="ja-JP"/>
        </w:rPr>
        <w:t xml:space="preserve"> </w:t>
      </w:r>
      <w:r w:rsidRPr="001E2BE4">
        <w:rPr>
          <w:rFonts w:eastAsia="Cambria" w:cs="Times New Roman"/>
          <w:szCs w:val="22"/>
          <w:lang w:eastAsia="ja-JP"/>
        </w:rPr>
        <w:t xml:space="preserve">Mifegymiso </w:t>
      </w:r>
      <w:r w:rsidR="00B742E7">
        <w:rPr>
          <w:rFonts w:eastAsia="Cambria" w:cs="Times New Roman"/>
          <w:szCs w:val="22"/>
          <w:lang w:eastAsia="ja-JP"/>
        </w:rPr>
        <w:t xml:space="preserve">composite pack </w:t>
      </w:r>
      <w:r w:rsidRPr="001E2BE4">
        <w:rPr>
          <w:rFonts w:eastAsia="Cambria" w:cs="Times New Roman"/>
          <w:szCs w:val="22"/>
          <w:lang w:eastAsia="ja-JP"/>
        </w:rPr>
        <w:t>(mifepristone 200 mg tablet and misoprostol 200 microgram tablet</w:t>
      </w:r>
      <w:r w:rsidR="00B742E7">
        <w:rPr>
          <w:rFonts w:eastAsia="Cambria" w:cs="Times New Roman"/>
          <w:szCs w:val="22"/>
          <w:lang w:eastAsia="ja-JP"/>
        </w:rPr>
        <w:t>s</w:t>
      </w:r>
      <w:r w:rsidRPr="001E2BE4">
        <w:rPr>
          <w:rFonts w:eastAsia="Cambria" w:cs="Times New Roman"/>
          <w:szCs w:val="22"/>
          <w:lang w:eastAsia="ja-JP"/>
        </w:rPr>
        <w:t>, Linepharma International Limited) is approved in Canada for a comparable indication to MS-2 Step composite pack:</w:t>
      </w:r>
    </w:p>
    <w:p w14:paraId="08D4CCF0" w14:textId="4E9B887F" w:rsidR="001E2BE4" w:rsidRPr="001E2BE4" w:rsidRDefault="00B742E7" w:rsidP="00CE2477">
      <w:pPr>
        <w:spacing w:before="120" w:line="240" w:lineRule="atLeast"/>
        <w:ind w:left="284"/>
        <w:rPr>
          <w:rFonts w:eastAsia="Cambria" w:cs="Times New Roman"/>
          <w:i/>
          <w:iCs/>
          <w:szCs w:val="22"/>
          <w:lang w:eastAsia="ja-JP"/>
        </w:rPr>
      </w:pPr>
      <w:r>
        <w:rPr>
          <w:rFonts w:eastAsia="Cambria" w:cs="Times New Roman"/>
          <w:i/>
          <w:iCs/>
          <w:szCs w:val="22"/>
          <w:lang w:eastAsia="ja-JP"/>
        </w:rPr>
        <w:t>M</w:t>
      </w:r>
      <w:r w:rsidR="001E2BE4" w:rsidRPr="001E2BE4">
        <w:rPr>
          <w:rFonts w:eastAsia="Cambria" w:cs="Times New Roman"/>
          <w:i/>
          <w:iCs/>
          <w:szCs w:val="22"/>
          <w:lang w:eastAsia="ja-JP"/>
        </w:rPr>
        <w:t xml:space="preserve">edical termination of a developing intra-uterine pregnancy with a gestational age up to 63 days as measured from the first day of the Last Menstrual Period (LMP) in a presumed 28-day cycle. </w:t>
      </w:r>
    </w:p>
    <w:p w14:paraId="66C6C5E9" w14:textId="6401F010" w:rsidR="001E2BE4" w:rsidRPr="001E2BE4" w:rsidRDefault="001E2BE4" w:rsidP="00BD4090">
      <w:pPr>
        <w:spacing w:before="120" w:line="240" w:lineRule="atLeast"/>
        <w:ind w:left="284"/>
        <w:rPr>
          <w:rFonts w:eastAsia="Cambria" w:cs="Times New Roman"/>
          <w:i/>
          <w:iCs/>
          <w:szCs w:val="22"/>
          <w:lang w:eastAsia="ja-JP"/>
        </w:rPr>
      </w:pPr>
      <w:r w:rsidRPr="001E2BE4">
        <w:rPr>
          <w:rFonts w:eastAsia="Cambria" w:cs="Times New Roman"/>
          <w:i/>
          <w:iCs/>
          <w:szCs w:val="22"/>
          <w:lang w:eastAsia="ja-JP"/>
        </w:rPr>
        <w:t>Mifegymiso is not intended for routine use as a contraceptive.</w:t>
      </w:r>
    </w:p>
    <w:p w14:paraId="04A7E773" w14:textId="49E322A9" w:rsidR="001E2BE4" w:rsidRPr="00B742E7" w:rsidRDefault="00B742E7" w:rsidP="00B742E7">
      <w:pPr>
        <w:spacing w:before="120" w:line="240" w:lineRule="atLeast"/>
        <w:rPr>
          <w:rFonts w:eastAsia="Cambria" w:cs="Times New Roman"/>
          <w:i/>
          <w:iCs/>
          <w:szCs w:val="22"/>
          <w:lang w:eastAsia="ja-JP"/>
        </w:rPr>
      </w:pPr>
      <w:r>
        <w:rPr>
          <w:rFonts w:eastAsia="Cambria" w:cs="Times New Roman"/>
          <w:szCs w:val="22"/>
        </w:rPr>
        <w:t>T</w:t>
      </w:r>
      <w:r w:rsidRPr="00B742E7">
        <w:rPr>
          <w:rFonts w:eastAsia="Cambria" w:cs="Times New Roman"/>
          <w:szCs w:val="22"/>
        </w:rPr>
        <w:t>he Health Canada Product Monograph state</w:t>
      </w:r>
      <w:r>
        <w:rPr>
          <w:rFonts w:eastAsia="Cambria" w:cs="Times New Roman"/>
          <w:szCs w:val="22"/>
        </w:rPr>
        <w:t>s in Section 4.1 Dosing Considerations</w:t>
      </w:r>
      <w:r w:rsidRPr="00B742E7">
        <w:rPr>
          <w:rFonts w:eastAsia="Cambria" w:cs="Times New Roman"/>
          <w:szCs w:val="22"/>
        </w:rPr>
        <w:t xml:space="preserve"> that</w:t>
      </w:r>
      <w:r w:rsidRPr="00B742E7">
        <w:rPr>
          <w:rFonts w:eastAsia="Cambria" w:cs="Times New Roman"/>
          <w:i/>
          <w:iCs/>
          <w:szCs w:val="22"/>
        </w:rPr>
        <w:t xml:space="preserve"> </w:t>
      </w:r>
      <w:r w:rsidR="001E2BE4" w:rsidRPr="00B742E7">
        <w:rPr>
          <w:rFonts w:eastAsia="Cambria" w:cs="Times New Roman"/>
          <w:i/>
          <w:iCs/>
          <w:szCs w:val="22"/>
        </w:rPr>
        <w:t>Mifegymiso should be prescribed by health professionals with adequate knowledge of medical abortion and/or who have completed a Mifegymiso education program.</w:t>
      </w:r>
    </w:p>
    <w:p w14:paraId="6D92589C" w14:textId="09786CEF" w:rsidR="00324B33" w:rsidRDefault="00324B33" w:rsidP="00324B33">
      <w:pPr>
        <w:pStyle w:val="Heading2"/>
      </w:pPr>
      <w:bookmarkStart w:id="18" w:name="_Toc504480011"/>
      <w:bookmarkStart w:id="19" w:name="_Toc103679293"/>
      <w:bookmarkStart w:id="20" w:name="_Toc158831611"/>
      <w:r>
        <w:t>Registration timeline</w:t>
      </w:r>
      <w:bookmarkEnd w:id="18"/>
      <w:bookmarkEnd w:id="19"/>
      <w:bookmarkEnd w:id="20"/>
    </w:p>
    <w:p w14:paraId="225E3D87" w14:textId="4799631E" w:rsidR="00324B33" w:rsidRPr="00BD5DBD" w:rsidRDefault="00324B33" w:rsidP="00324B33">
      <w:pPr>
        <w:rPr>
          <w:szCs w:val="22"/>
        </w:rPr>
      </w:pPr>
      <w:r w:rsidRPr="00BD5DBD">
        <w:rPr>
          <w:szCs w:val="22"/>
        </w:rPr>
        <w:t xml:space="preserve">The following table </w:t>
      </w:r>
      <w:r w:rsidR="00B742E7">
        <w:rPr>
          <w:szCs w:val="22"/>
        </w:rPr>
        <w:t>lists</w:t>
      </w:r>
      <w:r w:rsidR="00B742E7" w:rsidRPr="00BD5DBD">
        <w:rPr>
          <w:szCs w:val="22"/>
        </w:rPr>
        <w:t xml:space="preserve"> </w:t>
      </w:r>
      <w:r w:rsidRPr="00BD5DBD">
        <w:rPr>
          <w:szCs w:val="22"/>
        </w:rPr>
        <w:t>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18" w:history="1">
        <w:r w:rsidRPr="00BD5DBD">
          <w:rPr>
            <w:rStyle w:val="Hyperlink"/>
            <w:szCs w:val="22"/>
          </w:rPr>
          <w:t>standard prescription medicines registration process</w:t>
        </w:r>
      </w:hyperlink>
      <w:r w:rsidRPr="00BD5DBD">
        <w:rPr>
          <w:szCs w:val="22"/>
        </w:rPr>
        <w:t>.</w:t>
      </w:r>
    </w:p>
    <w:p w14:paraId="44628C5F" w14:textId="535CD594" w:rsidR="00324B33" w:rsidRPr="00B742E7" w:rsidRDefault="00324B33" w:rsidP="002C1232">
      <w:pPr>
        <w:pStyle w:val="TableTitle"/>
        <w:rPr>
          <w:b w:val="0"/>
          <w:bCs/>
          <w:sz w:val="20"/>
          <w:szCs w:val="20"/>
        </w:rPr>
      </w:pPr>
      <w:r w:rsidRPr="00B742E7">
        <w:rPr>
          <w:sz w:val="20"/>
          <w:szCs w:val="20"/>
        </w:rPr>
        <w:t xml:space="preserve">Table </w:t>
      </w:r>
      <w:r w:rsidR="00BD4090" w:rsidRPr="00B742E7">
        <w:rPr>
          <w:sz w:val="20"/>
          <w:szCs w:val="20"/>
        </w:rPr>
        <w:t>1</w:t>
      </w:r>
      <w:r w:rsidRPr="00B742E7">
        <w:rPr>
          <w:sz w:val="20"/>
          <w:szCs w:val="20"/>
        </w:rPr>
        <w:t xml:space="preserve">: </w:t>
      </w:r>
      <w:r w:rsidRPr="00B742E7">
        <w:rPr>
          <w:b w:val="0"/>
          <w:bCs/>
          <w:sz w:val="20"/>
          <w:szCs w:val="20"/>
        </w:rPr>
        <w:t xml:space="preserve">Timeline for Submission </w:t>
      </w:r>
      <w:r w:rsidR="00A96135" w:rsidRPr="00B742E7">
        <w:rPr>
          <w:b w:val="0"/>
          <w:bCs/>
          <w:sz w:val="20"/>
          <w:szCs w:val="20"/>
        </w:rPr>
        <w:t>PM-2022-05475-1-5</w:t>
      </w:r>
    </w:p>
    <w:tbl>
      <w:tblPr>
        <w:tblStyle w:val="TableTGAblue2023"/>
        <w:tblW w:w="8642" w:type="dxa"/>
        <w:tblLook w:val="04A0" w:firstRow="1" w:lastRow="0" w:firstColumn="1" w:lastColumn="0" w:noHBand="0" w:noVBand="1"/>
      </w:tblPr>
      <w:tblGrid>
        <w:gridCol w:w="6516"/>
        <w:gridCol w:w="2126"/>
      </w:tblGrid>
      <w:tr w:rsidR="00324B33" w:rsidRPr="00D01DDB" w14:paraId="6C59BE9C" w14:textId="77777777" w:rsidTr="008C6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6D80E78" w14:textId="3EC0CCAF" w:rsidR="00324B33" w:rsidRPr="00D01DDB" w:rsidRDefault="00324B33" w:rsidP="00324B33">
            <w:pPr>
              <w:rPr>
                <w:szCs w:val="22"/>
              </w:rPr>
            </w:pPr>
            <w:r w:rsidRPr="00D01DDB">
              <w:rPr>
                <w:szCs w:val="22"/>
              </w:rPr>
              <w:t>Description</w:t>
            </w:r>
          </w:p>
        </w:tc>
        <w:tc>
          <w:tcPr>
            <w:tcW w:w="2126"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8C64AE">
        <w:tc>
          <w:tcPr>
            <w:cnfStyle w:val="001000000000" w:firstRow="0" w:lastRow="0" w:firstColumn="1" w:lastColumn="0" w:oddVBand="0" w:evenVBand="0" w:oddHBand="0" w:evenHBand="0" w:firstRowFirstColumn="0" w:firstRowLastColumn="0" w:lastRowFirstColumn="0" w:lastRowLastColumn="0"/>
            <w:tcW w:w="6516" w:type="dxa"/>
          </w:tcPr>
          <w:p w14:paraId="759D2A12" w14:textId="0D705F83" w:rsidR="00324B33" w:rsidRPr="00E679D1" w:rsidRDefault="00324B33" w:rsidP="00E679D1">
            <w:r w:rsidRPr="00E679D1">
              <w:t>Submission dossier accepted and first round evaluation commenced</w:t>
            </w:r>
          </w:p>
        </w:tc>
        <w:tc>
          <w:tcPr>
            <w:tcW w:w="2126" w:type="dxa"/>
          </w:tcPr>
          <w:p w14:paraId="2963D9D8" w14:textId="36273479" w:rsidR="00324B33" w:rsidRPr="00D01DDB" w:rsidRDefault="00F855B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31 Jan 2023</w:t>
            </w:r>
          </w:p>
        </w:tc>
      </w:tr>
      <w:tr w:rsidR="00324B33" w:rsidRPr="00D01DDB" w14:paraId="53437815" w14:textId="77777777" w:rsidTr="008C64AE">
        <w:tc>
          <w:tcPr>
            <w:cnfStyle w:val="001000000000" w:firstRow="0" w:lastRow="0" w:firstColumn="1" w:lastColumn="0" w:oddVBand="0" w:evenVBand="0" w:oddHBand="0" w:evenHBand="0" w:firstRowFirstColumn="0" w:firstRowLastColumn="0" w:lastRowFirstColumn="0" w:lastRowLastColumn="0"/>
            <w:tcW w:w="6516" w:type="dxa"/>
          </w:tcPr>
          <w:p w14:paraId="4C037D4E" w14:textId="2B0CE255" w:rsidR="00324B33" w:rsidRPr="00E679D1" w:rsidRDefault="00324B33" w:rsidP="00E679D1">
            <w:r w:rsidRPr="00E679D1">
              <w:lastRenderedPageBreak/>
              <w:t>First round evaluation completed</w:t>
            </w:r>
          </w:p>
        </w:tc>
        <w:tc>
          <w:tcPr>
            <w:tcW w:w="2126" w:type="dxa"/>
          </w:tcPr>
          <w:p w14:paraId="3CEAFAAB" w14:textId="38A95D3F" w:rsidR="00324B33" w:rsidRPr="00D01DDB" w:rsidRDefault="001E2BE4" w:rsidP="00324B33">
            <w:pPr>
              <w:cnfStyle w:val="000000000000" w:firstRow="0" w:lastRow="0" w:firstColumn="0" w:lastColumn="0" w:oddVBand="0" w:evenVBand="0" w:oddHBand="0" w:evenHBand="0" w:firstRowFirstColumn="0" w:firstRowLastColumn="0" w:lastRowFirstColumn="0" w:lastRowLastColumn="0"/>
              <w:rPr>
                <w:szCs w:val="22"/>
              </w:rPr>
            </w:pPr>
            <w:r w:rsidRPr="001E2BE4">
              <w:rPr>
                <w:szCs w:val="22"/>
              </w:rPr>
              <w:t>9 Mar 2023</w:t>
            </w:r>
          </w:p>
        </w:tc>
      </w:tr>
      <w:tr w:rsidR="00324B33" w:rsidRPr="00D01DDB" w14:paraId="767E33A4" w14:textId="77777777" w:rsidTr="008C64AE">
        <w:tc>
          <w:tcPr>
            <w:cnfStyle w:val="001000000000" w:firstRow="0" w:lastRow="0" w:firstColumn="1" w:lastColumn="0" w:oddVBand="0" w:evenVBand="0" w:oddHBand="0" w:evenHBand="0" w:firstRowFirstColumn="0" w:firstRowLastColumn="0" w:lastRowFirstColumn="0" w:lastRowLastColumn="0"/>
            <w:tcW w:w="6516" w:type="dxa"/>
          </w:tcPr>
          <w:p w14:paraId="4AFC5B50" w14:textId="2BCC6A3E" w:rsidR="00324B33" w:rsidRPr="00E679D1" w:rsidRDefault="00324B33" w:rsidP="00E679D1">
            <w:r w:rsidRPr="00E679D1">
              <w:t>Second round evaluation completed</w:t>
            </w:r>
          </w:p>
        </w:tc>
        <w:tc>
          <w:tcPr>
            <w:tcW w:w="2126" w:type="dxa"/>
          </w:tcPr>
          <w:p w14:paraId="4E47DF62" w14:textId="0AB01A9A" w:rsidR="00324B33" w:rsidRPr="00D01DDB" w:rsidRDefault="001E2BE4" w:rsidP="001E2BE4">
            <w:pPr>
              <w:cnfStyle w:val="000000000000" w:firstRow="0" w:lastRow="0" w:firstColumn="0" w:lastColumn="0" w:oddVBand="0" w:evenVBand="0" w:oddHBand="0" w:evenHBand="0" w:firstRowFirstColumn="0" w:firstRowLastColumn="0" w:lastRowFirstColumn="0" w:lastRowLastColumn="0"/>
              <w:rPr>
                <w:szCs w:val="22"/>
              </w:rPr>
            </w:pPr>
            <w:r w:rsidRPr="001E2BE4">
              <w:rPr>
                <w:szCs w:val="22"/>
              </w:rPr>
              <w:t>17 May 2023</w:t>
            </w:r>
          </w:p>
        </w:tc>
      </w:tr>
      <w:tr w:rsidR="00324B33" w:rsidRPr="00D01DDB" w14:paraId="6E5D32FE" w14:textId="77777777" w:rsidTr="008C64AE">
        <w:tc>
          <w:tcPr>
            <w:cnfStyle w:val="001000000000" w:firstRow="0" w:lastRow="0" w:firstColumn="1" w:lastColumn="0" w:oddVBand="0" w:evenVBand="0" w:oddHBand="0" w:evenHBand="0" w:firstRowFirstColumn="0" w:firstRowLastColumn="0" w:lastRowFirstColumn="0" w:lastRowLastColumn="0"/>
            <w:tcW w:w="6516" w:type="dxa"/>
          </w:tcPr>
          <w:p w14:paraId="4E95C44C" w14:textId="7A91C710" w:rsidR="00324B33" w:rsidRPr="00E679D1" w:rsidRDefault="00324B33" w:rsidP="00E679D1">
            <w:r w:rsidRPr="00E679D1">
              <w:t>Registration decision (Outcome)</w:t>
            </w:r>
          </w:p>
        </w:tc>
        <w:tc>
          <w:tcPr>
            <w:tcW w:w="2126" w:type="dxa"/>
          </w:tcPr>
          <w:p w14:paraId="62987ABD" w14:textId="1EFE21AA" w:rsidR="00324B33" w:rsidRPr="00D01DDB" w:rsidRDefault="001E2BE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28 June 2023</w:t>
            </w:r>
          </w:p>
        </w:tc>
      </w:tr>
      <w:tr w:rsidR="00324B33" w:rsidRPr="00D01DDB" w14:paraId="56D922E2" w14:textId="77777777" w:rsidTr="008C64AE">
        <w:tc>
          <w:tcPr>
            <w:cnfStyle w:val="001000000000" w:firstRow="0" w:lastRow="0" w:firstColumn="1" w:lastColumn="0" w:oddVBand="0" w:evenVBand="0" w:oddHBand="0" w:evenHBand="0" w:firstRowFirstColumn="0" w:firstRowLastColumn="0" w:lastRowFirstColumn="0" w:lastRowLastColumn="0"/>
            <w:tcW w:w="6516" w:type="dxa"/>
          </w:tcPr>
          <w:p w14:paraId="787FD8DD" w14:textId="0E0CF97F" w:rsidR="00324B33" w:rsidRPr="00E679D1" w:rsidRDefault="00324B33" w:rsidP="00E679D1">
            <w:r w:rsidRPr="00E679D1">
              <w:t>Number of working days from submission dossier acceptance to registration decision*</w:t>
            </w:r>
          </w:p>
        </w:tc>
        <w:tc>
          <w:tcPr>
            <w:tcW w:w="2126" w:type="dxa"/>
          </w:tcPr>
          <w:p w14:paraId="5BAF9FA1" w14:textId="482F77E1" w:rsidR="00324B33" w:rsidRPr="00D01DDB" w:rsidRDefault="00BC4501"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103</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591025A9" w14:textId="27112FF3" w:rsidR="0047286C" w:rsidRPr="0047286C" w:rsidRDefault="00C22214" w:rsidP="0047286C">
      <w:pPr>
        <w:pStyle w:val="Heading2"/>
      </w:pPr>
      <w:bookmarkStart w:id="21" w:name="_Toc196046504"/>
      <w:bookmarkStart w:id="22" w:name="_Toc247691527"/>
      <w:bookmarkStart w:id="23" w:name="_Toc314842510"/>
      <w:bookmarkStart w:id="24" w:name="_Toc103679294"/>
      <w:bookmarkStart w:id="25" w:name="_Toc158831612"/>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1"/>
      <w:bookmarkEnd w:id="22"/>
      <w:bookmarkEnd w:id="23"/>
      <w:bookmarkEnd w:id="24"/>
      <w:bookmarkEnd w:id="25"/>
    </w:p>
    <w:p w14:paraId="5CA587B7" w14:textId="18CD956D" w:rsidR="00B742E7" w:rsidRPr="00B742E7" w:rsidRDefault="00E50AD7" w:rsidP="00E50AD7">
      <w:pPr>
        <w:rPr>
          <w:szCs w:val="22"/>
        </w:rPr>
      </w:pPr>
      <w:bookmarkStart w:id="26" w:name="_Toc247691528"/>
      <w:bookmarkStart w:id="27" w:name="_Toc314842511"/>
      <w:r w:rsidRPr="00B742E7">
        <w:rPr>
          <w:szCs w:val="22"/>
        </w:rPr>
        <w:t xml:space="preserve">The </w:t>
      </w:r>
      <w:r w:rsidR="00B742E7" w:rsidRPr="00B742E7">
        <w:rPr>
          <w:szCs w:val="22"/>
        </w:rPr>
        <w:t xml:space="preserve">Sponsor </w:t>
      </w:r>
      <w:r w:rsidRPr="00B742E7">
        <w:rPr>
          <w:szCs w:val="22"/>
        </w:rPr>
        <w:t xml:space="preserve">provided </w:t>
      </w:r>
      <w:r w:rsidR="00B742E7" w:rsidRPr="00B742E7">
        <w:rPr>
          <w:szCs w:val="22"/>
        </w:rPr>
        <w:t xml:space="preserve">evidence from 3 studies </w:t>
      </w:r>
      <w:r w:rsidR="00B742E7">
        <w:rPr>
          <w:szCs w:val="22"/>
        </w:rPr>
        <w:t>comparing provision of early MT</w:t>
      </w:r>
      <w:r w:rsidR="00BF003B">
        <w:rPr>
          <w:szCs w:val="22"/>
        </w:rPr>
        <w:t>o</w:t>
      </w:r>
      <w:r w:rsidR="00B742E7">
        <w:rPr>
          <w:szCs w:val="22"/>
        </w:rPr>
        <w:t xml:space="preserve">P by doctors and midlevel providers (MLPs; nurses and midwives and allopathic and ayuverdic physicians with appropriate training) </w:t>
      </w:r>
      <w:r w:rsidRPr="00B742E7">
        <w:rPr>
          <w:szCs w:val="22"/>
        </w:rPr>
        <w:t>to support the proposed change</w:t>
      </w:r>
      <w:r w:rsidR="000443C2" w:rsidRPr="00B742E7">
        <w:rPr>
          <w:szCs w:val="22"/>
        </w:rPr>
        <w:t>s</w:t>
      </w:r>
      <w:r w:rsidR="00B742E7" w:rsidRPr="00B742E7">
        <w:rPr>
          <w:szCs w:val="22"/>
        </w:rPr>
        <w:t xml:space="preserve"> in this submission:</w:t>
      </w:r>
    </w:p>
    <w:p w14:paraId="2742BCE0" w14:textId="11FB2125" w:rsidR="00B742E7" w:rsidRDefault="00B742E7" w:rsidP="00B742E7">
      <w:pPr>
        <w:pStyle w:val="ListParagraph"/>
        <w:numPr>
          <w:ilvl w:val="0"/>
          <w:numId w:val="15"/>
        </w:numPr>
        <w:rPr>
          <w:rFonts w:ascii="Cambria" w:hAnsi="Cambria"/>
          <w:sz w:val="22"/>
          <w:szCs w:val="22"/>
        </w:rPr>
      </w:pPr>
      <w:r w:rsidRPr="00B742E7">
        <w:rPr>
          <w:rFonts w:ascii="Cambria" w:hAnsi="Cambria"/>
          <w:sz w:val="22"/>
          <w:szCs w:val="22"/>
        </w:rPr>
        <w:t xml:space="preserve">Kopp Kallner </w:t>
      </w:r>
      <w:r w:rsidRPr="00B742E7">
        <w:rPr>
          <w:rFonts w:ascii="Cambria" w:hAnsi="Cambria"/>
          <w:i/>
          <w:iCs/>
          <w:sz w:val="22"/>
          <w:szCs w:val="22"/>
        </w:rPr>
        <w:t>et al</w:t>
      </w:r>
      <w:r>
        <w:rPr>
          <w:rFonts w:ascii="Cambria" w:hAnsi="Cambria"/>
          <w:i/>
          <w:iCs/>
          <w:sz w:val="22"/>
          <w:szCs w:val="22"/>
        </w:rPr>
        <w:t>.</w:t>
      </w:r>
      <w:r w:rsidRPr="00B742E7">
        <w:rPr>
          <w:rFonts w:ascii="Cambria" w:hAnsi="Cambria"/>
          <w:i/>
          <w:iCs/>
          <w:sz w:val="22"/>
          <w:szCs w:val="22"/>
        </w:rPr>
        <w:t xml:space="preserve"> </w:t>
      </w:r>
      <w:r>
        <w:rPr>
          <w:rFonts w:ascii="Cambria" w:hAnsi="Cambria"/>
          <w:i/>
          <w:iCs/>
          <w:sz w:val="22"/>
          <w:szCs w:val="22"/>
        </w:rPr>
        <w:t>–</w:t>
      </w:r>
      <w:r w:rsidRPr="00B742E7">
        <w:rPr>
          <w:rFonts w:ascii="Cambria" w:hAnsi="Cambria"/>
          <w:i/>
          <w:iCs/>
          <w:sz w:val="22"/>
          <w:szCs w:val="22"/>
        </w:rPr>
        <w:t xml:space="preserve"> </w:t>
      </w:r>
      <w:r>
        <w:rPr>
          <w:rFonts w:ascii="Cambria" w:hAnsi="Cambria"/>
          <w:sz w:val="22"/>
          <w:szCs w:val="22"/>
        </w:rPr>
        <w:t>1180 women receiving MTOP up to 63 days (9 weeks) gestation in a high-resource setting with ultrasound dating of pregnancy (Sweden)</w:t>
      </w:r>
      <w:r w:rsidRPr="00B742E7">
        <w:rPr>
          <w:rStyle w:val="FootnoteReference"/>
          <w:sz w:val="22"/>
          <w:szCs w:val="22"/>
        </w:rPr>
        <w:footnoteReference w:id="1"/>
      </w:r>
    </w:p>
    <w:p w14:paraId="4C8E230C" w14:textId="5E68DFF3" w:rsidR="00B742E7" w:rsidRDefault="00B742E7" w:rsidP="00B742E7">
      <w:pPr>
        <w:pStyle w:val="ListParagraph"/>
        <w:numPr>
          <w:ilvl w:val="0"/>
          <w:numId w:val="15"/>
        </w:numPr>
        <w:rPr>
          <w:rFonts w:ascii="Cambria" w:hAnsi="Cambria"/>
          <w:sz w:val="22"/>
          <w:szCs w:val="22"/>
        </w:rPr>
      </w:pPr>
      <w:r w:rsidRPr="00B742E7">
        <w:rPr>
          <w:rFonts w:ascii="Cambria" w:hAnsi="Cambria"/>
          <w:sz w:val="22"/>
          <w:szCs w:val="22"/>
        </w:rPr>
        <w:t xml:space="preserve">Warriner </w:t>
      </w:r>
      <w:r w:rsidRPr="00B742E7">
        <w:rPr>
          <w:rFonts w:ascii="Cambria" w:hAnsi="Cambria"/>
          <w:i/>
          <w:iCs/>
          <w:sz w:val="22"/>
          <w:szCs w:val="22"/>
        </w:rPr>
        <w:t>et al</w:t>
      </w:r>
      <w:r>
        <w:rPr>
          <w:rFonts w:ascii="Cambria" w:hAnsi="Cambria"/>
          <w:i/>
          <w:iCs/>
          <w:sz w:val="22"/>
          <w:szCs w:val="22"/>
        </w:rPr>
        <w:t>.</w:t>
      </w:r>
      <w:r>
        <w:rPr>
          <w:rFonts w:ascii="Cambria" w:hAnsi="Cambria"/>
          <w:sz w:val="22"/>
          <w:szCs w:val="22"/>
        </w:rPr>
        <w:t xml:space="preserve"> – 1077 women receiving MTOP up to 63 days (9 weeks) gestation estimated by last menstrual period and </w:t>
      </w:r>
      <w:r w:rsidRPr="00B742E7">
        <w:rPr>
          <w:rFonts w:ascii="Cambria" w:hAnsi="Cambria"/>
          <w:sz w:val="22"/>
          <w:szCs w:val="22"/>
        </w:rPr>
        <w:t xml:space="preserve">bimanual pelvic examination </w:t>
      </w:r>
      <w:r>
        <w:rPr>
          <w:rFonts w:ascii="Cambria" w:hAnsi="Cambria"/>
          <w:sz w:val="22"/>
          <w:szCs w:val="22"/>
        </w:rPr>
        <w:t>(Nepal)</w:t>
      </w:r>
      <w:r w:rsidRPr="00B742E7">
        <w:rPr>
          <w:rStyle w:val="FootnoteReference"/>
          <w:sz w:val="22"/>
          <w:szCs w:val="22"/>
        </w:rPr>
        <w:footnoteReference w:id="2"/>
      </w:r>
    </w:p>
    <w:p w14:paraId="6FAC460A" w14:textId="60E27B7D" w:rsidR="00B742E7" w:rsidRPr="00B742E7" w:rsidRDefault="00B742E7" w:rsidP="00B742E7">
      <w:pPr>
        <w:pStyle w:val="ListParagraph"/>
        <w:numPr>
          <w:ilvl w:val="0"/>
          <w:numId w:val="15"/>
        </w:numPr>
        <w:rPr>
          <w:rFonts w:ascii="Cambria" w:hAnsi="Cambria"/>
          <w:sz w:val="22"/>
          <w:szCs w:val="22"/>
        </w:rPr>
      </w:pPr>
      <w:r w:rsidRPr="00B742E7">
        <w:rPr>
          <w:rFonts w:ascii="Cambria" w:hAnsi="Cambria"/>
          <w:sz w:val="22"/>
          <w:szCs w:val="22"/>
        </w:rPr>
        <w:t xml:space="preserve">Jejeebhoy </w:t>
      </w:r>
      <w:r w:rsidRPr="00B742E7">
        <w:rPr>
          <w:rFonts w:ascii="Cambria" w:hAnsi="Cambria"/>
          <w:i/>
          <w:iCs/>
          <w:sz w:val="22"/>
          <w:szCs w:val="22"/>
        </w:rPr>
        <w:t>et al</w:t>
      </w:r>
      <w:r w:rsidRPr="00B742E7">
        <w:rPr>
          <w:rFonts w:ascii="Cambria" w:hAnsi="Cambria"/>
          <w:sz w:val="22"/>
          <w:szCs w:val="22"/>
        </w:rPr>
        <w:t>.</w:t>
      </w:r>
      <w:r>
        <w:rPr>
          <w:rFonts w:ascii="Cambria" w:hAnsi="Cambria"/>
          <w:sz w:val="22"/>
          <w:szCs w:val="22"/>
        </w:rPr>
        <w:t xml:space="preserve"> – 1225 women receiving MTOP up to 8 weeks gestation confirmed by urine pregnancy test and pelvic examination (India)</w:t>
      </w:r>
      <w:r w:rsidRPr="00B742E7">
        <w:rPr>
          <w:rStyle w:val="FootnoteReference"/>
          <w:sz w:val="22"/>
          <w:szCs w:val="22"/>
        </w:rPr>
        <w:footnoteReference w:id="3"/>
      </w:r>
      <w:r>
        <w:rPr>
          <w:rFonts w:ascii="Cambria" w:hAnsi="Cambria"/>
          <w:sz w:val="22"/>
          <w:szCs w:val="22"/>
        </w:rPr>
        <w:t>.</w:t>
      </w:r>
    </w:p>
    <w:p w14:paraId="7838877B" w14:textId="0150BCC5" w:rsidR="00563F82" w:rsidRDefault="00E50AD7" w:rsidP="00E50AD7">
      <w:pPr>
        <w:rPr>
          <w:szCs w:val="22"/>
        </w:rPr>
      </w:pPr>
      <w:r w:rsidRPr="00E50AD7">
        <w:rPr>
          <w:szCs w:val="22"/>
        </w:rPr>
        <w:t xml:space="preserve">The Kopp Kallner </w:t>
      </w:r>
      <w:r w:rsidRPr="00E50AD7">
        <w:rPr>
          <w:i/>
          <w:iCs/>
          <w:szCs w:val="22"/>
        </w:rPr>
        <w:t>et al</w:t>
      </w:r>
      <w:r w:rsidRPr="00E50AD7">
        <w:rPr>
          <w:szCs w:val="22"/>
        </w:rPr>
        <w:t>.</w:t>
      </w:r>
      <w:r w:rsidR="00A95896">
        <w:rPr>
          <w:szCs w:val="22"/>
        </w:rPr>
        <w:fldChar w:fldCharType="begin"/>
      </w:r>
      <w:r w:rsidR="00A95896">
        <w:rPr>
          <w:szCs w:val="22"/>
        </w:rPr>
        <w:instrText xml:space="preserve"> NOTEREF _Ref155608483 \f </w:instrText>
      </w:r>
      <w:r w:rsidR="00A95896">
        <w:rPr>
          <w:szCs w:val="22"/>
        </w:rPr>
        <w:fldChar w:fldCharType="separate"/>
      </w:r>
      <w:r w:rsidR="00A95896" w:rsidRPr="00A95896">
        <w:rPr>
          <w:rStyle w:val="FootnoteReference"/>
        </w:rPr>
        <w:t>1</w:t>
      </w:r>
      <w:r w:rsidR="00A95896">
        <w:rPr>
          <w:szCs w:val="22"/>
        </w:rPr>
        <w:fldChar w:fldCharType="end"/>
      </w:r>
      <w:r w:rsidRPr="00E50AD7">
        <w:rPr>
          <w:szCs w:val="22"/>
        </w:rPr>
        <w:t xml:space="preserve">  study is considered most relevant to use in Australia</w:t>
      </w:r>
      <w:r w:rsidR="00B742E7">
        <w:rPr>
          <w:szCs w:val="22"/>
        </w:rPr>
        <w:t xml:space="preserve"> with </w:t>
      </w:r>
      <w:r w:rsidRPr="00E50AD7">
        <w:rPr>
          <w:szCs w:val="22"/>
        </w:rPr>
        <w:t xml:space="preserve">ultrasound </w:t>
      </w:r>
      <w:r w:rsidR="00B742E7">
        <w:rPr>
          <w:szCs w:val="22"/>
        </w:rPr>
        <w:t xml:space="preserve">dating </w:t>
      </w:r>
      <w:r w:rsidRPr="00E50AD7">
        <w:rPr>
          <w:szCs w:val="22"/>
        </w:rPr>
        <w:t>part of the protocol</w:t>
      </w:r>
      <w:r w:rsidR="00B742E7">
        <w:rPr>
          <w:szCs w:val="22"/>
        </w:rPr>
        <w:t>. The</w:t>
      </w:r>
      <w:r w:rsidRPr="00E50AD7">
        <w:rPr>
          <w:szCs w:val="22"/>
        </w:rPr>
        <w:t xml:space="preserve"> studies by Warriner </w:t>
      </w:r>
      <w:r w:rsidRPr="00E50AD7">
        <w:rPr>
          <w:i/>
          <w:iCs/>
          <w:szCs w:val="22"/>
        </w:rPr>
        <w:t>et al</w:t>
      </w:r>
      <w:r w:rsidRPr="00E50AD7">
        <w:rPr>
          <w:szCs w:val="22"/>
        </w:rPr>
        <w:t xml:space="preserve">. </w:t>
      </w:r>
      <w:r w:rsidR="00A95896">
        <w:rPr>
          <w:szCs w:val="22"/>
          <w:vertAlign w:val="superscript"/>
        </w:rPr>
        <w:fldChar w:fldCharType="begin"/>
      </w:r>
      <w:r w:rsidR="00A95896">
        <w:rPr>
          <w:szCs w:val="22"/>
        </w:rPr>
        <w:instrText xml:space="preserve"> NOTEREF _Ref155608523 \f </w:instrText>
      </w:r>
      <w:r w:rsidR="00A95896">
        <w:rPr>
          <w:szCs w:val="22"/>
          <w:vertAlign w:val="superscript"/>
        </w:rPr>
        <w:fldChar w:fldCharType="separate"/>
      </w:r>
      <w:r w:rsidR="00A95896" w:rsidRPr="00A95896">
        <w:rPr>
          <w:rStyle w:val="FootnoteReference"/>
        </w:rPr>
        <w:t>2</w:t>
      </w:r>
      <w:r w:rsidR="00A95896">
        <w:rPr>
          <w:szCs w:val="22"/>
          <w:vertAlign w:val="superscript"/>
        </w:rPr>
        <w:fldChar w:fldCharType="end"/>
      </w:r>
      <w:r w:rsidRPr="00E50AD7">
        <w:rPr>
          <w:szCs w:val="22"/>
        </w:rPr>
        <w:t xml:space="preserve"> and Jejeebhoy </w:t>
      </w:r>
      <w:r w:rsidRPr="00E50AD7">
        <w:rPr>
          <w:i/>
          <w:iCs/>
          <w:szCs w:val="22"/>
        </w:rPr>
        <w:t>et al</w:t>
      </w:r>
      <w:r w:rsidRPr="00E50AD7">
        <w:rPr>
          <w:szCs w:val="22"/>
        </w:rPr>
        <w:t>.</w:t>
      </w:r>
      <w:r w:rsidR="00A95896">
        <w:rPr>
          <w:szCs w:val="22"/>
          <w:vertAlign w:val="superscript"/>
        </w:rPr>
        <w:fldChar w:fldCharType="begin"/>
      </w:r>
      <w:r w:rsidR="00A95896">
        <w:rPr>
          <w:szCs w:val="22"/>
        </w:rPr>
        <w:instrText xml:space="preserve"> NOTEREF _Ref155608536 \f </w:instrText>
      </w:r>
      <w:r w:rsidR="00A95896">
        <w:rPr>
          <w:szCs w:val="22"/>
          <w:vertAlign w:val="superscript"/>
        </w:rPr>
        <w:fldChar w:fldCharType="separate"/>
      </w:r>
      <w:r w:rsidR="00A95896" w:rsidRPr="00A95896">
        <w:rPr>
          <w:rStyle w:val="FootnoteReference"/>
        </w:rPr>
        <w:t>3</w:t>
      </w:r>
      <w:r w:rsidR="00A95896">
        <w:rPr>
          <w:szCs w:val="22"/>
          <w:vertAlign w:val="superscript"/>
        </w:rPr>
        <w:fldChar w:fldCharType="end"/>
      </w:r>
      <w:r w:rsidR="00A95896">
        <w:rPr>
          <w:szCs w:val="22"/>
          <w:vertAlign w:val="superscript"/>
        </w:rPr>
        <w:t xml:space="preserve"> </w:t>
      </w:r>
      <w:r w:rsidRPr="00E50AD7">
        <w:rPr>
          <w:szCs w:val="22"/>
        </w:rPr>
        <w:t>were conducted in low-resource settings</w:t>
      </w:r>
      <w:r w:rsidR="00B742E7">
        <w:rPr>
          <w:szCs w:val="22"/>
        </w:rPr>
        <w:t xml:space="preserve"> without</w:t>
      </w:r>
      <w:r w:rsidRPr="00E50AD7">
        <w:rPr>
          <w:szCs w:val="22"/>
        </w:rPr>
        <w:t xml:space="preserve"> ultrasound assessment</w:t>
      </w:r>
      <w:r w:rsidR="00B742E7">
        <w:rPr>
          <w:szCs w:val="22"/>
        </w:rPr>
        <w:t xml:space="preserve">, and in the case of the </w:t>
      </w:r>
      <w:r w:rsidR="00B742E7" w:rsidRPr="00E50AD7">
        <w:rPr>
          <w:szCs w:val="22"/>
        </w:rPr>
        <w:t>Warriner study</w:t>
      </w:r>
      <w:r w:rsidR="00B742E7">
        <w:rPr>
          <w:szCs w:val="22"/>
        </w:rPr>
        <w:t>, without confirmation of pregnancy using h</w:t>
      </w:r>
      <w:r w:rsidR="00005017" w:rsidRPr="00005017">
        <w:rPr>
          <w:szCs w:val="22"/>
        </w:rPr>
        <w:t xml:space="preserve">uman chorionic gonadotropin </w:t>
      </w:r>
      <w:r w:rsidR="00005017">
        <w:rPr>
          <w:szCs w:val="22"/>
        </w:rPr>
        <w:t>(</w:t>
      </w:r>
      <w:r w:rsidRPr="00E50AD7">
        <w:rPr>
          <w:szCs w:val="22"/>
        </w:rPr>
        <w:t>hCG</w:t>
      </w:r>
      <w:r w:rsidR="00005017">
        <w:rPr>
          <w:szCs w:val="22"/>
        </w:rPr>
        <w:t>)</w:t>
      </w:r>
      <w:r w:rsidRPr="00E50AD7">
        <w:rPr>
          <w:szCs w:val="22"/>
        </w:rPr>
        <w:t xml:space="preserve"> testing. </w:t>
      </w:r>
    </w:p>
    <w:p w14:paraId="4482B19D" w14:textId="56908771" w:rsidR="00E50AD7" w:rsidRPr="00E50AD7" w:rsidRDefault="00B742E7" w:rsidP="00E50AD7">
      <w:pPr>
        <w:rPr>
          <w:szCs w:val="22"/>
        </w:rPr>
      </w:pPr>
      <w:r>
        <w:rPr>
          <w:szCs w:val="22"/>
        </w:rPr>
        <w:t>The</w:t>
      </w:r>
      <w:r w:rsidR="00E50AD7" w:rsidRPr="00E50AD7">
        <w:rPr>
          <w:szCs w:val="22"/>
        </w:rPr>
        <w:t xml:space="preserve"> Australian MS-2 Step PI recommends confirmation of </w:t>
      </w:r>
      <w:r w:rsidR="000443C2">
        <w:rPr>
          <w:szCs w:val="22"/>
        </w:rPr>
        <w:t>gestation</w:t>
      </w:r>
      <w:r w:rsidR="000443C2" w:rsidRPr="00E50AD7">
        <w:rPr>
          <w:szCs w:val="22"/>
        </w:rPr>
        <w:t xml:space="preserve"> </w:t>
      </w:r>
      <w:r w:rsidR="00E50AD7" w:rsidRPr="00E50AD7">
        <w:rPr>
          <w:szCs w:val="22"/>
        </w:rPr>
        <w:t xml:space="preserve">by ultrasound, and lists </w:t>
      </w:r>
      <w:r>
        <w:rPr>
          <w:szCs w:val="22"/>
        </w:rPr>
        <w:t>‘</w:t>
      </w:r>
      <w:r w:rsidR="00E50AD7" w:rsidRPr="00B742E7">
        <w:rPr>
          <w:i/>
          <w:iCs/>
          <w:szCs w:val="22"/>
        </w:rPr>
        <w:t xml:space="preserve">pregnancy not confirmed by an ultrasound or biological test such as urine or serum </w:t>
      </w:r>
      <w:r w:rsidR="001F7C7E" w:rsidRPr="00B742E7">
        <w:rPr>
          <w:i/>
          <w:iCs/>
          <w:szCs w:val="22"/>
        </w:rPr>
        <w:t>h</w:t>
      </w:r>
      <w:r w:rsidR="00E50AD7" w:rsidRPr="00B742E7">
        <w:rPr>
          <w:i/>
          <w:iCs/>
          <w:szCs w:val="22"/>
        </w:rPr>
        <w:t>CG</w:t>
      </w:r>
      <w:r>
        <w:rPr>
          <w:szCs w:val="22"/>
        </w:rPr>
        <w:t xml:space="preserve">‘ </w:t>
      </w:r>
      <w:r w:rsidR="00E50AD7" w:rsidRPr="00E50AD7">
        <w:rPr>
          <w:szCs w:val="22"/>
        </w:rPr>
        <w:t xml:space="preserve">as a contraindication. </w:t>
      </w:r>
      <w:r>
        <w:rPr>
          <w:szCs w:val="22"/>
        </w:rPr>
        <w:t>T</w:t>
      </w:r>
      <w:r w:rsidR="00E50AD7" w:rsidRPr="00E50AD7">
        <w:rPr>
          <w:szCs w:val="22"/>
        </w:rPr>
        <w:t xml:space="preserve">he study population and dose of misoprostol used in the Jejeebhoy </w:t>
      </w:r>
      <w:r w:rsidR="00E50AD7" w:rsidRPr="00E50AD7">
        <w:rPr>
          <w:i/>
          <w:iCs/>
          <w:szCs w:val="22"/>
        </w:rPr>
        <w:t>et al</w:t>
      </w:r>
      <w:r w:rsidR="00E50AD7" w:rsidRPr="00E50AD7">
        <w:rPr>
          <w:szCs w:val="22"/>
        </w:rPr>
        <w:t xml:space="preserve"> </w:t>
      </w:r>
      <w:r w:rsidR="00A95896">
        <w:rPr>
          <w:szCs w:val="22"/>
        </w:rPr>
        <w:fldChar w:fldCharType="begin"/>
      </w:r>
      <w:r w:rsidR="00A95896">
        <w:rPr>
          <w:szCs w:val="22"/>
        </w:rPr>
        <w:instrText xml:space="preserve"> NOTEREF _Ref155608536 \f </w:instrText>
      </w:r>
      <w:r w:rsidR="00A95896">
        <w:rPr>
          <w:szCs w:val="22"/>
        </w:rPr>
        <w:fldChar w:fldCharType="separate"/>
      </w:r>
      <w:r w:rsidR="00A95896" w:rsidRPr="00A95896">
        <w:rPr>
          <w:rStyle w:val="FootnoteReference"/>
        </w:rPr>
        <w:t>3</w:t>
      </w:r>
      <w:r w:rsidR="00A95896">
        <w:rPr>
          <w:szCs w:val="22"/>
        </w:rPr>
        <w:fldChar w:fldCharType="end"/>
      </w:r>
      <w:r w:rsidR="00E50AD7" w:rsidRPr="00E50AD7">
        <w:rPr>
          <w:szCs w:val="22"/>
        </w:rPr>
        <w:t xml:space="preserve"> study </w:t>
      </w:r>
      <w:r>
        <w:rPr>
          <w:szCs w:val="22"/>
        </w:rPr>
        <w:t xml:space="preserve">also </w:t>
      </w:r>
      <w:r w:rsidR="00E50AD7" w:rsidRPr="00E50AD7">
        <w:rPr>
          <w:szCs w:val="22"/>
        </w:rPr>
        <w:t xml:space="preserve">differs from approved use in Australia. </w:t>
      </w:r>
    </w:p>
    <w:p w14:paraId="64E4A1E2" w14:textId="201448EF" w:rsidR="00E50AD7" w:rsidRPr="00E50AD7" w:rsidRDefault="000443C2" w:rsidP="00E50AD7">
      <w:pPr>
        <w:rPr>
          <w:szCs w:val="22"/>
        </w:rPr>
      </w:pPr>
      <w:r>
        <w:rPr>
          <w:szCs w:val="22"/>
        </w:rPr>
        <w:t>T</w:t>
      </w:r>
      <w:r w:rsidR="00E50AD7" w:rsidRPr="00E50AD7">
        <w:rPr>
          <w:szCs w:val="22"/>
        </w:rPr>
        <w:t xml:space="preserve">here were no safety concerns with provision of MToP by </w:t>
      </w:r>
      <w:r w:rsidR="00A95896">
        <w:rPr>
          <w:szCs w:val="22"/>
        </w:rPr>
        <w:t>mid-level providers (</w:t>
      </w:r>
      <w:r w:rsidR="00E50AD7" w:rsidRPr="00E50AD7">
        <w:rPr>
          <w:szCs w:val="22"/>
        </w:rPr>
        <w:t>MLPs</w:t>
      </w:r>
      <w:r w:rsidR="00A95896">
        <w:rPr>
          <w:szCs w:val="22"/>
        </w:rPr>
        <w:t>)</w:t>
      </w:r>
      <w:r w:rsidR="00E50AD7" w:rsidRPr="00E50AD7">
        <w:rPr>
          <w:szCs w:val="22"/>
        </w:rPr>
        <w:t xml:space="preserve"> identified in any of the 3 studies, with effectiveness outcomes comparable for MLPs and doctors. The risk of failure was comparable for MToP performed by</w:t>
      </w:r>
      <w:r w:rsidR="00A95896">
        <w:rPr>
          <w:szCs w:val="22"/>
        </w:rPr>
        <w:t xml:space="preserve"> </w:t>
      </w:r>
      <w:r w:rsidR="00E50AD7" w:rsidRPr="00E50AD7">
        <w:rPr>
          <w:szCs w:val="22"/>
        </w:rPr>
        <w:t>MLPs and doctors in all studies and is a known risk described in the MS-2 Step PI. There were no serious adverse events reported</w:t>
      </w:r>
      <w:r w:rsidR="00B742E7">
        <w:rPr>
          <w:szCs w:val="22"/>
        </w:rPr>
        <w:t xml:space="preserve"> in any of the 3 studies</w:t>
      </w:r>
      <w:r w:rsidR="00E50AD7" w:rsidRPr="00E50AD7">
        <w:rPr>
          <w:szCs w:val="22"/>
        </w:rPr>
        <w:t xml:space="preserve">. </w:t>
      </w:r>
      <w:r w:rsidR="00B742E7" w:rsidRPr="00E50AD7">
        <w:rPr>
          <w:szCs w:val="22"/>
        </w:rPr>
        <w:t xml:space="preserve">Kopp Kallner </w:t>
      </w:r>
      <w:r w:rsidR="00B742E7" w:rsidRPr="00E50AD7">
        <w:rPr>
          <w:i/>
          <w:iCs/>
          <w:szCs w:val="22"/>
        </w:rPr>
        <w:t>et al</w:t>
      </w:r>
      <w:r w:rsidR="00B742E7" w:rsidRPr="00E50AD7">
        <w:rPr>
          <w:szCs w:val="22"/>
        </w:rPr>
        <w:t>.</w:t>
      </w:r>
      <w:r w:rsidR="00B742E7">
        <w:rPr>
          <w:szCs w:val="22"/>
        </w:rPr>
        <w:fldChar w:fldCharType="begin"/>
      </w:r>
      <w:r w:rsidR="00B742E7">
        <w:rPr>
          <w:szCs w:val="22"/>
        </w:rPr>
        <w:instrText xml:space="preserve"> NOTEREF _Ref155608483 \f </w:instrText>
      </w:r>
      <w:r w:rsidR="00B742E7">
        <w:rPr>
          <w:szCs w:val="22"/>
        </w:rPr>
        <w:fldChar w:fldCharType="separate"/>
      </w:r>
      <w:r w:rsidR="00B742E7" w:rsidRPr="000738A0">
        <w:rPr>
          <w:rStyle w:val="FootnoteReference"/>
        </w:rPr>
        <w:t>1</w:t>
      </w:r>
      <w:r w:rsidR="00B742E7">
        <w:rPr>
          <w:szCs w:val="22"/>
        </w:rPr>
        <w:fldChar w:fldCharType="end"/>
      </w:r>
      <w:r w:rsidR="00B742E7" w:rsidRPr="00E50AD7">
        <w:rPr>
          <w:szCs w:val="22"/>
        </w:rPr>
        <w:t xml:space="preserve"> </w:t>
      </w:r>
      <w:r w:rsidR="00B742E7">
        <w:rPr>
          <w:szCs w:val="22"/>
        </w:rPr>
        <w:t>detailed the</w:t>
      </w:r>
      <w:r w:rsidR="00E50AD7" w:rsidRPr="00E50AD7">
        <w:rPr>
          <w:szCs w:val="22"/>
        </w:rPr>
        <w:t xml:space="preserve"> complications </w:t>
      </w:r>
      <w:r w:rsidR="00B742E7">
        <w:rPr>
          <w:szCs w:val="22"/>
        </w:rPr>
        <w:t>observed which were</w:t>
      </w:r>
      <w:r w:rsidR="00E50AD7" w:rsidRPr="00E50AD7">
        <w:rPr>
          <w:szCs w:val="22"/>
        </w:rPr>
        <w:t xml:space="preserve"> noted to be consistent with the safety profile of MToP with mifepristone/misoprostol.</w:t>
      </w:r>
    </w:p>
    <w:p w14:paraId="322350BD" w14:textId="21EA27E7" w:rsidR="00E50AD7" w:rsidRPr="00E50AD7" w:rsidRDefault="00E50AD7" w:rsidP="00E50AD7">
      <w:pPr>
        <w:rPr>
          <w:i/>
          <w:iCs/>
          <w:szCs w:val="22"/>
        </w:rPr>
      </w:pPr>
      <w:r w:rsidRPr="00E50AD7">
        <w:rPr>
          <w:szCs w:val="22"/>
        </w:rPr>
        <w:t>There was variab</w:t>
      </w:r>
      <w:r w:rsidR="00B742E7">
        <w:rPr>
          <w:szCs w:val="22"/>
        </w:rPr>
        <w:t xml:space="preserve">le training background and </w:t>
      </w:r>
      <w:r w:rsidRPr="00E50AD7">
        <w:rPr>
          <w:szCs w:val="22"/>
        </w:rPr>
        <w:t xml:space="preserve">experience </w:t>
      </w:r>
      <w:r w:rsidR="00B742E7">
        <w:rPr>
          <w:szCs w:val="22"/>
        </w:rPr>
        <w:t xml:space="preserve">of MLPs </w:t>
      </w:r>
      <w:r w:rsidRPr="00E50AD7">
        <w:rPr>
          <w:szCs w:val="22"/>
        </w:rPr>
        <w:t xml:space="preserve">across the 3 studies. Nurse-midwives experienced in </w:t>
      </w:r>
      <w:r w:rsidR="000443C2">
        <w:rPr>
          <w:szCs w:val="22"/>
        </w:rPr>
        <w:t xml:space="preserve">provision of </w:t>
      </w:r>
      <w:r w:rsidRPr="00E50AD7">
        <w:rPr>
          <w:szCs w:val="22"/>
        </w:rPr>
        <w:t xml:space="preserve">MToP were recruited in the Kopp Kallner </w:t>
      </w:r>
      <w:r w:rsidRPr="00E50AD7">
        <w:rPr>
          <w:i/>
          <w:iCs/>
          <w:szCs w:val="22"/>
        </w:rPr>
        <w:t>et al</w:t>
      </w:r>
      <w:r w:rsidRPr="00E50AD7">
        <w:rPr>
          <w:szCs w:val="22"/>
        </w:rPr>
        <w:t>.</w:t>
      </w:r>
      <w:r w:rsidR="000738A0">
        <w:rPr>
          <w:szCs w:val="22"/>
        </w:rPr>
        <w:fldChar w:fldCharType="begin"/>
      </w:r>
      <w:r w:rsidR="000738A0">
        <w:rPr>
          <w:szCs w:val="22"/>
        </w:rPr>
        <w:instrText xml:space="preserve"> NOTEREF _Ref155608483 \f </w:instrText>
      </w:r>
      <w:r w:rsidR="000738A0">
        <w:rPr>
          <w:szCs w:val="22"/>
        </w:rPr>
        <w:fldChar w:fldCharType="separate"/>
      </w:r>
      <w:r w:rsidR="000738A0" w:rsidRPr="000738A0">
        <w:rPr>
          <w:rStyle w:val="FootnoteReference"/>
        </w:rPr>
        <w:t>1</w:t>
      </w:r>
      <w:r w:rsidR="000738A0">
        <w:rPr>
          <w:szCs w:val="22"/>
        </w:rPr>
        <w:fldChar w:fldCharType="end"/>
      </w:r>
      <w:r w:rsidRPr="00E50AD7">
        <w:rPr>
          <w:szCs w:val="22"/>
        </w:rPr>
        <w:t xml:space="preserve"> study </w:t>
      </w:r>
      <w:r w:rsidR="00B742E7">
        <w:rPr>
          <w:szCs w:val="22"/>
        </w:rPr>
        <w:t xml:space="preserve">and provided </w:t>
      </w:r>
      <w:r w:rsidRPr="00E50AD7">
        <w:rPr>
          <w:szCs w:val="22"/>
        </w:rPr>
        <w:t xml:space="preserve">with additional early pregnancy ultrasound training. </w:t>
      </w:r>
      <w:bookmarkStart w:id="28" w:name="_Hlk132891253"/>
      <w:r w:rsidRPr="00E50AD7">
        <w:rPr>
          <w:szCs w:val="22"/>
        </w:rPr>
        <w:t xml:space="preserve">All providers underwent MToP </w:t>
      </w:r>
      <w:r w:rsidRPr="00E50AD7">
        <w:rPr>
          <w:szCs w:val="22"/>
        </w:rPr>
        <w:lastRenderedPageBreak/>
        <w:t xml:space="preserve">training in the Warriner </w:t>
      </w:r>
      <w:r w:rsidRPr="00E50AD7">
        <w:rPr>
          <w:i/>
          <w:iCs/>
          <w:szCs w:val="22"/>
        </w:rPr>
        <w:t>et al</w:t>
      </w:r>
      <w:r w:rsidRPr="00E50AD7">
        <w:rPr>
          <w:szCs w:val="22"/>
        </w:rPr>
        <w:t xml:space="preserve">. and Jejeebhoy </w:t>
      </w:r>
      <w:r w:rsidRPr="00E50AD7">
        <w:rPr>
          <w:i/>
          <w:iCs/>
          <w:szCs w:val="22"/>
        </w:rPr>
        <w:t>et al</w:t>
      </w:r>
      <w:r w:rsidRPr="00E50AD7">
        <w:rPr>
          <w:szCs w:val="22"/>
        </w:rPr>
        <w:t>. studies</w:t>
      </w:r>
      <w:r w:rsidR="000738A0">
        <w:rPr>
          <w:szCs w:val="22"/>
        </w:rPr>
        <w:t xml:space="preserve"> </w:t>
      </w:r>
      <w:r w:rsidR="000738A0">
        <w:rPr>
          <w:szCs w:val="22"/>
        </w:rPr>
        <w:fldChar w:fldCharType="begin"/>
      </w:r>
      <w:r w:rsidR="000738A0">
        <w:rPr>
          <w:szCs w:val="22"/>
        </w:rPr>
        <w:instrText xml:space="preserve"> NOTEREF _Ref155608523 \f </w:instrText>
      </w:r>
      <w:r w:rsidR="000738A0">
        <w:rPr>
          <w:szCs w:val="22"/>
        </w:rPr>
        <w:fldChar w:fldCharType="separate"/>
      </w:r>
      <w:r w:rsidR="000738A0" w:rsidRPr="000738A0">
        <w:rPr>
          <w:rStyle w:val="FootnoteReference"/>
        </w:rPr>
        <w:t>2</w:t>
      </w:r>
      <w:r w:rsidR="000738A0">
        <w:rPr>
          <w:szCs w:val="22"/>
        </w:rPr>
        <w:fldChar w:fldCharType="end"/>
      </w:r>
      <w:r w:rsidR="000738A0" w:rsidRPr="000738A0">
        <w:rPr>
          <w:szCs w:val="22"/>
          <w:vertAlign w:val="superscript"/>
        </w:rPr>
        <w:t>,</w:t>
      </w:r>
      <w:r w:rsidR="000738A0">
        <w:rPr>
          <w:szCs w:val="22"/>
        </w:rPr>
        <w:fldChar w:fldCharType="begin"/>
      </w:r>
      <w:r w:rsidR="000738A0">
        <w:rPr>
          <w:szCs w:val="22"/>
        </w:rPr>
        <w:instrText xml:space="preserve"> NOTEREF _Ref155608536 \f </w:instrText>
      </w:r>
      <w:r w:rsidR="000738A0">
        <w:rPr>
          <w:szCs w:val="22"/>
        </w:rPr>
        <w:fldChar w:fldCharType="separate"/>
      </w:r>
      <w:r w:rsidR="000738A0" w:rsidRPr="000738A0">
        <w:rPr>
          <w:rStyle w:val="FootnoteReference"/>
        </w:rPr>
        <w:t>3</w:t>
      </w:r>
      <w:r w:rsidR="000738A0">
        <w:rPr>
          <w:szCs w:val="22"/>
        </w:rPr>
        <w:fldChar w:fldCharType="end"/>
      </w:r>
      <w:r w:rsidRPr="00E50AD7">
        <w:rPr>
          <w:szCs w:val="22"/>
        </w:rPr>
        <w:t xml:space="preserve">. </w:t>
      </w:r>
      <w:bookmarkEnd w:id="28"/>
      <w:r w:rsidRPr="00E50AD7">
        <w:rPr>
          <w:szCs w:val="22"/>
        </w:rPr>
        <w:t xml:space="preserve">The importance of education </w:t>
      </w:r>
      <w:r w:rsidR="000443C2">
        <w:rPr>
          <w:szCs w:val="22"/>
        </w:rPr>
        <w:t>about</w:t>
      </w:r>
      <w:r w:rsidRPr="00E50AD7">
        <w:rPr>
          <w:szCs w:val="22"/>
        </w:rPr>
        <w:t xml:space="preserve"> MToP was endorsed by the Clinical Expert</w:t>
      </w:r>
      <w:r w:rsidR="009E0782">
        <w:rPr>
          <w:szCs w:val="22"/>
        </w:rPr>
        <w:t xml:space="preserve"> (MS Health)</w:t>
      </w:r>
      <w:r w:rsidRPr="00E50AD7">
        <w:rPr>
          <w:szCs w:val="22"/>
        </w:rPr>
        <w:t xml:space="preserve"> who </w:t>
      </w:r>
      <w:r w:rsidR="00B742E7">
        <w:rPr>
          <w:szCs w:val="22"/>
        </w:rPr>
        <w:t>stated,</w:t>
      </w:r>
      <w:r w:rsidR="00B742E7" w:rsidRPr="00E50AD7">
        <w:rPr>
          <w:szCs w:val="22"/>
        </w:rPr>
        <w:t xml:space="preserve"> </w:t>
      </w:r>
      <w:r w:rsidRPr="00E50AD7">
        <w:rPr>
          <w:i/>
          <w:iCs/>
          <w:szCs w:val="22"/>
        </w:rPr>
        <w:t xml:space="preserve">‘MS Health proposes to continue providing the same (existing) standardised training for all potential prescribers (as detailed in the current approved Australian RMP) and doing so will ensure a </w:t>
      </w:r>
      <w:bookmarkStart w:id="29" w:name="_Hlk128479662"/>
      <w:r w:rsidRPr="00E50AD7">
        <w:rPr>
          <w:i/>
          <w:iCs/>
          <w:szCs w:val="22"/>
        </w:rPr>
        <w:t>minimum baseline of education regardless of training background’</w:t>
      </w:r>
      <w:bookmarkEnd w:id="29"/>
      <w:r w:rsidR="00B742E7">
        <w:rPr>
          <w:i/>
          <w:iCs/>
          <w:szCs w:val="22"/>
        </w:rPr>
        <w:t xml:space="preserve">. </w:t>
      </w:r>
      <w:r w:rsidR="00B742E7" w:rsidRPr="00B742E7">
        <w:rPr>
          <w:szCs w:val="22"/>
        </w:rPr>
        <w:t>S</w:t>
      </w:r>
      <w:r w:rsidRPr="00E50AD7">
        <w:rPr>
          <w:szCs w:val="22"/>
        </w:rPr>
        <w:t>tating further</w:t>
      </w:r>
      <w:r w:rsidR="00B742E7">
        <w:rPr>
          <w:szCs w:val="22"/>
        </w:rPr>
        <w:t>,</w:t>
      </w:r>
      <w:r w:rsidRPr="00E50AD7">
        <w:rPr>
          <w:i/>
          <w:iCs/>
          <w:szCs w:val="22"/>
        </w:rPr>
        <w:t xml:space="preserve"> ‘The PI amendments proposed by MS Health simply enable individual jurisdictions to make decisions appropriate for their population</w:t>
      </w:r>
      <w:r w:rsidR="000443C2">
        <w:rPr>
          <w:i/>
          <w:iCs/>
          <w:szCs w:val="22"/>
        </w:rPr>
        <w:t>.</w:t>
      </w:r>
      <w:r w:rsidRPr="00E50AD7">
        <w:rPr>
          <w:i/>
          <w:iCs/>
          <w:szCs w:val="22"/>
        </w:rPr>
        <w:t>’.</w:t>
      </w:r>
    </w:p>
    <w:p w14:paraId="0FDD433F" w14:textId="4A2593BC" w:rsidR="00E50AD7" w:rsidRPr="00E50AD7" w:rsidRDefault="00BF003B" w:rsidP="00E50AD7">
      <w:pPr>
        <w:rPr>
          <w:szCs w:val="22"/>
        </w:rPr>
      </w:pPr>
      <w:r>
        <w:rPr>
          <w:szCs w:val="22"/>
        </w:rPr>
        <w:t>The TGA delegate noted that b</w:t>
      </w:r>
      <w:r w:rsidR="00E50AD7" w:rsidRPr="00E50AD7">
        <w:rPr>
          <w:szCs w:val="22"/>
        </w:rPr>
        <w:t xml:space="preserve">roadening the </w:t>
      </w:r>
      <w:bookmarkStart w:id="30" w:name="_Hlk132890428"/>
      <w:r w:rsidR="00E50AD7" w:rsidRPr="00E50AD7">
        <w:rPr>
          <w:szCs w:val="22"/>
        </w:rPr>
        <w:t xml:space="preserve">prescriber eligibility </w:t>
      </w:r>
      <w:r w:rsidR="00B742E7">
        <w:rPr>
          <w:szCs w:val="22"/>
        </w:rPr>
        <w:t xml:space="preserve">for MS-2 Step </w:t>
      </w:r>
      <w:r w:rsidR="00E50AD7" w:rsidRPr="00E50AD7">
        <w:rPr>
          <w:szCs w:val="22"/>
        </w:rPr>
        <w:t>to include non-</w:t>
      </w:r>
      <w:r w:rsidR="000443C2">
        <w:rPr>
          <w:szCs w:val="22"/>
        </w:rPr>
        <w:t>medical practitioner</w:t>
      </w:r>
      <w:r w:rsidR="000443C2" w:rsidRPr="00E50AD7">
        <w:rPr>
          <w:szCs w:val="22"/>
        </w:rPr>
        <w:t xml:space="preserve"> </w:t>
      </w:r>
      <w:r w:rsidR="00E50AD7" w:rsidRPr="00E50AD7">
        <w:rPr>
          <w:szCs w:val="22"/>
        </w:rPr>
        <w:t>prescribers (in accordance wi</w:t>
      </w:r>
      <w:r w:rsidR="00134EA6">
        <w:rPr>
          <w:szCs w:val="22"/>
        </w:rPr>
        <w:t>t</w:t>
      </w:r>
      <w:r w:rsidR="00E50AD7" w:rsidRPr="00E50AD7">
        <w:rPr>
          <w:szCs w:val="22"/>
        </w:rPr>
        <w:t>h individual state and territory requirements)</w:t>
      </w:r>
      <w:bookmarkEnd w:id="30"/>
      <w:r w:rsidR="00E50AD7" w:rsidRPr="00E50AD7">
        <w:rPr>
          <w:szCs w:val="22"/>
        </w:rPr>
        <w:t xml:space="preserve"> is consistent with established practice </w:t>
      </w:r>
      <w:r w:rsidR="00B742E7">
        <w:rPr>
          <w:szCs w:val="22"/>
        </w:rPr>
        <w:t xml:space="preserve">for MToP </w:t>
      </w:r>
      <w:r w:rsidR="00E50AD7" w:rsidRPr="00E50AD7">
        <w:rPr>
          <w:szCs w:val="22"/>
        </w:rPr>
        <w:t>in</w:t>
      </w:r>
      <w:r>
        <w:rPr>
          <w:szCs w:val="22"/>
        </w:rPr>
        <w:t xml:space="preserve"> comparable jurisdictions, including</w:t>
      </w:r>
      <w:r w:rsidR="00E50AD7" w:rsidRPr="00E50AD7">
        <w:rPr>
          <w:szCs w:val="22"/>
        </w:rPr>
        <w:t xml:space="preserve"> Canada and the USA, noting th</w:t>
      </w:r>
      <w:r w:rsidR="00B742E7">
        <w:rPr>
          <w:szCs w:val="22"/>
        </w:rPr>
        <w:t>at th</w:t>
      </w:r>
      <w:r w:rsidR="00E50AD7" w:rsidRPr="00E50AD7">
        <w:rPr>
          <w:szCs w:val="22"/>
        </w:rPr>
        <w:t xml:space="preserve">e USA has </w:t>
      </w:r>
      <w:r w:rsidR="000443C2">
        <w:rPr>
          <w:szCs w:val="22"/>
        </w:rPr>
        <w:t>additional</w:t>
      </w:r>
      <w:r w:rsidR="00E50AD7" w:rsidRPr="00E50AD7">
        <w:rPr>
          <w:szCs w:val="22"/>
        </w:rPr>
        <w:t xml:space="preserve"> requirements for all prescribers. </w:t>
      </w:r>
    </w:p>
    <w:p w14:paraId="5F2230E8" w14:textId="29734B04" w:rsidR="009E29E9" w:rsidRPr="00E50AD7" w:rsidRDefault="00E50AD7" w:rsidP="00E50AD7">
      <w:pPr>
        <w:rPr>
          <w:szCs w:val="22"/>
        </w:rPr>
      </w:pPr>
      <w:r w:rsidRPr="00E50AD7">
        <w:rPr>
          <w:szCs w:val="22"/>
        </w:rPr>
        <w:t>Overall, the evidence provided</w:t>
      </w:r>
      <w:r w:rsidR="00B742E7">
        <w:rPr>
          <w:szCs w:val="22"/>
        </w:rPr>
        <w:t xml:space="preserve"> by the Sponsor</w:t>
      </w:r>
      <w:r w:rsidRPr="00E50AD7">
        <w:rPr>
          <w:szCs w:val="22"/>
        </w:rPr>
        <w:t xml:space="preserve"> supports the proposed changes to the MS-2 Step PI </w:t>
      </w:r>
      <w:r w:rsidR="00B742E7">
        <w:rPr>
          <w:szCs w:val="22"/>
        </w:rPr>
        <w:t>proposed in this submission</w:t>
      </w:r>
      <w:r w:rsidRPr="00E50AD7">
        <w:rPr>
          <w:szCs w:val="22"/>
        </w:rPr>
        <w:t xml:space="preserve">. </w:t>
      </w:r>
    </w:p>
    <w:p w14:paraId="28861D1B" w14:textId="78DAE731" w:rsidR="00B742E7" w:rsidRDefault="000443C2" w:rsidP="00E50AD7">
      <w:pPr>
        <w:rPr>
          <w:szCs w:val="22"/>
        </w:rPr>
      </w:pPr>
      <w:r w:rsidRPr="000443C2">
        <w:rPr>
          <w:szCs w:val="22"/>
        </w:rPr>
        <w:t>T</w:t>
      </w:r>
      <w:r w:rsidR="00E50AD7" w:rsidRPr="000443C2">
        <w:rPr>
          <w:szCs w:val="22"/>
        </w:rPr>
        <w:t>he Sponsor</w:t>
      </w:r>
      <w:r w:rsidRPr="000443C2">
        <w:rPr>
          <w:szCs w:val="22"/>
        </w:rPr>
        <w:t xml:space="preserve">’s initial </w:t>
      </w:r>
      <w:r w:rsidR="00BF003B">
        <w:rPr>
          <w:szCs w:val="22"/>
        </w:rPr>
        <w:t xml:space="preserve">application to the TGA </w:t>
      </w:r>
      <w:r w:rsidRPr="000443C2">
        <w:rPr>
          <w:szCs w:val="22"/>
        </w:rPr>
        <w:t>proposed</w:t>
      </w:r>
      <w:r w:rsidR="0047286C">
        <w:rPr>
          <w:szCs w:val="22"/>
        </w:rPr>
        <w:t xml:space="preserve"> (only)</w:t>
      </w:r>
      <w:r w:rsidRPr="000443C2">
        <w:rPr>
          <w:szCs w:val="22"/>
        </w:rPr>
        <w:t xml:space="preserve"> to amend ‘</w:t>
      </w:r>
      <w:r w:rsidRPr="00B742E7">
        <w:rPr>
          <w:i/>
          <w:iCs/>
          <w:szCs w:val="22"/>
          <w:u w:val="single"/>
        </w:rPr>
        <w:t>doctors</w:t>
      </w:r>
      <w:r w:rsidRPr="000443C2">
        <w:rPr>
          <w:i/>
          <w:iCs/>
          <w:szCs w:val="22"/>
        </w:rPr>
        <w:t xml:space="preserve"> with the appropriate qualifications and certified training’</w:t>
      </w:r>
      <w:r w:rsidRPr="000443C2">
        <w:rPr>
          <w:szCs w:val="22"/>
        </w:rPr>
        <w:t xml:space="preserve"> in Section 4.2 </w:t>
      </w:r>
      <w:r w:rsidR="00B742E7">
        <w:rPr>
          <w:szCs w:val="22"/>
        </w:rPr>
        <w:t xml:space="preserve">of the PI </w:t>
      </w:r>
      <w:r w:rsidRPr="000443C2">
        <w:rPr>
          <w:szCs w:val="22"/>
        </w:rPr>
        <w:t>to ‘</w:t>
      </w:r>
      <w:r w:rsidRPr="00B742E7">
        <w:rPr>
          <w:i/>
          <w:iCs/>
          <w:szCs w:val="22"/>
          <w:u w:val="single"/>
        </w:rPr>
        <w:t>healthcare practitioners</w:t>
      </w:r>
      <w:r w:rsidRPr="000443C2">
        <w:rPr>
          <w:i/>
          <w:iCs/>
          <w:szCs w:val="22"/>
        </w:rPr>
        <w:t xml:space="preserve"> with the appropriate qualifications and </w:t>
      </w:r>
      <w:r w:rsidRPr="00B742E7">
        <w:rPr>
          <w:i/>
          <w:iCs/>
          <w:szCs w:val="22"/>
        </w:rPr>
        <w:t>certified</w:t>
      </w:r>
      <w:r w:rsidRPr="000443C2">
        <w:rPr>
          <w:i/>
          <w:iCs/>
          <w:szCs w:val="22"/>
        </w:rPr>
        <w:t xml:space="preserve"> training</w:t>
      </w:r>
      <w:r w:rsidRPr="000443C2">
        <w:rPr>
          <w:szCs w:val="22"/>
        </w:rPr>
        <w:t xml:space="preserve">’. </w:t>
      </w:r>
      <w:r w:rsidR="009E29E9">
        <w:rPr>
          <w:szCs w:val="22"/>
        </w:rPr>
        <w:t>Following discussions with the TGA</w:t>
      </w:r>
      <w:r w:rsidR="0047286C">
        <w:rPr>
          <w:szCs w:val="22"/>
        </w:rPr>
        <w:t xml:space="preserve">, MS Health </w:t>
      </w:r>
      <w:r w:rsidR="00E50AD7" w:rsidRPr="000443C2">
        <w:rPr>
          <w:szCs w:val="22"/>
        </w:rPr>
        <w:t xml:space="preserve">submitted </w:t>
      </w:r>
      <w:r w:rsidR="000738A0" w:rsidRPr="000443C2">
        <w:rPr>
          <w:szCs w:val="22"/>
        </w:rPr>
        <w:t>a</w:t>
      </w:r>
      <w:r w:rsidR="00B742E7">
        <w:rPr>
          <w:szCs w:val="22"/>
        </w:rPr>
        <w:t>n amended</w:t>
      </w:r>
      <w:r w:rsidR="000738A0" w:rsidRPr="000443C2">
        <w:rPr>
          <w:szCs w:val="22"/>
        </w:rPr>
        <w:t xml:space="preserve"> </w:t>
      </w:r>
      <w:r w:rsidR="00E50AD7" w:rsidRPr="000443C2">
        <w:rPr>
          <w:szCs w:val="22"/>
        </w:rPr>
        <w:t>proposal</w:t>
      </w:r>
      <w:r w:rsidR="00B742E7">
        <w:rPr>
          <w:szCs w:val="22"/>
        </w:rPr>
        <w:t>,</w:t>
      </w:r>
      <w:r w:rsidR="00E50AD7" w:rsidRPr="000443C2">
        <w:rPr>
          <w:szCs w:val="22"/>
        </w:rPr>
        <w:t xml:space="preserve"> </w:t>
      </w:r>
      <w:r w:rsidR="00B742E7">
        <w:rPr>
          <w:szCs w:val="22"/>
        </w:rPr>
        <w:t xml:space="preserve">including an updated RMP, </w:t>
      </w:r>
      <w:r w:rsidR="00E50AD7" w:rsidRPr="000443C2">
        <w:rPr>
          <w:szCs w:val="22"/>
        </w:rPr>
        <w:t xml:space="preserve">to </w:t>
      </w:r>
      <w:r w:rsidR="00B742E7">
        <w:rPr>
          <w:szCs w:val="22"/>
        </w:rPr>
        <w:t xml:space="preserve">also </w:t>
      </w:r>
      <w:r w:rsidR="00E50AD7" w:rsidRPr="000443C2">
        <w:rPr>
          <w:szCs w:val="22"/>
        </w:rPr>
        <w:t xml:space="preserve">remove the mandatory requirement for prescriber </w:t>
      </w:r>
      <w:r w:rsidR="00B742E7">
        <w:rPr>
          <w:szCs w:val="22"/>
        </w:rPr>
        <w:t>training, certification and recertification, the requirement for dispensing pharmacist registration and the 24-hour telephone nurse aftercare service</w:t>
      </w:r>
      <w:r w:rsidR="00E50AD7" w:rsidRPr="000443C2">
        <w:rPr>
          <w:szCs w:val="22"/>
        </w:rPr>
        <w:t>.</w:t>
      </w:r>
      <w:r w:rsidR="0047286C">
        <w:rPr>
          <w:szCs w:val="22"/>
        </w:rPr>
        <w:t xml:space="preserve"> </w:t>
      </w:r>
    </w:p>
    <w:p w14:paraId="0874C78A" w14:textId="1BAAD172" w:rsidR="00E50AD7" w:rsidRPr="00E50AD7" w:rsidRDefault="00E50AD7" w:rsidP="00E50AD7">
      <w:pPr>
        <w:rPr>
          <w:szCs w:val="22"/>
        </w:rPr>
      </w:pPr>
      <w:r w:rsidRPr="000443C2">
        <w:rPr>
          <w:szCs w:val="22"/>
        </w:rPr>
        <w:t>The Clinical Expert</w:t>
      </w:r>
      <w:r w:rsidR="00B742E7">
        <w:rPr>
          <w:szCs w:val="22"/>
        </w:rPr>
        <w:t xml:space="preserve"> (MS Health)</w:t>
      </w:r>
      <w:r w:rsidRPr="000443C2">
        <w:rPr>
          <w:szCs w:val="22"/>
        </w:rPr>
        <w:t xml:space="preserve"> assert</w:t>
      </w:r>
      <w:r w:rsidR="00B742E7">
        <w:rPr>
          <w:szCs w:val="22"/>
        </w:rPr>
        <w:t>ed in the initial submission that</w:t>
      </w:r>
      <w:r w:rsidRPr="000443C2">
        <w:rPr>
          <w:szCs w:val="22"/>
        </w:rPr>
        <w:t xml:space="preserve"> a minimum baseline of education</w:t>
      </w:r>
      <w:r w:rsidR="00B742E7">
        <w:rPr>
          <w:szCs w:val="22"/>
        </w:rPr>
        <w:t>,</w:t>
      </w:r>
      <w:r w:rsidRPr="000443C2">
        <w:rPr>
          <w:szCs w:val="22"/>
        </w:rPr>
        <w:t xml:space="preserve"> irrespective of training background</w:t>
      </w:r>
      <w:r w:rsidR="00B742E7">
        <w:rPr>
          <w:szCs w:val="22"/>
        </w:rPr>
        <w:t>, was required for the provision of MToP. In their amended proposal, the</w:t>
      </w:r>
      <w:r w:rsidR="00005017" w:rsidRPr="000443C2">
        <w:rPr>
          <w:szCs w:val="22"/>
        </w:rPr>
        <w:t xml:space="preserve"> Sponsor</w:t>
      </w:r>
      <w:r w:rsidR="00B742E7">
        <w:rPr>
          <w:szCs w:val="22"/>
        </w:rPr>
        <w:t xml:space="preserve"> emphasised</w:t>
      </w:r>
      <w:r w:rsidRPr="000443C2">
        <w:rPr>
          <w:szCs w:val="22"/>
        </w:rPr>
        <w:t xml:space="preserve"> that the existing standardised training (the Medical Education Program) will still be available for all healthcare practitioners that prescribe MS-2 Step via the existing website (</w:t>
      </w:r>
      <w:hyperlink r:id="rId19" w:history="1">
        <w:r w:rsidRPr="000443C2">
          <w:rPr>
            <w:rStyle w:val="Hyperlink"/>
            <w:szCs w:val="22"/>
          </w:rPr>
          <w:t>www.ms2step.com.au</w:t>
        </w:r>
      </w:hyperlink>
      <w:r w:rsidRPr="000443C2">
        <w:rPr>
          <w:szCs w:val="22"/>
        </w:rPr>
        <w:t>). The</w:t>
      </w:r>
      <w:r w:rsidR="00B742E7">
        <w:rPr>
          <w:szCs w:val="22"/>
        </w:rPr>
        <w:t>y stressed that the</w:t>
      </w:r>
      <w:r w:rsidRPr="000443C2">
        <w:rPr>
          <w:szCs w:val="22"/>
        </w:rPr>
        <w:t xml:space="preserve"> change proposed was to remove the </w:t>
      </w:r>
      <w:r w:rsidRPr="00B742E7">
        <w:rPr>
          <w:i/>
          <w:iCs/>
          <w:szCs w:val="22"/>
        </w:rPr>
        <w:t>mandatory</w:t>
      </w:r>
      <w:r w:rsidRPr="000443C2">
        <w:rPr>
          <w:szCs w:val="22"/>
        </w:rPr>
        <w:t xml:space="preserve"> aspect of the training and certification</w:t>
      </w:r>
      <w:r w:rsidR="00B742E7">
        <w:rPr>
          <w:szCs w:val="22"/>
        </w:rPr>
        <w:t xml:space="preserve"> requirement</w:t>
      </w:r>
      <w:r w:rsidR="000443C2" w:rsidRPr="000443C2">
        <w:rPr>
          <w:szCs w:val="22"/>
        </w:rPr>
        <w:t xml:space="preserve">, not </w:t>
      </w:r>
      <w:r w:rsidR="00B742E7">
        <w:rPr>
          <w:szCs w:val="22"/>
        </w:rPr>
        <w:t xml:space="preserve">to </w:t>
      </w:r>
      <w:r w:rsidR="000443C2" w:rsidRPr="000443C2">
        <w:rPr>
          <w:szCs w:val="22"/>
        </w:rPr>
        <w:t>change the availability of training</w:t>
      </w:r>
      <w:r w:rsidRPr="000443C2">
        <w:rPr>
          <w:szCs w:val="22"/>
        </w:rPr>
        <w:t>.</w:t>
      </w:r>
      <w:r w:rsidRPr="00E50AD7">
        <w:rPr>
          <w:szCs w:val="22"/>
        </w:rPr>
        <w:t xml:space="preserve"> </w:t>
      </w:r>
    </w:p>
    <w:p w14:paraId="174EAC12" w14:textId="77B0722C" w:rsidR="00B742E7" w:rsidRDefault="000443C2" w:rsidP="00E50AD7">
      <w:pPr>
        <w:rPr>
          <w:szCs w:val="22"/>
        </w:rPr>
      </w:pPr>
      <w:r>
        <w:rPr>
          <w:szCs w:val="22"/>
        </w:rPr>
        <w:t>T</w:t>
      </w:r>
      <w:r w:rsidR="00E50AD7" w:rsidRPr="00E50AD7">
        <w:rPr>
          <w:szCs w:val="22"/>
        </w:rPr>
        <w:t>he justification provided by the Clinical Expert in the Clinical Overview Addendum to expand prescriber eligibility to include non-</w:t>
      </w:r>
      <w:r>
        <w:rPr>
          <w:szCs w:val="22"/>
        </w:rPr>
        <w:t>medical practitioner</w:t>
      </w:r>
      <w:r w:rsidRPr="00E50AD7">
        <w:rPr>
          <w:szCs w:val="22"/>
        </w:rPr>
        <w:t xml:space="preserve"> </w:t>
      </w:r>
      <w:r w:rsidR="00E50AD7" w:rsidRPr="00E50AD7">
        <w:rPr>
          <w:szCs w:val="22"/>
        </w:rPr>
        <w:t xml:space="preserve">prescribers (in accordance with individual state and territory requirements) included assurance </w:t>
      </w:r>
      <w:r w:rsidR="00B742E7">
        <w:rPr>
          <w:szCs w:val="22"/>
        </w:rPr>
        <w:t xml:space="preserve">that </w:t>
      </w:r>
      <w:r w:rsidR="00E50AD7" w:rsidRPr="00E50AD7">
        <w:rPr>
          <w:szCs w:val="22"/>
        </w:rPr>
        <w:t>the existing standardised training for all potential prescribers as per current approved Australian RMP (i.e. mandatory practitioner training and certification) would be maintained, and was supported by data provided in the dossier.</w:t>
      </w:r>
    </w:p>
    <w:p w14:paraId="03179C5A" w14:textId="1914C4C0" w:rsidR="00E50AD7" w:rsidRPr="00E50AD7" w:rsidRDefault="00E50AD7" w:rsidP="00E50AD7">
      <w:pPr>
        <w:rPr>
          <w:szCs w:val="22"/>
        </w:rPr>
      </w:pPr>
      <w:r w:rsidRPr="00E50AD7">
        <w:rPr>
          <w:szCs w:val="22"/>
        </w:rPr>
        <w:t xml:space="preserve">As noted in the clinical evaluation report, all the </w:t>
      </w:r>
      <w:r w:rsidR="00B742E7">
        <w:rPr>
          <w:szCs w:val="22"/>
        </w:rPr>
        <w:t>MLPs</w:t>
      </w:r>
      <w:r w:rsidR="00B742E7" w:rsidRPr="00E50AD7">
        <w:rPr>
          <w:szCs w:val="22"/>
        </w:rPr>
        <w:t xml:space="preserve"> </w:t>
      </w:r>
      <w:r w:rsidRPr="00E50AD7">
        <w:rPr>
          <w:szCs w:val="22"/>
        </w:rPr>
        <w:t xml:space="preserve">underwent MToP training in the Warriner </w:t>
      </w:r>
      <w:r w:rsidRPr="00E50AD7">
        <w:rPr>
          <w:i/>
          <w:iCs/>
          <w:szCs w:val="22"/>
        </w:rPr>
        <w:t>et al</w:t>
      </w:r>
      <w:r w:rsidRPr="00E50AD7">
        <w:rPr>
          <w:szCs w:val="22"/>
        </w:rPr>
        <w:t xml:space="preserve">. and Jejeebhoy </w:t>
      </w:r>
      <w:r w:rsidRPr="00E50AD7">
        <w:rPr>
          <w:i/>
          <w:iCs/>
          <w:szCs w:val="22"/>
        </w:rPr>
        <w:t>et al</w:t>
      </w:r>
      <w:r w:rsidRPr="00E50AD7">
        <w:rPr>
          <w:szCs w:val="22"/>
        </w:rPr>
        <w:t xml:space="preserve">. studies (including certification in the Warriner </w:t>
      </w:r>
      <w:r w:rsidRPr="00E50AD7">
        <w:rPr>
          <w:i/>
          <w:iCs/>
          <w:szCs w:val="22"/>
        </w:rPr>
        <w:t>et al</w:t>
      </w:r>
      <w:r w:rsidRPr="00E50AD7">
        <w:rPr>
          <w:szCs w:val="22"/>
        </w:rPr>
        <w:t>. study)</w:t>
      </w:r>
      <w:r w:rsidR="000738A0">
        <w:rPr>
          <w:szCs w:val="22"/>
        </w:rPr>
        <w:fldChar w:fldCharType="begin"/>
      </w:r>
      <w:r w:rsidR="000738A0">
        <w:rPr>
          <w:szCs w:val="22"/>
        </w:rPr>
        <w:instrText xml:space="preserve"> NOTEREF _Ref155608523 \f </w:instrText>
      </w:r>
      <w:r w:rsidR="000738A0">
        <w:rPr>
          <w:szCs w:val="22"/>
        </w:rPr>
        <w:fldChar w:fldCharType="separate"/>
      </w:r>
      <w:r w:rsidR="000738A0" w:rsidRPr="000738A0">
        <w:rPr>
          <w:rStyle w:val="FootnoteReference"/>
        </w:rPr>
        <w:t>2</w:t>
      </w:r>
      <w:r w:rsidR="000738A0">
        <w:rPr>
          <w:szCs w:val="22"/>
        </w:rPr>
        <w:fldChar w:fldCharType="end"/>
      </w:r>
      <w:r w:rsidR="000738A0" w:rsidRPr="00E50AD7">
        <w:rPr>
          <w:szCs w:val="22"/>
          <w:vertAlign w:val="superscript"/>
        </w:rPr>
        <w:t>,</w:t>
      </w:r>
      <w:r w:rsidR="000738A0">
        <w:rPr>
          <w:szCs w:val="22"/>
        </w:rPr>
        <w:fldChar w:fldCharType="begin"/>
      </w:r>
      <w:r w:rsidR="000738A0">
        <w:rPr>
          <w:szCs w:val="22"/>
        </w:rPr>
        <w:instrText xml:space="preserve"> NOTEREF _Ref155608536 \f </w:instrText>
      </w:r>
      <w:r w:rsidR="000738A0">
        <w:rPr>
          <w:szCs w:val="22"/>
        </w:rPr>
        <w:fldChar w:fldCharType="separate"/>
      </w:r>
      <w:r w:rsidR="000738A0" w:rsidRPr="000738A0">
        <w:rPr>
          <w:rStyle w:val="FootnoteReference"/>
        </w:rPr>
        <w:t>3</w:t>
      </w:r>
      <w:r w:rsidR="000738A0">
        <w:rPr>
          <w:szCs w:val="22"/>
        </w:rPr>
        <w:fldChar w:fldCharType="end"/>
      </w:r>
      <w:r w:rsidRPr="00E50AD7">
        <w:rPr>
          <w:szCs w:val="22"/>
        </w:rPr>
        <w:t xml:space="preserve"> and the Kopp Kallner study</w:t>
      </w:r>
      <w:r w:rsidR="000738A0">
        <w:rPr>
          <w:szCs w:val="22"/>
        </w:rPr>
        <w:fldChar w:fldCharType="begin"/>
      </w:r>
      <w:r w:rsidR="000738A0">
        <w:rPr>
          <w:szCs w:val="22"/>
        </w:rPr>
        <w:instrText xml:space="preserve"> NOTEREF _Ref155608483 \f </w:instrText>
      </w:r>
      <w:r w:rsidR="000738A0">
        <w:rPr>
          <w:szCs w:val="22"/>
        </w:rPr>
        <w:fldChar w:fldCharType="separate"/>
      </w:r>
      <w:r w:rsidR="000738A0" w:rsidRPr="000738A0">
        <w:rPr>
          <w:rStyle w:val="FootnoteReference"/>
        </w:rPr>
        <w:t>1</w:t>
      </w:r>
      <w:r w:rsidR="000738A0">
        <w:rPr>
          <w:szCs w:val="22"/>
        </w:rPr>
        <w:fldChar w:fldCharType="end"/>
      </w:r>
      <w:r w:rsidRPr="00E50AD7">
        <w:rPr>
          <w:szCs w:val="22"/>
        </w:rPr>
        <w:t xml:space="preserve"> recruited nurse-midwives experienced in</w:t>
      </w:r>
      <w:r w:rsidR="000443C2">
        <w:rPr>
          <w:szCs w:val="22"/>
        </w:rPr>
        <w:t xml:space="preserve"> provision of</w:t>
      </w:r>
      <w:r w:rsidRPr="00E50AD7">
        <w:rPr>
          <w:szCs w:val="22"/>
        </w:rPr>
        <w:t xml:space="preserve"> MToP who </w:t>
      </w:r>
      <w:r w:rsidR="00B742E7">
        <w:rPr>
          <w:szCs w:val="22"/>
        </w:rPr>
        <w:t xml:space="preserve">then </w:t>
      </w:r>
      <w:r w:rsidRPr="00E50AD7">
        <w:rPr>
          <w:szCs w:val="22"/>
        </w:rPr>
        <w:t>received additional ultrasound training.</w:t>
      </w:r>
      <w:r w:rsidR="00B742E7">
        <w:rPr>
          <w:szCs w:val="22"/>
        </w:rPr>
        <w:t xml:space="preserve"> </w:t>
      </w:r>
      <w:r w:rsidRPr="00E50AD7">
        <w:rPr>
          <w:szCs w:val="22"/>
        </w:rPr>
        <w:t>The proposed removal of ‘</w:t>
      </w:r>
      <w:r w:rsidRPr="00E50AD7">
        <w:rPr>
          <w:i/>
          <w:iCs/>
          <w:szCs w:val="22"/>
        </w:rPr>
        <w:t>certified training</w:t>
      </w:r>
      <w:r w:rsidRPr="00E50AD7">
        <w:rPr>
          <w:szCs w:val="22"/>
        </w:rPr>
        <w:t xml:space="preserve">’ from the PI provided with the Section 31 response </w:t>
      </w:r>
      <w:r w:rsidR="003B6372">
        <w:rPr>
          <w:szCs w:val="22"/>
        </w:rPr>
        <w:t>did</w:t>
      </w:r>
      <w:r w:rsidR="003B6372" w:rsidRPr="00E50AD7">
        <w:rPr>
          <w:szCs w:val="22"/>
        </w:rPr>
        <w:t xml:space="preserve"> </w:t>
      </w:r>
      <w:r w:rsidRPr="00E50AD7">
        <w:rPr>
          <w:szCs w:val="22"/>
        </w:rPr>
        <w:t xml:space="preserve">not </w:t>
      </w:r>
      <w:r w:rsidR="00B742E7">
        <w:rPr>
          <w:szCs w:val="22"/>
        </w:rPr>
        <w:t xml:space="preserve">completely </w:t>
      </w:r>
      <w:r w:rsidRPr="00E50AD7">
        <w:rPr>
          <w:szCs w:val="22"/>
        </w:rPr>
        <w:t xml:space="preserve">align with </w:t>
      </w:r>
      <w:r w:rsidR="00B742E7">
        <w:rPr>
          <w:szCs w:val="22"/>
        </w:rPr>
        <w:t xml:space="preserve">the </w:t>
      </w:r>
      <w:r w:rsidR="00B742E7" w:rsidRPr="00E50AD7">
        <w:rPr>
          <w:szCs w:val="22"/>
        </w:rPr>
        <w:t xml:space="preserve">data included in the submission </w:t>
      </w:r>
      <w:r w:rsidR="00B742E7">
        <w:rPr>
          <w:szCs w:val="22"/>
        </w:rPr>
        <w:t>in</w:t>
      </w:r>
      <w:r w:rsidR="00B742E7" w:rsidRPr="00E50AD7">
        <w:rPr>
          <w:szCs w:val="22"/>
        </w:rPr>
        <w:t xml:space="preserve"> support </w:t>
      </w:r>
      <w:r w:rsidR="00B742E7">
        <w:rPr>
          <w:szCs w:val="22"/>
        </w:rPr>
        <w:t xml:space="preserve">of </w:t>
      </w:r>
      <w:r w:rsidR="00B742E7" w:rsidRPr="00E50AD7">
        <w:rPr>
          <w:szCs w:val="22"/>
        </w:rPr>
        <w:t xml:space="preserve">the </w:t>
      </w:r>
      <w:r w:rsidR="003B6372">
        <w:rPr>
          <w:szCs w:val="22"/>
        </w:rPr>
        <w:t xml:space="preserve">original </w:t>
      </w:r>
      <w:r w:rsidR="00B742E7" w:rsidRPr="00E50AD7">
        <w:rPr>
          <w:szCs w:val="22"/>
        </w:rPr>
        <w:t xml:space="preserve">proposed expansion of prescriber eligibility and </w:t>
      </w:r>
      <w:r w:rsidRPr="00E50AD7">
        <w:rPr>
          <w:szCs w:val="22"/>
        </w:rPr>
        <w:t>the Clinical Expert’s assertion that ‘</w:t>
      </w:r>
      <w:r w:rsidRPr="00E50AD7">
        <w:rPr>
          <w:i/>
          <w:iCs/>
          <w:szCs w:val="22"/>
        </w:rPr>
        <w:t>a minimum baseline of education regardless of training background will continue to be provided</w:t>
      </w:r>
      <w:r w:rsidRPr="00E50AD7">
        <w:rPr>
          <w:szCs w:val="22"/>
        </w:rPr>
        <w:t>’.</w:t>
      </w:r>
    </w:p>
    <w:p w14:paraId="2F54408F" w14:textId="65D876C8" w:rsidR="00C22214" w:rsidRDefault="008C49C6" w:rsidP="00C22214">
      <w:pPr>
        <w:pStyle w:val="Heading4"/>
      </w:pPr>
      <w:bookmarkStart w:id="31" w:name="_Toc158831613"/>
      <w:bookmarkStart w:id="32" w:name="_Toc314842514"/>
      <w:bookmarkEnd w:id="26"/>
      <w:bookmarkEnd w:id="27"/>
      <w:r>
        <w:t>R</w:t>
      </w:r>
      <w:r w:rsidR="00C22214" w:rsidRPr="007B6132">
        <w:t>ecommendation</w:t>
      </w:r>
      <w:r>
        <w:t xml:space="preserve"> following the clinical evaluation</w:t>
      </w:r>
      <w:bookmarkEnd w:id="31"/>
    </w:p>
    <w:p w14:paraId="34004A3B" w14:textId="4CCCB578" w:rsidR="00EC356B" w:rsidRPr="00EC356B" w:rsidRDefault="00EC356B" w:rsidP="00EC356B">
      <w:pPr>
        <w:spacing w:before="120" w:line="240" w:lineRule="atLeast"/>
        <w:rPr>
          <w:rFonts w:eastAsia="Calibri" w:cs="Times New Roman"/>
          <w:szCs w:val="22"/>
        </w:rPr>
      </w:pPr>
      <w:bookmarkStart w:id="33" w:name="_Toc103679298"/>
      <w:r w:rsidRPr="00EC356B">
        <w:rPr>
          <w:rFonts w:eastAsia="Calibri" w:cs="Times New Roman"/>
          <w:szCs w:val="22"/>
          <w:lang w:eastAsia="ja-JP"/>
        </w:rPr>
        <w:t>The evidence provided in the submission support</w:t>
      </w:r>
      <w:r w:rsidR="000443C2">
        <w:rPr>
          <w:rFonts w:eastAsia="Calibri" w:cs="Times New Roman"/>
          <w:szCs w:val="22"/>
          <w:lang w:eastAsia="ja-JP"/>
        </w:rPr>
        <w:t>s</w:t>
      </w:r>
      <w:r w:rsidRPr="00EC356B">
        <w:rPr>
          <w:rFonts w:eastAsia="Calibri" w:cs="Times New Roman"/>
          <w:szCs w:val="22"/>
          <w:lang w:eastAsia="ja-JP"/>
        </w:rPr>
        <w:t xml:space="preserve"> the proposed changes to the boxed warning to </w:t>
      </w:r>
      <w:r w:rsidRPr="00EC356B">
        <w:rPr>
          <w:rFonts w:eastAsia="Cambria" w:cs="Times New Roman"/>
          <w:szCs w:val="22"/>
          <w:lang w:eastAsia="ja-JP"/>
        </w:rPr>
        <w:t>amend ‘</w:t>
      </w:r>
      <w:r w:rsidRPr="00B742E7">
        <w:rPr>
          <w:rFonts w:eastAsia="Cambria" w:cs="Times New Roman"/>
          <w:i/>
          <w:iCs/>
          <w:szCs w:val="22"/>
          <w:lang w:eastAsia="ja-JP"/>
        </w:rPr>
        <w:t>medical practitioner</w:t>
      </w:r>
      <w:r w:rsidRPr="00EC356B">
        <w:rPr>
          <w:rFonts w:eastAsia="Cambria" w:cs="Times New Roman"/>
          <w:szCs w:val="22"/>
          <w:lang w:eastAsia="ja-JP"/>
        </w:rPr>
        <w:t>’ to ‘</w:t>
      </w:r>
      <w:r w:rsidRPr="00B742E7">
        <w:rPr>
          <w:rFonts w:eastAsia="Cambria" w:cs="Times New Roman"/>
          <w:i/>
          <w:iCs/>
          <w:szCs w:val="22"/>
          <w:lang w:eastAsia="ja-JP"/>
        </w:rPr>
        <w:t>healthcare practitioner</w:t>
      </w:r>
      <w:r w:rsidRPr="00EC356B">
        <w:rPr>
          <w:rFonts w:eastAsia="Cambria" w:cs="Times New Roman"/>
          <w:szCs w:val="22"/>
          <w:lang w:eastAsia="ja-JP"/>
        </w:rPr>
        <w:t xml:space="preserve">’ and to amend </w:t>
      </w:r>
      <w:r w:rsidR="000443C2" w:rsidRPr="00EC356B">
        <w:rPr>
          <w:rFonts w:eastAsia="Cambria" w:cs="Times New Roman"/>
          <w:szCs w:val="22"/>
          <w:lang w:eastAsia="ja-JP"/>
        </w:rPr>
        <w:t xml:space="preserve">Section 4.2 </w:t>
      </w:r>
      <w:r w:rsidRPr="00EC356B">
        <w:rPr>
          <w:rFonts w:eastAsia="Cambria" w:cs="Times New Roman"/>
          <w:szCs w:val="22"/>
          <w:lang w:eastAsia="ja-JP"/>
        </w:rPr>
        <w:t>‘</w:t>
      </w:r>
      <w:r w:rsidRPr="00B742E7">
        <w:rPr>
          <w:rFonts w:eastAsia="Cambria" w:cs="Times New Roman"/>
          <w:i/>
          <w:iCs/>
          <w:szCs w:val="22"/>
          <w:lang w:eastAsia="ja-JP"/>
        </w:rPr>
        <w:t xml:space="preserve">doctors </w:t>
      </w:r>
      <w:r w:rsidRPr="00B742E7">
        <w:rPr>
          <w:rFonts w:eastAsia="Cambria" w:cs="Times New Roman"/>
          <w:i/>
          <w:iCs/>
          <w:szCs w:val="22"/>
        </w:rPr>
        <w:t>with the appropriate qualifications and certified training</w:t>
      </w:r>
      <w:r w:rsidRPr="00EC356B">
        <w:rPr>
          <w:rFonts w:eastAsia="Cambria" w:cs="Times New Roman"/>
          <w:szCs w:val="22"/>
          <w:lang w:eastAsia="ja-JP"/>
        </w:rPr>
        <w:t>’ to ‘</w:t>
      </w:r>
      <w:r w:rsidRPr="00B742E7">
        <w:rPr>
          <w:rFonts w:eastAsia="Cambria" w:cs="Times New Roman"/>
          <w:i/>
          <w:iCs/>
          <w:szCs w:val="22"/>
        </w:rPr>
        <w:t>healthcare practitioners with the appropriate qualifications and training</w:t>
      </w:r>
      <w:r w:rsidRPr="00EC356B">
        <w:rPr>
          <w:rFonts w:eastAsia="Cambria" w:cs="Times New Roman"/>
          <w:szCs w:val="22"/>
        </w:rPr>
        <w:t>’</w:t>
      </w:r>
      <w:r w:rsidRPr="00EC356B">
        <w:rPr>
          <w:rFonts w:eastAsia="Calibri" w:cs="Times New Roman"/>
          <w:szCs w:val="22"/>
          <w:lang w:eastAsia="ja-JP"/>
        </w:rPr>
        <w:t xml:space="preserve"> (in accordance with individual state and territory requirements) </w:t>
      </w:r>
      <w:r w:rsidRPr="00EC356B">
        <w:rPr>
          <w:rFonts w:eastAsia="Calibri" w:cs="Times New Roman"/>
          <w:szCs w:val="22"/>
        </w:rPr>
        <w:t xml:space="preserve">on the basis </w:t>
      </w:r>
      <w:r w:rsidR="000443C2">
        <w:rPr>
          <w:rFonts w:eastAsia="Calibri" w:cs="Times New Roman"/>
          <w:szCs w:val="22"/>
        </w:rPr>
        <w:t xml:space="preserve">that </w:t>
      </w:r>
      <w:r w:rsidRPr="00EC356B">
        <w:rPr>
          <w:rFonts w:eastAsia="Calibri" w:cs="Times New Roman"/>
          <w:szCs w:val="22"/>
        </w:rPr>
        <w:t xml:space="preserve">the existing standardised training for all potential prescribers is </w:t>
      </w:r>
      <w:r w:rsidRPr="00EC356B">
        <w:rPr>
          <w:rFonts w:eastAsia="Calibri" w:cs="Times New Roman"/>
          <w:szCs w:val="22"/>
        </w:rPr>
        <w:lastRenderedPageBreak/>
        <w:t>maintained.</w:t>
      </w:r>
      <w:r w:rsidR="00CE2477">
        <w:rPr>
          <w:rFonts w:eastAsia="Calibri" w:cs="Times New Roman"/>
          <w:szCs w:val="22"/>
        </w:rPr>
        <w:t xml:space="preserve"> </w:t>
      </w:r>
      <w:r w:rsidR="00CE2477" w:rsidRPr="00CE2477">
        <w:rPr>
          <w:rFonts w:eastAsia="Calibri" w:cs="Times New Roman"/>
          <w:szCs w:val="22"/>
        </w:rPr>
        <w:t xml:space="preserve">However, the </w:t>
      </w:r>
      <w:r w:rsidR="00B742E7">
        <w:rPr>
          <w:rFonts w:eastAsia="Calibri" w:cs="Times New Roman"/>
          <w:szCs w:val="22"/>
        </w:rPr>
        <w:t>S</w:t>
      </w:r>
      <w:r w:rsidR="00B742E7" w:rsidRPr="00CE2477">
        <w:rPr>
          <w:rFonts w:eastAsia="Calibri" w:cs="Times New Roman"/>
          <w:szCs w:val="22"/>
        </w:rPr>
        <w:t xml:space="preserve">ponsor’s </w:t>
      </w:r>
      <w:r w:rsidR="00CE2477" w:rsidRPr="00CE2477">
        <w:rPr>
          <w:rFonts w:eastAsia="Calibri" w:cs="Times New Roman"/>
          <w:szCs w:val="22"/>
        </w:rPr>
        <w:t xml:space="preserve">proposal to remove </w:t>
      </w:r>
      <w:r w:rsidR="00B742E7">
        <w:rPr>
          <w:rFonts w:eastAsia="Calibri" w:cs="Times New Roman"/>
          <w:szCs w:val="22"/>
        </w:rPr>
        <w:t xml:space="preserve">the </w:t>
      </w:r>
      <w:r w:rsidR="00CE2477" w:rsidRPr="00CE2477">
        <w:rPr>
          <w:rFonts w:eastAsia="Calibri" w:cs="Times New Roman"/>
          <w:szCs w:val="22"/>
        </w:rPr>
        <w:t>certified training</w:t>
      </w:r>
      <w:r w:rsidR="00B742E7">
        <w:rPr>
          <w:rFonts w:eastAsia="Calibri" w:cs="Times New Roman"/>
          <w:szCs w:val="22"/>
        </w:rPr>
        <w:t xml:space="preserve"> requirement</w:t>
      </w:r>
      <w:r w:rsidR="00CE2477" w:rsidRPr="00CE2477">
        <w:rPr>
          <w:rFonts w:eastAsia="Calibri" w:cs="Times New Roman"/>
          <w:szCs w:val="22"/>
        </w:rPr>
        <w:t xml:space="preserve"> from the </w:t>
      </w:r>
      <w:r w:rsidR="00B742E7">
        <w:rPr>
          <w:rFonts w:eastAsia="Calibri" w:cs="Times New Roman"/>
          <w:szCs w:val="22"/>
        </w:rPr>
        <w:t>PI and RMP</w:t>
      </w:r>
      <w:r w:rsidR="00B742E7" w:rsidRPr="00CE2477">
        <w:rPr>
          <w:rFonts w:eastAsia="Calibri" w:cs="Times New Roman"/>
          <w:szCs w:val="22"/>
        </w:rPr>
        <w:t xml:space="preserve"> </w:t>
      </w:r>
      <w:r w:rsidR="00CE2477" w:rsidRPr="00CE2477">
        <w:rPr>
          <w:rFonts w:eastAsia="Calibri" w:cs="Times New Roman"/>
          <w:szCs w:val="22"/>
        </w:rPr>
        <w:t xml:space="preserve">created uncertainty regarding the risk of expanding prescriber eligibility </w:t>
      </w:r>
      <w:r w:rsidR="009E0782">
        <w:rPr>
          <w:rFonts w:eastAsia="Calibri" w:cs="Times New Roman"/>
          <w:szCs w:val="22"/>
        </w:rPr>
        <w:t xml:space="preserve">which </w:t>
      </w:r>
      <w:r w:rsidR="00233FBC">
        <w:rPr>
          <w:rFonts w:eastAsia="Calibri" w:cs="Times New Roman"/>
          <w:szCs w:val="22"/>
        </w:rPr>
        <w:t>required</w:t>
      </w:r>
      <w:r w:rsidR="009E0782">
        <w:rPr>
          <w:rFonts w:eastAsia="Calibri" w:cs="Times New Roman"/>
          <w:szCs w:val="22"/>
        </w:rPr>
        <w:t xml:space="preserve"> </w:t>
      </w:r>
      <w:r w:rsidR="000443C2">
        <w:rPr>
          <w:rFonts w:eastAsia="Calibri" w:cs="Times New Roman"/>
          <w:szCs w:val="22"/>
        </w:rPr>
        <w:t xml:space="preserve">ACM advice and </w:t>
      </w:r>
      <w:r w:rsidR="009E0782">
        <w:rPr>
          <w:rFonts w:eastAsia="Calibri" w:cs="Times New Roman"/>
          <w:szCs w:val="22"/>
        </w:rPr>
        <w:t>further consideration by the clinical delegate</w:t>
      </w:r>
      <w:r w:rsidR="00CE2477" w:rsidRPr="00CE2477">
        <w:rPr>
          <w:rFonts w:eastAsia="Calibri" w:cs="Times New Roman"/>
          <w:szCs w:val="22"/>
        </w:rPr>
        <w:t>.</w:t>
      </w:r>
    </w:p>
    <w:p w14:paraId="2858B006" w14:textId="34A04528" w:rsidR="00C22214" w:rsidRDefault="00C22214" w:rsidP="00C22214">
      <w:pPr>
        <w:pStyle w:val="Heading3"/>
        <w:rPr>
          <w:lang w:eastAsia="en-AU"/>
        </w:rPr>
      </w:pPr>
      <w:bookmarkStart w:id="34" w:name="_Toc158831614"/>
      <w:r>
        <w:rPr>
          <w:lang w:eastAsia="en-AU"/>
        </w:rPr>
        <w:t>Risk management plan</w:t>
      </w:r>
      <w:bookmarkEnd w:id="32"/>
      <w:bookmarkEnd w:id="33"/>
      <w:r w:rsidR="00397668">
        <w:rPr>
          <w:lang w:eastAsia="en-AU"/>
        </w:rPr>
        <w:t xml:space="preserve"> (RMP)</w:t>
      </w:r>
      <w:bookmarkEnd w:id="34"/>
    </w:p>
    <w:p w14:paraId="1A371593" w14:textId="0E9BE65C" w:rsidR="00B742E7" w:rsidRDefault="00397668" w:rsidP="00B742E7">
      <w:pPr>
        <w:rPr>
          <w:szCs w:val="22"/>
        </w:rPr>
      </w:pPr>
      <w:bookmarkStart w:id="35" w:name="_Toc247691531"/>
      <w:bookmarkStart w:id="36" w:name="_Toc314842515"/>
      <w:r>
        <w:rPr>
          <w:szCs w:val="22"/>
        </w:rPr>
        <w:t>A</w:t>
      </w:r>
      <w:r w:rsidR="000443C2">
        <w:rPr>
          <w:szCs w:val="22"/>
        </w:rPr>
        <w:t>n</w:t>
      </w:r>
      <w:r w:rsidR="003405C8">
        <w:rPr>
          <w:szCs w:val="22"/>
        </w:rPr>
        <w:t xml:space="preserve"> </w:t>
      </w:r>
      <w:r w:rsidR="00B742E7">
        <w:rPr>
          <w:szCs w:val="22"/>
        </w:rPr>
        <w:t xml:space="preserve">updated </w:t>
      </w:r>
      <w:r w:rsidRPr="00397668">
        <w:rPr>
          <w:szCs w:val="22"/>
        </w:rPr>
        <w:t xml:space="preserve">RMP </w:t>
      </w:r>
      <w:r>
        <w:rPr>
          <w:szCs w:val="22"/>
        </w:rPr>
        <w:t xml:space="preserve">was submitted </w:t>
      </w:r>
      <w:r w:rsidR="003405C8">
        <w:rPr>
          <w:szCs w:val="22"/>
        </w:rPr>
        <w:t xml:space="preserve">with </w:t>
      </w:r>
      <w:r w:rsidR="00B742E7">
        <w:rPr>
          <w:szCs w:val="22"/>
        </w:rPr>
        <w:t>changes</w:t>
      </w:r>
      <w:r w:rsidR="00B742E7" w:rsidRPr="00397668">
        <w:rPr>
          <w:szCs w:val="22"/>
        </w:rPr>
        <w:t xml:space="preserve"> </w:t>
      </w:r>
      <w:r w:rsidRPr="00397668">
        <w:rPr>
          <w:szCs w:val="22"/>
        </w:rPr>
        <w:t xml:space="preserve">to the summary of safety concerns (SoSC) and </w:t>
      </w:r>
      <w:r w:rsidRPr="00B742E7">
        <w:rPr>
          <w:szCs w:val="22"/>
        </w:rPr>
        <w:t>the risk minimisation plan</w:t>
      </w:r>
      <w:r w:rsidR="00602B0A" w:rsidRPr="00B742E7">
        <w:rPr>
          <w:szCs w:val="22"/>
        </w:rPr>
        <w:t xml:space="preserve"> which addressed the proposed amendments in the current submission.</w:t>
      </w:r>
    </w:p>
    <w:p w14:paraId="0D9542EA" w14:textId="50E0ABEA" w:rsidR="00B742E7" w:rsidRPr="00B742E7" w:rsidRDefault="00B742E7" w:rsidP="00B742E7">
      <w:pPr>
        <w:rPr>
          <w:szCs w:val="22"/>
        </w:rPr>
      </w:pPr>
      <w:r>
        <w:rPr>
          <w:szCs w:val="22"/>
        </w:rPr>
        <w:t>K</w:t>
      </w:r>
      <w:r w:rsidRPr="00B742E7">
        <w:rPr>
          <w:szCs w:val="22"/>
        </w:rPr>
        <w:t>ey changes proposed for risk minimisation activities:</w:t>
      </w:r>
    </w:p>
    <w:p w14:paraId="3234C77A" w14:textId="71B8D032" w:rsidR="00B742E7" w:rsidRPr="00B742E7" w:rsidRDefault="00B742E7" w:rsidP="00B742E7">
      <w:pPr>
        <w:pStyle w:val="ListParagraph"/>
        <w:numPr>
          <w:ilvl w:val="0"/>
          <w:numId w:val="16"/>
        </w:numPr>
        <w:rPr>
          <w:rFonts w:ascii="Cambria" w:hAnsi="Cambria"/>
          <w:sz w:val="22"/>
          <w:szCs w:val="22"/>
        </w:rPr>
      </w:pPr>
      <w:r w:rsidRPr="00B742E7">
        <w:rPr>
          <w:rFonts w:ascii="Cambria" w:hAnsi="Cambria"/>
          <w:sz w:val="22"/>
          <w:szCs w:val="22"/>
        </w:rPr>
        <w:t>To remove the requirement for pharmacists to be registered to be able to dispense the product</w:t>
      </w:r>
    </w:p>
    <w:p w14:paraId="76B7D1C3" w14:textId="77777777" w:rsidR="00B742E7" w:rsidRPr="00D853CA" w:rsidRDefault="00B742E7" w:rsidP="00B742E7">
      <w:pPr>
        <w:pStyle w:val="ListParagraph"/>
        <w:numPr>
          <w:ilvl w:val="0"/>
          <w:numId w:val="16"/>
        </w:numPr>
        <w:rPr>
          <w:rFonts w:ascii="Cambria" w:hAnsi="Cambria"/>
          <w:sz w:val="22"/>
          <w:szCs w:val="22"/>
        </w:rPr>
      </w:pPr>
      <w:r w:rsidRPr="00D853CA">
        <w:rPr>
          <w:rFonts w:ascii="Cambria" w:hAnsi="Cambria"/>
          <w:sz w:val="22"/>
          <w:szCs w:val="22"/>
        </w:rPr>
        <w:t>To remove the need for prescribers to complete mandatory training and receive certification to be able to prescribe the product</w:t>
      </w:r>
    </w:p>
    <w:p w14:paraId="2DD57434" w14:textId="33A94D40" w:rsidR="00B742E7" w:rsidRPr="00B742E7" w:rsidRDefault="00B742E7" w:rsidP="00B742E7">
      <w:pPr>
        <w:pStyle w:val="ListParagraph"/>
        <w:numPr>
          <w:ilvl w:val="0"/>
          <w:numId w:val="16"/>
        </w:numPr>
        <w:rPr>
          <w:rFonts w:ascii="Cambria" w:hAnsi="Cambria"/>
          <w:sz w:val="22"/>
          <w:szCs w:val="22"/>
        </w:rPr>
      </w:pPr>
      <w:r w:rsidRPr="00B742E7">
        <w:rPr>
          <w:rFonts w:ascii="Cambria" w:hAnsi="Cambria"/>
          <w:sz w:val="22"/>
          <w:szCs w:val="22"/>
        </w:rPr>
        <w:t>To remove the requirement for prescriber recertification</w:t>
      </w:r>
    </w:p>
    <w:p w14:paraId="1C1C0BD4" w14:textId="32651697" w:rsidR="00B742E7" w:rsidRPr="00B742E7" w:rsidRDefault="00B742E7" w:rsidP="00B742E7">
      <w:pPr>
        <w:pStyle w:val="ListParagraph"/>
        <w:numPr>
          <w:ilvl w:val="0"/>
          <w:numId w:val="16"/>
        </w:numPr>
        <w:rPr>
          <w:rFonts w:ascii="Cambria" w:hAnsi="Cambria"/>
          <w:sz w:val="22"/>
          <w:szCs w:val="22"/>
        </w:rPr>
      </w:pPr>
      <w:r w:rsidRPr="00B742E7">
        <w:rPr>
          <w:rFonts w:ascii="Cambria" w:hAnsi="Cambria"/>
          <w:sz w:val="22"/>
          <w:szCs w:val="22"/>
        </w:rPr>
        <w:t xml:space="preserve">To remove the requirement for a </w:t>
      </w:r>
      <w:r>
        <w:rPr>
          <w:rFonts w:ascii="Cambria" w:hAnsi="Cambria"/>
          <w:sz w:val="22"/>
          <w:szCs w:val="22"/>
        </w:rPr>
        <w:t>s</w:t>
      </w:r>
      <w:r w:rsidRPr="00B742E7">
        <w:rPr>
          <w:rFonts w:ascii="Cambria" w:hAnsi="Cambria"/>
          <w:sz w:val="22"/>
          <w:szCs w:val="22"/>
        </w:rPr>
        <w:t>ponsor provided 24 hour</w:t>
      </w:r>
      <w:r>
        <w:rPr>
          <w:rFonts w:ascii="Cambria" w:hAnsi="Cambria"/>
          <w:sz w:val="22"/>
          <w:szCs w:val="22"/>
        </w:rPr>
        <w:t xml:space="preserve"> telephone nurse </w:t>
      </w:r>
      <w:r w:rsidRPr="00B742E7">
        <w:rPr>
          <w:rFonts w:ascii="Cambria" w:hAnsi="Cambria"/>
          <w:sz w:val="22"/>
          <w:szCs w:val="22"/>
        </w:rPr>
        <w:t>aftercare service</w:t>
      </w:r>
      <w:r>
        <w:rPr>
          <w:rFonts w:ascii="Cambria" w:hAnsi="Cambria"/>
          <w:sz w:val="22"/>
          <w:szCs w:val="22"/>
        </w:rPr>
        <w:t xml:space="preserve"> for patients</w:t>
      </w:r>
      <w:r w:rsidRPr="00B742E7">
        <w:rPr>
          <w:rFonts w:ascii="Cambria" w:hAnsi="Cambria"/>
          <w:sz w:val="22"/>
          <w:szCs w:val="22"/>
        </w:rPr>
        <w:t>.</w:t>
      </w:r>
    </w:p>
    <w:p w14:paraId="70AFA35E" w14:textId="4E0FC44D" w:rsidR="006F3B5B" w:rsidRPr="006F3B5B" w:rsidRDefault="006F3B5B" w:rsidP="006F3B5B">
      <w:pPr>
        <w:rPr>
          <w:szCs w:val="22"/>
        </w:rPr>
      </w:pPr>
      <w:r w:rsidRPr="00B742E7">
        <w:rPr>
          <w:szCs w:val="22"/>
        </w:rPr>
        <w:t xml:space="preserve">The </w:t>
      </w:r>
      <w:r w:rsidR="00B742E7" w:rsidRPr="00B742E7">
        <w:rPr>
          <w:szCs w:val="22"/>
        </w:rPr>
        <w:t>S</w:t>
      </w:r>
      <w:r w:rsidRPr="00B742E7">
        <w:rPr>
          <w:szCs w:val="22"/>
        </w:rPr>
        <w:t>ponsor proposed to remove the phrase ‘</w:t>
      </w:r>
      <w:r w:rsidRPr="00B742E7">
        <w:rPr>
          <w:i/>
          <w:iCs/>
          <w:szCs w:val="22"/>
        </w:rPr>
        <w:t>Potential for loss to follow-up</w:t>
      </w:r>
      <w:r w:rsidRPr="00B742E7">
        <w:rPr>
          <w:szCs w:val="22"/>
        </w:rPr>
        <w:t>’ from the RMP and this is acceptable from an RMP perspective. However, the sponsor has also proposed to remove</w:t>
      </w:r>
      <w:r w:rsidRPr="006F3B5B">
        <w:rPr>
          <w:szCs w:val="22"/>
        </w:rPr>
        <w:t xml:space="preserve"> ‘</w:t>
      </w:r>
      <w:r w:rsidRPr="00B742E7">
        <w:rPr>
          <w:i/>
          <w:iCs/>
          <w:szCs w:val="22"/>
        </w:rPr>
        <w:t>Potential safety risks in vulnerable groups including women in regional and remote areas of Australia, who may be particularly at risk of being lost to follow-up</w:t>
      </w:r>
      <w:r w:rsidRPr="006F3B5B">
        <w:rPr>
          <w:szCs w:val="22"/>
        </w:rPr>
        <w:t xml:space="preserve">’, which is not supported as there are additional considerations to this risk with regards to access to further advice or treatment if follow-up does not occur.   </w:t>
      </w:r>
    </w:p>
    <w:p w14:paraId="1D1B41D0" w14:textId="3F355C1C" w:rsidR="006F3B5B" w:rsidRPr="006F3B5B" w:rsidRDefault="006F3B5B" w:rsidP="006F3B5B">
      <w:pPr>
        <w:rPr>
          <w:szCs w:val="22"/>
        </w:rPr>
      </w:pPr>
      <w:r w:rsidRPr="006F3B5B">
        <w:rPr>
          <w:szCs w:val="22"/>
        </w:rPr>
        <w:t xml:space="preserve">Routine pharmacovigilance is proposed for all safety concerns. There is one additional pharmacovigilance activity – an ongoing Canadian post-market surveillance study on the effectiveness and safety of combination mifepristone/misoprostol for medical abortion under 63 days gestation. </w:t>
      </w:r>
    </w:p>
    <w:p w14:paraId="04255CF7" w14:textId="44184621" w:rsidR="00B742E7" w:rsidRDefault="00B742E7" w:rsidP="006F3B5B">
      <w:pPr>
        <w:rPr>
          <w:szCs w:val="22"/>
        </w:rPr>
      </w:pPr>
      <w:r>
        <w:rPr>
          <w:szCs w:val="22"/>
        </w:rPr>
        <w:t>R</w:t>
      </w:r>
      <w:r w:rsidR="006F3B5B" w:rsidRPr="006F3B5B">
        <w:rPr>
          <w:szCs w:val="22"/>
        </w:rPr>
        <w:t xml:space="preserve">isk minimisation activities </w:t>
      </w:r>
      <w:r w:rsidR="006F3B5B">
        <w:rPr>
          <w:szCs w:val="22"/>
        </w:rPr>
        <w:t xml:space="preserve">outlined in the current RMP </w:t>
      </w:r>
      <w:r>
        <w:rPr>
          <w:szCs w:val="22"/>
        </w:rPr>
        <w:t>and maintained in the updated RMP include</w:t>
      </w:r>
      <w:r w:rsidR="006F3B5B" w:rsidRPr="006F3B5B">
        <w:rPr>
          <w:szCs w:val="22"/>
        </w:rPr>
        <w:t xml:space="preserve"> a black box warning, inclusion of CMI and instruction insert in </w:t>
      </w:r>
      <w:r w:rsidR="006F3B5B">
        <w:rPr>
          <w:szCs w:val="22"/>
        </w:rPr>
        <w:t xml:space="preserve">the </w:t>
      </w:r>
      <w:r w:rsidR="006F3B5B" w:rsidRPr="006F3B5B">
        <w:rPr>
          <w:szCs w:val="22"/>
        </w:rPr>
        <w:t xml:space="preserve">pack, and </w:t>
      </w:r>
      <w:r w:rsidR="006F3B5B">
        <w:rPr>
          <w:szCs w:val="22"/>
        </w:rPr>
        <w:t xml:space="preserve">a </w:t>
      </w:r>
      <w:r w:rsidR="006F3B5B" w:rsidRPr="006F3B5B">
        <w:rPr>
          <w:szCs w:val="22"/>
        </w:rPr>
        <w:t xml:space="preserve">Patient Information and Consent Agreement form. The sponsor will continue to make educational materials available </w:t>
      </w:r>
      <w:r w:rsidR="006F3B5B">
        <w:rPr>
          <w:szCs w:val="22"/>
        </w:rPr>
        <w:t>to</w:t>
      </w:r>
      <w:r w:rsidR="006F3B5B" w:rsidRPr="006F3B5B">
        <w:rPr>
          <w:szCs w:val="22"/>
        </w:rPr>
        <w:t xml:space="preserve"> support prescribers and dispensers.</w:t>
      </w:r>
    </w:p>
    <w:p w14:paraId="218FAD0E" w14:textId="7CACF87E" w:rsidR="00B742E7" w:rsidRDefault="006F3B5B" w:rsidP="006F3B5B">
      <w:pPr>
        <w:rPr>
          <w:szCs w:val="22"/>
        </w:rPr>
      </w:pPr>
      <w:r w:rsidRPr="006F3B5B">
        <w:rPr>
          <w:szCs w:val="22"/>
        </w:rPr>
        <w:t>The proposed risk minimisation plan aligns with that in Canada and the UK. The RMP evaluator has noted the post-market experience with MS-2 Step, its well-established safety profile, and existing safety frameworks in place. The RMP evaluator has also noted the importance of timely access of this medicine in terms of patient-safety and the need to remove requirements that hinder patient access to reproductive services.</w:t>
      </w:r>
    </w:p>
    <w:p w14:paraId="39B89B5C" w14:textId="00F3E164" w:rsidR="006F3B5B" w:rsidRPr="006F3B5B" w:rsidRDefault="006F3B5B" w:rsidP="006F3B5B">
      <w:pPr>
        <w:rPr>
          <w:szCs w:val="22"/>
        </w:rPr>
      </w:pPr>
      <w:r w:rsidRPr="006F3B5B">
        <w:rPr>
          <w:szCs w:val="22"/>
        </w:rPr>
        <w:t xml:space="preserve">The proposed changes to the risk minimisation plan </w:t>
      </w:r>
      <w:r w:rsidR="00233FBC">
        <w:rPr>
          <w:szCs w:val="22"/>
        </w:rPr>
        <w:t>were</w:t>
      </w:r>
      <w:r w:rsidR="00233FBC" w:rsidRPr="006F3B5B">
        <w:rPr>
          <w:szCs w:val="22"/>
        </w:rPr>
        <w:t xml:space="preserve"> </w:t>
      </w:r>
      <w:r w:rsidRPr="006F3B5B">
        <w:rPr>
          <w:szCs w:val="22"/>
        </w:rPr>
        <w:t xml:space="preserve">acceptable from an RMP perspective. The sponsor </w:t>
      </w:r>
      <w:r w:rsidR="00233FBC">
        <w:rPr>
          <w:szCs w:val="22"/>
        </w:rPr>
        <w:t>was</w:t>
      </w:r>
      <w:r w:rsidRPr="006F3B5B">
        <w:rPr>
          <w:szCs w:val="22"/>
        </w:rPr>
        <w:t xml:space="preserve"> requested to include a copy of the Educational Program materials and Patient Information and Consent Agreement form in the appendix of the RMP.</w:t>
      </w:r>
    </w:p>
    <w:p w14:paraId="39F3CD1D" w14:textId="0111BF7A" w:rsidR="0072003B" w:rsidRPr="00BD5DBD" w:rsidRDefault="00C22214" w:rsidP="00C22214">
      <w:pPr>
        <w:rPr>
          <w:szCs w:val="22"/>
        </w:rPr>
      </w:pPr>
      <w:r w:rsidRPr="00BD5DBD">
        <w:rPr>
          <w:szCs w:val="22"/>
        </w:rPr>
        <w:t>The summary of safety concerns and their associated risk monitoring and mitigation strategies are summarised in</w:t>
      </w:r>
      <w:r w:rsidR="003B149C">
        <w:rPr>
          <w:szCs w:val="22"/>
        </w:rPr>
        <w:t xml:space="preserve"> </w:t>
      </w:r>
      <w:r w:rsidR="00BD4090">
        <w:rPr>
          <w:szCs w:val="22"/>
        </w:rPr>
        <w:t>Table 2</w:t>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life-cycle, during both the pre-approval and post-approval phases.</w:t>
      </w:r>
    </w:p>
    <w:p w14:paraId="56B51A93" w14:textId="11149F1B" w:rsidR="006A277A" w:rsidRDefault="00C22214" w:rsidP="00C22214">
      <w:pPr>
        <w:pStyle w:val="TableTitle"/>
      </w:pPr>
      <w:bookmarkStart w:id="37" w:name="_Ref97629131"/>
      <w:r>
        <w:t xml:space="preserve">Table </w:t>
      </w:r>
      <w:bookmarkEnd w:id="37"/>
      <w:r w:rsidR="00BD4090">
        <w:t>2</w:t>
      </w:r>
      <w:r>
        <w:t>: Summary of safety concerns</w:t>
      </w:r>
    </w:p>
    <w:tbl>
      <w:tblPr>
        <w:tblStyle w:val="TableGrid"/>
        <w:tblW w:w="9469" w:type="dxa"/>
        <w:jc w:val="center"/>
        <w:tblLayout w:type="fixed"/>
        <w:tblCellMar>
          <w:left w:w="85" w:type="dxa"/>
          <w:right w:w="85" w:type="dxa"/>
        </w:tblCellMar>
        <w:tblLook w:val="04A0" w:firstRow="1" w:lastRow="0" w:firstColumn="1" w:lastColumn="0" w:noHBand="0" w:noVBand="1"/>
      </w:tblPr>
      <w:tblGrid>
        <w:gridCol w:w="1838"/>
        <w:gridCol w:w="3889"/>
        <w:gridCol w:w="851"/>
        <w:gridCol w:w="1020"/>
        <w:gridCol w:w="823"/>
        <w:gridCol w:w="1048"/>
      </w:tblGrid>
      <w:tr w:rsidR="00455C62" w:rsidRPr="00455C62" w14:paraId="7902049A" w14:textId="77777777" w:rsidTr="00F44C38">
        <w:trPr>
          <w:trHeight w:val="131"/>
          <w:jc w:val="center"/>
        </w:trPr>
        <w:tc>
          <w:tcPr>
            <w:tcW w:w="5727" w:type="dxa"/>
            <w:gridSpan w:val="2"/>
            <w:vMerge w:val="restart"/>
            <w:shd w:val="clear" w:color="auto" w:fill="F2F2F2" w:themeFill="background1" w:themeFillShade="F2"/>
          </w:tcPr>
          <w:p w14:paraId="4C612F30" w14:textId="77777777" w:rsidR="00CE2477" w:rsidRPr="00455C62" w:rsidRDefault="00CE2477" w:rsidP="00F44C38">
            <w:pPr>
              <w:pStyle w:val="Tabletext0"/>
              <w:rPr>
                <w:b/>
              </w:rPr>
            </w:pPr>
            <w:r w:rsidRPr="00455C62">
              <w:rPr>
                <w:b/>
              </w:rPr>
              <w:t>Summary of safety concerns</w:t>
            </w:r>
          </w:p>
        </w:tc>
        <w:tc>
          <w:tcPr>
            <w:tcW w:w="1871" w:type="dxa"/>
            <w:gridSpan w:val="2"/>
            <w:shd w:val="clear" w:color="auto" w:fill="F2F2F2" w:themeFill="background1" w:themeFillShade="F2"/>
          </w:tcPr>
          <w:p w14:paraId="475C1D9A" w14:textId="77777777" w:rsidR="00CE2477" w:rsidRPr="00455C62" w:rsidRDefault="00CE2477" w:rsidP="00F44C38">
            <w:pPr>
              <w:pStyle w:val="Tabletext0"/>
              <w:rPr>
                <w:b/>
                <w:sz w:val="18"/>
              </w:rPr>
            </w:pPr>
            <w:r w:rsidRPr="00455C62">
              <w:rPr>
                <w:b/>
                <w:sz w:val="18"/>
              </w:rPr>
              <w:t>Pharmacovigilance</w:t>
            </w:r>
          </w:p>
        </w:tc>
        <w:tc>
          <w:tcPr>
            <w:tcW w:w="1871" w:type="dxa"/>
            <w:gridSpan w:val="2"/>
            <w:shd w:val="clear" w:color="auto" w:fill="F2F2F2" w:themeFill="background1" w:themeFillShade="F2"/>
          </w:tcPr>
          <w:p w14:paraId="33E87CA1" w14:textId="77777777" w:rsidR="00CE2477" w:rsidRPr="00455C62" w:rsidRDefault="00CE2477" w:rsidP="00F44C38">
            <w:pPr>
              <w:pStyle w:val="Tabletext0"/>
              <w:rPr>
                <w:b/>
                <w:sz w:val="18"/>
              </w:rPr>
            </w:pPr>
            <w:r w:rsidRPr="00455C62">
              <w:rPr>
                <w:b/>
                <w:sz w:val="18"/>
              </w:rPr>
              <w:t>Risk Minimisation</w:t>
            </w:r>
          </w:p>
        </w:tc>
      </w:tr>
      <w:tr w:rsidR="00455C62" w:rsidRPr="00455C62" w14:paraId="53917A44" w14:textId="77777777" w:rsidTr="00F44C38">
        <w:trPr>
          <w:trHeight w:val="150"/>
          <w:jc w:val="center"/>
        </w:trPr>
        <w:tc>
          <w:tcPr>
            <w:tcW w:w="5727" w:type="dxa"/>
            <w:gridSpan w:val="2"/>
            <w:vMerge/>
            <w:shd w:val="clear" w:color="auto" w:fill="F2F2F2" w:themeFill="background1" w:themeFillShade="F2"/>
          </w:tcPr>
          <w:p w14:paraId="5D777929" w14:textId="77777777" w:rsidR="00CE2477" w:rsidRPr="00455C62" w:rsidRDefault="00CE2477" w:rsidP="00F44C38">
            <w:pPr>
              <w:pStyle w:val="Tabletext0"/>
              <w:rPr>
                <w:b/>
              </w:rPr>
            </w:pPr>
          </w:p>
        </w:tc>
        <w:tc>
          <w:tcPr>
            <w:tcW w:w="851" w:type="dxa"/>
            <w:shd w:val="clear" w:color="auto" w:fill="F2F2F2" w:themeFill="background1" w:themeFillShade="F2"/>
          </w:tcPr>
          <w:p w14:paraId="4B70056B" w14:textId="77777777" w:rsidR="00CE2477" w:rsidRPr="00455C62" w:rsidRDefault="00CE2477" w:rsidP="00F44C38">
            <w:pPr>
              <w:pStyle w:val="Tabletext0"/>
              <w:rPr>
                <w:sz w:val="18"/>
              </w:rPr>
            </w:pPr>
            <w:r w:rsidRPr="00455C62">
              <w:rPr>
                <w:sz w:val="18"/>
              </w:rPr>
              <w:t>Routine</w:t>
            </w:r>
          </w:p>
        </w:tc>
        <w:tc>
          <w:tcPr>
            <w:tcW w:w="1020" w:type="dxa"/>
            <w:shd w:val="clear" w:color="auto" w:fill="F2F2F2" w:themeFill="background1" w:themeFillShade="F2"/>
          </w:tcPr>
          <w:p w14:paraId="238CA673" w14:textId="77777777" w:rsidR="00CE2477" w:rsidRPr="00455C62" w:rsidRDefault="00CE2477" w:rsidP="00F44C38">
            <w:pPr>
              <w:pStyle w:val="Tabletext0"/>
              <w:rPr>
                <w:sz w:val="18"/>
              </w:rPr>
            </w:pPr>
            <w:r w:rsidRPr="00455C62">
              <w:rPr>
                <w:sz w:val="18"/>
              </w:rPr>
              <w:t>Additional</w:t>
            </w:r>
          </w:p>
        </w:tc>
        <w:tc>
          <w:tcPr>
            <w:tcW w:w="823" w:type="dxa"/>
            <w:shd w:val="clear" w:color="auto" w:fill="F2F2F2" w:themeFill="background1" w:themeFillShade="F2"/>
          </w:tcPr>
          <w:p w14:paraId="65DA55AD" w14:textId="77777777" w:rsidR="00CE2477" w:rsidRPr="00455C62" w:rsidRDefault="00CE2477" w:rsidP="00F44C38">
            <w:pPr>
              <w:pStyle w:val="Tabletext0"/>
              <w:rPr>
                <w:sz w:val="18"/>
              </w:rPr>
            </w:pPr>
            <w:r w:rsidRPr="00455C62">
              <w:rPr>
                <w:sz w:val="18"/>
              </w:rPr>
              <w:t>Routine</w:t>
            </w:r>
          </w:p>
        </w:tc>
        <w:tc>
          <w:tcPr>
            <w:tcW w:w="1048" w:type="dxa"/>
            <w:shd w:val="clear" w:color="auto" w:fill="F2F2F2" w:themeFill="background1" w:themeFillShade="F2"/>
          </w:tcPr>
          <w:p w14:paraId="0415CE21" w14:textId="77777777" w:rsidR="00CE2477" w:rsidRPr="00455C62" w:rsidRDefault="00CE2477" w:rsidP="00F44C38">
            <w:pPr>
              <w:pStyle w:val="Tabletext0"/>
              <w:rPr>
                <w:sz w:val="18"/>
              </w:rPr>
            </w:pPr>
            <w:r w:rsidRPr="00455C62">
              <w:rPr>
                <w:sz w:val="18"/>
              </w:rPr>
              <w:t>Additional</w:t>
            </w:r>
          </w:p>
        </w:tc>
      </w:tr>
      <w:tr w:rsidR="00455C62" w:rsidRPr="00455C62" w14:paraId="337E3866" w14:textId="77777777" w:rsidTr="00F44C38">
        <w:trPr>
          <w:trHeight w:val="94"/>
          <w:jc w:val="center"/>
        </w:trPr>
        <w:tc>
          <w:tcPr>
            <w:tcW w:w="1838" w:type="dxa"/>
            <w:vMerge w:val="restart"/>
          </w:tcPr>
          <w:p w14:paraId="0F0C57FA" w14:textId="77777777" w:rsidR="00CE2477" w:rsidRPr="00455C62" w:rsidRDefault="00CE2477" w:rsidP="00F44C38">
            <w:pPr>
              <w:pStyle w:val="Tabletext0"/>
              <w:rPr>
                <w:b/>
              </w:rPr>
            </w:pPr>
            <w:r w:rsidRPr="00455C62">
              <w:rPr>
                <w:b/>
              </w:rPr>
              <w:t>Important identified risks</w:t>
            </w:r>
          </w:p>
        </w:tc>
        <w:tc>
          <w:tcPr>
            <w:tcW w:w="3889" w:type="dxa"/>
          </w:tcPr>
          <w:p w14:paraId="6797BA0E" w14:textId="77777777" w:rsidR="00CE2477" w:rsidRPr="00455C62" w:rsidRDefault="00CE2477" w:rsidP="00F44C38">
            <w:pPr>
              <w:pStyle w:val="Tabletext0"/>
            </w:pPr>
            <w:r w:rsidRPr="00455C62">
              <w:t>Infection, toxic shock syndrome</w:t>
            </w:r>
          </w:p>
        </w:tc>
        <w:tc>
          <w:tcPr>
            <w:tcW w:w="851" w:type="dxa"/>
            <w:vAlign w:val="center"/>
          </w:tcPr>
          <w:p w14:paraId="42C999AE" w14:textId="77777777" w:rsidR="00CE2477" w:rsidRPr="00455C62" w:rsidRDefault="00CE2477" w:rsidP="00F44C38">
            <w:pPr>
              <w:pStyle w:val="Tabletext0"/>
              <w:jc w:val="center"/>
            </w:pPr>
            <w:r w:rsidRPr="00455C62">
              <w:sym w:font="Wingdings" w:char="F0FC"/>
            </w:r>
          </w:p>
        </w:tc>
        <w:tc>
          <w:tcPr>
            <w:tcW w:w="1020" w:type="dxa"/>
          </w:tcPr>
          <w:p w14:paraId="4B1985F2" w14:textId="77777777" w:rsidR="00CE2477" w:rsidRPr="00455C62" w:rsidRDefault="00CE2477" w:rsidP="00F44C38">
            <w:pPr>
              <w:pStyle w:val="Tabletext0"/>
              <w:jc w:val="center"/>
            </w:pPr>
            <w:r w:rsidRPr="00455C62">
              <w:t>–</w:t>
            </w:r>
          </w:p>
        </w:tc>
        <w:tc>
          <w:tcPr>
            <w:tcW w:w="823" w:type="dxa"/>
            <w:vAlign w:val="center"/>
          </w:tcPr>
          <w:p w14:paraId="2D3477AC" w14:textId="77777777" w:rsidR="00CE2477" w:rsidRPr="00455C62" w:rsidRDefault="00CE2477" w:rsidP="00F44C38">
            <w:pPr>
              <w:pStyle w:val="Tabletext0"/>
              <w:jc w:val="center"/>
            </w:pPr>
            <w:r w:rsidRPr="00455C62">
              <w:sym w:font="Wingdings" w:char="F0FC"/>
            </w:r>
          </w:p>
        </w:tc>
        <w:tc>
          <w:tcPr>
            <w:tcW w:w="1048" w:type="dxa"/>
            <w:vAlign w:val="center"/>
          </w:tcPr>
          <w:p w14:paraId="50DFC465" w14:textId="33BF3965" w:rsidR="00CE2477" w:rsidRPr="00455C62" w:rsidRDefault="00CE2477" w:rsidP="00F44C38">
            <w:pPr>
              <w:pStyle w:val="Tabletext0"/>
              <w:jc w:val="center"/>
            </w:pPr>
            <w:r w:rsidRPr="00455C62">
              <w:sym w:font="Wingdings" w:char="F0FC"/>
            </w:r>
          </w:p>
        </w:tc>
      </w:tr>
      <w:tr w:rsidR="00455C62" w:rsidRPr="00455C62" w14:paraId="59B20DA3" w14:textId="77777777" w:rsidTr="00F44C38">
        <w:trPr>
          <w:trHeight w:val="187"/>
          <w:jc w:val="center"/>
        </w:trPr>
        <w:tc>
          <w:tcPr>
            <w:tcW w:w="1838" w:type="dxa"/>
            <w:vMerge/>
          </w:tcPr>
          <w:p w14:paraId="0C467581" w14:textId="77777777" w:rsidR="00CE2477" w:rsidRPr="00455C62" w:rsidRDefault="00CE2477" w:rsidP="00F44C38">
            <w:pPr>
              <w:pStyle w:val="Tabletext0"/>
              <w:rPr>
                <w:b/>
              </w:rPr>
            </w:pPr>
          </w:p>
        </w:tc>
        <w:tc>
          <w:tcPr>
            <w:tcW w:w="3889" w:type="dxa"/>
          </w:tcPr>
          <w:p w14:paraId="06167E2E" w14:textId="77777777" w:rsidR="00CE2477" w:rsidRPr="00455C62" w:rsidRDefault="00CE2477" w:rsidP="00F44C38">
            <w:pPr>
              <w:pStyle w:val="Tabletext0"/>
            </w:pPr>
            <w:r w:rsidRPr="00455C62">
              <w:t>Method failure</w:t>
            </w:r>
          </w:p>
        </w:tc>
        <w:tc>
          <w:tcPr>
            <w:tcW w:w="851" w:type="dxa"/>
            <w:vAlign w:val="center"/>
          </w:tcPr>
          <w:p w14:paraId="27F3538C" w14:textId="77777777" w:rsidR="00CE2477" w:rsidRPr="00455C62" w:rsidRDefault="00CE2477" w:rsidP="00F44C38">
            <w:pPr>
              <w:pStyle w:val="Tabletext0"/>
              <w:jc w:val="center"/>
            </w:pPr>
            <w:r w:rsidRPr="00455C62">
              <w:sym w:font="Wingdings" w:char="F0FC"/>
            </w:r>
          </w:p>
        </w:tc>
        <w:tc>
          <w:tcPr>
            <w:tcW w:w="1020" w:type="dxa"/>
          </w:tcPr>
          <w:p w14:paraId="3CD8FB79" w14:textId="77777777" w:rsidR="00CE2477" w:rsidRPr="00455C62" w:rsidRDefault="00CE2477" w:rsidP="00F44C38">
            <w:pPr>
              <w:pStyle w:val="Tabletext0"/>
              <w:jc w:val="center"/>
            </w:pPr>
            <w:r w:rsidRPr="00455C62">
              <w:t>–</w:t>
            </w:r>
          </w:p>
        </w:tc>
        <w:tc>
          <w:tcPr>
            <w:tcW w:w="823" w:type="dxa"/>
            <w:vAlign w:val="center"/>
          </w:tcPr>
          <w:p w14:paraId="6B343416" w14:textId="77777777" w:rsidR="00CE2477" w:rsidRPr="00455C62" w:rsidRDefault="00CE2477" w:rsidP="00F44C38">
            <w:pPr>
              <w:pStyle w:val="Tabletext0"/>
              <w:jc w:val="center"/>
            </w:pPr>
            <w:r w:rsidRPr="00455C62">
              <w:sym w:font="Wingdings" w:char="F0FC"/>
            </w:r>
          </w:p>
        </w:tc>
        <w:tc>
          <w:tcPr>
            <w:tcW w:w="1048" w:type="dxa"/>
            <w:vAlign w:val="center"/>
          </w:tcPr>
          <w:p w14:paraId="4CBF15BF" w14:textId="0AD998AC" w:rsidR="00CE2477" w:rsidRPr="00455C62" w:rsidRDefault="00CE2477" w:rsidP="00F44C38">
            <w:pPr>
              <w:pStyle w:val="Tabletext0"/>
              <w:jc w:val="center"/>
            </w:pPr>
            <w:r w:rsidRPr="00455C62">
              <w:sym w:font="Wingdings" w:char="F0FC"/>
            </w:r>
          </w:p>
        </w:tc>
      </w:tr>
      <w:tr w:rsidR="00455C62" w:rsidRPr="00455C62" w14:paraId="50607ED3" w14:textId="77777777" w:rsidTr="00F44C38">
        <w:trPr>
          <w:trHeight w:val="159"/>
          <w:jc w:val="center"/>
        </w:trPr>
        <w:tc>
          <w:tcPr>
            <w:tcW w:w="1838" w:type="dxa"/>
            <w:vMerge/>
          </w:tcPr>
          <w:p w14:paraId="1EC20A79" w14:textId="77777777" w:rsidR="00CE2477" w:rsidRPr="00455C62" w:rsidRDefault="00CE2477" w:rsidP="00F44C38">
            <w:pPr>
              <w:pStyle w:val="Tabletext0"/>
              <w:rPr>
                <w:b/>
              </w:rPr>
            </w:pPr>
          </w:p>
        </w:tc>
        <w:tc>
          <w:tcPr>
            <w:tcW w:w="3889" w:type="dxa"/>
          </w:tcPr>
          <w:p w14:paraId="151878C9" w14:textId="77777777" w:rsidR="00CE2477" w:rsidRPr="00455C62" w:rsidRDefault="00CE2477" w:rsidP="00F44C38">
            <w:pPr>
              <w:pStyle w:val="Tabletext0"/>
              <w:rPr>
                <w:b/>
                <w:bCs/>
                <w:strike/>
              </w:rPr>
            </w:pPr>
            <w:r w:rsidRPr="00455C62">
              <w:t>Cardiac disorders</w:t>
            </w:r>
          </w:p>
        </w:tc>
        <w:tc>
          <w:tcPr>
            <w:tcW w:w="851" w:type="dxa"/>
            <w:vAlign w:val="center"/>
          </w:tcPr>
          <w:p w14:paraId="66DE6CAB" w14:textId="77777777" w:rsidR="00CE2477" w:rsidRPr="00455C62" w:rsidRDefault="00CE2477" w:rsidP="00F44C38">
            <w:pPr>
              <w:pStyle w:val="Tabletext0"/>
              <w:jc w:val="center"/>
            </w:pPr>
            <w:r w:rsidRPr="00455C62">
              <w:sym w:font="Wingdings" w:char="F0FC"/>
            </w:r>
          </w:p>
        </w:tc>
        <w:tc>
          <w:tcPr>
            <w:tcW w:w="1020" w:type="dxa"/>
          </w:tcPr>
          <w:p w14:paraId="7DFBB80E" w14:textId="77777777" w:rsidR="00CE2477" w:rsidRPr="00455C62" w:rsidRDefault="00CE2477" w:rsidP="00F44C38">
            <w:pPr>
              <w:pStyle w:val="Tabletext0"/>
              <w:jc w:val="center"/>
            </w:pPr>
            <w:r w:rsidRPr="00455C62">
              <w:t>–</w:t>
            </w:r>
          </w:p>
        </w:tc>
        <w:tc>
          <w:tcPr>
            <w:tcW w:w="823" w:type="dxa"/>
            <w:vAlign w:val="center"/>
          </w:tcPr>
          <w:p w14:paraId="3CD0EC6B" w14:textId="77777777" w:rsidR="00CE2477" w:rsidRPr="00455C62" w:rsidRDefault="00CE2477" w:rsidP="00F44C38">
            <w:pPr>
              <w:pStyle w:val="Tabletext0"/>
              <w:jc w:val="center"/>
            </w:pPr>
            <w:r w:rsidRPr="00455C62">
              <w:sym w:font="Wingdings" w:char="F0FC"/>
            </w:r>
          </w:p>
        </w:tc>
        <w:tc>
          <w:tcPr>
            <w:tcW w:w="1048" w:type="dxa"/>
            <w:vAlign w:val="center"/>
          </w:tcPr>
          <w:p w14:paraId="360A9E1D" w14:textId="58C2B841" w:rsidR="00CE2477" w:rsidRPr="00455C62" w:rsidRDefault="00CE2477" w:rsidP="00F44C38">
            <w:pPr>
              <w:pStyle w:val="Tabletext0"/>
              <w:jc w:val="center"/>
            </w:pPr>
            <w:r w:rsidRPr="00455C62">
              <w:sym w:font="Wingdings" w:char="F0FC"/>
            </w:r>
          </w:p>
        </w:tc>
      </w:tr>
      <w:tr w:rsidR="00455C62" w:rsidRPr="00455C62" w14:paraId="584D46B4" w14:textId="77777777" w:rsidTr="00F44C38">
        <w:trPr>
          <w:trHeight w:val="159"/>
          <w:jc w:val="center"/>
        </w:trPr>
        <w:tc>
          <w:tcPr>
            <w:tcW w:w="1838" w:type="dxa"/>
            <w:vMerge w:val="restart"/>
          </w:tcPr>
          <w:p w14:paraId="20EE38A6" w14:textId="77777777" w:rsidR="00CE2477" w:rsidRPr="00455C62" w:rsidRDefault="00CE2477" w:rsidP="00F44C38">
            <w:pPr>
              <w:pStyle w:val="Tabletext0"/>
              <w:rPr>
                <w:b/>
              </w:rPr>
            </w:pPr>
            <w:r w:rsidRPr="00455C62">
              <w:rPr>
                <w:b/>
              </w:rPr>
              <w:t>Important potential risks</w:t>
            </w:r>
          </w:p>
        </w:tc>
        <w:tc>
          <w:tcPr>
            <w:tcW w:w="3889" w:type="dxa"/>
          </w:tcPr>
          <w:p w14:paraId="6E000388" w14:textId="77777777" w:rsidR="00CE2477" w:rsidRPr="00455C62" w:rsidRDefault="00CE2477" w:rsidP="00F44C38">
            <w:pPr>
              <w:pStyle w:val="Tabletext0"/>
              <w:rPr>
                <w:strike/>
              </w:rPr>
            </w:pPr>
            <w:r w:rsidRPr="00455C62">
              <w:t>Inadvertent pregnancy exposure and risk of incomplete abortion with severe bleeding</w:t>
            </w:r>
          </w:p>
        </w:tc>
        <w:tc>
          <w:tcPr>
            <w:tcW w:w="851" w:type="dxa"/>
            <w:vAlign w:val="center"/>
          </w:tcPr>
          <w:p w14:paraId="11946056" w14:textId="77777777" w:rsidR="00CE2477" w:rsidRPr="00455C62" w:rsidRDefault="00CE2477" w:rsidP="00F44C38">
            <w:pPr>
              <w:pStyle w:val="Tabletext0"/>
              <w:jc w:val="center"/>
            </w:pPr>
            <w:r w:rsidRPr="00455C62">
              <w:sym w:font="Wingdings" w:char="F0FC"/>
            </w:r>
          </w:p>
        </w:tc>
        <w:tc>
          <w:tcPr>
            <w:tcW w:w="1020" w:type="dxa"/>
          </w:tcPr>
          <w:p w14:paraId="04407453" w14:textId="77777777" w:rsidR="00CE2477" w:rsidRPr="00455C62" w:rsidRDefault="00CE2477" w:rsidP="00F44C38">
            <w:pPr>
              <w:pStyle w:val="Tabletext0"/>
              <w:jc w:val="center"/>
            </w:pPr>
            <w:r w:rsidRPr="00455C62">
              <w:t>–</w:t>
            </w:r>
          </w:p>
        </w:tc>
        <w:tc>
          <w:tcPr>
            <w:tcW w:w="823" w:type="dxa"/>
            <w:vAlign w:val="center"/>
          </w:tcPr>
          <w:p w14:paraId="37BB46A8" w14:textId="77777777" w:rsidR="00CE2477" w:rsidRPr="00455C62" w:rsidRDefault="00CE2477" w:rsidP="00F44C38">
            <w:pPr>
              <w:pStyle w:val="Tabletext0"/>
              <w:jc w:val="center"/>
            </w:pPr>
            <w:r w:rsidRPr="00455C62">
              <w:sym w:font="Wingdings" w:char="F0FC"/>
            </w:r>
          </w:p>
        </w:tc>
        <w:tc>
          <w:tcPr>
            <w:tcW w:w="1048" w:type="dxa"/>
            <w:vAlign w:val="center"/>
          </w:tcPr>
          <w:p w14:paraId="26925ED8" w14:textId="4123712D" w:rsidR="00CE2477" w:rsidRPr="00455C62" w:rsidRDefault="00CE2477" w:rsidP="00F44C38">
            <w:pPr>
              <w:pStyle w:val="Tabletext0"/>
              <w:jc w:val="center"/>
            </w:pPr>
            <w:r w:rsidRPr="00455C62">
              <w:sym w:font="Wingdings" w:char="F0FC"/>
            </w:r>
          </w:p>
        </w:tc>
      </w:tr>
      <w:tr w:rsidR="00455C62" w:rsidRPr="00455C62" w14:paraId="52AECD61" w14:textId="77777777" w:rsidTr="00F44C38">
        <w:trPr>
          <w:trHeight w:val="122"/>
          <w:jc w:val="center"/>
        </w:trPr>
        <w:tc>
          <w:tcPr>
            <w:tcW w:w="1838" w:type="dxa"/>
            <w:vMerge/>
          </w:tcPr>
          <w:p w14:paraId="279E571C" w14:textId="77777777" w:rsidR="00CE2477" w:rsidRPr="00455C62" w:rsidRDefault="00CE2477" w:rsidP="00F44C38">
            <w:pPr>
              <w:pStyle w:val="Tabletext0"/>
              <w:rPr>
                <w:b/>
              </w:rPr>
            </w:pPr>
          </w:p>
        </w:tc>
        <w:tc>
          <w:tcPr>
            <w:tcW w:w="3889" w:type="dxa"/>
          </w:tcPr>
          <w:p w14:paraId="0080A059" w14:textId="77777777" w:rsidR="00CE2477" w:rsidRPr="00455C62" w:rsidRDefault="00CE2477" w:rsidP="00F44C38">
            <w:pPr>
              <w:pStyle w:val="Tabletext0"/>
            </w:pPr>
            <w:r w:rsidRPr="00455C62">
              <w:t>Inadvertent pregnancy exposure (risk of malformations)</w:t>
            </w:r>
          </w:p>
        </w:tc>
        <w:tc>
          <w:tcPr>
            <w:tcW w:w="851" w:type="dxa"/>
            <w:vAlign w:val="center"/>
          </w:tcPr>
          <w:p w14:paraId="61941B45" w14:textId="77777777" w:rsidR="00CE2477" w:rsidRPr="00455C62" w:rsidRDefault="00CE2477" w:rsidP="00F44C38">
            <w:pPr>
              <w:pStyle w:val="Tabletext0"/>
              <w:jc w:val="center"/>
            </w:pPr>
            <w:r w:rsidRPr="00455C62">
              <w:sym w:font="Wingdings" w:char="F0FC"/>
            </w:r>
          </w:p>
        </w:tc>
        <w:tc>
          <w:tcPr>
            <w:tcW w:w="1020" w:type="dxa"/>
          </w:tcPr>
          <w:p w14:paraId="09E714F7" w14:textId="77777777" w:rsidR="00CE2477" w:rsidRPr="00455C62" w:rsidRDefault="00CE2477" w:rsidP="00F44C38">
            <w:pPr>
              <w:pStyle w:val="Tabletext0"/>
              <w:jc w:val="center"/>
            </w:pPr>
            <w:r w:rsidRPr="00455C62">
              <w:t>–</w:t>
            </w:r>
          </w:p>
        </w:tc>
        <w:tc>
          <w:tcPr>
            <w:tcW w:w="823" w:type="dxa"/>
            <w:vAlign w:val="center"/>
          </w:tcPr>
          <w:p w14:paraId="011C0015" w14:textId="77777777" w:rsidR="00CE2477" w:rsidRPr="00455C62" w:rsidRDefault="00CE2477" w:rsidP="00F44C38">
            <w:pPr>
              <w:pStyle w:val="Tabletext0"/>
              <w:jc w:val="center"/>
            </w:pPr>
            <w:r w:rsidRPr="00455C62">
              <w:sym w:font="Wingdings" w:char="F0FC"/>
            </w:r>
          </w:p>
        </w:tc>
        <w:tc>
          <w:tcPr>
            <w:tcW w:w="1048" w:type="dxa"/>
            <w:vAlign w:val="center"/>
          </w:tcPr>
          <w:p w14:paraId="2A3BC985" w14:textId="07B9A3D7" w:rsidR="00CE2477" w:rsidRPr="00455C62" w:rsidRDefault="00CE2477" w:rsidP="00F44C38">
            <w:pPr>
              <w:pStyle w:val="Tabletext0"/>
              <w:jc w:val="center"/>
            </w:pPr>
            <w:r w:rsidRPr="00455C62">
              <w:sym w:font="Wingdings" w:char="F0FC"/>
            </w:r>
          </w:p>
        </w:tc>
      </w:tr>
      <w:tr w:rsidR="00455C62" w:rsidRPr="00455C62" w14:paraId="653BC9A3" w14:textId="77777777" w:rsidTr="00F44C38">
        <w:trPr>
          <w:trHeight w:val="112"/>
          <w:jc w:val="center"/>
        </w:trPr>
        <w:tc>
          <w:tcPr>
            <w:tcW w:w="1838" w:type="dxa"/>
            <w:vMerge/>
          </w:tcPr>
          <w:p w14:paraId="1709F452" w14:textId="77777777" w:rsidR="00CE2477" w:rsidRPr="00455C62" w:rsidRDefault="00CE2477" w:rsidP="00F44C38">
            <w:pPr>
              <w:pStyle w:val="Tabletext0"/>
              <w:rPr>
                <w:b/>
              </w:rPr>
            </w:pPr>
          </w:p>
        </w:tc>
        <w:tc>
          <w:tcPr>
            <w:tcW w:w="3889" w:type="dxa"/>
          </w:tcPr>
          <w:p w14:paraId="73EEA323" w14:textId="77777777" w:rsidR="00CE2477" w:rsidRPr="00455C62" w:rsidRDefault="00CE2477" w:rsidP="00F44C38">
            <w:pPr>
              <w:pStyle w:val="Tabletext0"/>
            </w:pPr>
            <w:r w:rsidRPr="00455C62">
              <w:t>Potential interaction with CYP3A4 inhibitors or inducers</w:t>
            </w:r>
          </w:p>
        </w:tc>
        <w:tc>
          <w:tcPr>
            <w:tcW w:w="851" w:type="dxa"/>
            <w:vAlign w:val="center"/>
          </w:tcPr>
          <w:p w14:paraId="24F55C25" w14:textId="77777777" w:rsidR="00CE2477" w:rsidRPr="00455C62" w:rsidRDefault="00CE2477" w:rsidP="00F44C38">
            <w:pPr>
              <w:pStyle w:val="Tabletext0"/>
              <w:jc w:val="center"/>
            </w:pPr>
            <w:r w:rsidRPr="00455C62">
              <w:sym w:font="Wingdings" w:char="F0FC"/>
            </w:r>
          </w:p>
        </w:tc>
        <w:tc>
          <w:tcPr>
            <w:tcW w:w="1020" w:type="dxa"/>
          </w:tcPr>
          <w:p w14:paraId="73DCB69A" w14:textId="77777777" w:rsidR="00CE2477" w:rsidRPr="00455C62" w:rsidRDefault="00CE2477" w:rsidP="00F44C38">
            <w:pPr>
              <w:pStyle w:val="Tabletext0"/>
              <w:jc w:val="center"/>
            </w:pPr>
            <w:r w:rsidRPr="00455C62">
              <w:t>–</w:t>
            </w:r>
          </w:p>
        </w:tc>
        <w:tc>
          <w:tcPr>
            <w:tcW w:w="823" w:type="dxa"/>
            <w:vAlign w:val="center"/>
          </w:tcPr>
          <w:p w14:paraId="755636DD" w14:textId="77777777" w:rsidR="00CE2477" w:rsidRPr="00455C62" w:rsidRDefault="00CE2477" w:rsidP="00F44C38">
            <w:pPr>
              <w:pStyle w:val="Tabletext0"/>
              <w:jc w:val="center"/>
            </w:pPr>
            <w:r w:rsidRPr="00455C62">
              <w:sym w:font="Wingdings" w:char="F0FC"/>
            </w:r>
          </w:p>
        </w:tc>
        <w:tc>
          <w:tcPr>
            <w:tcW w:w="1048" w:type="dxa"/>
            <w:vAlign w:val="center"/>
          </w:tcPr>
          <w:p w14:paraId="0783C57C" w14:textId="77777777" w:rsidR="00CE2477" w:rsidRPr="00455C62" w:rsidRDefault="00CE2477" w:rsidP="00F44C38">
            <w:pPr>
              <w:pStyle w:val="Tabletext0"/>
              <w:jc w:val="center"/>
              <w:rPr>
                <w:strike/>
              </w:rPr>
            </w:pPr>
            <w:r w:rsidRPr="00455C62">
              <w:t>–</w:t>
            </w:r>
          </w:p>
        </w:tc>
      </w:tr>
      <w:tr w:rsidR="00455C62" w:rsidRPr="00455C62" w14:paraId="2FFE2BC7" w14:textId="77777777" w:rsidTr="00F44C38">
        <w:trPr>
          <w:trHeight w:val="178"/>
          <w:jc w:val="center"/>
        </w:trPr>
        <w:tc>
          <w:tcPr>
            <w:tcW w:w="1838" w:type="dxa"/>
            <w:vMerge/>
          </w:tcPr>
          <w:p w14:paraId="41B356C5" w14:textId="77777777" w:rsidR="00CE2477" w:rsidRPr="00455C62" w:rsidRDefault="00CE2477" w:rsidP="00F44C38">
            <w:pPr>
              <w:pStyle w:val="Tabletext0"/>
              <w:rPr>
                <w:b/>
              </w:rPr>
            </w:pPr>
          </w:p>
        </w:tc>
        <w:tc>
          <w:tcPr>
            <w:tcW w:w="3889" w:type="dxa"/>
          </w:tcPr>
          <w:p w14:paraId="18149444" w14:textId="77777777" w:rsidR="00CE2477" w:rsidRPr="00455C62" w:rsidRDefault="00CE2477" w:rsidP="00F44C38">
            <w:pPr>
              <w:pStyle w:val="Tabletext0"/>
            </w:pPr>
            <w:r w:rsidRPr="00455C62">
              <w:t>Potential interaction with products interacting with the glucocorticoid receptor</w:t>
            </w:r>
          </w:p>
        </w:tc>
        <w:tc>
          <w:tcPr>
            <w:tcW w:w="851" w:type="dxa"/>
            <w:vAlign w:val="center"/>
          </w:tcPr>
          <w:p w14:paraId="6888C03B" w14:textId="77777777" w:rsidR="00CE2477" w:rsidRPr="00455C62" w:rsidRDefault="00CE2477" w:rsidP="00F44C38">
            <w:pPr>
              <w:pStyle w:val="Tabletext0"/>
              <w:jc w:val="center"/>
            </w:pPr>
            <w:r w:rsidRPr="00455C62">
              <w:sym w:font="Wingdings" w:char="F0FC"/>
            </w:r>
          </w:p>
        </w:tc>
        <w:tc>
          <w:tcPr>
            <w:tcW w:w="1020" w:type="dxa"/>
          </w:tcPr>
          <w:p w14:paraId="614374DE" w14:textId="77777777" w:rsidR="00CE2477" w:rsidRPr="00455C62" w:rsidRDefault="00CE2477" w:rsidP="00F44C38">
            <w:pPr>
              <w:pStyle w:val="Tabletext0"/>
              <w:jc w:val="center"/>
            </w:pPr>
            <w:r w:rsidRPr="00455C62">
              <w:t>–</w:t>
            </w:r>
          </w:p>
        </w:tc>
        <w:tc>
          <w:tcPr>
            <w:tcW w:w="823" w:type="dxa"/>
            <w:vAlign w:val="center"/>
          </w:tcPr>
          <w:p w14:paraId="73E755E4" w14:textId="77777777" w:rsidR="00CE2477" w:rsidRPr="00455C62" w:rsidRDefault="00CE2477" w:rsidP="00F44C38">
            <w:pPr>
              <w:pStyle w:val="Tabletext0"/>
              <w:jc w:val="center"/>
            </w:pPr>
            <w:r w:rsidRPr="00455C62">
              <w:sym w:font="Wingdings" w:char="F0FC"/>
            </w:r>
          </w:p>
        </w:tc>
        <w:tc>
          <w:tcPr>
            <w:tcW w:w="1048" w:type="dxa"/>
            <w:vAlign w:val="center"/>
          </w:tcPr>
          <w:p w14:paraId="0CD70597" w14:textId="77777777" w:rsidR="00CE2477" w:rsidRPr="00455C62" w:rsidRDefault="00CE2477" w:rsidP="00F44C38">
            <w:pPr>
              <w:pStyle w:val="Tabletext0"/>
              <w:jc w:val="center"/>
              <w:rPr>
                <w:strike/>
              </w:rPr>
            </w:pPr>
            <w:r w:rsidRPr="00455C62">
              <w:t>–</w:t>
            </w:r>
          </w:p>
        </w:tc>
      </w:tr>
      <w:tr w:rsidR="00455C62" w:rsidRPr="00455C62" w14:paraId="36128FC4" w14:textId="77777777" w:rsidTr="00F44C38">
        <w:trPr>
          <w:trHeight w:val="178"/>
          <w:jc w:val="center"/>
        </w:trPr>
        <w:tc>
          <w:tcPr>
            <w:tcW w:w="1838" w:type="dxa"/>
            <w:vMerge/>
          </w:tcPr>
          <w:p w14:paraId="44E2346E" w14:textId="77777777" w:rsidR="00CE2477" w:rsidRPr="00455C62" w:rsidRDefault="00CE2477" w:rsidP="00F44C38">
            <w:pPr>
              <w:pStyle w:val="Tabletext0"/>
              <w:rPr>
                <w:b/>
              </w:rPr>
            </w:pPr>
          </w:p>
        </w:tc>
        <w:tc>
          <w:tcPr>
            <w:tcW w:w="3889" w:type="dxa"/>
          </w:tcPr>
          <w:p w14:paraId="35023036" w14:textId="77777777" w:rsidR="00CE2477" w:rsidRPr="00455C62" w:rsidRDefault="00CE2477" w:rsidP="00F44C38">
            <w:pPr>
              <w:pStyle w:val="Tabletext0"/>
            </w:pPr>
            <w:r w:rsidRPr="00455C62">
              <w:t>Induced bronchial asthma</w:t>
            </w:r>
          </w:p>
        </w:tc>
        <w:tc>
          <w:tcPr>
            <w:tcW w:w="851" w:type="dxa"/>
            <w:vAlign w:val="center"/>
          </w:tcPr>
          <w:p w14:paraId="30004FB3" w14:textId="77777777" w:rsidR="00CE2477" w:rsidRPr="00455C62" w:rsidRDefault="00CE2477" w:rsidP="00F44C38">
            <w:pPr>
              <w:pStyle w:val="Tabletext0"/>
              <w:jc w:val="center"/>
            </w:pPr>
            <w:r w:rsidRPr="00455C62">
              <w:sym w:font="Wingdings" w:char="F0FC"/>
            </w:r>
          </w:p>
        </w:tc>
        <w:tc>
          <w:tcPr>
            <w:tcW w:w="1020" w:type="dxa"/>
          </w:tcPr>
          <w:p w14:paraId="16FE55D4" w14:textId="77777777" w:rsidR="00CE2477" w:rsidRPr="00455C62" w:rsidRDefault="00CE2477" w:rsidP="00F44C38">
            <w:pPr>
              <w:pStyle w:val="Tabletext0"/>
              <w:jc w:val="center"/>
            </w:pPr>
            <w:r w:rsidRPr="00455C62">
              <w:t>–</w:t>
            </w:r>
          </w:p>
        </w:tc>
        <w:tc>
          <w:tcPr>
            <w:tcW w:w="823" w:type="dxa"/>
            <w:vAlign w:val="center"/>
          </w:tcPr>
          <w:p w14:paraId="362F6AA7" w14:textId="77777777" w:rsidR="00CE2477" w:rsidRPr="00455C62" w:rsidRDefault="00CE2477" w:rsidP="00F44C38">
            <w:pPr>
              <w:pStyle w:val="Tabletext0"/>
              <w:jc w:val="center"/>
            </w:pPr>
            <w:r w:rsidRPr="00455C62">
              <w:sym w:font="Wingdings" w:char="F0FC"/>
            </w:r>
          </w:p>
        </w:tc>
        <w:tc>
          <w:tcPr>
            <w:tcW w:w="1048" w:type="dxa"/>
            <w:vAlign w:val="center"/>
          </w:tcPr>
          <w:p w14:paraId="541B4AD4" w14:textId="77777777" w:rsidR="00CE2477" w:rsidRPr="00455C62" w:rsidRDefault="00CE2477" w:rsidP="00F44C38">
            <w:pPr>
              <w:pStyle w:val="Tabletext0"/>
              <w:jc w:val="center"/>
              <w:rPr>
                <w:strike/>
              </w:rPr>
            </w:pPr>
            <w:r w:rsidRPr="00455C62">
              <w:t>–</w:t>
            </w:r>
          </w:p>
        </w:tc>
      </w:tr>
      <w:tr w:rsidR="00455C62" w:rsidRPr="00455C62" w14:paraId="5C06A252" w14:textId="77777777" w:rsidTr="00F44C38">
        <w:trPr>
          <w:trHeight w:val="178"/>
          <w:jc w:val="center"/>
        </w:trPr>
        <w:tc>
          <w:tcPr>
            <w:tcW w:w="1838" w:type="dxa"/>
            <w:vMerge/>
          </w:tcPr>
          <w:p w14:paraId="01222980" w14:textId="77777777" w:rsidR="00CE2477" w:rsidRPr="00455C62" w:rsidRDefault="00CE2477" w:rsidP="00F44C38">
            <w:pPr>
              <w:pStyle w:val="Tabletext0"/>
              <w:rPr>
                <w:b/>
              </w:rPr>
            </w:pPr>
          </w:p>
        </w:tc>
        <w:tc>
          <w:tcPr>
            <w:tcW w:w="3889" w:type="dxa"/>
          </w:tcPr>
          <w:p w14:paraId="169EB811" w14:textId="77777777" w:rsidR="00CE2477" w:rsidRPr="00455C62" w:rsidRDefault="00CE2477" w:rsidP="00F44C38">
            <w:pPr>
              <w:pStyle w:val="Tabletext0"/>
            </w:pPr>
            <w:r w:rsidRPr="00455C62">
              <w:t>Effects in lactating women</w:t>
            </w:r>
          </w:p>
        </w:tc>
        <w:tc>
          <w:tcPr>
            <w:tcW w:w="851" w:type="dxa"/>
            <w:vAlign w:val="center"/>
          </w:tcPr>
          <w:p w14:paraId="6208303A" w14:textId="77777777" w:rsidR="00CE2477" w:rsidRPr="00455C62" w:rsidRDefault="00CE2477" w:rsidP="00F44C38">
            <w:pPr>
              <w:pStyle w:val="Tabletext0"/>
              <w:jc w:val="center"/>
            </w:pPr>
            <w:r w:rsidRPr="00455C62">
              <w:sym w:font="Wingdings" w:char="F0FC"/>
            </w:r>
          </w:p>
        </w:tc>
        <w:tc>
          <w:tcPr>
            <w:tcW w:w="1020" w:type="dxa"/>
          </w:tcPr>
          <w:p w14:paraId="6F2F146B" w14:textId="77777777" w:rsidR="00CE2477" w:rsidRPr="00455C62" w:rsidRDefault="00CE2477" w:rsidP="00F44C38">
            <w:pPr>
              <w:pStyle w:val="Tabletext0"/>
              <w:jc w:val="center"/>
            </w:pPr>
            <w:r w:rsidRPr="00455C62">
              <w:t>–</w:t>
            </w:r>
          </w:p>
        </w:tc>
        <w:tc>
          <w:tcPr>
            <w:tcW w:w="823" w:type="dxa"/>
            <w:vAlign w:val="center"/>
          </w:tcPr>
          <w:p w14:paraId="7C2F523D" w14:textId="77777777" w:rsidR="00CE2477" w:rsidRPr="00455C62" w:rsidRDefault="00CE2477" w:rsidP="00F44C38">
            <w:pPr>
              <w:pStyle w:val="Tabletext0"/>
              <w:jc w:val="center"/>
            </w:pPr>
            <w:r w:rsidRPr="00455C62">
              <w:sym w:font="Wingdings" w:char="F0FC"/>
            </w:r>
          </w:p>
        </w:tc>
        <w:tc>
          <w:tcPr>
            <w:tcW w:w="1048" w:type="dxa"/>
            <w:vAlign w:val="center"/>
          </w:tcPr>
          <w:p w14:paraId="3E72FAA7" w14:textId="77777777" w:rsidR="00CE2477" w:rsidRPr="00455C62" w:rsidRDefault="00CE2477" w:rsidP="00F44C38">
            <w:pPr>
              <w:pStyle w:val="Tabletext0"/>
              <w:jc w:val="center"/>
              <w:rPr>
                <w:strike/>
              </w:rPr>
            </w:pPr>
            <w:r w:rsidRPr="00455C62">
              <w:t>–</w:t>
            </w:r>
          </w:p>
        </w:tc>
      </w:tr>
      <w:tr w:rsidR="00455C62" w:rsidRPr="00455C62" w14:paraId="355908AE" w14:textId="77777777" w:rsidTr="00F44C38">
        <w:trPr>
          <w:trHeight w:val="178"/>
          <w:jc w:val="center"/>
        </w:trPr>
        <w:tc>
          <w:tcPr>
            <w:tcW w:w="1838" w:type="dxa"/>
            <w:vMerge/>
          </w:tcPr>
          <w:p w14:paraId="058E12D6" w14:textId="77777777" w:rsidR="00CE2477" w:rsidRPr="00455C62" w:rsidRDefault="00CE2477" w:rsidP="00F44C38">
            <w:pPr>
              <w:pStyle w:val="Tabletext0"/>
              <w:rPr>
                <w:b/>
              </w:rPr>
            </w:pPr>
          </w:p>
        </w:tc>
        <w:tc>
          <w:tcPr>
            <w:tcW w:w="3889" w:type="dxa"/>
          </w:tcPr>
          <w:p w14:paraId="36755690" w14:textId="77777777" w:rsidR="00CE2477" w:rsidRPr="00455C62" w:rsidRDefault="00CE2477" w:rsidP="00F44C38">
            <w:pPr>
              <w:pStyle w:val="Tabletext0"/>
            </w:pPr>
            <w:r w:rsidRPr="00455C62">
              <w:t>Effects in women with impaired liver function</w:t>
            </w:r>
          </w:p>
        </w:tc>
        <w:tc>
          <w:tcPr>
            <w:tcW w:w="851" w:type="dxa"/>
            <w:vAlign w:val="center"/>
          </w:tcPr>
          <w:p w14:paraId="4E869C57" w14:textId="77777777" w:rsidR="00CE2477" w:rsidRPr="00455C62" w:rsidRDefault="00CE2477" w:rsidP="00F44C38">
            <w:pPr>
              <w:pStyle w:val="Tabletext0"/>
              <w:jc w:val="center"/>
            </w:pPr>
            <w:r w:rsidRPr="00455C62">
              <w:sym w:font="Wingdings" w:char="F0FC"/>
            </w:r>
          </w:p>
        </w:tc>
        <w:tc>
          <w:tcPr>
            <w:tcW w:w="1020" w:type="dxa"/>
          </w:tcPr>
          <w:p w14:paraId="1D28A121" w14:textId="77777777" w:rsidR="00CE2477" w:rsidRPr="00455C62" w:rsidRDefault="00CE2477" w:rsidP="00F44C38">
            <w:pPr>
              <w:pStyle w:val="Tabletext0"/>
              <w:jc w:val="center"/>
            </w:pPr>
            <w:r w:rsidRPr="00455C62">
              <w:t>–</w:t>
            </w:r>
          </w:p>
        </w:tc>
        <w:tc>
          <w:tcPr>
            <w:tcW w:w="823" w:type="dxa"/>
            <w:vAlign w:val="center"/>
          </w:tcPr>
          <w:p w14:paraId="3ABA3B91" w14:textId="77777777" w:rsidR="00CE2477" w:rsidRPr="00455C62" w:rsidRDefault="00CE2477" w:rsidP="00F44C38">
            <w:pPr>
              <w:pStyle w:val="Tabletext0"/>
              <w:jc w:val="center"/>
            </w:pPr>
            <w:r w:rsidRPr="00455C62">
              <w:sym w:font="Wingdings" w:char="F0FC"/>
            </w:r>
          </w:p>
        </w:tc>
        <w:tc>
          <w:tcPr>
            <w:tcW w:w="1048" w:type="dxa"/>
            <w:vAlign w:val="center"/>
          </w:tcPr>
          <w:p w14:paraId="158BF595" w14:textId="77777777" w:rsidR="00CE2477" w:rsidRPr="00455C62" w:rsidRDefault="00CE2477" w:rsidP="00F44C38">
            <w:pPr>
              <w:pStyle w:val="Tabletext0"/>
              <w:jc w:val="center"/>
              <w:rPr>
                <w:strike/>
              </w:rPr>
            </w:pPr>
            <w:r w:rsidRPr="00455C62">
              <w:t>–</w:t>
            </w:r>
          </w:p>
        </w:tc>
      </w:tr>
      <w:tr w:rsidR="00455C62" w:rsidRPr="00455C62" w14:paraId="1F7843EB" w14:textId="77777777" w:rsidTr="00F44C38">
        <w:trPr>
          <w:trHeight w:val="178"/>
          <w:jc w:val="center"/>
        </w:trPr>
        <w:tc>
          <w:tcPr>
            <w:tcW w:w="1838" w:type="dxa"/>
            <w:vMerge/>
          </w:tcPr>
          <w:p w14:paraId="33AED3DA" w14:textId="77777777" w:rsidR="00CE2477" w:rsidRPr="00455C62" w:rsidRDefault="00CE2477" w:rsidP="00F44C38">
            <w:pPr>
              <w:pStyle w:val="Tabletext0"/>
              <w:rPr>
                <w:b/>
              </w:rPr>
            </w:pPr>
          </w:p>
        </w:tc>
        <w:tc>
          <w:tcPr>
            <w:tcW w:w="3889" w:type="dxa"/>
          </w:tcPr>
          <w:p w14:paraId="55022776" w14:textId="77777777" w:rsidR="00CE2477" w:rsidRPr="00455C62" w:rsidRDefault="00CE2477" w:rsidP="00F44C38">
            <w:pPr>
              <w:pStyle w:val="Tabletext0"/>
            </w:pPr>
            <w:r w:rsidRPr="00455C62">
              <w:t>Effects in women with impaired renal function</w:t>
            </w:r>
          </w:p>
        </w:tc>
        <w:tc>
          <w:tcPr>
            <w:tcW w:w="851" w:type="dxa"/>
            <w:vAlign w:val="center"/>
          </w:tcPr>
          <w:p w14:paraId="4EB0CED4" w14:textId="77777777" w:rsidR="00CE2477" w:rsidRPr="00455C62" w:rsidRDefault="00CE2477" w:rsidP="00F44C38">
            <w:pPr>
              <w:pStyle w:val="Tabletext0"/>
              <w:jc w:val="center"/>
            </w:pPr>
            <w:r w:rsidRPr="00455C62">
              <w:sym w:font="Wingdings" w:char="F0FC"/>
            </w:r>
          </w:p>
        </w:tc>
        <w:tc>
          <w:tcPr>
            <w:tcW w:w="1020" w:type="dxa"/>
          </w:tcPr>
          <w:p w14:paraId="6FFB899B" w14:textId="77777777" w:rsidR="00CE2477" w:rsidRPr="00455C62" w:rsidRDefault="00CE2477" w:rsidP="00F44C38">
            <w:pPr>
              <w:pStyle w:val="Tabletext0"/>
              <w:jc w:val="center"/>
            </w:pPr>
            <w:r w:rsidRPr="00455C62">
              <w:t>–</w:t>
            </w:r>
          </w:p>
        </w:tc>
        <w:tc>
          <w:tcPr>
            <w:tcW w:w="823" w:type="dxa"/>
            <w:vAlign w:val="center"/>
          </w:tcPr>
          <w:p w14:paraId="1FDB0369" w14:textId="77777777" w:rsidR="00CE2477" w:rsidRPr="00455C62" w:rsidRDefault="00CE2477" w:rsidP="00F44C38">
            <w:pPr>
              <w:pStyle w:val="Tabletext0"/>
              <w:jc w:val="center"/>
            </w:pPr>
            <w:r w:rsidRPr="00455C62">
              <w:sym w:font="Wingdings" w:char="F0FC"/>
            </w:r>
          </w:p>
        </w:tc>
        <w:tc>
          <w:tcPr>
            <w:tcW w:w="1048" w:type="dxa"/>
            <w:vAlign w:val="center"/>
          </w:tcPr>
          <w:p w14:paraId="301E8F9D" w14:textId="77777777" w:rsidR="00CE2477" w:rsidRPr="00455C62" w:rsidRDefault="00CE2477" w:rsidP="00F44C38">
            <w:pPr>
              <w:pStyle w:val="Tabletext0"/>
              <w:jc w:val="center"/>
              <w:rPr>
                <w:strike/>
              </w:rPr>
            </w:pPr>
            <w:r w:rsidRPr="00455C62">
              <w:t>–</w:t>
            </w:r>
          </w:p>
        </w:tc>
      </w:tr>
      <w:tr w:rsidR="00455C62" w:rsidRPr="00455C62" w14:paraId="6CA64E29" w14:textId="77777777" w:rsidTr="00F44C38">
        <w:trPr>
          <w:trHeight w:val="178"/>
          <w:jc w:val="center"/>
        </w:trPr>
        <w:tc>
          <w:tcPr>
            <w:tcW w:w="1838" w:type="dxa"/>
            <w:vMerge/>
          </w:tcPr>
          <w:p w14:paraId="63D24597" w14:textId="77777777" w:rsidR="00CE2477" w:rsidRPr="00455C62" w:rsidRDefault="00CE2477" w:rsidP="00F44C38">
            <w:pPr>
              <w:pStyle w:val="Tabletext0"/>
              <w:rPr>
                <w:b/>
              </w:rPr>
            </w:pPr>
          </w:p>
        </w:tc>
        <w:tc>
          <w:tcPr>
            <w:tcW w:w="3889" w:type="dxa"/>
          </w:tcPr>
          <w:p w14:paraId="14C4AD0A" w14:textId="77777777" w:rsidR="00CE2477" w:rsidRPr="00455C62" w:rsidRDefault="00CE2477" w:rsidP="00F44C38">
            <w:pPr>
              <w:pStyle w:val="Tabletext0"/>
            </w:pPr>
            <w:r w:rsidRPr="00455C62">
              <w:t>Effects in women with malnutrition</w:t>
            </w:r>
          </w:p>
        </w:tc>
        <w:tc>
          <w:tcPr>
            <w:tcW w:w="851" w:type="dxa"/>
            <w:vAlign w:val="center"/>
          </w:tcPr>
          <w:p w14:paraId="582F23C9" w14:textId="77777777" w:rsidR="00CE2477" w:rsidRPr="00455C62" w:rsidRDefault="00CE2477" w:rsidP="00F44C38">
            <w:pPr>
              <w:pStyle w:val="Tabletext0"/>
              <w:jc w:val="center"/>
            </w:pPr>
            <w:r w:rsidRPr="00455C62">
              <w:sym w:font="Wingdings" w:char="F0FC"/>
            </w:r>
          </w:p>
        </w:tc>
        <w:tc>
          <w:tcPr>
            <w:tcW w:w="1020" w:type="dxa"/>
          </w:tcPr>
          <w:p w14:paraId="237CB6FB" w14:textId="77777777" w:rsidR="00CE2477" w:rsidRPr="00455C62" w:rsidRDefault="00CE2477" w:rsidP="00F44C38">
            <w:pPr>
              <w:pStyle w:val="Tabletext0"/>
              <w:jc w:val="center"/>
            </w:pPr>
            <w:r w:rsidRPr="00455C62">
              <w:t>–</w:t>
            </w:r>
          </w:p>
        </w:tc>
        <w:tc>
          <w:tcPr>
            <w:tcW w:w="823" w:type="dxa"/>
            <w:vAlign w:val="center"/>
          </w:tcPr>
          <w:p w14:paraId="02847050" w14:textId="77777777" w:rsidR="00CE2477" w:rsidRPr="00455C62" w:rsidRDefault="00CE2477" w:rsidP="00F44C38">
            <w:pPr>
              <w:pStyle w:val="Tabletext0"/>
              <w:jc w:val="center"/>
            </w:pPr>
            <w:r w:rsidRPr="00455C62">
              <w:sym w:font="Wingdings" w:char="F0FC"/>
            </w:r>
          </w:p>
        </w:tc>
        <w:tc>
          <w:tcPr>
            <w:tcW w:w="1048" w:type="dxa"/>
            <w:vAlign w:val="center"/>
          </w:tcPr>
          <w:p w14:paraId="2DD55839" w14:textId="77777777" w:rsidR="00CE2477" w:rsidRPr="00455C62" w:rsidRDefault="00CE2477" w:rsidP="00F44C38">
            <w:pPr>
              <w:pStyle w:val="Tabletext0"/>
              <w:jc w:val="center"/>
              <w:rPr>
                <w:strike/>
              </w:rPr>
            </w:pPr>
            <w:r w:rsidRPr="00455C62">
              <w:t>–</w:t>
            </w:r>
          </w:p>
        </w:tc>
      </w:tr>
      <w:tr w:rsidR="00455C62" w:rsidRPr="00455C62" w14:paraId="62ABF9FA" w14:textId="77777777" w:rsidTr="00F44C38">
        <w:trPr>
          <w:trHeight w:val="178"/>
          <w:jc w:val="center"/>
        </w:trPr>
        <w:tc>
          <w:tcPr>
            <w:tcW w:w="1838" w:type="dxa"/>
            <w:vMerge/>
          </w:tcPr>
          <w:p w14:paraId="4311685D" w14:textId="77777777" w:rsidR="00CE2477" w:rsidRPr="00455C62" w:rsidRDefault="00CE2477" w:rsidP="00F44C38">
            <w:pPr>
              <w:pStyle w:val="Tabletext0"/>
              <w:rPr>
                <w:b/>
              </w:rPr>
            </w:pPr>
          </w:p>
        </w:tc>
        <w:tc>
          <w:tcPr>
            <w:tcW w:w="3889" w:type="dxa"/>
          </w:tcPr>
          <w:p w14:paraId="0DDDA02A" w14:textId="77777777" w:rsidR="00CE2477" w:rsidRPr="00455C62" w:rsidRDefault="00CE2477" w:rsidP="00F44C38">
            <w:pPr>
              <w:pStyle w:val="Tabletext0"/>
            </w:pPr>
            <w:r w:rsidRPr="00455C62">
              <w:t>Incorrect determination of gestational age</w:t>
            </w:r>
          </w:p>
        </w:tc>
        <w:tc>
          <w:tcPr>
            <w:tcW w:w="851" w:type="dxa"/>
            <w:vAlign w:val="center"/>
          </w:tcPr>
          <w:p w14:paraId="0A561FB6" w14:textId="77777777" w:rsidR="00CE2477" w:rsidRPr="00455C62" w:rsidRDefault="00CE2477" w:rsidP="00F44C38">
            <w:pPr>
              <w:pStyle w:val="Tabletext0"/>
              <w:jc w:val="center"/>
            </w:pPr>
            <w:r w:rsidRPr="00455C62">
              <w:sym w:font="Wingdings" w:char="F0FC"/>
            </w:r>
          </w:p>
        </w:tc>
        <w:tc>
          <w:tcPr>
            <w:tcW w:w="1020" w:type="dxa"/>
          </w:tcPr>
          <w:p w14:paraId="250B424A" w14:textId="77777777" w:rsidR="00CE2477" w:rsidRPr="00455C62" w:rsidRDefault="00CE2477" w:rsidP="00F44C38">
            <w:pPr>
              <w:pStyle w:val="Tabletext0"/>
              <w:jc w:val="center"/>
            </w:pPr>
            <w:r w:rsidRPr="00455C62">
              <w:t>–</w:t>
            </w:r>
          </w:p>
        </w:tc>
        <w:tc>
          <w:tcPr>
            <w:tcW w:w="823" w:type="dxa"/>
            <w:vAlign w:val="center"/>
          </w:tcPr>
          <w:p w14:paraId="3BFADB10" w14:textId="77777777" w:rsidR="00CE2477" w:rsidRPr="00455C62" w:rsidRDefault="00CE2477" w:rsidP="00F44C38">
            <w:pPr>
              <w:pStyle w:val="Tabletext0"/>
              <w:jc w:val="center"/>
            </w:pPr>
            <w:r w:rsidRPr="00455C62">
              <w:sym w:font="Wingdings" w:char="F0FC"/>
            </w:r>
          </w:p>
        </w:tc>
        <w:tc>
          <w:tcPr>
            <w:tcW w:w="1048" w:type="dxa"/>
            <w:vAlign w:val="center"/>
          </w:tcPr>
          <w:p w14:paraId="21B2C7E9" w14:textId="77777777" w:rsidR="00CE2477" w:rsidRPr="00455C62" w:rsidRDefault="00CE2477" w:rsidP="00F44C38">
            <w:pPr>
              <w:pStyle w:val="Tabletext0"/>
              <w:jc w:val="center"/>
              <w:rPr>
                <w:strike/>
              </w:rPr>
            </w:pPr>
            <w:r w:rsidRPr="00455C62">
              <w:t>–</w:t>
            </w:r>
          </w:p>
        </w:tc>
      </w:tr>
      <w:tr w:rsidR="00455C62" w:rsidRPr="00455C62" w14:paraId="0B838863" w14:textId="77777777" w:rsidTr="00F44C38">
        <w:trPr>
          <w:trHeight w:val="178"/>
          <w:jc w:val="center"/>
        </w:trPr>
        <w:tc>
          <w:tcPr>
            <w:tcW w:w="1838" w:type="dxa"/>
            <w:vMerge/>
          </w:tcPr>
          <w:p w14:paraId="7AA1DED5" w14:textId="77777777" w:rsidR="00CE2477" w:rsidRPr="00455C62" w:rsidRDefault="00CE2477" w:rsidP="00F44C38">
            <w:pPr>
              <w:pStyle w:val="Tabletext0"/>
              <w:rPr>
                <w:b/>
              </w:rPr>
            </w:pPr>
          </w:p>
        </w:tc>
        <w:tc>
          <w:tcPr>
            <w:tcW w:w="3889" w:type="dxa"/>
          </w:tcPr>
          <w:p w14:paraId="2EEE8A9D" w14:textId="77777777" w:rsidR="00CE2477" w:rsidRPr="00455C62" w:rsidRDefault="00CE2477" w:rsidP="00F44C38">
            <w:pPr>
              <w:pStyle w:val="Tabletext0"/>
            </w:pPr>
            <w:r w:rsidRPr="00455C62">
              <w:t>Potential for missed ectopic pregnancy</w:t>
            </w:r>
          </w:p>
        </w:tc>
        <w:tc>
          <w:tcPr>
            <w:tcW w:w="851" w:type="dxa"/>
            <w:vAlign w:val="center"/>
          </w:tcPr>
          <w:p w14:paraId="10487EFB" w14:textId="77777777" w:rsidR="00CE2477" w:rsidRPr="00455C62" w:rsidRDefault="00CE2477" w:rsidP="00F44C38">
            <w:pPr>
              <w:pStyle w:val="Tabletext0"/>
              <w:jc w:val="center"/>
            </w:pPr>
            <w:r w:rsidRPr="00455C62">
              <w:sym w:font="Wingdings" w:char="F0FC"/>
            </w:r>
          </w:p>
        </w:tc>
        <w:tc>
          <w:tcPr>
            <w:tcW w:w="1020" w:type="dxa"/>
          </w:tcPr>
          <w:p w14:paraId="483C23C6" w14:textId="77777777" w:rsidR="00CE2477" w:rsidRPr="00455C62" w:rsidRDefault="00CE2477" w:rsidP="00F44C38">
            <w:pPr>
              <w:pStyle w:val="Tabletext0"/>
              <w:jc w:val="center"/>
            </w:pPr>
            <w:r w:rsidRPr="00455C62">
              <w:t>–</w:t>
            </w:r>
          </w:p>
        </w:tc>
        <w:tc>
          <w:tcPr>
            <w:tcW w:w="823" w:type="dxa"/>
            <w:vAlign w:val="center"/>
          </w:tcPr>
          <w:p w14:paraId="46352C6F" w14:textId="77777777" w:rsidR="00CE2477" w:rsidRPr="00455C62" w:rsidRDefault="00CE2477" w:rsidP="00F44C38">
            <w:pPr>
              <w:pStyle w:val="Tabletext0"/>
              <w:jc w:val="center"/>
            </w:pPr>
            <w:r w:rsidRPr="00455C62">
              <w:sym w:font="Wingdings" w:char="F0FC"/>
            </w:r>
          </w:p>
        </w:tc>
        <w:tc>
          <w:tcPr>
            <w:tcW w:w="1048" w:type="dxa"/>
            <w:vAlign w:val="center"/>
          </w:tcPr>
          <w:p w14:paraId="00F67F6F" w14:textId="77CF366F" w:rsidR="00CE2477" w:rsidRPr="00455C62" w:rsidRDefault="00CE2477" w:rsidP="00F44C38">
            <w:pPr>
              <w:pStyle w:val="Tabletext0"/>
              <w:jc w:val="center"/>
            </w:pPr>
            <w:r w:rsidRPr="00455C62">
              <w:sym w:font="Wingdings" w:char="F0FC"/>
            </w:r>
          </w:p>
        </w:tc>
      </w:tr>
      <w:tr w:rsidR="00455C62" w:rsidRPr="00455C62" w14:paraId="02DE6321" w14:textId="77777777" w:rsidTr="00F44C38">
        <w:trPr>
          <w:trHeight w:val="178"/>
          <w:jc w:val="center"/>
        </w:trPr>
        <w:tc>
          <w:tcPr>
            <w:tcW w:w="1838" w:type="dxa"/>
            <w:vMerge/>
          </w:tcPr>
          <w:p w14:paraId="5014073F" w14:textId="77777777" w:rsidR="00CE2477" w:rsidRPr="00455C62" w:rsidRDefault="00CE2477" w:rsidP="00F44C38">
            <w:pPr>
              <w:pStyle w:val="Tabletext0"/>
              <w:rPr>
                <w:b/>
              </w:rPr>
            </w:pPr>
          </w:p>
        </w:tc>
        <w:tc>
          <w:tcPr>
            <w:tcW w:w="3889" w:type="dxa"/>
          </w:tcPr>
          <w:p w14:paraId="2B66D398" w14:textId="77777777" w:rsidR="00CE2477" w:rsidRPr="00455C62" w:rsidRDefault="00CE2477" w:rsidP="00F44C38">
            <w:pPr>
              <w:pStyle w:val="Tabletext0"/>
            </w:pPr>
            <w:r w:rsidRPr="00455C62">
              <w:t>Potential for postnatal developmental delay</w:t>
            </w:r>
          </w:p>
        </w:tc>
        <w:tc>
          <w:tcPr>
            <w:tcW w:w="851" w:type="dxa"/>
            <w:vAlign w:val="center"/>
          </w:tcPr>
          <w:p w14:paraId="22D025F8" w14:textId="77777777" w:rsidR="00CE2477" w:rsidRPr="00455C62" w:rsidRDefault="00CE2477" w:rsidP="00F44C38">
            <w:pPr>
              <w:pStyle w:val="Tabletext0"/>
              <w:jc w:val="center"/>
            </w:pPr>
            <w:r w:rsidRPr="00455C62">
              <w:sym w:font="Wingdings" w:char="F0FC"/>
            </w:r>
          </w:p>
        </w:tc>
        <w:tc>
          <w:tcPr>
            <w:tcW w:w="1020" w:type="dxa"/>
          </w:tcPr>
          <w:p w14:paraId="264D53F7" w14:textId="77777777" w:rsidR="00CE2477" w:rsidRPr="00455C62" w:rsidRDefault="00CE2477" w:rsidP="00F44C38">
            <w:pPr>
              <w:pStyle w:val="Tabletext0"/>
              <w:jc w:val="center"/>
            </w:pPr>
            <w:r w:rsidRPr="00455C62">
              <w:t>–</w:t>
            </w:r>
          </w:p>
        </w:tc>
        <w:tc>
          <w:tcPr>
            <w:tcW w:w="823" w:type="dxa"/>
            <w:vAlign w:val="center"/>
          </w:tcPr>
          <w:p w14:paraId="7F9AFF65" w14:textId="77777777" w:rsidR="00CE2477" w:rsidRPr="00455C62" w:rsidRDefault="00CE2477" w:rsidP="00F44C38">
            <w:pPr>
              <w:pStyle w:val="Tabletext0"/>
              <w:jc w:val="center"/>
            </w:pPr>
            <w:r w:rsidRPr="00455C62">
              <w:sym w:font="Wingdings" w:char="F0FC"/>
            </w:r>
          </w:p>
        </w:tc>
        <w:tc>
          <w:tcPr>
            <w:tcW w:w="1048" w:type="dxa"/>
            <w:vAlign w:val="center"/>
          </w:tcPr>
          <w:p w14:paraId="7844CFA2" w14:textId="77777777" w:rsidR="00CE2477" w:rsidRPr="00455C62" w:rsidRDefault="00CE2477" w:rsidP="00F44C38">
            <w:pPr>
              <w:pStyle w:val="Tabletext0"/>
              <w:jc w:val="center"/>
            </w:pPr>
            <w:r w:rsidRPr="00455C62">
              <w:t>–</w:t>
            </w:r>
          </w:p>
        </w:tc>
      </w:tr>
      <w:tr w:rsidR="00455C62" w:rsidRPr="00455C62" w14:paraId="265B406A" w14:textId="77777777" w:rsidTr="00F44C38">
        <w:trPr>
          <w:trHeight w:val="178"/>
          <w:jc w:val="center"/>
        </w:trPr>
        <w:tc>
          <w:tcPr>
            <w:tcW w:w="1838" w:type="dxa"/>
            <w:vMerge/>
          </w:tcPr>
          <w:p w14:paraId="288DA468" w14:textId="77777777" w:rsidR="00CE2477" w:rsidRPr="00455C62" w:rsidRDefault="00CE2477" w:rsidP="00F44C38">
            <w:pPr>
              <w:pStyle w:val="Tabletext0"/>
              <w:rPr>
                <w:b/>
              </w:rPr>
            </w:pPr>
          </w:p>
        </w:tc>
        <w:tc>
          <w:tcPr>
            <w:tcW w:w="3889" w:type="dxa"/>
          </w:tcPr>
          <w:p w14:paraId="5CE90532" w14:textId="77777777" w:rsidR="00CE2477" w:rsidRPr="00455C62" w:rsidRDefault="00CE2477" w:rsidP="00F44C38">
            <w:pPr>
              <w:pStyle w:val="Tabletext0"/>
            </w:pPr>
            <w:r w:rsidRPr="00455C62">
              <w:t>Potential for off-label use beyond the first trimester</w:t>
            </w:r>
          </w:p>
        </w:tc>
        <w:tc>
          <w:tcPr>
            <w:tcW w:w="851" w:type="dxa"/>
            <w:vAlign w:val="center"/>
          </w:tcPr>
          <w:p w14:paraId="727930B8" w14:textId="77777777" w:rsidR="00CE2477" w:rsidRPr="00455C62" w:rsidRDefault="00CE2477" w:rsidP="00F44C38">
            <w:pPr>
              <w:pStyle w:val="Tabletext0"/>
              <w:jc w:val="center"/>
            </w:pPr>
            <w:r w:rsidRPr="00455C62">
              <w:sym w:font="Wingdings" w:char="F0FC"/>
            </w:r>
          </w:p>
        </w:tc>
        <w:tc>
          <w:tcPr>
            <w:tcW w:w="1020" w:type="dxa"/>
          </w:tcPr>
          <w:p w14:paraId="2E4EEFB7" w14:textId="77777777" w:rsidR="00CE2477" w:rsidRPr="00455C62" w:rsidRDefault="00CE2477" w:rsidP="00F44C38">
            <w:pPr>
              <w:pStyle w:val="Tabletext0"/>
              <w:jc w:val="center"/>
            </w:pPr>
            <w:r w:rsidRPr="00455C62">
              <w:t>–</w:t>
            </w:r>
          </w:p>
        </w:tc>
        <w:tc>
          <w:tcPr>
            <w:tcW w:w="823" w:type="dxa"/>
            <w:vAlign w:val="center"/>
          </w:tcPr>
          <w:p w14:paraId="254F1679" w14:textId="77777777" w:rsidR="00CE2477" w:rsidRPr="00455C62" w:rsidRDefault="00CE2477" w:rsidP="00F44C38">
            <w:pPr>
              <w:pStyle w:val="Tabletext0"/>
              <w:jc w:val="center"/>
            </w:pPr>
            <w:r w:rsidRPr="00455C62">
              <w:sym w:font="Wingdings" w:char="F0FC"/>
            </w:r>
          </w:p>
        </w:tc>
        <w:tc>
          <w:tcPr>
            <w:tcW w:w="1048" w:type="dxa"/>
            <w:vAlign w:val="center"/>
          </w:tcPr>
          <w:p w14:paraId="661DF560" w14:textId="77777777" w:rsidR="00CE2477" w:rsidRPr="00455C62" w:rsidRDefault="00CE2477" w:rsidP="00F44C38">
            <w:pPr>
              <w:pStyle w:val="Tabletext0"/>
              <w:jc w:val="center"/>
              <w:rPr>
                <w:strike/>
              </w:rPr>
            </w:pPr>
            <w:r w:rsidRPr="00455C62">
              <w:t>–</w:t>
            </w:r>
          </w:p>
        </w:tc>
      </w:tr>
      <w:tr w:rsidR="00455C62" w:rsidRPr="00455C62" w14:paraId="602C07B9" w14:textId="77777777" w:rsidTr="00F44C38">
        <w:trPr>
          <w:trHeight w:val="178"/>
          <w:jc w:val="center"/>
        </w:trPr>
        <w:tc>
          <w:tcPr>
            <w:tcW w:w="1838" w:type="dxa"/>
            <w:vMerge w:val="restart"/>
          </w:tcPr>
          <w:p w14:paraId="15C2E280" w14:textId="77777777" w:rsidR="00CE2477" w:rsidRPr="00455C62" w:rsidRDefault="00CE2477" w:rsidP="00F44C38">
            <w:pPr>
              <w:pStyle w:val="Tabletext0"/>
              <w:rPr>
                <w:b/>
              </w:rPr>
            </w:pPr>
            <w:r w:rsidRPr="00455C62">
              <w:rPr>
                <w:b/>
              </w:rPr>
              <w:t>Missing information</w:t>
            </w:r>
          </w:p>
        </w:tc>
        <w:tc>
          <w:tcPr>
            <w:tcW w:w="3889" w:type="dxa"/>
          </w:tcPr>
          <w:p w14:paraId="7078009E" w14:textId="77777777" w:rsidR="00CE2477" w:rsidRPr="00455C62" w:rsidRDefault="00CE2477" w:rsidP="00F44C38">
            <w:pPr>
              <w:pStyle w:val="Tabletext0"/>
            </w:pPr>
            <w:r w:rsidRPr="00455C62">
              <w:t>Inherited porphyria</w:t>
            </w:r>
          </w:p>
        </w:tc>
        <w:tc>
          <w:tcPr>
            <w:tcW w:w="851" w:type="dxa"/>
            <w:vAlign w:val="center"/>
          </w:tcPr>
          <w:p w14:paraId="46BCAF79" w14:textId="77777777" w:rsidR="00CE2477" w:rsidRPr="00455C62" w:rsidRDefault="00CE2477" w:rsidP="00F44C38">
            <w:pPr>
              <w:pStyle w:val="Tabletext0"/>
              <w:jc w:val="center"/>
            </w:pPr>
            <w:r w:rsidRPr="00455C62">
              <w:sym w:font="Wingdings" w:char="F0FC"/>
            </w:r>
          </w:p>
        </w:tc>
        <w:tc>
          <w:tcPr>
            <w:tcW w:w="1020" w:type="dxa"/>
          </w:tcPr>
          <w:p w14:paraId="4FA49B62" w14:textId="77777777" w:rsidR="00CE2477" w:rsidRPr="00455C62" w:rsidRDefault="00CE2477" w:rsidP="00F44C38">
            <w:pPr>
              <w:pStyle w:val="Tabletext0"/>
              <w:jc w:val="center"/>
            </w:pPr>
            <w:r w:rsidRPr="00455C62">
              <w:t>–</w:t>
            </w:r>
          </w:p>
        </w:tc>
        <w:tc>
          <w:tcPr>
            <w:tcW w:w="823" w:type="dxa"/>
          </w:tcPr>
          <w:p w14:paraId="78E9E40D" w14:textId="77777777" w:rsidR="00CE2477" w:rsidRPr="00455C62" w:rsidRDefault="00CE2477" w:rsidP="00F44C38">
            <w:pPr>
              <w:pStyle w:val="Tabletext0"/>
              <w:jc w:val="center"/>
            </w:pPr>
            <w:r w:rsidRPr="00455C62">
              <w:t>–</w:t>
            </w:r>
          </w:p>
        </w:tc>
        <w:tc>
          <w:tcPr>
            <w:tcW w:w="1048" w:type="dxa"/>
          </w:tcPr>
          <w:p w14:paraId="3FDEC4AD" w14:textId="77777777" w:rsidR="00CE2477" w:rsidRPr="00455C62" w:rsidRDefault="00CE2477" w:rsidP="00F44C38">
            <w:pPr>
              <w:pStyle w:val="Tabletext0"/>
              <w:jc w:val="center"/>
            </w:pPr>
            <w:r w:rsidRPr="00455C62">
              <w:t>–</w:t>
            </w:r>
          </w:p>
        </w:tc>
      </w:tr>
      <w:tr w:rsidR="00455C62" w:rsidRPr="00455C62" w14:paraId="5C8F9689" w14:textId="77777777" w:rsidTr="00F44C38">
        <w:trPr>
          <w:trHeight w:val="178"/>
          <w:jc w:val="center"/>
        </w:trPr>
        <w:tc>
          <w:tcPr>
            <w:tcW w:w="1838" w:type="dxa"/>
            <w:vMerge/>
          </w:tcPr>
          <w:p w14:paraId="14312D1C" w14:textId="77777777" w:rsidR="00CE2477" w:rsidRPr="00455C62" w:rsidRDefault="00CE2477" w:rsidP="00F44C38">
            <w:pPr>
              <w:pStyle w:val="Tabletext0"/>
              <w:rPr>
                <w:b/>
              </w:rPr>
            </w:pPr>
          </w:p>
        </w:tc>
        <w:tc>
          <w:tcPr>
            <w:tcW w:w="3889" w:type="dxa"/>
          </w:tcPr>
          <w:p w14:paraId="3D9C4A0A" w14:textId="77777777" w:rsidR="00CE2477" w:rsidRPr="00455C62" w:rsidRDefault="00CE2477" w:rsidP="00F44C38">
            <w:pPr>
              <w:pStyle w:val="Tabletext0"/>
            </w:pPr>
            <w:r w:rsidRPr="00455C62">
              <w:t>Theoretical interaction with NSAIDs</w:t>
            </w:r>
          </w:p>
        </w:tc>
        <w:tc>
          <w:tcPr>
            <w:tcW w:w="851" w:type="dxa"/>
            <w:vAlign w:val="center"/>
          </w:tcPr>
          <w:p w14:paraId="2FD12452" w14:textId="77777777" w:rsidR="00CE2477" w:rsidRPr="00455C62" w:rsidRDefault="00CE2477" w:rsidP="00F44C38">
            <w:pPr>
              <w:pStyle w:val="Tabletext0"/>
              <w:jc w:val="center"/>
            </w:pPr>
            <w:r w:rsidRPr="00455C62">
              <w:sym w:font="Wingdings" w:char="F0FC"/>
            </w:r>
          </w:p>
        </w:tc>
        <w:tc>
          <w:tcPr>
            <w:tcW w:w="1020" w:type="dxa"/>
          </w:tcPr>
          <w:p w14:paraId="056B2A98" w14:textId="77777777" w:rsidR="00CE2477" w:rsidRPr="00455C62" w:rsidRDefault="00CE2477" w:rsidP="00F44C38">
            <w:pPr>
              <w:pStyle w:val="Tabletext0"/>
              <w:jc w:val="center"/>
            </w:pPr>
            <w:r w:rsidRPr="00455C62">
              <w:t>–</w:t>
            </w:r>
          </w:p>
        </w:tc>
        <w:tc>
          <w:tcPr>
            <w:tcW w:w="823" w:type="dxa"/>
          </w:tcPr>
          <w:p w14:paraId="7B4DC3A9" w14:textId="77777777" w:rsidR="00CE2477" w:rsidRPr="00455C62" w:rsidRDefault="00CE2477" w:rsidP="00F44C38">
            <w:pPr>
              <w:pStyle w:val="Tabletext0"/>
              <w:jc w:val="center"/>
            </w:pPr>
            <w:r w:rsidRPr="00455C62">
              <w:t>–</w:t>
            </w:r>
          </w:p>
        </w:tc>
        <w:tc>
          <w:tcPr>
            <w:tcW w:w="1048" w:type="dxa"/>
          </w:tcPr>
          <w:p w14:paraId="71581E4E" w14:textId="77777777" w:rsidR="00CE2477" w:rsidRPr="00455C62" w:rsidRDefault="00CE2477" w:rsidP="00F44C38">
            <w:pPr>
              <w:pStyle w:val="Tabletext0"/>
              <w:jc w:val="center"/>
            </w:pPr>
            <w:r w:rsidRPr="00455C62">
              <w:t>–</w:t>
            </w:r>
          </w:p>
        </w:tc>
      </w:tr>
      <w:tr w:rsidR="00455C62" w:rsidRPr="00455C62" w14:paraId="1B40E859" w14:textId="77777777" w:rsidTr="00F44C38">
        <w:trPr>
          <w:trHeight w:val="103"/>
          <w:jc w:val="center"/>
        </w:trPr>
        <w:tc>
          <w:tcPr>
            <w:tcW w:w="1838" w:type="dxa"/>
            <w:vMerge/>
          </w:tcPr>
          <w:p w14:paraId="0B8EFDE2" w14:textId="77777777" w:rsidR="00CE2477" w:rsidRPr="00455C62" w:rsidRDefault="00CE2477" w:rsidP="00F44C38">
            <w:pPr>
              <w:pStyle w:val="Tabletext0"/>
            </w:pPr>
          </w:p>
        </w:tc>
        <w:tc>
          <w:tcPr>
            <w:tcW w:w="3889" w:type="dxa"/>
          </w:tcPr>
          <w:p w14:paraId="07AE811A" w14:textId="77777777" w:rsidR="00CE2477" w:rsidRPr="00455C62" w:rsidRDefault="00CE2477" w:rsidP="00F44C38">
            <w:pPr>
              <w:pStyle w:val="Tabletext0"/>
            </w:pPr>
            <w:r w:rsidRPr="00455C62">
              <w:t>Potential interaction with products interacting with the progesterone receptor</w:t>
            </w:r>
          </w:p>
        </w:tc>
        <w:tc>
          <w:tcPr>
            <w:tcW w:w="851" w:type="dxa"/>
            <w:vAlign w:val="center"/>
          </w:tcPr>
          <w:p w14:paraId="4C9B6630" w14:textId="77777777" w:rsidR="00CE2477" w:rsidRPr="00455C62" w:rsidRDefault="00CE2477" w:rsidP="00F44C38">
            <w:pPr>
              <w:pStyle w:val="Tabletext0"/>
              <w:jc w:val="center"/>
            </w:pPr>
            <w:r w:rsidRPr="00455C62">
              <w:sym w:font="Wingdings" w:char="F0FC"/>
            </w:r>
          </w:p>
        </w:tc>
        <w:tc>
          <w:tcPr>
            <w:tcW w:w="1020" w:type="dxa"/>
          </w:tcPr>
          <w:p w14:paraId="00AC0B92" w14:textId="77777777" w:rsidR="00CE2477" w:rsidRPr="00455C62" w:rsidRDefault="00CE2477" w:rsidP="00F44C38">
            <w:pPr>
              <w:pStyle w:val="Tabletext0"/>
              <w:jc w:val="center"/>
            </w:pPr>
            <w:r w:rsidRPr="00455C62">
              <w:t>–</w:t>
            </w:r>
          </w:p>
        </w:tc>
        <w:tc>
          <w:tcPr>
            <w:tcW w:w="823" w:type="dxa"/>
          </w:tcPr>
          <w:p w14:paraId="63448221" w14:textId="77777777" w:rsidR="00CE2477" w:rsidRPr="00455C62" w:rsidRDefault="00CE2477" w:rsidP="00F44C38">
            <w:pPr>
              <w:pStyle w:val="Tabletext0"/>
              <w:jc w:val="center"/>
            </w:pPr>
            <w:r w:rsidRPr="00455C62">
              <w:t>–</w:t>
            </w:r>
          </w:p>
        </w:tc>
        <w:tc>
          <w:tcPr>
            <w:tcW w:w="1048" w:type="dxa"/>
          </w:tcPr>
          <w:p w14:paraId="56411EA1" w14:textId="77777777" w:rsidR="00CE2477" w:rsidRPr="00455C62" w:rsidRDefault="00CE2477" w:rsidP="00F44C38">
            <w:pPr>
              <w:pStyle w:val="Tabletext0"/>
              <w:jc w:val="center"/>
            </w:pPr>
            <w:r w:rsidRPr="00455C62">
              <w:t>–</w:t>
            </w:r>
          </w:p>
        </w:tc>
      </w:tr>
      <w:tr w:rsidR="00455C62" w:rsidRPr="00455C62" w14:paraId="1909C712" w14:textId="77777777" w:rsidTr="00F44C38">
        <w:trPr>
          <w:trHeight w:val="140"/>
          <w:jc w:val="center"/>
        </w:trPr>
        <w:tc>
          <w:tcPr>
            <w:tcW w:w="1838" w:type="dxa"/>
            <w:vMerge/>
          </w:tcPr>
          <w:p w14:paraId="241E5A5A" w14:textId="77777777" w:rsidR="00CE2477" w:rsidRPr="00455C62" w:rsidRDefault="00CE2477" w:rsidP="00F44C38">
            <w:pPr>
              <w:pStyle w:val="Tabletext0"/>
            </w:pPr>
          </w:p>
        </w:tc>
        <w:tc>
          <w:tcPr>
            <w:tcW w:w="3889" w:type="dxa"/>
          </w:tcPr>
          <w:p w14:paraId="3B7CF521" w14:textId="77777777" w:rsidR="00CE2477" w:rsidRPr="00455C62" w:rsidRDefault="00CE2477" w:rsidP="00F44C38">
            <w:pPr>
              <w:pStyle w:val="Tabletext0"/>
            </w:pPr>
            <w:r w:rsidRPr="00455C62">
              <w:t>Use in adolescents</w:t>
            </w:r>
          </w:p>
        </w:tc>
        <w:tc>
          <w:tcPr>
            <w:tcW w:w="851" w:type="dxa"/>
            <w:vAlign w:val="center"/>
          </w:tcPr>
          <w:p w14:paraId="43D4C2F0" w14:textId="77777777" w:rsidR="00CE2477" w:rsidRPr="00455C62" w:rsidRDefault="00CE2477" w:rsidP="00F44C38">
            <w:pPr>
              <w:pStyle w:val="Tabletext0"/>
              <w:jc w:val="center"/>
            </w:pPr>
            <w:r w:rsidRPr="00455C62">
              <w:sym w:font="Wingdings" w:char="F0FC"/>
            </w:r>
          </w:p>
        </w:tc>
        <w:tc>
          <w:tcPr>
            <w:tcW w:w="1020" w:type="dxa"/>
          </w:tcPr>
          <w:p w14:paraId="544743C2" w14:textId="77777777" w:rsidR="00CE2477" w:rsidRPr="00455C62" w:rsidRDefault="00CE2477" w:rsidP="00F44C38">
            <w:pPr>
              <w:pStyle w:val="Tabletext0"/>
              <w:jc w:val="center"/>
            </w:pPr>
            <w:r w:rsidRPr="00455C62">
              <w:t>–</w:t>
            </w:r>
          </w:p>
        </w:tc>
        <w:tc>
          <w:tcPr>
            <w:tcW w:w="823" w:type="dxa"/>
          </w:tcPr>
          <w:p w14:paraId="4CFF49C2" w14:textId="77777777" w:rsidR="00CE2477" w:rsidRPr="00455C62" w:rsidRDefault="00CE2477" w:rsidP="00F44C38">
            <w:pPr>
              <w:pStyle w:val="Tabletext0"/>
              <w:jc w:val="center"/>
            </w:pPr>
            <w:r w:rsidRPr="00455C62">
              <w:t>–</w:t>
            </w:r>
          </w:p>
        </w:tc>
        <w:tc>
          <w:tcPr>
            <w:tcW w:w="1048" w:type="dxa"/>
          </w:tcPr>
          <w:p w14:paraId="78BD80F9" w14:textId="77777777" w:rsidR="00CE2477" w:rsidRPr="00455C62" w:rsidRDefault="00CE2477" w:rsidP="00F44C38">
            <w:pPr>
              <w:pStyle w:val="Tabletext0"/>
              <w:jc w:val="center"/>
            </w:pPr>
            <w:r w:rsidRPr="00455C62">
              <w:t>–</w:t>
            </w:r>
          </w:p>
        </w:tc>
      </w:tr>
      <w:tr w:rsidR="00455C62" w:rsidRPr="00455C62" w14:paraId="47E39C23" w14:textId="77777777" w:rsidTr="00F44C38">
        <w:tblPrEx>
          <w:jc w:val="left"/>
          <w:tblCellMar>
            <w:left w:w="108" w:type="dxa"/>
            <w:right w:w="108" w:type="dxa"/>
          </w:tblCellMar>
        </w:tblPrEx>
        <w:trPr>
          <w:trHeight w:val="178"/>
        </w:trPr>
        <w:tc>
          <w:tcPr>
            <w:tcW w:w="1838" w:type="dxa"/>
          </w:tcPr>
          <w:p w14:paraId="2726C5B2" w14:textId="77777777" w:rsidR="00CE2477" w:rsidRPr="00455C62" w:rsidRDefault="00CE2477" w:rsidP="00F44C38">
            <w:pPr>
              <w:pStyle w:val="Tabletext0"/>
              <w:rPr>
                <w:b/>
                <w:bCs/>
              </w:rPr>
            </w:pPr>
            <w:r w:rsidRPr="00455C62">
              <w:rPr>
                <w:b/>
                <w:bCs/>
              </w:rPr>
              <w:t>Pharmacological class effect</w:t>
            </w:r>
          </w:p>
        </w:tc>
        <w:tc>
          <w:tcPr>
            <w:tcW w:w="3889" w:type="dxa"/>
          </w:tcPr>
          <w:p w14:paraId="157B146F" w14:textId="77777777" w:rsidR="00CE2477" w:rsidRPr="00455C62" w:rsidRDefault="00CE2477" w:rsidP="00F44C38">
            <w:pPr>
              <w:pStyle w:val="Tabletext0"/>
            </w:pPr>
            <w:r w:rsidRPr="00455C62">
              <w:t>Risks related to the use of prostaglandin</w:t>
            </w:r>
          </w:p>
        </w:tc>
        <w:tc>
          <w:tcPr>
            <w:tcW w:w="851" w:type="dxa"/>
            <w:vAlign w:val="center"/>
          </w:tcPr>
          <w:p w14:paraId="2DCBA6D7" w14:textId="77777777" w:rsidR="00CE2477" w:rsidRPr="00455C62" w:rsidRDefault="00CE2477" w:rsidP="00F44C38">
            <w:pPr>
              <w:pStyle w:val="Tabletext0"/>
              <w:jc w:val="center"/>
            </w:pPr>
            <w:r w:rsidRPr="00455C62">
              <w:sym w:font="Wingdings" w:char="F0FC"/>
            </w:r>
          </w:p>
        </w:tc>
        <w:tc>
          <w:tcPr>
            <w:tcW w:w="1020" w:type="dxa"/>
          </w:tcPr>
          <w:p w14:paraId="78CC48A3" w14:textId="77777777" w:rsidR="00CE2477" w:rsidRPr="00455C62" w:rsidRDefault="00CE2477" w:rsidP="00F44C38">
            <w:pPr>
              <w:pStyle w:val="Tabletext0"/>
              <w:jc w:val="center"/>
            </w:pPr>
            <w:r w:rsidRPr="00455C62">
              <w:t>–</w:t>
            </w:r>
          </w:p>
        </w:tc>
        <w:tc>
          <w:tcPr>
            <w:tcW w:w="823" w:type="dxa"/>
          </w:tcPr>
          <w:p w14:paraId="500BA0CE" w14:textId="77777777" w:rsidR="00CE2477" w:rsidRPr="00455C62" w:rsidRDefault="00CE2477" w:rsidP="00F44C38">
            <w:pPr>
              <w:pStyle w:val="Tabletext0"/>
              <w:jc w:val="center"/>
            </w:pPr>
            <w:r w:rsidRPr="00455C62">
              <w:sym w:font="Wingdings" w:char="F0FC"/>
            </w:r>
          </w:p>
        </w:tc>
        <w:tc>
          <w:tcPr>
            <w:tcW w:w="1048" w:type="dxa"/>
          </w:tcPr>
          <w:p w14:paraId="6924E7F5" w14:textId="63683D87" w:rsidR="00CE2477" w:rsidRPr="00455C62" w:rsidRDefault="00CE2477" w:rsidP="00F44C38">
            <w:pPr>
              <w:pStyle w:val="Tabletext0"/>
              <w:jc w:val="center"/>
            </w:pPr>
            <w:r w:rsidRPr="00455C62">
              <w:sym w:font="Wingdings" w:char="F0FC"/>
            </w:r>
          </w:p>
        </w:tc>
      </w:tr>
    </w:tbl>
    <w:p w14:paraId="1287501C" w14:textId="77777777" w:rsidR="00397668" w:rsidRDefault="00397668" w:rsidP="00FA1BC9">
      <w:pPr>
        <w:rPr>
          <w:szCs w:val="22"/>
        </w:rPr>
      </w:pPr>
      <w:bookmarkStart w:id="38" w:name="_Toc103679299"/>
    </w:p>
    <w:p w14:paraId="456C7934" w14:textId="50241004" w:rsidR="00FA1BC9" w:rsidRDefault="00FA1BC9" w:rsidP="00FA1BC9">
      <w:pPr>
        <w:rPr>
          <w:szCs w:val="22"/>
        </w:rPr>
      </w:pPr>
      <w:r w:rsidRPr="00BD5DBD">
        <w:rPr>
          <w:szCs w:val="22"/>
        </w:rPr>
        <w:t xml:space="preserve">Further information regarding the TGA’s risk management approach can be found in </w:t>
      </w:r>
      <w:hyperlink r:id="rId20" w:history="1">
        <w:r w:rsidRPr="00BD5DBD">
          <w:rPr>
            <w:rStyle w:val="Hyperlink"/>
            <w:szCs w:val="22"/>
          </w:rPr>
          <w:t>risk management plans for medicines and biologicals</w:t>
        </w:r>
      </w:hyperlink>
      <w:r w:rsidRPr="00BD5DBD">
        <w:rPr>
          <w:szCs w:val="22"/>
        </w:rPr>
        <w:t xml:space="preserve"> and </w:t>
      </w:r>
      <w:hyperlink r:id="rId21" w:history="1">
        <w:r w:rsidRPr="00BD5DBD">
          <w:rPr>
            <w:rStyle w:val="Hyperlink"/>
            <w:szCs w:val="22"/>
          </w:rPr>
          <w:t>the TGA's risk management approach</w:t>
        </w:r>
      </w:hyperlink>
      <w:r w:rsidRPr="00BD5DBD">
        <w:rPr>
          <w:szCs w:val="22"/>
        </w:rPr>
        <w:t xml:space="preserve">. Information on the </w:t>
      </w:r>
      <w:hyperlink r:id="rId22" w:history="1">
        <w:r w:rsidRPr="00BD5DBD">
          <w:rPr>
            <w:rStyle w:val="Hyperlink"/>
            <w:szCs w:val="22"/>
          </w:rPr>
          <w:t>Australia</w:t>
        </w:r>
        <w:r w:rsidR="00C57CEA">
          <w:rPr>
            <w:rStyle w:val="Hyperlink"/>
            <w:szCs w:val="22"/>
          </w:rPr>
          <w:t>-</w:t>
        </w:r>
        <w:r w:rsidRPr="00BD5DBD">
          <w:rPr>
            <w:rStyle w:val="Hyperlink"/>
            <w:szCs w:val="22"/>
          </w:rPr>
          <w:t>specific annex</w:t>
        </w:r>
      </w:hyperlink>
      <w:r w:rsidRPr="00BD5DBD">
        <w:rPr>
          <w:szCs w:val="22"/>
        </w:rPr>
        <w:t xml:space="preserve"> (</w:t>
      </w:r>
      <w:hyperlink r:id="rId23" w:history="1">
        <w:r w:rsidRPr="00BD5DBD">
          <w:rPr>
            <w:rStyle w:val="Hyperlink"/>
            <w:szCs w:val="22"/>
          </w:rPr>
          <w:t>ASA</w:t>
        </w:r>
      </w:hyperlink>
      <w:r w:rsidRPr="00BD5DBD">
        <w:rPr>
          <w:szCs w:val="22"/>
        </w:rPr>
        <w:t>) can be found on the TGA website.</w:t>
      </w:r>
    </w:p>
    <w:p w14:paraId="318CFABC" w14:textId="77777777" w:rsidR="00C22214" w:rsidRPr="00F73346" w:rsidRDefault="00C22214" w:rsidP="00C22214">
      <w:pPr>
        <w:pStyle w:val="Heading4"/>
      </w:pPr>
      <w:bookmarkStart w:id="39" w:name="_Toc98931936"/>
      <w:bookmarkStart w:id="40" w:name="_Toc158831615"/>
      <w:bookmarkStart w:id="41" w:name="_Toc247691532"/>
      <w:bookmarkStart w:id="42" w:name="_Toc314842516"/>
      <w:bookmarkEnd w:id="35"/>
      <w:bookmarkEnd w:id="36"/>
      <w:bookmarkEnd w:id="38"/>
      <w:r w:rsidRPr="00F73346">
        <w:t>Advisory Committee considerations</w:t>
      </w:r>
      <w:bookmarkEnd w:id="39"/>
      <w:bookmarkEnd w:id="40"/>
    </w:p>
    <w:p w14:paraId="087BB9CB" w14:textId="38B9235D" w:rsidR="00C22214" w:rsidRDefault="00C22214" w:rsidP="00C22214">
      <w:pPr>
        <w:rPr>
          <w:bCs/>
          <w:szCs w:val="22"/>
        </w:rPr>
      </w:pPr>
      <w:r w:rsidRPr="00BD5DBD">
        <w:rPr>
          <w:bCs/>
          <w:szCs w:val="22"/>
        </w:rPr>
        <w:t xml:space="preserve">The </w:t>
      </w:r>
      <w:hyperlink r:id="rId24" w:history="1">
        <w:r w:rsidRPr="00BD5DBD">
          <w:rPr>
            <w:rStyle w:val="Hyperlink"/>
            <w:szCs w:val="22"/>
          </w:rPr>
          <w:t>Advisory Committee on Medicines (ACM)</w:t>
        </w:r>
      </w:hyperlink>
      <w:r w:rsidRPr="00BD5DBD">
        <w:rPr>
          <w:color w:val="007099"/>
          <w:szCs w:val="22"/>
        </w:rPr>
        <w:t xml:space="preserve"> </w:t>
      </w:r>
      <w:r w:rsidRPr="00BD5DBD">
        <w:rPr>
          <w:bCs/>
          <w:szCs w:val="22"/>
        </w:rPr>
        <w:t xml:space="preserve">having considered the evaluations and the Delegate’s overview, as well as the </w:t>
      </w:r>
      <w:r w:rsidR="000443C2">
        <w:rPr>
          <w:bCs/>
          <w:szCs w:val="22"/>
        </w:rPr>
        <w:t>S</w:t>
      </w:r>
      <w:r w:rsidR="000443C2" w:rsidRPr="00BD5DBD">
        <w:rPr>
          <w:bCs/>
          <w:szCs w:val="22"/>
        </w:rPr>
        <w:t xml:space="preserve">ponsor’s </w:t>
      </w:r>
      <w:r w:rsidRPr="00BD5DBD">
        <w:rPr>
          <w:bCs/>
          <w:szCs w:val="22"/>
        </w:rPr>
        <w:t xml:space="preserve">response to these documents, </w:t>
      </w:r>
      <w:r w:rsidR="000443C2">
        <w:rPr>
          <w:bCs/>
          <w:szCs w:val="22"/>
        </w:rPr>
        <w:t>provided</w:t>
      </w:r>
      <w:r w:rsidR="000443C2" w:rsidRPr="00BD5DBD">
        <w:rPr>
          <w:bCs/>
          <w:szCs w:val="22"/>
        </w:rPr>
        <w:t xml:space="preserve"> </w:t>
      </w:r>
      <w:r w:rsidRPr="00BD5DBD">
        <w:rPr>
          <w:bCs/>
          <w:szCs w:val="22"/>
        </w:rPr>
        <w:t>the following</w:t>
      </w:r>
      <w:r w:rsidR="000443C2">
        <w:rPr>
          <w:bCs/>
          <w:szCs w:val="22"/>
        </w:rPr>
        <w:t xml:space="preserve"> advice</w:t>
      </w:r>
      <w:r w:rsidRPr="00BD5DBD">
        <w:rPr>
          <w:bCs/>
          <w:szCs w:val="22"/>
        </w:rPr>
        <w:t>.</w:t>
      </w:r>
    </w:p>
    <w:p w14:paraId="74473420" w14:textId="77777777" w:rsidR="000A6CBC" w:rsidRPr="00F73346" w:rsidRDefault="000A6CBC" w:rsidP="000A6CBC">
      <w:pPr>
        <w:pStyle w:val="Heading5"/>
      </w:pPr>
      <w:r w:rsidRPr="00F73346">
        <w:t>Specific advice to the Delegate</w:t>
      </w:r>
    </w:p>
    <w:p w14:paraId="0E9E01C4" w14:textId="7180BD3A" w:rsidR="000A6CBC" w:rsidRPr="000A6CBC" w:rsidRDefault="000A6CBC" w:rsidP="000A6CBC">
      <w:pPr>
        <w:rPr>
          <w:bCs/>
          <w:szCs w:val="22"/>
        </w:rPr>
      </w:pPr>
      <w:r w:rsidRPr="000A6CBC">
        <w:rPr>
          <w:bCs/>
          <w:szCs w:val="22"/>
        </w:rPr>
        <w:t xml:space="preserve">The ACM acknowledged that the healthcare and evidentiary landscape related to medical </w:t>
      </w:r>
      <w:r w:rsidR="00831236">
        <w:rPr>
          <w:bCs/>
          <w:szCs w:val="22"/>
        </w:rPr>
        <w:t>M</w:t>
      </w:r>
      <w:r w:rsidR="001B5C2A">
        <w:rPr>
          <w:bCs/>
          <w:szCs w:val="22"/>
        </w:rPr>
        <w:t>To</w:t>
      </w:r>
      <w:r w:rsidR="00831236">
        <w:rPr>
          <w:bCs/>
          <w:szCs w:val="22"/>
        </w:rPr>
        <w:t>P</w:t>
      </w:r>
      <w:r w:rsidRPr="000A6CBC">
        <w:rPr>
          <w:bCs/>
          <w:szCs w:val="22"/>
        </w:rPr>
        <w:t xml:space="preserve"> has changed since MS-2 Step was originally registered in Australia (2012). The ACM noted the widespread promulgation of comprehensive guidelines and educational resources for the use of MS-2 Step in Australia.  The ACM also noted international changes to the regulation of M</w:t>
      </w:r>
      <w:r w:rsidR="001B5C2A">
        <w:rPr>
          <w:bCs/>
          <w:szCs w:val="22"/>
        </w:rPr>
        <w:t>To</w:t>
      </w:r>
      <w:r w:rsidRPr="000A6CBC">
        <w:rPr>
          <w:bCs/>
          <w:szCs w:val="22"/>
        </w:rPr>
        <w:t xml:space="preserve">P with the use of a broader range of health professional prescribers including nurse led models. </w:t>
      </w:r>
      <w:r w:rsidRPr="000A6CBC">
        <w:rPr>
          <w:bCs/>
          <w:szCs w:val="22"/>
        </w:rPr>
        <w:lastRenderedPageBreak/>
        <w:t>The ACM also acknowledged the importance of improving access to pregnancy termination services and reducing stigma.</w:t>
      </w:r>
    </w:p>
    <w:p w14:paraId="71FE9550" w14:textId="271A640A" w:rsidR="00B742E7" w:rsidRDefault="000A6CBC" w:rsidP="000A6CBC">
      <w:pPr>
        <w:rPr>
          <w:bCs/>
          <w:szCs w:val="22"/>
        </w:rPr>
      </w:pPr>
      <w:r w:rsidRPr="000A6CBC">
        <w:rPr>
          <w:bCs/>
          <w:szCs w:val="22"/>
        </w:rPr>
        <w:t xml:space="preserve">The ACM considered the impacts of broadening the prescribing group to healthcare practitioners within the Australian context. The ACM commented that there </w:t>
      </w:r>
      <w:r w:rsidR="00233FBC">
        <w:rPr>
          <w:bCs/>
          <w:szCs w:val="22"/>
        </w:rPr>
        <w:t>were</w:t>
      </w:r>
      <w:r w:rsidR="00233FBC" w:rsidRPr="000A6CBC">
        <w:rPr>
          <w:bCs/>
          <w:szCs w:val="22"/>
        </w:rPr>
        <w:t xml:space="preserve"> </w:t>
      </w:r>
      <w:r w:rsidRPr="000A6CBC">
        <w:rPr>
          <w:bCs/>
          <w:szCs w:val="22"/>
        </w:rPr>
        <w:t>instances where the PI outlines which medical specialist should prescribe, manage and/or supervise treatment. However, the ACM noted that currently for the majority of products, the prescribing requirements are defined by scope of practice and jurisdictional regulatory arrangements, with no recommendations about the prescriber included in the PI.</w:t>
      </w:r>
    </w:p>
    <w:p w14:paraId="2C2FB39A" w14:textId="77777777" w:rsidR="00B742E7" w:rsidRPr="00B742E7" w:rsidRDefault="00B742E7" w:rsidP="00B742E7">
      <w:pPr>
        <w:rPr>
          <w:bCs/>
          <w:szCs w:val="22"/>
        </w:rPr>
      </w:pPr>
      <w:r w:rsidRPr="00B742E7">
        <w:rPr>
          <w:bCs/>
          <w:szCs w:val="22"/>
        </w:rPr>
        <w:t>The ACM discussed the three key studies (Kopp Kallner et al. (2014), Warriner et al. (2011), and Jejeebhoy et al. (2012)) provided by the sponsor in support of this application.</w:t>
      </w:r>
    </w:p>
    <w:p w14:paraId="3D09E520" w14:textId="77777777" w:rsidR="00B742E7" w:rsidRPr="00B742E7" w:rsidRDefault="00B742E7" w:rsidP="00B742E7">
      <w:pPr>
        <w:rPr>
          <w:bCs/>
          <w:szCs w:val="22"/>
        </w:rPr>
      </w:pPr>
      <w:r w:rsidRPr="00B742E7">
        <w:rPr>
          <w:bCs/>
          <w:szCs w:val="22"/>
        </w:rPr>
        <w:t>The ACM noted that the Kopp Kallner et al. (2014) study appeared the most relevant to the Australia context. Within this study the WHO protocol was followed and all women received an ultrasound prior to treatment. Within the doctor prescribed arm, 34 doctors prescribed treatment to 583 women. While in the nurse-midwife arm, 2 nurses prescribed treatment to 597 patients. Outcomes were comparable within both arms.</w:t>
      </w:r>
    </w:p>
    <w:p w14:paraId="3FA7CFB9" w14:textId="7181E605" w:rsidR="00B742E7" w:rsidRPr="00B742E7" w:rsidRDefault="00B742E7" w:rsidP="00B742E7">
      <w:pPr>
        <w:rPr>
          <w:bCs/>
          <w:szCs w:val="22"/>
        </w:rPr>
      </w:pPr>
      <w:r w:rsidRPr="00B742E7">
        <w:rPr>
          <w:bCs/>
          <w:szCs w:val="22"/>
        </w:rPr>
        <w:t>The ACM also considered the Canadian experience (Schummers et al. 2022) using Mifegymiso</w:t>
      </w:r>
      <w:r>
        <w:rPr>
          <w:bCs/>
          <w:szCs w:val="22"/>
        </w:rPr>
        <w:t xml:space="preserve"> and </w:t>
      </w:r>
      <w:r w:rsidRPr="00B742E7">
        <w:rPr>
          <w:bCs/>
          <w:szCs w:val="22"/>
        </w:rPr>
        <w:t xml:space="preserve">noted that </w:t>
      </w:r>
      <w:r>
        <w:rPr>
          <w:bCs/>
          <w:szCs w:val="22"/>
        </w:rPr>
        <w:t xml:space="preserve">Canadian </w:t>
      </w:r>
      <w:r w:rsidRPr="00B742E7">
        <w:rPr>
          <w:bCs/>
          <w:szCs w:val="22"/>
        </w:rPr>
        <w:t>Regulations were amended in May 2017 and November 2017, together removing the requirement</w:t>
      </w:r>
      <w:r>
        <w:rPr>
          <w:bCs/>
          <w:szCs w:val="22"/>
        </w:rPr>
        <w:t>s</w:t>
      </w:r>
      <w:r w:rsidRPr="00B742E7">
        <w:rPr>
          <w:bCs/>
          <w:szCs w:val="22"/>
        </w:rPr>
        <w:t xml:space="preserve"> for:</w:t>
      </w:r>
    </w:p>
    <w:p w14:paraId="23D8B08B" w14:textId="77777777" w:rsidR="00B742E7" w:rsidRPr="00B742E7" w:rsidRDefault="00B742E7" w:rsidP="008C64AE">
      <w:pPr>
        <w:pStyle w:val="ListBullet"/>
      </w:pPr>
      <w:r w:rsidRPr="00B742E7">
        <w:t>Pharmacist registration</w:t>
      </w:r>
    </w:p>
    <w:p w14:paraId="4AF99126" w14:textId="77777777" w:rsidR="00B742E7" w:rsidRPr="00B742E7" w:rsidRDefault="00B742E7" w:rsidP="008C64AE">
      <w:pPr>
        <w:pStyle w:val="ListBullet"/>
      </w:pPr>
      <w:r w:rsidRPr="00B742E7">
        <w:t xml:space="preserve">Healthcare profession registration </w:t>
      </w:r>
    </w:p>
    <w:p w14:paraId="284DE9BD" w14:textId="77777777" w:rsidR="00B742E7" w:rsidRDefault="00B742E7" w:rsidP="008C64AE">
      <w:pPr>
        <w:pStyle w:val="ListBullet"/>
      </w:pPr>
      <w:r w:rsidRPr="00B742E7">
        <w:t>Mandatory training</w:t>
      </w:r>
    </w:p>
    <w:p w14:paraId="3BC0B67A" w14:textId="233E4E48" w:rsidR="00B742E7" w:rsidRPr="00B742E7" w:rsidRDefault="00B742E7" w:rsidP="008C64AE">
      <w:pPr>
        <w:pStyle w:val="ListBullet"/>
      </w:pPr>
      <w:r w:rsidRPr="00B742E7">
        <w:t>Removing the limitation on an eligible prescriber from ‘physician’ to be ‘authorised health professional’ leaving the authority for authorising health professional with the provincial licensing bodies.</w:t>
      </w:r>
    </w:p>
    <w:p w14:paraId="282D57B4" w14:textId="56FD8002" w:rsidR="00B742E7" w:rsidRDefault="000A6CBC" w:rsidP="000A6CBC">
      <w:pPr>
        <w:rPr>
          <w:bCs/>
          <w:szCs w:val="22"/>
        </w:rPr>
      </w:pPr>
      <w:r w:rsidRPr="000A6CBC">
        <w:rPr>
          <w:bCs/>
          <w:szCs w:val="22"/>
        </w:rPr>
        <w:t xml:space="preserve">The ACM discussed the term healthcare practitioner and noted the AHPRA list of health practitioners. The ACM did not consider it appropriate for all health practitioners as per the AHPRA list to be able to prescribe MS-2 Step (or other prescription medicines). The ACM acknowledged that there are additional checks and balances beyond the wording of the PI that control prescribing, for example medicine scheduling. However, the ACM noted that changing the boxed warning (and associated parts of the PI) to state healthcare practitioners may inadvertently assume the PI is supportive of all healthcare practitioners prescribing MS-2 Step. The ACM suggested that some additional wording such as ‘healthcare practitioners with an appropriate scope of practice’ or ‘authorised healthcare practitioners’ (as per Canada) may be appropriate. </w:t>
      </w:r>
    </w:p>
    <w:p w14:paraId="5EB668B6" w14:textId="5268D23D" w:rsidR="000A6CBC" w:rsidRPr="000A6CBC" w:rsidRDefault="00B742E7" w:rsidP="000A6CBC">
      <w:pPr>
        <w:rPr>
          <w:bCs/>
          <w:szCs w:val="22"/>
        </w:rPr>
      </w:pPr>
      <w:r>
        <w:rPr>
          <w:bCs/>
          <w:szCs w:val="22"/>
        </w:rPr>
        <w:t>P</w:t>
      </w:r>
      <w:r w:rsidR="000A6CBC" w:rsidRPr="000A6CBC">
        <w:rPr>
          <w:bCs/>
          <w:szCs w:val="22"/>
        </w:rPr>
        <w:t>rior to coming to a final position the ACM requested additional clarification regarding the wider eligibility criteria for healthcare practitioners prescribing and/or authorisation, including further information on scope of practice and jurisdictional arrangements and consideration of PIs where prescribing information is included.</w:t>
      </w:r>
    </w:p>
    <w:p w14:paraId="0CC33AAA" w14:textId="77777777" w:rsidR="000A6CBC" w:rsidRPr="000A6CBC" w:rsidRDefault="000A6CBC" w:rsidP="000A6CBC">
      <w:pPr>
        <w:rPr>
          <w:bCs/>
          <w:szCs w:val="22"/>
        </w:rPr>
      </w:pPr>
      <w:r w:rsidRPr="000A6CBC">
        <w:rPr>
          <w:bCs/>
          <w:szCs w:val="22"/>
        </w:rPr>
        <w:t xml:space="preserve">The ACM was supportive of the removal of the requirement for prescriber certification from the PI and as part of the updated RMP. The ACM noted that good guidance and training material is now widely available. </w:t>
      </w:r>
    </w:p>
    <w:p w14:paraId="38AE3724" w14:textId="4D4D9225" w:rsidR="000A6CBC" w:rsidRPr="000A6CBC" w:rsidRDefault="000A6CBC" w:rsidP="000A6CBC">
      <w:pPr>
        <w:rPr>
          <w:bCs/>
          <w:szCs w:val="22"/>
        </w:rPr>
      </w:pPr>
      <w:r w:rsidRPr="000A6CBC">
        <w:rPr>
          <w:bCs/>
          <w:szCs w:val="22"/>
        </w:rPr>
        <w:t xml:space="preserve">The ACM advised that the phrase </w:t>
      </w:r>
      <w:r w:rsidR="00B742E7">
        <w:rPr>
          <w:bCs/>
          <w:szCs w:val="22"/>
        </w:rPr>
        <w:t>‘</w:t>
      </w:r>
      <w:r w:rsidRPr="00B742E7">
        <w:rPr>
          <w:bCs/>
          <w:i/>
          <w:iCs/>
          <w:szCs w:val="22"/>
        </w:rPr>
        <w:t>with the appropriate qualifications and training</w:t>
      </w:r>
      <w:r w:rsidR="00B742E7">
        <w:rPr>
          <w:bCs/>
          <w:szCs w:val="22"/>
        </w:rPr>
        <w:t>’</w:t>
      </w:r>
      <w:r w:rsidRPr="000A6CBC">
        <w:rPr>
          <w:bCs/>
          <w:szCs w:val="22"/>
        </w:rPr>
        <w:t xml:space="preserve"> should remain within the Dose and Method of Administration section of the PI. The ACM noted the obligation on the prescriber to ensure they have the relevant skill</w:t>
      </w:r>
      <w:r w:rsidR="00B742E7">
        <w:rPr>
          <w:bCs/>
          <w:szCs w:val="22"/>
        </w:rPr>
        <w:t xml:space="preserve"> and</w:t>
      </w:r>
      <w:r w:rsidRPr="000A6CBC">
        <w:rPr>
          <w:bCs/>
          <w:szCs w:val="22"/>
        </w:rPr>
        <w:t xml:space="preserve"> capability and undertake the appropriate due diligence and clinical assessment prior to prescribing the medication.</w:t>
      </w:r>
    </w:p>
    <w:p w14:paraId="1D3D81E0" w14:textId="33361763" w:rsidR="000A6CBC" w:rsidRPr="000A6CBC" w:rsidRDefault="000A6CBC" w:rsidP="000A6CBC">
      <w:pPr>
        <w:rPr>
          <w:bCs/>
          <w:szCs w:val="22"/>
        </w:rPr>
      </w:pPr>
      <w:r w:rsidRPr="000A6CBC">
        <w:rPr>
          <w:bCs/>
          <w:szCs w:val="22"/>
        </w:rPr>
        <w:lastRenderedPageBreak/>
        <w:t xml:space="preserve">The ACM noted that limited information on the use of the 24-hour </w:t>
      </w:r>
      <w:r w:rsidR="00B742E7">
        <w:rPr>
          <w:bCs/>
          <w:szCs w:val="22"/>
        </w:rPr>
        <w:t>tele</w:t>
      </w:r>
      <w:r w:rsidRPr="000A6CBC">
        <w:rPr>
          <w:bCs/>
          <w:szCs w:val="22"/>
        </w:rPr>
        <w:t xml:space="preserve">phone </w:t>
      </w:r>
      <w:r w:rsidR="00B742E7">
        <w:rPr>
          <w:bCs/>
          <w:szCs w:val="22"/>
        </w:rPr>
        <w:t xml:space="preserve">nurse aftercare </w:t>
      </w:r>
      <w:r w:rsidRPr="000A6CBC">
        <w:rPr>
          <w:bCs/>
          <w:szCs w:val="22"/>
        </w:rPr>
        <w:t>service for patients was provided in the dossier and advised that this information would be helpful to determine whether it is appropriate to remove this service. The ACM recommended that prior to a decision on removal of the 24-hour phone service</w:t>
      </w:r>
      <w:r w:rsidR="00B742E7">
        <w:rPr>
          <w:bCs/>
          <w:szCs w:val="22"/>
        </w:rPr>
        <w:t>,</w:t>
      </w:r>
      <w:r w:rsidRPr="000A6CBC">
        <w:rPr>
          <w:bCs/>
          <w:szCs w:val="22"/>
        </w:rPr>
        <w:t xml:space="preserve"> the sponsor be requested to provide information on utility of the service.</w:t>
      </w:r>
    </w:p>
    <w:p w14:paraId="538166FA" w14:textId="1DD268FF" w:rsidR="000A6CBC" w:rsidRDefault="000A6CBC" w:rsidP="000A6CBC">
      <w:pPr>
        <w:rPr>
          <w:bCs/>
          <w:szCs w:val="22"/>
        </w:rPr>
      </w:pPr>
      <w:r w:rsidRPr="000A6CBC">
        <w:rPr>
          <w:bCs/>
          <w:szCs w:val="22"/>
        </w:rPr>
        <w:t xml:space="preserve">The ACM advised that consideration of inconsistencies </w:t>
      </w:r>
      <w:r w:rsidR="00831236" w:rsidRPr="000A6CBC">
        <w:rPr>
          <w:bCs/>
          <w:szCs w:val="22"/>
        </w:rPr>
        <w:t xml:space="preserve">noted in Sections 4.2, 4.4, 4.6 and 4.8 of the MS-2 Step composite pack PI </w:t>
      </w:r>
      <w:r w:rsidRPr="000A6CBC">
        <w:rPr>
          <w:bCs/>
          <w:szCs w:val="22"/>
        </w:rPr>
        <w:t>would be discussed following a recommendation on the proposed expansion of prescriber eligibility.</w:t>
      </w:r>
    </w:p>
    <w:p w14:paraId="5291EA2A" w14:textId="10213B24" w:rsidR="00C22214" w:rsidRDefault="009E0782" w:rsidP="00C22214">
      <w:pPr>
        <w:pStyle w:val="Heading5"/>
      </w:pPr>
      <w:r>
        <w:t xml:space="preserve">Initial </w:t>
      </w:r>
      <w:r w:rsidR="000443C2">
        <w:t>c</w:t>
      </w:r>
      <w:r w:rsidR="000443C2" w:rsidRPr="00F73346">
        <w:t>onclusion</w:t>
      </w:r>
      <w:r w:rsidR="000443C2">
        <w:t xml:space="preserve"> </w:t>
      </w:r>
      <w:r>
        <w:t>of the ACM</w:t>
      </w:r>
    </w:p>
    <w:p w14:paraId="5ADF35ED" w14:textId="425EC57D" w:rsidR="008F08F0" w:rsidRDefault="008F08F0" w:rsidP="008F08F0">
      <w:r>
        <w:t>The ACM was generally supportive of amending ‘medical practitioner’ to a broader category noting that there are other controls in place (i.e. scheduling) to ensure appropriate prescribing. However</w:t>
      </w:r>
      <w:r w:rsidR="000443C2">
        <w:t>,</w:t>
      </w:r>
      <w:r>
        <w:t xml:space="preserve"> the ACM did express some hesitation with the wider scope of healthcare practitioners and wanted to consider this wording further and potentially add a statement such as ‘with appropriate scope of practice’ (an example full statement might be ‘should be prescribed by health practitioners with appropriate scope of practice’). </w:t>
      </w:r>
    </w:p>
    <w:p w14:paraId="6D98E5C1" w14:textId="00E43A3E" w:rsidR="008F08F0" w:rsidRPr="008F08F0" w:rsidRDefault="008F08F0" w:rsidP="00B742E7">
      <w:r>
        <w:t>The ACM was supportive of the removal of prescriber certification from the PI noting that education material is widely available and prescribing will be by those with an appropriate scope of practice.</w:t>
      </w:r>
    </w:p>
    <w:p w14:paraId="54AB08FD" w14:textId="596BB6E9" w:rsidR="00831236" w:rsidRPr="00B742E7" w:rsidRDefault="00831236" w:rsidP="00831236">
      <w:pPr>
        <w:rPr>
          <w:szCs w:val="22"/>
        </w:rPr>
      </w:pPr>
      <w:r w:rsidRPr="00831236">
        <w:rPr>
          <w:szCs w:val="22"/>
        </w:rPr>
        <w:t xml:space="preserve">The ACM advised that additional information </w:t>
      </w:r>
      <w:r w:rsidR="00661518">
        <w:rPr>
          <w:szCs w:val="22"/>
        </w:rPr>
        <w:t>was</w:t>
      </w:r>
      <w:r w:rsidR="00661518" w:rsidRPr="00831236">
        <w:rPr>
          <w:szCs w:val="22"/>
        </w:rPr>
        <w:t xml:space="preserve"> </w:t>
      </w:r>
      <w:r w:rsidRPr="00831236">
        <w:rPr>
          <w:szCs w:val="22"/>
        </w:rPr>
        <w:t xml:space="preserve">required to allow the ACM to appropriately </w:t>
      </w:r>
      <w:r w:rsidRPr="00B742E7">
        <w:rPr>
          <w:szCs w:val="22"/>
        </w:rPr>
        <w:t>consider th</w:t>
      </w:r>
      <w:r w:rsidR="00661518">
        <w:rPr>
          <w:szCs w:val="22"/>
        </w:rPr>
        <w:t>e</w:t>
      </w:r>
      <w:r w:rsidRPr="00B742E7">
        <w:rPr>
          <w:szCs w:val="22"/>
        </w:rPr>
        <w:t xml:space="preserve"> application and provide an overall benefit risk outcome.</w:t>
      </w:r>
    </w:p>
    <w:p w14:paraId="4084C6E9" w14:textId="77777777" w:rsidR="00831236" w:rsidRPr="00B742E7" w:rsidRDefault="00831236" w:rsidP="00831236">
      <w:pPr>
        <w:rPr>
          <w:szCs w:val="22"/>
        </w:rPr>
      </w:pPr>
      <w:r w:rsidRPr="00B742E7">
        <w:rPr>
          <w:szCs w:val="22"/>
        </w:rPr>
        <w:t>The ACM requested the following information be gathered:</w:t>
      </w:r>
    </w:p>
    <w:p w14:paraId="40CFB781" w14:textId="32B7E87A" w:rsidR="00831236" w:rsidRPr="00B742E7" w:rsidRDefault="00831236" w:rsidP="008C64AE">
      <w:pPr>
        <w:pStyle w:val="ListBullet"/>
      </w:pPr>
      <w:r w:rsidRPr="00B742E7">
        <w:t>Clarification on the eligibility criteria for prescribing should MS</w:t>
      </w:r>
      <w:r w:rsidR="0067334C" w:rsidRPr="00B742E7">
        <w:t>-</w:t>
      </w:r>
      <w:r w:rsidRPr="00B742E7">
        <w:t xml:space="preserve">2-Step prescribing </w:t>
      </w:r>
      <w:r w:rsidR="0067334C" w:rsidRPr="00B742E7">
        <w:t>be</w:t>
      </w:r>
      <w:r w:rsidRPr="00B742E7">
        <w:t xml:space="preserve"> broadened to healthcare practitioners</w:t>
      </w:r>
    </w:p>
    <w:p w14:paraId="15E2951C" w14:textId="45DA75B5" w:rsidR="00C22214" w:rsidRPr="00B742E7" w:rsidRDefault="00831236" w:rsidP="008C64AE">
      <w:pPr>
        <w:pStyle w:val="ListBullet"/>
      </w:pPr>
      <w:r w:rsidRPr="00B742E7">
        <w:t>Sponsor to provide information on the utility of the 24-hour phone service.</w:t>
      </w:r>
    </w:p>
    <w:p w14:paraId="05E5B97D" w14:textId="118BB001" w:rsidR="008F08F0" w:rsidRDefault="008F08F0" w:rsidP="008F08F0">
      <w:pPr>
        <w:pStyle w:val="Heading4"/>
      </w:pPr>
      <w:bookmarkStart w:id="43" w:name="_Toc158831616"/>
      <w:r w:rsidRPr="000349EF">
        <w:t>Risk/benefit assessment (post</w:t>
      </w:r>
      <w:r w:rsidR="00B742E7">
        <w:t xml:space="preserve"> ACM</w:t>
      </w:r>
      <w:r w:rsidRPr="000349EF">
        <w:t xml:space="preserve"> Meeting)</w:t>
      </w:r>
      <w:bookmarkEnd w:id="43"/>
    </w:p>
    <w:p w14:paraId="4E0310DC" w14:textId="592B5551" w:rsidR="00B742E7" w:rsidRDefault="000443C2" w:rsidP="009E0782">
      <w:pPr>
        <w:pStyle w:val="Instructions"/>
        <w:rPr>
          <w:i w:val="0"/>
          <w:iCs/>
          <w:color w:val="auto"/>
        </w:rPr>
      </w:pPr>
      <w:r w:rsidRPr="00B742E7">
        <w:rPr>
          <w:i w:val="0"/>
          <w:iCs/>
          <w:color w:val="auto"/>
        </w:rPr>
        <w:t>In response to the</w:t>
      </w:r>
      <w:r w:rsidR="009E0782" w:rsidRPr="00B742E7">
        <w:rPr>
          <w:i w:val="0"/>
          <w:iCs/>
          <w:color w:val="auto"/>
        </w:rPr>
        <w:t xml:space="preserve"> ACM advi</w:t>
      </w:r>
      <w:r w:rsidRPr="00B742E7">
        <w:rPr>
          <w:i w:val="0"/>
          <w:iCs/>
          <w:color w:val="auto"/>
        </w:rPr>
        <w:t>c</w:t>
      </w:r>
      <w:r w:rsidR="009E0782" w:rsidRPr="00B742E7">
        <w:rPr>
          <w:i w:val="0"/>
          <w:iCs/>
          <w:color w:val="auto"/>
        </w:rPr>
        <w:t>e</w:t>
      </w:r>
      <w:r w:rsidRPr="00B742E7">
        <w:rPr>
          <w:i w:val="0"/>
          <w:iCs/>
          <w:color w:val="auto"/>
        </w:rPr>
        <w:t>, the Sponsor</w:t>
      </w:r>
      <w:r w:rsidR="009E0782" w:rsidRPr="00B742E7">
        <w:rPr>
          <w:i w:val="0"/>
          <w:iCs/>
          <w:color w:val="auto"/>
        </w:rPr>
        <w:t xml:space="preserve"> </w:t>
      </w:r>
      <w:r w:rsidRPr="00B742E7">
        <w:rPr>
          <w:i w:val="0"/>
          <w:iCs/>
          <w:color w:val="auto"/>
        </w:rPr>
        <w:t>provided</w:t>
      </w:r>
      <w:r w:rsidR="009E0782" w:rsidRPr="00B742E7">
        <w:rPr>
          <w:i w:val="0"/>
          <w:iCs/>
          <w:color w:val="auto"/>
        </w:rPr>
        <w:t xml:space="preserve"> 24 hour aftercare </w:t>
      </w:r>
      <w:r w:rsidRPr="00B742E7">
        <w:rPr>
          <w:i w:val="0"/>
          <w:iCs/>
          <w:color w:val="auto"/>
        </w:rPr>
        <w:t xml:space="preserve">phone service </w:t>
      </w:r>
      <w:r w:rsidR="009E0782" w:rsidRPr="00B742E7">
        <w:rPr>
          <w:i w:val="0"/>
          <w:iCs/>
          <w:color w:val="auto"/>
        </w:rPr>
        <w:t xml:space="preserve">data </w:t>
      </w:r>
      <w:r w:rsidR="00B742E7">
        <w:rPr>
          <w:i w:val="0"/>
          <w:iCs/>
          <w:color w:val="auto"/>
        </w:rPr>
        <w:t xml:space="preserve">to the Delegate </w:t>
      </w:r>
      <w:r w:rsidRPr="00B742E7">
        <w:rPr>
          <w:i w:val="0"/>
          <w:iCs/>
          <w:color w:val="auto"/>
        </w:rPr>
        <w:t xml:space="preserve">and </w:t>
      </w:r>
      <w:r w:rsidR="009E0782" w:rsidRPr="00B742E7">
        <w:rPr>
          <w:i w:val="0"/>
          <w:iCs/>
          <w:color w:val="auto"/>
        </w:rPr>
        <w:t xml:space="preserve">confirmation that Health Canada </w:t>
      </w:r>
      <w:r w:rsidRPr="00B742E7">
        <w:rPr>
          <w:i w:val="0"/>
          <w:iCs/>
          <w:color w:val="auto"/>
        </w:rPr>
        <w:t xml:space="preserve">removed the </w:t>
      </w:r>
      <w:r w:rsidR="009E0782" w:rsidRPr="00B742E7">
        <w:rPr>
          <w:i w:val="0"/>
          <w:iCs/>
          <w:color w:val="auto"/>
        </w:rPr>
        <w:t xml:space="preserve">requirement for a 24hr aftercare </w:t>
      </w:r>
      <w:r>
        <w:rPr>
          <w:i w:val="0"/>
          <w:iCs/>
          <w:color w:val="auto"/>
        </w:rPr>
        <w:t>service</w:t>
      </w:r>
      <w:r w:rsidR="009E0782" w:rsidRPr="00B742E7">
        <w:rPr>
          <w:i w:val="0"/>
          <w:iCs/>
          <w:color w:val="auto"/>
        </w:rPr>
        <w:t xml:space="preserve"> in 2016.</w:t>
      </w:r>
    </w:p>
    <w:p w14:paraId="43C0FD64" w14:textId="6A3CF63C" w:rsidR="00B742E7" w:rsidRDefault="000443C2" w:rsidP="009E0782">
      <w:pPr>
        <w:pStyle w:val="Instructions"/>
        <w:rPr>
          <w:i w:val="0"/>
          <w:iCs/>
          <w:color w:val="auto"/>
        </w:rPr>
      </w:pPr>
      <w:r>
        <w:rPr>
          <w:i w:val="0"/>
          <w:iCs/>
          <w:color w:val="auto"/>
        </w:rPr>
        <w:t>Over</w:t>
      </w:r>
      <w:r w:rsidR="006827DF" w:rsidRPr="00B742E7">
        <w:rPr>
          <w:i w:val="0"/>
          <w:iCs/>
          <w:color w:val="auto"/>
        </w:rPr>
        <w:t xml:space="preserve"> a </w:t>
      </w:r>
      <w:r w:rsidRPr="00B742E7">
        <w:rPr>
          <w:i w:val="0"/>
          <w:iCs/>
          <w:color w:val="auto"/>
        </w:rPr>
        <w:t>12</w:t>
      </w:r>
      <w:r w:rsidR="006827DF" w:rsidRPr="00B742E7">
        <w:rPr>
          <w:i w:val="0"/>
          <w:iCs/>
          <w:color w:val="auto"/>
        </w:rPr>
        <w:t xml:space="preserve"> month period, the majority of</w:t>
      </w:r>
      <w:r w:rsidR="00A9546F" w:rsidRPr="00B742E7">
        <w:rPr>
          <w:i w:val="0"/>
          <w:iCs/>
          <w:color w:val="auto"/>
        </w:rPr>
        <w:t xml:space="preserve"> calls</w:t>
      </w:r>
      <w:r w:rsidR="006827DF" w:rsidRPr="00B742E7">
        <w:rPr>
          <w:i w:val="0"/>
          <w:iCs/>
          <w:color w:val="auto"/>
        </w:rPr>
        <w:t xml:space="preserve"> </w:t>
      </w:r>
      <w:r>
        <w:rPr>
          <w:i w:val="0"/>
          <w:iCs/>
          <w:color w:val="auto"/>
        </w:rPr>
        <w:t xml:space="preserve">to the Australian aftercare service </w:t>
      </w:r>
      <w:r w:rsidR="006827DF" w:rsidRPr="00B742E7">
        <w:rPr>
          <w:i w:val="0"/>
          <w:iCs/>
          <w:color w:val="auto"/>
        </w:rPr>
        <w:t>occurr</w:t>
      </w:r>
      <w:r w:rsidR="00A9546F" w:rsidRPr="00B742E7">
        <w:rPr>
          <w:i w:val="0"/>
          <w:iCs/>
          <w:color w:val="auto"/>
        </w:rPr>
        <w:t>ed</w:t>
      </w:r>
      <w:r w:rsidR="006827DF" w:rsidRPr="00B742E7">
        <w:rPr>
          <w:i w:val="0"/>
          <w:iCs/>
          <w:color w:val="auto"/>
        </w:rPr>
        <w:t xml:space="preserve"> between 8am-8pm, with less than 25% of calls being received between 8pm-8am. The majority of calls received (&gt;85%) were to provide patient support either through general advice and reassurance (56%), advising a patient to monitor and reassess (19%), or to contact their prescribing GP for a follow-up appointment (10%).</w:t>
      </w:r>
    </w:p>
    <w:p w14:paraId="5909AB14" w14:textId="730A6374" w:rsidR="008F08F0" w:rsidRPr="00B742E7" w:rsidRDefault="000443C2" w:rsidP="009E0782">
      <w:pPr>
        <w:pStyle w:val="Instructions"/>
        <w:rPr>
          <w:i w:val="0"/>
          <w:iCs/>
          <w:color w:val="auto"/>
        </w:rPr>
      </w:pPr>
      <w:r>
        <w:rPr>
          <w:i w:val="0"/>
          <w:iCs/>
          <w:color w:val="auto"/>
        </w:rPr>
        <w:t>T</w:t>
      </w:r>
      <w:r w:rsidR="006827DF" w:rsidRPr="00B742E7">
        <w:rPr>
          <w:i w:val="0"/>
          <w:iCs/>
          <w:color w:val="auto"/>
        </w:rPr>
        <w:t xml:space="preserve">he telephone aftercare service does not have access to the caller’s clinical history, does not hold prescriber contact details, is unable to contact the caller’s prescribing GP or hospital ED on their behalf, </w:t>
      </w:r>
      <w:r w:rsidRPr="00BA571F">
        <w:rPr>
          <w:i w:val="0"/>
          <w:iCs/>
          <w:color w:val="auto"/>
        </w:rPr>
        <w:t>and can only direct the caller to contact their prescriber or attend an emergency department (if advised/as needed)</w:t>
      </w:r>
      <w:r>
        <w:rPr>
          <w:i w:val="0"/>
          <w:iCs/>
          <w:color w:val="auto"/>
        </w:rPr>
        <w:t xml:space="preserve">. As a result, </w:t>
      </w:r>
      <w:r w:rsidR="006827DF" w:rsidRPr="00B742E7">
        <w:rPr>
          <w:i w:val="0"/>
          <w:iCs/>
          <w:color w:val="auto"/>
        </w:rPr>
        <w:t>most callers were directed to attend an emergency department or contact their prescriber</w:t>
      </w:r>
      <w:r w:rsidR="009E0782" w:rsidRPr="00B742E7">
        <w:rPr>
          <w:i w:val="0"/>
          <w:iCs/>
          <w:color w:val="auto"/>
        </w:rPr>
        <w:t>.</w:t>
      </w:r>
    </w:p>
    <w:p w14:paraId="5BC6FE02" w14:textId="2EE1958F" w:rsidR="009E0782" w:rsidRPr="009E0782" w:rsidRDefault="009E0782" w:rsidP="00B742E7">
      <w:r>
        <w:t xml:space="preserve">The </w:t>
      </w:r>
      <w:r w:rsidR="00B742E7">
        <w:t>C</w:t>
      </w:r>
      <w:r>
        <w:t xml:space="preserve">linical </w:t>
      </w:r>
      <w:r w:rsidR="00B742E7">
        <w:t>D</w:t>
      </w:r>
      <w:r>
        <w:t>elegate decided to amend ‘</w:t>
      </w:r>
      <w:r w:rsidRPr="00B742E7">
        <w:rPr>
          <w:i/>
          <w:iCs/>
        </w:rPr>
        <w:t>medical practitioner</w:t>
      </w:r>
      <w:r>
        <w:t>’ to ‘</w:t>
      </w:r>
      <w:r w:rsidRPr="00B742E7">
        <w:rPr>
          <w:i/>
          <w:iCs/>
        </w:rPr>
        <w:t>healthcare practitioner</w:t>
      </w:r>
      <w:r>
        <w:t>’ and amend ‘</w:t>
      </w:r>
      <w:r w:rsidRPr="00B742E7">
        <w:rPr>
          <w:i/>
          <w:iCs/>
        </w:rPr>
        <w:t>doctors with the appropriate qualifications and certified training</w:t>
      </w:r>
      <w:r>
        <w:t>’ to ‘</w:t>
      </w:r>
      <w:r w:rsidRPr="00B742E7">
        <w:rPr>
          <w:i/>
          <w:iCs/>
        </w:rPr>
        <w:t>healthcare practitioners with the appropriate qualifications and training</w:t>
      </w:r>
      <w:r>
        <w:t>’ on the basis that the existing standardised training for all potential prescribers is maintained (in accordance with individual state and territory requirements</w:t>
      </w:r>
      <w:r w:rsidR="000443C2">
        <w:t>)</w:t>
      </w:r>
      <w:r>
        <w:t xml:space="preserve">. </w:t>
      </w:r>
    </w:p>
    <w:p w14:paraId="5FF8C30E" w14:textId="016F8412" w:rsidR="00B742E7" w:rsidRPr="00B742E7" w:rsidRDefault="00B742E7" w:rsidP="009E0782">
      <w:pPr>
        <w:rPr>
          <w:szCs w:val="22"/>
        </w:rPr>
      </w:pPr>
      <w:r w:rsidRPr="00B742E7">
        <w:t xml:space="preserve">Given similar </w:t>
      </w:r>
      <w:r>
        <w:t>after</w:t>
      </w:r>
      <w:r w:rsidRPr="00B742E7">
        <w:t xml:space="preserve">care can be managed by the existing national Healthdirect helpline, the decision was made to remove the </w:t>
      </w:r>
      <w:r>
        <w:t>sponsor provided</w:t>
      </w:r>
      <w:r w:rsidRPr="00B742E7">
        <w:t xml:space="preserve"> 24 hour aftercare phone service. </w:t>
      </w:r>
      <w:r w:rsidRPr="00B742E7">
        <w:lastRenderedPageBreak/>
        <w:t xml:space="preserve">Subsequently, Healthdirect confirmed they have sufficient resources to support women undergoing medical abortion </w:t>
      </w:r>
      <w:r>
        <w:t xml:space="preserve">from their existing service </w:t>
      </w:r>
      <w:r w:rsidRPr="00B742E7">
        <w:t>and has been provided with training materials by MS Health.</w:t>
      </w:r>
    </w:p>
    <w:p w14:paraId="356F0E19" w14:textId="6A693350" w:rsidR="009E0782" w:rsidRPr="009E0782" w:rsidRDefault="009E0782" w:rsidP="009E0782">
      <w:pPr>
        <w:rPr>
          <w:szCs w:val="22"/>
        </w:rPr>
      </w:pPr>
      <w:r w:rsidRPr="009E0782">
        <w:rPr>
          <w:szCs w:val="22"/>
        </w:rPr>
        <w:t>The Deputy Secretary</w:t>
      </w:r>
      <w:r w:rsidR="000443C2">
        <w:rPr>
          <w:szCs w:val="22"/>
        </w:rPr>
        <w:t>,</w:t>
      </w:r>
      <w:r w:rsidRPr="009E0782">
        <w:rPr>
          <w:szCs w:val="22"/>
        </w:rPr>
        <w:t xml:space="preserve"> Health Products Regulation</w:t>
      </w:r>
      <w:r w:rsidR="000443C2">
        <w:rPr>
          <w:szCs w:val="22"/>
        </w:rPr>
        <w:t xml:space="preserve"> Group</w:t>
      </w:r>
      <w:r w:rsidRPr="009E0782">
        <w:rPr>
          <w:szCs w:val="22"/>
        </w:rPr>
        <w:t xml:space="preserve"> </w:t>
      </w:r>
      <w:r w:rsidR="000443C2">
        <w:rPr>
          <w:szCs w:val="22"/>
        </w:rPr>
        <w:t>wrote</w:t>
      </w:r>
      <w:r w:rsidRPr="009E0782">
        <w:rPr>
          <w:szCs w:val="22"/>
        </w:rPr>
        <w:t xml:space="preserve"> to all jurisdictions</w:t>
      </w:r>
      <w:r w:rsidR="000443C2" w:rsidRPr="000443C2">
        <w:rPr>
          <w:szCs w:val="22"/>
        </w:rPr>
        <w:t xml:space="preserve"> </w:t>
      </w:r>
      <w:r w:rsidR="000443C2" w:rsidRPr="009E0782">
        <w:rPr>
          <w:szCs w:val="22"/>
        </w:rPr>
        <w:t>on 26 July 2023</w:t>
      </w:r>
      <w:r w:rsidR="000443C2">
        <w:rPr>
          <w:szCs w:val="22"/>
        </w:rPr>
        <w:t xml:space="preserve"> regarding these changes</w:t>
      </w:r>
      <w:r w:rsidRPr="009E0782">
        <w:rPr>
          <w:szCs w:val="22"/>
        </w:rPr>
        <w:t xml:space="preserve">, noting that it is the responsibility of each state and territory government to determine specific healthcare practitioner </w:t>
      </w:r>
      <w:r w:rsidR="000443C2">
        <w:rPr>
          <w:szCs w:val="22"/>
        </w:rPr>
        <w:t>requirements</w:t>
      </w:r>
      <w:r w:rsidRPr="009E0782">
        <w:rPr>
          <w:szCs w:val="22"/>
        </w:rPr>
        <w:t xml:space="preserve"> for prescribing MS-2 Step under relevant jurisdictional legislation.  </w:t>
      </w:r>
    </w:p>
    <w:p w14:paraId="16085B89" w14:textId="1601CEDA" w:rsidR="008F08F0" w:rsidRDefault="009E0782" w:rsidP="009E0782">
      <w:pPr>
        <w:rPr>
          <w:szCs w:val="22"/>
        </w:rPr>
      </w:pPr>
      <w:r w:rsidRPr="009E0782">
        <w:rPr>
          <w:szCs w:val="22"/>
        </w:rPr>
        <w:t xml:space="preserve">Legislative amendments to enable nurse practitioners and midwives to prescribe MS-2 Step are </w:t>
      </w:r>
      <w:r w:rsidR="000443C2" w:rsidRPr="009E0782">
        <w:rPr>
          <w:szCs w:val="22"/>
        </w:rPr>
        <w:t xml:space="preserve">a matter for </w:t>
      </w:r>
      <w:r w:rsidR="000443C2">
        <w:rPr>
          <w:szCs w:val="22"/>
        </w:rPr>
        <w:t xml:space="preserve">the </w:t>
      </w:r>
      <w:r w:rsidR="000443C2" w:rsidRPr="009E0782">
        <w:rPr>
          <w:szCs w:val="22"/>
        </w:rPr>
        <w:t>states and territories</w:t>
      </w:r>
      <w:r w:rsidRPr="009E0782">
        <w:rPr>
          <w:szCs w:val="22"/>
        </w:rPr>
        <w:t>.</w:t>
      </w:r>
    </w:p>
    <w:p w14:paraId="307F236C" w14:textId="77777777" w:rsidR="00C22214" w:rsidRPr="002E238E" w:rsidRDefault="00C22214" w:rsidP="00C22214">
      <w:pPr>
        <w:pStyle w:val="Heading2"/>
      </w:pPr>
      <w:bookmarkStart w:id="44" w:name="_Toc103679300"/>
      <w:bookmarkStart w:id="45" w:name="_Toc158831617"/>
      <w:r>
        <w:t>Outcome</w:t>
      </w:r>
      <w:bookmarkEnd w:id="41"/>
      <w:bookmarkEnd w:id="42"/>
      <w:bookmarkEnd w:id="44"/>
      <w:bookmarkEnd w:id="45"/>
    </w:p>
    <w:p w14:paraId="0111BD24" w14:textId="1D2CAA63" w:rsidR="0067334C" w:rsidRPr="00367C19" w:rsidRDefault="0067334C" w:rsidP="0067334C">
      <w:pPr>
        <w:rPr>
          <w:szCs w:val="22"/>
        </w:rPr>
      </w:pPr>
      <w:r w:rsidRPr="00367C19">
        <w:rPr>
          <w:szCs w:val="22"/>
        </w:rPr>
        <w:t>In the current submission, approval was granted to make the following changes in the PI</w:t>
      </w:r>
      <w:r w:rsidR="00B742E7">
        <w:rPr>
          <w:szCs w:val="22"/>
        </w:rPr>
        <w:t xml:space="preserve"> and RMP</w:t>
      </w:r>
      <w:r w:rsidRPr="00367C19">
        <w:rPr>
          <w:szCs w:val="22"/>
        </w:rPr>
        <w:t>:</w:t>
      </w:r>
    </w:p>
    <w:p w14:paraId="2091BF9C" w14:textId="086D4823" w:rsidR="0067334C" w:rsidRPr="00367C19" w:rsidRDefault="000443C2" w:rsidP="008C64AE">
      <w:pPr>
        <w:pStyle w:val="ListBullet"/>
      </w:pPr>
      <w:r>
        <w:t>A</w:t>
      </w:r>
      <w:r w:rsidRPr="00367C19">
        <w:t xml:space="preserve">mend </w:t>
      </w:r>
      <w:r w:rsidR="0067334C" w:rsidRPr="00367C19">
        <w:t>‘</w:t>
      </w:r>
      <w:r w:rsidR="0067334C" w:rsidRPr="00B742E7">
        <w:t>medical practitioner</w:t>
      </w:r>
      <w:r w:rsidR="0067334C" w:rsidRPr="00367C19">
        <w:t xml:space="preserve">’ </w:t>
      </w:r>
      <w:r>
        <w:t xml:space="preserve">in the boxed warning </w:t>
      </w:r>
      <w:r w:rsidR="0067334C" w:rsidRPr="00367C19">
        <w:t>to ‘</w:t>
      </w:r>
      <w:r w:rsidR="0067334C" w:rsidRPr="00B742E7">
        <w:t>healthcare practitioner</w:t>
      </w:r>
      <w:r w:rsidR="0067334C" w:rsidRPr="00367C19">
        <w:t xml:space="preserve">’  </w:t>
      </w:r>
    </w:p>
    <w:p w14:paraId="127079A0" w14:textId="34F37D6D" w:rsidR="0067334C" w:rsidRDefault="000443C2" w:rsidP="008C64AE">
      <w:pPr>
        <w:pStyle w:val="ListBullet"/>
      </w:pPr>
      <w:r>
        <w:t>A</w:t>
      </w:r>
      <w:r w:rsidRPr="00367C19">
        <w:t xml:space="preserve">mend </w:t>
      </w:r>
      <w:r w:rsidR="0067334C" w:rsidRPr="00367C19">
        <w:t>‘</w:t>
      </w:r>
      <w:r w:rsidR="0067334C" w:rsidRPr="00B742E7">
        <w:t>doctors with the appropriate qualifications and certified training</w:t>
      </w:r>
      <w:r w:rsidR="0067334C" w:rsidRPr="00367C19">
        <w:t xml:space="preserve">’ </w:t>
      </w:r>
      <w:r>
        <w:t xml:space="preserve">in Section 4.2 </w:t>
      </w:r>
      <w:r w:rsidR="0067334C" w:rsidRPr="00367C19">
        <w:t>to ‘</w:t>
      </w:r>
      <w:r w:rsidR="0067334C" w:rsidRPr="00B742E7">
        <w:t>healthcare practitioners with the appropriate qualifications and training</w:t>
      </w:r>
      <w:r w:rsidR="0067334C" w:rsidRPr="00367C19">
        <w:t>’ (in accordance with individual state and territory requirements) on the basis that the existing standardised training for all potential prescribers is maintained.</w:t>
      </w:r>
    </w:p>
    <w:p w14:paraId="54B72570" w14:textId="794FDE93" w:rsidR="006B68A6" w:rsidRDefault="006B68A6" w:rsidP="008C64AE">
      <w:pPr>
        <w:pStyle w:val="ListBullet"/>
      </w:pPr>
      <w:r w:rsidRPr="006B68A6">
        <w:t>Removal of the requirement for prescribers to complete mandatory training and receive certification to be able to prescribe the produc</w:t>
      </w:r>
      <w:r>
        <w:t>t</w:t>
      </w:r>
      <w:r w:rsidR="00494401">
        <w:t xml:space="preserve"> (including recertification)</w:t>
      </w:r>
      <w:r w:rsidR="006B4FD7">
        <w:t xml:space="preserve">, </w:t>
      </w:r>
      <w:r w:rsidR="006B4FD7" w:rsidRPr="006B4FD7">
        <w:t>to align with the approved changes and as per the proposed changes on page 10 (above)</w:t>
      </w:r>
      <w:r w:rsidR="006B4FD7">
        <w:t>.</w:t>
      </w:r>
    </w:p>
    <w:p w14:paraId="5FCD93BE" w14:textId="6F4211F0" w:rsidR="00B742E7" w:rsidRDefault="00B742E7" w:rsidP="008C64AE">
      <w:pPr>
        <w:pStyle w:val="ListBullet"/>
      </w:pPr>
      <w:r>
        <w:t>Removal of the requirement for pharmacists to be registered to be able to dispense</w:t>
      </w:r>
    </w:p>
    <w:p w14:paraId="07F2153D" w14:textId="7667D282" w:rsidR="00C22214" w:rsidRPr="0067334C" w:rsidRDefault="0067334C" w:rsidP="008C64AE">
      <w:pPr>
        <w:pStyle w:val="ListBullet"/>
      </w:pPr>
      <w:r w:rsidRPr="0067334C">
        <w:t>Removal of the 24-hour phone service for patients.</w:t>
      </w:r>
    </w:p>
    <w:p w14:paraId="451DC3FC" w14:textId="2D1EC6E2" w:rsidR="00C22214" w:rsidRDefault="00C22214" w:rsidP="00C22214">
      <w:pPr>
        <w:pStyle w:val="Heading2"/>
      </w:pPr>
      <w:bookmarkStart w:id="46" w:name="_Toc103679303"/>
      <w:bookmarkStart w:id="47" w:name="_Toc158831618"/>
      <w:r>
        <w:t>Attachment 1. Product Information</w:t>
      </w:r>
      <w:bookmarkEnd w:id="46"/>
      <w:bookmarkEnd w:id="47"/>
    </w:p>
    <w:p w14:paraId="74F59983" w14:textId="3CF59576" w:rsidR="00675F81" w:rsidRPr="00BD5DBD" w:rsidRDefault="00675F81" w:rsidP="00675F81">
      <w:pPr>
        <w:rPr>
          <w:szCs w:val="22"/>
        </w:rPr>
      </w:pPr>
      <w:r w:rsidRPr="00BD5DBD">
        <w:rPr>
          <w:szCs w:val="22"/>
        </w:rPr>
        <w:t xml:space="preserve">The </w:t>
      </w:r>
      <w:hyperlink r:id="rId25" w:history="1">
        <w:r w:rsidRPr="00BD5DBD">
          <w:rPr>
            <w:rStyle w:val="Hyperlink"/>
            <w:szCs w:val="22"/>
          </w:rPr>
          <w:t>Product Information</w:t>
        </w:r>
      </w:hyperlink>
      <w:r w:rsidRPr="00BD5DBD">
        <w:rPr>
          <w:szCs w:val="22"/>
        </w:rPr>
        <w:t xml:space="preserve"> (</w:t>
      </w:r>
      <w:hyperlink r:id="rId26"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B742E7">
        <w:t>MS-2 Step</w:t>
      </w:r>
      <w:r w:rsidR="003163BC">
        <w:t xml:space="preserve"> </w:t>
      </w:r>
      <w:r w:rsidRPr="00BD5DBD">
        <w:rPr>
          <w:szCs w:val="22"/>
        </w:rPr>
        <w:t xml:space="preserve">which is described in this AusPAR can be found as Attachment 1. </w:t>
      </w:r>
      <w:r w:rsidR="0025785B">
        <w:t xml:space="preserve">It may have been superseded. </w:t>
      </w:r>
      <w:r w:rsidRPr="00BD5DBD">
        <w:rPr>
          <w:szCs w:val="22"/>
        </w:rPr>
        <w:t xml:space="preserve">For the most recent PI and </w:t>
      </w:r>
      <w:hyperlink r:id="rId27" w:history="1">
        <w:r w:rsidRPr="00BD5DBD">
          <w:rPr>
            <w:rStyle w:val="Hyperlink"/>
            <w:szCs w:val="22"/>
          </w:rPr>
          <w:t>Consumer Medicines Information</w:t>
        </w:r>
      </w:hyperlink>
      <w:r w:rsidRPr="00BD5DBD">
        <w:rPr>
          <w:szCs w:val="22"/>
        </w:rPr>
        <w:t xml:space="preserve"> (CMI), please refer to the TGA </w:t>
      </w:r>
      <w:hyperlink r:id="rId28" w:history="1">
        <w:r w:rsidRPr="00BD5DBD">
          <w:rPr>
            <w:rStyle w:val="Hyperlink"/>
            <w:szCs w:val="22"/>
          </w:rPr>
          <w:t>PI/CMI search facility.</w:t>
        </w:r>
      </w:hyperlink>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29"/>
          <w:footerReference w:type="default" r:id="rId3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1" w:history="1">
              <w:r w:rsidRPr="00215D48">
                <w:rPr>
                  <w:rStyle w:val="Hyperlink"/>
                </w:rPr>
                <w:t>info@tga.gov.au</w:t>
              </w:r>
            </w:hyperlink>
            <w:r w:rsidRPr="00215D48">
              <w:t xml:space="preserve">  Phone: 1800 020 653  Fax: </w:t>
            </w:r>
            <w:r w:rsidRPr="00BA0DFC">
              <w:t>02 6203 1605</w:t>
            </w:r>
          </w:p>
          <w:p w14:paraId="4533D80F" w14:textId="1519D7A3" w:rsidR="00F02AEC" w:rsidRPr="00215D48" w:rsidRDefault="0051599C">
            <w:pPr>
              <w:pStyle w:val="Address"/>
              <w:jc w:val="center"/>
              <w:rPr>
                <w:rStyle w:val="Hyperlink"/>
                <w:b/>
                <w:color w:val="auto"/>
                <w:sz w:val="22"/>
              </w:rPr>
            </w:pPr>
            <w:hyperlink r:id="rId32"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CFDA" w14:textId="77777777" w:rsidR="006D7509" w:rsidRDefault="006D7509" w:rsidP="00F02AEC">
      <w:pPr>
        <w:spacing w:after="0" w:line="240" w:lineRule="auto"/>
      </w:pPr>
      <w:r>
        <w:separator/>
      </w:r>
    </w:p>
  </w:endnote>
  <w:endnote w:type="continuationSeparator" w:id="0">
    <w:p w14:paraId="2310349B" w14:textId="77777777" w:rsidR="006D7509" w:rsidRDefault="006D7509"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51599C">
                <w:fldChar w:fldCharType="begin"/>
              </w:r>
              <w:r w:rsidR="0051599C">
                <w:instrText xml:space="preserve"> NUMPAGES  </w:instrText>
              </w:r>
              <w:r w:rsidR="0051599C">
                <w:fldChar w:fldCharType="separate"/>
              </w:r>
              <w:r>
                <w:rPr>
                  <w:noProof/>
                </w:rPr>
                <w:t>2</w:t>
              </w:r>
              <w:r w:rsidR="0051599C">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2B4DC10E" w14:textId="77777777" w:rsidR="007452E8" w:rsidRDefault="007452E8" w:rsidP="007452E8">
          <w:pPr>
            <w:pStyle w:val="Footer"/>
          </w:pPr>
          <w:r w:rsidRPr="00487162">
            <w:t>AusPA</w:t>
          </w:r>
          <w:r>
            <w:t xml:space="preserve">R </w:t>
          </w:r>
          <w:r w:rsidR="00831236">
            <w:t>–</w:t>
          </w:r>
          <w:r>
            <w:t xml:space="preserve"> </w:t>
          </w:r>
          <w:r w:rsidR="00831236">
            <w:t>MS-2 Step</w:t>
          </w:r>
          <w:r>
            <w:t xml:space="preserve"> </w:t>
          </w:r>
          <w:r w:rsidR="00831236">
            <w:t>–</w:t>
          </w:r>
          <w:r w:rsidRPr="00460036">
            <w:t xml:space="preserve"> </w:t>
          </w:r>
          <w:r w:rsidR="00831236">
            <w:t>mifepristone and misoprostol</w:t>
          </w:r>
          <w:r>
            <w:t xml:space="preserve"> </w:t>
          </w:r>
          <w:r w:rsidR="009C5B59">
            <w:t>–</w:t>
          </w:r>
          <w:r>
            <w:t xml:space="preserve"> </w:t>
          </w:r>
          <w:r w:rsidR="009C5B59">
            <w:t xml:space="preserve">MS Health Pty Ltd - </w:t>
          </w:r>
          <w:r>
            <w:t>PM-202</w:t>
          </w:r>
          <w:r w:rsidR="00831236">
            <w:t>2</w:t>
          </w:r>
          <w:r w:rsidRPr="00487162">
            <w:t>-</w:t>
          </w:r>
          <w:r w:rsidR="00831236">
            <w:t>05475</w:t>
          </w:r>
          <w:r w:rsidRPr="00487162">
            <w:t>-</w:t>
          </w:r>
          <w:r w:rsidR="00831236">
            <w:t>1</w:t>
          </w:r>
          <w:r w:rsidRPr="00487162">
            <w:t>-</w:t>
          </w:r>
          <w:r w:rsidR="00831236">
            <w:t>5</w:t>
          </w:r>
        </w:p>
        <w:p w14:paraId="3C421323" w14:textId="24BB9102" w:rsidR="009C5B59" w:rsidRPr="004A3084" w:rsidRDefault="009C5B59" w:rsidP="007452E8">
          <w:pPr>
            <w:pStyle w:val="Footer"/>
          </w:pPr>
          <w:r>
            <w:t>Final 14 February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51599C">
                <w:fldChar w:fldCharType="begin"/>
              </w:r>
              <w:r w:rsidR="0051599C">
                <w:instrText xml:space="preserve"> NUMPAGES  </w:instrText>
              </w:r>
              <w:r w:rsidR="0051599C">
                <w:fldChar w:fldCharType="separate"/>
              </w:r>
              <w:r w:rsidR="006D6B44">
                <w:rPr>
                  <w:noProof/>
                </w:rPr>
                <w:t>17</w:t>
              </w:r>
              <w:r w:rsidR="0051599C">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4569" w14:textId="77777777" w:rsidR="006D7509" w:rsidRDefault="006D7509" w:rsidP="00F02AEC">
      <w:pPr>
        <w:spacing w:after="0" w:line="240" w:lineRule="auto"/>
      </w:pPr>
      <w:r>
        <w:separator/>
      </w:r>
    </w:p>
  </w:footnote>
  <w:footnote w:type="continuationSeparator" w:id="0">
    <w:p w14:paraId="30859566" w14:textId="77777777" w:rsidR="006D7509" w:rsidRDefault="006D7509" w:rsidP="00F02AEC">
      <w:pPr>
        <w:spacing w:after="0" w:line="240" w:lineRule="auto"/>
      </w:pPr>
      <w:r>
        <w:continuationSeparator/>
      </w:r>
    </w:p>
  </w:footnote>
  <w:footnote w:id="1">
    <w:p w14:paraId="7F1D9957" w14:textId="77777777" w:rsidR="00B742E7" w:rsidRDefault="00B742E7" w:rsidP="00B742E7">
      <w:pPr>
        <w:pStyle w:val="FootnoteText"/>
      </w:pPr>
      <w:r>
        <w:rPr>
          <w:rStyle w:val="FootnoteReference"/>
        </w:rPr>
        <w:footnoteRef/>
      </w:r>
      <w:r>
        <w:t xml:space="preserve"> </w:t>
      </w:r>
      <w:r w:rsidRPr="00BD4090">
        <w:t xml:space="preserve">Kopp Kallner H, Gomperts R, Salomonsson E, Johansson M, Marions L, Gemzell-Danielsson K. The efficacy, safety and acceptability of medical termination of pregnancy provided by standard care by doctors or by nurse-midwives: a randomised controlled equivalence trial. BJOG. 2015;122:510-517. </w:t>
      </w:r>
    </w:p>
  </w:footnote>
  <w:footnote w:id="2">
    <w:p w14:paraId="0990754F" w14:textId="77777777" w:rsidR="00B742E7" w:rsidRDefault="00B742E7" w:rsidP="00B742E7">
      <w:pPr>
        <w:pStyle w:val="FootnoteText"/>
      </w:pPr>
      <w:r>
        <w:rPr>
          <w:rStyle w:val="FootnoteReference"/>
        </w:rPr>
        <w:footnoteRef/>
      </w:r>
      <w:r>
        <w:t xml:space="preserve"> </w:t>
      </w:r>
      <w:r>
        <w:rPr>
          <w:lang w:eastAsia="ja-JP"/>
        </w:rPr>
        <w:t xml:space="preserve">Warriner IK, Wang D, Huong NTM, Thapa K, Tamang A, Shah I </w:t>
      </w:r>
      <w:r w:rsidRPr="002F5E95">
        <w:rPr>
          <w:i/>
          <w:iCs/>
          <w:lang w:eastAsia="ja-JP"/>
        </w:rPr>
        <w:t>et al</w:t>
      </w:r>
      <w:r>
        <w:rPr>
          <w:lang w:eastAsia="ja-JP"/>
        </w:rPr>
        <w:t xml:space="preserve">. </w:t>
      </w:r>
      <w:r w:rsidRPr="002F5E95">
        <w:rPr>
          <w:lang w:eastAsia="ja-JP"/>
        </w:rPr>
        <w:t>Can midlevel health-care providers administer early medical abortion as safely and effectively as doctors? A randomised controlled equivalence trial in Nepal</w:t>
      </w:r>
      <w:r>
        <w:rPr>
          <w:lang w:eastAsia="ja-JP"/>
        </w:rPr>
        <w:t xml:space="preserve">. </w:t>
      </w:r>
      <w:r w:rsidRPr="002F5E95">
        <w:rPr>
          <w:i/>
          <w:iCs/>
          <w:lang w:eastAsia="ja-JP"/>
        </w:rPr>
        <w:t>Lancet</w:t>
      </w:r>
      <w:r>
        <w:rPr>
          <w:lang w:eastAsia="ja-JP"/>
        </w:rPr>
        <w:t xml:space="preserve">. 2011;377:1155-1161. </w:t>
      </w:r>
      <w:r>
        <w:t xml:space="preserve"> </w:t>
      </w:r>
    </w:p>
  </w:footnote>
  <w:footnote w:id="3">
    <w:p w14:paraId="1506B517" w14:textId="77777777" w:rsidR="00B742E7" w:rsidRDefault="00B742E7" w:rsidP="00B742E7">
      <w:pPr>
        <w:pStyle w:val="FootnoteText"/>
      </w:pPr>
      <w:r>
        <w:rPr>
          <w:rStyle w:val="FootnoteReference"/>
        </w:rPr>
        <w:footnoteRef/>
      </w:r>
      <w:r>
        <w:t xml:space="preserve"> </w:t>
      </w:r>
      <w:r>
        <w:rPr>
          <w:lang w:eastAsia="ja-JP"/>
        </w:rPr>
        <w:t xml:space="preserve">Jejeebhoy SJ, Kalyanwala S, Mundle S, Tank J, Zavier AJF, Kumar R </w:t>
      </w:r>
      <w:r w:rsidRPr="006903D7">
        <w:rPr>
          <w:i/>
          <w:iCs/>
          <w:lang w:eastAsia="ja-JP"/>
        </w:rPr>
        <w:t>et al</w:t>
      </w:r>
      <w:r>
        <w:rPr>
          <w:lang w:eastAsia="ja-JP"/>
        </w:rPr>
        <w:t xml:space="preserve">. feasibility of expanding the medication abortion provider baser in India to include ayurvedic physicians and nurses. </w:t>
      </w:r>
      <w:r w:rsidRPr="008B6CF9">
        <w:rPr>
          <w:i/>
          <w:iCs/>
          <w:lang w:eastAsia="ja-JP"/>
        </w:rPr>
        <w:t>Int Perspect Sex Reprod Health</w:t>
      </w:r>
      <w:r>
        <w:rPr>
          <w:lang w:eastAsia="ja-JP"/>
        </w:rPr>
        <w:t>. 2012;38:133-142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51599C"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2D9"/>
    <w:multiLevelType w:val="hybridMultilevel"/>
    <w:tmpl w:val="9CFA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43E3B66"/>
    <w:multiLevelType w:val="hybridMultilevel"/>
    <w:tmpl w:val="E122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3A1860D3"/>
    <w:multiLevelType w:val="hybridMultilevel"/>
    <w:tmpl w:val="93268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4" w15:restartNumberingAfterBreak="0">
    <w:nsid w:val="5B922DA6"/>
    <w:multiLevelType w:val="hybridMultilevel"/>
    <w:tmpl w:val="F6969CEE"/>
    <w:lvl w:ilvl="0" w:tplc="C1765968">
      <w:start w:val="1"/>
      <w:numFmt w:val="bullet"/>
      <w:lvlText w:val=""/>
      <w:lvlJc w:val="left"/>
      <w:pPr>
        <w:ind w:left="1440" w:hanging="360"/>
      </w:pPr>
      <w:rPr>
        <w:rFonts w:ascii="Symbol" w:hAnsi="Symbol"/>
      </w:rPr>
    </w:lvl>
    <w:lvl w:ilvl="1" w:tplc="41FE1580">
      <w:start w:val="1"/>
      <w:numFmt w:val="bullet"/>
      <w:lvlText w:val=""/>
      <w:lvlJc w:val="left"/>
      <w:pPr>
        <w:ind w:left="1440" w:hanging="360"/>
      </w:pPr>
      <w:rPr>
        <w:rFonts w:ascii="Symbol" w:hAnsi="Symbol"/>
      </w:rPr>
    </w:lvl>
    <w:lvl w:ilvl="2" w:tplc="4FCA6E62">
      <w:start w:val="1"/>
      <w:numFmt w:val="bullet"/>
      <w:lvlText w:val=""/>
      <w:lvlJc w:val="left"/>
      <w:pPr>
        <w:ind w:left="1440" w:hanging="360"/>
      </w:pPr>
      <w:rPr>
        <w:rFonts w:ascii="Symbol" w:hAnsi="Symbol"/>
      </w:rPr>
    </w:lvl>
    <w:lvl w:ilvl="3" w:tplc="31EC7E30">
      <w:start w:val="1"/>
      <w:numFmt w:val="bullet"/>
      <w:lvlText w:val=""/>
      <w:lvlJc w:val="left"/>
      <w:pPr>
        <w:ind w:left="1440" w:hanging="360"/>
      </w:pPr>
      <w:rPr>
        <w:rFonts w:ascii="Symbol" w:hAnsi="Symbol"/>
      </w:rPr>
    </w:lvl>
    <w:lvl w:ilvl="4" w:tplc="5CF6E78A">
      <w:start w:val="1"/>
      <w:numFmt w:val="bullet"/>
      <w:lvlText w:val=""/>
      <w:lvlJc w:val="left"/>
      <w:pPr>
        <w:ind w:left="1440" w:hanging="360"/>
      </w:pPr>
      <w:rPr>
        <w:rFonts w:ascii="Symbol" w:hAnsi="Symbol"/>
      </w:rPr>
    </w:lvl>
    <w:lvl w:ilvl="5" w:tplc="1A6C28DE">
      <w:start w:val="1"/>
      <w:numFmt w:val="bullet"/>
      <w:lvlText w:val=""/>
      <w:lvlJc w:val="left"/>
      <w:pPr>
        <w:ind w:left="1440" w:hanging="360"/>
      </w:pPr>
      <w:rPr>
        <w:rFonts w:ascii="Symbol" w:hAnsi="Symbol"/>
      </w:rPr>
    </w:lvl>
    <w:lvl w:ilvl="6" w:tplc="534E5F08">
      <w:start w:val="1"/>
      <w:numFmt w:val="bullet"/>
      <w:lvlText w:val=""/>
      <w:lvlJc w:val="left"/>
      <w:pPr>
        <w:ind w:left="1440" w:hanging="360"/>
      </w:pPr>
      <w:rPr>
        <w:rFonts w:ascii="Symbol" w:hAnsi="Symbol"/>
      </w:rPr>
    </w:lvl>
    <w:lvl w:ilvl="7" w:tplc="0BD2B538">
      <w:start w:val="1"/>
      <w:numFmt w:val="bullet"/>
      <w:lvlText w:val=""/>
      <w:lvlJc w:val="left"/>
      <w:pPr>
        <w:ind w:left="1440" w:hanging="360"/>
      </w:pPr>
      <w:rPr>
        <w:rFonts w:ascii="Symbol" w:hAnsi="Symbol"/>
      </w:rPr>
    </w:lvl>
    <w:lvl w:ilvl="8" w:tplc="BFD85054">
      <w:start w:val="1"/>
      <w:numFmt w:val="bullet"/>
      <w:lvlText w:val=""/>
      <w:lvlJc w:val="left"/>
      <w:pPr>
        <w:ind w:left="1440" w:hanging="360"/>
      </w:pPr>
      <w:rPr>
        <w:rFonts w:ascii="Symbol" w:hAnsi="Symbol"/>
      </w:rPr>
    </w:lvl>
  </w:abstractNum>
  <w:abstractNum w:abstractNumId="15" w15:restartNumberingAfterBreak="0">
    <w:nsid w:val="5BCE3F1A"/>
    <w:multiLevelType w:val="hybridMultilevel"/>
    <w:tmpl w:val="220A3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067AC6"/>
    <w:multiLevelType w:val="hybridMultilevel"/>
    <w:tmpl w:val="8ECED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5"/>
  </w:num>
  <w:num w:numId="2" w16cid:durableId="1856573705">
    <w:abstractNumId w:val="1"/>
  </w:num>
  <w:num w:numId="3" w16cid:durableId="357703499">
    <w:abstractNumId w:val="4"/>
  </w:num>
  <w:num w:numId="4" w16cid:durableId="1869176708">
    <w:abstractNumId w:val="12"/>
  </w:num>
  <w:num w:numId="5" w16cid:durableId="1652950129">
    <w:abstractNumId w:val="7"/>
  </w:num>
  <w:num w:numId="6" w16cid:durableId="1053193207">
    <w:abstractNumId w:val="10"/>
  </w:num>
  <w:num w:numId="7" w16cid:durableId="20113592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1"/>
  </w:num>
  <w:num w:numId="9" w16cid:durableId="173421270">
    <w:abstractNumId w:val="2"/>
  </w:num>
  <w:num w:numId="10" w16cid:durableId="2108043357">
    <w:abstractNumId w:val="6"/>
  </w:num>
  <w:num w:numId="11" w16cid:durableId="1725904230">
    <w:abstractNumId w:val="9"/>
  </w:num>
  <w:num w:numId="12" w16cid:durableId="141579354">
    <w:abstractNumId w:val="13"/>
  </w:num>
  <w:num w:numId="13" w16cid:durableId="283735081">
    <w:abstractNumId w:val="17"/>
  </w:num>
  <w:num w:numId="14" w16cid:durableId="1832598244">
    <w:abstractNumId w:val="0"/>
  </w:num>
  <w:num w:numId="15" w16cid:durableId="881097088">
    <w:abstractNumId w:val="16"/>
  </w:num>
  <w:num w:numId="16" w16cid:durableId="377971181">
    <w:abstractNumId w:val="3"/>
  </w:num>
  <w:num w:numId="17" w16cid:durableId="531694235">
    <w:abstractNumId w:val="8"/>
  </w:num>
  <w:num w:numId="18" w16cid:durableId="528641747">
    <w:abstractNumId w:val="15"/>
  </w:num>
  <w:num w:numId="19" w16cid:durableId="170025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4431"/>
    <w:rsid w:val="00005017"/>
    <w:rsid w:val="00005062"/>
    <w:rsid w:val="0001064C"/>
    <w:rsid w:val="0001384A"/>
    <w:rsid w:val="00020FF2"/>
    <w:rsid w:val="00032A0F"/>
    <w:rsid w:val="00040D8D"/>
    <w:rsid w:val="000414E7"/>
    <w:rsid w:val="000443C2"/>
    <w:rsid w:val="00046423"/>
    <w:rsid w:val="0006104E"/>
    <w:rsid w:val="000613FF"/>
    <w:rsid w:val="000640BD"/>
    <w:rsid w:val="00065839"/>
    <w:rsid w:val="00065FDF"/>
    <w:rsid w:val="000738A0"/>
    <w:rsid w:val="00077844"/>
    <w:rsid w:val="00090510"/>
    <w:rsid w:val="000917AE"/>
    <w:rsid w:val="00094B81"/>
    <w:rsid w:val="000975AA"/>
    <w:rsid w:val="000A6CBC"/>
    <w:rsid w:val="000B6B15"/>
    <w:rsid w:val="000C25A7"/>
    <w:rsid w:val="000D78EC"/>
    <w:rsid w:val="000D7934"/>
    <w:rsid w:val="000E2597"/>
    <w:rsid w:val="000E6746"/>
    <w:rsid w:val="000F7B51"/>
    <w:rsid w:val="00101BEE"/>
    <w:rsid w:val="00101CE6"/>
    <w:rsid w:val="00101FB1"/>
    <w:rsid w:val="0010558A"/>
    <w:rsid w:val="001101FF"/>
    <w:rsid w:val="00112464"/>
    <w:rsid w:val="0012473C"/>
    <w:rsid w:val="00127A74"/>
    <w:rsid w:val="0013132F"/>
    <w:rsid w:val="0013306D"/>
    <w:rsid w:val="00134EA6"/>
    <w:rsid w:val="0013528C"/>
    <w:rsid w:val="001442A2"/>
    <w:rsid w:val="001468CA"/>
    <w:rsid w:val="001500A8"/>
    <w:rsid w:val="00155D85"/>
    <w:rsid w:val="00165D28"/>
    <w:rsid w:val="0017005C"/>
    <w:rsid w:val="00175CD8"/>
    <w:rsid w:val="00182BD8"/>
    <w:rsid w:val="001A76F9"/>
    <w:rsid w:val="001B06FF"/>
    <w:rsid w:val="001B1703"/>
    <w:rsid w:val="001B5C2A"/>
    <w:rsid w:val="001C1C2E"/>
    <w:rsid w:val="001C31A1"/>
    <w:rsid w:val="001C3FA2"/>
    <w:rsid w:val="001C5EE2"/>
    <w:rsid w:val="001D0077"/>
    <w:rsid w:val="001E2BE4"/>
    <w:rsid w:val="001E407B"/>
    <w:rsid w:val="001E7FC6"/>
    <w:rsid w:val="001F2502"/>
    <w:rsid w:val="001F70A5"/>
    <w:rsid w:val="001F7C7E"/>
    <w:rsid w:val="0020235D"/>
    <w:rsid w:val="0020369B"/>
    <w:rsid w:val="0020721A"/>
    <w:rsid w:val="00207B4D"/>
    <w:rsid w:val="002117B1"/>
    <w:rsid w:val="00217CCE"/>
    <w:rsid w:val="002203B1"/>
    <w:rsid w:val="00226F39"/>
    <w:rsid w:val="002334AD"/>
    <w:rsid w:val="00233FBC"/>
    <w:rsid w:val="00241B60"/>
    <w:rsid w:val="0025785B"/>
    <w:rsid w:val="00257969"/>
    <w:rsid w:val="00280048"/>
    <w:rsid w:val="0028489E"/>
    <w:rsid w:val="002848DE"/>
    <w:rsid w:val="0028794E"/>
    <w:rsid w:val="002958D5"/>
    <w:rsid w:val="002A5841"/>
    <w:rsid w:val="002B1EDF"/>
    <w:rsid w:val="002B2061"/>
    <w:rsid w:val="002C1232"/>
    <w:rsid w:val="002C1E44"/>
    <w:rsid w:val="002C5C92"/>
    <w:rsid w:val="002C5E29"/>
    <w:rsid w:val="002D0478"/>
    <w:rsid w:val="002D7127"/>
    <w:rsid w:val="002F599E"/>
    <w:rsid w:val="003005AF"/>
    <w:rsid w:val="003008D8"/>
    <w:rsid w:val="00301D9A"/>
    <w:rsid w:val="00303959"/>
    <w:rsid w:val="00306E72"/>
    <w:rsid w:val="00312AC3"/>
    <w:rsid w:val="00314430"/>
    <w:rsid w:val="003163BC"/>
    <w:rsid w:val="0032351A"/>
    <w:rsid w:val="00324B33"/>
    <w:rsid w:val="00327488"/>
    <w:rsid w:val="00336FE1"/>
    <w:rsid w:val="003405C8"/>
    <w:rsid w:val="00342D56"/>
    <w:rsid w:val="003456E7"/>
    <w:rsid w:val="00346EC2"/>
    <w:rsid w:val="003477F9"/>
    <w:rsid w:val="0035444D"/>
    <w:rsid w:val="00356D62"/>
    <w:rsid w:val="00363EE3"/>
    <w:rsid w:val="00367C19"/>
    <w:rsid w:val="003735F3"/>
    <w:rsid w:val="00374729"/>
    <w:rsid w:val="003770A8"/>
    <w:rsid w:val="00387298"/>
    <w:rsid w:val="00387984"/>
    <w:rsid w:val="00395140"/>
    <w:rsid w:val="00397668"/>
    <w:rsid w:val="003A2422"/>
    <w:rsid w:val="003A4AA4"/>
    <w:rsid w:val="003A5BE3"/>
    <w:rsid w:val="003B149C"/>
    <w:rsid w:val="003B25BA"/>
    <w:rsid w:val="003B6372"/>
    <w:rsid w:val="003C0FDB"/>
    <w:rsid w:val="003C1192"/>
    <w:rsid w:val="003C1A88"/>
    <w:rsid w:val="003C55E2"/>
    <w:rsid w:val="003C63D5"/>
    <w:rsid w:val="003C7AA8"/>
    <w:rsid w:val="003D71A1"/>
    <w:rsid w:val="00407DAC"/>
    <w:rsid w:val="0041226B"/>
    <w:rsid w:val="0041688F"/>
    <w:rsid w:val="00420F70"/>
    <w:rsid w:val="0042376F"/>
    <w:rsid w:val="004246B8"/>
    <w:rsid w:val="004248F1"/>
    <w:rsid w:val="00433318"/>
    <w:rsid w:val="00442A56"/>
    <w:rsid w:val="004444B0"/>
    <w:rsid w:val="0045060B"/>
    <w:rsid w:val="00455C62"/>
    <w:rsid w:val="00460CC7"/>
    <w:rsid w:val="004626FF"/>
    <w:rsid w:val="00470A52"/>
    <w:rsid w:val="00471BD5"/>
    <w:rsid w:val="0047286C"/>
    <w:rsid w:val="00477C4E"/>
    <w:rsid w:val="00477F07"/>
    <w:rsid w:val="00481503"/>
    <w:rsid w:val="00481D12"/>
    <w:rsid w:val="004854A6"/>
    <w:rsid w:val="00491A55"/>
    <w:rsid w:val="00494401"/>
    <w:rsid w:val="00494C3E"/>
    <w:rsid w:val="00497DF1"/>
    <w:rsid w:val="004A318E"/>
    <w:rsid w:val="004A57E8"/>
    <w:rsid w:val="004B3081"/>
    <w:rsid w:val="004B4A09"/>
    <w:rsid w:val="004C41CE"/>
    <w:rsid w:val="004C631B"/>
    <w:rsid w:val="004C7562"/>
    <w:rsid w:val="004D2F00"/>
    <w:rsid w:val="004D31D8"/>
    <w:rsid w:val="004D5388"/>
    <w:rsid w:val="004E7F16"/>
    <w:rsid w:val="004F18EC"/>
    <w:rsid w:val="004F7E37"/>
    <w:rsid w:val="00500D68"/>
    <w:rsid w:val="0051599C"/>
    <w:rsid w:val="0052378A"/>
    <w:rsid w:val="0053377D"/>
    <w:rsid w:val="00535DFE"/>
    <w:rsid w:val="005373B5"/>
    <w:rsid w:val="00537AB7"/>
    <w:rsid w:val="0054669B"/>
    <w:rsid w:val="005610D1"/>
    <w:rsid w:val="00562F42"/>
    <w:rsid w:val="00563F82"/>
    <w:rsid w:val="00565739"/>
    <w:rsid w:val="0056766D"/>
    <w:rsid w:val="00575215"/>
    <w:rsid w:val="0058049A"/>
    <w:rsid w:val="0058575E"/>
    <w:rsid w:val="0058783C"/>
    <w:rsid w:val="005911AE"/>
    <w:rsid w:val="005926E2"/>
    <w:rsid w:val="0059313A"/>
    <w:rsid w:val="005A54EA"/>
    <w:rsid w:val="005B023F"/>
    <w:rsid w:val="005B02A2"/>
    <w:rsid w:val="005B1417"/>
    <w:rsid w:val="005B69CF"/>
    <w:rsid w:val="005C3F07"/>
    <w:rsid w:val="005C4B46"/>
    <w:rsid w:val="005C5DC5"/>
    <w:rsid w:val="005D2089"/>
    <w:rsid w:val="005D7514"/>
    <w:rsid w:val="005E0FC6"/>
    <w:rsid w:val="005E1A7B"/>
    <w:rsid w:val="005E231F"/>
    <w:rsid w:val="00602B0A"/>
    <w:rsid w:val="00602D6E"/>
    <w:rsid w:val="00605C05"/>
    <w:rsid w:val="00611351"/>
    <w:rsid w:val="00611CA5"/>
    <w:rsid w:val="0061217D"/>
    <w:rsid w:val="006277A1"/>
    <w:rsid w:val="00633BD7"/>
    <w:rsid w:val="00634580"/>
    <w:rsid w:val="00634884"/>
    <w:rsid w:val="006351D9"/>
    <w:rsid w:val="00637130"/>
    <w:rsid w:val="00637F0E"/>
    <w:rsid w:val="006423F2"/>
    <w:rsid w:val="00650234"/>
    <w:rsid w:val="0066044B"/>
    <w:rsid w:val="00661518"/>
    <w:rsid w:val="006630AA"/>
    <w:rsid w:val="00663544"/>
    <w:rsid w:val="00666539"/>
    <w:rsid w:val="00666911"/>
    <w:rsid w:val="0067334C"/>
    <w:rsid w:val="00675F81"/>
    <w:rsid w:val="0068143E"/>
    <w:rsid w:val="006827DF"/>
    <w:rsid w:val="0068507D"/>
    <w:rsid w:val="0068572F"/>
    <w:rsid w:val="00691AF2"/>
    <w:rsid w:val="00692B80"/>
    <w:rsid w:val="00692CCD"/>
    <w:rsid w:val="00692D51"/>
    <w:rsid w:val="00694DD7"/>
    <w:rsid w:val="00695ACC"/>
    <w:rsid w:val="0069636B"/>
    <w:rsid w:val="006A1762"/>
    <w:rsid w:val="006A1F0B"/>
    <w:rsid w:val="006A277A"/>
    <w:rsid w:val="006A5973"/>
    <w:rsid w:val="006B4FD7"/>
    <w:rsid w:val="006B68A6"/>
    <w:rsid w:val="006B7126"/>
    <w:rsid w:val="006C6B86"/>
    <w:rsid w:val="006D4553"/>
    <w:rsid w:val="006D4A35"/>
    <w:rsid w:val="006D6B44"/>
    <w:rsid w:val="006D7509"/>
    <w:rsid w:val="006E27FE"/>
    <w:rsid w:val="006E357A"/>
    <w:rsid w:val="006F3B5B"/>
    <w:rsid w:val="00701110"/>
    <w:rsid w:val="00702E91"/>
    <w:rsid w:val="0070330F"/>
    <w:rsid w:val="00703624"/>
    <w:rsid w:val="007046ED"/>
    <w:rsid w:val="007072A1"/>
    <w:rsid w:val="00710BC5"/>
    <w:rsid w:val="007121CA"/>
    <w:rsid w:val="0072003B"/>
    <w:rsid w:val="00721059"/>
    <w:rsid w:val="007211E6"/>
    <w:rsid w:val="007220C4"/>
    <w:rsid w:val="00722CDF"/>
    <w:rsid w:val="00732361"/>
    <w:rsid w:val="007357B9"/>
    <w:rsid w:val="00741AB9"/>
    <w:rsid w:val="00742D03"/>
    <w:rsid w:val="00744216"/>
    <w:rsid w:val="007452E8"/>
    <w:rsid w:val="00746990"/>
    <w:rsid w:val="00747093"/>
    <w:rsid w:val="00750D70"/>
    <w:rsid w:val="007575D0"/>
    <w:rsid w:val="007662E0"/>
    <w:rsid w:val="0077292E"/>
    <w:rsid w:val="00776E9C"/>
    <w:rsid w:val="007816D8"/>
    <w:rsid w:val="00784150"/>
    <w:rsid w:val="0078573F"/>
    <w:rsid w:val="00793272"/>
    <w:rsid w:val="0079330D"/>
    <w:rsid w:val="00794B64"/>
    <w:rsid w:val="007967C3"/>
    <w:rsid w:val="007A0A33"/>
    <w:rsid w:val="007A13FF"/>
    <w:rsid w:val="007B04DE"/>
    <w:rsid w:val="007B0AE6"/>
    <w:rsid w:val="007C0F0B"/>
    <w:rsid w:val="007C57BC"/>
    <w:rsid w:val="007D04CA"/>
    <w:rsid w:val="007D0A2B"/>
    <w:rsid w:val="007D12A1"/>
    <w:rsid w:val="007D40E5"/>
    <w:rsid w:val="007D4138"/>
    <w:rsid w:val="007E4178"/>
    <w:rsid w:val="007F0A77"/>
    <w:rsid w:val="007F50D3"/>
    <w:rsid w:val="007F6B1F"/>
    <w:rsid w:val="00804897"/>
    <w:rsid w:val="00820DAA"/>
    <w:rsid w:val="00831236"/>
    <w:rsid w:val="008329DB"/>
    <w:rsid w:val="008361C5"/>
    <w:rsid w:val="0083628F"/>
    <w:rsid w:val="00837AB9"/>
    <w:rsid w:val="00850637"/>
    <w:rsid w:val="00854D98"/>
    <w:rsid w:val="0085751E"/>
    <w:rsid w:val="00860B29"/>
    <w:rsid w:val="008622E8"/>
    <w:rsid w:val="00863F8D"/>
    <w:rsid w:val="008645EE"/>
    <w:rsid w:val="00870144"/>
    <w:rsid w:val="00873D7A"/>
    <w:rsid w:val="00877CB3"/>
    <w:rsid w:val="008804CF"/>
    <w:rsid w:val="00882D58"/>
    <w:rsid w:val="00882F19"/>
    <w:rsid w:val="00883D35"/>
    <w:rsid w:val="00884569"/>
    <w:rsid w:val="00887A51"/>
    <w:rsid w:val="00890D9B"/>
    <w:rsid w:val="00891C6C"/>
    <w:rsid w:val="00891CC1"/>
    <w:rsid w:val="00893CCD"/>
    <w:rsid w:val="008964B3"/>
    <w:rsid w:val="008B1CB5"/>
    <w:rsid w:val="008C2D69"/>
    <w:rsid w:val="008C49C6"/>
    <w:rsid w:val="008C64AE"/>
    <w:rsid w:val="008C754C"/>
    <w:rsid w:val="008D56C9"/>
    <w:rsid w:val="008D6A54"/>
    <w:rsid w:val="008E2585"/>
    <w:rsid w:val="008E2D7A"/>
    <w:rsid w:val="008F08F0"/>
    <w:rsid w:val="008F3215"/>
    <w:rsid w:val="008F3BD3"/>
    <w:rsid w:val="008F4A62"/>
    <w:rsid w:val="008F7256"/>
    <w:rsid w:val="0090424C"/>
    <w:rsid w:val="0090605E"/>
    <w:rsid w:val="009108CE"/>
    <w:rsid w:val="00915A9F"/>
    <w:rsid w:val="00930D58"/>
    <w:rsid w:val="00935AAA"/>
    <w:rsid w:val="0095031E"/>
    <w:rsid w:val="00954297"/>
    <w:rsid w:val="00960A56"/>
    <w:rsid w:val="00966EF1"/>
    <w:rsid w:val="00967223"/>
    <w:rsid w:val="009751F7"/>
    <w:rsid w:val="0098350E"/>
    <w:rsid w:val="00983BF8"/>
    <w:rsid w:val="0099404F"/>
    <w:rsid w:val="00996FA5"/>
    <w:rsid w:val="009B5662"/>
    <w:rsid w:val="009C2211"/>
    <w:rsid w:val="009C40E8"/>
    <w:rsid w:val="009C45C5"/>
    <w:rsid w:val="009C46EE"/>
    <w:rsid w:val="009C5B59"/>
    <w:rsid w:val="009D0907"/>
    <w:rsid w:val="009D3423"/>
    <w:rsid w:val="009D5F25"/>
    <w:rsid w:val="009E0782"/>
    <w:rsid w:val="009E29E9"/>
    <w:rsid w:val="009E6858"/>
    <w:rsid w:val="009E6F8C"/>
    <w:rsid w:val="009F29CE"/>
    <w:rsid w:val="009F405F"/>
    <w:rsid w:val="00A01C56"/>
    <w:rsid w:val="00A32C50"/>
    <w:rsid w:val="00A358E7"/>
    <w:rsid w:val="00A4143B"/>
    <w:rsid w:val="00A4380B"/>
    <w:rsid w:val="00A51A2D"/>
    <w:rsid w:val="00A5596B"/>
    <w:rsid w:val="00A63C07"/>
    <w:rsid w:val="00A63D9B"/>
    <w:rsid w:val="00A704DC"/>
    <w:rsid w:val="00A93DC6"/>
    <w:rsid w:val="00A9411A"/>
    <w:rsid w:val="00A9546F"/>
    <w:rsid w:val="00A95896"/>
    <w:rsid w:val="00A96135"/>
    <w:rsid w:val="00AA4A4B"/>
    <w:rsid w:val="00AA6682"/>
    <w:rsid w:val="00AB7C5C"/>
    <w:rsid w:val="00AB7CBF"/>
    <w:rsid w:val="00AD0111"/>
    <w:rsid w:val="00AD0CD3"/>
    <w:rsid w:val="00AD4C72"/>
    <w:rsid w:val="00AD5451"/>
    <w:rsid w:val="00AE1947"/>
    <w:rsid w:val="00AF1C8B"/>
    <w:rsid w:val="00AF299B"/>
    <w:rsid w:val="00AF7E43"/>
    <w:rsid w:val="00B02AE0"/>
    <w:rsid w:val="00B05326"/>
    <w:rsid w:val="00B14545"/>
    <w:rsid w:val="00B14E60"/>
    <w:rsid w:val="00B17BA2"/>
    <w:rsid w:val="00B26DC3"/>
    <w:rsid w:val="00B30B9D"/>
    <w:rsid w:val="00B4574D"/>
    <w:rsid w:val="00B468E1"/>
    <w:rsid w:val="00B46BC0"/>
    <w:rsid w:val="00B46DFB"/>
    <w:rsid w:val="00B5141B"/>
    <w:rsid w:val="00B55681"/>
    <w:rsid w:val="00B57AAD"/>
    <w:rsid w:val="00B72B16"/>
    <w:rsid w:val="00B742E7"/>
    <w:rsid w:val="00B80408"/>
    <w:rsid w:val="00B81397"/>
    <w:rsid w:val="00B925DB"/>
    <w:rsid w:val="00B967FF"/>
    <w:rsid w:val="00B974B9"/>
    <w:rsid w:val="00BA3F6D"/>
    <w:rsid w:val="00BA4BE6"/>
    <w:rsid w:val="00BA4FC0"/>
    <w:rsid w:val="00BA5439"/>
    <w:rsid w:val="00BA61E0"/>
    <w:rsid w:val="00BA7F7D"/>
    <w:rsid w:val="00BB1C14"/>
    <w:rsid w:val="00BB4CF4"/>
    <w:rsid w:val="00BB6847"/>
    <w:rsid w:val="00BB7F8F"/>
    <w:rsid w:val="00BC4501"/>
    <w:rsid w:val="00BC716A"/>
    <w:rsid w:val="00BD07DF"/>
    <w:rsid w:val="00BD26F4"/>
    <w:rsid w:val="00BD4090"/>
    <w:rsid w:val="00BD5DBD"/>
    <w:rsid w:val="00BD5DF6"/>
    <w:rsid w:val="00BE0041"/>
    <w:rsid w:val="00BE640F"/>
    <w:rsid w:val="00BF003B"/>
    <w:rsid w:val="00BF4638"/>
    <w:rsid w:val="00C018DE"/>
    <w:rsid w:val="00C059D0"/>
    <w:rsid w:val="00C07551"/>
    <w:rsid w:val="00C1109F"/>
    <w:rsid w:val="00C12D65"/>
    <w:rsid w:val="00C133AB"/>
    <w:rsid w:val="00C20B56"/>
    <w:rsid w:val="00C22214"/>
    <w:rsid w:val="00C26F72"/>
    <w:rsid w:val="00C309A7"/>
    <w:rsid w:val="00C335AB"/>
    <w:rsid w:val="00C4063E"/>
    <w:rsid w:val="00C407AB"/>
    <w:rsid w:val="00C52B7B"/>
    <w:rsid w:val="00C547CD"/>
    <w:rsid w:val="00C5610E"/>
    <w:rsid w:val="00C570FF"/>
    <w:rsid w:val="00C57CEA"/>
    <w:rsid w:val="00C60FEC"/>
    <w:rsid w:val="00C6574E"/>
    <w:rsid w:val="00C707FD"/>
    <w:rsid w:val="00C76DEB"/>
    <w:rsid w:val="00C816C6"/>
    <w:rsid w:val="00C863A7"/>
    <w:rsid w:val="00C90965"/>
    <w:rsid w:val="00C912F4"/>
    <w:rsid w:val="00C9156F"/>
    <w:rsid w:val="00C9581A"/>
    <w:rsid w:val="00C97D29"/>
    <w:rsid w:val="00CA047A"/>
    <w:rsid w:val="00CB0550"/>
    <w:rsid w:val="00CB6813"/>
    <w:rsid w:val="00CC2C48"/>
    <w:rsid w:val="00CE2477"/>
    <w:rsid w:val="00CF6A55"/>
    <w:rsid w:val="00CF6DC6"/>
    <w:rsid w:val="00CF6DCF"/>
    <w:rsid w:val="00D01DDB"/>
    <w:rsid w:val="00D078BE"/>
    <w:rsid w:val="00D13F8A"/>
    <w:rsid w:val="00D16F60"/>
    <w:rsid w:val="00D22981"/>
    <w:rsid w:val="00D3349B"/>
    <w:rsid w:val="00D424A8"/>
    <w:rsid w:val="00D56996"/>
    <w:rsid w:val="00D6036F"/>
    <w:rsid w:val="00D62877"/>
    <w:rsid w:val="00D63760"/>
    <w:rsid w:val="00D6703F"/>
    <w:rsid w:val="00D734EB"/>
    <w:rsid w:val="00D82713"/>
    <w:rsid w:val="00D86F00"/>
    <w:rsid w:val="00D918D5"/>
    <w:rsid w:val="00D92F3F"/>
    <w:rsid w:val="00D94C8E"/>
    <w:rsid w:val="00DA16FF"/>
    <w:rsid w:val="00DA54C7"/>
    <w:rsid w:val="00DB1372"/>
    <w:rsid w:val="00DB192C"/>
    <w:rsid w:val="00DB1CF3"/>
    <w:rsid w:val="00DB5425"/>
    <w:rsid w:val="00DB72A6"/>
    <w:rsid w:val="00DC6611"/>
    <w:rsid w:val="00DE1344"/>
    <w:rsid w:val="00DF5BFE"/>
    <w:rsid w:val="00E01E1E"/>
    <w:rsid w:val="00E0523F"/>
    <w:rsid w:val="00E23E50"/>
    <w:rsid w:val="00E26213"/>
    <w:rsid w:val="00E274DF"/>
    <w:rsid w:val="00E34D66"/>
    <w:rsid w:val="00E362C4"/>
    <w:rsid w:val="00E46CC2"/>
    <w:rsid w:val="00E47E0C"/>
    <w:rsid w:val="00E50AD7"/>
    <w:rsid w:val="00E51813"/>
    <w:rsid w:val="00E52C0B"/>
    <w:rsid w:val="00E53D3F"/>
    <w:rsid w:val="00E5579B"/>
    <w:rsid w:val="00E57FF4"/>
    <w:rsid w:val="00E679D1"/>
    <w:rsid w:val="00E67C1C"/>
    <w:rsid w:val="00E73288"/>
    <w:rsid w:val="00E8249C"/>
    <w:rsid w:val="00E91F11"/>
    <w:rsid w:val="00E9706D"/>
    <w:rsid w:val="00EA3AF4"/>
    <w:rsid w:val="00EC356B"/>
    <w:rsid w:val="00EF3F0B"/>
    <w:rsid w:val="00EF5583"/>
    <w:rsid w:val="00F0289D"/>
    <w:rsid w:val="00F02AEC"/>
    <w:rsid w:val="00F03629"/>
    <w:rsid w:val="00F07572"/>
    <w:rsid w:val="00F157FC"/>
    <w:rsid w:val="00F17D5F"/>
    <w:rsid w:val="00F30AF3"/>
    <w:rsid w:val="00F43CD1"/>
    <w:rsid w:val="00F45AE0"/>
    <w:rsid w:val="00F60CF2"/>
    <w:rsid w:val="00F657B4"/>
    <w:rsid w:val="00F67198"/>
    <w:rsid w:val="00F7649F"/>
    <w:rsid w:val="00F8083B"/>
    <w:rsid w:val="00F855B0"/>
    <w:rsid w:val="00F865A7"/>
    <w:rsid w:val="00FA0754"/>
    <w:rsid w:val="00FA0D66"/>
    <w:rsid w:val="00FA1BC9"/>
    <w:rsid w:val="00FA49C3"/>
    <w:rsid w:val="00FB236E"/>
    <w:rsid w:val="00FB3F7B"/>
    <w:rsid w:val="00FB4C2A"/>
    <w:rsid w:val="00FC2107"/>
    <w:rsid w:val="00FC48FE"/>
    <w:rsid w:val="00FC6F56"/>
    <w:rsid w:val="00FE087C"/>
    <w:rsid w:val="00FE79A0"/>
    <w:rsid w:val="00FF0939"/>
    <w:rsid w:val="00FF5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58049A"/>
    <w:pPr>
      <w:autoSpaceDE w:val="0"/>
      <w:autoSpaceDN w:val="0"/>
      <w:adjustRightInd w:val="0"/>
      <w:spacing w:after="0" w:line="240" w:lineRule="auto"/>
    </w:pPr>
    <w:rPr>
      <w:rFonts w:ascii="Cambria" w:hAnsi="Cambria" w:cs="Cambria"/>
      <w:color w:val="000000"/>
      <w:sz w:val="24"/>
      <w:szCs w:val="24"/>
    </w:rPr>
  </w:style>
  <w:style w:type="paragraph" w:customStyle="1" w:styleId="Tabletext0">
    <w:name w:val="Table text"/>
    <w:basedOn w:val="Normal"/>
    <w:link w:val="TabletextChar"/>
    <w:qFormat/>
    <w:rsid w:val="00CE2477"/>
    <w:pPr>
      <w:spacing w:before="120" w:line="240" w:lineRule="atLeast"/>
    </w:pPr>
    <w:rPr>
      <w:rFonts w:eastAsia="Cambria" w:cs="Times New Roman"/>
      <w:sz w:val="19"/>
      <w:szCs w:val="22"/>
    </w:rPr>
  </w:style>
  <w:style w:type="character" w:customStyle="1" w:styleId="TabletextChar">
    <w:name w:val="Table text Char"/>
    <w:basedOn w:val="DefaultParagraphFont"/>
    <w:link w:val="Tabletext0"/>
    <w:rsid w:val="00CE2477"/>
    <w:rPr>
      <w:rFonts w:ascii="Cambria" w:eastAsia="Cambria" w:hAnsi="Cambria" w:cs="Times New Roman"/>
      <w:sz w:val="19"/>
      <w:szCs w:val="22"/>
    </w:rPr>
  </w:style>
  <w:style w:type="character" w:customStyle="1" w:styleId="cf01">
    <w:name w:val="cf01"/>
    <w:basedOn w:val="DefaultParagraphFont"/>
    <w:rsid w:val="006B68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478">
      <w:bodyDiv w:val="1"/>
      <w:marLeft w:val="0"/>
      <w:marRight w:val="0"/>
      <w:marTop w:val="0"/>
      <w:marBottom w:val="0"/>
      <w:divBdr>
        <w:top w:val="none" w:sz="0" w:space="0" w:color="auto"/>
        <w:left w:val="none" w:sz="0" w:space="0" w:color="auto"/>
        <w:bottom w:val="none" w:sz="0" w:space="0" w:color="auto"/>
        <w:right w:val="none" w:sz="0" w:space="0" w:color="auto"/>
      </w:divBdr>
    </w:div>
    <w:div w:id="513688375">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971443845">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7393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 TargetMode="External"/><Relationship Id="rId18" Type="http://schemas.openxmlformats.org/officeDocument/2006/relationships/hyperlink" Target="https://www.tga.gov.au/how-we-regulate/supply-therapeutic-good-0/supply-prescription-medicine/application-process/prescription-medicines-registration-process" TargetMode="External"/><Relationship Id="rId26" Type="http://schemas.openxmlformats.org/officeDocument/2006/relationships/hyperlink" Target="https://www.tga.gov.au/products/australian-register-therapeutic-goods-artg/product-information-one" TargetMode="External"/><Relationship Id="rId3" Type="http://schemas.openxmlformats.org/officeDocument/2006/relationships/numbering" Target="numbering.xml"/><Relationship Id="rId21" Type="http://schemas.openxmlformats.org/officeDocument/2006/relationships/hyperlink" Target="https://www.tga.gov.au/tgas-risk-management-approach"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ga.gov.au/products/australian-register-therapeutic-goods-artg" TargetMode="External"/><Relationship Id="rId25" Type="http://schemas.openxmlformats.org/officeDocument/2006/relationships/hyperlink" Target="https://www.tga.gov.au/products/australian-register-therapeutic-goods-artg/product-information-one"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tga.gov.au/products/australian-register-therapeutic-goods-artg" TargetMode="External"/><Relationship Id="rId20" Type="http://schemas.openxmlformats.org/officeDocument/2006/relationships/hyperlink" Target="https://www.tga.gov.au/publication/risk-management-plans-medicines-and-biologica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tga.gov.au/committee/advisory-committee-medicines-acm" TargetMode="External"/><Relationship Id="rId32"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hyperlink" Target="https://www.tga.gov.au/resources/resource/guidance/risk-management-plans-medicines-and-biologicals/australia-specific-annex-eu-rmp" TargetMode="External"/><Relationship Id="rId28" Type="http://schemas.openxmlformats.org/officeDocument/2006/relationships/hyperlink" Target="https://www.tga.gov.au/picmi-search-facility"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s2step.com.au" TargetMode="External"/><Relationship Id="rId31" Type="http://schemas.openxmlformats.org/officeDocument/2006/relationships/hyperlink" Target="mailto:info@tga.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tga.gov.au/australian-public-assessment-report-auspar-guidance" TargetMode="External"/><Relationship Id="rId22" Type="http://schemas.openxmlformats.org/officeDocument/2006/relationships/hyperlink" Target="https://www.tga.gov.au/resources/resource/guidance/risk-management-plans-medicines-and-biologicals/australia-specific-annex-eu-rmp" TargetMode="External"/><Relationship Id="rId27" Type="http://schemas.openxmlformats.org/officeDocument/2006/relationships/hyperlink" Target="https://www.tga.gov.au/products/australian-register-therapeutic-goods-artg/consumer-medicines-information-cmi" TargetMode="External"/><Relationship Id="rId30" Type="http://schemas.openxmlformats.org/officeDocument/2006/relationships/footer" Target="footer3.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 P R O J E C T S ! 5 7 8 2 4 5 . 5 < / d o c u m e n t i d >  
     < s e n d e r i d > M E L I S S A . E L L I S @ C O M M E R C I A L E Y E S . C O M . A U < / s e n d e r i d >  
     < s e n d e r e m a i l > M E L I S S A . E L L I S @ C O M M E R C I A L E Y E S . C O M . A U < / s e n d e r e m a i l >  
     < l a s t m o d i f i e d > 2 0 2 4 - 0 2 - 1 4 T 1 2 : 2 7 : 0 0 . 0 0 0 0 0 0 0 + 1 1 : 0 0 < / l a s t m o d i f i e d >  
     < d a t a b a s e > P R O J E C T S 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93779-8EF6-4E2B-84DC-056F62E895D4}">
  <ds:schemaRefs>
    <ds:schemaRef ds:uri="http://www.imanage.com/work/xmlschema"/>
  </ds:schemaRefs>
</ds:datastoreItem>
</file>

<file path=customXml/itemProps2.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5057</Words>
  <Characters>29382</Characters>
  <Application>Microsoft Office Word</Application>
  <DocSecurity>0</DocSecurity>
  <Lines>816</Lines>
  <Paragraphs>366</Paragraphs>
  <ScaleCrop>false</ScaleCrop>
  <HeadingPairs>
    <vt:vector size="2" baseType="variant">
      <vt:variant>
        <vt:lpstr>Title</vt:lpstr>
      </vt:variant>
      <vt:variant>
        <vt:i4>1</vt:i4>
      </vt:variant>
    </vt:vector>
  </HeadingPairs>
  <TitlesOfParts>
    <vt:vector size="1" baseType="lpstr">
      <vt:lpstr>AusPAR MS-2 Step (composite pack)</vt:lpstr>
    </vt:vector>
  </TitlesOfParts>
  <Manager/>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MS-2 Step (composite pack)</dc:title>
  <dc:subject>prescription medicines</dc:subject>
  <dc:creator/>
  <cp:keywords/>
  <dc:description/>
  <cp:lastModifiedBy/>
  <cp:revision>1</cp:revision>
  <dcterms:created xsi:type="dcterms:W3CDTF">2024-02-14T19:33:00Z</dcterms:created>
  <dcterms:modified xsi:type="dcterms:W3CDTF">2024-02-14T19:59:00Z</dcterms:modified>
</cp:coreProperties>
</file>