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7C23E8" w14:paraId="08AE1D54" w14:textId="77777777" w:rsidTr="101C7A34">
        <w:trPr>
          <w:trHeight w:val="1558"/>
        </w:trPr>
        <w:tc>
          <w:tcPr>
            <w:tcW w:w="8720" w:type="dxa"/>
          </w:tcPr>
          <w:p w14:paraId="2538A211" w14:textId="45D5DA08" w:rsidR="00F02AEC" w:rsidRPr="007C23E8" w:rsidRDefault="00346EC2" w:rsidP="00D66C8F">
            <w:pPr>
              <w:pStyle w:val="Title"/>
            </w:pPr>
            <w:r>
              <w:t xml:space="preserve">Australian Public Assessment Report for </w:t>
            </w:r>
            <w:r w:rsidR="00CA3E1D">
              <w:t>Minjuvi</w:t>
            </w:r>
          </w:p>
        </w:tc>
      </w:tr>
      <w:tr w:rsidR="00F02AEC" w:rsidRPr="007C23E8" w14:paraId="318A40A3" w14:textId="77777777" w:rsidTr="101C7A34">
        <w:trPr>
          <w:trHeight w:val="995"/>
        </w:trPr>
        <w:tc>
          <w:tcPr>
            <w:tcW w:w="8720" w:type="dxa"/>
          </w:tcPr>
          <w:p w14:paraId="1AA7C701" w14:textId="36201E8D" w:rsidR="00F02AEC" w:rsidRPr="007C23E8" w:rsidRDefault="00346EC2" w:rsidP="007452E8">
            <w:pPr>
              <w:pStyle w:val="Subtitle"/>
              <w:ind w:left="0"/>
            </w:pPr>
            <w:r w:rsidRPr="007C23E8">
              <w:t xml:space="preserve">Active ingredient: </w:t>
            </w:r>
            <w:r w:rsidR="00CA3E1D" w:rsidRPr="007C23E8">
              <w:t>Tafasitamab</w:t>
            </w:r>
          </w:p>
        </w:tc>
      </w:tr>
      <w:tr w:rsidR="00346EC2" w:rsidRPr="007C23E8" w14:paraId="362CCAE4" w14:textId="77777777" w:rsidTr="101C7A34">
        <w:trPr>
          <w:trHeight w:val="1916"/>
        </w:trPr>
        <w:tc>
          <w:tcPr>
            <w:tcW w:w="8720" w:type="dxa"/>
          </w:tcPr>
          <w:p w14:paraId="709C45C0" w14:textId="212D1F3E" w:rsidR="00346EC2" w:rsidRPr="007C23E8" w:rsidRDefault="00346EC2" w:rsidP="007452E8">
            <w:pPr>
              <w:pStyle w:val="Subtitle"/>
              <w:ind w:left="0"/>
            </w:pPr>
            <w:r w:rsidRPr="007C23E8">
              <w:t xml:space="preserve">Sponsor: </w:t>
            </w:r>
            <w:r w:rsidR="00CA3E1D" w:rsidRPr="007C23E8">
              <w:t>Specialised Therapeutics Alim Pty Ltd</w:t>
            </w:r>
          </w:p>
        </w:tc>
      </w:tr>
      <w:tr w:rsidR="00F02AEC" w:rsidRPr="007C23E8" w14:paraId="37F2AA1F" w14:textId="77777777" w:rsidTr="101C7A34">
        <w:tc>
          <w:tcPr>
            <w:tcW w:w="8720" w:type="dxa"/>
          </w:tcPr>
          <w:p w14:paraId="1FDE8DCD" w14:textId="386B7FEB" w:rsidR="00F02AEC" w:rsidRPr="007C23E8" w:rsidRDefault="001A6A66" w:rsidP="007452E8">
            <w:pPr>
              <w:pStyle w:val="Date"/>
            </w:pPr>
            <w:r>
              <w:t>January 2024</w:t>
            </w:r>
          </w:p>
        </w:tc>
      </w:tr>
    </w:tbl>
    <w:p w14:paraId="73752706" w14:textId="77777777" w:rsidR="00F02AEC" w:rsidRPr="007C23E8" w:rsidRDefault="00F02AEC" w:rsidP="007452E8">
      <w:pPr>
        <w:pStyle w:val="ListBullet"/>
        <w:numPr>
          <w:ilvl w:val="0"/>
          <w:numId w:val="0"/>
        </w:numPr>
        <w:sectPr w:rsidR="00F02AEC" w:rsidRPr="007C23E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7C23E8" w:rsidRDefault="00346EC2" w:rsidP="00346EC2">
      <w:pPr>
        <w:pStyle w:val="NonTOCHeading20"/>
      </w:pPr>
      <w:r w:rsidRPr="007C23E8">
        <w:lastRenderedPageBreak/>
        <w:t>About the Therapeutic Goods Administration (TGA)</w:t>
      </w:r>
    </w:p>
    <w:p w14:paraId="79558AE9" w14:textId="77777777" w:rsidR="00346EC2" w:rsidRPr="007C23E8" w:rsidRDefault="00346EC2" w:rsidP="0056766D">
      <w:pPr>
        <w:pStyle w:val="ListBullet"/>
      </w:pPr>
      <w:r w:rsidRPr="007C23E8">
        <w:t>The Therapeutic Goods Administration (TGA) is part of the Australian Government Department of Health and Aged Care and is responsible for regulating therapeutic goods, including medicines, medical devices, and biologicals.</w:t>
      </w:r>
    </w:p>
    <w:p w14:paraId="61BEFDB6" w14:textId="77777777" w:rsidR="00346EC2" w:rsidRPr="007C23E8" w:rsidRDefault="00346EC2" w:rsidP="00346EC2">
      <w:pPr>
        <w:pStyle w:val="ListBullet"/>
      </w:pPr>
      <w:r w:rsidRPr="007C23E8">
        <w:t xml:space="preserve">The TGA administers the </w:t>
      </w:r>
      <w:r w:rsidRPr="007C23E8">
        <w:rPr>
          <w:i/>
          <w:iCs/>
        </w:rPr>
        <w:t>Therapeutic Goods Act 1989</w:t>
      </w:r>
      <w:r w:rsidRPr="007C23E8">
        <w:t xml:space="preserve"> (the Act), applying a risk management approach designed to ensure therapeutic goods supplied in Australia meet acceptable standards of quality, safety, and efficacy.</w:t>
      </w:r>
    </w:p>
    <w:p w14:paraId="77180CB3" w14:textId="77777777" w:rsidR="00346EC2" w:rsidRPr="007C23E8" w:rsidRDefault="00346EC2" w:rsidP="00346EC2">
      <w:pPr>
        <w:pStyle w:val="ListBullet"/>
      </w:pPr>
      <w:r w:rsidRPr="007C23E8">
        <w:t>The work of the TGA is based on applying scientific and clinical expertise to decision-making, to ensure that the benefits to the Australian public outweigh any risks associated with the use of therapeutic goods.</w:t>
      </w:r>
    </w:p>
    <w:p w14:paraId="70AC2A35" w14:textId="77777777" w:rsidR="00346EC2" w:rsidRPr="007C23E8" w:rsidRDefault="00346EC2" w:rsidP="00346EC2">
      <w:pPr>
        <w:pStyle w:val="ListBullet"/>
      </w:pPr>
      <w:r w:rsidRPr="007C23E8">
        <w:t>The TGA relies on the public, healthcare professionals and industry to report problems with therapeutic goods. The TGA investigates reports received to determine any necessary regulatory action.</w:t>
      </w:r>
    </w:p>
    <w:p w14:paraId="17DC24C6" w14:textId="60DCC923" w:rsidR="00346EC2" w:rsidRPr="007C23E8" w:rsidRDefault="00346EC2" w:rsidP="00346EC2">
      <w:pPr>
        <w:pStyle w:val="ListBullet"/>
      </w:pPr>
      <w:r w:rsidRPr="007C23E8">
        <w:t xml:space="preserve">To report a problem with a therapeutic good, please see the information on the </w:t>
      </w:r>
      <w:hyperlink r:id="rId15" w:history="1">
        <w:r w:rsidRPr="007C23E8">
          <w:rPr>
            <w:rStyle w:val="Hyperlink"/>
          </w:rPr>
          <w:t>TGA website</w:t>
        </w:r>
      </w:hyperlink>
      <w:r w:rsidRPr="007C23E8">
        <w:t>.</w:t>
      </w:r>
    </w:p>
    <w:p w14:paraId="737B7A99" w14:textId="77777777" w:rsidR="00346EC2" w:rsidRPr="007C23E8" w:rsidRDefault="00346EC2" w:rsidP="00346EC2">
      <w:pPr>
        <w:pStyle w:val="NonTOCHeading20"/>
      </w:pPr>
      <w:r w:rsidRPr="007C23E8">
        <w:t>About AusPARs</w:t>
      </w:r>
    </w:p>
    <w:p w14:paraId="631B2209" w14:textId="24CA24D9" w:rsidR="00346EC2" w:rsidRPr="007C23E8" w:rsidRDefault="00346EC2" w:rsidP="00346EC2">
      <w:pPr>
        <w:pStyle w:val="ListBullet"/>
      </w:pPr>
      <w:r w:rsidRPr="007C23E8">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6" w:history="1">
        <w:r w:rsidRPr="007C23E8">
          <w:rPr>
            <w:rStyle w:val="Hyperlink"/>
          </w:rPr>
          <w:t>Australian Public Assessment Report (AusPAR) guidance</w:t>
        </w:r>
      </w:hyperlink>
      <w:r w:rsidRPr="007C23E8">
        <w:t>.</w:t>
      </w:r>
    </w:p>
    <w:p w14:paraId="22F5A730" w14:textId="77777777" w:rsidR="00346EC2" w:rsidRPr="007C23E8" w:rsidRDefault="00346EC2" w:rsidP="00346EC2">
      <w:pPr>
        <w:pStyle w:val="ListBullet"/>
      </w:pPr>
      <w:r w:rsidRPr="007C23E8">
        <w:t>AusPARs are prepared and published by the TGA.</w:t>
      </w:r>
    </w:p>
    <w:p w14:paraId="451B8FD7" w14:textId="77777777" w:rsidR="00346EC2" w:rsidRPr="007C23E8" w:rsidRDefault="00346EC2" w:rsidP="00346EC2">
      <w:pPr>
        <w:pStyle w:val="ListBullet"/>
      </w:pPr>
      <w:r w:rsidRPr="007C23E8">
        <w:t>AusPARs are static documents that provide information that relates to a submission at a particular point in time. The publication of an AusPAR is an important part of the transparency of the TGA’s decision-making process.</w:t>
      </w:r>
    </w:p>
    <w:p w14:paraId="4D69F5CF" w14:textId="77777777" w:rsidR="00346EC2" w:rsidRPr="007C23E8" w:rsidRDefault="00346EC2" w:rsidP="00346EC2">
      <w:pPr>
        <w:pStyle w:val="ListBullet"/>
      </w:pPr>
      <w:r w:rsidRPr="007C23E8">
        <w:t>A new AusPAR may be provided to reflect changes to indications or major variations to a prescription medicine subject to evaluation by the TGA.</w:t>
      </w:r>
    </w:p>
    <w:p w14:paraId="7067011F" w14:textId="510D5C5C" w:rsidR="00F02AEC" w:rsidRPr="007C23E8" w:rsidRDefault="00F02AEC" w:rsidP="00FE087C">
      <w:pPr>
        <w:pStyle w:val="LegalSubheading"/>
        <w:spacing w:before="3600"/>
      </w:pPr>
      <w:r w:rsidRPr="007C23E8">
        <w:t>Copyright</w:t>
      </w:r>
    </w:p>
    <w:p w14:paraId="170A8A5D" w14:textId="06270538" w:rsidR="00175CD8" w:rsidRPr="007C23E8" w:rsidRDefault="00F02AEC" w:rsidP="00346EC2">
      <w:pPr>
        <w:pStyle w:val="LegalCopy"/>
        <w:rPr>
          <w:rFonts w:cs="Arial"/>
        </w:rPr>
      </w:pPr>
      <w:r w:rsidRPr="007C23E8">
        <w:rPr>
          <w:rFonts w:cs="Arial"/>
        </w:rPr>
        <w:t>© Commonwealth of Australia 202</w:t>
      </w:r>
      <w:r w:rsidR="001A6A66">
        <w:rPr>
          <w:rFonts w:cs="Arial"/>
        </w:rPr>
        <w:t>4</w:t>
      </w:r>
      <w:r w:rsidRPr="007C23E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7C23E8">
        <w:rPr>
          <w:rFonts w:cs="Arial"/>
          <w:i/>
        </w:rPr>
        <w:t>Copyright Act 1968</w:t>
      </w:r>
      <w:r w:rsidRPr="007C23E8">
        <w:rPr>
          <w:rFonts w:cs="Arial"/>
        </w:rPr>
        <w:t xml:space="preserve"> or allowed by this copyright notice, all other rights are </w:t>
      </w:r>
      <w:proofErr w:type="gramStart"/>
      <w:r w:rsidRPr="007C23E8">
        <w:rPr>
          <w:rFonts w:cs="Arial"/>
        </w:rPr>
        <w:t>reserved</w:t>
      </w:r>
      <w:proofErr w:type="gramEnd"/>
      <w:r w:rsidRPr="007C23E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7C23E8">
          <w:rPr>
            <w:rStyle w:val="Hyperlink"/>
            <w:rFonts w:cs="Arial"/>
          </w:rPr>
          <w:t>tga.copyright@tga.gov.au</w:t>
        </w:r>
      </w:hyperlink>
      <w:r w:rsidRPr="007C23E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7C23E8" w:rsidRDefault="00F02AEC" w:rsidP="007452E8">
          <w:pPr>
            <w:pStyle w:val="NonTOCheading2"/>
          </w:pPr>
          <w:r w:rsidRPr="007C23E8">
            <w:t>Contents</w:t>
          </w:r>
        </w:p>
        <w:p w14:paraId="7620C19C" w14:textId="65DFAFC8" w:rsidR="0062128D" w:rsidRDefault="00F02AEC">
          <w:pPr>
            <w:pStyle w:val="TOC1"/>
            <w:rPr>
              <w:rFonts w:asciiTheme="minorHAnsi" w:eastAsiaTheme="minorEastAsia" w:hAnsiTheme="minorHAnsi" w:cstheme="minorBidi"/>
              <w:b w:val="0"/>
              <w:noProof/>
              <w:color w:val="auto"/>
              <w:sz w:val="22"/>
              <w:szCs w:val="22"/>
              <w:lang w:eastAsia="en-AU"/>
            </w:rPr>
          </w:pPr>
          <w:r w:rsidRPr="007C23E8">
            <w:fldChar w:fldCharType="begin"/>
          </w:r>
          <w:r w:rsidRPr="007C23E8">
            <w:instrText xml:space="preserve"> TOC \h \z \u \t "Heading 2,1,Heading 3,2,Heading 4,3" </w:instrText>
          </w:r>
          <w:r w:rsidRPr="007C23E8">
            <w:fldChar w:fldCharType="separate"/>
          </w:r>
          <w:hyperlink w:anchor="_Toc153375866" w:history="1">
            <w:r w:rsidR="0062128D" w:rsidRPr="00D46538">
              <w:rPr>
                <w:rStyle w:val="Hyperlink"/>
                <w:noProof/>
              </w:rPr>
              <w:t>List of abbreviations</w:t>
            </w:r>
            <w:r w:rsidR="0062128D">
              <w:rPr>
                <w:noProof/>
                <w:webHidden/>
              </w:rPr>
              <w:tab/>
            </w:r>
            <w:r w:rsidR="0062128D">
              <w:rPr>
                <w:noProof/>
                <w:webHidden/>
              </w:rPr>
              <w:fldChar w:fldCharType="begin"/>
            </w:r>
            <w:r w:rsidR="0062128D">
              <w:rPr>
                <w:noProof/>
                <w:webHidden/>
              </w:rPr>
              <w:instrText xml:space="preserve"> PAGEREF _Toc153375866 \h </w:instrText>
            </w:r>
            <w:r w:rsidR="0062128D">
              <w:rPr>
                <w:noProof/>
                <w:webHidden/>
              </w:rPr>
            </w:r>
            <w:r w:rsidR="0062128D">
              <w:rPr>
                <w:noProof/>
                <w:webHidden/>
              </w:rPr>
              <w:fldChar w:fldCharType="separate"/>
            </w:r>
            <w:r w:rsidR="0062128D">
              <w:rPr>
                <w:noProof/>
                <w:webHidden/>
              </w:rPr>
              <w:t>4</w:t>
            </w:r>
            <w:r w:rsidR="0062128D">
              <w:rPr>
                <w:noProof/>
                <w:webHidden/>
              </w:rPr>
              <w:fldChar w:fldCharType="end"/>
            </w:r>
          </w:hyperlink>
        </w:p>
        <w:p w14:paraId="61B082D1" w14:textId="1EAD62C0" w:rsidR="0062128D" w:rsidRDefault="00FE077F">
          <w:pPr>
            <w:pStyle w:val="TOC1"/>
            <w:rPr>
              <w:rFonts w:asciiTheme="minorHAnsi" w:eastAsiaTheme="minorEastAsia" w:hAnsiTheme="minorHAnsi" w:cstheme="minorBidi"/>
              <w:b w:val="0"/>
              <w:noProof/>
              <w:color w:val="auto"/>
              <w:sz w:val="22"/>
              <w:szCs w:val="22"/>
              <w:lang w:eastAsia="en-AU"/>
            </w:rPr>
          </w:pPr>
          <w:hyperlink w:anchor="_Toc153375867" w:history="1">
            <w:r w:rsidR="0062128D" w:rsidRPr="00D46538">
              <w:rPr>
                <w:rStyle w:val="Hyperlink"/>
                <w:noProof/>
              </w:rPr>
              <w:t>Product submission</w:t>
            </w:r>
            <w:r w:rsidR="0062128D">
              <w:rPr>
                <w:noProof/>
                <w:webHidden/>
              </w:rPr>
              <w:tab/>
            </w:r>
            <w:r w:rsidR="0062128D">
              <w:rPr>
                <w:noProof/>
                <w:webHidden/>
              </w:rPr>
              <w:fldChar w:fldCharType="begin"/>
            </w:r>
            <w:r w:rsidR="0062128D">
              <w:rPr>
                <w:noProof/>
                <w:webHidden/>
              </w:rPr>
              <w:instrText xml:space="preserve"> PAGEREF _Toc153375867 \h </w:instrText>
            </w:r>
            <w:r w:rsidR="0062128D">
              <w:rPr>
                <w:noProof/>
                <w:webHidden/>
              </w:rPr>
            </w:r>
            <w:r w:rsidR="0062128D">
              <w:rPr>
                <w:noProof/>
                <w:webHidden/>
              </w:rPr>
              <w:fldChar w:fldCharType="separate"/>
            </w:r>
            <w:r w:rsidR="0062128D">
              <w:rPr>
                <w:noProof/>
                <w:webHidden/>
              </w:rPr>
              <w:t>5</w:t>
            </w:r>
            <w:r w:rsidR="0062128D">
              <w:rPr>
                <w:noProof/>
                <w:webHidden/>
              </w:rPr>
              <w:fldChar w:fldCharType="end"/>
            </w:r>
          </w:hyperlink>
        </w:p>
        <w:p w14:paraId="4B978396" w14:textId="3B29788D" w:rsidR="0062128D" w:rsidRDefault="00FE077F">
          <w:pPr>
            <w:pStyle w:val="TOC2"/>
            <w:rPr>
              <w:rFonts w:asciiTheme="minorHAnsi" w:eastAsiaTheme="minorEastAsia" w:hAnsiTheme="minorHAnsi" w:cstheme="minorBidi"/>
              <w:b w:val="0"/>
              <w:noProof/>
              <w:color w:val="auto"/>
              <w:sz w:val="22"/>
              <w:szCs w:val="22"/>
              <w:lang w:eastAsia="en-AU"/>
            </w:rPr>
          </w:pPr>
          <w:hyperlink w:anchor="_Toc153375868" w:history="1">
            <w:r w:rsidR="0062128D" w:rsidRPr="00D46538">
              <w:rPr>
                <w:rStyle w:val="Hyperlink"/>
                <w:noProof/>
                <w:lang w:eastAsia="en-AU"/>
              </w:rPr>
              <w:t>Submission details</w:t>
            </w:r>
            <w:r w:rsidR="0062128D">
              <w:rPr>
                <w:noProof/>
                <w:webHidden/>
              </w:rPr>
              <w:tab/>
            </w:r>
            <w:r w:rsidR="0062128D">
              <w:rPr>
                <w:noProof/>
                <w:webHidden/>
              </w:rPr>
              <w:fldChar w:fldCharType="begin"/>
            </w:r>
            <w:r w:rsidR="0062128D">
              <w:rPr>
                <w:noProof/>
                <w:webHidden/>
              </w:rPr>
              <w:instrText xml:space="preserve"> PAGEREF _Toc153375868 \h </w:instrText>
            </w:r>
            <w:r w:rsidR="0062128D">
              <w:rPr>
                <w:noProof/>
                <w:webHidden/>
              </w:rPr>
            </w:r>
            <w:r w:rsidR="0062128D">
              <w:rPr>
                <w:noProof/>
                <w:webHidden/>
              </w:rPr>
              <w:fldChar w:fldCharType="separate"/>
            </w:r>
            <w:r w:rsidR="0062128D">
              <w:rPr>
                <w:noProof/>
                <w:webHidden/>
              </w:rPr>
              <w:t>5</w:t>
            </w:r>
            <w:r w:rsidR="0062128D">
              <w:rPr>
                <w:noProof/>
                <w:webHidden/>
              </w:rPr>
              <w:fldChar w:fldCharType="end"/>
            </w:r>
          </w:hyperlink>
        </w:p>
        <w:p w14:paraId="0E9FEE68" w14:textId="1F3C1474" w:rsidR="0062128D" w:rsidRDefault="00FE077F">
          <w:pPr>
            <w:pStyle w:val="TOC2"/>
            <w:rPr>
              <w:rFonts w:asciiTheme="minorHAnsi" w:eastAsiaTheme="minorEastAsia" w:hAnsiTheme="minorHAnsi" w:cstheme="minorBidi"/>
              <w:b w:val="0"/>
              <w:noProof/>
              <w:color w:val="auto"/>
              <w:sz w:val="22"/>
              <w:szCs w:val="22"/>
              <w:lang w:eastAsia="en-AU"/>
            </w:rPr>
          </w:pPr>
          <w:hyperlink w:anchor="_Toc153375869" w:history="1">
            <w:r w:rsidR="0062128D" w:rsidRPr="00D46538">
              <w:rPr>
                <w:rStyle w:val="Hyperlink"/>
                <w:noProof/>
              </w:rPr>
              <w:t>Product background</w:t>
            </w:r>
            <w:r w:rsidR="0062128D">
              <w:rPr>
                <w:noProof/>
                <w:webHidden/>
              </w:rPr>
              <w:tab/>
            </w:r>
            <w:r w:rsidR="0062128D">
              <w:rPr>
                <w:noProof/>
                <w:webHidden/>
              </w:rPr>
              <w:fldChar w:fldCharType="begin"/>
            </w:r>
            <w:r w:rsidR="0062128D">
              <w:rPr>
                <w:noProof/>
                <w:webHidden/>
              </w:rPr>
              <w:instrText xml:space="preserve"> PAGEREF _Toc153375869 \h </w:instrText>
            </w:r>
            <w:r w:rsidR="0062128D">
              <w:rPr>
                <w:noProof/>
                <w:webHidden/>
              </w:rPr>
            </w:r>
            <w:r w:rsidR="0062128D">
              <w:rPr>
                <w:noProof/>
                <w:webHidden/>
              </w:rPr>
              <w:fldChar w:fldCharType="separate"/>
            </w:r>
            <w:r w:rsidR="0062128D">
              <w:rPr>
                <w:noProof/>
                <w:webHidden/>
              </w:rPr>
              <w:t>6</w:t>
            </w:r>
            <w:r w:rsidR="0062128D">
              <w:rPr>
                <w:noProof/>
                <w:webHidden/>
              </w:rPr>
              <w:fldChar w:fldCharType="end"/>
            </w:r>
          </w:hyperlink>
        </w:p>
        <w:p w14:paraId="2889C840" w14:textId="67A57AF6" w:rsidR="0062128D" w:rsidRDefault="00FE077F">
          <w:pPr>
            <w:pStyle w:val="TOC3"/>
            <w:rPr>
              <w:rFonts w:asciiTheme="minorHAnsi" w:eastAsiaTheme="minorEastAsia" w:hAnsiTheme="minorHAnsi" w:cstheme="minorBidi"/>
              <w:b w:val="0"/>
              <w:noProof/>
              <w:color w:val="auto"/>
              <w:szCs w:val="22"/>
              <w:lang w:eastAsia="en-AU"/>
            </w:rPr>
          </w:pPr>
          <w:hyperlink w:anchor="_Toc153375870" w:history="1">
            <w:r w:rsidR="0062128D" w:rsidRPr="00D46538">
              <w:rPr>
                <w:rStyle w:val="Hyperlink"/>
                <w:noProof/>
              </w:rPr>
              <w:t>The disease</w:t>
            </w:r>
            <w:r w:rsidR="0062128D">
              <w:rPr>
                <w:noProof/>
                <w:webHidden/>
              </w:rPr>
              <w:tab/>
            </w:r>
            <w:r w:rsidR="0062128D">
              <w:rPr>
                <w:noProof/>
                <w:webHidden/>
              </w:rPr>
              <w:fldChar w:fldCharType="begin"/>
            </w:r>
            <w:r w:rsidR="0062128D">
              <w:rPr>
                <w:noProof/>
                <w:webHidden/>
              </w:rPr>
              <w:instrText xml:space="preserve"> PAGEREF _Toc153375870 \h </w:instrText>
            </w:r>
            <w:r w:rsidR="0062128D">
              <w:rPr>
                <w:noProof/>
                <w:webHidden/>
              </w:rPr>
            </w:r>
            <w:r w:rsidR="0062128D">
              <w:rPr>
                <w:noProof/>
                <w:webHidden/>
              </w:rPr>
              <w:fldChar w:fldCharType="separate"/>
            </w:r>
            <w:r w:rsidR="0062128D">
              <w:rPr>
                <w:noProof/>
                <w:webHidden/>
              </w:rPr>
              <w:t>6</w:t>
            </w:r>
            <w:r w:rsidR="0062128D">
              <w:rPr>
                <w:noProof/>
                <w:webHidden/>
              </w:rPr>
              <w:fldChar w:fldCharType="end"/>
            </w:r>
          </w:hyperlink>
        </w:p>
        <w:p w14:paraId="48D40921" w14:textId="5159629B" w:rsidR="0062128D" w:rsidRDefault="00FE077F">
          <w:pPr>
            <w:pStyle w:val="TOC3"/>
            <w:rPr>
              <w:rFonts w:asciiTheme="minorHAnsi" w:eastAsiaTheme="minorEastAsia" w:hAnsiTheme="minorHAnsi" w:cstheme="minorBidi"/>
              <w:b w:val="0"/>
              <w:noProof/>
              <w:color w:val="auto"/>
              <w:szCs w:val="22"/>
              <w:lang w:eastAsia="en-AU"/>
            </w:rPr>
          </w:pPr>
          <w:hyperlink w:anchor="_Toc153375871" w:history="1">
            <w:r w:rsidR="0062128D" w:rsidRPr="00D46538">
              <w:rPr>
                <w:rStyle w:val="Hyperlink"/>
                <w:noProof/>
              </w:rPr>
              <w:t>Current treatment options</w:t>
            </w:r>
            <w:r w:rsidR="0062128D">
              <w:rPr>
                <w:noProof/>
                <w:webHidden/>
              </w:rPr>
              <w:tab/>
            </w:r>
            <w:r w:rsidR="0062128D">
              <w:rPr>
                <w:noProof/>
                <w:webHidden/>
              </w:rPr>
              <w:fldChar w:fldCharType="begin"/>
            </w:r>
            <w:r w:rsidR="0062128D">
              <w:rPr>
                <w:noProof/>
                <w:webHidden/>
              </w:rPr>
              <w:instrText xml:space="preserve"> PAGEREF _Toc153375871 \h </w:instrText>
            </w:r>
            <w:r w:rsidR="0062128D">
              <w:rPr>
                <w:noProof/>
                <w:webHidden/>
              </w:rPr>
            </w:r>
            <w:r w:rsidR="0062128D">
              <w:rPr>
                <w:noProof/>
                <w:webHidden/>
              </w:rPr>
              <w:fldChar w:fldCharType="separate"/>
            </w:r>
            <w:r w:rsidR="0062128D">
              <w:rPr>
                <w:noProof/>
                <w:webHidden/>
              </w:rPr>
              <w:t>7</w:t>
            </w:r>
            <w:r w:rsidR="0062128D">
              <w:rPr>
                <w:noProof/>
                <w:webHidden/>
              </w:rPr>
              <w:fldChar w:fldCharType="end"/>
            </w:r>
          </w:hyperlink>
        </w:p>
        <w:p w14:paraId="096F1494" w14:textId="1A190C5E" w:rsidR="0062128D" w:rsidRDefault="00FE077F">
          <w:pPr>
            <w:pStyle w:val="TOC3"/>
            <w:rPr>
              <w:rFonts w:asciiTheme="minorHAnsi" w:eastAsiaTheme="minorEastAsia" w:hAnsiTheme="minorHAnsi" w:cstheme="minorBidi"/>
              <w:b w:val="0"/>
              <w:noProof/>
              <w:color w:val="auto"/>
              <w:szCs w:val="22"/>
              <w:lang w:eastAsia="en-AU"/>
            </w:rPr>
          </w:pPr>
          <w:hyperlink w:anchor="_Toc153375872" w:history="1">
            <w:r w:rsidR="0062128D" w:rsidRPr="00D46538">
              <w:rPr>
                <w:rStyle w:val="Hyperlink"/>
                <w:noProof/>
              </w:rPr>
              <w:t>Clinical rationale</w:t>
            </w:r>
            <w:r w:rsidR="0062128D">
              <w:rPr>
                <w:noProof/>
                <w:webHidden/>
              </w:rPr>
              <w:tab/>
            </w:r>
            <w:r w:rsidR="0062128D">
              <w:rPr>
                <w:noProof/>
                <w:webHidden/>
              </w:rPr>
              <w:fldChar w:fldCharType="begin"/>
            </w:r>
            <w:r w:rsidR="0062128D">
              <w:rPr>
                <w:noProof/>
                <w:webHidden/>
              </w:rPr>
              <w:instrText xml:space="preserve"> PAGEREF _Toc153375872 \h </w:instrText>
            </w:r>
            <w:r w:rsidR="0062128D">
              <w:rPr>
                <w:noProof/>
                <w:webHidden/>
              </w:rPr>
            </w:r>
            <w:r w:rsidR="0062128D">
              <w:rPr>
                <w:noProof/>
                <w:webHidden/>
              </w:rPr>
              <w:fldChar w:fldCharType="separate"/>
            </w:r>
            <w:r w:rsidR="0062128D">
              <w:rPr>
                <w:noProof/>
                <w:webHidden/>
              </w:rPr>
              <w:t>7</w:t>
            </w:r>
            <w:r w:rsidR="0062128D">
              <w:rPr>
                <w:noProof/>
                <w:webHidden/>
              </w:rPr>
              <w:fldChar w:fldCharType="end"/>
            </w:r>
          </w:hyperlink>
        </w:p>
        <w:p w14:paraId="0575203A" w14:textId="7CAECD9B" w:rsidR="0062128D" w:rsidRDefault="00FE077F">
          <w:pPr>
            <w:pStyle w:val="TOC2"/>
            <w:rPr>
              <w:rFonts w:asciiTheme="minorHAnsi" w:eastAsiaTheme="minorEastAsia" w:hAnsiTheme="minorHAnsi" w:cstheme="minorBidi"/>
              <w:b w:val="0"/>
              <w:noProof/>
              <w:color w:val="auto"/>
              <w:sz w:val="22"/>
              <w:szCs w:val="22"/>
              <w:lang w:eastAsia="en-AU"/>
            </w:rPr>
          </w:pPr>
          <w:hyperlink w:anchor="_Toc153375873" w:history="1">
            <w:r w:rsidR="0062128D" w:rsidRPr="00D46538">
              <w:rPr>
                <w:rStyle w:val="Hyperlink"/>
                <w:noProof/>
              </w:rPr>
              <w:t>Regulatory status</w:t>
            </w:r>
            <w:r w:rsidR="0062128D">
              <w:rPr>
                <w:noProof/>
                <w:webHidden/>
              </w:rPr>
              <w:tab/>
            </w:r>
            <w:r w:rsidR="0062128D">
              <w:rPr>
                <w:noProof/>
                <w:webHidden/>
              </w:rPr>
              <w:fldChar w:fldCharType="begin"/>
            </w:r>
            <w:r w:rsidR="0062128D">
              <w:rPr>
                <w:noProof/>
                <w:webHidden/>
              </w:rPr>
              <w:instrText xml:space="preserve"> PAGEREF _Toc153375873 \h </w:instrText>
            </w:r>
            <w:r w:rsidR="0062128D">
              <w:rPr>
                <w:noProof/>
                <w:webHidden/>
              </w:rPr>
            </w:r>
            <w:r w:rsidR="0062128D">
              <w:rPr>
                <w:noProof/>
                <w:webHidden/>
              </w:rPr>
              <w:fldChar w:fldCharType="separate"/>
            </w:r>
            <w:r w:rsidR="0062128D">
              <w:rPr>
                <w:noProof/>
                <w:webHidden/>
              </w:rPr>
              <w:t>8</w:t>
            </w:r>
            <w:r w:rsidR="0062128D">
              <w:rPr>
                <w:noProof/>
                <w:webHidden/>
              </w:rPr>
              <w:fldChar w:fldCharType="end"/>
            </w:r>
          </w:hyperlink>
        </w:p>
        <w:p w14:paraId="7961F5DB" w14:textId="25C8E719" w:rsidR="0062128D" w:rsidRDefault="00FE077F">
          <w:pPr>
            <w:pStyle w:val="TOC3"/>
            <w:rPr>
              <w:rFonts w:asciiTheme="minorHAnsi" w:eastAsiaTheme="minorEastAsia" w:hAnsiTheme="minorHAnsi" w:cstheme="minorBidi"/>
              <w:b w:val="0"/>
              <w:noProof/>
              <w:color w:val="auto"/>
              <w:szCs w:val="22"/>
              <w:lang w:eastAsia="en-AU"/>
            </w:rPr>
          </w:pPr>
          <w:hyperlink w:anchor="_Toc153375874" w:history="1">
            <w:r w:rsidR="0062128D" w:rsidRPr="00D46538">
              <w:rPr>
                <w:rStyle w:val="Hyperlink"/>
                <w:noProof/>
              </w:rPr>
              <w:t>Australian regulatory status</w:t>
            </w:r>
            <w:r w:rsidR="0062128D">
              <w:rPr>
                <w:noProof/>
                <w:webHidden/>
              </w:rPr>
              <w:tab/>
            </w:r>
            <w:r w:rsidR="0062128D">
              <w:rPr>
                <w:noProof/>
                <w:webHidden/>
              </w:rPr>
              <w:fldChar w:fldCharType="begin"/>
            </w:r>
            <w:r w:rsidR="0062128D">
              <w:rPr>
                <w:noProof/>
                <w:webHidden/>
              </w:rPr>
              <w:instrText xml:space="preserve"> PAGEREF _Toc153375874 \h </w:instrText>
            </w:r>
            <w:r w:rsidR="0062128D">
              <w:rPr>
                <w:noProof/>
                <w:webHidden/>
              </w:rPr>
            </w:r>
            <w:r w:rsidR="0062128D">
              <w:rPr>
                <w:noProof/>
                <w:webHidden/>
              </w:rPr>
              <w:fldChar w:fldCharType="separate"/>
            </w:r>
            <w:r w:rsidR="0062128D">
              <w:rPr>
                <w:noProof/>
                <w:webHidden/>
              </w:rPr>
              <w:t>8</w:t>
            </w:r>
            <w:r w:rsidR="0062128D">
              <w:rPr>
                <w:noProof/>
                <w:webHidden/>
              </w:rPr>
              <w:fldChar w:fldCharType="end"/>
            </w:r>
          </w:hyperlink>
        </w:p>
        <w:p w14:paraId="3E21D9E1" w14:textId="1C415F9F" w:rsidR="0062128D" w:rsidRDefault="00FE077F">
          <w:pPr>
            <w:pStyle w:val="TOC3"/>
            <w:rPr>
              <w:rFonts w:asciiTheme="minorHAnsi" w:eastAsiaTheme="minorEastAsia" w:hAnsiTheme="minorHAnsi" w:cstheme="minorBidi"/>
              <w:b w:val="0"/>
              <w:noProof/>
              <w:color w:val="auto"/>
              <w:szCs w:val="22"/>
              <w:lang w:eastAsia="en-AU"/>
            </w:rPr>
          </w:pPr>
          <w:hyperlink w:anchor="_Toc153375875" w:history="1">
            <w:r w:rsidR="0062128D" w:rsidRPr="00D46538">
              <w:rPr>
                <w:rStyle w:val="Hyperlink"/>
                <w:noProof/>
              </w:rPr>
              <w:t>Foreign regulatory status</w:t>
            </w:r>
            <w:r w:rsidR="0062128D">
              <w:rPr>
                <w:noProof/>
                <w:webHidden/>
              </w:rPr>
              <w:tab/>
            </w:r>
            <w:r w:rsidR="0062128D">
              <w:rPr>
                <w:noProof/>
                <w:webHidden/>
              </w:rPr>
              <w:fldChar w:fldCharType="begin"/>
            </w:r>
            <w:r w:rsidR="0062128D">
              <w:rPr>
                <w:noProof/>
                <w:webHidden/>
              </w:rPr>
              <w:instrText xml:space="preserve"> PAGEREF _Toc153375875 \h </w:instrText>
            </w:r>
            <w:r w:rsidR="0062128D">
              <w:rPr>
                <w:noProof/>
                <w:webHidden/>
              </w:rPr>
            </w:r>
            <w:r w:rsidR="0062128D">
              <w:rPr>
                <w:noProof/>
                <w:webHidden/>
              </w:rPr>
              <w:fldChar w:fldCharType="separate"/>
            </w:r>
            <w:r w:rsidR="0062128D">
              <w:rPr>
                <w:noProof/>
                <w:webHidden/>
              </w:rPr>
              <w:t>8</w:t>
            </w:r>
            <w:r w:rsidR="0062128D">
              <w:rPr>
                <w:noProof/>
                <w:webHidden/>
              </w:rPr>
              <w:fldChar w:fldCharType="end"/>
            </w:r>
          </w:hyperlink>
        </w:p>
        <w:p w14:paraId="33B06860" w14:textId="10CF3F16" w:rsidR="0062128D" w:rsidRDefault="00FE077F">
          <w:pPr>
            <w:pStyle w:val="TOC1"/>
            <w:rPr>
              <w:rFonts w:asciiTheme="minorHAnsi" w:eastAsiaTheme="minorEastAsia" w:hAnsiTheme="minorHAnsi" w:cstheme="minorBidi"/>
              <w:b w:val="0"/>
              <w:noProof/>
              <w:color w:val="auto"/>
              <w:sz w:val="22"/>
              <w:szCs w:val="22"/>
              <w:lang w:eastAsia="en-AU"/>
            </w:rPr>
          </w:pPr>
          <w:hyperlink w:anchor="_Toc153375876" w:history="1">
            <w:r w:rsidR="0062128D" w:rsidRPr="00D46538">
              <w:rPr>
                <w:rStyle w:val="Hyperlink"/>
                <w:noProof/>
              </w:rPr>
              <w:t>Registration timeline</w:t>
            </w:r>
            <w:r w:rsidR="0062128D">
              <w:rPr>
                <w:noProof/>
                <w:webHidden/>
              </w:rPr>
              <w:tab/>
            </w:r>
            <w:r w:rsidR="0062128D">
              <w:rPr>
                <w:noProof/>
                <w:webHidden/>
              </w:rPr>
              <w:fldChar w:fldCharType="begin"/>
            </w:r>
            <w:r w:rsidR="0062128D">
              <w:rPr>
                <w:noProof/>
                <w:webHidden/>
              </w:rPr>
              <w:instrText xml:space="preserve"> PAGEREF _Toc153375876 \h </w:instrText>
            </w:r>
            <w:r w:rsidR="0062128D">
              <w:rPr>
                <w:noProof/>
                <w:webHidden/>
              </w:rPr>
            </w:r>
            <w:r w:rsidR="0062128D">
              <w:rPr>
                <w:noProof/>
                <w:webHidden/>
              </w:rPr>
              <w:fldChar w:fldCharType="separate"/>
            </w:r>
            <w:r w:rsidR="0062128D">
              <w:rPr>
                <w:noProof/>
                <w:webHidden/>
              </w:rPr>
              <w:t>10</w:t>
            </w:r>
            <w:r w:rsidR="0062128D">
              <w:rPr>
                <w:noProof/>
                <w:webHidden/>
              </w:rPr>
              <w:fldChar w:fldCharType="end"/>
            </w:r>
          </w:hyperlink>
        </w:p>
        <w:p w14:paraId="11A10A56" w14:textId="3717D4AE" w:rsidR="0062128D" w:rsidRDefault="00FE077F">
          <w:pPr>
            <w:pStyle w:val="TOC1"/>
            <w:rPr>
              <w:rFonts w:asciiTheme="minorHAnsi" w:eastAsiaTheme="minorEastAsia" w:hAnsiTheme="minorHAnsi" w:cstheme="minorBidi"/>
              <w:b w:val="0"/>
              <w:noProof/>
              <w:color w:val="auto"/>
              <w:sz w:val="22"/>
              <w:szCs w:val="22"/>
              <w:lang w:eastAsia="en-AU"/>
            </w:rPr>
          </w:pPr>
          <w:hyperlink w:anchor="_Toc153375877" w:history="1">
            <w:r w:rsidR="0062128D" w:rsidRPr="00D46538">
              <w:rPr>
                <w:rStyle w:val="Hyperlink"/>
                <w:noProof/>
              </w:rPr>
              <w:t>Submission overview and risk/benefit assessment</w:t>
            </w:r>
            <w:r w:rsidR="0062128D">
              <w:rPr>
                <w:noProof/>
                <w:webHidden/>
              </w:rPr>
              <w:tab/>
            </w:r>
            <w:r w:rsidR="0062128D">
              <w:rPr>
                <w:noProof/>
                <w:webHidden/>
              </w:rPr>
              <w:fldChar w:fldCharType="begin"/>
            </w:r>
            <w:r w:rsidR="0062128D">
              <w:rPr>
                <w:noProof/>
                <w:webHidden/>
              </w:rPr>
              <w:instrText xml:space="preserve"> PAGEREF _Toc153375877 \h </w:instrText>
            </w:r>
            <w:r w:rsidR="0062128D">
              <w:rPr>
                <w:noProof/>
                <w:webHidden/>
              </w:rPr>
            </w:r>
            <w:r w:rsidR="0062128D">
              <w:rPr>
                <w:noProof/>
                <w:webHidden/>
              </w:rPr>
              <w:fldChar w:fldCharType="separate"/>
            </w:r>
            <w:r w:rsidR="0062128D">
              <w:rPr>
                <w:noProof/>
                <w:webHidden/>
              </w:rPr>
              <w:t>11</w:t>
            </w:r>
            <w:r w:rsidR="0062128D">
              <w:rPr>
                <w:noProof/>
                <w:webHidden/>
              </w:rPr>
              <w:fldChar w:fldCharType="end"/>
            </w:r>
          </w:hyperlink>
        </w:p>
        <w:p w14:paraId="6A164873" w14:textId="543398DD" w:rsidR="0062128D" w:rsidRDefault="00FE077F">
          <w:pPr>
            <w:pStyle w:val="TOC2"/>
            <w:rPr>
              <w:rFonts w:asciiTheme="minorHAnsi" w:eastAsiaTheme="minorEastAsia" w:hAnsiTheme="minorHAnsi" w:cstheme="minorBidi"/>
              <w:b w:val="0"/>
              <w:noProof/>
              <w:color w:val="auto"/>
              <w:sz w:val="22"/>
              <w:szCs w:val="22"/>
              <w:lang w:eastAsia="en-AU"/>
            </w:rPr>
          </w:pPr>
          <w:hyperlink w:anchor="_Toc153375878" w:history="1">
            <w:r w:rsidR="0062128D" w:rsidRPr="00D46538">
              <w:rPr>
                <w:rStyle w:val="Hyperlink"/>
                <w:noProof/>
              </w:rPr>
              <w:t>Quality</w:t>
            </w:r>
            <w:r w:rsidR="0062128D">
              <w:rPr>
                <w:noProof/>
                <w:webHidden/>
              </w:rPr>
              <w:tab/>
            </w:r>
            <w:r w:rsidR="0062128D">
              <w:rPr>
                <w:noProof/>
                <w:webHidden/>
              </w:rPr>
              <w:fldChar w:fldCharType="begin"/>
            </w:r>
            <w:r w:rsidR="0062128D">
              <w:rPr>
                <w:noProof/>
                <w:webHidden/>
              </w:rPr>
              <w:instrText xml:space="preserve"> PAGEREF _Toc153375878 \h </w:instrText>
            </w:r>
            <w:r w:rsidR="0062128D">
              <w:rPr>
                <w:noProof/>
                <w:webHidden/>
              </w:rPr>
            </w:r>
            <w:r w:rsidR="0062128D">
              <w:rPr>
                <w:noProof/>
                <w:webHidden/>
              </w:rPr>
              <w:fldChar w:fldCharType="separate"/>
            </w:r>
            <w:r w:rsidR="0062128D">
              <w:rPr>
                <w:noProof/>
                <w:webHidden/>
              </w:rPr>
              <w:t>11</w:t>
            </w:r>
            <w:r w:rsidR="0062128D">
              <w:rPr>
                <w:noProof/>
                <w:webHidden/>
              </w:rPr>
              <w:fldChar w:fldCharType="end"/>
            </w:r>
          </w:hyperlink>
        </w:p>
        <w:p w14:paraId="73E6615B" w14:textId="0075E7F4" w:rsidR="0062128D" w:rsidRDefault="00FE077F">
          <w:pPr>
            <w:pStyle w:val="TOC2"/>
            <w:rPr>
              <w:rFonts w:asciiTheme="minorHAnsi" w:eastAsiaTheme="minorEastAsia" w:hAnsiTheme="minorHAnsi" w:cstheme="minorBidi"/>
              <w:b w:val="0"/>
              <w:noProof/>
              <w:color w:val="auto"/>
              <w:sz w:val="22"/>
              <w:szCs w:val="22"/>
              <w:lang w:eastAsia="en-AU"/>
            </w:rPr>
          </w:pPr>
          <w:hyperlink w:anchor="_Toc153375879" w:history="1">
            <w:r w:rsidR="0062128D" w:rsidRPr="00D46538">
              <w:rPr>
                <w:rStyle w:val="Hyperlink"/>
                <w:noProof/>
              </w:rPr>
              <w:t>Nonclinical</w:t>
            </w:r>
            <w:r w:rsidR="0062128D">
              <w:rPr>
                <w:noProof/>
                <w:webHidden/>
              </w:rPr>
              <w:tab/>
            </w:r>
            <w:r w:rsidR="0062128D">
              <w:rPr>
                <w:noProof/>
                <w:webHidden/>
              </w:rPr>
              <w:fldChar w:fldCharType="begin"/>
            </w:r>
            <w:r w:rsidR="0062128D">
              <w:rPr>
                <w:noProof/>
                <w:webHidden/>
              </w:rPr>
              <w:instrText xml:space="preserve"> PAGEREF _Toc153375879 \h </w:instrText>
            </w:r>
            <w:r w:rsidR="0062128D">
              <w:rPr>
                <w:noProof/>
                <w:webHidden/>
              </w:rPr>
            </w:r>
            <w:r w:rsidR="0062128D">
              <w:rPr>
                <w:noProof/>
                <w:webHidden/>
              </w:rPr>
              <w:fldChar w:fldCharType="separate"/>
            </w:r>
            <w:r w:rsidR="0062128D">
              <w:rPr>
                <w:noProof/>
                <w:webHidden/>
              </w:rPr>
              <w:t>12</w:t>
            </w:r>
            <w:r w:rsidR="0062128D">
              <w:rPr>
                <w:noProof/>
                <w:webHidden/>
              </w:rPr>
              <w:fldChar w:fldCharType="end"/>
            </w:r>
          </w:hyperlink>
        </w:p>
        <w:p w14:paraId="6831CA61" w14:textId="04B56B6E" w:rsidR="0062128D" w:rsidRDefault="00FE077F">
          <w:pPr>
            <w:pStyle w:val="TOC2"/>
            <w:rPr>
              <w:rFonts w:asciiTheme="minorHAnsi" w:eastAsiaTheme="minorEastAsia" w:hAnsiTheme="minorHAnsi" w:cstheme="minorBidi"/>
              <w:b w:val="0"/>
              <w:noProof/>
              <w:color w:val="auto"/>
              <w:sz w:val="22"/>
              <w:szCs w:val="22"/>
              <w:lang w:eastAsia="en-AU"/>
            </w:rPr>
          </w:pPr>
          <w:hyperlink w:anchor="_Toc153375880" w:history="1">
            <w:r w:rsidR="0062128D" w:rsidRPr="00D46538">
              <w:rPr>
                <w:rStyle w:val="Hyperlink"/>
                <w:noProof/>
              </w:rPr>
              <w:t>Clinical</w:t>
            </w:r>
            <w:r w:rsidR="0062128D">
              <w:rPr>
                <w:noProof/>
                <w:webHidden/>
              </w:rPr>
              <w:tab/>
            </w:r>
            <w:r w:rsidR="0062128D">
              <w:rPr>
                <w:noProof/>
                <w:webHidden/>
              </w:rPr>
              <w:fldChar w:fldCharType="begin"/>
            </w:r>
            <w:r w:rsidR="0062128D">
              <w:rPr>
                <w:noProof/>
                <w:webHidden/>
              </w:rPr>
              <w:instrText xml:space="preserve"> PAGEREF _Toc153375880 \h </w:instrText>
            </w:r>
            <w:r w:rsidR="0062128D">
              <w:rPr>
                <w:noProof/>
                <w:webHidden/>
              </w:rPr>
            </w:r>
            <w:r w:rsidR="0062128D">
              <w:rPr>
                <w:noProof/>
                <w:webHidden/>
              </w:rPr>
              <w:fldChar w:fldCharType="separate"/>
            </w:r>
            <w:r w:rsidR="0062128D">
              <w:rPr>
                <w:noProof/>
                <w:webHidden/>
              </w:rPr>
              <w:t>13</w:t>
            </w:r>
            <w:r w:rsidR="0062128D">
              <w:rPr>
                <w:noProof/>
                <w:webHidden/>
              </w:rPr>
              <w:fldChar w:fldCharType="end"/>
            </w:r>
          </w:hyperlink>
        </w:p>
        <w:p w14:paraId="592DE1D9" w14:textId="192A9C20" w:rsidR="0062128D" w:rsidRDefault="00FE077F">
          <w:pPr>
            <w:pStyle w:val="TOC3"/>
            <w:rPr>
              <w:rFonts w:asciiTheme="minorHAnsi" w:eastAsiaTheme="minorEastAsia" w:hAnsiTheme="minorHAnsi" w:cstheme="minorBidi"/>
              <w:b w:val="0"/>
              <w:noProof/>
              <w:color w:val="auto"/>
              <w:szCs w:val="22"/>
              <w:lang w:eastAsia="en-AU"/>
            </w:rPr>
          </w:pPr>
          <w:hyperlink w:anchor="_Toc153375881" w:history="1">
            <w:r w:rsidR="0062128D" w:rsidRPr="00D46538">
              <w:rPr>
                <w:rStyle w:val="Hyperlink"/>
                <w:noProof/>
              </w:rPr>
              <w:t>Summary of clinical studies</w:t>
            </w:r>
            <w:r w:rsidR="0062128D">
              <w:rPr>
                <w:noProof/>
                <w:webHidden/>
              </w:rPr>
              <w:tab/>
            </w:r>
            <w:r w:rsidR="0062128D">
              <w:rPr>
                <w:noProof/>
                <w:webHidden/>
              </w:rPr>
              <w:fldChar w:fldCharType="begin"/>
            </w:r>
            <w:r w:rsidR="0062128D">
              <w:rPr>
                <w:noProof/>
                <w:webHidden/>
              </w:rPr>
              <w:instrText xml:space="preserve"> PAGEREF _Toc153375881 \h </w:instrText>
            </w:r>
            <w:r w:rsidR="0062128D">
              <w:rPr>
                <w:noProof/>
                <w:webHidden/>
              </w:rPr>
            </w:r>
            <w:r w:rsidR="0062128D">
              <w:rPr>
                <w:noProof/>
                <w:webHidden/>
              </w:rPr>
              <w:fldChar w:fldCharType="separate"/>
            </w:r>
            <w:r w:rsidR="0062128D">
              <w:rPr>
                <w:noProof/>
                <w:webHidden/>
              </w:rPr>
              <w:t>13</w:t>
            </w:r>
            <w:r w:rsidR="0062128D">
              <w:rPr>
                <w:noProof/>
                <w:webHidden/>
              </w:rPr>
              <w:fldChar w:fldCharType="end"/>
            </w:r>
          </w:hyperlink>
        </w:p>
        <w:p w14:paraId="503E3047" w14:textId="23336FD1" w:rsidR="0062128D" w:rsidRDefault="00FE077F">
          <w:pPr>
            <w:pStyle w:val="TOC3"/>
            <w:rPr>
              <w:rFonts w:asciiTheme="minorHAnsi" w:eastAsiaTheme="minorEastAsia" w:hAnsiTheme="minorHAnsi" w:cstheme="minorBidi"/>
              <w:b w:val="0"/>
              <w:noProof/>
              <w:color w:val="auto"/>
              <w:szCs w:val="22"/>
              <w:lang w:eastAsia="en-AU"/>
            </w:rPr>
          </w:pPr>
          <w:hyperlink w:anchor="_Toc153375882" w:history="1">
            <w:r w:rsidR="0062128D" w:rsidRPr="00D46538">
              <w:rPr>
                <w:rStyle w:val="Hyperlink"/>
                <w:noProof/>
              </w:rPr>
              <w:t>Pharmacology</w:t>
            </w:r>
            <w:r w:rsidR="0062128D">
              <w:rPr>
                <w:noProof/>
                <w:webHidden/>
              </w:rPr>
              <w:tab/>
            </w:r>
            <w:r w:rsidR="0062128D">
              <w:rPr>
                <w:noProof/>
                <w:webHidden/>
              </w:rPr>
              <w:fldChar w:fldCharType="begin"/>
            </w:r>
            <w:r w:rsidR="0062128D">
              <w:rPr>
                <w:noProof/>
                <w:webHidden/>
              </w:rPr>
              <w:instrText xml:space="preserve"> PAGEREF _Toc153375882 \h </w:instrText>
            </w:r>
            <w:r w:rsidR="0062128D">
              <w:rPr>
                <w:noProof/>
                <w:webHidden/>
              </w:rPr>
            </w:r>
            <w:r w:rsidR="0062128D">
              <w:rPr>
                <w:noProof/>
                <w:webHidden/>
              </w:rPr>
              <w:fldChar w:fldCharType="separate"/>
            </w:r>
            <w:r w:rsidR="0062128D">
              <w:rPr>
                <w:noProof/>
                <w:webHidden/>
              </w:rPr>
              <w:t>14</w:t>
            </w:r>
            <w:r w:rsidR="0062128D">
              <w:rPr>
                <w:noProof/>
                <w:webHidden/>
              </w:rPr>
              <w:fldChar w:fldCharType="end"/>
            </w:r>
          </w:hyperlink>
        </w:p>
        <w:p w14:paraId="7CCEE397" w14:textId="621E9349" w:rsidR="0062128D" w:rsidRDefault="00FE077F">
          <w:pPr>
            <w:pStyle w:val="TOC3"/>
            <w:rPr>
              <w:rFonts w:asciiTheme="minorHAnsi" w:eastAsiaTheme="minorEastAsia" w:hAnsiTheme="minorHAnsi" w:cstheme="minorBidi"/>
              <w:b w:val="0"/>
              <w:noProof/>
              <w:color w:val="auto"/>
              <w:szCs w:val="22"/>
              <w:lang w:eastAsia="en-AU"/>
            </w:rPr>
          </w:pPr>
          <w:hyperlink w:anchor="_Toc153375883" w:history="1">
            <w:r w:rsidR="0062128D" w:rsidRPr="00D46538">
              <w:rPr>
                <w:rStyle w:val="Hyperlink"/>
                <w:noProof/>
              </w:rPr>
              <w:t>Efficacy</w:t>
            </w:r>
            <w:r w:rsidR="0062128D">
              <w:rPr>
                <w:noProof/>
                <w:webHidden/>
              </w:rPr>
              <w:tab/>
            </w:r>
            <w:r w:rsidR="0062128D">
              <w:rPr>
                <w:noProof/>
                <w:webHidden/>
              </w:rPr>
              <w:fldChar w:fldCharType="begin"/>
            </w:r>
            <w:r w:rsidR="0062128D">
              <w:rPr>
                <w:noProof/>
                <w:webHidden/>
              </w:rPr>
              <w:instrText xml:space="preserve"> PAGEREF _Toc153375883 \h </w:instrText>
            </w:r>
            <w:r w:rsidR="0062128D">
              <w:rPr>
                <w:noProof/>
                <w:webHidden/>
              </w:rPr>
            </w:r>
            <w:r w:rsidR="0062128D">
              <w:rPr>
                <w:noProof/>
                <w:webHidden/>
              </w:rPr>
              <w:fldChar w:fldCharType="separate"/>
            </w:r>
            <w:r w:rsidR="0062128D">
              <w:rPr>
                <w:noProof/>
                <w:webHidden/>
              </w:rPr>
              <w:t>15</w:t>
            </w:r>
            <w:r w:rsidR="0062128D">
              <w:rPr>
                <w:noProof/>
                <w:webHidden/>
              </w:rPr>
              <w:fldChar w:fldCharType="end"/>
            </w:r>
          </w:hyperlink>
        </w:p>
        <w:p w14:paraId="27FE02DB" w14:textId="09CED3A0" w:rsidR="0062128D" w:rsidRDefault="00FE077F">
          <w:pPr>
            <w:pStyle w:val="TOC3"/>
            <w:rPr>
              <w:rFonts w:asciiTheme="minorHAnsi" w:eastAsiaTheme="minorEastAsia" w:hAnsiTheme="minorHAnsi" w:cstheme="minorBidi"/>
              <w:b w:val="0"/>
              <w:noProof/>
              <w:color w:val="auto"/>
              <w:szCs w:val="22"/>
              <w:lang w:eastAsia="en-AU"/>
            </w:rPr>
          </w:pPr>
          <w:hyperlink w:anchor="_Toc153375884" w:history="1">
            <w:r w:rsidR="0062128D" w:rsidRPr="00D46538">
              <w:rPr>
                <w:rStyle w:val="Hyperlink"/>
                <w:noProof/>
              </w:rPr>
              <w:t>Safety</w:t>
            </w:r>
            <w:r w:rsidR="0062128D">
              <w:rPr>
                <w:noProof/>
                <w:webHidden/>
              </w:rPr>
              <w:tab/>
            </w:r>
            <w:r w:rsidR="0062128D">
              <w:rPr>
                <w:noProof/>
                <w:webHidden/>
              </w:rPr>
              <w:fldChar w:fldCharType="begin"/>
            </w:r>
            <w:r w:rsidR="0062128D">
              <w:rPr>
                <w:noProof/>
                <w:webHidden/>
              </w:rPr>
              <w:instrText xml:space="preserve"> PAGEREF _Toc153375884 \h </w:instrText>
            </w:r>
            <w:r w:rsidR="0062128D">
              <w:rPr>
                <w:noProof/>
                <w:webHidden/>
              </w:rPr>
            </w:r>
            <w:r w:rsidR="0062128D">
              <w:rPr>
                <w:noProof/>
                <w:webHidden/>
              </w:rPr>
              <w:fldChar w:fldCharType="separate"/>
            </w:r>
            <w:r w:rsidR="0062128D">
              <w:rPr>
                <w:noProof/>
                <w:webHidden/>
              </w:rPr>
              <w:t>23</w:t>
            </w:r>
            <w:r w:rsidR="0062128D">
              <w:rPr>
                <w:noProof/>
                <w:webHidden/>
              </w:rPr>
              <w:fldChar w:fldCharType="end"/>
            </w:r>
          </w:hyperlink>
        </w:p>
        <w:p w14:paraId="56C04DB8" w14:textId="298E363F" w:rsidR="0062128D" w:rsidRDefault="00FE077F">
          <w:pPr>
            <w:pStyle w:val="TOC2"/>
            <w:rPr>
              <w:rFonts w:asciiTheme="minorHAnsi" w:eastAsiaTheme="minorEastAsia" w:hAnsiTheme="minorHAnsi" w:cstheme="minorBidi"/>
              <w:b w:val="0"/>
              <w:noProof/>
              <w:color w:val="auto"/>
              <w:sz w:val="22"/>
              <w:szCs w:val="22"/>
              <w:lang w:eastAsia="en-AU"/>
            </w:rPr>
          </w:pPr>
          <w:hyperlink w:anchor="_Toc153375885" w:history="1">
            <w:r w:rsidR="0062128D" w:rsidRPr="00D46538">
              <w:rPr>
                <w:rStyle w:val="Hyperlink"/>
                <w:noProof/>
                <w:lang w:eastAsia="en-AU"/>
              </w:rPr>
              <w:t>Risk management plan</w:t>
            </w:r>
            <w:r w:rsidR="0062128D">
              <w:rPr>
                <w:noProof/>
                <w:webHidden/>
              </w:rPr>
              <w:tab/>
            </w:r>
            <w:r w:rsidR="0062128D">
              <w:rPr>
                <w:noProof/>
                <w:webHidden/>
              </w:rPr>
              <w:fldChar w:fldCharType="begin"/>
            </w:r>
            <w:r w:rsidR="0062128D">
              <w:rPr>
                <w:noProof/>
                <w:webHidden/>
              </w:rPr>
              <w:instrText xml:space="preserve"> PAGEREF _Toc153375885 \h </w:instrText>
            </w:r>
            <w:r w:rsidR="0062128D">
              <w:rPr>
                <w:noProof/>
                <w:webHidden/>
              </w:rPr>
            </w:r>
            <w:r w:rsidR="0062128D">
              <w:rPr>
                <w:noProof/>
                <w:webHidden/>
              </w:rPr>
              <w:fldChar w:fldCharType="separate"/>
            </w:r>
            <w:r w:rsidR="0062128D">
              <w:rPr>
                <w:noProof/>
                <w:webHidden/>
              </w:rPr>
              <w:t>27</w:t>
            </w:r>
            <w:r w:rsidR="0062128D">
              <w:rPr>
                <w:noProof/>
                <w:webHidden/>
              </w:rPr>
              <w:fldChar w:fldCharType="end"/>
            </w:r>
          </w:hyperlink>
        </w:p>
        <w:p w14:paraId="2A727498" w14:textId="29AC681F" w:rsidR="0062128D" w:rsidRDefault="00FE077F">
          <w:pPr>
            <w:pStyle w:val="TOC2"/>
            <w:rPr>
              <w:rFonts w:asciiTheme="minorHAnsi" w:eastAsiaTheme="minorEastAsia" w:hAnsiTheme="minorHAnsi" w:cstheme="minorBidi"/>
              <w:b w:val="0"/>
              <w:noProof/>
              <w:color w:val="auto"/>
              <w:sz w:val="22"/>
              <w:szCs w:val="22"/>
              <w:lang w:eastAsia="en-AU"/>
            </w:rPr>
          </w:pPr>
          <w:hyperlink w:anchor="_Toc153375886" w:history="1">
            <w:r w:rsidR="0062128D" w:rsidRPr="00D46538">
              <w:rPr>
                <w:rStyle w:val="Hyperlink"/>
                <w:noProof/>
              </w:rPr>
              <w:t>Risk-benefit analysis</w:t>
            </w:r>
            <w:r w:rsidR="0062128D">
              <w:rPr>
                <w:noProof/>
                <w:webHidden/>
              </w:rPr>
              <w:tab/>
            </w:r>
            <w:r w:rsidR="0062128D">
              <w:rPr>
                <w:noProof/>
                <w:webHidden/>
              </w:rPr>
              <w:fldChar w:fldCharType="begin"/>
            </w:r>
            <w:r w:rsidR="0062128D">
              <w:rPr>
                <w:noProof/>
                <w:webHidden/>
              </w:rPr>
              <w:instrText xml:space="preserve"> PAGEREF _Toc153375886 \h </w:instrText>
            </w:r>
            <w:r w:rsidR="0062128D">
              <w:rPr>
                <w:noProof/>
                <w:webHidden/>
              </w:rPr>
            </w:r>
            <w:r w:rsidR="0062128D">
              <w:rPr>
                <w:noProof/>
                <w:webHidden/>
              </w:rPr>
              <w:fldChar w:fldCharType="separate"/>
            </w:r>
            <w:r w:rsidR="0062128D">
              <w:rPr>
                <w:noProof/>
                <w:webHidden/>
              </w:rPr>
              <w:t>28</w:t>
            </w:r>
            <w:r w:rsidR="0062128D">
              <w:rPr>
                <w:noProof/>
                <w:webHidden/>
              </w:rPr>
              <w:fldChar w:fldCharType="end"/>
            </w:r>
          </w:hyperlink>
        </w:p>
        <w:p w14:paraId="03EFC284" w14:textId="6C6ED953" w:rsidR="0062128D" w:rsidRDefault="00FE077F">
          <w:pPr>
            <w:pStyle w:val="TOC3"/>
            <w:rPr>
              <w:rFonts w:asciiTheme="minorHAnsi" w:eastAsiaTheme="minorEastAsia" w:hAnsiTheme="minorHAnsi" w:cstheme="minorBidi"/>
              <w:b w:val="0"/>
              <w:noProof/>
              <w:color w:val="auto"/>
              <w:szCs w:val="22"/>
              <w:lang w:eastAsia="en-AU"/>
            </w:rPr>
          </w:pPr>
          <w:hyperlink w:anchor="_Toc153375887" w:history="1">
            <w:r w:rsidR="0062128D" w:rsidRPr="00D46538">
              <w:rPr>
                <w:rStyle w:val="Hyperlink"/>
                <w:noProof/>
              </w:rPr>
              <w:t>Delegate’s considerations</w:t>
            </w:r>
            <w:r w:rsidR="0062128D">
              <w:rPr>
                <w:noProof/>
                <w:webHidden/>
              </w:rPr>
              <w:tab/>
            </w:r>
            <w:r w:rsidR="0062128D">
              <w:rPr>
                <w:noProof/>
                <w:webHidden/>
              </w:rPr>
              <w:fldChar w:fldCharType="begin"/>
            </w:r>
            <w:r w:rsidR="0062128D">
              <w:rPr>
                <w:noProof/>
                <w:webHidden/>
              </w:rPr>
              <w:instrText xml:space="preserve"> PAGEREF _Toc153375887 \h </w:instrText>
            </w:r>
            <w:r w:rsidR="0062128D">
              <w:rPr>
                <w:noProof/>
                <w:webHidden/>
              </w:rPr>
            </w:r>
            <w:r w:rsidR="0062128D">
              <w:rPr>
                <w:noProof/>
                <w:webHidden/>
              </w:rPr>
              <w:fldChar w:fldCharType="separate"/>
            </w:r>
            <w:r w:rsidR="0062128D">
              <w:rPr>
                <w:noProof/>
                <w:webHidden/>
              </w:rPr>
              <w:t>28</w:t>
            </w:r>
            <w:r w:rsidR="0062128D">
              <w:rPr>
                <w:noProof/>
                <w:webHidden/>
              </w:rPr>
              <w:fldChar w:fldCharType="end"/>
            </w:r>
          </w:hyperlink>
        </w:p>
        <w:p w14:paraId="2005E685" w14:textId="2E70E672" w:rsidR="0062128D" w:rsidRDefault="00FE077F">
          <w:pPr>
            <w:pStyle w:val="TOC3"/>
            <w:rPr>
              <w:rFonts w:asciiTheme="minorHAnsi" w:eastAsiaTheme="minorEastAsia" w:hAnsiTheme="minorHAnsi" w:cstheme="minorBidi"/>
              <w:b w:val="0"/>
              <w:noProof/>
              <w:color w:val="auto"/>
              <w:szCs w:val="22"/>
              <w:lang w:eastAsia="en-AU"/>
            </w:rPr>
          </w:pPr>
          <w:hyperlink w:anchor="_Toc153375888" w:history="1">
            <w:r w:rsidR="0062128D" w:rsidRPr="00D46538">
              <w:rPr>
                <w:rStyle w:val="Hyperlink"/>
                <w:noProof/>
              </w:rPr>
              <w:t>Proposed action</w:t>
            </w:r>
            <w:r w:rsidR="0062128D">
              <w:rPr>
                <w:noProof/>
                <w:webHidden/>
              </w:rPr>
              <w:tab/>
            </w:r>
            <w:r w:rsidR="0062128D">
              <w:rPr>
                <w:noProof/>
                <w:webHidden/>
              </w:rPr>
              <w:fldChar w:fldCharType="begin"/>
            </w:r>
            <w:r w:rsidR="0062128D">
              <w:rPr>
                <w:noProof/>
                <w:webHidden/>
              </w:rPr>
              <w:instrText xml:space="preserve"> PAGEREF _Toc153375888 \h </w:instrText>
            </w:r>
            <w:r w:rsidR="0062128D">
              <w:rPr>
                <w:noProof/>
                <w:webHidden/>
              </w:rPr>
            </w:r>
            <w:r w:rsidR="0062128D">
              <w:rPr>
                <w:noProof/>
                <w:webHidden/>
              </w:rPr>
              <w:fldChar w:fldCharType="separate"/>
            </w:r>
            <w:r w:rsidR="0062128D">
              <w:rPr>
                <w:noProof/>
                <w:webHidden/>
              </w:rPr>
              <w:t>28</w:t>
            </w:r>
            <w:r w:rsidR="0062128D">
              <w:rPr>
                <w:noProof/>
                <w:webHidden/>
              </w:rPr>
              <w:fldChar w:fldCharType="end"/>
            </w:r>
          </w:hyperlink>
        </w:p>
        <w:p w14:paraId="1D69485F" w14:textId="7B1603A4" w:rsidR="0062128D" w:rsidRDefault="00FE077F">
          <w:pPr>
            <w:pStyle w:val="TOC3"/>
            <w:rPr>
              <w:rFonts w:asciiTheme="minorHAnsi" w:eastAsiaTheme="minorEastAsia" w:hAnsiTheme="minorHAnsi" w:cstheme="minorBidi"/>
              <w:b w:val="0"/>
              <w:noProof/>
              <w:color w:val="auto"/>
              <w:szCs w:val="22"/>
              <w:lang w:eastAsia="en-AU"/>
            </w:rPr>
          </w:pPr>
          <w:hyperlink w:anchor="_Toc153375889" w:history="1">
            <w:r w:rsidR="0062128D" w:rsidRPr="00D46538">
              <w:rPr>
                <w:rStyle w:val="Hyperlink"/>
                <w:noProof/>
              </w:rPr>
              <w:t>Advisory Committee considerations</w:t>
            </w:r>
            <w:r w:rsidR="0062128D">
              <w:rPr>
                <w:noProof/>
                <w:webHidden/>
              </w:rPr>
              <w:tab/>
            </w:r>
            <w:r w:rsidR="0062128D">
              <w:rPr>
                <w:noProof/>
                <w:webHidden/>
              </w:rPr>
              <w:fldChar w:fldCharType="begin"/>
            </w:r>
            <w:r w:rsidR="0062128D">
              <w:rPr>
                <w:noProof/>
                <w:webHidden/>
              </w:rPr>
              <w:instrText xml:space="preserve"> PAGEREF _Toc153375889 \h </w:instrText>
            </w:r>
            <w:r w:rsidR="0062128D">
              <w:rPr>
                <w:noProof/>
                <w:webHidden/>
              </w:rPr>
            </w:r>
            <w:r w:rsidR="0062128D">
              <w:rPr>
                <w:noProof/>
                <w:webHidden/>
              </w:rPr>
              <w:fldChar w:fldCharType="separate"/>
            </w:r>
            <w:r w:rsidR="0062128D">
              <w:rPr>
                <w:noProof/>
                <w:webHidden/>
              </w:rPr>
              <w:t>28</w:t>
            </w:r>
            <w:r w:rsidR="0062128D">
              <w:rPr>
                <w:noProof/>
                <w:webHidden/>
              </w:rPr>
              <w:fldChar w:fldCharType="end"/>
            </w:r>
          </w:hyperlink>
        </w:p>
        <w:p w14:paraId="6B0A25FF" w14:textId="5C71B767" w:rsidR="0062128D" w:rsidRDefault="00FE077F">
          <w:pPr>
            <w:pStyle w:val="TOC1"/>
            <w:rPr>
              <w:rFonts w:asciiTheme="minorHAnsi" w:eastAsiaTheme="minorEastAsia" w:hAnsiTheme="minorHAnsi" w:cstheme="minorBidi"/>
              <w:b w:val="0"/>
              <w:noProof/>
              <w:color w:val="auto"/>
              <w:sz w:val="22"/>
              <w:szCs w:val="22"/>
              <w:lang w:eastAsia="en-AU"/>
            </w:rPr>
          </w:pPr>
          <w:hyperlink w:anchor="_Toc153375890" w:history="1">
            <w:r w:rsidR="0062128D" w:rsidRPr="00D46538">
              <w:rPr>
                <w:rStyle w:val="Hyperlink"/>
                <w:noProof/>
              </w:rPr>
              <w:t>Outcome</w:t>
            </w:r>
            <w:r w:rsidR="0062128D">
              <w:rPr>
                <w:noProof/>
                <w:webHidden/>
              </w:rPr>
              <w:tab/>
            </w:r>
            <w:r w:rsidR="0062128D">
              <w:rPr>
                <w:noProof/>
                <w:webHidden/>
              </w:rPr>
              <w:fldChar w:fldCharType="begin"/>
            </w:r>
            <w:r w:rsidR="0062128D">
              <w:rPr>
                <w:noProof/>
                <w:webHidden/>
              </w:rPr>
              <w:instrText xml:space="preserve"> PAGEREF _Toc153375890 \h </w:instrText>
            </w:r>
            <w:r w:rsidR="0062128D">
              <w:rPr>
                <w:noProof/>
                <w:webHidden/>
              </w:rPr>
            </w:r>
            <w:r w:rsidR="0062128D">
              <w:rPr>
                <w:noProof/>
                <w:webHidden/>
              </w:rPr>
              <w:fldChar w:fldCharType="separate"/>
            </w:r>
            <w:r w:rsidR="0062128D">
              <w:rPr>
                <w:noProof/>
                <w:webHidden/>
              </w:rPr>
              <w:t>29</w:t>
            </w:r>
            <w:r w:rsidR="0062128D">
              <w:rPr>
                <w:noProof/>
                <w:webHidden/>
              </w:rPr>
              <w:fldChar w:fldCharType="end"/>
            </w:r>
          </w:hyperlink>
        </w:p>
        <w:p w14:paraId="7F609E65" w14:textId="1ECE3BCA" w:rsidR="0062128D" w:rsidRDefault="00FE077F">
          <w:pPr>
            <w:pStyle w:val="TOC2"/>
            <w:rPr>
              <w:rFonts w:asciiTheme="minorHAnsi" w:eastAsiaTheme="minorEastAsia" w:hAnsiTheme="minorHAnsi" w:cstheme="minorBidi"/>
              <w:b w:val="0"/>
              <w:noProof/>
              <w:color w:val="auto"/>
              <w:sz w:val="22"/>
              <w:szCs w:val="22"/>
              <w:lang w:eastAsia="en-AU"/>
            </w:rPr>
          </w:pPr>
          <w:hyperlink w:anchor="_Toc153375891" w:history="1">
            <w:r w:rsidR="0062128D" w:rsidRPr="00D46538">
              <w:rPr>
                <w:rStyle w:val="Hyperlink"/>
                <w:noProof/>
              </w:rPr>
              <w:t>Specific conditions of registration applying to these goods</w:t>
            </w:r>
            <w:r w:rsidR="0062128D">
              <w:rPr>
                <w:noProof/>
                <w:webHidden/>
              </w:rPr>
              <w:tab/>
            </w:r>
            <w:r w:rsidR="0062128D">
              <w:rPr>
                <w:noProof/>
                <w:webHidden/>
              </w:rPr>
              <w:fldChar w:fldCharType="begin"/>
            </w:r>
            <w:r w:rsidR="0062128D">
              <w:rPr>
                <w:noProof/>
                <w:webHidden/>
              </w:rPr>
              <w:instrText xml:space="preserve"> PAGEREF _Toc153375891 \h </w:instrText>
            </w:r>
            <w:r w:rsidR="0062128D">
              <w:rPr>
                <w:noProof/>
                <w:webHidden/>
              </w:rPr>
            </w:r>
            <w:r w:rsidR="0062128D">
              <w:rPr>
                <w:noProof/>
                <w:webHidden/>
              </w:rPr>
              <w:fldChar w:fldCharType="separate"/>
            </w:r>
            <w:r w:rsidR="0062128D">
              <w:rPr>
                <w:noProof/>
                <w:webHidden/>
              </w:rPr>
              <w:t>29</w:t>
            </w:r>
            <w:r w:rsidR="0062128D">
              <w:rPr>
                <w:noProof/>
                <w:webHidden/>
              </w:rPr>
              <w:fldChar w:fldCharType="end"/>
            </w:r>
          </w:hyperlink>
        </w:p>
        <w:p w14:paraId="38A98526" w14:textId="7400810A" w:rsidR="0062128D" w:rsidRDefault="00FE077F">
          <w:pPr>
            <w:pStyle w:val="TOC1"/>
            <w:rPr>
              <w:rFonts w:asciiTheme="minorHAnsi" w:eastAsiaTheme="minorEastAsia" w:hAnsiTheme="minorHAnsi" w:cstheme="minorBidi"/>
              <w:b w:val="0"/>
              <w:noProof/>
              <w:color w:val="auto"/>
              <w:sz w:val="22"/>
              <w:szCs w:val="22"/>
              <w:lang w:eastAsia="en-AU"/>
            </w:rPr>
          </w:pPr>
          <w:hyperlink w:anchor="_Toc153375892" w:history="1">
            <w:r w:rsidR="0062128D" w:rsidRPr="00D46538">
              <w:rPr>
                <w:rStyle w:val="Hyperlink"/>
                <w:noProof/>
              </w:rPr>
              <w:t>Attachment 1. Product Information</w:t>
            </w:r>
            <w:r w:rsidR="0062128D">
              <w:rPr>
                <w:noProof/>
                <w:webHidden/>
              </w:rPr>
              <w:tab/>
            </w:r>
            <w:r w:rsidR="0062128D">
              <w:rPr>
                <w:noProof/>
                <w:webHidden/>
              </w:rPr>
              <w:fldChar w:fldCharType="begin"/>
            </w:r>
            <w:r w:rsidR="0062128D">
              <w:rPr>
                <w:noProof/>
                <w:webHidden/>
              </w:rPr>
              <w:instrText xml:space="preserve"> PAGEREF _Toc153375892 \h </w:instrText>
            </w:r>
            <w:r w:rsidR="0062128D">
              <w:rPr>
                <w:noProof/>
                <w:webHidden/>
              </w:rPr>
            </w:r>
            <w:r w:rsidR="0062128D">
              <w:rPr>
                <w:noProof/>
                <w:webHidden/>
              </w:rPr>
              <w:fldChar w:fldCharType="separate"/>
            </w:r>
            <w:r w:rsidR="0062128D">
              <w:rPr>
                <w:noProof/>
                <w:webHidden/>
              </w:rPr>
              <w:t>30</w:t>
            </w:r>
            <w:r w:rsidR="0062128D">
              <w:rPr>
                <w:noProof/>
                <w:webHidden/>
              </w:rPr>
              <w:fldChar w:fldCharType="end"/>
            </w:r>
          </w:hyperlink>
        </w:p>
        <w:p w14:paraId="77659F2D" w14:textId="5A65D167" w:rsidR="00F02AEC" w:rsidRPr="007C23E8" w:rsidRDefault="00F02AEC" w:rsidP="007452E8">
          <w:r w:rsidRPr="007C23E8">
            <w:fldChar w:fldCharType="end"/>
          </w:r>
        </w:p>
      </w:sdtContent>
    </w:sdt>
    <w:p w14:paraId="10987AE2" w14:textId="77777777" w:rsidR="00F02AEC" w:rsidRPr="007C23E8" w:rsidRDefault="00F02AEC" w:rsidP="007452E8">
      <w:r w:rsidRPr="007C23E8">
        <w:br w:type="page"/>
      </w:r>
    </w:p>
    <w:p w14:paraId="1E73AB93" w14:textId="77777777" w:rsidR="00324B33" w:rsidRPr="007C23E8" w:rsidRDefault="00324B33" w:rsidP="00324B33">
      <w:pPr>
        <w:pStyle w:val="Heading2"/>
      </w:pPr>
      <w:bookmarkStart w:id="0" w:name="_Toc98931917"/>
      <w:bookmarkStart w:id="1" w:name="_Toc103679287"/>
      <w:bookmarkStart w:id="2" w:name="_Toc152160769"/>
      <w:bookmarkStart w:id="3" w:name="_Toc153375866"/>
      <w:bookmarkStart w:id="4" w:name="_Toc323739589"/>
      <w:bookmarkStart w:id="5" w:name="_Toc356305216"/>
      <w:r w:rsidRPr="007C23E8">
        <w:lastRenderedPageBreak/>
        <w:t>List of abbreviations</w:t>
      </w:r>
      <w:bookmarkEnd w:id="0"/>
      <w:bookmarkEnd w:id="1"/>
      <w:bookmarkEnd w:id="2"/>
      <w:bookmarkEnd w:id="3"/>
    </w:p>
    <w:tbl>
      <w:tblPr>
        <w:tblStyle w:val="TableTGAblue2023"/>
        <w:tblW w:w="5000" w:type="pct"/>
        <w:tblLook w:val="04A0" w:firstRow="1" w:lastRow="0" w:firstColumn="1" w:lastColumn="0" w:noHBand="0" w:noVBand="1"/>
      </w:tblPr>
      <w:tblGrid>
        <w:gridCol w:w="2174"/>
        <w:gridCol w:w="6886"/>
      </w:tblGrid>
      <w:tr w:rsidR="00324B33" w:rsidRPr="007C23E8"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7C23E8" w:rsidRDefault="00324B33" w:rsidP="00324B33">
            <w:pPr>
              <w:rPr>
                <w:szCs w:val="22"/>
              </w:rPr>
            </w:pPr>
            <w:r w:rsidRPr="007C23E8">
              <w:rPr>
                <w:szCs w:val="22"/>
              </w:rPr>
              <w:t>Abbreviation</w:t>
            </w:r>
          </w:p>
        </w:tc>
        <w:tc>
          <w:tcPr>
            <w:tcW w:w="3800" w:type="pct"/>
          </w:tcPr>
          <w:p w14:paraId="4CF6D0CD" w14:textId="2974FA0B" w:rsidR="00324B33" w:rsidRPr="007C23E8"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7C23E8">
              <w:rPr>
                <w:szCs w:val="22"/>
              </w:rPr>
              <w:t>Meaning</w:t>
            </w:r>
          </w:p>
        </w:tc>
      </w:tr>
      <w:tr w:rsidR="006C568A" w:rsidRPr="007C23E8"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DA15272" w:rsidR="006C568A" w:rsidRPr="007C23E8" w:rsidRDefault="006C568A" w:rsidP="006C568A">
            <w:r w:rsidRPr="007C23E8">
              <w:t>ACM</w:t>
            </w:r>
          </w:p>
        </w:tc>
        <w:tc>
          <w:tcPr>
            <w:tcW w:w="3800" w:type="pct"/>
          </w:tcPr>
          <w:p w14:paraId="4F24A873" w14:textId="00E48FE6" w:rsidR="006C568A" w:rsidRPr="007C23E8" w:rsidRDefault="006C568A" w:rsidP="006C568A">
            <w:pPr>
              <w:cnfStyle w:val="000000000000" w:firstRow="0" w:lastRow="0" w:firstColumn="0" w:lastColumn="0" w:oddVBand="0" w:evenVBand="0" w:oddHBand="0" w:evenHBand="0" w:firstRowFirstColumn="0" w:firstRowLastColumn="0" w:lastRowFirstColumn="0" w:lastRowLastColumn="0"/>
            </w:pPr>
            <w:r w:rsidRPr="007C23E8">
              <w:t>Advisory Committee on Medicines</w:t>
            </w:r>
          </w:p>
        </w:tc>
      </w:tr>
      <w:tr w:rsidR="006C568A" w:rsidRPr="007C23E8"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5B710BAC" w:rsidR="006C568A" w:rsidRPr="007C23E8" w:rsidRDefault="006C568A" w:rsidP="006C568A">
            <w:r w:rsidRPr="007C23E8">
              <w:t>AE</w:t>
            </w:r>
          </w:p>
        </w:tc>
        <w:tc>
          <w:tcPr>
            <w:tcW w:w="3800" w:type="pct"/>
          </w:tcPr>
          <w:p w14:paraId="5072E244" w14:textId="6240D119" w:rsidR="006C568A" w:rsidRPr="007C23E8" w:rsidRDefault="006C568A" w:rsidP="006C568A">
            <w:pPr>
              <w:cnfStyle w:val="000000000000" w:firstRow="0" w:lastRow="0" w:firstColumn="0" w:lastColumn="0" w:oddVBand="0" w:evenVBand="0" w:oddHBand="0" w:evenHBand="0" w:firstRowFirstColumn="0" w:firstRowLastColumn="0" w:lastRowFirstColumn="0" w:lastRowLastColumn="0"/>
            </w:pPr>
            <w:r w:rsidRPr="007C23E8">
              <w:t>Adverse event</w:t>
            </w:r>
          </w:p>
        </w:tc>
      </w:tr>
      <w:tr w:rsidR="006C568A" w:rsidRPr="007C23E8"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2B65BD69" w:rsidR="006C568A" w:rsidRPr="007C23E8" w:rsidRDefault="006C568A" w:rsidP="006C568A">
            <w:r w:rsidRPr="007C23E8">
              <w:t>ARTG</w:t>
            </w:r>
          </w:p>
        </w:tc>
        <w:tc>
          <w:tcPr>
            <w:tcW w:w="3800" w:type="pct"/>
          </w:tcPr>
          <w:p w14:paraId="228A203A" w14:textId="79201C4A" w:rsidR="006C568A" w:rsidRPr="007C23E8" w:rsidRDefault="006C568A" w:rsidP="006C568A">
            <w:pPr>
              <w:cnfStyle w:val="000000000000" w:firstRow="0" w:lastRow="0" w:firstColumn="0" w:lastColumn="0" w:oddVBand="0" w:evenVBand="0" w:oddHBand="0" w:evenHBand="0" w:firstRowFirstColumn="0" w:firstRowLastColumn="0" w:lastRowFirstColumn="0" w:lastRowLastColumn="0"/>
            </w:pPr>
            <w:r w:rsidRPr="007C23E8">
              <w:t>Australian Register of Therapeutic Goods</w:t>
            </w:r>
          </w:p>
        </w:tc>
      </w:tr>
      <w:tr w:rsidR="006C568A" w:rsidRPr="007C23E8"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5FEA3718" w:rsidR="006C568A" w:rsidRPr="007C23E8" w:rsidRDefault="006C568A" w:rsidP="006C568A">
            <w:r w:rsidRPr="007C23E8">
              <w:t>ASCT</w:t>
            </w:r>
          </w:p>
        </w:tc>
        <w:tc>
          <w:tcPr>
            <w:tcW w:w="3800" w:type="pct"/>
          </w:tcPr>
          <w:p w14:paraId="4E6F5284" w14:textId="3750896F" w:rsidR="006C568A" w:rsidRPr="007C23E8" w:rsidRDefault="006C568A" w:rsidP="006C568A">
            <w:pPr>
              <w:cnfStyle w:val="000000000000" w:firstRow="0" w:lastRow="0" w:firstColumn="0" w:lastColumn="0" w:oddVBand="0" w:evenVBand="0" w:oddHBand="0" w:evenHBand="0" w:firstRowFirstColumn="0" w:firstRowLastColumn="0" w:lastRowFirstColumn="0" w:lastRowLastColumn="0"/>
            </w:pPr>
            <w:r w:rsidRPr="007C23E8">
              <w:t>Autologous stem cell transplantation</w:t>
            </w:r>
          </w:p>
        </w:tc>
      </w:tr>
      <w:tr w:rsidR="006C568A" w:rsidRPr="007C23E8"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27B52883" w:rsidR="006C568A" w:rsidRPr="007C23E8" w:rsidRDefault="006C568A" w:rsidP="006C568A">
            <w:r w:rsidRPr="007C23E8">
              <w:t>AUC</w:t>
            </w:r>
          </w:p>
        </w:tc>
        <w:tc>
          <w:tcPr>
            <w:tcW w:w="3800" w:type="pct"/>
          </w:tcPr>
          <w:p w14:paraId="5D8C9DF5" w14:textId="0B75A484" w:rsidR="006C568A" w:rsidRPr="007C23E8" w:rsidRDefault="006C568A" w:rsidP="006C568A">
            <w:pPr>
              <w:cnfStyle w:val="000000000000" w:firstRow="0" w:lastRow="0" w:firstColumn="0" w:lastColumn="0" w:oddVBand="0" w:evenVBand="0" w:oddHBand="0" w:evenHBand="0" w:firstRowFirstColumn="0" w:firstRowLastColumn="0" w:lastRowFirstColumn="0" w:lastRowLastColumn="0"/>
            </w:pPr>
            <w:r w:rsidRPr="007C23E8">
              <w:t>Area under the concentration-time curve</w:t>
            </w:r>
          </w:p>
        </w:tc>
      </w:tr>
      <w:tr w:rsidR="006C568A" w:rsidRPr="007C23E8"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C18A2D3" w:rsidR="006C568A" w:rsidRPr="007C23E8" w:rsidRDefault="006C568A" w:rsidP="006C568A">
            <w:r w:rsidRPr="007C23E8">
              <w:t>CD</w:t>
            </w:r>
          </w:p>
        </w:tc>
        <w:tc>
          <w:tcPr>
            <w:tcW w:w="3800" w:type="pct"/>
          </w:tcPr>
          <w:p w14:paraId="26109D0B" w14:textId="7FD9C6E5" w:rsidR="006C568A" w:rsidRPr="007C23E8" w:rsidRDefault="006C568A" w:rsidP="006C568A">
            <w:pPr>
              <w:cnfStyle w:val="000000000000" w:firstRow="0" w:lastRow="0" w:firstColumn="0" w:lastColumn="0" w:oddVBand="0" w:evenVBand="0" w:oddHBand="0" w:evenHBand="0" w:firstRowFirstColumn="0" w:firstRowLastColumn="0" w:lastRowFirstColumn="0" w:lastRowLastColumn="0"/>
            </w:pPr>
            <w:r w:rsidRPr="007C23E8">
              <w:t>Cluster of differentiation</w:t>
            </w:r>
          </w:p>
        </w:tc>
      </w:tr>
      <w:tr w:rsidR="006C568A" w:rsidRPr="007C23E8"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1E119F97" w:rsidR="006C568A" w:rsidRPr="007C23E8" w:rsidRDefault="006C568A" w:rsidP="006C568A">
            <w:r w:rsidRPr="007C23E8">
              <w:t>CI</w:t>
            </w:r>
          </w:p>
        </w:tc>
        <w:tc>
          <w:tcPr>
            <w:tcW w:w="3800" w:type="pct"/>
          </w:tcPr>
          <w:p w14:paraId="354B5DB5" w14:textId="252424AC" w:rsidR="006C568A" w:rsidRPr="007C23E8" w:rsidRDefault="006C568A" w:rsidP="006C568A">
            <w:pPr>
              <w:cnfStyle w:val="000000000000" w:firstRow="0" w:lastRow="0" w:firstColumn="0" w:lastColumn="0" w:oddVBand="0" w:evenVBand="0" w:oddHBand="0" w:evenHBand="0" w:firstRowFirstColumn="0" w:firstRowLastColumn="0" w:lastRowFirstColumn="0" w:lastRowLastColumn="0"/>
            </w:pPr>
            <w:r w:rsidRPr="007C23E8">
              <w:t>Confidence interval</w:t>
            </w:r>
          </w:p>
        </w:tc>
      </w:tr>
      <w:tr w:rsidR="006C568A" w:rsidRPr="007C23E8"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769F9287" w:rsidR="006C568A" w:rsidRPr="007C23E8" w:rsidRDefault="006C568A" w:rsidP="006C568A">
            <w:r w:rsidRPr="007C23E8">
              <w:t>CMI</w:t>
            </w:r>
          </w:p>
        </w:tc>
        <w:tc>
          <w:tcPr>
            <w:tcW w:w="3800" w:type="pct"/>
          </w:tcPr>
          <w:p w14:paraId="4A97D112" w14:textId="62C54026" w:rsidR="006C568A" w:rsidRPr="007C23E8" w:rsidRDefault="006C568A" w:rsidP="006C568A">
            <w:pPr>
              <w:cnfStyle w:val="000000000000" w:firstRow="0" w:lastRow="0" w:firstColumn="0" w:lastColumn="0" w:oddVBand="0" w:evenVBand="0" w:oddHBand="0" w:evenHBand="0" w:firstRowFirstColumn="0" w:firstRowLastColumn="0" w:lastRowFirstColumn="0" w:lastRowLastColumn="0"/>
            </w:pPr>
            <w:r w:rsidRPr="007C23E8">
              <w:t>Consumer Medicines Information</w:t>
            </w:r>
          </w:p>
        </w:tc>
      </w:tr>
      <w:tr w:rsidR="006C568A" w:rsidRPr="007C23E8"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443ADC6D" w:rsidR="006C568A" w:rsidRPr="007C23E8" w:rsidRDefault="006C568A" w:rsidP="006C568A">
            <w:r w:rsidRPr="007C23E8">
              <w:t>CNS</w:t>
            </w:r>
          </w:p>
        </w:tc>
        <w:tc>
          <w:tcPr>
            <w:tcW w:w="3800" w:type="pct"/>
          </w:tcPr>
          <w:p w14:paraId="2C862F75" w14:textId="21272DA5" w:rsidR="006C568A" w:rsidRPr="007C23E8" w:rsidRDefault="006C568A" w:rsidP="006C568A">
            <w:pPr>
              <w:cnfStyle w:val="000000000000" w:firstRow="0" w:lastRow="0" w:firstColumn="0" w:lastColumn="0" w:oddVBand="0" w:evenVBand="0" w:oddHBand="0" w:evenHBand="0" w:firstRowFirstColumn="0" w:firstRowLastColumn="0" w:lastRowFirstColumn="0" w:lastRowLastColumn="0"/>
            </w:pPr>
            <w:r w:rsidRPr="007C23E8">
              <w:t>Central nervous system</w:t>
            </w:r>
          </w:p>
        </w:tc>
      </w:tr>
      <w:tr w:rsidR="006C568A" w:rsidRPr="007C23E8"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770EE9EE" w:rsidR="006C568A" w:rsidRPr="007C23E8" w:rsidRDefault="006C568A" w:rsidP="006C568A">
            <w:r w:rsidRPr="007C23E8">
              <w:t>DLBCL</w:t>
            </w:r>
          </w:p>
        </w:tc>
        <w:tc>
          <w:tcPr>
            <w:tcW w:w="3800" w:type="pct"/>
          </w:tcPr>
          <w:p w14:paraId="29EA6BA3" w14:textId="12314B3F" w:rsidR="006C568A" w:rsidRPr="007C23E8" w:rsidRDefault="006C568A" w:rsidP="006C568A">
            <w:pPr>
              <w:cnfStyle w:val="000000000000" w:firstRow="0" w:lastRow="0" w:firstColumn="0" w:lastColumn="0" w:oddVBand="0" w:evenVBand="0" w:oddHBand="0" w:evenHBand="0" w:firstRowFirstColumn="0" w:firstRowLastColumn="0" w:lastRowFirstColumn="0" w:lastRowLastColumn="0"/>
            </w:pPr>
            <w:r w:rsidRPr="007C23E8">
              <w:t>Diffuse large B-cell lymphoma</w:t>
            </w:r>
          </w:p>
        </w:tc>
      </w:tr>
      <w:tr w:rsidR="006C568A" w:rsidRPr="007C23E8"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08206610" w:rsidR="006C568A" w:rsidRPr="007C23E8" w:rsidRDefault="006C568A" w:rsidP="006C568A">
            <w:r w:rsidRPr="007C23E8">
              <w:t>PI</w:t>
            </w:r>
          </w:p>
        </w:tc>
        <w:tc>
          <w:tcPr>
            <w:tcW w:w="3800" w:type="pct"/>
          </w:tcPr>
          <w:p w14:paraId="4458E485" w14:textId="5DF833CD" w:rsidR="006C568A" w:rsidRPr="007C23E8" w:rsidRDefault="006C568A" w:rsidP="006C568A">
            <w:pPr>
              <w:cnfStyle w:val="000000000000" w:firstRow="0" w:lastRow="0" w:firstColumn="0" w:lastColumn="0" w:oddVBand="0" w:evenVBand="0" w:oddHBand="0" w:evenHBand="0" w:firstRowFirstColumn="0" w:firstRowLastColumn="0" w:lastRowFirstColumn="0" w:lastRowLastColumn="0"/>
            </w:pPr>
            <w:r w:rsidRPr="007C23E8">
              <w:t xml:space="preserve">Product Information </w:t>
            </w:r>
          </w:p>
        </w:tc>
      </w:tr>
      <w:tr w:rsidR="006C568A" w:rsidRPr="007C23E8"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15E81DF6" w:rsidR="006C568A" w:rsidRPr="007C23E8" w:rsidRDefault="006C568A" w:rsidP="006C568A">
            <w:r w:rsidRPr="007C23E8">
              <w:t>PSUR</w:t>
            </w:r>
          </w:p>
        </w:tc>
        <w:tc>
          <w:tcPr>
            <w:tcW w:w="3800" w:type="pct"/>
          </w:tcPr>
          <w:p w14:paraId="53D4D108" w14:textId="04D21BB8" w:rsidR="006C568A" w:rsidRPr="007C23E8" w:rsidRDefault="006C568A" w:rsidP="006C568A">
            <w:pPr>
              <w:cnfStyle w:val="000000000000" w:firstRow="0" w:lastRow="0" w:firstColumn="0" w:lastColumn="0" w:oddVBand="0" w:evenVBand="0" w:oddHBand="0" w:evenHBand="0" w:firstRowFirstColumn="0" w:firstRowLastColumn="0" w:lastRowFirstColumn="0" w:lastRowLastColumn="0"/>
            </w:pPr>
            <w:r w:rsidRPr="007C23E8">
              <w:t>Periodic safety update report</w:t>
            </w:r>
          </w:p>
        </w:tc>
      </w:tr>
      <w:tr w:rsidR="006C568A" w:rsidRPr="007C23E8" w14:paraId="43E921C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4459B6" w14:textId="0B7E21E9" w:rsidR="006C568A" w:rsidRPr="007C23E8" w:rsidRDefault="006C568A" w:rsidP="006C568A">
            <w:r w:rsidRPr="007C23E8">
              <w:t>RMP</w:t>
            </w:r>
          </w:p>
        </w:tc>
        <w:tc>
          <w:tcPr>
            <w:tcW w:w="3800" w:type="pct"/>
          </w:tcPr>
          <w:p w14:paraId="573268BE" w14:textId="00E7A6BD" w:rsidR="006C568A" w:rsidRPr="007C23E8" w:rsidRDefault="006C568A" w:rsidP="006C568A">
            <w:pPr>
              <w:cnfStyle w:val="000000000000" w:firstRow="0" w:lastRow="0" w:firstColumn="0" w:lastColumn="0" w:oddVBand="0" w:evenVBand="0" w:oddHBand="0" w:evenHBand="0" w:firstRowFirstColumn="0" w:firstRowLastColumn="0" w:lastRowFirstColumn="0" w:lastRowLastColumn="0"/>
            </w:pPr>
            <w:r w:rsidRPr="007C23E8">
              <w:t>Risk management plan</w:t>
            </w:r>
          </w:p>
        </w:tc>
      </w:tr>
      <w:tr w:rsidR="006C568A" w:rsidRPr="007C23E8" w14:paraId="16C2235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DA2B12" w14:textId="51F451E3" w:rsidR="006C568A" w:rsidRPr="007C23E8" w:rsidRDefault="006C568A" w:rsidP="006C568A">
            <w:r w:rsidRPr="007C23E8">
              <w:t>TGA</w:t>
            </w:r>
          </w:p>
        </w:tc>
        <w:tc>
          <w:tcPr>
            <w:tcW w:w="3800" w:type="pct"/>
          </w:tcPr>
          <w:p w14:paraId="7FB325E8" w14:textId="24F65845" w:rsidR="006C568A" w:rsidRPr="007C23E8" w:rsidRDefault="006C568A" w:rsidP="006C568A">
            <w:pPr>
              <w:cnfStyle w:val="000000000000" w:firstRow="0" w:lastRow="0" w:firstColumn="0" w:lastColumn="0" w:oddVBand="0" w:evenVBand="0" w:oddHBand="0" w:evenHBand="0" w:firstRowFirstColumn="0" w:firstRowLastColumn="0" w:lastRowFirstColumn="0" w:lastRowLastColumn="0"/>
            </w:pPr>
            <w:r w:rsidRPr="007C23E8">
              <w:t>Therapeutic Goods Administration</w:t>
            </w:r>
          </w:p>
        </w:tc>
      </w:tr>
    </w:tbl>
    <w:p w14:paraId="7378F926" w14:textId="77777777" w:rsidR="00324B33" w:rsidRPr="007C23E8" w:rsidRDefault="00324B33" w:rsidP="00324B33"/>
    <w:p w14:paraId="02FB1F38" w14:textId="77777777" w:rsidR="00324B33" w:rsidRPr="007C23E8" w:rsidRDefault="00324B33" w:rsidP="00324B33">
      <w:pPr>
        <w:spacing w:after="200" w:line="0" w:lineRule="auto"/>
        <w:rPr>
          <w:b/>
          <w:i/>
          <w:sz w:val="24"/>
          <w:szCs w:val="24"/>
        </w:rPr>
      </w:pPr>
      <w:r w:rsidRPr="007C23E8">
        <w:rPr>
          <w:b/>
          <w:i/>
          <w:sz w:val="24"/>
          <w:szCs w:val="24"/>
        </w:rPr>
        <w:br w:type="page"/>
      </w:r>
    </w:p>
    <w:p w14:paraId="44C2A39C" w14:textId="77777777" w:rsidR="00324B33" w:rsidRPr="007C23E8" w:rsidRDefault="00324B33" w:rsidP="00324B33">
      <w:pPr>
        <w:pStyle w:val="Heading2"/>
      </w:pPr>
      <w:bookmarkStart w:id="6" w:name="_Toc103679288"/>
      <w:bookmarkStart w:id="7" w:name="_Toc152160770"/>
      <w:bookmarkStart w:id="8" w:name="_Toc153375867"/>
      <w:r w:rsidRPr="007C23E8">
        <w:lastRenderedPageBreak/>
        <w:t>Product submission</w:t>
      </w:r>
      <w:bookmarkEnd w:id="6"/>
      <w:bookmarkEnd w:id="7"/>
      <w:bookmarkEnd w:id="8"/>
    </w:p>
    <w:p w14:paraId="21D559DF" w14:textId="77777777" w:rsidR="00324B33" w:rsidRPr="007C23E8" w:rsidRDefault="00324B33" w:rsidP="00324B33">
      <w:pPr>
        <w:pStyle w:val="Heading3"/>
        <w:rPr>
          <w:lang w:eastAsia="en-AU"/>
        </w:rPr>
      </w:pPr>
      <w:bookmarkStart w:id="9" w:name="_Toc247691502"/>
      <w:bookmarkStart w:id="10" w:name="_Toc314842483"/>
      <w:bookmarkStart w:id="11" w:name="_Toc103679289"/>
      <w:bookmarkStart w:id="12" w:name="_Toc152160771"/>
      <w:bookmarkStart w:id="13" w:name="_Toc153375868"/>
      <w:r w:rsidRPr="007C23E8">
        <w:rPr>
          <w:lang w:eastAsia="en-AU"/>
        </w:rPr>
        <w:t>Submission details</w:t>
      </w:r>
      <w:bookmarkEnd w:id="9"/>
      <w:bookmarkEnd w:id="10"/>
      <w:bookmarkEnd w:id="11"/>
      <w:bookmarkEnd w:id="12"/>
      <w:bookmarkEnd w:id="13"/>
    </w:p>
    <w:tbl>
      <w:tblPr>
        <w:tblW w:w="5000" w:type="pct"/>
        <w:tblLook w:val="01E0" w:firstRow="1" w:lastRow="1" w:firstColumn="1" w:lastColumn="1" w:noHBand="0" w:noVBand="0"/>
      </w:tblPr>
      <w:tblGrid>
        <w:gridCol w:w="2861"/>
        <w:gridCol w:w="6209"/>
      </w:tblGrid>
      <w:tr w:rsidR="00324B33" w:rsidRPr="007C23E8" w14:paraId="77D11C95" w14:textId="77777777" w:rsidTr="2613FE17">
        <w:tc>
          <w:tcPr>
            <w:tcW w:w="1577" w:type="pct"/>
          </w:tcPr>
          <w:p w14:paraId="10E57D62" w14:textId="36E67A5F" w:rsidR="00324B33" w:rsidRPr="007C23E8" w:rsidRDefault="00324B33" w:rsidP="007452E8">
            <w:pPr>
              <w:rPr>
                <w:i/>
                <w:szCs w:val="22"/>
              </w:rPr>
            </w:pPr>
            <w:r w:rsidRPr="007C23E8">
              <w:rPr>
                <w:i/>
                <w:szCs w:val="22"/>
              </w:rPr>
              <w:t>Type of submission:</w:t>
            </w:r>
          </w:p>
        </w:tc>
        <w:tc>
          <w:tcPr>
            <w:tcW w:w="3423" w:type="pct"/>
          </w:tcPr>
          <w:p w14:paraId="4F07C303" w14:textId="1F64066B" w:rsidR="00324B33" w:rsidRPr="007C23E8" w:rsidRDefault="00FD1581" w:rsidP="007452E8">
            <w:pPr>
              <w:rPr>
                <w:szCs w:val="22"/>
              </w:rPr>
            </w:pPr>
            <w:r w:rsidRPr="007C23E8">
              <w:rPr>
                <w:szCs w:val="22"/>
              </w:rPr>
              <w:t>New biological entity</w:t>
            </w:r>
          </w:p>
        </w:tc>
      </w:tr>
      <w:tr w:rsidR="00324B33" w:rsidRPr="007C23E8" w14:paraId="13482B61" w14:textId="77777777" w:rsidTr="2613FE17">
        <w:tc>
          <w:tcPr>
            <w:tcW w:w="1577" w:type="pct"/>
          </w:tcPr>
          <w:p w14:paraId="2C427FCF" w14:textId="637338BF" w:rsidR="00324B33" w:rsidRPr="007C23E8" w:rsidRDefault="00324B33" w:rsidP="007452E8">
            <w:pPr>
              <w:rPr>
                <w:i/>
                <w:szCs w:val="22"/>
              </w:rPr>
            </w:pPr>
            <w:r w:rsidRPr="007C23E8">
              <w:rPr>
                <w:i/>
                <w:szCs w:val="22"/>
              </w:rPr>
              <w:t>Product name:</w:t>
            </w:r>
          </w:p>
        </w:tc>
        <w:tc>
          <w:tcPr>
            <w:tcW w:w="3423" w:type="pct"/>
          </w:tcPr>
          <w:p w14:paraId="0E2DEF76" w14:textId="4ACD39E8" w:rsidR="00324B33" w:rsidRPr="007C23E8" w:rsidRDefault="00CA3E1D" w:rsidP="101C7A34">
            <w:r>
              <w:t>Minjuvi</w:t>
            </w:r>
          </w:p>
        </w:tc>
      </w:tr>
      <w:tr w:rsidR="00324B33" w:rsidRPr="007C23E8" w14:paraId="01255B5B" w14:textId="77777777" w:rsidTr="2613FE17">
        <w:tc>
          <w:tcPr>
            <w:tcW w:w="1577" w:type="pct"/>
          </w:tcPr>
          <w:p w14:paraId="52B4F3D7" w14:textId="5EDC9631" w:rsidR="00324B33" w:rsidRPr="007C23E8" w:rsidRDefault="00324B33" w:rsidP="007452E8">
            <w:pPr>
              <w:rPr>
                <w:i/>
                <w:szCs w:val="22"/>
              </w:rPr>
            </w:pPr>
            <w:r w:rsidRPr="007C23E8">
              <w:rPr>
                <w:i/>
                <w:szCs w:val="22"/>
              </w:rPr>
              <w:t>Active ingredient:</w:t>
            </w:r>
          </w:p>
        </w:tc>
        <w:tc>
          <w:tcPr>
            <w:tcW w:w="3423" w:type="pct"/>
          </w:tcPr>
          <w:p w14:paraId="02FB6383" w14:textId="7084020F" w:rsidR="00324B33" w:rsidRPr="007C23E8" w:rsidRDefault="00CA3E1D" w:rsidP="007452E8">
            <w:pPr>
              <w:rPr>
                <w:szCs w:val="22"/>
              </w:rPr>
            </w:pPr>
            <w:r w:rsidRPr="007C23E8">
              <w:rPr>
                <w:rFonts w:cs="Cambria"/>
                <w:szCs w:val="22"/>
              </w:rPr>
              <w:t>Tafasitamab</w:t>
            </w:r>
          </w:p>
        </w:tc>
      </w:tr>
      <w:tr w:rsidR="00324B33" w:rsidRPr="007C23E8" w14:paraId="219A281B" w14:textId="77777777" w:rsidTr="2613FE17">
        <w:tc>
          <w:tcPr>
            <w:tcW w:w="1577" w:type="pct"/>
          </w:tcPr>
          <w:p w14:paraId="112E5F78" w14:textId="77777777" w:rsidR="00324B33" w:rsidRPr="007C23E8" w:rsidRDefault="00324B33" w:rsidP="007452E8">
            <w:pPr>
              <w:rPr>
                <w:i/>
                <w:szCs w:val="22"/>
              </w:rPr>
            </w:pPr>
            <w:r w:rsidRPr="007C23E8">
              <w:rPr>
                <w:i/>
                <w:szCs w:val="22"/>
              </w:rPr>
              <w:t>Decision:</w:t>
            </w:r>
          </w:p>
        </w:tc>
        <w:tc>
          <w:tcPr>
            <w:tcW w:w="3423" w:type="pct"/>
          </w:tcPr>
          <w:p w14:paraId="3B114BEA" w14:textId="05F2C3F6" w:rsidR="00324B33" w:rsidRPr="007C23E8" w:rsidRDefault="00324B33" w:rsidP="007452E8">
            <w:pPr>
              <w:rPr>
                <w:szCs w:val="22"/>
              </w:rPr>
            </w:pPr>
            <w:r w:rsidRPr="007C23E8">
              <w:rPr>
                <w:szCs w:val="22"/>
              </w:rPr>
              <w:t>Approved for provisional registration</w:t>
            </w:r>
          </w:p>
        </w:tc>
      </w:tr>
      <w:tr w:rsidR="00AE1947" w:rsidRPr="007C23E8" w14:paraId="32B72632" w14:textId="77777777" w:rsidTr="2613FE17">
        <w:tc>
          <w:tcPr>
            <w:tcW w:w="1577" w:type="pct"/>
          </w:tcPr>
          <w:p w14:paraId="332A5CD5" w14:textId="1A79C3BD" w:rsidR="00AE1947" w:rsidRPr="007C23E8" w:rsidRDefault="00AE1947" w:rsidP="005A4E62">
            <w:pPr>
              <w:rPr>
                <w:i/>
                <w:szCs w:val="22"/>
              </w:rPr>
            </w:pPr>
            <w:r w:rsidRPr="007C23E8">
              <w:rPr>
                <w:i/>
                <w:szCs w:val="22"/>
              </w:rPr>
              <w:t>Date of decision:</w:t>
            </w:r>
          </w:p>
        </w:tc>
        <w:tc>
          <w:tcPr>
            <w:tcW w:w="3423" w:type="pct"/>
          </w:tcPr>
          <w:p w14:paraId="7B381CD6" w14:textId="374EA9AF" w:rsidR="00AE1947" w:rsidRPr="007C23E8" w:rsidRDefault="005C2979">
            <w:pPr>
              <w:rPr>
                <w:szCs w:val="22"/>
              </w:rPr>
            </w:pPr>
            <w:r w:rsidRPr="007C23E8">
              <w:rPr>
                <w:szCs w:val="22"/>
              </w:rPr>
              <w:t>19 June 2023</w:t>
            </w:r>
          </w:p>
        </w:tc>
      </w:tr>
      <w:tr w:rsidR="00324B33" w:rsidRPr="007C23E8" w14:paraId="60A25F5A" w14:textId="77777777" w:rsidTr="2613FE17">
        <w:tc>
          <w:tcPr>
            <w:tcW w:w="1577" w:type="pct"/>
          </w:tcPr>
          <w:p w14:paraId="5C5E4CBA" w14:textId="77777777" w:rsidR="00324B33" w:rsidRPr="007C23E8" w:rsidRDefault="00324B33" w:rsidP="007452E8">
            <w:pPr>
              <w:rPr>
                <w:i/>
                <w:szCs w:val="22"/>
              </w:rPr>
            </w:pPr>
            <w:r w:rsidRPr="007C23E8">
              <w:rPr>
                <w:i/>
                <w:szCs w:val="22"/>
              </w:rPr>
              <w:t>Date of entry onto ARTG:</w:t>
            </w:r>
          </w:p>
        </w:tc>
        <w:tc>
          <w:tcPr>
            <w:tcW w:w="3423" w:type="pct"/>
          </w:tcPr>
          <w:p w14:paraId="28B270E9" w14:textId="0AB16D4E" w:rsidR="00324B33" w:rsidRPr="007C23E8" w:rsidRDefault="005C2979" w:rsidP="007452E8">
            <w:pPr>
              <w:rPr>
                <w:szCs w:val="22"/>
              </w:rPr>
            </w:pPr>
            <w:r w:rsidRPr="007C23E8">
              <w:rPr>
                <w:szCs w:val="22"/>
              </w:rPr>
              <w:t>20 June 2023</w:t>
            </w:r>
          </w:p>
        </w:tc>
      </w:tr>
      <w:tr w:rsidR="00324B33" w:rsidRPr="007C23E8" w14:paraId="547E08D7" w14:textId="77777777" w:rsidTr="2613FE17">
        <w:tc>
          <w:tcPr>
            <w:tcW w:w="1577" w:type="pct"/>
          </w:tcPr>
          <w:p w14:paraId="5030EF30" w14:textId="218CC76E" w:rsidR="00324B33" w:rsidRPr="007C23E8" w:rsidRDefault="00324B33" w:rsidP="007452E8">
            <w:pPr>
              <w:rPr>
                <w:i/>
                <w:szCs w:val="22"/>
              </w:rPr>
            </w:pPr>
            <w:r w:rsidRPr="007C23E8">
              <w:rPr>
                <w:i/>
                <w:szCs w:val="22"/>
              </w:rPr>
              <w:t>ARTG number:</w:t>
            </w:r>
          </w:p>
        </w:tc>
        <w:tc>
          <w:tcPr>
            <w:tcW w:w="3423" w:type="pct"/>
          </w:tcPr>
          <w:p w14:paraId="0054E912" w14:textId="1777F468" w:rsidR="00324B33" w:rsidRPr="007C23E8" w:rsidRDefault="005C2979" w:rsidP="101C7A34">
            <w:r>
              <w:t>387298</w:t>
            </w:r>
          </w:p>
        </w:tc>
      </w:tr>
      <w:tr w:rsidR="00324B33" w:rsidRPr="007C23E8" w14:paraId="7618393F" w14:textId="77777777" w:rsidTr="2613FE17">
        <w:tc>
          <w:tcPr>
            <w:tcW w:w="1577" w:type="pct"/>
          </w:tcPr>
          <w:p w14:paraId="6C24CEB6" w14:textId="472CE3AA" w:rsidR="00E47E0C" w:rsidRPr="007C23E8" w:rsidRDefault="00324B33" w:rsidP="007452E8">
            <w:pPr>
              <w:rPr>
                <w:rStyle w:val="Hyperlink"/>
                <w:i/>
                <w:szCs w:val="22"/>
              </w:rPr>
            </w:pPr>
            <w:r w:rsidRPr="007C23E8">
              <w:rPr>
                <w:rFonts w:ascii="Wingdings 3" w:hAnsi="Wingdings 3"/>
                <w:szCs w:val="22"/>
                <w:lang w:eastAsia="en-AU"/>
              </w:rPr>
              <w:t></w:t>
            </w:r>
            <w:hyperlink r:id="rId18" w:history="1">
              <w:r w:rsidRPr="007C23E8">
                <w:rPr>
                  <w:rStyle w:val="Hyperlink"/>
                  <w:i/>
                  <w:szCs w:val="22"/>
                </w:rPr>
                <w:t>Black Triangle Scheme</w:t>
              </w:r>
            </w:hyperlink>
          </w:p>
          <w:p w14:paraId="02260DE2" w14:textId="1FC334AE" w:rsidR="00324B33" w:rsidRPr="007C23E8" w:rsidRDefault="00E47E0C" w:rsidP="007452E8">
            <w:pPr>
              <w:rPr>
                <w:i/>
                <w:szCs w:val="22"/>
              </w:rPr>
            </w:pPr>
            <w:r w:rsidRPr="007C23E8">
              <w:rPr>
                <w:i/>
                <w:szCs w:val="22"/>
              </w:rPr>
              <w:t xml:space="preserve">for </w:t>
            </w:r>
            <w:r w:rsidR="007B04DE" w:rsidRPr="007C23E8">
              <w:rPr>
                <w:i/>
                <w:szCs w:val="22"/>
              </w:rPr>
              <w:t>the current</w:t>
            </w:r>
            <w:r w:rsidRPr="007C23E8">
              <w:rPr>
                <w:i/>
                <w:szCs w:val="22"/>
              </w:rPr>
              <w:t xml:space="preserve"> submission</w:t>
            </w:r>
            <w:r w:rsidR="00324B33" w:rsidRPr="007C23E8">
              <w:rPr>
                <w:i/>
                <w:szCs w:val="22"/>
              </w:rPr>
              <w:t>:</w:t>
            </w:r>
          </w:p>
        </w:tc>
        <w:tc>
          <w:tcPr>
            <w:tcW w:w="3423" w:type="pct"/>
          </w:tcPr>
          <w:p w14:paraId="6FF3C6A2" w14:textId="4100EC1D" w:rsidR="005C2979" w:rsidRPr="007C23E8" w:rsidRDefault="005C2979" w:rsidP="007452E8">
            <w:pPr>
              <w:rPr>
                <w:szCs w:val="22"/>
              </w:rPr>
            </w:pPr>
            <w:r w:rsidRPr="007C23E8">
              <w:t>Yes</w:t>
            </w:r>
          </w:p>
        </w:tc>
      </w:tr>
      <w:tr w:rsidR="00324B33" w:rsidRPr="007C23E8" w14:paraId="179E09FE" w14:textId="77777777" w:rsidTr="2613FE17">
        <w:tc>
          <w:tcPr>
            <w:tcW w:w="1577" w:type="pct"/>
          </w:tcPr>
          <w:p w14:paraId="1A592498" w14:textId="77777777" w:rsidR="00324B33" w:rsidRPr="007C23E8" w:rsidRDefault="00324B33" w:rsidP="007452E8">
            <w:pPr>
              <w:rPr>
                <w:i/>
                <w:szCs w:val="22"/>
              </w:rPr>
            </w:pPr>
            <w:r w:rsidRPr="007C23E8">
              <w:rPr>
                <w:i/>
                <w:szCs w:val="22"/>
              </w:rPr>
              <w:t>Sponsor’s name and address:</w:t>
            </w:r>
          </w:p>
        </w:tc>
        <w:tc>
          <w:tcPr>
            <w:tcW w:w="3423" w:type="pct"/>
          </w:tcPr>
          <w:p w14:paraId="6A47ACA4" w14:textId="77777777" w:rsidR="00324B33" w:rsidRPr="007C23E8" w:rsidRDefault="00CA3E1D" w:rsidP="007452E8">
            <w:pPr>
              <w:rPr>
                <w:szCs w:val="22"/>
              </w:rPr>
            </w:pPr>
            <w:r w:rsidRPr="007C23E8">
              <w:rPr>
                <w:szCs w:val="22"/>
              </w:rPr>
              <w:t>Specialised Therapeutics Alim Pty Ltd</w:t>
            </w:r>
          </w:p>
          <w:p w14:paraId="68DD94B0" w14:textId="21C1F66D" w:rsidR="00CA3E1D" w:rsidRPr="007C23E8" w:rsidRDefault="00CA3E1D" w:rsidP="007452E8">
            <w:pPr>
              <w:rPr>
                <w:szCs w:val="22"/>
              </w:rPr>
            </w:pPr>
            <w:r w:rsidRPr="007C23E8">
              <w:rPr>
                <w:szCs w:val="22"/>
              </w:rPr>
              <w:t>Level 2, 17 Cotham Road, Kew, V</w:t>
            </w:r>
            <w:r w:rsidR="005C2979" w:rsidRPr="007C23E8">
              <w:rPr>
                <w:szCs w:val="22"/>
              </w:rPr>
              <w:t>IC</w:t>
            </w:r>
            <w:r w:rsidRPr="007C23E8">
              <w:rPr>
                <w:szCs w:val="22"/>
              </w:rPr>
              <w:t xml:space="preserve"> 3101</w:t>
            </w:r>
          </w:p>
        </w:tc>
      </w:tr>
      <w:tr w:rsidR="00324B33" w:rsidRPr="007C23E8" w14:paraId="5322B989" w14:textId="77777777" w:rsidTr="2613FE17">
        <w:tc>
          <w:tcPr>
            <w:tcW w:w="1577" w:type="pct"/>
          </w:tcPr>
          <w:p w14:paraId="24F217E3" w14:textId="66818197" w:rsidR="00324B33" w:rsidRPr="007C23E8" w:rsidRDefault="00324B33" w:rsidP="007452E8">
            <w:pPr>
              <w:rPr>
                <w:i/>
                <w:szCs w:val="22"/>
              </w:rPr>
            </w:pPr>
            <w:r w:rsidRPr="007C23E8">
              <w:rPr>
                <w:i/>
                <w:szCs w:val="22"/>
              </w:rPr>
              <w:t>Dose form:</w:t>
            </w:r>
          </w:p>
        </w:tc>
        <w:tc>
          <w:tcPr>
            <w:tcW w:w="3423" w:type="pct"/>
          </w:tcPr>
          <w:p w14:paraId="768B254C" w14:textId="6D0779CC" w:rsidR="00324B33" w:rsidRPr="007C23E8" w:rsidRDefault="005C2979" w:rsidP="007452E8">
            <w:pPr>
              <w:rPr>
                <w:szCs w:val="22"/>
              </w:rPr>
            </w:pPr>
            <w:r w:rsidRPr="007C23E8">
              <w:rPr>
                <w:szCs w:val="22"/>
              </w:rPr>
              <w:t>Powder for solution for infusion</w:t>
            </w:r>
          </w:p>
        </w:tc>
      </w:tr>
      <w:tr w:rsidR="00324B33" w:rsidRPr="007C23E8" w14:paraId="115243E6" w14:textId="77777777" w:rsidTr="2613FE17">
        <w:tc>
          <w:tcPr>
            <w:tcW w:w="1577" w:type="pct"/>
          </w:tcPr>
          <w:p w14:paraId="7634B062" w14:textId="4AB653D6" w:rsidR="00324B33" w:rsidRPr="007C23E8" w:rsidRDefault="00324B33" w:rsidP="007452E8">
            <w:pPr>
              <w:rPr>
                <w:i/>
                <w:szCs w:val="22"/>
              </w:rPr>
            </w:pPr>
            <w:r w:rsidRPr="007C23E8">
              <w:rPr>
                <w:i/>
                <w:szCs w:val="22"/>
              </w:rPr>
              <w:t>Strength:</w:t>
            </w:r>
          </w:p>
        </w:tc>
        <w:tc>
          <w:tcPr>
            <w:tcW w:w="3423" w:type="pct"/>
          </w:tcPr>
          <w:p w14:paraId="5E5F83DB" w14:textId="3589DD1C" w:rsidR="00324B33" w:rsidRPr="007C23E8" w:rsidRDefault="005C2979" w:rsidP="007452E8">
            <w:pPr>
              <w:rPr>
                <w:szCs w:val="22"/>
              </w:rPr>
            </w:pPr>
            <w:r w:rsidRPr="007C23E8">
              <w:rPr>
                <w:szCs w:val="22"/>
              </w:rPr>
              <w:t>200 mg</w:t>
            </w:r>
          </w:p>
        </w:tc>
      </w:tr>
      <w:tr w:rsidR="00324B33" w:rsidRPr="007C23E8" w14:paraId="34B07BA6" w14:textId="77777777" w:rsidTr="2613FE17">
        <w:tc>
          <w:tcPr>
            <w:tcW w:w="1577" w:type="pct"/>
          </w:tcPr>
          <w:p w14:paraId="1C039224" w14:textId="074972C4" w:rsidR="00324B33" w:rsidRPr="007C23E8" w:rsidRDefault="00324B33" w:rsidP="007452E8">
            <w:pPr>
              <w:rPr>
                <w:i/>
                <w:szCs w:val="22"/>
              </w:rPr>
            </w:pPr>
            <w:r w:rsidRPr="007C23E8">
              <w:rPr>
                <w:i/>
                <w:szCs w:val="22"/>
              </w:rPr>
              <w:t>Container:</w:t>
            </w:r>
          </w:p>
        </w:tc>
        <w:tc>
          <w:tcPr>
            <w:tcW w:w="3423" w:type="pct"/>
          </w:tcPr>
          <w:p w14:paraId="500A42C6" w14:textId="2642215D" w:rsidR="00324B33" w:rsidRPr="007C23E8" w:rsidRDefault="005C2979" w:rsidP="007452E8">
            <w:pPr>
              <w:rPr>
                <w:szCs w:val="22"/>
              </w:rPr>
            </w:pPr>
            <w:r w:rsidRPr="007C23E8">
              <w:rPr>
                <w:szCs w:val="22"/>
              </w:rPr>
              <w:t>Vial</w:t>
            </w:r>
          </w:p>
        </w:tc>
      </w:tr>
      <w:tr w:rsidR="00324B33" w:rsidRPr="007C23E8" w14:paraId="176B6773" w14:textId="77777777" w:rsidTr="2613FE17">
        <w:tc>
          <w:tcPr>
            <w:tcW w:w="1577" w:type="pct"/>
          </w:tcPr>
          <w:p w14:paraId="71846159" w14:textId="3420BFE7" w:rsidR="00324B33" w:rsidRPr="007C23E8" w:rsidRDefault="00324B33" w:rsidP="007452E8">
            <w:pPr>
              <w:rPr>
                <w:i/>
                <w:szCs w:val="22"/>
              </w:rPr>
            </w:pPr>
            <w:r w:rsidRPr="007C23E8">
              <w:rPr>
                <w:i/>
                <w:szCs w:val="22"/>
              </w:rPr>
              <w:t>Pack size:</w:t>
            </w:r>
          </w:p>
        </w:tc>
        <w:tc>
          <w:tcPr>
            <w:tcW w:w="3423" w:type="pct"/>
          </w:tcPr>
          <w:p w14:paraId="7E978F8F" w14:textId="29344F98" w:rsidR="00324B33" w:rsidRPr="007C23E8" w:rsidRDefault="005C2979" w:rsidP="007452E8">
            <w:pPr>
              <w:rPr>
                <w:szCs w:val="22"/>
              </w:rPr>
            </w:pPr>
            <w:r w:rsidRPr="007C23E8">
              <w:rPr>
                <w:szCs w:val="22"/>
              </w:rPr>
              <w:t>One vial per carton</w:t>
            </w:r>
          </w:p>
        </w:tc>
      </w:tr>
      <w:tr w:rsidR="00324B33" w:rsidRPr="007C23E8" w14:paraId="19A2544A" w14:textId="77777777" w:rsidTr="2613FE17">
        <w:tc>
          <w:tcPr>
            <w:tcW w:w="1577" w:type="pct"/>
          </w:tcPr>
          <w:p w14:paraId="0E6C5C0E" w14:textId="7DB3FC66" w:rsidR="00324B33" w:rsidRPr="007C23E8" w:rsidRDefault="00324B33" w:rsidP="007452E8">
            <w:pPr>
              <w:rPr>
                <w:i/>
                <w:szCs w:val="22"/>
              </w:rPr>
            </w:pPr>
            <w:r w:rsidRPr="007C23E8">
              <w:rPr>
                <w:i/>
                <w:szCs w:val="22"/>
              </w:rPr>
              <w:t>Approved therapeutic use</w:t>
            </w:r>
            <w:r w:rsidR="00E47E0C" w:rsidRPr="007C23E8">
              <w:rPr>
                <w:i/>
                <w:szCs w:val="22"/>
              </w:rPr>
              <w:t xml:space="preserve"> </w:t>
            </w:r>
            <w:r w:rsidR="007B04DE" w:rsidRPr="007C23E8">
              <w:rPr>
                <w:i/>
                <w:szCs w:val="22"/>
              </w:rPr>
              <w:t>for the current</w:t>
            </w:r>
            <w:r w:rsidR="00E47E0C" w:rsidRPr="007C23E8">
              <w:rPr>
                <w:i/>
                <w:szCs w:val="22"/>
              </w:rPr>
              <w:t xml:space="preserve"> submission</w:t>
            </w:r>
            <w:r w:rsidRPr="007C23E8">
              <w:rPr>
                <w:i/>
                <w:szCs w:val="22"/>
              </w:rPr>
              <w:t>:</w:t>
            </w:r>
          </w:p>
        </w:tc>
        <w:tc>
          <w:tcPr>
            <w:tcW w:w="3423" w:type="pct"/>
          </w:tcPr>
          <w:p w14:paraId="1B1B4D9B" w14:textId="35B59DF2" w:rsidR="0003693D" w:rsidRPr="007C23E8" w:rsidRDefault="00A66955" w:rsidP="0003693D">
            <w:pPr>
              <w:rPr>
                <w:i/>
                <w:iCs/>
              </w:rPr>
            </w:pPr>
            <w:r w:rsidRPr="007C23E8">
              <w:rPr>
                <w:i/>
                <w:iCs/>
              </w:rPr>
              <w:t xml:space="preserve">Minjuvi </w:t>
            </w:r>
            <w:r w:rsidR="0003693D" w:rsidRPr="007C23E8">
              <w:rPr>
                <w:i/>
                <w:iCs/>
              </w:rPr>
              <w:t xml:space="preserve">is indicated in combination with lenalidomide followed by </w:t>
            </w:r>
            <w:r w:rsidRPr="007C23E8">
              <w:rPr>
                <w:i/>
                <w:iCs/>
              </w:rPr>
              <w:t xml:space="preserve">Minjuvi </w:t>
            </w:r>
            <w:r w:rsidR="0003693D" w:rsidRPr="007C23E8">
              <w:rPr>
                <w:i/>
                <w:iCs/>
              </w:rPr>
              <w:t>monotherapy for the treatment of adult patients with relapsed or refractory diffuse large B-cell lymphoma (DLBCL) who are not eligible for autologous stem cell transplant (ASCT).</w:t>
            </w:r>
          </w:p>
          <w:p w14:paraId="6E143E2E" w14:textId="7334C01A" w:rsidR="0003693D" w:rsidRPr="007C23E8" w:rsidRDefault="0003693D" w:rsidP="0003693D">
            <w:r w:rsidRPr="007C23E8">
              <w:rPr>
                <w:i/>
                <w:iCs/>
              </w:rPr>
              <w:t>This indication was approved via the provisional approval pathway, based on objective response rate and duration of response in a single arm trial. Continued approval for this indication depends on verification and description of clinical benefit in a confirmatory trial.</w:t>
            </w:r>
          </w:p>
        </w:tc>
      </w:tr>
      <w:tr w:rsidR="00324B33" w:rsidRPr="007C23E8" w14:paraId="5AFDEED3" w14:textId="77777777" w:rsidTr="2613FE17">
        <w:tc>
          <w:tcPr>
            <w:tcW w:w="1577" w:type="pct"/>
          </w:tcPr>
          <w:p w14:paraId="03884BD1" w14:textId="606EDE2C" w:rsidR="00324B33" w:rsidRPr="007C23E8" w:rsidRDefault="00324B33" w:rsidP="101C7A34">
            <w:pPr>
              <w:rPr>
                <w:i/>
                <w:iCs/>
              </w:rPr>
            </w:pPr>
            <w:r w:rsidRPr="3C098AC6">
              <w:rPr>
                <w:i/>
                <w:iCs/>
              </w:rPr>
              <w:t>Route of administration:</w:t>
            </w:r>
          </w:p>
        </w:tc>
        <w:tc>
          <w:tcPr>
            <w:tcW w:w="3423" w:type="pct"/>
          </w:tcPr>
          <w:p w14:paraId="1ED1357E" w14:textId="1F725E55" w:rsidR="00324B33" w:rsidRPr="007C23E8" w:rsidRDefault="005C2979" w:rsidP="101C7A34">
            <w:r>
              <w:t>Intravenous infusion</w:t>
            </w:r>
          </w:p>
        </w:tc>
      </w:tr>
      <w:tr w:rsidR="00324B33" w:rsidRPr="007C23E8" w14:paraId="70D7E9FA" w14:textId="77777777" w:rsidTr="2613FE17">
        <w:tc>
          <w:tcPr>
            <w:tcW w:w="1577" w:type="pct"/>
          </w:tcPr>
          <w:p w14:paraId="5ABFFC80" w14:textId="77777777" w:rsidR="00324B33" w:rsidRPr="007C23E8" w:rsidRDefault="00324B33" w:rsidP="007452E8">
            <w:pPr>
              <w:rPr>
                <w:i/>
                <w:szCs w:val="22"/>
              </w:rPr>
            </w:pPr>
            <w:r w:rsidRPr="007C23E8">
              <w:rPr>
                <w:i/>
                <w:szCs w:val="22"/>
              </w:rPr>
              <w:t>Dosage:</w:t>
            </w:r>
          </w:p>
        </w:tc>
        <w:tc>
          <w:tcPr>
            <w:tcW w:w="3423" w:type="pct"/>
          </w:tcPr>
          <w:p w14:paraId="2A6E3DD0" w14:textId="77777777" w:rsidR="001A711A" w:rsidRPr="007C23E8" w:rsidRDefault="00680567" w:rsidP="00680567">
            <w:r w:rsidRPr="007C23E8">
              <w:t>Minjuvi must be administered by a healthcare professional experienced in treatment of cancer patients.</w:t>
            </w:r>
          </w:p>
          <w:p w14:paraId="1D173BF2" w14:textId="77777777" w:rsidR="001A711A" w:rsidRPr="007C23E8" w:rsidRDefault="00680567" w:rsidP="00680567">
            <w:pPr>
              <w:rPr>
                <w:b/>
                <w:bCs/>
              </w:rPr>
            </w:pPr>
            <w:r w:rsidRPr="007C23E8">
              <w:rPr>
                <w:b/>
                <w:bCs/>
              </w:rPr>
              <w:t>Recommended pre-medication</w:t>
            </w:r>
          </w:p>
          <w:p w14:paraId="3349AB00" w14:textId="77777777" w:rsidR="001A711A" w:rsidRPr="007C23E8" w:rsidRDefault="00680567" w:rsidP="00680567">
            <w:r>
              <w:t>A pre-medication to reduce the risk of infusion-related reactions should be administered 30 minutes to 2 hours prior to tafasitamab infusion. For patients not experiencing infusion related reactions during the first 3 infusions, pre-medication is optional for subsequent infusions.</w:t>
            </w:r>
          </w:p>
          <w:p w14:paraId="2A757C0D" w14:textId="77777777" w:rsidR="001A711A" w:rsidRPr="007C23E8" w:rsidRDefault="00680567" w:rsidP="00680567">
            <w:r>
              <w:t>The recommended dose of Minjuvi is 12 mg per kg body weight administered as an intravenous infusion according to the following schedule:</w:t>
            </w:r>
          </w:p>
          <w:p w14:paraId="5CC11536" w14:textId="4BC6B9FA" w:rsidR="00680567" w:rsidRPr="007C23E8" w:rsidRDefault="00680567" w:rsidP="00680567">
            <w:pPr>
              <w:pStyle w:val="ListBullet"/>
            </w:pPr>
            <w:r w:rsidRPr="007C23E8">
              <w:lastRenderedPageBreak/>
              <w:t>Cycle 1: infusion on Day</w:t>
            </w:r>
            <w:r w:rsidR="00A0241E" w:rsidRPr="007C23E8">
              <w:t>s</w:t>
            </w:r>
            <w:r w:rsidRPr="007C23E8">
              <w:t xml:space="preserve"> 1, 4, 8, 15 and 22 of the cycle.</w:t>
            </w:r>
          </w:p>
          <w:p w14:paraId="38FFEF56" w14:textId="21D98284" w:rsidR="001A711A" w:rsidRPr="007C23E8" w:rsidRDefault="00680567" w:rsidP="00680567">
            <w:pPr>
              <w:pStyle w:val="ListBullet"/>
            </w:pPr>
            <w:r w:rsidRPr="007C23E8">
              <w:t>Cycles 2 and 3: infusion on Day</w:t>
            </w:r>
            <w:r w:rsidR="00A0241E" w:rsidRPr="007C23E8">
              <w:t>s</w:t>
            </w:r>
            <w:r w:rsidRPr="007C23E8">
              <w:t xml:space="preserve"> 1, 8, 15 and 22 of each cycle.</w:t>
            </w:r>
          </w:p>
          <w:p w14:paraId="3E9895F7" w14:textId="3070BB80" w:rsidR="001A711A" w:rsidRPr="007C23E8" w:rsidRDefault="00680567" w:rsidP="00680567">
            <w:pPr>
              <w:pStyle w:val="ListBullet"/>
            </w:pPr>
            <w:r w:rsidRPr="007C23E8">
              <w:t>Cycle 4 until disease progression: infusion on Day</w:t>
            </w:r>
            <w:r w:rsidR="00A0241E" w:rsidRPr="007C23E8">
              <w:t>s</w:t>
            </w:r>
            <w:r w:rsidRPr="007C23E8">
              <w:t xml:space="preserve"> 1 and 15 of each cycle.</w:t>
            </w:r>
          </w:p>
          <w:p w14:paraId="04B983B0" w14:textId="55DA9BD1" w:rsidR="00680567" w:rsidRPr="007C23E8" w:rsidRDefault="00680567" w:rsidP="00680567">
            <w:r>
              <w:t>Each cycle has 28 days.</w:t>
            </w:r>
          </w:p>
          <w:p w14:paraId="3D0B2D5C" w14:textId="6E29920D" w:rsidR="00324B33" w:rsidRPr="007C23E8" w:rsidRDefault="00324B33" w:rsidP="00680567">
            <w:r w:rsidRPr="007C23E8">
              <w:t xml:space="preserve">For further information regarding dosage, </w:t>
            </w:r>
            <w:r w:rsidR="006B7126" w:rsidRPr="007C23E8">
              <w:t xml:space="preserve">such as dosage modifications to manage adverse reactions, </w:t>
            </w:r>
            <w:r w:rsidRPr="007C23E8">
              <w:t>refer to the Product Information.</w:t>
            </w:r>
          </w:p>
        </w:tc>
      </w:tr>
      <w:tr w:rsidR="0017005C" w:rsidRPr="007C23E8" w14:paraId="7B7BB6AE" w14:textId="77777777" w:rsidTr="2613FE17">
        <w:tc>
          <w:tcPr>
            <w:tcW w:w="1577" w:type="pct"/>
          </w:tcPr>
          <w:p w14:paraId="3A76AFF7" w14:textId="7C436DD9" w:rsidR="0017005C" w:rsidRPr="007C23E8" w:rsidRDefault="0070330F" w:rsidP="0017005C">
            <w:r w:rsidRPr="007C23E8">
              <w:rPr>
                <w:i/>
                <w:szCs w:val="22"/>
              </w:rPr>
              <w:lastRenderedPageBreak/>
              <w:t>Pregnancy category:</w:t>
            </w:r>
          </w:p>
        </w:tc>
        <w:tc>
          <w:tcPr>
            <w:tcW w:w="3423" w:type="pct"/>
          </w:tcPr>
          <w:p w14:paraId="25DDB3C5" w14:textId="7564C6D7" w:rsidR="003223EB" w:rsidRPr="007C23E8" w:rsidRDefault="003223EB" w:rsidP="007967C3">
            <w:r>
              <w:t>C</w:t>
            </w:r>
          </w:p>
          <w:p w14:paraId="7E6E07A5" w14:textId="60013E9D" w:rsidR="003223EB" w:rsidRPr="007C23E8" w:rsidRDefault="00AF117B" w:rsidP="007967C3">
            <w:r w:rsidRPr="007C23E8">
              <w:t xml:space="preserve">Drugs which, owing to their pharmacological effects, have </w:t>
            </w:r>
            <w:proofErr w:type="gramStart"/>
            <w:r w:rsidRPr="007C23E8">
              <w:t>caused</w:t>
            </w:r>
            <w:proofErr w:type="gramEnd"/>
            <w:r w:rsidRPr="007C23E8">
              <w:t xml:space="preserve"> or may be suspected of causing, harmful effects on the human fetus or neonate without causing malformations. These effects may be reversible. Accompanying texts should be consulted for further details.</w:t>
            </w:r>
          </w:p>
          <w:p w14:paraId="76497789" w14:textId="734A2115" w:rsidR="0017005C" w:rsidRPr="007C23E8" w:rsidRDefault="0070330F" w:rsidP="00306E72">
            <w:pPr>
              <w:rPr>
                <w:szCs w:val="22"/>
              </w:rPr>
            </w:pPr>
            <w:r w:rsidRPr="007C23E8">
              <w:rPr>
                <w:szCs w:val="22"/>
              </w:rPr>
              <w:t xml:space="preserve">The use of any medicine during pregnancy requires careful consideration of both risks and benefits by the treating health professional. </w:t>
            </w:r>
            <w:r w:rsidR="00721059" w:rsidRPr="007C23E8">
              <w:rPr>
                <w:szCs w:val="22"/>
              </w:rPr>
              <w:t xml:space="preserve">The </w:t>
            </w:r>
            <w:hyperlink r:id="rId19" w:history="1">
              <w:r w:rsidR="00721059" w:rsidRPr="007C23E8">
                <w:rPr>
                  <w:rStyle w:val="Hyperlink"/>
                  <w:szCs w:val="22"/>
                </w:rPr>
                <w:t>pregnancy database</w:t>
              </w:r>
            </w:hyperlink>
            <w:r w:rsidR="00387984" w:rsidRPr="007C23E8">
              <w:t xml:space="preserve"> </w:t>
            </w:r>
            <w:r w:rsidRPr="007C23E8">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7C23E8">
                <w:rPr>
                  <w:rStyle w:val="Hyperlink"/>
                  <w:szCs w:val="22"/>
                </w:rPr>
                <w:t>obstetric drug information services</w:t>
              </w:r>
            </w:hyperlink>
            <w:r w:rsidRPr="007C23E8">
              <w:rPr>
                <w:szCs w:val="22"/>
              </w:rPr>
              <w:t xml:space="preserve"> in your </w:t>
            </w:r>
            <w:r w:rsidR="00306E72" w:rsidRPr="007C23E8">
              <w:rPr>
                <w:szCs w:val="22"/>
              </w:rPr>
              <w:t>s</w:t>
            </w:r>
            <w:r w:rsidRPr="007C23E8">
              <w:rPr>
                <w:szCs w:val="22"/>
              </w:rPr>
              <w:t xml:space="preserve">tate or </w:t>
            </w:r>
            <w:r w:rsidR="00306E72" w:rsidRPr="007C23E8">
              <w:rPr>
                <w:szCs w:val="22"/>
              </w:rPr>
              <w:t>t</w:t>
            </w:r>
            <w:r w:rsidRPr="007C23E8">
              <w:rPr>
                <w:szCs w:val="22"/>
              </w:rPr>
              <w:t>erritory.</w:t>
            </w:r>
          </w:p>
        </w:tc>
      </w:tr>
    </w:tbl>
    <w:p w14:paraId="51F2479F" w14:textId="1E34B277" w:rsidR="00324B33" w:rsidRPr="007C23E8" w:rsidRDefault="00324B33" w:rsidP="00324B33">
      <w:pPr>
        <w:pStyle w:val="Heading3"/>
      </w:pPr>
      <w:bookmarkStart w:id="14" w:name="_Toc247691503"/>
      <w:bookmarkStart w:id="15" w:name="_Toc314842484"/>
      <w:bookmarkStart w:id="16" w:name="_Toc103679290"/>
      <w:bookmarkStart w:id="17" w:name="_Toc152160772"/>
      <w:bookmarkStart w:id="18" w:name="_Toc153375869"/>
      <w:r>
        <w:t>Product background</w:t>
      </w:r>
      <w:bookmarkEnd w:id="14"/>
      <w:bookmarkEnd w:id="15"/>
      <w:bookmarkEnd w:id="16"/>
      <w:bookmarkEnd w:id="17"/>
      <w:bookmarkEnd w:id="18"/>
    </w:p>
    <w:p w14:paraId="59BF31D1" w14:textId="34873D4C" w:rsidR="001500A8" w:rsidRPr="007C23E8" w:rsidRDefault="00324B33" w:rsidP="00065839">
      <w:r w:rsidRPr="007C23E8">
        <w:t xml:space="preserve">This AusPAR describes the submission by </w:t>
      </w:r>
      <w:r w:rsidR="00CA3E1D" w:rsidRPr="007C23E8">
        <w:t>Specialised Therapeutics Alim Pty Ltd</w:t>
      </w:r>
      <w:r w:rsidRPr="007C23E8">
        <w:t xml:space="preserve"> (the sponsor) to register </w:t>
      </w:r>
      <w:r w:rsidR="00CA3E1D" w:rsidRPr="007C23E8">
        <w:t xml:space="preserve">Minjuvi </w:t>
      </w:r>
      <w:r w:rsidRPr="007C23E8">
        <w:t>(</w:t>
      </w:r>
      <w:r w:rsidR="00CA3E1D" w:rsidRPr="007C23E8">
        <w:t>tafasitamab)</w:t>
      </w:r>
      <w:r w:rsidRPr="007C23E8">
        <w:t xml:space="preserve"> </w:t>
      </w:r>
      <w:r w:rsidR="00E968F7" w:rsidRPr="007C23E8">
        <w:rPr>
          <w:szCs w:val="22"/>
        </w:rPr>
        <w:t>200 mg</w:t>
      </w:r>
      <w:r w:rsidRPr="007C23E8">
        <w:t xml:space="preserve">, </w:t>
      </w:r>
      <w:r w:rsidR="00E968F7" w:rsidRPr="007C23E8">
        <w:t>powder for solution for infusion</w:t>
      </w:r>
      <w:r w:rsidR="00D62877" w:rsidRPr="007C23E8">
        <w:t xml:space="preserve">, </w:t>
      </w:r>
      <w:r w:rsidR="00E968F7" w:rsidRPr="007C23E8">
        <w:t>vial</w:t>
      </w:r>
      <w:r w:rsidRPr="007C23E8">
        <w:t xml:space="preserve"> for the following proposed</w:t>
      </w:r>
      <w:r w:rsidR="00E968F7" w:rsidRPr="007C23E8">
        <w:t xml:space="preserve"> </w:t>
      </w:r>
      <w:r w:rsidRPr="007C23E8">
        <w:t>indication:</w:t>
      </w:r>
      <w:r w:rsidR="00D63760" w:rsidRPr="007C23E8">
        <w:rPr>
          <w:vertAlign w:val="superscript"/>
        </w:rPr>
        <w:footnoteReference w:id="2"/>
      </w:r>
    </w:p>
    <w:p w14:paraId="4C468114" w14:textId="209A79FE" w:rsidR="003C5BA6" w:rsidRPr="007C23E8" w:rsidRDefault="00F146CB" w:rsidP="003C5BA6">
      <w:pPr>
        <w:ind w:left="720"/>
        <w:rPr>
          <w:i/>
          <w:iCs/>
        </w:rPr>
      </w:pPr>
      <w:r w:rsidRPr="007C23E8">
        <w:rPr>
          <w:i/>
          <w:iCs/>
        </w:rPr>
        <w:t>Minjuvi</w:t>
      </w:r>
      <w:r w:rsidR="003C5BA6" w:rsidRPr="007C23E8">
        <w:rPr>
          <w:i/>
          <w:iCs/>
        </w:rPr>
        <w:t xml:space="preserve"> is indicated in combination with lenalidomide followed by </w:t>
      </w:r>
      <w:r w:rsidRPr="007C23E8">
        <w:rPr>
          <w:i/>
          <w:iCs/>
        </w:rPr>
        <w:t>Minjuvi</w:t>
      </w:r>
      <w:r w:rsidR="003C5BA6" w:rsidRPr="007C23E8">
        <w:rPr>
          <w:i/>
          <w:iCs/>
        </w:rPr>
        <w:t xml:space="preserve"> monotherapy for the treatment of adult patients with relapsed or refractory diffuse large B-cell lymphoma (DLBCL) who are not eligible for autologous stem cell transplant (ASCT).</w:t>
      </w:r>
    </w:p>
    <w:p w14:paraId="1E63A2AE" w14:textId="666065AD" w:rsidR="00CB6813" w:rsidRPr="007C23E8" w:rsidRDefault="004444B0" w:rsidP="00CB6813">
      <w:pPr>
        <w:pStyle w:val="Heading4"/>
      </w:pPr>
      <w:bookmarkStart w:id="19" w:name="_Toc152160773"/>
      <w:bookmarkStart w:id="20" w:name="_Toc153375870"/>
      <w:bookmarkStart w:id="21" w:name="_Toc314842485"/>
      <w:bookmarkStart w:id="22" w:name="_Toc247691504"/>
      <w:r w:rsidRPr="007C23E8">
        <w:t>The d</w:t>
      </w:r>
      <w:r w:rsidR="00CB6813" w:rsidRPr="007C23E8">
        <w:t>isease</w:t>
      </w:r>
      <w:bookmarkEnd w:id="19"/>
      <w:bookmarkEnd w:id="20"/>
    </w:p>
    <w:p w14:paraId="300C02F0" w14:textId="7685608B" w:rsidR="001D168D" w:rsidRPr="007C23E8" w:rsidRDefault="00AC5A67" w:rsidP="00B1228E">
      <w:r w:rsidRPr="007C23E8">
        <w:t>Diffuse large B-cell lymphoma (</w:t>
      </w:r>
      <w:r w:rsidR="001D168D" w:rsidRPr="007C23E8">
        <w:t>DLBCL</w:t>
      </w:r>
      <w:r w:rsidRPr="007C23E8">
        <w:t>)</w:t>
      </w:r>
      <w:r w:rsidR="001D168D" w:rsidRPr="007C23E8">
        <w:t xml:space="preserve"> is a form of lymphoma arising from B-cells that occurs most commonly between 65</w:t>
      </w:r>
      <w:r w:rsidR="00EF680F" w:rsidRPr="007C23E8">
        <w:t xml:space="preserve"> to </w:t>
      </w:r>
      <w:r w:rsidR="001D168D" w:rsidRPr="007C23E8">
        <w:t>74</w:t>
      </w:r>
      <w:r w:rsidR="00EF680F" w:rsidRPr="007C23E8">
        <w:t xml:space="preserve"> </w:t>
      </w:r>
      <w:r w:rsidR="001D168D" w:rsidRPr="007C23E8">
        <w:t>years of age. Initial treatment of DLBCL produces sustained remission (years) in 50</w:t>
      </w:r>
      <w:r w:rsidR="00EF680F" w:rsidRPr="007C23E8">
        <w:t xml:space="preserve">% to </w:t>
      </w:r>
      <w:r w:rsidR="001D168D" w:rsidRPr="007C23E8">
        <w:t>60% of cases. About 10</w:t>
      </w:r>
      <w:r w:rsidR="00EF680F" w:rsidRPr="007C23E8">
        <w:t xml:space="preserve">% to </w:t>
      </w:r>
      <w:r w:rsidR="001D168D" w:rsidRPr="007C23E8">
        <w:t>15% of cases will not respond to initial therapy, a situation termed ‘refractory DLBCL’. A further 30</w:t>
      </w:r>
      <w:r w:rsidR="00EF680F" w:rsidRPr="007C23E8">
        <w:t xml:space="preserve">% to </w:t>
      </w:r>
      <w:r w:rsidR="001D168D" w:rsidRPr="007C23E8">
        <w:t>40% of patients will relapse within 2 years of initially successful treatment, a situation termed ‘relapsed DLBCL’</w:t>
      </w:r>
      <w:r w:rsidR="00EF680F" w:rsidRPr="007C23E8">
        <w:t>.</w:t>
      </w:r>
    </w:p>
    <w:p w14:paraId="57D97C6A" w14:textId="4A79DCBE" w:rsidR="001D168D" w:rsidRPr="007C23E8" w:rsidRDefault="001D168D" w:rsidP="00B1228E">
      <w:r w:rsidRPr="007C23E8">
        <w:t xml:space="preserve">The decision as to which secondary and further treatment is appropriate for a particular patient is complex and often influenced by age, fitness, extent of malignant disease and other co-morbid </w:t>
      </w:r>
      <w:r w:rsidRPr="007C23E8">
        <w:lastRenderedPageBreak/>
        <w:t xml:space="preserve">conditions present. </w:t>
      </w:r>
      <w:proofErr w:type="gramStart"/>
      <w:r w:rsidRPr="007C23E8">
        <w:t>In particular, these</w:t>
      </w:r>
      <w:proofErr w:type="gramEnd"/>
      <w:r w:rsidRPr="007C23E8">
        <w:t xml:space="preserve"> influence the patient’s ability to tolerate or survive the toxicity associated with these options of </w:t>
      </w:r>
      <w:r w:rsidR="00AC5A67" w:rsidRPr="007C23E8">
        <w:t>relapsed or refractory</w:t>
      </w:r>
      <w:r w:rsidRPr="007C23E8">
        <w:t xml:space="preserve"> DLBCL treatment.</w:t>
      </w:r>
    </w:p>
    <w:p w14:paraId="4D86D66F" w14:textId="7E6F8316" w:rsidR="001D168D" w:rsidRPr="007C23E8" w:rsidRDefault="001D168D" w:rsidP="00B1228E">
      <w:r w:rsidRPr="007C23E8">
        <w:t xml:space="preserve">The median survival of all patients diagnosed with </w:t>
      </w:r>
      <w:r w:rsidR="00AC5A67" w:rsidRPr="007C23E8">
        <w:t>relapsed or refractory</w:t>
      </w:r>
      <w:r w:rsidRPr="007C23E8">
        <w:t xml:space="preserve"> DBCL is approximately 7</w:t>
      </w:r>
      <w:r w:rsidR="00AC5A67" w:rsidRPr="007C23E8">
        <w:t> </w:t>
      </w:r>
      <w:r w:rsidRPr="007C23E8">
        <w:t>months.</w:t>
      </w:r>
    </w:p>
    <w:p w14:paraId="255E083A" w14:textId="77777777" w:rsidR="00CB6813" w:rsidRPr="007C23E8" w:rsidRDefault="00CB6813" w:rsidP="00CB6813">
      <w:pPr>
        <w:pStyle w:val="Heading4"/>
      </w:pPr>
      <w:bookmarkStart w:id="23" w:name="_Toc152160774"/>
      <w:bookmarkStart w:id="24" w:name="_Toc153375871"/>
      <w:r w:rsidRPr="007C23E8">
        <w:t>Current treatment options</w:t>
      </w:r>
      <w:bookmarkEnd w:id="23"/>
      <w:bookmarkEnd w:id="24"/>
    </w:p>
    <w:p w14:paraId="570CB554" w14:textId="7F057B34" w:rsidR="00B1228E" w:rsidRPr="007C23E8" w:rsidRDefault="00B1228E" w:rsidP="00B1228E">
      <w:pPr>
        <w:rPr>
          <w:lang w:eastAsia="ja-JP"/>
        </w:rPr>
      </w:pPr>
      <w:r w:rsidRPr="007C23E8">
        <w:t xml:space="preserve">Currently there is no standard therapy for the treatment of relapsed or refractory DLBCL in subjects who are not eligible for </w:t>
      </w:r>
      <w:r w:rsidR="00AC5A67" w:rsidRPr="007C23E8">
        <w:t xml:space="preserve">high dose chemotherapy </w:t>
      </w:r>
      <w:r w:rsidRPr="007C23E8">
        <w:t>/</w:t>
      </w:r>
      <w:r w:rsidR="00AC5A67" w:rsidRPr="007C23E8">
        <w:t xml:space="preserve"> </w:t>
      </w:r>
      <w:r w:rsidRPr="007C23E8">
        <w:t>ASCT. Current consensus clinical practice guidelines</w:t>
      </w:r>
      <w:bookmarkStart w:id="25" w:name="_Ref152059533"/>
      <w:r w:rsidR="00FF4558" w:rsidRPr="007C23E8">
        <w:rPr>
          <w:rStyle w:val="FootnoteReference"/>
        </w:rPr>
        <w:footnoteReference w:id="3"/>
      </w:r>
      <w:bookmarkEnd w:id="25"/>
      <w:r w:rsidR="00FF4558" w:rsidRPr="007C23E8">
        <w:rPr>
          <w:vertAlign w:val="superscript"/>
        </w:rPr>
        <w:t>,</w:t>
      </w:r>
      <w:r w:rsidR="00FF4558" w:rsidRPr="007C23E8">
        <w:rPr>
          <w:rStyle w:val="FootnoteReference"/>
        </w:rPr>
        <w:footnoteReference w:id="4"/>
      </w:r>
      <w:r w:rsidRPr="007C23E8">
        <w:rPr>
          <w:vertAlign w:val="superscript"/>
        </w:rPr>
        <w:t xml:space="preserve"> </w:t>
      </w:r>
      <w:r w:rsidRPr="007C23E8">
        <w:t>recommend enrolment in a clinical trial or the following regimens as second-line therapy:</w:t>
      </w:r>
    </w:p>
    <w:p w14:paraId="1D953F5E" w14:textId="056346FC" w:rsidR="00B1228E" w:rsidRPr="007C23E8" w:rsidRDefault="0035716C" w:rsidP="00B1228E">
      <w:pPr>
        <w:pStyle w:val="ListBullet"/>
      </w:pPr>
      <w:r w:rsidRPr="007C23E8">
        <w:t>combination of gemcitabine and</w:t>
      </w:r>
      <w:r w:rsidR="00B1228E" w:rsidRPr="007C23E8">
        <w:t xml:space="preserve"> oxaliplatin</w:t>
      </w:r>
      <w:r w:rsidRPr="007C23E8">
        <w:t>,</w:t>
      </w:r>
      <w:r w:rsidR="00B1228E" w:rsidRPr="007C23E8">
        <w:t xml:space="preserve"> </w:t>
      </w:r>
      <w:r w:rsidR="000826AE" w:rsidRPr="007C23E8">
        <w:t>with or without</w:t>
      </w:r>
      <w:r w:rsidR="00B1228E" w:rsidRPr="007C23E8">
        <w:t xml:space="preserve"> rituximab</w:t>
      </w:r>
    </w:p>
    <w:p w14:paraId="01ACC98D" w14:textId="38E4F818" w:rsidR="00B1228E" w:rsidRPr="007C23E8" w:rsidRDefault="0035716C" w:rsidP="00B1228E">
      <w:pPr>
        <w:pStyle w:val="ListBullet"/>
      </w:pPr>
      <w:proofErr w:type="spellStart"/>
      <w:r w:rsidRPr="007C23E8">
        <w:t>polatuzumab</w:t>
      </w:r>
      <w:proofErr w:type="spellEnd"/>
      <w:r w:rsidRPr="007C23E8">
        <w:t xml:space="preserve"> </w:t>
      </w:r>
      <w:proofErr w:type="spellStart"/>
      <w:r w:rsidR="00B1228E" w:rsidRPr="007C23E8">
        <w:t>vedotin</w:t>
      </w:r>
      <w:proofErr w:type="spellEnd"/>
      <w:r w:rsidR="00B1228E" w:rsidRPr="007C23E8">
        <w:t xml:space="preserve"> </w:t>
      </w:r>
      <w:r w:rsidR="00AC5A67" w:rsidRPr="007C23E8">
        <w:t>with or without</w:t>
      </w:r>
      <w:r w:rsidR="00B1228E" w:rsidRPr="007C23E8">
        <w:t xml:space="preserve"> </w:t>
      </w:r>
      <w:proofErr w:type="spellStart"/>
      <w:r w:rsidR="00B1228E" w:rsidRPr="007C23E8">
        <w:t>bendamustine</w:t>
      </w:r>
      <w:proofErr w:type="spellEnd"/>
      <w:r w:rsidR="00AC5A67" w:rsidRPr="007C23E8">
        <w:t>, with or without</w:t>
      </w:r>
      <w:r w:rsidR="00B1228E" w:rsidRPr="007C23E8">
        <w:t xml:space="preserve"> rituximab</w:t>
      </w:r>
    </w:p>
    <w:p w14:paraId="5CBCD5E0" w14:textId="1CB1F2CB" w:rsidR="00B1228E" w:rsidRPr="007C23E8" w:rsidRDefault="0035716C" w:rsidP="00B1228E">
      <w:pPr>
        <w:pStyle w:val="ListBullet"/>
      </w:pPr>
      <w:r w:rsidRPr="007C23E8">
        <w:t>combination of tafasitamab and</w:t>
      </w:r>
      <w:r w:rsidR="00B1228E" w:rsidRPr="007C23E8">
        <w:t xml:space="preserve"> lenalidomide (the subject of this application).</w:t>
      </w:r>
    </w:p>
    <w:p w14:paraId="5365E04C" w14:textId="3447150F" w:rsidR="00B1228E" w:rsidRPr="007C23E8" w:rsidRDefault="00B1228E" w:rsidP="00B1228E">
      <w:r w:rsidRPr="007C23E8">
        <w:t>Other recommended regimens</w:t>
      </w:r>
      <w:r w:rsidR="00FF4558" w:rsidRPr="007C23E8">
        <w:rPr>
          <w:vertAlign w:val="superscript"/>
        </w:rPr>
        <w:fldChar w:fldCharType="begin"/>
      </w:r>
      <w:r w:rsidR="00FF4558" w:rsidRPr="007C23E8">
        <w:rPr>
          <w:vertAlign w:val="superscript"/>
        </w:rPr>
        <w:instrText xml:space="preserve"> NOTEREF _Ref152059533 \h  \* MERGEFORMAT </w:instrText>
      </w:r>
      <w:r w:rsidR="00FF4558" w:rsidRPr="007C23E8">
        <w:rPr>
          <w:vertAlign w:val="superscript"/>
        </w:rPr>
      </w:r>
      <w:r w:rsidR="00FF4558" w:rsidRPr="007C23E8">
        <w:rPr>
          <w:vertAlign w:val="superscript"/>
        </w:rPr>
        <w:fldChar w:fldCharType="separate"/>
      </w:r>
      <w:r w:rsidR="0062128D">
        <w:rPr>
          <w:vertAlign w:val="superscript"/>
        </w:rPr>
        <w:t>2</w:t>
      </w:r>
      <w:r w:rsidR="00FF4558" w:rsidRPr="007C23E8">
        <w:rPr>
          <w:vertAlign w:val="superscript"/>
        </w:rPr>
        <w:fldChar w:fldCharType="end"/>
      </w:r>
      <w:r w:rsidRPr="007C23E8">
        <w:t xml:space="preserve"> include the following:</w:t>
      </w:r>
    </w:p>
    <w:p w14:paraId="065AA000" w14:textId="2DC4C0FB" w:rsidR="00B1228E" w:rsidRPr="007C23E8" w:rsidRDefault="0035716C" w:rsidP="00B1228E">
      <w:pPr>
        <w:pStyle w:val="ListBullet"/>
      </w:pPr>
      <w:r w:rsidRPr="007C23E8">
        <w:t>combination of c</w:t>
      </w:r>
      <w:r w:rsidR="00B1228E" w:rsidRPr="007C23E8">
        <w:t>yclophosphamide</w:t>
      </w:r>
      <w:r w:rsidRPr="007C23E8">
        <w:t>,</w:t>
      </w:r>
      <w:r w:rsidR="00B1228E" w:rsidRPr="007C23E8">
        <w:t xml:space="preserve"> etoposide</w:t>
      </w:r>
      <w:r w:rsidRPr="007C23E8">
        <w:t>,</w:t>
      </w:r>
      <w:r w:rsidR="00B1228E" w:rsidRPr="007C23E8">
        <w:t xml:space="preserve"> </w:t>
      </w:r>
      <w:proofErr w:type="gramStart"/>
      <w:r w:rsidR="00B1228E" w:rsidRPr="007C23E8">
        <w:t>vincristine</w:t>
      </w:r>
      <w:proofErr w:type="gramEnd"/>
      <w:r w:rsidRPr="007C23E8">
        <w:t xml:space="preserve"> and</w:t>
      </w:r>
      <w:r w:rsidR="00B1228E" w:rsidRPr="007C23E8">
        <w:t xml:space="preserve"> prednisone</w:t>
      </w:r>
      <w:r w:rsidRPr="007C23E8">
        <w:t>,</w:t>
      </w:r>
      <w:r w:rsidR="00B1228E" w:rsidRPr="007C23E8">
        <w:t xml:space="preserve"> </w:t>
      </w:r>
      <w:r w:rsidR="00AC5A67" w:rsidRPr="007C23E8">
        <w:t xml:space="preserve">with or without </w:t>
      </w:r>
      <w:r w:rsidR="00B1228E" w:rsidRPr="007C23E8">
        <w:t>rituximab</w:t>
      </w:r>
    </w:p>
    <w:p w14:paraId="5DB8D20D" w14:textId="1F8AE01F" w:rsidR="00B1228E" w:rsidRPr="007C23E8" w:rsidRDefault="0035716C" w:rsidP="00B1228E">
      <w:pPr>
        <w:pStyle w:val="ListBullet"/>
      </w:pPr>
      <w:r w:rsidRPr="007C23E8">
        <w:t>d</w:t>
      </w:r>
      <w:r w:rsidR="00B1228E" w:rsidRPr="007C23E8">
        <w:t xml:space="preserve">ose-adjusted </w:t>
      </w:r>
      <w:r w:rsidRPr="007C23E8">
        <w:t xml:space="preserve">combination of </w:t>
      </w:r>
      <w:r w:rsidR="00B1228E" w:rsidRPr="007C23E8">
        <w:t>rituximab</w:t>
      </w:r>
      <w:r w:rsidRPr="007C23E8">
        <w:t>,</w:t>
      </w:r>
      <w:r w:rsidR="00B1228E" w:rsidRPr="007C23E8">
        <w:t xml:space="preserve"> etoposide</w:t>
      </w:r>
      <w:r w:rsidRPr="007C23E8">
        <w:t>,</w:t>
      </w:r>
      <w:r w:rsidR="00B1228E" w:rsidRPr="007C23E8">
        <w:t xml:space="preserve"> prednisolone</w:t>
      </w:r>
      <w:r w:rsidRPr="007C23E8">
        <w:t>,</w:t>
      </w:r>
      <w:r w:rsidR="00B1228E" w:rsidRPr="007C23E8">
        <w:t xml:space="preserve"> vincristine</w:t>
      </w:r>
      <w:r w:rsidRPr="007C23E8">
        <w:t>,</w:t>
      </w:r>
      <w:r w:rsidR="00B1228E" w:rsidRPr="007C23E8">
        <w:t xml:space="preserve"> </w:t>
      </w:r>
      <w:proofErr w:type="gramStart"/>
      <w:r w:rsidR="00B1228E" w:rsidRPr="007C23E8">
        <w:t>cyclophosphamide</w:t>
      </w:r>
      <w:proofErr w:type="gramEnd"/>
      <w:r w:rsidR="00B1228E" w:rsidRPr="007C23E8">
        <w:t xml:space="preserve"> </w:t>
      </w:r>
      <w:r w:rsidRPr="007C23E8">
        <w:t>and</w:t>
      </w:r>
      <w:r w:rsidR="00B1228E" w:rsidRPr="007C23E8">
        <w:t xml:space="preserve"> doxorubicin</w:t>
      </w:r>
      <w:r w:rsidRPr="007C23E8">
        <w:t>,</w:t>
      </w:r>
      <w:r w:rsidR="00B1228E" w:rsidRPr="007C23E8">
        <w:t xml:space="preserve"> </w:t>
      </w:r>
      <w:r w:rsidR="00AC5A67" w:rsidRPr="007C23E8">
        <w:t xml:space="preserve">with or without </w:t>
      </w:r>
      <w:r w:rsidR="00B1228E" w:rsidRPr="007C23E8">
        <w:t>rituximab</w:t>
      </w:r>
    </w:p>
    <w:p w14:paraId="165F2374" w14:textId="209A86C2" w:rsidR="00B1228E" w:rsidRPr="007C23E8" w:rsidRDefault="0035716C" w:rsidP="00B1228E">
      <w:pPr>
        <w:pStyle w:val="ListBullet"/>
      </w:pPr>
      <w:r w:rsidRPr="007C23E8">
        <w:t xml:space="preserve">combination of gemcitabine, </w:t>
      </w:r>
      <w:proofErr w:type="gramStart"/>
      <w:r w:rsidR="00B1228E" w:rsidRPr="007C23E8">
        <w:t>dexamethasone</w:t>
      </w:r>
      <w:proofErr w:type="gramEnd"/>
      <w:r w:rsidR="00B1228E" w:rsidRPr="007C23E8">
        <w:t xml:space="preserve"> </w:t>
      </w:r>
      <w:r w:rsidRPr="007C23E8">
        <w:t>and</w:t>
      </w:r>
      <w:r w:rsidR="00B1228E" w:rsidRPr="007C23E8">
        <w:t xml:space="preserve"> carboplatin</w:t>
      </w:r>
      <w:r w:rsidRPr="007C23E8">
        <w:t>,</w:t>
      </w:r>
      <w:r w:rsidR="00B1228E" w:rsidRPr="007C23E8">
        <w:t xml:space="preserve"> </w:t>
      </w:r>
      <w:r w:rsidR="00AC5A67" w:rsidRPr="007C23E8">
        <w:t xml:space="preserve">with or without </w:t>
      </w:r>
      <w:r w:rsidR="00B1228E" w:rsidRPr="007C23E8">
        <w:t>rituximab</w:t>
      </w:r>
    </w:p>
    <w:p w14:paraId="5ADFCDBD" w14:textId="79F60422" w:rsidR="00B1228E" w:rsidRPr="007C23E8" w:rsidRDefault="0035716C" w:rsidP="00B1228E">
      <w:pPr>
        <w:pStyle w:val="ListBullet"/>
      </w:pPr>
      <w:r w:rsidRPr="007C23E8">
        <w:t xml:space="preserve">combination of </w:t>
      </w:r>
      <w:r w:rsidR="00B1228E" w:rsidRPr="007C23E8">
        <w:t xml:space="preserve">Gemcitabine </w:t>
      </w:r>
      <w:r w:rsidRPr="007C23E8">
        <w:t xml:space="preserve">and </w:t>
      </w:r>
      <w:r w:rsidR="00B1228E" w:rsidRPr="007C23E8">
        <w:t>vinorelbine</w:t>
      </w:r>
      <w:r w:rsidRPr="007C23E8">
        <w:t>,</w:t>
      </w:r>
      <w:r w:rsidR="001A711A" w:rsidRPr="007C23E8">
        <w:t xml:space="preserve"> </w:t>
      </w:r>
      <w:r w:rsidR="00AC5A67" w:rsidRPr="007C23E8">
        <w:t xml:space="preserve">with or without </w:t>
      </w:r>
      <w:r w:rsidR="00B1228E" w:rsidRPr="007C23E8">
        <w:t>rituximab</w:t>
      </w:r>
    </w:p>
    <w:p w14:paraId="56E4B921" w14:textId="00398BB6" w:rsidR="00B1228E" w:rsidRPr="007C23E8" w:rsidRDefault="0035716C" w:rsidP="00B1228E">
      <w:pPr>
        <w:pStyle w:val="ListBullet"/>
      </w:pPr>
      <w:r w:rsidRPr="007C23E8">
        <w:t xml:space="preserve">rituximab </w:t>
      </w:r>
      <w:r w:rsidR="00B1228E" w:rsidRPr="007C23E8">
        <w:t>monotherapy</w:t>
      </w:r>
    </w:p>
    <w:p w14:paraId="1F9F0F4A" w14:textId="73177AF6" w:rsidR="00B1228E" w:rsidRPr="007C23E8" w:rsidRDefault="0035716C" w:rsidP="00B1228E">
      <w:pPr>
        <w:pStyle w:val="ListBullet"/>
      </w:pPr>
      <w:r w:rsidRPr="007C23E8">
        <w:t xml:space="preserve">brentuximab </w:t>
      </w:r>
      <w:r w:rsidR="00B1228E" w:rsidRPr="007C23E8">
        <w:t xml:space="preserve">vedotin (for </w:t>
      </w:r>
      <w:r w:rsidRPr="007C23E8">
        <w:t>cluster of differentiation (</w:t>
      </w:r>
      <w:r w:rsidR="00B1228E" w:rsidRPr="007C23E8">
        <w:t>CD</w:t>
      </w:r>
      <w:r w:rsidRPr="007C23E8">
        <w:t>)</w:t>
      </w:r>
      <w:r w:rsidR="00B1228E" w:rsidRPr="007C23E8">
        <w:t>30+ disease)</w:t>
      </w:r>
    </w:p>
    <w:p w14:paraId="341A5DBB" w14:textId="0D7C1A70" w:rsidR="00B1228E" w:rsidRPr="007C23E8" w:rsidRDefault="0035716C" w:rsidP="00B1228E">
      <w:pPr>
        <w:pStyle w:val="ListBullet"/>
      </w:pPr>
      <w:proofErr w:type="spellStart"/>
      <w:r w:rsidRPr="007C23E8">
        <w:t>bendamustine</w:t>
      </w:r>
      <w:proofErr w:type="spellEnd"/>
      <w:r w:rsidRPr="007C23E8">
        <w:t xml:space="preserve"> </w:t>
      </w:r>
      <w:r w:rsidR="00AC5A67" w:rsidRPr="007C23E8">
        <w:t xml:space="preserve">with or without </w:t>
      </w:r>
      <w:r w:rsidR="00B1228E" w:rsidRPr="007C23E8">
        <w:t>rituximab</w:t>
      </w:r>
    </w:p>
    <w:p w14:paraId="728A8C39" w14:textId="10021AAC" w:rsidR="00B1228E" w:rsidRPr="007C23E8" w:rsidRDefault="0035716C" w:rsidP="00B1228E">
      <w:pPr>
        <w:pStyle w:val="ListBullet"/>
      </w:pPr>
      <w:r w:rsidRPr="007C23E8">
        <w:t xml:space="preserve">ibrutinib </w:t>
      </w:r>
      <w:r w:rsidR="00B1228E" w:rsidRPr="007C23E8">
        <w:t>(for non-</w:t>
      </w:r>
      <w:r w:rsidRPr="007C23E8">
        <w:t xml:space="preserve">germinal centre B-cell like </w:t>
      </w:r>
      <w:r w:rsidR="00B1228E" w:rsidRPr="007C23E8">
        <w:t>DLBCL)</w:t>
      </w:r>
    </w:p>
    <w:p w14:paraId="483256E0" w14:textId="1631E774" w:rsidR="00B1228E" w:rsidRPr="007C23E8" w:rsidRDefault="00B1228E" w:rsidP="00B1228E">
      <w:pPr>
        <w:pStyle w:val="ListBullet"/>
      </w:pPr>
      <w:r w:rsidRPr="007C23E8">
        <w:t xml:space="preserve">Lenalidomide </w:t>
      </w:r>
      <w:r w:rsidR="00AC5A67" w:rsidRPr="007C23E8">
        <w:t xml:space="preserve">with or without </w:t>
      </w:r>
      <w:r w:rsidRPr="007C23E8">
        <w:t>rituximab (for non-</w:t>
      </w:r>
      <w:r w:rsidR="0035716C" w:rsidRPr="007C23E8">
        <w:t>germinal centre B-cell like</w:t>
      </w:r>
      <w:r w:rsidRPr="007C23E8">
        <w:t xml:space="preserve"> DLBCL).</w:t>
      </w:r>
    </w:p>
    <w:p w14:paraId="1540DFAF" w14:textId="66FB5318" w:rsidR="00B1228E" w:rsidRPr="007C23E8" w:rsidRDefault="00B1228E" w:rsidP="0035716C">
      <w:r w:rsidRPr="007C23E8">
        <w:t xml:space="preserve">Chimeric antigen receptor T-cell therapy is also a recommended form of therapy for </w:t>
      </w:r>
      <w:r w:rsidR="00AC5A67" w:rsidRPr="007C23E8">
        <w:t>relapsed or refractory</w:t>
      </w:r>
      <w:r w:rsidRPr="007C23E8">
        <w:t xml:space="preserve"> DLBCL. Two such therapies </w:t>
      </w:r>
      <w:proofErr w:type="spellStart"/>
      <w:r w:rsidR="0035716C" w:rsidRPr="007C23E8">
        <w:t>Yescarta</w:t>
      </w:r>
      <w:proofErr w:type="spellEnd"/>
      <w:r w:rsidR="0035716C" w:rsidRPr="007C23E8">
        <w:t xml:space="preserve"> </w:t>
      </w:r>
      <w:r w:rsidRPr="007C23E8">
        <w:t>(</w:t>
      </w:r>
      <w:proofErr w:type="spellStart"/>
      <w:r w:rsidRPr="007C23E8">
        <w:t>axicabtagene</w:t>
      </w:r>
      <w:proofErr w:type="spellEnd"/>
      <w:r w:rsidRPr="007C23E8">
        <w:t xml:space="preserve"> </w:t>
      </w:r>
      <w:proofErr w:type="spellStart"/>
      <w:r w:rsidRPr="007C23E8">
        <w:t>ciloleucel</w:t>
      </w:r>
      <w:proofErr w:type="spellEnd"/>
      <w:r w:rsidR="0035716C" w:rsidRPr="007C23E8">
        <w:t>)</w:t>
      </w:r>
      <w:r w:rsidRPr="007C23E8">
        <w:t xml:space="preserve"> and </w:t>
      </w:r>
      <w:r w:rsidR="0035716C" w:rsidRPr="007C23E8">
        <w:t>Kymriah (</w:t>
      </w:r>
      <w:proofErr w:type="spellStart"/>
      <w:r w:rsidRPr="007C23E8">
        <w:t>isagenlecleucel</w:t>
      </w:r>
      <w:proofErr w:type="spellEnd"/>
      <w:r w:rsidRPr="007C23E8">
        <w:t xml:space="preserve">) have been registered in Australia for the treatment of </w:t>
      </w:r>
      <w:r w:rsidR="00AC5A67" w:rsidRPr="007C23E8">
        <w:t>relapsed or refractory</w:t>
      </w:r>
      <w:r w:rsidRPr="007C23E8">
        <w:t xml:space="preserve"> DLBCL. Both these therapies target CD19. Their approved indications restrict use to third-line or later therapy (</w:t>
      </w:r>
      <w:r w:rsidR="00647000" w:rsidRPr="007C23E8">
        <w:t xml:space="preserve">that is, </w:t>
      </w:r>
      <w:r w:rsidRPr="007C23E8">
        <w:t>after two or more lines of systemic therapy).</w:t>
      </w:r>
    </w:p>
    <w:p w14:paraId="37C47E09" w14:textId="14D3762D" w:rsidR="00CB6813" w:rsidRPr="007C23E8" w:rsidRDefault="00CB6813" w:rsidP="00CB6813">
      <w:pPr>
        <w:pStyle w:val="Heading4"/>
      </w:pPr>
      <w:bookmarkStart w:id="26" w:name="_Toc152160775"/>
      <w:bookmarkStart w:id="27" w:name="_Toc153375872"/>
      <w:r>
        <w:t>Clinical rational</w:t>
      </w:r>
      <w:r w:rsidR="0025785B">
        <w:t>e</w:t>
      </w:r>
      <w:bookmarkEnd w:id="26"/>
      <w:bookmarkEnd w:id="27"/>
    </w:p>
    <w:p w14:paraId="18F79BB3" w14:textId="4B03DBA2" w:rsidR="00EF680F" w:rsidRPr="007C23E8" w:rsidRDefault="00EF680F" w:rsidP="00EF680F">
      <w:r w:rsidRPr="007C23E8">
        <w:t xml:space="preserve">Tafasitamab is a monoclonal antibody directed against CD19, which is an antigen expression on normal B-cells and most B-cell lymphomas. The choice of CD19 as a target may confer activity in patients who have been treated with </w:t>
      </w:r>
      <w:r w:rsidR="00225B62" w:rsidRPr="007C23E8">
        <w:t>rituximab</w:t>
      </w:r>
      <w:r w:rsidRPr="007C23E8">
        <w:t xml:space="preserve"> first-line, as this targets CD-20. The actions of </w:t>
      </w:r>
      <w:r w:rsidR="00292108" w:rsidRPr="007C23E8">
        <w:t xml:space="preserve">tafasitamab and lenalidomide </w:t>
      </w:r>
      <w:r w:rsidRPr="007C23E8">
        <w:t>are different and potentially complementary.</w:t>
      </w:r>
    </w:p>
    <w:p w14:paraId="32B047A3" w14:textId="5703DCE5" w:rsidR="00C00649" w:rsidRPr="007C23E8" w:rsidRDefault="00C00649" w:rsidP="00C00649">
      <w:r w:rsidRPr="007C23E8">
        <w:lastRenderedPageBreak/>
        <w:t xml:space="preserve">The clinical rationale for the development of tafasitamab in combination with lenalidomide, for the treatment of </w:t>
      </w:r>
      <w:r w:rsidR="00AC5A67" w:rsidRPr="007C23E8">
        <w:t>relapsed or refractory</w:t>
      </w:r>
      <w:r w:rsidRPr="007C23E8">
        <w:t xml:space="preserve"> DLBCL can be summarised by the following</w:t>
      </w:r>
      <w:r w:rsidR="004259DD" w:rsidRPr="007C23E8">
        <w:t>:</w:t>
      </w:r>
    </w:p>
    <w:p w14:paraId="2FB90CE3" w14:textId="4E7C47C1" w:rsidR="00C00649" w:rsidRPr="007C23E8" w:rsidRDefault="00C00649" w:rsidP="004F6584">
      <w:pPr>
        <w:pStyle w:val="ListBullet"/>
      </w:pPr>
      <w:r w:rsidRPr="007C23E8">
        <w:t xml:space="preserve">Patient outcomes with available treatments for </w:t>
      </w:r>
      <w:r w:rsidR="00AC5A67" w:rsidRPr="007C23E8">
        <w:t>relapsed or refractory</w:t>
      </w:r>
      <w:r w:rsidRPr="007C23E8">
        <w:t xml:space="preserve"> DLBCL remain largely </w:t>
      </w:r>
      <w:proofErr w:type="gramStart"/>
      <w:r w:rsidRPr="007C23E8">
        <w:t>unsatisfactory</w:t>
      </w:r>
      <w:proofErr w:type="gramEnd"/>
      <w:r w:rsidRPr="007C23E8">
        <w:t xml:space="preserve"> and a substantial proportion of patients do not achieve sustained remission and ultimately die of DLBCL. Patients who are not eligible for </w:t>
      </w:r>
      <w:r w:rsidR="00AC5A67" w:rsidRPr="007C23E8">
        <w:t xml:space="preserve">high dose </w:t>
      </w:r>
      <w:proofErr w:type="gramStart"/>
      <w:r w:rsidR="00AC5A67" w:rsidRPr="007C23E8">
        <w:t xml:space="preserve">chemotherapy </w:t>
      </w:r>
      <w:r w:rsidRPr="007C23E8">
        <w:t>/</w:t>
      </w:r>
      <w:r w:rsidR="00533178">
        <w:t xml:space="preserve"> </w:t>
      </w:r>
      <w:r w:rsidRPr="007C23E8">
        <w:t>ASCT in particular, have</w:t>
      </w:r>
      <w:proofErr w:type="gramEnd"/>
      <w:r w:rsidRPr="007C23E8">
        <w:t xml:space="preserve"> limited therapeutic options for a serious and life-threatening condition and are in urgent need of more tolerable and effective therapies.</w:t>
      </w:r>
    </w:p>
    <w:p w14:paraId="69301DAE" w14:textId="66478ED1" w:rsidR="00C00649" w:rsidRPr="007C23E8" w:rsidRDefault="00533178" w:rsidP="004F6584">
      <w:pPr>
        <w:pStyle w:val="ListBullet"/>
      </w:pPr>
      <w:r>
        <w:t>C</w:t>
      </w:r>
      <w:r w:rsidRPr="00533178">
        <w:t xml:space="preserve">luster of differentiation </w:t>
      </w:r>
      <w:r>
        <w:t>(</w:t>
      </w:r>
      <w:r w:rsidR="00C00649" w:rsidRPr="007C23E8">
        <w:t>CD</w:t>
      </w:r>
      <w:r>
        <w:t>)</w:t>
      </w:r>
      <w:r w:rsidR="00C00649" w:rsidRPr="007C23E8">
        <w:t>19 is broadly and homogeneously expressed in DLBCL and is therefore a rational target for therapy.</w:t>
      </w:r>
    </w:p>
    <w:p w14:paraId="75EF8568" w14:textId="77777777" w:rsidR="00C00649" w:rsidRPr="007C23E8" w:rsidRDefault="00C00649" w:rsidP="004F6584">
      <w:pPr>
        <w:pStyle w:val="ListBullet"/>
      </w:pPr>
      <w:r w:rsidRPr="007C23E8">
        <w:t>Rituximab (a monoclonal antibody targeting CD20) is a commonly used agent in DLBCL. After rituximab treatment, CD20 expression in DLBCL cells may be reduced or lost, whereas CD19 expression is preserved.</w:t>
      </w:r>
    </w:p>
    <w:p w14:paraId="00DDE7E3" w14:textId="1AC2A506" w:rsidR="00C00649" w:rsidRPr="007C23E8" w:rsidRDefault="00C00649" w:rsidP="004F6584">
      <w:pPr>
        <w:pStyle w:val="ListBullet"/>
      </w:pPr>
      <w:r w:rsidRPr="007C23E8">
        <w:t xml:space="preserve">Tafasitamab and lenalidomide have complementary modes of action. The mechanism of action of tafasitamab entails enhanced antibody-dependent cellular cytotoxicity, antibody-dependent cellular </w:t>
      </w:r>
      <w:proofErr w:type="gramStart"/>
      <w:r w:rsidRPr="007C23E8">
        <w:t>phagocytosis</w:t>
      </w:r>
      <w:proofErr w:type="gramEnd"/>
      <w:r w:rsidRPr="007C23E8">
        <w:t xml:space="preserve"> and direct cytotoxicity (apoptosis/inhibition of proliferation). Lenalidomide possesses both direct cytotoxic and immunomodulatory activity. The two drugs therefore act cooperatively against DLBCL cells.</w:t>
      </w:r>
    </w:p>
    <w:p w14:paraId="5C15A1BE" w14:textId="77777777" w:rsidR="00C00649" w:rsidRPr="007C23E8" w:rsidRDefault="00C00649" w:rsidP="004F6584">
      <w:pPr>
        <w:pStyle w:val="ListBullet"/>
      </w:pPr>
      <w:r w:rsidRPr="007C23E8">
        <w:t xml:space="preserve">Tafasitamab in combination with lenalidomide shows increased anti-lymphoma activity in preclinical </w:t>
      </w:r>
      <w:r w:rsidRPr="007C23E8">
        <w:rPr>
          <w:i/>
          <w:iCs/>
        </w:rPr>
        <w:t>in vitro</w:t>
      </w:r>
      <w:r w:rsidRPr="007C23E8">
        <w:t xml:space="preserve"> and </w:t>
      </w:r>
      <w:r w:rsidRPr="007C23E8">
        <w:rPr>
          <w:i/>
          <w:iCs/>
        </w:rPr>
        <w:t>in vivo</w:t>
      </w:r>
      <w:r w:rsidRPr="007C23E8">
        <w:t xml:space="preserve"> models, compared to monotherapy.</w:t>
      </w:r>
    </w:p>
    <w:p w14:paraId="0D615854" w14:textId="77777777" w:rsidR="00324B33" w:rsidRPr="007C23E8" w:rsidRDefault="00324B33" w:rsidP="00324B33">
      <w:pPr>
        <w:pStyle w:val="Heading3"/>
      </w:pPr>
      <w:bookmarkStart w:id="28" w:name="_Toc103679291"/>
      <w:bookmarkStart w:id="29" w:name="_Toc152160776"/>
      <w:bookmarkStart w:id="30" w:name="_Toc153375873"/>
      <w:r w:rsidRPr="007C23E8">
        <w:t>Regulatory status</w:t>
      </w:r>
      <w:bookmarkEnd w:id="21"/>
      <w:bookmarkEnd w:id="22"/>
      <w:bookmarkEnd w:id="28"/>
      <w:bookmarkEnd w:id="29"/>
      <w:bookmarkEnd w:id="30"/>
    </w:p>
    <w:p w14:paraId="72C889D6" w14:textId="7E200950" w:rsidR="0017005C" w:rsidRPr="007C23E8" w:rsidRDefault="0017005C" w:rsidP="00741AB9">
      <w:pPr>
        <w:pStyle w:val="Heading4"/>
      </w:pPr>
      <w:bookmarkStart w:id="31" w:name="_Toc152160777"/>
      <w:bookmarkStart w:id="32" w:name="_Toc153375874"/>
      <w:r w:rsidRPr="007C23E8">
        <w:t>Australian regulatory sta</w:t>
      </w:r>
      <w:r w:rsidR="0025785B" w:rsidRPr="007C23E8">
        <w:t>t</w:t>
      </w:r>
      <w:r w:rsidRPr="007C23E8">
        <w:t>us</w:t>
      </w:r>
      <w:bookmarkEnd w:id="31"/>
      <w:bookmarkEnd w:id="32"/>
    </w:p>
    <w:p w14:paraId="6A8633FA" w14:textId="3AEA6352" w:rsidR="00324B33" w:rsidRPr="007C23E8" w:rsidRDefault="00324B33" w:rsidP="00324B33">
      <w:pPr>
        <w:rPr>
          <w:szCs w:val="22"/>
        </w:rPr>
      </w:pPr>
      <w:r w:rsidRPr="007C23E8">
        <w:rPr>
          <w:szCs w:val="22"/>
        </w:rPr>
        <w:t>This product is considered a new biological entity for Australian regulatory purposes.</w:t>
      </w:r>
    </w:p>
    <w:p w14:paraId="546C1031" w14:textId="5BAB9E2C" w:rsidR="0017005C" w:rsidRPr="007C23E8" w:rsidRDefault="0017005C" w:rsidP="0017005C">
      <w:pPr>
        <w:pStyle w:val="Heading4"/>
      </w:pPr>
      <w:bookmarkStart w:id="33" w:name="_Toc152160778"/>
      <w:bookmarkStart w:id="34" w:name="_Toc153375875"/>
      <w:r w:rsidRPr="007C23E8">
        <w:t>Foreign regulatory status</w:t>
      </w:r>
      <w:bookmarkEnd w:id="33"/>
      <w:bookmarkEnd w:id="34"/>
    </w:p>
    <w:p w14:paraId="48CDFF4E" w14:textId="5B759EC4" w:rsidR="00C133AB" w:rsidRPr="007C23E8" w:rsidRDefault="00C133AB" w:rsidP="00C133AB">
      <w:r>
        <w:t xml:space="preserve">This evaluation was facilitated through </w:t>
      </w:r>
      <w:hyperlink r:id="rId21">
        <w:r w:rsidRPr="267A8B1F">
          <w:rPr>
            <w:rStyle w:val="Hyperlink"/>
          </w:rPr>
          <w:t>Project Orbis</w:t>
        </w:r>
      </w:hyperlink>
      <w:r>
        <w:t xml:space="preserve">, an initiative of the United States Food and Drug Administration (FDA) Oncology </w:t>
      </w:r>
      <w:proofErr w:type="spellStart"/>
      <w:r>
        <w:t>Center</w:t>
      </w:r>
      <w:proofErr w:type="spellEnd"/>
      <w:r>
        <w:t xml:space="preserve"> of Excellence. Under this project, the FDA, and the TGA collaboratively reviewed the submission. This evaluation process provided a framework for process alignment and management of evaluation issues in real-time across jurisdictions. Each regulator made independent decisions regarding approval (market authorisation) of the new medicine.</w:t>
      </w:r>
    </w:p>
    <w:p w14:paraId="7FDF4A0B" w14:textId="7EE5829A" w:rsidR="008F4A62" w:rsidRPr="007C23E8" w:rsidRDefault="008F4A62" w:rsidP="008F4A62">
      <w:r w:rsidRPr="007C23E8">
        <w:rPr>
          <w:szCs w:val="22"/>
        </w:rPr>
        <w:t>At the time the TGA considered this submission, a similar submission had been considered by other regulatory agencies. The following table summarises these submissions and provides the indications where approved.</w:t>
      </w:r>
    </w:p>
    <w:p w14:paraId="19B9E0AC" w14:textId="105C95B6" w:rsidR="00324B33" w:rsidRPr="007C23E8" w:rsidRDefault="00324B33" w:rsidP="00324B33">
      <w:pPr>
        <w:pStyle w:val="TableTitle"/>
      </w:pPr>
      <w:bookmarkStart w:id="35" w:name="_Ref99705479"/>
      <w:r>
        <w:t xml:space="preserve">Table </w:t>
      </w:r>
      <w:r w:rsidRPr="101C7A34">
        <w:fldChar w:fldCharType="begin"/>
      </w:r>
      <w:r>
        <w:instrText xml:space="preserve"> SEQ Table \* ARABIC </w:instrText>
      </w:r>
      <w:r w:rsidRPr="101C7A34">
        <w:fldChar w:fldCharType="separate"/>
      </w:r>
      <w:r w:rsidR="0062128D">
        <w:rPr>
          <w:noProof/>
        </w:rPr>
        <w:t>1</w:t>
      </w:r>
      <w:r w:rsidRPr="101C7A34">
        <w:rPr>
          <w:noProof/>
        </w:rPr>
        <w:fldChar w:fldCharType="end"/>
      </w:r>
      <w:bookmarkEnd w:id="35"/>
      <w:r>
        <w:t>: International regulatory status</w:t>
      </w:r>
    </w:p>
    <w:tbl>
      <w:tblPr>
        <w:tblStyle w:val="TableTGAblue2023"/>
        <w:tblW w:w="5000" w:type="pct"/>
        <w:tblLook w:val="04A0" w:firstRow="1" w:lastRow="0" w:firstColumn="1" w:lastColumn="0" w:noHBand="0" w:noVBand="1"/>
      </w:tblPr>
      <w:tblGrid>
        <w:gridCol w:w="1457"/>
        <w:gridCol w:w="1658"/>
        <w:gridCol w:w="1701"/>
        <w:gridCol w:w="4244"/>
      </w:tblGrid>
      <w:tr w:rsidR="00324B33" w:rsidRPr="007C23E8" w14:paraId="405E5D78" w14:textId="16839333" w:rsidTr="00FE0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Pr>
          <w:p w14:paraId="185B099B" w14:textId="7A4C0E6C" w:rsidR="00324B33" w:rsidRPr="007C23E8" w:rsidRDefault="00324B33" w:rsidP="00D373C7">
            <w:r w:rsidRPr="007C23E8">
              <w:t>Region</w:t>
            </w:r>
          </w:p>
        </w:tc>
        <w:tc>
          <w:tcPr>
            <w:tcW w:w="915" w:type="pct"/>
          </w:tcPr>
          <w:p w14:paraId="778C35C7" w14:textId="52D23C85" w:rsidR="00324B33" w:rsidRPr="007C23E8" w:rsidRDefault="00324B33" w:rsidP="00D373C7">
            <w:pPr>
              <w:cnfStyle w:val="100000000000" w:firstRow="1" w:lastRow="0" w:firstColumn="0" w:lastColumn="0" w:oddVBand="0" w:evenVBand="0" w:oddHBand="0" w:evenHBand="0" w:firstRowFirstColumn="0" w:firstRowLastColumn="0" w:lastRowFirstColumn="0" w:lastRowLastColumn="0"/>
            </w:pPr>
            <w:r w:rsidRPr="007C23E8">
              <w:t>Submission date</w:t>
            </w:r>
          </w:p>
        </w:tc>
        <w:tc>
          <w:tcPr>
            <w:tcW w:w="939" w:type="pct"/>
          </w:tcPr>
          <w:p w14:paraId="58F81584" w14:textId="66689ABF" w:rsidR="00324B33" w:rsidRPr="007C23E8" w:rsidRDefault="00324B33" w:rsidP="00D373C7">
            <w:pPr>
              <w:cnfStyle w:val="100000000000" w:firstRow="1" w:lastRow="0" w:firstColumn="0" w:lastColumn="0" w:oddVBand="0" w:evenVBand="0" w:oddHBand="0" w:evenHBand="0" w:firstRowFirstColumn="0" w:firstRowLastColumn="0" w:lastRowFirstColumn="0" w:lastRowLastColumn="0"/>
            </w:pPr>
            <w:r w:rsidRPr="007C23E8">
              <w:t>Status</w:t>
            </w:r>
          </w:p>
        </w:tc>
        <w:tc>
          <w:tcPr>
            <w:tcW w:w="2343" w:type="pct"/>
          </w:tcPr>
          <w:p w14:paraId="50B2D435" w14:textId="560588D2" w:rsidR="00324B33" w:rsidRPr="007C23E8" w:rsidRDefault="00324B33" w:rsidP="00D373C7">
            <w:pPr>
              <w:cnfStyle w:val="100000000000" w:firstRow="1" w:lastRow="0" w:firstColumn="0" w:lastColumn="0" w:oddVBand="0" w:evenVBand="0" w:oddHBand="0" w:evenHBand="0" w:firstRowFirstColumn="0" w:firstRowLastColumn="0" w:lastRowFirstColumn="0" w:lastRowLastColumn="0"/>
            </w:pPr>
            <w:r w:rsidRPr="007C23E8">
              <w:t>Approved indications</w:t>
            </w:r>
          </w:p>
        </w:tc>
      </w:tr>
      <w:tr w:rsidR="00324B33" w:rsidRPr="007C23E8" w14:paraId="38D24E86" w14:textId="77777777" w:rsidTr="00FE077F">
        <w:tc>
          <w:tcPr>
            <w:cnfStyle w:val="001000000000" w:firstRow="0" w:lastRow="0" w:firstColumn="1" w:lastColumn="0" w:oddVBand="0" w:evenVBand="0" w:oddHBand="0" w:evenHBand="0" w:firstRowFirstColumn="0" w:firstRowLastColumn="0" w:lastRowFirstColumn="0" w:lastRowLastColumn="0"/>
            <w:tcW w:w="804" w:type="pct"/>
          </w:tcPr>
          <w:p w14:paraId="4C540DE5" w14:textId="0286D523" w:rsidR="00324B33" w:rsidRPr="007C23E8" w:rsidRDefault="00BB3B23" w:rsidP="00D373C7">
            <w:r w:rsidRPr="007C23E8">
              <w:t>Brazil</w:t>
            </w:r>
          </w:p>
        </w:tc>
        <w:tc>
          <w:tcPr>
            <w:tcW w:w="915" w:type="pct"/>
          </w:tcPr>
          <w:p w14:paraId="4FA5DDA9" w14:textId="5CEBDE9C" w:rsidR="00296972" w:rsidRPr="00296972" w:rsidRDefault="00BC2F06" w:rsidP="001A6A66">
            <w:pPr>
              <w:ind w:left="0"/>
              <w:cnfStyle w:val="000000000000" w:firstRow="0" w:lastRow="0" w:firstColumn="0" w:lastColumn="0" w:oddVBand="0" w:evenVBand="0" w:oddHBand="0" w:evenHBand="0" w:firstRowFirstColumn="0" w:firstRowLastColumn="0" w:lastRowFirstColumn="0" w:lastRowLastColumn="0"/>
            </w:pPr>
            <w:r w:rsidRPr="007C23E8">
              <w:t>5 October</w:t>
            </w:r>
            <w:r w:rsidR="00D373C7" w:rsidRPr="007C23E8">
              <w:t xml:space="preserve"> </w:t>
            </w:r>
            <w:r w:rsidRPr="007C23E8">
              <w:t>2022</w:t>
            </w:r>
          </w:p>
        </w:tc>
        <w:tc>
          <w:tcPr>
            <w:tcW w:w="939" w:type="pct"/>
          </w:tcPr>
          <w:p w14:paraId="29358393" w14:textId="766EDA6F" w:rsidR="00324B33" w:rsidRPr="007C23E8" w:rsidRDefault="00D373C7" w:rsidP="00D373C7">
            <w:pPr>
              <w:cnfStyle w:val="000000000000" w:firstRow="0" w:lastRow="0" w:firstColumn="0" w:lastColumn="0" w:oddVBand="0" w:evenVBand="0" w:oddHBand="0" w:evenHBand="0" w:firstRowFirstColumn="0" w:firstRowLastColumn="0" w:lastRowFirstColumn="0" w:lastRowLastColumn="0"/>
            </w:pPr>
            <w:r w:rsidRPr="007C23E8">
              <w:t>Under consideration</w:t>
            </w:r>
          </w:p>
        </w:tc>
        <w:tc>
          <w:tcPr>
            <w:tcW w:w="2343" w:type="pct"/>
          </w:tcPr>
          <w:p w14:paraId="05055674" w14:textId="5157DDF8" w:rsidR="00324B33" w:rsidRPr="007C23E8" w:rsidRDefault="00D373C7" w:rsidP="00D373C7">
            <w:pPr>
              <w:cnfStyle w:val="000000000000" w:firstRow="0" w:lastRow="0" w:firstColumn="0" w:lastColumn="0" w:oddVBand="0" w:evenVBand="0" w:oddHBand="0" w:evenHBand="0" w:firstRowFirstColumn="0" w:firstRowLastColumn="0" w:lastRowFirstColumn="0" w:lastRowLastColumn="0"/>
            </w:pPr>
            <w:r w:rsidRPr="007C23E8">
              <w:t>Under consideration</w:t>
            </w:r>
          </w:p>
        </w:tc>
      </w:tr>
      <w:tr w:rsidR="00324B33" w:rsidRPr="007C23E8" w14:paraId="18B6E2AA" w14:textId="7783D66F" w:rsidTr="00FE077F">
        <w:tc>
          <w:tcPr>
            <w:cnfStyle w:val="001000000000" w:firstRow="0" w:lastRow="0" w:firstColumn="1" w:lastColumn="0" w:oddVBand="0" w:evenVBand="0" w:oddHBand="0" w:evenHBand="0" w:firstRowFirstColumn="0" w:firstRowLastColumn="0" w:lastRowFirstColumn="0" w:lastRowLastColumn="0"/>
            <w:tcW w:w="804" w:type="pct"/>
          </w:tcPr>
          <w:p w14:paraId="7F348960" w14:textId="03728F53" w:rsidR="00324B33" w:rsidRPr="007C23E8" w:rsidRDefault="00BC2F06" w:rsidP="00D373C7">
            <w:r w:rsidRPr="007C23E8">
              <w:lastRenderedPageBreak/>
              <w:t>Canada</w:t>
            </w:r>
          </w:p>
        </w:tc>
        <w:tc>
          <w:tcPr>
            <w:tcW w:w="915" w:type="pct"/>
          </w:tcPr>
          <w:p w14:paraId="1D871E57" w14:textId="578E2926" w:rsidR="00324B33" w:rsidRPr="007C23E8" w:rsidRDefault="00BC2F06" w:rsidP="00D373C7">
            <w:pPr>
              <w:spacing w:before="0" w:after="120" w:line="259" w:lineRule="auto"/>
              <w:ind w:left="0"/>
              <w:cnfStyle w:val="000000000000" w:firstRow="0" w:lastRow="0" w:firstColumn="0" w:lastColumn="0" w:oddVBand="0" w:evenVBand="0" w:oddHBand="0" w:evenHBand="0" w:firstRowFirstColumn="0" w:firstRowLastColumn="0" w:lastRowFirstColumn="0" w:lastRowLastColumn="0"/>
            </w:pPr>
            <w:r w:rsidRPr="007C23E8">
              <w:t>4 December</w:t>
            </w:r>
            <w:r w:rsidR="00D373C7" w:rsidRPr="007C23E8">
              <w:t xml:space="preserve"> </w:t>
            </w:r>
            <w:r w:rsidRPr="007C23E8">
              <w:t>2020</w:t>
            </w:r>
          </w:p>
        </w:tc>
        <w:tc>
          <w:tcPr>
            <w:tcW w:w="939" w:type="pct"/>
          </w:tcPr>
          <w:p w14:paraId="63A3A9D3" w14:textId="796D4870" w:rsidR="00324B33" w:rsidRPr="007C23E8" w:rsidRDefault="00BC2F06" w:rsidP="00D373C7">
            <w:pPr>
              <w:spacing w:before="0" w:after="120" w:line="259" w:lineRule="auto"/>
              <w:ind w:left="0"/>
              <w:cnfStyle w:val="000000000000" w:firstRow="0" w:lastRow="0" w:firstColumn="0" w:lastColumn="0" w:oddVBand="0" w:evenVBand="0" w:oddHBand="0" w:evenHBand="0" w:firstRowFirstColumn="0" w:firstRowLastColumn="0" w:lastRowFirstColumn="0" w:lastRowLastColumn="0"/>
            </w:pPr>
            <w:r w:rsidRPr="007C23E8">
              <w:t>19 August</w:t>
            </w:r>
            <w:r w:rsidR="00D373C7" w:rsidRPr="007C23E8">
              <w:t xml:space="preserve"> </w:t>
            </w:r>
            <w:r w:rsidRPr="007C23E8">
              <w:t>2021</w:t>
            </w:r>
          </w:p>
        </w:tc>
        <w:tc>
          <w:tcPr>
            <w:tcW w:w="2343" w:type="pct"/>
          </w:tcPr>
          <w:p w14:paraId="17C650B8" w14:textId="2C04C21D" w:rsidR="00324B33" w:rsidRPr="00C2357B" w:rsidRDefault="00693002" w:rsidP="00D373C7">
            <w:pPr>
              <w:cnfStyle w:val="000000000000" w:firstRow="0" w:lastRow="0" w:firstColumn="0" w:lastColumn="0" w:oddVBand="0" w:evenVBand="0" w:oddHBand="0" w:evenHBand="0" w:firstRowFirstColumn="0" w:firstRowLastColumn="0" w:lastRowFirstColumn="0" w:lastRowLastColumn="0"/>
              <w:rPr>
                <w:i/>
                <w:iCs/>
              </w:rPr>
            </w:pPr>
            <w:r w:rsidRPr="00C2357B">
              <w:rPr>
                <w:i/>
                <w:iCs/>
              </w:rPr>
              <w:t>Minjuvi (tafasitamab for</w:t>
            </w:r>
            <w:r w:rsidR="00BA516A" w:rsidRPr="00C2357B">
              <w:rPr>
                <w:i/>
                <w:iCs/>
              </w:rPr>
              <w:t xml:space="preserve"> </w:t>
            </w:r>
            <w:r w:rsidRPr="00C2357B">
              <w:rPr>
                <w:i/>
                <w:iCs/>
              </w:rPr>
              <w:t>injection) is indicated in</w:t>
            </w:r>
            <w:r w:rsidR="00BA516A" w:rsidRPr="00C2357B">
              <w:rPr>
                <w:i/>
                <w:iCs/>
              </w:rPr>
              <w:t xml:space="preserve"> </w:t>
            </w:r>
            <w:r w:rsidRPr="00C2357B">
              <w:rPr>
                <w:i/>
                <w:iCs/>
              </w:rPr>
              <w:t>combination with</w:t>
            </w:r>
            <w:r w:rsidR="00BA516A" w:rsidRPr="00C2357B">
              <w:rPr>
                <w:i/>
                <w:iCs/>
              </w:rPr>
              <w:t xml:space="preserve"> </w:t>
            </w:r>
            <w:r w:rsidRPr="00C2357B">
              <w:rPr>
                <w:i/>
                <w:iCs/>
              </w:rPr>
              <w:t>lenalidomide for the</w:t>
            </w:r>
            <w:r w:rsidR="00BA516A" w:rsidRPr="00C2357B">
              <w:rPr>
                <w:i/>
                <w:iCs/>
              </w:rPr>
              <w:t xml:space="preserve"> </w:t>
            </w:r>
            <w:r w:rsidRPr="00C2357B">
              <w:rPr>
                <w:i/>
                <w:iCs/>
              </w:rPr>
              <w:t>treatment of adult patients</w:t>
            </w:r>
            <w:r w:rsidR="00BA516A" w:rsidRPr="00C2357B">
              <w:rPr>
                <w:i/>
                <w:iCs/>
              </w:rPr>
              <w:t xml:space="preserve"> </w:t>
            </w:r>
            <w:r w:rsidRPr="00C2357B">
              <w:rPr>
                <w:i/>
                <w:iCs/>
              </w:rPr>
              <w:t>with relapsed or refractory</w:t>
            </w:r>
            <w:r w:rsidR="00BA516A" w:rsidRPr="00C2357B">
              <w:rPr>
                <w:i/>
                <w:iCs/>
              </w:rPr>
              <w:t xml:space="preserve"> </w:t>
            </w:r>
            <w:r w:rsidRPr="00C2357B">
              <w:rPr>
                <w:i/>
                <w:iCs/>
              </w:rPr>
              <w:t>diffuse large B-cell</w:t>
            </w:r>
            <w:r w:rsidR="00BA516A" w:rsidRPr="00C2357B">
              <w:rPr>
                <w:i/>
                <w:iCs/>
              </w:rPr>
              <w:t xml:space="preserve"> </w:t>
            </w:r>
            <w:r w:rsidRPr="00C2357B">
              <w:rPr>
                <w:i/>
                <w:iCs/>
              </w:rPr>
              <w:t>lymphoma (DLBCL) not</w:t>
            </w:r>
            <w:r w:rsidR="00D373C7" w:rsidRPr="00C2357B">
              <w:rPr>
                <w:i/>
                <w:iCs/>
              </w:rPr>
              <w:t xml:space="preserve"> </w:t>
            </w:r>
            <w:r w:rsidRPr="00C2357B">
              <w:rPr>
                <w:i/>
                <w:iCs/>
              </w:rPr>
              <w:t>otherwise specified,</w:t>
            </w:r>
            <w:r w:rsidR="00D373C7" w:rsidRPr="00C2357B">
              <w:rPr>
                <w:i/>
                <w:iCs/>
              </w:rPr>
              <w:t xml:space="preserve"> </w:t>
            </w:r>
            <w:r w:rsidRPr="00C2357B">
              <w:rPr>
                <w:i/>
                <w:iCs/>
              </w:rPr>
              <w:t>including DLBCL arising</w:t>
            </w:r>
            <w:r w:rsidR="00D373C7" w:rsidRPr="00C2357B">
              <w:rPr>
                <w:i/>
                <w:iCs/>
              </w:rPr>
              <w:t xml:space="preserve"> </w:t>
            </w:r>
            <w:r w:rsidRPr="00C2357B">
              <w:rPr>
                <w:i/>
                <w:iCs/>
              </w:rPr>
              <w:t>from low grade lymphoma,</w:t>
            </w:r>
            <w:r w:rsidR="00D373C7" w:rsidRPr="00C2357B">
              <w:rPr>
                <w:i/>
                <w:iCs/>
              </w:rPr>
              <w:t xml:space="preserve"> </w:t>
            </w:r>
            <w:r w:rsidRPr="00C2357B">
              <w:rPr>
                <w:i/>
                <w:iCs/>
              </w:rPr>
              <w:t>who are not eligible for</w:t>
            </w:r>
            <w:r w:rsidR="00D373C7" w:rsidRPr="00C2357B">
              <w:rPr>
                <w:i/>
                <w:iCs/>
              </w:rPr>
              <w:t xml:space="preserve"> </w:t>
            </w:r>
            <w:r w:rsidRPr="00C2357B">
              <w:rPr>
                <w:i/>
                <w:iCs/>
              </w:rPr>
              <w:t>autologous stem cell</w:t>
            </w:r>
            <w:r w:rsidR="00D373C7" w:rsidRPr="00C2357B">
              <w:rPr>
                <w:i/>
                <w:iCs/>
              </w:rPr>
              <w:t xml:space="preserve"> </w:t>
            </w:r>
            <w:r w:rsidRPr="00C2357B">
              <w:rPr>
                <w:i/>
                <w:iCs/>
              </w:rPr>
              <w:t>transplant (ASCT).</w:t>
            </w:r>
          </w:p>
        </w:tc>
      </w:tr>
      <w:tr w:rsidR="00693002" w:rsidRPr="007C23E8" w14:paraId="0ED931BA" w14:textId="77777777" w:rsidTr="00FE077F">
        <w:tc>
          <w:tcPr>
            <w:cnfStyle w:val="001000000000" w:firstRow="0" w:lastRow="0" w:firstColumn="1" w:lastColumn="0" w:oddVBand="0" w:evenVBand="0" w:oddHBand="0" w:evenHBand="0" w:firstRowFirstColumn="0" w:firstRowLastColumn="0" w:lastRowFirstColumn="0" w:lastRowLastColumn="0"/>
            <w:tcW w:w="804" w:type="pct"/>
          </w:tcPr>
          <w:p w14:paraId="69B69546" w14:textId="02A09904" w:rsidR="00693002" w:rsidRPr="007C23E8" w:rsidRDefault="00693002" w:rsidP="00D373C7">
            <w:pPr>
              <w:spacing w:before="0" w:after="120" w:line="259" w:lineRule="auto"/>
              <w:ind w:left="0"/>
            </w:pPr>
            <w:r w:rsidRPr="007C23E8">
              <w:t>European</w:t>
            </w:r>
            <w:r w:rsidR="00D373C7" w:rsidRPr="007C23E8">
              <w:t xml:space="preserve"> </w:t>
            </w:r>
            <w:r w:rsidRPr="007C23E8">
              <w:t>Union</w:t>
            </w:r>
          </w:p>
        </w:tc>
        <w:tc>
          <w:tcPr>
            <w:tcW w:w="915" w:type="pct"/>
          </w:tcPr>
          <w:p w14:paraId="1C899D83" w14:textId="25ECA202" w:rsidR="00693002" w:rsidRPr="007C23E8" w:rsidRDefault="00693002" w:rsidP="00D373C7">
            <w:pPr>
              <w:cnfStyle w:val="000000000000" w:firstRow="0" w:lastRow="0" w:firstColumn="0" w:lastColumn="0" w:oddVBand="0" w:evenVBand="0" w:oddHBand="0" w:evenHBand="0" w:firstRowFirstColumn="0" w:firstRowLastColumn="0" w:lastRowFirstColumn="0" w:lastRowLastColumn="0"/>
            </w:pPr>
            <w:r w:rsidRPr="007C23E8">
              <w:t>30 April 2020</w:t>
            </w:r>
          </w:p>
        </w:tc>
        <w:tc>
          <w:tcPr>
            <w:tcW w:w="939" w:type="pct"/>
          </w:tcPr>
          <w:p w14:paraId="666C6076" w14:textId="5DAEFDB6" w:rsidR="00693002" w:rsidRPr="007C23E8" w:rsidRDefault="00E24619" w:rsidP="00D373C7">
            <w:pPr>
              <w:cnfStyle w:val="000000000000" w:firstRow="0" w:lastRow="0" w:firstColumn="0" w:lastColumn="0" w:oddVBand="0" w:evenVBand="0" w:oddHBand="0" w:evenHBand="0" w:firstRowFirstColumn="0" w:firstRowLastColumn="0" w:lastRowFirstColumn="0" w:lastRowLastColumn="0"/>
            </w:pPr>
            <w:r w:rsidRPr="007C23E8">
              <w:t>26 August</w:t>
            </w:r>
            <w:r w:rsidR="00D373C7" w:rsidRPr="007C23E8">
              <w:t xml:space="preserve"> </w:t>
            </w:r>
            <w:r w:rsidRPr="007C23E8">
              <w:t>2021</w:t>
            </w:r>
          </w:p>
        </w:tc>
        <w:tc>
          <w:tcPr>
            <w:tcW w:w="2343" w:type="pct"/>
          </w:tcPr>
          <w:p w14:paraId="66BD7FB5" w14:textId="42F99EC3" w:rsidR="00693002" w:rsidRPr="00C2357B" w:rsidRDefault="00F146CB" w:rsidP="00D373C7">
            <w:pPr>
              <w:cnfStyle w:val="000000000000" w:firstRow="0" w:lastRow="0" w:firstColumn="0" w:lastColumn="0" w:oddVBand="0" w:evenVBand="0" w:oddHBand="0" w:evenHBand="0" w:firstRowFirstColumn="0" w:firstRowLastColumn="0" w:lastRowFirstColumn="0" w:lastRowLastColumn="0"/>
              <w:rPr>
                <w:i/>
                <w:iCs/>
              </w:rPr>
            </w:pPr>
            <w:r w:rsidRPr="00C2357B">
              <w:rPr>
                <w:i/>
                <w:iCs/>
              </w:rPr>
              <w:t>Minjuvi</w:t>
            </w:r>
            <w:r w:rsidR="00693002" w:rsidRPr="00C2357B">
              <w:rPr>
                <w:i/>
                <w:iCs/>
              </w:rPr>
              <w:t xml:space="preserve"> is indicated in</w:t>
            </w:r>
            <w:r w:rsidR="00BA516A" w:rsidRPr="00C2357B">
              <w:rPr>
                <w:i/>
                <w:iCs/>
              </w:rPr>
              <w:t xml:space="preserve"> </w:t>
            </w:r>
            <w:r w:rsidR="00693002" w:rsidRPr="00C2357B">
              <w:rPr>
                <w:i/>
                <w:iCs/>
              </w:rPr>
              <w:t>combination with</w:t>
            </w:r>
            <w:r w:rsidR="00BA516A" w:rsidRPr="00C2357B">
              <w:rPr>
                <w:i/>
                <w:iCs/>
              </w:rPr>
              <w:t xml:space="preserve"> </w:t>
            </w:r>
            <w:r w:rsidR="00693002" w:rsidRPr="00C2357B">
              <w:rPr>
                <w:i/>
                <w:iCs/>
              </w:rPr>
              <w:t>lenalidomide followed by</w:t>
            </w:r>
            <w:r w:rsidR="00BA516A" w:rsidRPr="00C2357B">
              <w:rPr>
                <w:i/>
                <w:iCs/>
              </w:rPr>
              <w:t xml:space="preserve"> </w:t>
            </w:r>
            <w:r w:rsidRPr="00C2357B">
              <w:rPr>
                <w:i/>
                <w:iCs/>
              </w:rPr>
              <w:t>Minjuvi</w:t>
            </w:r>
            <w:r w:rsidR="00693002" w:rsidRPr="00C2357B">
              <w:rPr>
                <w:i/>
                <w:iCs/>
              </w:rPr>
              <w:t xml:space="preserve"> monotherapy for</w:t>
            </w:r>
            <w:r w:rsidR="00BA516A" w:rsidRPr="00C2357B">
              <w:rPr>
                <w:i/>
                <w:iCs/>
              </w:rPr>
              <w:t xml:space="preserve"> </w:t>
            </w:r>
            <w:r w:rsidR="00693002" w:rsidRPr="00C2357B">
              <w:rPr>
                <w:i/>
                <w:iCs/>
              </w:rPr>
              <w:t>the treatment of adult patients</w:t>
            </w:r>
            <w:r w:rsidR="00BA516A" w:rsidRPr="00C2357B">
              <w:rPr>
                <w:i/>
                <w:iCs/>
              </w:rPr>
              <w:t xml:space="preserve"> </w:t>
            </w:r>
            <w:r w:rsidR="00693002" w:rsidRPr="00C2357B">
              <w:rPr>
                <w:i/>
                <w:iCs/>
              </w:rPr>
              <w:t>with relapsed or refractory</w:t>
            </w:r>
            <w:r w:rsidR="00BA516A" w:rsidRPr="00C2357B">
              <w:rPr>
                <w:i/>
                <w:iCs/>
              </w:rPr>
              <w:t xml:space="preserve"> </w:t>
            </w:r>
            <w:r w:rsidR="00693002" w:rsidRPr="00C2357B">
              <w:rPr>
                <w:i/>
                <w:iCs/>
              </w:rPr>
              <w:t>diffuse large B-cell</w:t>
            </w:r>
            <w:r w:rsidR="00BA516A" w:rsidRPr="00C2357B">
              <w:rPr>
                <w:i/>
                <w:iCs/>
              </w:rPr>
              <w:t xml:space="preserve"> </w:t>
            </w:r>
            <w:r w:rsidR="00693002" w:rsidRPr="00C2357B">
              <w:rPr>
                <w:i/>
                <w:iCs/>
              </w:rPr>
              <w:t>lymphoma (DLBCL) who are</w:t>
            </w:r>
            <w:r w:rsidR="00BA516A" w:rsidRPr="00C2357B">
              <w:rPr>
                <w:i/>
                <w:iCs/>
              </w:rPr>
              <w:t xml:space="preserve"> </w:t>
            </w:r>
            <w:r w:rsidR="00693002" w:rsidRPr="00C2357B">
              <w:rPr>
                <w:i/>
                <w:iCs/>
              </w:rPr>
              <w:t>not eligible for autologous</w:t>
            </w:r>
            <w:r w:rsidR="00BA516A" w:rsidRPr="00C2357B">
              <w:rPr>
                <w:i/>
                <w:iCs/>
              </w:rPr>
              <w:t xml:space="preserve"> </w:t>
            </w:r>
            <w:r w:rsidR="00693002" w:rsidRPr="00C2357B">
              <w:rPr>
                <w:i/>
                <w:iCs/>
              </w:rPr>
              <w:t>stem cell transplant (ASCT).</w:t>
            </w:r>
          </w:p>
        </w:tc>
      </w:tr>
      <w:tr w:rsidR="00E24619" w:rsidRPr="007C23E8" w14:paraId="1A19892C" w14:textId="77777777" w:rsidTr="00FE077F">
        <w:tc>
          <w:tcPr>
            <w:cnfStyle w:val="001000000000" w:firstRow="0" w:lastRow="0" w:firstColumn="1" w:lastColumn="0" w:oddVBand="0" w:evenVBand="0" w:oddHBand="0" w:evenHBand="0" w:firstRowFirstColumn="0" w:firstRowLastColumn="0" w:lastRowFirstColumn="0" w:lastRowLastColumn="0"/>
            <w:tcW w:w="804" w:type="pct"/>
          </w:tcPr>
          <w:p w14:paraId="308CBA0E" w14:textId="799AFA52" w:rsidR="00E24619" w:rsidRPr="007C23E8" w:rsidRDefault="00E24619" w:rsidP="00D373C7">
            <w:r w:rsidRPr="007C23E8">
              <w:t>Great Britain</w:t>
            </w:r>
          </w:p>
        </w:tc>
        <w:tc>
          <w:tcPr>
            <w:tcW w:w="915" w:type="pct"/>
          </w:tcPr>
          <w:p w14:paraId="21CA6635" w14:textId="50CC0D85" w:rsidR="00E24619" w:rsidRPr="007C23E8" w:rsidRDefault="00E24619" w:rsidP="00D373C7">
            <w:pPr>
              <w:cnfStyle w:val="000000000000" w:firstRow="0" w:lastRow="0" w:firstColumn="0" w:lastColumn="0" w:oddVBand="0" w:evenVBand="0" w:oddHBand="0" w:evenHBand="0" w:firstRowFirstColumn="0" w:firstRowLastColumn="0" w:lastRowFirstColumn="0" w:lastRowLastColumn="0"/>
            </w:pPr>
            <w:r w:rsidRPr="007C23E8">
              <w:t>1 July 2021</w:t>
            </w:r>
          </w:p>
        </w:tc>
        <w:tc>
          <w:tcPr>
            <w:tcW w:w="939" w:type="pct"/>
          </w:tcPr>
          <w:p w14:paraId="6CBFBECA" w14:textId="44297B81" w:rsidR="00E24619" w:rsidRPr="007C23E8" w:rsidRDefault="007023BA" w:rsidP="00D373C7">
            <w:pPr>
              <w:cnfStyle w:val="000000000000" w:firstRow="0" w:lastRow="0" w:firstColumn="0" w:lastColumn="0" w:oddVBand="0" w:evenVBand="0" w:oddHBand="0" w:evenHBand="0" w:firstRowFirstColumn="0" w:firstRowLastColumn="0" w:lastRowFirstColumn="0" w:lastRowLastColumn="0"/>
            </w:pPr>
            <w:r w:rsidRPr="007C23E8">
              <w:t>8 October</w:t>
            </w:r>
            <w:r w:rsidR="00D373C7" w:rsidRPr="007C23E8">
              <w:t xml:space="preserve"> </w:t>
            </w:r>
            <w:r w:rsidRPr="007C23E8">
              <w:t>2021</w:t>
            </w:r>
          </w:p>
        </w:tc>
        <w:tc>
          <w:tcPr>
            <w:tcW w:w="2343" w:type="pct"/>
          </w:tcPr>
          <w:p w14:paraId="13074CC9" w14:textId="3045578E" w:rsidR="00E24619" w:rsidRPr="00C2357B" w:rsidRDefault="00F146CB" w:rsidP="00D373C7">
            <w:pPr>
              <w:cnfStyle w:val="000000000000" w:firstRow="0" w:lastRow="0" w:firstColumn="0" w:lastColumn="0" w:oddVBand="0" w:evenVBand="0" w:oddHBand="0" w:evenHBand="0" w:firstRowFirstColumn="0" w:firstRowLastColumn="0" w:lastRowFirstColumn="0" w:lastRowLastColumn="0"/>
              <w:rPr>
                <w:i/>
                <w:iCs/>
              </w:rPr>
            </w:pPr>
            <w:r w:rsidRPr="00C2357B">
              <w:rPr>
                <w:i/>
                <w:iCs/>
              </w:rPr>
              <w:t>Minjuvi</w:t>
            </w:r>
            <w:r w:rsidR="00E24619" w:rsidRPr="00C2357B">
              <w:rPr>
                <w:i/>
                <w:iCs/>
              </w:rPr>
              <w:t xml:space="preserve"> is indicated in</w:t>
            </w:r>
            <w:r w:rsidR="00BA516A" w:rsidRPr="00C2357B">
              <w:rPr>
                <w:i/>
                <w:iCs/>
              </w:rPr>
              <w:t xml:space="preserve"> </w:t>
            </w:r>
            <w:r w:rsidR="00E24619" w:rsidRPr="00C2357B">
              <w:rPr>
                <w:i/>
                <w:iCs/>
              </w:rPr>
              <w:t>combination with</w:t>
            </w:r>
            <w:r w:rsidR="00BA516A" w:rsidRPr="00C2357B">
              <w:rPr>
                <w:i/>
                <w:iCs/>
              </w:rPr>
              <w:t xml:space="preserve"> </w:t>
            </w:r>
            <w:r w:rsidR="00D373C7" w:rsidRPr="00C2357B">
              <w:rPr>
                <w:i/>
                <w:iCs/>
              </w:rPr>
              <w:t>l</w:t>
            </w:r>
            <w:r w:rsidR="00E24619" w:rsidRPr="00C2357B">
              <w:rPr>
                <w:i/>
                <w:iCs/>
              </w:rPr>
              <w:t>enalidomide followed by</w:t>
            </w:r>
            <w:r w:rsidR="00BA516A" w:rsidRPr="00C2357B">
              <w:rPr>
                <w:i/>
                <w:iCs/>
              </w:rPr>
              <w:t xml:space="preserve"> </w:t>
            </w:r>
            <w:r w:rsidRPr="00C2357B">
              <w:rPr>
                <w:i/>
                <w:iCs/>
              </w:rPr>
              <w:t>Minjuvi</w:t>
            </w:r>
            <w:r w:rsidR="00E24619" w:rsidRPr="00C2357B">
              <w:rPr>
                <w:i/>
                <w:iCs/>
              </w:rPr>
              <w:t xml:space="preserve"> monotherapy for</w:t>
            </w:r>
            <w:r w:rsidR="00BA516A" w:rsidRPr="00C2357B">
              <w:rPr>
                <w:i/>
                <w:iCs/>
              </w:rPr>
              <w:t xml:space="preserve"> </w:t>
            </w:r>
            <w:r w:rsidR="00E24619" w:rsidRPr="00C2357B">
              <w:rPr>
                <w:i/>
                <w:iCs/>
              </w:rPr>
              <w:t>the</w:t>
            </w:r>
            <w:r w:rsidR="001A711A" w:rsidRPr="00C2357B">
              <w:rPr>
                <w:i/>
                <w:iCs/>
              </w:rPr>
              <w:t xml:space="preserve"> </w:t>
            </w:r>
            <w:r w:rsidR="00E24619" w:rsidRPr="00C2357B">
              <w:rPr>
                <w:i/>
                <w:iCs/>
              </w:rPr>
              <w:t>treatment of adult patients</w:t>
            </w:r>
            <w:r w:rsidR="00BA516A" w:rsidRPr="00C2357B">
              <w:rPr>
                <w:i/>
                <w:iCs/>
              </w:rPr>
              <w:t xml:space="preserve"> </w:t>
            </w:r>
            <w:r w:rsidR="00E24619" w:rsidRPr="00C2357B">
              <w:rPr>
                <w:i/>
                <w:iCs/>
              </w:rPr>
              <w:t>with relapsed or refractory</w:t>
            </w:r>
            <w:r w:rsidR="00BA516A" w:rsidRPr="00C2357B">
              <w:rPr>
                <w:i/>
                <w:iCs/>
              </w:rPr>
              <w:t xml:space="preserve"> </w:t>
            </w:r>
            <w:r w:rsidR="00E24619" w:rsidRPr="00C2357B">
              <w:rPr>
                <w:i/>
                <w:iCs/>
              </w:rPr>
              <w:t>diffuse large B-cell</w:t>
            </w:r>
            <w:r w:rsidR="00BA516A" w:rsidRPr="00C2357B">
              <w:rPr>
                <w:i/>
                <w:iCs/>
              </w:rPr>
              <w:t xml:space="preserve"> </w:t>
            </w:r>
            <w:r w:rsidR="00E24619" w:rsidRPr="00C2357B">
              <w:rPr>
                <w:i/>
                <w:iCs/>
              </w:rPr>
              <w:t>lymphoma (DLBCL) who are</w:t>
            </w:r>
            <w:r w:rsidR="00BA516A" w:rsidRPr="00C2357B">
              <w:rPr>
                <w:i/>
                <w:iCs/>
              </w:rPr>
              <w:t xml:space="preserve"> </w:t>
            </w:r>
            <w:r w:rsidR="00E24619" w:rsidRPr="00C2357B">
              <w:rPr>
                <w:i/>
                <w:iCs/>
              </w:rPr>
              <w:t>not eligible for autologous</w:t>
            </w:r>
            <w:r w:rsidR="00BA516A" w:rsidRPr="00C2357B">
              <w:rPr>
                <w:i/>
                <w:iCs/>
              </w:rPr>
              <w:t xml:space="preserve"> </w:t>
            </w:r>
            <w:r w:rsidR="00E24619" w:rsidRPr="00C2357B">
              <w:rPr>
                <w:i/>
                <w:iCs/>
              </w:rPr>
              <w:t>stem cell transplant (ASCT).</w:t>
            </w:r>
          </w:p>
        </w:tc>
      </w:tr>
      <w:tr w:rsidR="007023BA" w:rsidRPr="007C23E8" w14:paraId="45A00456" w14:textId="77777777" w:rsidTr="00FE077F">
        <w:tc>
          <w:tcPr>
            <w:cnfStyle w:val="001000000000" w:firstRow="0" w:lastRow="0" w:firstColumn="1" w:lastColumn="0" w:oddVBand="0" w:evenVBand="0" w:oddHBand="0" w:evenHBand="0" w:firstRowFirstColumn="0" w:firstRowLastColumn="0" w:lastRowFirstColumn="0" w:lastRowLastColumn="0"/>
            <w:tcW w:w="804" w:type="pct"/>
          </w:tcPr>
          <w:p w14:paraId="12EE88F5" w14:textId="7C19091D" w:rsidR="007023BA" w:rsidRPr="007C23E8" w:rsidRDefault="007023BA" w:rsidP="00D373C7">
            <w:r w:rsidRPr="007C23E8">
              <w:t>Israel</w:t>
            </w:r>
          </w:p>
        </w:tc>
        <w:tc>
          <w:tcPr>
            <w:tcW w:w="915" w:type="pct"/>
          </w:tcPr>
          <w:p w14:paraId="6408EBBB" w14:textId="5FC7E920" w:rsidR="007023BA" w:rsidRPr="007C23E8" w:rsidRDefault="007023BA" w:rsidP="00D373C7">
            <w:pPr>
              <w:cnfStyle w:val="000000000000" w:firstRow="0" w:lastRow="0" w:firstColumn="0" w:lastColumn="0" w:oddVBand="0" w:evenVBand="0" w:oddHBand="0" w:evenHBand="0" w:firstRowFirstColumn="0" w:firstRowLastColumn="0" w:lastRowFirstColumn="0" w:lastRowLastColumn="0"/>
            </w:pPr>
            <w:r w:rsidRPr="007C23E8">
              <w:t>4 July 2021</w:t>
            </w:r>
          </w:p>
        </w:tc>
        <w:tc>
          <w:tcPr>
            <w:tcW w:w="939" w:type="pct"/>
          </w:tcPr>
          <w:p w14:paraId="45483EC6" w14:textId="3F830A04" w:rsidR="007023BA" w:rsidRPr="007C23E8" w:rsidRDefault="006D1FAA" w:rsidP="00D373C7">
            <w:pPr>
              <w:cnfStyle w:val="000000000000" w:firstRow="0" w:lastRow="0" w:firstColumn="0" w:lastColumn="0" w:oddVBand="0" w:evenVBand="0" w:oddHBand="0" w:evenHBand="0" w:firstRowFirstColumn="0" w:firstRowLastColumn="0" w:lastRowFirstColumn="0" w:lastRowLastColumn="0"/>
            </w:pPr>
            <w:r w:rsidRPr="007C23E8">
              <w:t>29 June</w:t>
            </w:r>
            <w:r w:rsidR="00D373C7" w:rsidRPr="007C23E8">
              <w:t xml:space="preserve"> </w:t>
            </w:r>
            <w:r w:rsidRPr="007C23E8">
              <w:t>2022</w:t>
            </w:r>
          </w:p>
        </w:tc>
        <w:tc>
          <w:tcPr>
            <w:tcW w:w="2343" w:type="pct"/>
          </w:tcPr>
          <w:p w14:paraId="7F9D0399" w14:textId="1FACC699" w:rsidR="007023BA" w:rsidRPr="00C2357B" w:rsidRDefault="00F146CB" w:rsidP="00D373C7">
            <w:pPr>
              <w:cnfStyle w:val="000000000000" w:firstRow="0" w:lastRow="0" w:firstColumn="0" w:lastColumn="0" w:oddVBand="0" w:evenVBand="0" w:oddHBand="0" w:evenHBand="0" w:firstRowFirstColumn="0" w:firstRowLastColumn="0" w:lastRowFirstColumn="0" w:lastRowLastColumn="0"/>
              <w:rPr>
                <w:i/>
                <w:iCs/>
              </w:rPr>
            </w:pPr>
            <w:r w:rsidRPr="00C2357B">
              <w:rPr>
                <w:i/>
                <w:iCs/>
              </w:rPr>
              <w:t>Minjuvi</w:t>
            </w:r>
            <w:r w:rsidR="007023BA" w:rsidRPr="00C2357B">
              <w:rPr>
                <w:i/>
                <w:iCs/>
              </w:rPr>
              <w:t xml:space="preserve"> is indicated in</w:t>
            </w:r>
            <w:r w:rsidR="00BA516A" w:rsidRPr="00C2357B">
              <w:rPr>
                <w:i/>
                <w:iCs/>
              </w:rPr>
              <w:t xml:space="preserve"> </w:t>
            </w:r>
            <w:r w:rsidR="007023BA" w:rsidRPr="00C2357B">
              <w:rPr>
                <w:i/>
                <w:iCs/>
              </w:rPr>
              <w:t>combination with</w:t>
            </w:r>
            <w:r w:rsidR="00BA516A" w:rsidRPr="00C2357B">
              <w:rPr>
                <w:i/>
                <w:iCs/>
              </w:rPr>
              <w:t xml:space="preserve"> </w:t>
            </w:r>
            <w:r w:rsidR="007023BA" w:rsidRPr="00C2357B">
              <w:rPr>
                <w:i/>
                <w:iCs/>
              </w:rPr>
              <w:t>lenalidomide followed by</w:t>
            </w:r>
            <w:r w:rsidR="00BA516A" w:rsidRPr="00C2357B">
              <w:rPr>
                <w:i/>
                <w:iCs/>
              </w:rPr>
              <w:t xml:space="preserve"> </w:t>
            </w:r>
            <w:r w:rsidRPr="00C2357B">
              <w:rPr>
                <w:i/>
                <w:iCs/>
              </w:rPr>
              <w:t>Minjuvi</w:t>
            </w:r>
            <w:r w:rsidR="007023BA" w:rsidRPr="00C2357B">
              <w:rPr>
                <w:i/>
                <w:iCs/>
              </w:rPr>
              <w:t xml:space="preserve"> monotherapy for</w:t>
            </w:r>
            <w:r w:rsidR="00BA516A" w:rsidRPr="00C2357B">
              <w:rPr>
                <w:i/>
                <w:iCs/>
              </w:rPr>
              <w:t xml:space="preserve"> </w:t>
            </w:r>
            <w:r w:rsidR="007023BA" w:rsidRPr="00C2357B">
              <w:rPr>
                <w:i/>
                <w:iCs/>
              </w:rPr>
              <w:t>the treatment of adult patients</w:t>
            </w:r>
            <w:r w:rsidR="00BA516A" w:rsidRPr="00C2357B">
              <w:rPr>
                <w:i/>
                <w:iCs/>
              </w:rPr>
              <w:t xml:space="preserve"> </w:t>
            </w:r>
            <w:r w:rsidR="007023BA" w:rsidRPr="00C2357B">
              <w:rPr>
                <w:i/>
                <w:iCs/>
              </w:rPr>
              <w:t>with relapsed or refractory</w:t>
            </w:r>
            <w:r w:rsidR="00BA516A" w:rsidRPr="00C2357B">
              <w:rPr>
                <w:i/>
                <w:iCs/>
              </w:rPr>
              <w:t xml:space="preserve"> </w:t>
            </w:r>
            <w:r w:rsidR="007023BA" w:rsidRPr="00C2357B">
              <w:rPr>
                <w:i/>
                <w:iCs/>
              </w:rPr>
              <w:t>diffuse large B-cell</w:t>
            </w:r>
            <w:r w:rsidR="00BA516A" w:rsidRPr="00C2357B">
              <w:rPr>
                <w:i/>
                <w:iCs/>
              </w:rPr>
              <w:t xml:space="preserve"> </w:t>
            </w:r>
            <w:r w:rsidR="007023BA" w:rsidRPr="00C2357B">
              <w:rPr>
                <w:i/>
                <w:iCs/>
              </w:rPr>
              <w:t>lymphoma (DLBCL) who are</w:t>
            </w:r>
            <w:r w:rsidR="00BA516A" w:rsidRPr="00C2357B">
              <w:rPr>
                <w:i/>
                <w:iCs/>
              </w:rPr>
              <w:t xml:space="preserve"> </w:t>
            </w:r>
            <w:r w:rsidR="007023BA" w:rsidRPr="00C2357B">
              <w:rPr>
                <w:i/>
                <w:iCs/>
              </w:rPr>
              <w:t>not eligible for autologous</w:t>
            </w:r>
            <w:r w:rsidR="00BA516A" w:rsidRPr="00C2357B">
              <w:rPr>
                <w:i/>
                <w:iCs/>
              </w:rPr>
              <w:t xml:space="preserve"> </w:t>
            </w:r>
            <w:r w:rsidR="007023BA" w:rsidRPr="00C2357B">
              <w:rPr>
                <w:i/>
                <w:iCs/>
              </w:rPr>
              <w:t>stem cell transplant (ASCT).</w:t>
            </w:r>
          </w:p>
        </w:tc>
      </w:tr>
      <w:tr w:rsidR="006D1FAA" w:rsidRPr="007C23E8" w14:paraId="1400F70B" w14:textId="77777777" w:rsidTr="00FE077F">
        <w:tc>
          <w:tcPr>
            <w:cnfStyle w:val="001000000000" w:firstRow="0" w:lastRow="0" w:firstColumn="1" w:lastColumn="0" w:oddVBand="0" w:evenVBand="0" w:oddHBand="0" w:evenHBand="0" w:firstRowFirstColumn="0" w:firstRowLastColumn="0" w:lastRowFirstColumn="0" w:lastRowLastColumn="0"/>
            <w:tcW w:w="804" w:type="pct"/>
          </w:tcPr>
          <w:p w14:paraId="52A7F347" w14:textId="5EDD34E4" w:rsidR="006D1FAA" w:rsidRPr="007C23E8" w:rsidRDefault="006D1FAA" w:rsidP="00D373C7">
            <w:r w:rsidRPr="007C23E8">
              <w:t>Switzerland</w:t>
            </w:r>
          </w:p>
        </w:tc>
        <w:tc>
          <w:tcPr>
            <w:tcW w:w="915" w:type="pct"/>
          </w:tcPr>
          <w:p w14:paraId="102CCC21" w14:textId="288A9E85" w:rsidR="006D1FAA" w:rsidRPr="007C23E8" w:rsidRDefault="00BA0CE4" w:rsidP="00D373C7">
            <w:pPr>
              <w:spacing w:before="0" w:after="120" w:line="259" w:lineRule="auto"/>
              <w:ind w:left="0"/>
              <w:cnfStyle w:val="000000000000" w:firstRow="0" w:lastRow="0" w:firstColumn="0" w:lastColumn="0" w:oddVBand="0" w:evenVBand="0" w:oddHBand="0" w:evenHBand="0" w:firstRowFirstColumn="0" w:firstRowLastColumn="0" w:lastRowFirstColumn="0" w:lastRowLastColumn="0"/>
            </w:pPr>
            <w:r w:rsidRPr="007C23E8">
              <w:t>30 November</w:t>
            </w:r>
            <w:r w:rsidR="00D373C7" w:rsidRPr="007C23E8">
              <w:t xml:space="preserve"> </w:t>
            </w:r>
            <w:r w:rsidRPr="007C23E8">
              <w:t>2020</w:t>
            </w:r>
          </w:p>
        </w:tc>
        <w:tc>
          <w:tcPr>
            <w:tcW w:w="939" w:type="pct"/>
          </w:tcPr>
          <w:p w14:paraId="219FBF98" w14:textId="5E7B98D4" w:rsidR="006D1FAA" w:rsidRPr="007C23E8" w:rsidRDefault="00BA0CE4" w:rsidP="00D373C7">
            <w:pPr>
              <w:cnfStyle w:val="000000000000" w:firstRow="0" w:lastRow="0" w:firstColumn="0" w:lastColumn="0" w:oddVBand="0" w:evenVBand="0" w:oddHBand="0" w:evenHBand="0" w:firstRowFirstColumn="0" w:firstRowLastColumn="0" w:lastRowFirstColumn="0" w:lastRowLastColumn="0"/>
            </w:pPr>
            <w:r w:rsidRPr="007C23E8">
              <w:t>22 March</w:t>
            </w:r>
            <w:r w:rsidR="00D373C7" w:rsidRPr="007C23E8">
              <w:t xml:space="preserve"> </w:t>
            </w:r>
            <w:r w:rsidRPr="007C23E8">
              <w:t>2022</w:t>
            </w:r>
          </w:p>
        </w:tc>
        <w:tc>
          <w:tcPr>
            <w:tcW w:w="2343" w:type="pct"/>
          </w:tcPr>
          <w:p w14:paraId="0885E724" w14:textId="5925F7A1" w:rsidR="006D1FAA" w:rsidRPr="00C2357B" w:rsidRDefault="00F146CB" w:rsidP="00D373C7">
            <w:pPr>
              <w:cnfStyle w:val="000000000000" w:firstRow="0" w:lastRow="0" w:firstColumn="0" w:lastColumn="0" w:oddVBand="0" w:evenVBand="0" w:oddHBand="0" w:evenHBand="0" w:firstRowFirstColumn="0" w:firstRowLastColumn="0" w:lastRowFirstColumn="0" w:lastRowLastColumn="0"/>
              <w:rPr>
                <w:i/>
                <w:iCs/>
              </w:rPr>
            </w:pPr>
            <w:r w:rsidRPr="00C2357B">
              <w:rPr>
                <w:i/>
                <w:iCs/>
              </w:rPr>
              <w:t>Minjuvi</w:t>
            </w:r>
            <w:r w:rsidR="006D1FAA" w:rsidRPr="00C2357B">
              <w:rPr>
                <w:i/>
                <w:iCs/>
              </w:rPr>
              <w:t xml:space="preserve"> is indicated in</w:t>
            </w:r>
            <w:r w:rsidR="00BA516A" w:rsidRPr="00C2357B">
              <w:rPr>
                <w:i/>
                <w:iCs/>
              </w:rPr>
              <w:t xml:space="preserve"> </w:t>
            </w:r>
            <w:r w:rsidR="006D1FAA" w:rsidRPr="00C2357B">
              <w:rPr>
                <w:i/>
                <w:iCs/>
              </w:rPr>
              <w:t>combination with</w:t>
            </w:r>
            <w:r w:rsidR="00BA516A" w:rsidRPr="00C2357B">
              <w:rPr>
                <w:i/>
                <w:iCs/>
              </w:rPr>
              <w:t xml:space="preserve"> </w:t>
            </w:r>
            <w:r w:rsidR="006D1FAA" w:rsidRPr="00C2357B">
              <w:rPr>
                <w:i/>
                <w:iCs/>
              </w:rPr>
              <w:t>lenalidomide followed by</w:t>
            </w:r>
            <w:r w:rsidR="00BA516A" w:rsidRPr="00C2357B">
              <w:rPr>
                <w:i/>
                <w:iCs/>
              </w:rPr>
              <w:t xml:space="preserve"> </w:t>
            </w:r>
            <w:r w:rsidRPr="00C2357B">
              <w:rPr>
                <w:i/>
                <w:iCs/>
              </w:rPr>
              <w:t>Minjuvi</w:t>
            </w:r>
            <w:r w:rsidR="006D1FAA" w:rsidRPr="00C2357B">
              <w:rPr>
                <w:i/>
                <w:iCs/>
              </w:rPr>
              <w:t xml:space="preserve"> monotherapy for</w:t>
            </w:r>
            <w:r w:rsidR="00BA516A" w:rsidRPr="00C2357B">
              <w:rPr>
                <w:i/>
                <w:iCs/>
              </w:rPr>
              <w:t xml:space="preserve"> </w:t>
            </w:r>
            <w:r w:rsidR="006D1FAA" w:rsidRPr="00C2357B">
              <w:rPr>
                <w:i/>
                <w:iCs/>
              </w:rPr>
              <w:t>the treatment of adult patients</w:t>
            </w:r>
            <w:r w:rsidR="00BA516A" w:rsidRPr="00C2357B">
              <w:rPr>
                <w:i/>
                <w:iCs/>
              </w:rPr>
              <w:t xml:space="preserve"> </w:t>
            </w:r>
            <w:r w:rsidR="006D1FAA" w:rsidRPr="00C2357B">
              <w:rPr>
                <w:i/>
                <w:iCs/>
              </w:rPr>
              <w:t>with relapsed or refractory</w:t>
            </w:r>
            <w:r w:rsidR="00BA516A" w:rsidRPr="00C2357B">
              <w:rPr>
                <w:i/>
                <w:iCs/>
              </w:rPr>
              <w:t xml:space="preserve"> </w:t>
            </w:r>
            <w:r w:rsidR="006D1FAA" w:rsidRPr="00C2357B">
              <w:rPr>
                <w:i/>
                <w:iCs/>
              </w:rPr>
              <w:t>diffuse large B-cell</w:t>
            </w:r>
            <w:r w:rsidR="00BA516A" w:rsidRPr="00C2357B">
              <w:rPr>
                <w:i/>
                <w:iCs/>
              </w:rPr>
              <w:t xml:space="preserve"> </w:t>
            </w:r>
            <w:r w:rsidR="006D1FAA" w:rsidRPr="00C2357B">
              <w:rPr>
                <w:i/>
                <w:iCs/>
              </w:rPr>
              <w:t>lymphoma (DLBCL) after at</w:t>
            </w:r>
            <w:r w:rsidR="00BA516A" w:rsidRPr="00C2357B">
              <w:rPr>
                <w:i/>
                <w:iCs/>
              </w:rPr>
              <w:t xml:space="preserve"> </w:t>
            </w:r>
            <w:r w:rsidR="006D1FAA" w:rsidRPr="00C2357B">
              <w:rPr>
                <w:i/>
                <w:iCs/>
              </w:rPr>
              <w:t>least one prior line of</w:t>
            </w:r>
            <w:r w:rsidR="00BA516A" w:rsidRPr="00C2357B">
              <w:rPr>
                <w:i/>
                <w:iCs/>
              </w:rPr>
              <w:t xml:space="preserve"> </w:t>
            </w:r>
            <w:r w:rsidR="006D1FAA" w:rsidRPr="00C2357B">
              <w:rPr>
                <w:i/>
                <w:iCs/>
              </w:rPr>
              <w:t>systemic therapy including an</w:t>
            </w:r>
            <w:r w:rsidR="00BA516A" w:rsidRPr="00C2357B">
              <w:rPr>
                <w:i/>
                <w:iCs/>
              </w:rPr>
              <w:t xml:space="preserve"> </w:t>
            </w:r>
            <w:r w:rsidR="006D1FAA" w:rsidRPr="00C2357B">
              <w:rPr>
                <w:i/>
                <w:iCs/>
              </w:rPr>
              <w:t>anti-CD20 antibody, who are</w:t>
            </w:r>
            <w:r w:rsidR="00BA516A" w:rsidRPr="00C2357B">
              <w:rPr>
                <w:i/>
                <w:iCs/>
              </w:rPr>
              <w:t xml:space="preserve"> </w:t>
            </w:r>
            <w:r w:rsidR="006D1FAA" w:rsidRPr="00C2357B">
              <w:rPr>
                <w:i/>
                <w:iCs/>
              </w:rPr>
              <w:t>not eligible for autologous</w:t>
            </w:r>
            <w:r w:rsidR="00BA516A" w:rsidRPr="00C2357B">
              <w:rPr>
                <w:i/>
                <w:iCs/>
              </w:rPr>
              <w:t xml:space="preserve"> </w:t>
            </w:r>
            <w:r w:rsidR="006D1FAA" w:rsidRPr="00C2357B">
              <w:rPr>
                <w:i/>
                <w:iCs/>
              </w:rPr>
              <w:t>stem cell transplant (ASCT).</w:t>
            </w:r>
          </w:p>
        </w:tc>
      </w:tr>
      <w:tr w:rsidR="00BA0CE4" w:rsidRPr="007C23E8" w14:paraId="7D459F03" w14:textId="77777777" w:rsidTr="00FE077F">
        <w:tc>
          <w:tcPr>
            <w:cnfStyle w:val="001000000000" w:firstRow="0" w:lastRow="0" w:firstColumn="1" w:lastColumn="0" w:oddVBand="0" w:evenVBand="0" w:oddHBand="0" w:evenHBand="0" w:firstRowFirstColumn="0" w:firstRowLastColumn="0" w:lastRowFirstColumn="0" w:lastRowLastColumn="0"/>
            <w:tcW w:w="804" w:type="pct"/>
          </w:tcPr>
          <w:p w14:paraId="6BCC688D" w14:textId="2C081302" w:rsidR="00BA0CE4" w:rsidRPr="007C23E8" w:rsidRDefault="00BA0CE4" w:rsidP="00D373C7">
            <w:r w:rsidRPr="007C23E8">
              <w:lastRenderedPageBreak/>
              <w:t>USA</w:t>
            </w:r>
          </w:p>
        </w:tc>
        <w:tc>
          <w:tcPr>
            <w:tcW w:w="915" w:type="pct"/>
          </w:tcPr>
          <w:p w14:paraId="1BD3DE7D" w14:textId="2E39AF44" w:rsidR="00BA0CE4" w:rsidRPr="007C23E8" w:rsidRDefault="00BA0CE4" w:rsidP="00D373C7">
            <w:pPr>
              <w:spacing w:before="0" w:after="120" w:line="259" w:lineRule="auto"/>
              <w:ind w:left="0"/>
              <w:cnfStyle w:val="000000000000" w:firstRow="0" w:lastRow="0" w:firstColumn="0" w:lastColumn="0" w:oddVBand="0" w:evenVBand="0" w:oddHBand="0" w:evenHBand="0" w:firstRowFirstColumn="0" w:firstRowLastColumn="0" w:lastRowFirstColumn="0" w:lastRowLastColumn="0"/>
            </w:pPr>
            <w:r w:rsidRPr="007C23E8">
              <w:t>30 December</w:t>
            </w:r>
            <w:r w:rsidR="00D373C7" w:rsidRPr="007C23E8">
              <w:t xml:space="preserve"> </w:t>
            </w:r>
            <w:r w:rsidRPr="007C23E8">
              <w:t>2019</w:t>
            </w:r>
          </w:p>
        </w:tc>
        <w:tc>
          <w:tcPr>
            <w:tcW w:w="939" w:type="pct"/>
          </w:tcPr>
          <w:p w14:paraId="2A0B1F3A" w14:textId="55EB85CA" w:rsidR="00BA0CE4" w:rsidRPr="007C23E8" w:rsidRDefault="00DE3B5B" w:rsidP="00D373C7">
            <w:pPr>
              <w:cnfStyle w:val="000000000000" w:firstRow="0" w:lastRow="0" w:firstColumn="0" w:lastColumn="0" w:oddVBand="0" w:evenVBand="0" w:oddHBand="0" w:evenHBand="0" w:firstRowFirstColumn="0" w:firstRowLastColumn="0" w:lastRowFirstColumn="0" w:lastRowLastColumn="0"/>
            </w:pPr>
            <w:r w:rsidRPr="007C23E8">
              <w:t>31 July 2020</w:t>
            </w:r>
          </w:p>
        </w:tc>
        <w:tc>
          <w:tcPr>
            <w:tcW w:w="2343" w:type="pct"/>
          </w:tcPr>
          <w:p w14:paraId="07B9C84B" w14:textId="5063BD66" w:rsidR="00BA0CE4" w:rsidRPr="00C2357B" w:rsidRDefault="0035716C" w:rsidP="00D373C7">
            <w:pPr>
              <w:cnfStyle w:val="000000000000" w:firstRow="0" w:lastRow="0" w:firstColumn="0" w:lastColumn="0" w:oddVBand="0" w:evenVBand="0" w:oddHBand="0" w:evenHBand="0" w:firstRowFirstColumn="0" w:firstRowLastColumn="0" w:lastRowFirstColumn="0" w:lastRowLastColumn="0"/>
              <w:rPr>
                <w:i/>
                <w:iCs/>
              </w:rPr>
            </w:pPr>
            <w:proofErr w:type="spellStart"/>
            <w:r w:rsidRPr="00C2357B">
              <w:rPr>
                <w:i/>
                <w:iCs/>
              </w:rPr>
              <w:t>Monjuvi</w:t>
            </w:r>
            <w:proofErr w:type="spellEnd"/>
            <w:r w:rsidR="00BA0CE4" w:rsidRPr="00C2357B">
              <w:rPr>
                <w:i/>
                <w:iCs/>
              </w:rPr>
              <w:t xml:space="preserve"> (</w:t>
            </w:r>
            <w:proofErr w:type="spellStart"/>
            <w:r w:rsidR="00BA0CE4" w:rsidRPr="00C2357B">
              <w:rPr>
                <w:i/>
                <w:iCs/>
              </w:rPr>
              <w:t>tafasitamab</w:t>
            </w:r>
            <w:proofErr w:type="spellEnd"/>
            <w:r w:rsidRPr="00C2357B">
              <w:rPr>
                <w:i/>
                <w:iCs/>
              </w:rPr>
              <w:t>-</w:t>
            </w:r>
            <w:r w:rsidR="00BA0CE4" w:rsidRPr="00C2357B">
              <w:rPr>
                <w:i/>
                <w:iCs/>
              </w:rPr>
              <w:t>cxix)</w:t>
            </w:r>
            <w:r w:rsidR="00BA516A" w:rsidRPr="00C2357B">
              <w:rPr>
                <w:i/>
                <w:iCs/>
              </w:rPr>
              <w:t xml:space="preserve"> </w:t>
            </w:r>
            <w:r w:rsidR="00BA0CE4" w:rsidRPr="00C2357B">
              <w:rPr>
                <w:i/>
                <w:iCs/>
              </w:rPr>
              <w:t>is a CD19-directed</w:t>
            </w:r>
            <w:r w:rsidR="00BA516A" w:rsidRPr="00C2357B">
              <w:rPr>
                <w:i/>
                <w:iCs/>
              </w:rPr>
              <w:t xml:space="preserve"> </w:t>
            </w:r>
            <w:r w:rsidR="00BA0CE4" w:rsidRPr="00C2357B">
              <w:rPr>
                <w:i/>
                <w:iCs/>
              </w:rPr>
              <w:t>cytolytic antibody indicated</w:t>
            </w:r>
            <w:r w:rsidR="00BA516A" w:rsidRPr="00C2357B">
              <w:rPr>
                <w:i/>
                <w:iCs/>
              </w:rPr>
              <w:t xml:space="preserve"> </w:t>
            </w:r>
            <w:r w:rsidR="00BA0CE4" w:rsidRPr="00C2357B">
              <w:rPr>
                <w:i/>
                <w:iCs/>
              </w:rPr>
              <w:t>in combination with</w:t>
            </w:r>
            <w:r w:rsidR="00BA516A" w:rsidRPr="00C2357B">
              <w:rPr>
                <w:i/>
                <w:iCs/>
              </w:rPr>
              <w:t xml:space="preserve"> </w:t>
            </w:r>
            <w:r w:rsidR="00BA0CE4" w:rsidRPr="00C2357B">
              <w:rPr>
                <w:i/>
                <w:iCs/>
              </w:rPr>
              <w:t>lenalidomide for the</w:t>
            </w:r>
            <w:r w:rsidR="00BA516A" w:rsidRPr="00C2357B">
              <w:rPr>
                <w:i/>
                <w:iCs/>
              </w:rPr>
              <w:t xml:space="preserve"> </w:t>
            </w:r>
            <w:r w:rsidR="00BA0CE4" w:rsidRPr="00C2357B">
              <w:rPr>
                <w:i/>
                <w:iCs/>
              </w:rPr>
              <w:t>treatment of adult patients</w:t>
            </w:r>
            <w:r w:rsidR="00BA516A" w:rsidRPr="00C2357B">
              <w:rPr>
                <w:i/>
                <w:iCs/>
              </w:rPr>
              <w:t xml:space="preserve"> </w:t>
            </w:r>
            <w:r w:rsidR="00BA0CE4" w:rsidRPr="00C2357B">
              <w:rPr>
                <w:i/>
                <w:iCs/>
              </w:rPr>
              <w:t>with relapsed or refractory</w:t>
            </w:r>
            <w:r w:rsidR="00BA516A" w:rsidRPr="00C2357B">
              <w:rPr>
                <w:i/>
                <w:iCs/>
              </w:rPr>
              <w:t xml:space="preserve"> </w:t>
            </w:r>
            <w:r w:rsidR="00BA0CE4" w:rsidRPr="00C2357B">
              <w:rPr>
                <w:i/>
                <w:iCs/>
              </w:rPr>
              <w:t>diffuse large B-cell</w:t>
            </w:r>
            <w:r w:rsidR="00BA516A" w:rsidRPr="00C2357B">
              <w:rPr>
                <w:i/>
                <w:iCs/>
              </w:rPr>
              <w:t xml:space="preserve"> </w:t>
            </w:r>
            <w:r w:rsidR="00BA0CE4" w:rsidRPr="00C2357B">
              <w:rPr>
                <w:i/>
                <w:iCs/>
              </w:rPr>
              <w:t>lymphoma (DLBCL) not</w:t>
            </w:r>
            <w:r w:rsidR="00BA516A" w:rsidRPr="00C2357B">
              <w:rPr>
                <w:i/>
                <w:iCs/>
              </w:rPr>
              <w:t xml:space="preserve"> </w:t>
            </w:r>
            <w:r w:rsidR="00BA0CE4" w:rsidRPr="00C2357B">
              <w:rPr>
                <w:i/>
                <w:iCs/>
              </w:rPr>
              <w:t>otherwise specified,</w:t>
            </w:r>
            <w:r w:rsidR="00BA516A" w:rsidRPr="00C2357B">
              <w:rPr>
                <w:i/>
                <w:iCs/>
              </w:rPr>
              <w:t xml:space="preserve"> </w:t>
            </w:r>
            <w:r w:rsidR="00BA0CE4" w:rsidRPr="00C2357B">
              <w:rPr>
                <w:i/>
                <w:iCs/>
              </w:rPr>
              <w:t>including DLBCL arising</w:t>
            </w:r>
            <w:r w:rsidR="00BA516A" w:rsidRPr="00C2357B">
              <w:rPr>
                <w:i/>
                <w:iCs/>
              </w:rPr>
              <w:t xml:space="preserve"> </w:t>
            </w:r>
            <w:r w:rsidR="00BA0CE4" w:rsidRPr="00C2357B">
              <w:rPr>
                <w:i/>
                <w:iCs/>
              </w:rPr>
              <w:t>from low grade lymphoma,</w:t>
            </w:r>
            <w:r w:rsidR="00BA516A" w:rsidRPr="00C2357B">
              <w:rPr>
                <w:i/>
                <w:iCs/>
              </w:rPr>
              <w:t xml:space="preserve"> </w:t>
            </w:r>
            <w:r w:rsidR="00BA0CE4" w:rsidRPr="00C2357B">
              <w:rPr>
                <w:i/>
                <w:iCs/>
              </w:rPr>
              <w:t>and who are not eligible for</w:t>
            </w:r>
            <w:r w:rsidR="00BA516A" w:rsidRPr="00C2357B">
              <w:rPr>
                <w:i/>
                <w:iCs/>
              </w:rPr>
              <w:t xml:space="preserve"> </w:t>
            </w:r>
            <w:r w:rsidR="00BA0CE4" w:rsidRPr="00C2357B">
              <w:rPr>
                <w:i/>
                <w:iCs/>
              </w:rPr>
              <w:t>autologous stem cell</w:t>
            </w:r>
            <w:r w:rsidR="00BA516A" w:rsidRPr="00C2357B">
              <w:rPr>
                <w:i/>
                <w:iCs/>
              </w:rPr>
              <w:t xml:space="preserve"> </w:t>
            </w:r>
            <w:r w:rsidR="00BA0CE4" w:rsidRPr="00C2357B">
              <w:rPr>
                <w:i/>
                <w:iCs/>
              </w:rPr>
              <w:t>transplant (ASCT)</w:t>
            </w:r>
          </w:p>
        </w:tc>
      </w:tr>
    </w:tbl>
    <w:p w14:paraId="6D92589C" w14:textId="09786CEF" w:rsidR="00324B33" w:rsidRPr="007C23E8" w:rsidRDefault="00324B33" w:rsidP="00324B33">
      <w:pPr>
        <w:pStyle w:val="Heading2"/>
      </w:pPr>
      <w:bookmarkStart w:id="36" w:name="_Toc504480011"/>
      <w:bookmarkStart w:id="37" w:name="_Toc103679293"/>
      <w:bookmarkStart w:id="38" w:name="_Toc152160779"/>
      <w:bookmarkStart w:id="39" w:name="_Toc153375876"/>
      <w:r>
        <w:t>Registration timeline</w:t>
      </w:r>
      <w:bookmarkEnd w:id="36"/>
      <w:bookmarkEnd w:id="37"/>
      <w:bookmarkEnd w:id="38"/>
      <w:bookmarkEnd w:id="39"/>
    </w:p>
    <w:p w14:paraId="225E3D87" w14:textId="1F3070CE" w:rsidR="00324B33" w:rsidRPr="007C23E8" w:rsidRDefault="00324B33" w:rsidP="00324B33">
      <w:pPr>
        <w:rPr>
          <w:szCs w:val="22"/>
        </w:rPr>
      </w:pPr>
      <w:r w:rsidRPr="007C23E8">
        <w:rPr>
          <w:szCs w:val="22"/>
        </w:rPr>
        <w:t>The following table captures the key steps and dates for this submission.</w:t>
      </w:r>
    </w:p>
    <w:p w14:paraId="1B885475" w14:textId="48422902" w:rsidR="00535DFE" w:rsidRPr="007C23E8" w:rsidRDefault="00535DFE" w:rsidP="00324B33">
      <w:pPr>
        <w:rPr>
          <w:szCs w:val="22"/>
        </w:rPr>
      </w:pPr>
      <w:r w:rsidRPr="007C23E8">
        <w:rPr>
          <w:szCs w:val="22"/>
        </w:rPr>
        <w:t xml:space="preserve">This submission was evaluated under the </w:t>
      </w:r>
      <w:hyperlink r:id="rId22" w:history="1">
        <w:r w:rsidRPr="007C23E8">
          <w:rPr>
            <w:rStyle w:val="Hyperlink"/>
            <w:szCs w:val="22"/>
          </w:rPr>
          <w:t>provisional registration process</w:t>
        </w:r>
      </w:hyperlink>
      <w:r w:rsidRPr="007C23E8">
        <w:rPr>
          <w:szCs w:val="22"/>
        </w:rPr>
        <w:t>.</w:t>
      </w:r>
    </w:p>
    <w:p w14:paraId="5B779104" w14:textId="0CDE95B2" w:rsidR="0017005C" w:rsidRPr="007C23E8" w:rsidRDefault="0017005C" w:rsidP="0017005C">
      <w:r w:rsidRPr="007C23E8">
        <w:rPr>
          <w:szCs w:val="22"/>
        </w:rPr>
        <w:t>Th</w:t>
      </w:r>
      <w:r w:rsidR="00804897" w:rsidRPr="007C23E8">
        <w:rPr>
          <w:szCs w:val="22"/>
        </w:rPr>
        <w:t>e active ingredient with its proposed indication was given</w:t>
      </w:r>
      <w:r w:rsidR="00804897" w:rsidRPr="007C23E8">
        <w:t xml:space="preserve"> </w:t>
      </w:r>
      <w:hyperlink r:id="rId23" w:history="1">
        <w:r w:rsidR="00804897" w:rsidRPr="007C23E8">
          <w:rPr>
            <w:rStyle w:val="Hyperlink"/>
          </w:rPr>
          <w:t>orphan drug designation</w:t>
        </w:r>
      </w:hyperlink>
      <w:r w:rsidR="00804897" w:rsidRPr="007C23E8">
        <w:t>.</w:t>
      </w:r>
    </w:p>
    <w:p w14:paraId="44628C5F" w14:textId="153A3DCE" w:rsidR="00324B33" w:rsidRPr="007C23E8" w:rsidRDefault="00324B33" w:rsidP="002C1232">
      <w:pPr>
        <w:pStyle w:val="TableTitle"/>
      </w:pPr>
      <w:r w:rsidRPr="007C23E8">
        <w:t xml:space="preserve">Table </w:t>
      </w:r>
      <w:r>
        <w:fldChar w:fldCharType="begin"/>
      </w:r>
      <w:r>
        <w:instrText>SEQ Table \* ARABIC</w:instrText>
      </w:r>
      <w:r>
        <w:fldChar w:fldCharType="separate"/>
      </w:r>
      <w:r w:rsidR="0062128D">
        <w:rPr>
          <w:noProof/>
        </w:rPr>
        <w:t>2</w:t>
      </w:r>
      <w:r>
        <w:fldChar w:fldCharType="end"/>
      </w:r>
      <w:r w:rsidRPr="007C23E8">
        <w:t xml:space="preserve">: Timeline for Submission </w:t>
      </w:r>
      <w:r w:rsidR="00CA3E1D" w:rsidRPr="007C23E8">
        <w:t>PM-2022-01544-1-6</w:t>
      </w:r>
    </w:p>
    <w:tbl>
      <w:tblPr>
        <w:tblStyle w:val="TableTGAblue2023"/>
        <w:tblW w:w="8642" w:type="dxa"/>
        <w:tblLook w:val="04A0" w:firstRow="1" w:lastRow="0" w:firstColumn="1" w:lastColumn="0" w:noHBand="0" w:noVBand="1"/>
      </w:tblPr>
      <w:tblGrid>
        <w:gridCol w:w="6516"/>
        <w:gridCol w:w="2126"/>
      </w:tblGrid>
      <w:tr w:rsidR="00324B33" w:rsidRPr="007C23E8" w14:paraId="6C59BE9C" w14:textId="77777777" w:rsidTr="00FE0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6D80E78" w14:textId="3EC0CCAF" w:rsidR="00324B33" w:rsidRPr="007C23E8" w:rsidRDefault="00324B33" w:rsidP="00324B33">
            <w:pPr>
              <w:rPr>
                <w:szCs w:val="22"/>
              </w:rPr>
            </w:pPr>
            <w:r w:rsidRPr="007C23E8">
              <w:rPr>
                <w:szCs w:val="22"/>
              </w:rPr>
              <w:t>Description</w:t>
            </w:r>
          </w:p>
        </w:tc>
        <w:tc>
          <w:tcPr>
            <w:tcW w:w="2126" w:type="dxa"/>
          </w:tcPr>
          <w:p w14:paraId="79AFDC4B" w14:textId="05792035" w:rsidR="00324B33" w:rsidRPr="007C23E8"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7C23E8">
              <w:rPr>
                <w:szCs w:val="22"/>
              </w:rPr>
              <w:t>Date</w:t>
            </w:r>
          </w:p>
        </w:tc>
      </w:tr>
      <w:tr w:rsidR="00324B33" w:rsidRPr="007C23E8" w14:paraId="1398460B" w14:textId="77777777" w:rsidTr="00FE077F">
        <w:tc>
          <w:tcPr>
            <w:cnfStyle w:val="001000000000" w:firstRow="0" w:lastRow="0" w:firstColumn="1" w:lastColumn="0" w:oddVBand="0" w:evenVBand="0" w:oddHBand="0" w:evenHBand="0" w:firstRowFirstColumn="0" w:firstRowLastColumn="0" w:lastRowFirstColumn="0" w:lastRowLastColumn="0"/>
            <w:tcW w:w="6516" w:type="dxa"/>
          </w:tcPr>
          <w:p w14:paraId="1106CC1E" w14:textId="7DA78F54" w:rsidR="009F2241" w:rsidRPr="007C23E8" w:rsidRDefault="00324B33" w:rsidP="00FE077F">
            <w:r w:rsidRPr="007C23E8">
              <w:t>Designation (Orphan)</w:t>
            </w:r>
            <w:r w:rsidR="00FE077F">
              <w:br/>
            </w:r>
            <w:r w:rsidR="009F2241" w:rsidRPr="007C23E8">
              <w:t>Designation (Orphan) extension</w:t>
            </w:r>
          </w:p>
        </w:tc>
        <w:tc>
          <w:tcPr>
            <w:tcW w:w="2126" w:type="dxa"/>
          </w:tcPr>
          <w:p w14:paraId="4CD143CF" w14:textId="4EC8BEEE" w:rsidR="009F2241" w:rsidRPr="007C23E8" w:rsidRDefault="00381564" w:rsidP="00FE077F">
            <w:pPr>
              <w:cnfStyle w:val="000000000000" w:firstRow="0" w:lastRow="0" w:firstColumn="0" w:lastColumn="0" w:oddVBand="0" w:evenVBand="0" w:oddHBand="0" w:evenHBand="0" w:firstRowFirstColumn="0" w:firstRowLastColumn="0" w:lastRowFirstColumn="0" w:lastRowLastColumn="0"/>
              <w:rPr>
                <w:szCs w:val="22"/>
              </w:rPr>
            </w:pPr>
            <w:r w:rsidRPr="007C23E8">
              <w:rPr>
                <w:szCs w:val="22"/>
              </w:rPr>
              <w:t>15 October 2021</w:t>
            </w:r>
            <w:r w:rsidR="00FE077F">
              <w:rPr>
                <w:szCs w:val="22"/>
              </w:rPr>
              <w:br/>
            </w:r>
            <w:r w:rsidR="009F2241" w:rsidRPr="007C23E8">
              <w:rPr>
                <w:szCs w:val="22"/>
              </w:rPr>
              <w:t>7 March 2022</w:t>
            </w:r>
          </w:p>
        </w:tc>
      </w:tr>
      <w:tr w:rsidR="00324B33" w:rsidRPr="007C23E8" w14:paraId="0556FE3C" w14:textId="77777777" w:rsidTr="00FE077F">
        <w:tc>
          <w:tcPr>
            <w:cnfStyle w:val="001000000000" w:firstRow="0" w:lastRow="0" w:firstColumn="1" w:lastColumn="0" w:oddVBand="0" w:evenVBand="0" w:oddHBand="0" w:evenHBand="0" w:firstRowFirstColumn="0" w:firstRowLastColumn="0" w:lastRowFirstColumn="0" w:lastRowLastColumn="0"/>
            <w:tcW w:w="6516" w:type="dxa"/>
          </w:tcPr>
          <w:p w14:paraId="49DFA3AA" w14:textId="0F93ADD3" w:rsidR="00324B33" w:rsidRPr="007C23E8" w:rsidRDefault="00324B33" w:rsidP="00E679D1">
            <w:r w:rsidRPr="007C23E8">
              <w:t>Determination (Provisional)</w:t>
            </w:r>
          </w:p>
        </w:tc>
        <w:tc>
          <w:tcPr>
            <w:tcW w:w="2126" w:type="dxa"/>
          </w:tcPr>
          <w:p w14:paraId="239696E3" w14:textId="117649B3" w:rsidR="00324B33" w:rsidRPr="007C23E8" w:rsidRDefault="00722AB4" w:rsidP="00324B33">
            <w:pPr>
              <w:cnfStyle w:val="000000000000" w:firstRow="0" w:lastRow="0" w:firstColumn="0" w:lastColumn="0" w:oddVBand="0" w:evenVBand="0" w:oddHBand="0" w:evenHBand="0" w:firstRowFirstColumn="0" w:firstRowLastColumn="0" w:lastRowFirstColumn="0" w:lastRowLastColumn="0"/>
              <w:rPr>
                <w:szCs w:val="22"/>
              </w:rPr>
            </w:pPr>
            <w:r w:rsidRPr="007C23E8">
              <w:rPr>
                <w:szCs w:val="22"/>
              </w:rPr>
              <w:t>21 February 2022</w:t>
            </w:r>
          </w:p>
        </w:tc>
      </w:tr>
      <w:tr w:rsidR="00324B33" w:rsidRPr="007C23E8" w14:paraId="23610C53" w14:textId="77777777" w:rsidTr="00FE077F">
        <w:tc>
          <w:tcPr>
            <w:cnfStyle w:val="001000000000" w:firstRow="0" w:lastRow="0" w:firstColumn="1" w:lastColumn="0" w:oddVBand="0" w:evenVBand="0" w:oddHBand="0" w:evenHBand="0" w:firstRowFirstColumn="0" w:firstRowLastColumn="0" w:lastRowFirstColumn="0" w:lastRowLastColumn="0"/>
            <w:tcW w:w="6516" w:type="dxa"/>
          </w:tcPr>
          <w:p w14:paraId="759D2A12" w14:textId="0D705F83" w:rsidR="00324B33" w:rsidRPr="007C23E8" w:rsidRDefault="00324B33" w:rsidP="00E679D1">
            <w:r w:rsidRPr="007C23E8">
              <w:t>Submission dossier accepted and first round evaluation commenced</w:t>
            </w:r>
          </w:p>
        </w:tc>
        <w:tc>
          <w:tcPr>
            <w:tcW w:w="2126" w:type="dxa"/>
          </w:tcPr>
          <w:p w14:paraId="2963D9D8" w14:textId="12973AFD" w:rsidR="00324B33" w:rsidRPr="007C23E8" w:rsidRDefault="00112C4C" w:rsidP="00324B33">
            <w:pPr>
              <w:cnfStyle w:val="000000000000" w:firstRow="0" w:lastRow="0" w:firstColumn="0" w:lastColumn="0" w:oddVBand="0" w:evenVBand="0" w:oddHBand="0" w:evenHBand="0" w:firstRowFirstColumn="0" w:firstRowLastColumn="0" w:lastRowFirstColumn="0" w:lastRowLastColumn="0"/>
              <w:rPr>
                <w:szCs w:val="22"/>
              </w:rPr>
            </w:pPr>
            <w:r w:rsidRPr="007C23E8">
              <w:rPr>
                <w:szCs w:val="22"/>
              </w:rPr>
              <w:t>3 June 2022</w:t>
            </w:r>
          </w:p>
        </w:tc>
      </w:tr>
      <w:tr w:rsidR="00324B33" w:rsidRPr="007C23E8" w14:paraId="53437815" w14:textId="77777777" w:rsidTr="00FE077F">
        <w:tc>
          <w:tcPr>
            <w:cnfStyle w:val="001000000000" w:firstRow="0" w:lastRow="0" w:firstColumn="1" w:lastColumn="0" w:oddVBand="0" w:evenVBand="0" w:oddHBand="0" w:evenHBand="0" w:firstRowFirstColumn="0" w:firstRowLastColumn="0" w:lastRowFirstColumn="0" w:lastRowLastColumn="0"/>
            <w:tcW w:w="6516" w:type="dxa"/>
          </w:tcPr>
          <w:p w14:paraId="4C037D4E" w14:textId="2B0CE255" w:rsidR="00324B33" w:rsidRPr="007C23E8" w:rsidRDefault="00324B33" w:rsidP="00E679D1">
            <w:r w:rsidRPr="007C23E8">
              <w:t>First round evaluation completed</w:t>
            </w:r>
          </w:p>
        </w:tc>
        <w:tc>
          <w:tcPr>
            <w:tcW w:w="2126" w:type="dxa"/>
          </w:tcPr>
          <w:p w14:paraId="3CEAFAAB" w14:textId="0B44AA09" w:rsidR="00324B33" w:rsidRPr="007C23E8" w:rsidRDefault="00F97610" w:rsidP="00324B33">
            <w:pPr>
              <w:cnfStyle w:val="000000000000" w:firstRow="0" w:lastRow="0" w:firstColumn="0" w:lastColumn="0" w:oddVBand="0" w:evenVBand="0" w:oddHBand="0" w:evenHBand="0" w:firstRowFirstColumn="0" w:firstRowLastColumn="0" w:lastRowFirstColumn="0" w:lastRowLastColumn="0"/>
              <w:rPr>
                <w:szCs w:val="22"/>
              </w:rPr>
            </w:pPr>
            <w:r w:rsidRPr="007C23E8">
              <w:rPr>
                <w:szCs w:val="22"/>
              </w:rPr>
              <w:t>9 November 2022</w:t>
            </w:r>
          </w:p>
        </w:tc>
      </w:tr>
      <w:tr w:rsidR="00324B33" w:rsidRPr="007C23E8" w14:paraId="60DA57CC" w14:textId="77777777" w:rsidTr="00FE077F">
        <w:tc>
          <w:tcPr>
            <w:cnfStyle w:val="001000000000" w:firstRow="0" w:lastRow="0" w:firstColumn="1" w:lastColumn="0" w:oddVBand="0" w:evenVBand="0" w:oddHBand="0" w:evenHBand="0" w:firstRowFirstColumn="0" w:firstRowLastColumn="0" w:lastRowFirstColumn="0" w:lastRowLastColumn="0"/>
            <w:tcW w:w="6516" w:type="dxa"/>
          </w:tcPr>
          <w:p w14:paraId="02EA1147" w14:textId="2853A422" w:rsidR="00324B33" w:rsidRPr="007C23E8" w:rsidRDefault="00324B33" w:rsidP="00E679D1">
            <w:r w:rsidRPr="007C23E8">
              <w:t>Sponsor provides responses on questions raised in first round evaluation</w:t>
            </w:r>
          </w:p>
        </w:tc>
        <w:tc>
          <w:tcPr>
            <w:tcW w:w="2126" w:type="dxa"/>
          </w:tcPr>
          <w:p w14:paraId="68A577C1" w14:textId="4CB8447E" w:rsidR="00324B33" w:rsidRPr="007C23E8" w:rsidRDefault="00B12ADF" w:rsidP="00324B33">
            <w:pPr>
              <w:cnfStyle w:val="000000000000" w:firstRow="0" w:lastRow="0" w:firstColumn="0" w:lastColumn="0" w:oddVBand="0" w:evenVBand="0" w:oddHBand="0" w:evenHBand="0" w:firstRowFirstColumn="0" w:firstRowLastColumn="0" w:lastRowFirstColumn="0" w:lastRowLastColumn="0"/>
              <w:rPr>
                <w:szCs w:val="22"/>
              </w:rPr>
            </w:pPr>
            <w:r w:rsidRPr="007C23E8">
              <w:rPr>
                <w:szCs w:val="22"/>
              </w:rPr>
              <w:t>23 December 2022</w:t>
            </w:r>
          </w:p>
        </w:tc>
      </w:tr>
      <w:tr w:rsidR="00324B33" w:rsidRPr="007C23E8" w14:paraId="767E33A4" w14:textId="77777777" w:rsidTr="00FE077F">
        <w:tc>
          <w:tcPr>
            <w:cnfStyle w:val="001000000000" w:firstRow="0" w:lastRow="0" w:firstColumn="1" w:lastColumn="0" w:oddVBand="0" w:evenVBand="0" w:oddHBand="0" w:evenHBand="0" w:firstRowFirstColumn="0" w:firstRowLastColumn="0" w:lastRowFirstColumn="0" w:lastRowLastColumn="0"/>
            <w:tcW w:w="6516" w:type="dxa"/>
          </w:tcPr>
          <w:p w14:paraId="4AFC5B50" w14:textId="2BCC6A3E" w:rsidR="00324B33" w:rsidRPr="007C23E8" w:rsidRDefault="00324B33" w:rsidP="00E679D1">
            <w:r w:rsidRPr="007C23E8">
              <w:t>Second round evaluation completed</w:t>
            </w:r>
          </w:p>
        </w:tc>
        <w:tc>
          <w:tcPr>
            <w:tcW w:w="2126" w:type="dxa"/>
          </w:tcPr>
          <w:p w14:paraId="4E47DF62" w14:textId="738EA838" w:rsidR="00324B33" w:rsidRPr="007C23E8" w:rsidRDefault="008D7CC5" w:rsidP="00324B33">
            <w:pPr>
              <w:cnfStyle w:val="000000000000" w:firstRow="0" w:lastRow="0" w:firstColumn="0" w:lastColumn="0" w:oddVBand="0" w:evenVBand="0" w:oddHBand="0" w:evenHBand="0" w:firstRowFirstColumn="0" w:firstRowLastColumn="0" w:lastRowFirstColumn="0" w:lastRowLastColumn="0"/>
              <w:rPr>
                <w:szCs w:val="22"/>
              </w:rPr>
            </w:pPr>
            <w:r w:rsidRPr="007C23E8">
              <w:rPr>
                <w:szCs w:val="22"/>
              </w:rPr>
              <w:t>6 March 2023</w:t>
            </w:r>
          </w:p>
        </w:tc>
      </w:tr>
      <w:tr w:rsidR="00324B33" w:rsidRPr="007C23E8" w14:paraId="302FCB45" w14:textId="77777777" w:rsidTr="00FE077F">
        <w:tc>
          <w:tcPr>
            <w:cnfStyle w:val="001000000000" w:firstRow="0" w:lastRow="0" w:firstColumn="1" w:lastColumn="0" w:oddVBand="0" w:evenVBand="0" w:oddHBand="0" w:evenHBand="0" w:firstRowFirstColumn="0" w:firstRowLastColumn="0" w:lastRowFirstColumn="0" w:lastRowLastColumn="0"/>
            <w:tcW w:w="6516" w:type="dxa"/>
          </w:tcPr>
          <w:p w14:paraId="716E9DC1" w14:textId="0F1E38E7" w:rsidR="00324B33" w:rsidRPr="007C23E8" w:rsidRDefault="00324B33" w:rsidP="00324B33">
            <w:pPr>
              <w:rPr>
                <w:szCs w:val="22"/>
              </w:rPr>
            </w:pPr>
            <w:r w:rsidRPr="007C23E8">
              <w:rPr>
                <w:szCs w:val="22"/>
              </w:rPr>
              <w:t>Delegate’s</w:t>
            </w:r>
            <w:r w:rsidR="00500D68" w:rsidRPr="007C23E8">
              <w:rPr>
                <w:rStyle w:val="FootnoteReference"/>
                <w:szCs w:val="22"/>
              </w:rPr>
              <w:footnoteReference w:id="5"/>
            </w:r>
            <w:r w:rsidRPr="007C23E8">
              <w:rPr>
                <w:szCs w:val="22"/>
              </w:rPr>
              <w:t xml:space="preserve"> Overall benefit-risk</w:t>
            </w:r>
            <w:r w:rsidRPr="007C23E8">
              <w:t xml:space="preserve"> assessment and request for Advisory Committee advice</w:t>
            </w:r>
          </w:p>
        </w:tc>
        <w:tc>
          <w:tcPr>
            <w:tcW w:w="2126" w:type="dxa"/>
          </w:tcPr>
          <w:p w14:paraId="3BA6EF79" w14:textId="0FD7608A" w:rsidR="00324B33" w:rsidRPr="007C23E8" w:rsidRDefault="1EB66F93" w:rsidP="101C7A34">
            <w:pPr>
              <w:cnfStyle w:val="000000000000" w:firstRow="0" w:lastRow="0" w:firstColumn="0" w:lastColumn="0" w:oddVBand="0" w:evenVBand="0" w:oddHBand="0" w:evenHBand="0" w:firstRowFirstColumn="0" w:firstRowLastColumn="0" w:lastRowFirstColumn="0" w:lastRowLastColumn="0"/>
            </w:pPr>
            <w:r>
              <w:t>28 April 2023</w:t>
            </w:r>
          </w:p>
        </w:tc>
      </w:tr>
      <w:tr w:rsidR="00324B33" w:rsidRPr="007C23E8" w14:paraId="5832EBC8" w14:textId="77777777" w:rsidTr="00FE077F">
        <w:tc>
          <w:tcPr>
            <w:cnfStyle w:val="001000000000" w:firstRow="0" w:lastRow="0" w:firstColumn="1" w:lastColumn="0" w:oddVBand="0" w:evenVBand="0" w:oddHBand="0" w:evenHBand="0" w:firstRowFirstColumn="0" w:firstRowLastColumn="0" w:lastRowFirstColumn="0" w:lastRowLastColumn="0"/>
            <w:tcW w:w="6516" w:type="dxa"/>
          </w:tcPr>
          <w:p w14:paraId="720592DE" w14:textId="1F72CD22" w:rsidR="00324B33" w:rsidRPr="007C23E8" w:rsidRDefault="00324B33" w:rsidP="00E679D1">
            <w:r w:rsidRPr="007C23E8">
              <w:t>Sponsor’s pre-Advisory Committee response</w:t>
            </w:r>
          </w:p>
        </w:tc>
        <w:tc>
          <w:tcPr>
            <w:tcW w:w="2126" w:type="dxa"/>
          </w:tcPr>
          <w:p w14:paraId="5AE04841" w14:textId="6DFDD4B6" w:rsidR="00324B33" w:rsidRPr="007C23E8" w:rsidRDefault="00181F6D" w:rsidP="00324B33">
            <w:pPr>
              <w:cnfStyle w:val="000000000000" w:firstRow="0" w:lastRow="0" w:firstColumn="0" w:lastColumn="0" w:oddVBand="0" w:evenVBand="0" w:oddHBand="0" w:evenHBand="0" w:firstRowFirstColumn="0" w:firstRowLastColumn="0" w:lastRowFirstColumn="0" w:lastRowLastColumn="0"/>
              <w:rPr>
                <w:szCs w:val="22"/>
              </w:rPr>
            </w:pPr>
            <w:r w:rsidRPr="007C23E8">
              <w:rPr>
                <w:szCs w:val="22"/>
              </w:rPr>
              <w:t>12 May 2023</w:t>
            </w:r>
          </w:p>
        </w:tc>
      </w:tr>
      <w:tr w:rsidR="00324B33" w:rsidRPr="007C23E8" w14:paraId="5754F7AC" w14:textId="77777777" w:rsidTr="00FE077F">
        <w:tc>
          <w:tcPr>
            <w:cnfStyle w:val="001000000000" w:firstRow="0" w:lastRow="0" w:firstColumn="1" w:lastColumn="0" w:oddVBand="0" w:evenVBand="0" w:oddHBand="0" w:evenHBand="0" w:firstRowFirstColumn="0" w:firstRowLastColumn="0" w:lastRowFirstColumn="0" w:lastRowLastColumn="0"/>
            <w:tcW w:w="6516" w:type="dxa"/>
          </w:tcPr>
          <w:p w14:paraId="789DE187" w14:textId="123446EE" w:rsidR="00324B33" w:rsidRPr="007C23E8" w:rsidRDefault="00324B33" w:rsidP="00E679D1">
            <w:r w:rsidRPr="007C23E8">
              <w:t>Advisory Committee meeting</w:t>
            </w:r>
          </w:p>
        </w:tc>
        <w:tc>
          <w:tcPr>
            <w:tcW w:w="2126" w:type="dxa"/>
          </w:tcPr>
          <w:p w14:paraId="5BE1EDE7" w14:textId="06C14E47" w:rsidR="00324B33" w:rsidRPr="007C23E8" w:rsidRDefault="007A4CA9" w:rsidP="00324B33">
            <w:pPr>
              <w:cnfStyle w:val="000000000000" w:firstRow="0" w:lastRow="0" w:firstColumn="0" w:lastColumn="0" w:oddVBand="0" w:evenVBand="0" w:oddHBand="0" w:evenHBand="0" w:firstRowFirstColumn="0" w:firstRowLastColumn="0" w:lastRowFirstColumn="0" w:lastRowLastColumn="0"/>
              <w:rPr>
                <w:szCs w:val="22"/>
              </w:rPr>
            </w:pPr>
            <w:r w:rsidRPr="007C23E8">
              <w:rPr>
                <w:szCs w:val="22"/>
              </w:rPr>
              <w:t>1 and 2 June 2023</w:t>
            </w:r>
          </w:p>
        </w:tc>
      </w:tr>
      <w:tr w:rsidR="00324B33" w:rsidRPr="007C23E8" w14:paraId="6E5D32FE" w14:textId="77777777" w:rsidTr="00FE077F">
        <w:tc>
          <w:tcPr>
            <w:cnfStyle w:val="001000000000" w:firstRow="0" w:lastRow="0" w:firstColumn="1" w:lastColumn="0" w:oddVBand="0" w:evenVBand="0" w:oddHBand="0" w:evenHBand="0" w:firstRowFirstColumn="0" w:firstRowLastColumn="0" w:lastRowFirstColumn="0" w:lastRowLastColumn="0"/>
            <w:tcW w:w="6516" w:type="dxa"/>
          </w:tcPr>
          <w:p w14:paraId="4E95C44C" w14:textId="7A91C710" w:rsidR="00324B33" w:rsidRPr="007C23E8" w:rsidRDefault="00324B33" w:rsidP="00E679D1">
            <w:r w:rsidRPr="007C23E8">
              <w:t>Registration decision (Outcome)</w:t>
            </w:r>
          </w:p>
        </w:tc>
        <w:tc>
          <w:tcPr>
            <w:tcW w:w="2126" w:type="dxa"/>
          </w:tcPr>
          <w:p w14:paraId="62987ABD" w14:textId="1B832654" w:rsidR="00324B33" w:rsidRPr="007C23E8" w:rsidRDefault="00181F6D" w:rsidP="00324B33">
            <w:pPr>
              <w:cnfStyle w:val="000000000000" w:firstRow="0" w:lastRow="0" w:firstColumn="0" w:lastColumn="0" w:oddVBand="0" w:evenVBand="0" w:oddHBand="0" w:evenHBand="0" w:firstRowFirstColumn="0" w:firstRowLastColumn="0" w:lastRowFirstColumn="0" w:lastRowLastColumn="0"/>
              <w:rPr>
                <w:szCs w:val="22"/>
              </w:rPr>
            </w:pPr>
            <w:r w:rsidRPr="007C23E8">
              <w:rPr>
                <w:szCs w:val="22"/>
              </w:rPr>
              <w:t>19 June 2023</w:t>
            </w:r>
          </w:p>
        </w:tc>
      </w:tr>
      <w:tr w:rsidR="00324B33" w:rsidRPr="007C23E8" w14:paraId="6DDCDDA4" w14:textId="77777777" w:rsidTr="00FE077F">
        <w:tc>
          <w:tcPr>
            <w:cnfStyle w:val="001000000000" w:firstRow="0" w:lastRow="0" w:firstColumn="1" w:lastColumn="0" w:oddVBand="0" w:evenVBand="0" w:oddHBand="0" w:evenHBand="0" w:firstRowFirstColumn="0" w:firstRowLastColumn="0" w:lastRowFirstColumn="0" w:lastRowLastColumn="0"/>
            <w:tcW w:w="6516" w:type="dxa"/>
          </w:tcPr>
          <w:p w14:paraId="192FD19D" w14:textId="3612A2E7" w:rsidR="00324B33" w:rsidRPr="007C23E8" w:rsidRDefault="0013132F" w:rsidP="00E679D1">
            <w:r w:rsidRPr="007C23E8">
              <w:t xml:space="preserve">Administrative activities and registration </w:t>
            </w:r>
            <w:r w:rsidR="005C4B46" w:rsidRPr="007C23E8">
              <w:t xml:space="preserve">in </w:t>
            </w:r>
            <w:r w:rsidRPr="007C23E8">
              <w:t>the ARTG completed</w:t>
            </w:r>
          </w:p>
        </w:tc>
        <w:tc>
          <w:tcPr>
            <w:tcW w:w="2126" w:type="dxa"/>
          </w:tcPr>
          <w:p w14:paraId="5A8923FD" w14:textId="1ECFF5A4" w:rsidR="00324B33" w:rsidRPr="007C23E8" w:rsidRDefault="00181F6D" w:rsidP="00324B33">
            <w:pPr>
              <w:cnfStyle w:val="000000000000" w:firstRow="0" w:lastRow="0" w:firstColumn="0" w:lastColumn="0" w:oddVBand="0" w:evenVBand="0" w:oddHBand="0" w:evenHBand="0" w:firstRowFirstColumn="0" w:firstRowLastColumn="0" w:lastRowFirstColumn="0" w:lastRowLastColumn="0"/>
              <w:rPr>
                <w:szCs w:val="22"/>
              </w:rPr>
            </w:pPr>
            <w:r w:rsidRPr="007C23E8">
              <w:rPr>
                <w:szCs w:val="22"/>
              </w:rPr>
              <w:t>20 June 2023</w:t>
            </w:r>
          </w:p>
        </w:tc>
      </w:tr>
      <w:tr w:rsidR="00324B33" w:rsidRPr="007C23E8" w14:paraId="56D922E2" w14:textId="77777777" w:rsidTr="00FE077F">
        <w:tc>
          <w:tcPr>
            <w:cnfStyle w:val="001000000000" w:firstRow="0" w:lastRow="0" w:firstColumn="1" w:lastColumn="0" w:oddVBand="0" w:evenVBand="0" w:oddHBand="0" w:evenHBand="0" w:firstRowFirstColumn="0" w:firstRowLastColumn="0" w:lastRowFirstColumn="0" w:lastRowLastColumn="0"/>
            <w:tcW w:w="6516" w:type="dxa"/>
          </w:tcPr>
          <w:p w14:paraId="787FD8DD" w14:textId="0E0CF97F" w:rsidR="00324B33" w:rsidRPr="007C23E8" w:rsidRDefault="00324B33" w:rsidP="00E679D1">
            <w:r w:rsidRPr="007C23E8">
              <w:t>Number of working days from submission dossier acceptance to registration decision*</w:t>
            </w:r>
          </w:p>
        </w:tc>
        <w:tc>
          <w:tcPr>
            <w:tcW w:w="2126" w:type="dxa"/>
          </w:tcPr>
          <w:p w14:paraId="5BAF9FA1" w14:textId="0FD4EE82" w:rsidR="00324B33" w:rsidRPr="007C23E8" w:rsidRDefault="008A6C02" w:rsidP="00324B33">
            <w:pPr>
              <w:cnfStyle w:val="000000000000" w:firstRow="0" w:lastRow="0" w:firstColumn="0" w:lastColumn="0" w:oddVBand="0" w:evenVBand="0" w:oddHBand="0" w:evenHBand="0" w:firstRowFirstColumn="0" w:firstRowLastColumn="0" w:lastRowFirstColumn="0" w:lastRowLastColumn="0"/>
              <w:rPr>
                <w:szCs w:val="22"/>
              </w:rPr>
            </w:pPr>
            <w:r w:rsidRPr="007C23E8">
              <w:rPr>
                <w:szCs w:val="22"/>
              </w:rPr>
              <w:t>183</w:t>
            </w:r>
          </w:p>
        </w:tc>
      </w:tr>
    </w:tbl>
    <w:p w14:paraId="7B02554C" w14:textId="77777777" w:rsidR="00433318" w:rsidRPr="007C23E8" w:rsidRDefault="00433318" w:rsidP="00433318">
      <w:pPr>
        <w:pStyle w:val="TableDescription"/>
      </w:pPr>
      <w:r w:rsidRPr="007C23E8">
        <w:t>*Statutory timeframe for standard submissions is 255 working days</w:t>
      </w:r>
    </w:p>
    <w:p w14:paraId="220925F1" w14:textId="77777777" w:rsidR="00C22214" w:rsidRPr="007C23E8" w:rsidRDefault="00C22214" w:rsidP="00C22214">
      <w:pPr>
        <w:pStyle w:val="Heading2"/>
      </w:pPr>
      <w:bookmarkStart w:id="40" w:name="_Toc196046504"/>
      <w:bookmarkStart w:id="41" w:name="_Toc247691527"/>
      <w:bookmarkStart w:id="42" w:name="_Toc314842510"/>
      <w:bookmarkStart w:id="43" w:name="_Toc103679294"/>
      <w:bookmarkStart w:id="44" w:name="_Toc152160780"/>
      <w:bookmarkStart w:id="45" w:name="_Toc153375877"/>
      <w:r w:rsidRPr="007C23E8">
        <w:lastRenderedPageBreak/>
        <w:t>Submission overview and risk/benefit assessment</w:t>
      </w:r>
      <w:bookmarkEnd w:id="40"/>
      <w:bookmarkEnd w:id="41"/>
      <w:bookmarkEnd w:id="42"/>
      <w:bookmarkEnd w:id="43"/>
      <w:bookmarkEnd w:id="44"/>
      <w:bookmarkEnd w:id="45"/>
    </w:p>
    <w:p w14:paraId="540151FC" w14:textId="77777777" w:rsidR="00C22214" w:rsidRPr="007C23E8" w:rsidRDefault="00C22214" w:rsidP="00BD5DBD">
      <w:pPr>
        <w:rPr>
          <w:szCs w:val="22"/>
        </w:rPr>
      </w:pPr>
      <w:bookmarkStart w:id="46" w:name="_Toc247691528"/>
      <w:bookmarkStart w:id="47" w:name="_Toc314842511"/>
      <w:r w:rsidRPr="007C23E8">
        <w:rPr>
          <w:szCs w:val="22"/>
        </w:rPr>
        <w:t>A summary of the TGA’s assessment for this submission is provided below.</w:t>
      </w:r>
    </w:p>
    <w:p w14:paraId="5F5FAA14" w14:textId="77777777" w:rsidR="00C22214" w:rsidRPr="007C23E8" w:rsidRDefault="00C22214" w:rsidP="00C22214">
      <w:pPr>
        <w:rPr>
          <w:szCs w:val="22"/>
        </w:rPr>
      </w:pPr>
      <w:r w:rsidRPr="007C23E8">
        <w:rPr>
          <w:szCs w:val="22"/>
        </w:rPr>
        <w:t>This section is a TGA summary of wording used in TGA’s evaluation report, which discussed numerous aspects of overseas evaluation reports and included some information that was commercial-in-confidence.</w:t>
      </w:r>
    </w:p>
    <w:p w14:paraId="2F7F0BD4" w14:textId="43540391" w:rsidR="00C22214" w:rsidRPr="007C23E8" w:rsidRDefault="007072A1" w:rsidP="00BD5D98">
      <w:pPr>
        <w:rPr>
          <w:szCs w:val="22"/>
        </w:rPr>
      </w:pPr>
      <w:r w:rsidRPr="007C23E8">
        <w:rPr>
          <w:szCs w:val="22"/>
        </w:rPr>
        <w:t>Relevant guidelines or guidance documents referred to by the Delegate are listed below:</w:t>
      </w:r>
    </w:p>
    <w:p w14:paraId="397AD1EF" w14:textId="02D98491" w:rsidR="00FF4558" w:rsidRPr="007C23E8" w:rsidRDefault="00FF4558">
      <w:pPr>
        <w:pStyle w:val="ListBullet"/>
      </w:pPr>
      <w:r w:rsidRPr="007C23E8">
        <w:t>European Medicines Agency (EMA), Committee for Medicinal Products for Human Use (CHMP), ICH Guideline S6 (R1) – Preclinical Safety Evaluation of Biotechnology-Derived Pharmaceuticals, EMA/CHMP/ICH/731268/1998, June 2011.</w:t>
      </w:r>
    </w:p>
    <w:p w14:paraId="7961375E" w14:textId="77777777" w:rsidR="00FF4558" w:rsidRPr="007C23E8" w:rsidRDefault="00FF4558" w:rsidP="00FF4558">
      <w:pPr>
        <w:pStyle w:val="ListBullet"/>
      </w:pPr>
      <w:r w:rsidRPr="007C23E8">
        <w:t>European Medicines Agency (EMA), Committee for Medicinal Products for Human Use (CHMP), ICH Guideline S9 on Nonclinical Evaluation for Anticancer Pharmaceuticals, EMA/CHMP/ICH/646107/2008, May 2010.</w:t>
      </w:r>
    </w:p>
    <w:p w14:paraId="2BF2BC19" w14:textId="21021F37" w:rsidR="00FF4558" w:rsidRPr="007C23E8" w:rsidRDefault="00FF4558" w:rsidP="00FF4558">
      <w:pPr>
        <w:pStyle w:val="ListBullet"/>
      </w:pPr>
      <w:r w:rsidRPr="007C23E8">
        <w:t xml:space="preserve">National Comprehensive Cancer Network (NCCN), </w:t>
      </w:r>
      <w:hyperlink r:id="rId24" w:history="1">
        <w:r w:rsidRPr="007C23E8">
          <w:rPr>
            <w:rStyle w:val="Hyperlink"/>
          </w:rPr>
          <w:t>NCCN Clinical Practice Guidelines in Oncology, B-Cell Lymphomas</w:t>
        </w:r>
      </w:hyperlink>
      <w:r w:rsidRPr="007C23E8">
        <w:t>, Version 4.2022. 2022.</w:t>
      </w:r>
    </w:p>
    <w:p w14:paraId="59904173" w14:textId="4078D2EF" w:rsidR="00FF4558" w:rsidRPr="007C23E8" w:rsidRDefault="00FF4558" w:rsidP="00FF4558">
      <w:pPr>
        <w:pStyle w:val="ListBullet"/>
      </w:pPr>
      <w:r w:rsidRPr="007C23E8">
        <w:t xml:space="preserve">Tilly H et al. Diffuse large B-cell lymphoma (DLBCL): ESMO Clinical Practice Guidelines for diagnosis, treatment and follow-up, </w:t>
      </w:r>
      <w:r w:rsidRPr="007C23E8">
        <w:rPr>
          <w:i/>
          <w:iCs/>
        </w:rPr>
        <w:t>Ann Oncol</w:t>
      </w:r>
      <w:r w:rsidRPr="007C23E8">
        <w:t>, 2015; 26 Suppl 5: v116-25.</w:t>
      </w:r>
    </w:p>
    <w:p w14:paraId="37F5A1C0" w14:textId="77777777" w:rsidR="00C22214" w:rsidRPr="007C23E8" w:rsidRDefault="00C22214" w:rsidP="00C22214">
      <w:pPr>
        <w:pStyle w:val="Heading3"/>
      </w:pPr>
      <w:bookmarkStart w:id="48" w:name="_Toc103679295"/>
      <w:bookmarkStart w:id="49" w:name="_Toc152160781"/>
      <w:bookmarkStart w:id="50" w:name="_Toc153375878"/>
      <w:r>
        <w:t>Quality</w:t>
      </w:r>
      <w:bookmarkEnd w:id="46"/>
      <w:bookmarkEnd w:id="47"/>
      <w:bookmarkEnd w:id="48"/>
      <w:bookmarkEnd w:id="49"/>
      <w:bookmarkEnd w:id="50"/>
    </w:p>
    <w:p w14:paraId="73ACC64E" w14:textId="1B4F7BBA" w:rsidR="00BA5476" w:rsidRPr="007C23E8" w:rsidRDefault="00BA5476" w:rsidP="007C23E8">
      <w:r w:rsidRPr="007C23E8">
        <w:t xml:space="preserve">There are no objections on quality grounds to the registration of </w:t>
      </w:r>
      <w:proofErr w:type="spellStart"/>
      <w:r w:rsidR="00225B62" w:rsidRPr="007C23E8">
        <w:t>tafasitimab</w:t>
      </w:r>
      <w:proofErr w:type="spellEnd"/>
      <w:r w:rsidRPr="007C23E8">
        <w:t>.</w:t>
      </w:r>
    </w:p>
    <w:p w14:paraId="1C2A347C" w14:textId="249366F2" w:rsidR="001C0E2E" w:rsidRPr="007C23E8" w:rsidRDefault="001C0E2E" w:rsidP="007C23E8">
      <w:r w:rsidRPr="007C23E8">
        <w:t>Tafasitamab is a humani</w:t>
      </w:r>
      <w:r w:rsidR="00225B62" w:rsidRPr="007C23E8">
        <w:t>s</w:t>
      </w:r>
      <w:r w:rsidRPr="007C23E8">
        <w:t xml:space="preserve">ed </w:t>
      </w:r>
      <w:proofErr w:type="spellStart"/>
      <w:r w:rsidRPr="007C23E8">
        <w:t>mAb</w:t>
      </w:r>
      <w:proofErr w:type="spellEnd"/>
      <w:r w:rsidRPr="007C23E8">
        <w:t xml:space="preserve"> of the immunoglobulin G1/2 hybrid, which binds to the CD19 antigen on the surface of B-lymphocytes and causes B-cell depletion. CD19 is a B-lymphocyte-specific surface antigen, which is broadly and homogeneously expressed across different B-cell malignancies including diffuse large B-cell lymphoma (DLBCL). CD19 expression is generally preserved during treatment of B-cell malignancies, including rituximab treatment.</w:t>
      </w:r>
    </w:p>
    <w:p w14:paraId="55CA1A8F" w14:textId="4DB0EBA3" w:rsidR="006C7EED" w:rsidRPr="007C23E8" w:rsidRDefault="0093291E" w:rsidP="0055499E">
      <w:r w:rsidRPr="007C23E8">
        <w:t xml:space="preserve">Based upon stability data submitted by the </w:t>
      </w:r>
      <w:r w:rsidR="00225B62" w:rsidRPr="007C23E8">
        <w:t>s</w:t>
      </w:r>
      <w:r w:rsidRPr="007C23E8">
        <w:t>ponsor, the recommended shelf life and storage conditions</w:t>
      </w:r>
      <w:r w:rsidR="00583360" w:rsidRPr="007C23E8">
        <w:t xml:space="preserve"> for the drug product of </w:t>
      </w:r>
      <w:r w:rsidR="006C7EED" w:rsidRPr="007C23E8">
        <w:t>48 months</w:t>
      </w:r>
      <w:r w:rsidR="00583360" w:rsidRPr="007C23E8">
        <w:t xml:space="preserve"> at </w:t>
      </w:r>
      <w:r w:rsidR="006C7EED" w:rsidRPr="007C23E8">
        <w:t>5 ± 3°C</w:t>
      </w:r>
      <w:r w:rsidR="00470B1D" w:rsidRPr="007C23E8">
        <w:t xml:space="preserve">. </w:t>
      </w:r>
      <w:r w:rsidR="006C7EED" w:rsidRPr="007C23E8">
        <w:t xml:space="preserve">The recommended shelf life and storage conditions for the reconstituted product are for not more than 24 </w:t>
      </w:r>
      <w:r w:rsidR="00225B62" w:rsidRPr="007C23E8">
        <w:t>hours</w:t>
      </w:r>
      <w:r w:rsidR="006C7EED" w:rsidRPr="007C23E8">
        <w:t xml:space="preserve"> when stored at 2</w:t>
      </w:r>
      <w:r w:rsidR="00225B62" w:rsidRPr="007C23E8">
        <w:t xml:space="preserve"> to </w:t>
      </w:r>
      <w:r w:rsidR="006C7EED" w:rsidRPr="007C23E8">
        <w:t xml:space="preserve">25°C. The diluted solution should be used immediately. If not used immediately, in-use storage times have been demonstrated for a maximum of 36 hours at 2 </w:t>
      </w:r>
      <w:r w:rsidR="00225B62" w:rsidRPr="007C23E8">
        <w:t>to</w:t>
      </w:r>
      <w:r w:rsidR="006C7EED" w:rsidRPr="007C23E8">
        <w:t xml:space="preserve"> 8°C, followed by up to 24</w:t>
      </w:r>
      <w:r w:rsidR="00225B62" w:rsidRPr="007C23E8">
        <w:t> </w:t>
      </w:r>
      <w:r w:rsidR="006C7EED" w:rsidRPr="007C23E8">
        <w:t>hours up to 25°C. Do not freeze or shake.</w:t>
      </w:r>
    </w:p>
    <w:p w14:paraId="14C6C7A9" w14:textId="77777777" w:rsidR="001A711A" w:rsidRPr="007C23E8" w:rsidRDefault="008424BF" w:rsidP="0055499E">
      <w:bookmarkStart w:id="51" w:name="_Hlk118794717"/>
      <w:r w:rsidRPr="007C23E8">
        <w:t xml:space="preserve">The finished product is presented as powder for solution for intravenous administration via infusion containing 200 mg/vial of </w:t>
      </w:r>
      <w:bookmarkStart w:id="52" w:name="_Hlk118730261"/>
      <w:r w:rsidRPr="007C23E8">
        <w:t>tafasitamab</w:t>
      </w:r>
      <w:bookmarkEnd w:id="52"/>
      <w:r w:rsidRPr="007C23E8">
        <w:t xml:space="preserve"> as active substance.</w:t>
      </w:r>
    </w:p>
    <w:p w14:paraId="4574813D" w14:textId="5A71B39C" w:rsidR="008424BF" w:rsidRPr="007C23E8" w:rsidRDefault="008424BF" w:rsidP="0055499E">
      <w:bookmarkStart w:id="53" w:name="_Hlk118794822"/>
      <w:bookmarkEnd w:id="51"/>
      <w:r w:rsidRPr="007C23E8">
        <w:t xml:space="preserve">The product is available in a Type I borosilicate 20 mL glass vial, closed with a coated rubber stopper and secured with an </w:t>
      </w:r>
      <w:r w:rsidR="00225B62" w:rsidRPr="007C23E8">
        <w:t>aluminium</w:t>
      </w:r>
      <w:r w:rsidRPr="007C23E8">
        <w:t xml:space="preserve"> flip-off cap.</w:t>
      </w:r>
    </w:p>
    <w:bookmarkEnd w:id="53"/>
    <w:p w14:paraId="6963324D" w14:textId="12CC2862" w:rsidR="001A711A" w:rsidRPr="007C23E8" w:rsidRDefault="00BA5476" w:rsidP="00BA5476">
      <w:r w:rsidRPr="007C23E8">
        <w:t xml:space="preserve">The quality of this product </w:t>
      </w:r>
      <w:proofErr w:type="gramStart"/>
      <w:r w:rsidRPr="007C23E8">
        <w:t>is considered to be</w:t>
      </w:r>
      <w:proofErr w:type="gramEnd"/>
      <w:r w:rsidRPr="007C23E8">
        <w:t xml:space="preserve"> acceptable when used in accordance with the conditions defined in the </w:t>
      </w:r>
      <w:r w:rsidR="00225B62" w:rsidRPr="007C23E8">
        <w:t xml:space="preserve">Product Information </w:t>
      </w:r>
      <w:r w:rsidRPr="007C23E8">
        <w:t xml:space="preserve">(PI), labels, </w:t>
      </w:r>
      <w:r w:rsidR="00225B62" w:rsidRPr="007C23E8">
        <w:t xml:space="preserve">Consumer Medicines Information (CMI) </w:t>
      </w:r>
      <w:r w:rsidRPr="007C23E8">
        <w:t xml:space="preserve">and the Australian Register of Therapeutic Goods (ARTG). Physicochemical and biological aspects relevant to the uniform clinical performance of the product have been investigated and are controlled in a satisfactory way. Information on development, manufacture and control of the active substance and finished product has been presented in a satisfactory manner. The results of tests carried out indicate consistency and uniformity of important product quality characteristics, and these in turn lead to the conclusion that the product should have a </w:t>
      </w:r>
      <w:r w:rsidRPr="007C23E8">
        <w:lastRenderedPageBreak/>
        <w:t xml:space="preserve">satisfactory and uniform performance in clinical use. From quality perspective, compliance with Therapeutic Goods Legislations and relevant </w:t>
      </w:r>
      <w:r w:rsidR="0035716C" w:rsidRPr="007C23E8">
        <w:t xml:space="preserve">Therapeutic Goods </w:t>
      </w:r>
      <w:r w:rsidRPr="007C23E8">
        <w:t xml:space="preserve">Orders as well as consistency with relevant guidelines and the </w:t>
      </w:r>
      <w:r w:rsidR="007A47E6" w:rsidRPr="007A47E6">
        <w:t>Australian Regulatory Guidelines for Prescription Medicines</w:t>
      </w:r>
      <w:r w:rsidRPr="007C23E8">
        <w:t xml:space="preserve"> has been demonstrated.</w:t>
      </w:r>
    </w:p>
    <w:p w14:paraId="2BE90AAE" w14:textId="3F8EEE92" w:rsidR="00C22214" w:rsidRPr="007C23E8" w:rsidRDefault="00C22214" w:rsidP="00C22214">
      <w:pPr>
        <w:pStyle w:val="Heading3"/>
      </w:pPr>
      <w:bookmarkStart w:id="54" w:name="_Toc314842512"/>
      <w:bookmarkStart w:id="55" w:name="_Toc103679296"/>
      <w:bookmarkStart w:id="56" w:name="_Toc152160782"/>
      <w:bookmarkStart w:id="57" w:name="_Toc153375879"/>
      <w:r w:rsidRPr="007C23E8">
        <w:t>Nonclinical</w:t>
      </w:r>
      <w:bookmarkEnd w:id="54"/>
      <w:bookmarkEnd w:id="55"/>
      <w:bookmarkEnd w:id="56"/>
      <w:bookmarkEnd w:id="57"/>
    </w:p>
    <w:p w14:paraId="42F775C2" w14:textId="2A6D763C" w:rsidR="00225B62" w:rsidRPr="007C23E8" w:rsidRDefault="00076376" w:rsidP="000468EF">
      <w:r w:rsidRPr="007C23E8">
        <w:t xml:space="preserve">The </w:t>
      </w:r>
      <w:r w:rsidR="00225B62" w:rsidRPr="007C23E8">
        <w:t>nonclinical evaluation</w:t>
      </w:r>
      <w:r w:rsidRPr="007C23E8">
        <w:t xml:space="preserve"> has </w:t>
      </w:r>
      <w:r w:rsidR="000468EF" w:rsidRPr="007C23E8">
        <w:t>not</w:t>
      </w:r>
      <w:r w:rsidRPr="007C23E8">
        <w:t xml:space="preserve"> raised any objection to registration.</w:t>
      </w:r>
    </w:p>
    <w:p w14:paraId="1D6F8D5F" w14:textId="03441D1F" w:rsidR="00076376" w:rsidRPr="007C23E8" w:rsidRDefault="00076376" w:rsidP="000468EF">
      <w:r w:rsidRPr="007C23E8">
        <w:t xml:space="preserve">The main findings of the </w:t>
      </w:r>
      <w:r w:rsidR="00225B62" w:rsidRPr="007C23E8">
        <w:t>non</w:t>
      </w:r>
      <w:r w:rsidRPr="007C23E8">
        <w:t xml:space="preserve">clinical </w:t>
      </w:r>
      <w:r w:rsidR="00225B62" w:rsidRPr="007C23E8">
        <w:t xml:space="preserve">evaluation </w:t>
      </w:r>
      <w:r w:rsidRPr="007C23E8">
        <w:t>are summarised</w:t>
      </w:r>
      <w:r w:rsidR="00225B62" w:rsidRPr="007C23E8">
        <w:t xml:space="preserve"> below:</w:t>
      </w:r>
    </w:p>
    <w:p w14:paraId="5B8F41F0" w14:textId="2BAE2D4E" w:rsidR="00076376" w:rsidRPr="007C23E8" w:rsidRDefault="00076376" w:rsidP="000468EF">
      <w:pPr>
        <w:pStyle w:val="ListBullet"/>
      </w:pPr>
      <w:r w:rsidRPr="007C23E8">
        <w:t xml:space="preserve">The submitted </w:t>
      </w:r>
      <w:r w:rsidR="00225B62" w:rsidRPr="007C23E8">
        <w:t xml:space="preserve">nonclinical </w:t>
      </w:r>
      <w:r w:rsidRPr="007C23E8">
        <w:t>dossier was in accordance with the relevant ICH guidelines for the nonclinical assessment of a biopharmaceutical and anti-cancer therapeutic.</w:t>
      </w:r>
      <w:bookmarkStart w:id="58" w:name="_Ref152064401"/>
      <w:r w:rsidR="00FF4558" w:rsidRPr="007C23E8">
        <w:rPr>
          <w:rStyle w:val="FootnoteReference"/>
        </w:rPr>
        <w:footnoteReference w:id="6"/>
      </w:r>
      <w:bookmarkEnd w:id="58"/>
      <w:r w:rsidR="00FF4558" w:rsidRPr="007C23E8">
        <w:rPr>
          <w:vertAlign w:val="superscript"/>
        </w:rPr>
        <w:t>,</w:t>
      </w:r>
      <w:bookmarkStart w:id="59" w:name="_Ref152064403"/>
      <w:r w:rsidR="00FF4558" w:rsidRPr="007C23E8">
        <w:rPr>
          <w:rStyle w:val="FootnoteReference"/>
        </w:rPr>
        <w:footnoteReference w:id="7"/>
      </w:r>
      <w:bookmarkEnd w:id="59"/>
      <w:r w:rsidRPr="007C23E8">
        <w:t xml:space="preserve"> The overall quality of the nonclinical dossier was high. All pivotal safety-related studies were </w:t>
      </w:r>
      <w:r w:rsidR="0035716C" w:rsidRPr="007C23E8">
        <w:t>Good Laboratory Practice</w:t>
      </w:r>
      <w:r w:rsidR="0035716C" w:rsidRPr="007C23E8">
        <w:rPr>
          <w:rStyle w:val="FootnoteReference"/>
        </w:rPr>
        <w:footnoteReference w:id="8"/>
      </w:r>
      <w:r w:rsidRPr="007C23E8">
        <w:t xml:space="preserve"> compliant.</w:t>
      </w:r>
    </w:p>
    <w:p w14:paraId="7966C83B" w14:textId="65169129" w:rsidR="001A711A" w:rsidRPr="007C23E8" w:rsidRDefault="00076376" w:rsidP="000468EF">
      <w:pPr>
        <w:pStyle w:val="ListBullet"/>
      </w:pPr>
      <w:r w:rsidRPr="007C23E8">
        <w:rPr>
          <w:i/>
          <w:iCs/>
        </w:rPr>
        <w:t>In vitro</w:t>
      </w:r>
      <w:r w:rsidRPr="007C23E8">
        <w:t xml:space="preserve">, </w:t>
      </w:r>
      <w:r w:rsidR="00225B62" w:rsidRPr="007C23E8">
        <w:t xml:space="preserve">tafasitamab </w:t>
      </w:r>
      <w:r w:rsidRPr="007C23E8">
        <w:t xml:space="preserve">bound human CD19 with nanomolar affinity. Tafasitamab comparably bound CD19-expressing lymphocytes from humans and cynomolgus monkeys (but not dogs, rabbits, </w:t>
      </w:r>
      <w:proofErr w:type="gramStart"/>
      <w:r w:rsidRPr="007C23E8">
        <w:t>rats</w:t>
      </w:r>
      <w:proofErr w:type="gramEnd"/>
      <w:r w:rsidRPr="007C23E8">
        <w:t xml:space="preserve"> or mice). Binding affinity of </w:t>
      </w:r>
      <w:r w:rsidR="00225B62" w:rsidRPr="007C23E8">
        <w:t>tafasitamab</w:t>
      </w:r>
      <w:r w:rsidRPr="007C23E8">
        <w:t xml:space="preserve"> to human and cynomolgus monkey </w:t>
      </w:r>
      <w:proofErr w:type="spellStart"/>
      <w:r w:rsidRPr="007C23E8">
        <w:t>Fcγ</w:t>
      </w:r>
      <w:proofErr w:type="spellEnd"/>
      <w:r w:rsidRPr="007C23E8">
        <w:t xml:space="preserve"> receptors were overall similar. Tafasitamab demonstrated antibody-dependent cell</w:t>
      </w:r>
      <w:r w:rsidR="00225B62" w:rsidRPr="007C23E8">
        <w:noBreakHyphen/>
      </w:r>
      <w:r w:rsidRPr="007C23E8">
        <w:t xml:space="preserve">mediated cytotoxicity and/or antibody-dependent cell-mediated phagocytosis in several tumour </w:t>
      </w:r>
      <w:r w:rsidRPr="007C23E8">
        <w:rPr>
          <w:i/>
          <w:iCs/>
        </w:rPr>
        <w:t>in vitro</w:t>
      </w:r>
      <w:r w:rsidRPr="007C23E8">
        <w:t xml:space="preserve">, with the effect enhanced in the presence of lenalidomide. Tafasitamab did not induced complement-dependent cytotoxicity in B-cell lymphoma cell lines. </w:t>
      </w:r>
      <w:r w:rsidRPr="007C23E8">
        <w:rPr>
          <w:i/>
          <w:iCs/>
        </w:rPr>
        <w:t>In vivo</w:t>
      </w:r>
      <w:r w:rsidRPr="007C23E8">
        <w:t xml:space="preserve">, </w:t>
      </w:r>
      <w:r w:rsidR="00225B62" w:rsidRPr="007C23E8">
        <w:t>tafasitamab</w:t>
      </w:r>
      <w:r w:rsidRPr="007C23E8">
        <w:t xml:space="preserve"> demonstrated significant reduction in tumour growth, tumour volume and survival times in mice bearing B-cell lymphoma xenografts. Tafasitamab in combination with lenalidomide significantly increased anti-tumour activity</w:t>
      </w:r>
      <w:r w:rsidR="0035716C" w:rsidRPr="007C23E8">
        <w:t xml:space="preserve"> in comparison with</w:t>
      </w:r>
      <w:r w:rsidRPr="007C23E8">
        <w:t xml:space="preserve"> </w:t>
      </w:r>
      <w:r w:rsidR="00225B62" w:rsidRPr="007C23E8">
        <w:t xml:space="preserve">tafasitamab </w:t>
      </w:r>
      <w:r w:rsidRPr="007C23E8">
        <w:t>or lenalidomide alone in mice bearing non-Hodgkin lymphoma xenografts. These studies offer support for efficacy for the proposed indication.</w:t>
      </w:r>
    </w:p>
    <w:p w14:paraId="61D9421C" w14:textId="4CF1FB1B" w:rsidR="00076376" w:rsidRPr="007C23E8" w:rsidRDefault="00076376" w:rsidP="000468EF">
      <w:pPr>
        <w:pStyle w:val="ListBullet"/>
      </w:pPr>
      <w:r w:rsidRPr="007C23E8">
        <w:t>Tafasitamab (</w:t>
      </w:r>
      <w:r w:rsidR="006A45BF" w:rsidRPr="007C23E8">
        <w:t>intravenous</w:t>
      </w:r>
      <w:r w:rsidRPr="007C23E8">
        <w:t xml:space="preserve">) resulted in decreases in B-lymphocyte (CD20+) and </w:t>
      </w:r>
      <w:r w:rsidR="006A45BF" w:rsidRPr="007C23E8">
        <w:t>natural killer</w:t>
      </w:r>
      <w:r w:rsidRPr="007C23E8">
        <w:t xml:space="preserve"> cells (CD20-) in cynomolgus monkeys.</w:t>
      </w:r>
    </w:p>
    <w:p w14:paraId="66CA0410" w14:textId="35915ADE" w:rsidR="00076376" w:rsidRPr="007C23E8" w:rsidRDefault="00076376" w:rsidP="000468EF">
      <w:pPr>
        <w:pStyle w:val="ListBullet"/>
      </w:pPr>
      <w:r w:rsidRPr="007C23E8">
        <w:t xml:space="preserve">Immunohistochemistry assays examining cross-reactivity showed staining of B-cells in normal human and cynomolgus monkey tissues. Safety pharmacology parameters (effects on cardiovascular, </w:t>
      </w:r>
      <w:proofErr w:type="gramStart"/>
      <w:r w:rsidRPr="007C23E8">
        <w:t>respiratory</w:t>
      </w:r>
      <w:proofErr w:type="gramEnd"/>
      <w:r w:rsidRPr="007C23E8">
        <w:t xml:space="preserve"> and </w:t>
      </w:r>
      <w:r w:rsidR="0035716C" w:rsidRPr="007C23E8">
        <w:t>central nervous system (</w:t>
      </w:r>
      <w:r w:rsidRPr="007C23E8">
        <w:t>CNS</w:t>
      </w:r>
      <w:r w:rsidR="0035716C" w:rsidRPr="007C23E8">
        <w:t>)</w:t>
      </w:r>
      <w:r w:rsidRPr="007C23E8">
        <w:t xml:space="preserve"> function) were examined in the repeat dose toxicity studies and were found unremarkable. No adverse effects on cardiovascular, respiratory or CNS function are predicted during clinical use.</w:t>
      </w:r>
    </w:p>
    <w:p w14:paraId="6F0AB61F" w14:textId="5C21F60A" w:rsidR="00076376" w:rsidRPr="007C23E8" w:rsidRDefault="00076376" w:rsidP="000468EF">
      <w:pPr>
        <w:pStyle w:val="ListBullet"/>
      </w:pPr>
      <w:r w:rsidRPr="007C23E8">
        <w:t xml:space="preserve">Overall, the pharmacokinetic profile in monkeys by the intravenous route was qualitatively </w:t>
      </w:r>
      <w:proofErr w:type="gramStart"/>
      <w:r w:rsidRPr="007C23E8">
        <w:t>similar to</w:t>
      </w:r>
      <w:proofErr w:type="gramEnd"/>
      <w:r w:rsidRPr="007C23E8">
        <w:t xml:space="preserve"> that of humans with dose-proportionality observed in </w:t>
      </w:r>
      <w:r w:rsidR="0035716C" w:rsidRPr="007C23E8">
        <w:t>maximum plasma concentration (C</w:t>
      </w:r>
      <w:r w:rsidR="0035716C" w:rsidRPr="007C23E8">
        <w:rPr>
          <w:vertAlign w:val="subscript"/>
        </w:rPr>
        <w:t>max</w:t>
      </w:r>
      <w:r w:rsidR="0035716C" w:rsidRPr="007C23E8">
        <w:t>)</w:t>
      </w:r>
      <w:r w:rsidRPr="007C23E8">
        <w:t xml:space="preserve">and </w:t>
      </w:r>
      <w:r w:rsidR="0035716C" w:rsidRPr="007C23E8">
        <w:t>area under the concentration-time curve (</w:t>
      </w:r>
      <w:r w:rsidRPr="007C23E8">
        <w:t>AUC</w:t>
      </w:r>
      <w:r w:rsidR="0035716C" w:rsidRPr="007C23E8">
        <w:t>)</w:t>
      </w:r>
      <w:r w:rsidRPr="007C23E8">
        <w:t xml:space="preserve"> values across multiple doses, comparable half-lives and limited distribution. The </w:t>
      </w:r>
      <w:r w:rsidRPr="007C23E8">
        <w:rPr>
          <w:i/>
          <w:iCs/>
        </w:rPr>
        <w:t>in vivo</w:t>
      </w:r>
      <w:r w:rsidRPr="007C23E8">
        <w:t xml:space="preserve"> deamidation of </w:t>
      </w:r>
      <w:r w:rsidR="00225B62" w:rsidRPr="007C23E8">
        <w:t>tafasitamab</w:t>
      </w:r>
      <w:r w:rsidRPr="007C23E8">
        <w:t xml:space="preserve"> in the light chain was shown to abrogate binding of </w:t>
      </w:r>
      <w:r w:rsidR="00225B62" w:rsidRPr="007C23E8">
        <w:t>tafasitamab</w:t>
      </w:r>
      <w:r w:rsidRPr="007C23E8">
        <w:t xml:space="preserve"> to its CD19 target, which could influence the pharmacokinetics of </w:t>
      </w:r>
      <w:r w:rsidR="00225B62" w:rsidRPr="007C23E8">
        <w:t>tafasitamab</w:t>
      </w:r>
      <w:r w:rsidRPr="007C23E8">
        <w:t>. This has been investigated in clinical Study MOR208C205.</w:t>
      </w:r>
    </w:p>
    <w:p w14:paraId="08F9BB13" w14:textId="4CE3A6A1" w:rsidR="00076376" w:rsidRPr="007C23E8" w:rsidRDefault="00076376" w:rsidP="000468EF">
      <w:pPr>
        <w:pStyle w:val="ListBullet"/>
      </w:pPr>
      <w:r w:rsidRPr="007C23E8">
        <w:t xml:space="preserve">Repeat-dose toxicity studies by the intravenous route were conducted in monkeys (up to 13-weeks). Maximum exposures (AUC) were moderate. No major effects/target organs were identified that were not anticipated based on primary pharmacology of </w:t>
      </w:r>
      <w:r w:rsidR="00225B62" w:rsidRPr="007C23E8">
        <w:t>tafasitamab</w:t>
      </w:r>
      <w:r w:rsidRPr="007C23E8">
        <w:t xml:space="preserve">. Tafasitamab administration resulted in reversible decreases in peripheral total </w:t>
      </w:r>
      <w:r w:rsidRPr="007C23E8">
        <w:lastRenderedPageBreak/>
        <w:t>B</w:t>
      </w:r>
      <w:r w:rsidR="00225B62" w:rsidRPr="007C23E8">
        <w:noBreakHyphen/>
      </w:r>
      <w:r w:rsidRPr="007C23E8">
        <w:t xml:space="preserve">lymphocytes, decreases in absolute lymphocyte/white blood cell counts, decreases in spleen </w:t>
      </w:r>
      <w:proofErr w:type="gramStart"/>
      <w:r w:rsidRPr="007C23E8">
        <w:t>weights</w:t>
      </w:r>
      <w:proofErr w:type="gramEnd"/>
      <w:r w:rsidRPr="007C23E8">
        <w:t xml:space="preserve"> and decreases in the cellularity of the splenic germinal centres.</w:t>
      </w:r>
    </w:p>
    <w:p w14:paraId="6F8A8C76" w14:textId="20A36C65" w:rsidR="00076376" w:rsidRPr="007C23E8" w:rsidRDefault="00076376" w:rsidP="000468EF">
      <w:pPr>
        <w:pStyle w:val="ListBullet"/>
      </w:pPr>
      <w:r w:rsidRPr="007C23E8">
        <w:t>No genotoxicity and carcinogenicity studies were conducted in line with ICH guidelines for biotechnology-derived pharmaceuticals and/or anti-cancer pharmaceuticals.</w:t>
      </w:r>
      <w:r w:rsidR="00FF4558" w:rsidRPr="007C23E8">
        <w:rPr>
          <w:vertAlign w:val="superscript"/>
        </w:rPr>
        <w:fldChar w:fldCharType="begin"/>
      </w:r>
      <w:r w:rsidR="00FF4558" w:rsidRPr="007C23E8">
        <w:rPr>
          <w:vertAlign w:val="superscript"/>
        </w:rPr>
        <w:instrText xml:space="preserve"> NOTEREF _Ref152064401 \h  \* MERGEFORMAT </w:instrText>
      </w:r>
      <w:r w:rsidR="00FF4558" w:rsidRPr="007C23E8">
        <w:rPr>
          <w:vertAlign w:val="superscript"/>
        </w:rPr>
      </w:r>
      <w:r w:rsidR="00FF4558" w:rsidRPr="007C23E8">
        <w:rPr>
          <w:vertAlign w:val="superscript"/>
        </w:rPr>
        <w:fldChar w:fldCharType="separate"/>
      </w:r>
      <w:r w:rsidR="0062128D">
        <w:rPr>
          <w:vertAlign w:val="superscript"/>
        </w:rPr>
        <w:t>5</w:t>
      </w:r>
      <w:r w:rsidR="00FF4558" w:rsidRPr="007C23E8">
        <w:rPr>
          <w:vertAlign w:val="superscript"/>
        </w:rPr>
        <w:fldChar w:fldCharType="end"/>
      </w:r>
      <w:r w:rsidR="00FF4558" w:rsidRPr="007C23E8">
        <w:rPr>
          <w:vertAlign w:val="superscript"/>
        </w:rPr>
        <w:t>,</w:t>
      </w:r>
      <w:r w:rsidR="00FF4558" w:rsidRPr="007C23E8">
        <w:rPr>
          <w:vertAlign w:val="superscript"/>
        </w:rPr>
        <w:fldChar w:fldCharType="begin"/>
      </w:r>
      <w:r w:rsidR="00FF4558" w:rsidRPr="007C23E8">
        <w:rPr>
          <w:vertAlign w:val="superscript"/>
        </w:rPr>
        <w:instrText xml:space="preserve"> NOTEREF _Ref152064403 \h  \* MERGEFORMAT </w:instrText>
      </w:r>
      <w:r w:rsidR="00FF4558" w:rsidRPr="007C23E8">
        <w:rPr>
          <w:vertAlign w:val="superscript"/>
        </w:rPr>
      </w:r>
      <w:r w:rsidR="00FF4558" w:rsidRPr="007C23E8">
        <w:rPr>
          <w:vertAlign w:val="superscript"/>
        </w:rPr>
        <w:fldChar w:fldCharType="separate"/>
      </w:r>
      <w:r w:rsidR="0062128D">
        <w:rPr>
          <w:vertAlign w:val="superscript"/>
        </w:rPr>
        <w:t>6</w:t>
      </w:r>
      <w:r w:rsidR="00FF4558" w:rsidRPr="007C23E8">
        <w:rPr>
          <w:vertAlign w:val="superscript"/>
        </w:rPr>
        <w:fldChar w:fldCharType="end"/>
      </w:r>
    </w:p>
    <w:p w14:paraId="313B6C6D" w14:textId="56DD5D1B" w:rsidR="00076376" w:rsidRPr="007C23E8" w:rsidRDefault="00076376" w:rsidP="000468EF">
      <w:pPr>
        <w:pStyle w:val="ListBullet"/>
      </w:pPr>
      <w:r w:rsidRPr="007C23E8">
        <w:t xml:space="preserve">No dedicated reproductive and developmental toxicity studies were conducted. This is considered acceptable since </w:t>
      </w:r>
      <w:r w:rsidR="00225B62" w:rsidRPr="007C23E8">
        <w:t>tafasitamab</w:t>
      </w:r>
      <w:r w:rsidRPr="007C23E8">
        <w:t xml:space="preserve"> is proposed to be administered in combination with lenalidomide (known to be teratogenic or to cause embryofetal lethality) and based on age of the patient population (median age of 71</w:t>
      </w:r>
      <w:r w:rsidR="00225B62" w:rsidRPr="007C23E8">
        <w:t xml:space="preserve"> to </w:t>
      </w:r>
      <w:r w:rsidRPr="007C23E8">
        <w:t>72 years in the supportive clinical studies). Additionally, no histopathological changes to male or female reproductive system and no effect on female menstrual cycle length were noted in the 13-week repeat-dose study in cynomolgus monkeys.</w:t>
      </w:r>
    </w:p>
    <w:p w14:paraId="3F062C8A" w14:textId="2F6AA4F4" w:rsidR="001A711A" w:rsidRPr="007C23E8" w:rsidRDefault="00076376" w:rsidP="000468EF">
      <w:pPr>
        <w:pStyle w:val="ListBullet"/>
      </w:pPr>
      <w:r w:rsidRPr="007C23E8">
        <w:t xml:space="preserve">Tafasitamab was well tolerated locally in cynomolgus monkeys by the </w:t>
      </w:r>
      <w:r w:rsidR="006A45BF" w:rsidRPr="007C23E8">
        <w:t>intravenous</w:t>
      </w:r>
      <w:r w:rsidRPr="007C23E8">
        <w:t xml:space="preserve"> route.</w:t>
      </w:r>
    </w:p>
    <w:p w14:paraId="61359A77" w14:textId="6EB55EE3" w:rsidR="00076376" w:rsidRPr="007C23E8" w:rsidRDefault="00076376" w:rsidP="000468EF">
      <w:pPr>
        <w:pStyle w:val="ListBullet"/>
      </w:pPr>
      <w:r>
        <w:t>In addition to effects on the spleen and lymphocyte populations, impairment of T-cell dependent antibody responses was seen in monkeys. Tafasitamab therefore may perturb immunological responses in patients, as expected based on its mode of action.</w:t>
      </w:r>
    </w:p>
    <w:p w14:paraId="51C5A0E1" w14:textId="33B1D35F" w:rsidR="00076376" w:rsidRPr="007C23E8" w:rsidRDefault="00225B62" w:rsidP="000468EF">
      <w:pPr>
        <w:pStyle w:val="Heading5"/>
      </w:pPr>
      <w:r w:rsidRPr="007C23E8">
        <w:t>Conclusions and recommendation</w:t>
      </w:r>
    </w:p>
    <w:p w14:paraId="6822B944" w14:textId="77777777" w:rsidR="001A711A" w:rsidRPr="007C23E8" w:rsidRDefault="00076376" w:rsidP="000468EF">
      <w:pPr>
        <w:pStyle w:val="ListBullet"/>
      </w:pPr>
      <w:r w:rsidRPr="007C23E8">
        <w:t>Primary pharmacology studies support the proposed clinical dose and indication.</w:t>
      </w:r>
    </w:p>
    <w:p w14:paraId="60A1C3A4" w14:textId="64067E28" w:rsidR="00076376" w:rsidRPr="007C23E8" w:rsidRDefault="00076376" w:rsidP="000468EF">
      <w:pPr>
        <w:pStyle w:val="ListBullet"/>
      </w:pPr>
      <w:r w:rsidRPr="007C23E8">
        <w:t>The only notable findings from studies in monkeys were B-cell depletion correlated with histopathological evidence of reduced cellularity in the germinal centres, which were generally resolved by the end of the treatment-free period.</w:t>
      </w:r>
    </w:p>
    <w:p w14:paraId="38DB5EA5" w14:textId="6EE82291" w:rsidR="00076376" w:rsidRPr="007C23E8" w:rsidRDefault="00076376" w:rsidP="000468EF">
      <w:pPr>
        <w:pStyle w:val="ListBullet"/>
      </w:pPr>
      <w:r w:rsidRPr="007C23E8">
        <w:t>Pregnancy Category C</w:t>
      </w:r>
      <w:r w:rsidR="0035716C" w:rsidRPr="007C23E8">
        <w:rPr>
          <w:rStyle w:val="FootnoteReference"/>
        </w:rPr>
        <w:footnoteReference w:id="9"/>
      </w:r>
      <w:r w:rsidRPr="007C23E8">
        <w:t xml:space="preserve"> is considered appropriate.</w:t>
      </w:r>
    </w:p>
    <w:p w14:paraId="52CAA147" w14:textId="57628EA1" w:rsidR="00076376" w:rsidRPr="007C23E8" w:rsidRDefault="00076376" w:rsidP="000468EF">
      <w:pPr>
        <w:pStyle w:val="ListBullet"/>
      </w:pPr>
      <w:r w:rsidRPr="007C23E8">
        <w:t xml:space="preserve">There are no nonclinical objections to registration of </w:t>
      </w:r>
      <w:r w:rsidR="00F146CB" w:rsidRPr="007C23E8">
        <w:t>Minjuvi</w:t>
      </w:r>
      <w:r w:rsidRPr="007C23E8">
        <w:t xml:space="preserve"> (</w:t>
      </w:r>
      <w:r w:rsidR="00225B62" w:rsidRPr="007C23E8">
        <w:t>tafasitamab</w:t>
      </w:r>
      <w:r w:rsidRPr="007C23E8">
        <w:t>) for the proposed indication.</w:t>
      </w:r>
    </w:p>
    <w:p w14:paraId="35B580A5" w14:textId="69B9BE44" w:rsidR="00C22214" w:rsidRPr="007C23E8" w:rsidRDefault="00C22214" w:rsidP="008804CF">
      <w:pPr>
        <w:pStyle w:val="Heading3"/>
      </w:pPr>
      <w:bookmarkStart w:id="60" w:name="_Toc247691530"/>
      <w:bookmarkStart w:id="61" w:name="_Toc314842513"/>
      <w:bookmarkStart w:id="62" w:name="_Toc103679297"/>
      <w:bookmarkStart w:id="63" w:name="_Toc152160783"/>
      <w:bookmarkStart w:id="64" w:name="_Toc153375880"/>
      <w:r w:rsidRPr="007C23E8">
        <w:t>Clinical</w:t>
      </w:r>
      <w:bookmarkEnd w:id="60"/>
      <w:bookmarkEnd w:id="61"/>
      <w:bookmarkEnd w:id="62"/>
      <w:bookmarkEnd w:id="63"/>
      <w:bookmarkEnd w:id="64"/>
    </w:p>
    <w:p w14:paraId="32B0DEDA" w14:textId="77777777" w:rsidR="00C22214" w:rsidRPr="007C23E8" w:rsidRDefault="00C22214" w:rsidP="00433318">
      <w:pPr>
        <w:pStyle w:val="Heading4"/>
      </w:pPr>
      <w:bookmarkStart w:id="65" w:name="_Toc98931928"/>
      <w:bookmarkStart w:id="66" w:name="_Toc152160784"/>
      <w:bookmarkStart w:id="67" w:name="_Toc153375881"/>
      <w:r w:rsidRPr="007C23E8">
        <w:t>Summary of clinical studies</w:t>
      </w:r>
      <w:bookmarkEnd w:id="65"/>
      <w:bookmarkEnd w:id="66"/>
      <w:bookmarkEnd w:id="67"/>
    </w:p>
    <w:p w14:paraId="413DD8BA" w14:textId="77777777" w:rsidR="001A711A" w:rsidRPr="007C23E8" w:rsidRDefault="00C22214" w:rsidP="00C22214">
      <w:pPr>
        <w:rPr>
          <w:szCs w:val="22"/>
        </w:rPr>
      </w:pPr>
      <w:r w:rsidRPr="007C23E8">
        <w:rPr>
          <w:szCs w:val="22"/>
        </w:rPr>
        <w:t>The clinical dossier consisted of</w:t>
      </w:r>
      <w:r w:rsidR="007357B9" w:rsidRPr="007C23E8">
        <w:rPr>
          <w:szCs w:val="22"/>
        </w:rPr>
        <w:t>:</w:t>
      </w:r>
    </w:p>
    <w:p w14:paraId="248CF1CA" w14:textId="4804867A" w:rsidR="0035716C" w:rsidRPr="007C23E8" w:rsidRDefault="0035716C" w:rsidP="0035716C">
      <w:pPr>
        <w:pStyle w:val="ListBullet"/>
      </w:pPr>
      <w:r w:rsidRPr="007C23E8">
        <w:t>one pivotal Phase II, single-arm trial (Study MOR208C203 also known as the L-MIND study) in which tafasitamab was combined with lenalidomide</w:t>
      </w:r>
    </w:p>
    <w:p w14:paraId="4E249E0F" w14:textId="0F388BC5" w:rsidR="0035716C" w:rsidRPr="007C23E8" w:rsidRDefault="0035716C" w:rsidP="0035716C">
      <w:pPr>
        <w:pStyle w:val="ListBullet"/>
      </w:pPr>
      <w:r w:rsidRPr="007C23E8">
        <w:t>one Phase I dose-ranging study (Study XmAb5574-01) of tafasitamab monotherapy</w:t>
      </w:r>
    </w:p>
    <w:p w14:paraId="6DD090D2" w14:textId="0A497C8D" w:rsidR="0035716C" w:rsidRPr="007C23E8" w:rsidRDefault="0035716C" w:rsidP="0035716C">
      <w:pPr>
        <w:pStyle w:val="ListBullet"/>
      </w:pPr>
      <w:r w:rsidRPr="007C23E8">
        <w:t>two supportive Phase II studies in which tafasitamab was administered as monotherapy (Studies MOR208C201 and MOR208C202)</w:t>
      </w:r>
    </w:p>
    <w:p w14:paraId="7550AD4A" w14:textId="3417EE86" w:rsidR="0035716C" w:rsidRPr="007C23E8" w:rsidRDefault="0035716C" w:rsidP="0035716C">
      <w:pPr>
        <w:pStyle w:val="ListBullet"/>
      </w:pPr>
      <w:r w:rsidRPr="007C23E8">
        <w:t>One retrospective study of lenalidomide monotherapy (MOR208C206, also known as the RE</w:t>
      </w:r>
      <w:r w:rsidRPr="007C23E8">
        <w:noBreakHyphen/>
        <w:t>MIND trial).</w:t>
      </w:r>
    </w:p>
    <w:p w14:paraId="3563B3F1" w14:textId="77777777" w:rsidR="0035716C" w:rsidRPr="007C23E8" w:rsidRDefault="0035716C" w:rsidP="0035716C">
      <w:pPr>
        <w:pStyle w:val="ListBullet"/>
      </w:pPr>
      <w:r w:rsidRPr="007C23E8">
        <w:t xml:space="preserve">one supportive Phase II, single-arm trial (Study MOR208C205, also known as the COSMOS trial) in which tafasitamab was combined with </w:t>
      </w:r>
      <w:proofErr w:type="spellStart"/>
      <w:r w:rsidRPr="007C23E8">
        <w:t>idelalisib</w:t>
      </w:r>
      <w:proofErr w:type="spellEnd"/>
      <w:r w:rsidRPr="007C23E8">
        <w:t xml:space="preserve"> or </w:t>
      </w:r>
      <w:proofErr w:type="spellStart"/>
      <w:r w:rsidRPr="007C23E8">
        <w:t>venetoclax</w:t>
      </w:r>
      <w:proofErr w:type="spellEnd"/>
    </w:p>
    <w:p w14:paraId="4470D791" w14:textId="0E209413" w:rsidR="0035716C" w:rsidRPr="007C23E8" w:rsidRDefault="0035716C" w:rsidP="0035716C">
      <w:pPr>
        <w:pStyle w:val="ListBullet"/>
      </w:pPr>
      <w:r w:rsidRPr="007C23E8">
        <w:t>two reports of a population pharmacokinetic analyses</w:t>
      </w:r>
    </w:p>
    <w:p w14:paraId="380ABC54" w14:textId="54DA9C63" w:rsidR="0035716C" w:rsidRPr="007C23E8" w:rsidRDefault="0035716C" w:rsidP="0035716C">
      <w:pPr>
        <w:pStyle w:val="ListBullet"/>
      </w:pPr>
      <w:r w:rsidRPr="007C23E8">
        <w:lastRenderedPageBreak/>
        <w:t>one report of exposure-response analyses</w:t>
      </w:r>
    </w:p>
    <w:p w14:paraId="61B5C257" w14:textId="77777777" w:rsidR="003B1509" w:rsidRPr="007C23E8" w:rsidRDefault="003B1509" w:rsidP="000468EF">
      <w:pPr>
        <w:pStyle w:val="Heading4"/>
        <w:rPr>
          <w:rFonts w:ascii="Cambria" w:hAnsi="Cambria"/>
          <w:sz w:val="22"/>
        </w:rPr>
      </w:pPr>
      <w:bookmarkStart w:id="68" w:name="_Toc152160785"/>
      <w:bookmarkStart w:id="69" w:name="_Toc153375882"/>
      <w:bookmarkStart w:id="70" w:name="_Toc314842514"/>
      <w:r w:rsidRPr="007C23E8">
        <w:t>Pharmacology</w:t>
      </w:r>
      <w:bookmarkEnd w:id="68"/>
      <w:bookmarkEnd w:id="69"/>
    </w:p>
    <w:p w14:paraId="14ED5FEC" w14:textId="77777777" w:rsidR="003B1509" w:rsidRPr="007C23E8" w:rsidRDefault="003B1509" w:rsidP="000468EF">
      <w:pPr>
        <w:pStyle w:val="Heading5"/>
      </w:pPr>
      <w:r w:rsidRPr="007C23E8">
        <w:t>Pharmacokinetics</w:t>
      </w:r>
    </w:p>
    <w:p w14:paraId="2B51BBC6" w14:textId="29DC233E" w:rsidR="003B1509" w:rsidRPr="007C23E8" w:rsidRDefault="00225B62" w:rsidP="000468EF">
      <w:r w:rsidRPr="007C23E8">
        <w:rPr>
          <w:lang w:eastAsia="ja-JP"/>
        </w:rPr>
        <w:t xml:space="preserve">Studies providing PK data are listed in </w:t>
      </w:r>
      <w:r w:rsidRPr="007C23E8">
        <w:rPr>
          <w:lang w:eastAsia="ja-JP"/>
        </w:rPr>
        <w:fldChar w:fldCharType="begin"/>
      </w:r>
      <w:r w:rsidRPr="007C23E8">
        <w:rPr>
          <w:lang w:eastAsia="ja-JP"/>
        </w:rPr>
        <w:instrText xml:space="preserve"> REF _Ref151633119 \h </w:instrText>
      </w:r>
      <w:r w:rsidR="007C23E8">
        <w:rPr>
          <w:lang w:eastAsia="ja-JP"/>
        </w:rPr>
        <w:instrText xml:space="preserve"> \* MERGEFORMAT </w:instrText>
      </w:r>
      <w:r w:rsidRPr="007C23E8">
        <w:rPr>
          <w:lang w:eastAsia="ja-JP"/>
        </w:rPr>
      </w:r>
      <w:r w:rsidRPr="007C23E8">
        <w:rPr>
          <w:lang w:eastAsia="ja-JP"/>
        </w:rPr>
        <w:fldChar w:fldCharType="separate"/>
      </w:r>
      <w:r w:rsidR="0062128D" w:rsidRPr="007C23E8">
        <w:t xml:space="preserve">Table </w:t>
      </w:r>
      <w:r w:rsidR="0062128D">
        <w:rPr>
          <w:noProof/>
        </w:rPr>
        <w:t>3</w:t>
      </w:r>
      <w:r w:rsidRPr="007C23E8">
        <w:rPr>
          <w:lang w:eastAsia="ja-JP"/>
        </w:rPr>
        <w:fldChar w:fldCharType="end"/>
      </w:r>
      <w:r w:rsidRPr="007C23E8">
        <w:rPr>
          <w:lang w:eastAsia="ja-JP"/>
        </w:rPr>
        <w:t xml:space="preserve"> below.</w:t>
      </w:r>
    </w:p>
    <w:p w14:paraId="75C777F0" w14:textId="003E24DC" w:rsidR="00122426" w:rsidRPr="007C23E8" w:rsidRDefault="00225B62" w:rsidP="00A11AD9">
      <w:pPr>
        <w:pStyle w:val="TableTitle"/>
      </w:pPr>
      <w:bookmarkStart w:id="71" w:name="_Ref151633119"/>
      <w:r w:rsidRPr="007C23E8">
        <w:t xml:space="preserve">Table </w:t>
      </w:r>
      <w:r>
        <w:fldChar w:fldCharType="begin"/>
      </w:r>
      <w:r>
        <w:instrText>SEQ Table \* ARABIC</w:instrText>
      </w:r>
      <w:r>
        <w:fldChar w:fldCharType="separate"/>
      </w:r>
      <w:r w:rsidR="0062128D">
        <w:rPr>
          <w:noProof/>
        </w:rPr>
        <w:t>3</w:t>
      </w:r>
      <w:r>
        <w:fldChar w:fldCharType="end"/>
      </w:r>
      <w:bookmarkEnd w:id="71"/>
      <w:r w:rsidR="00122426" w:rsidRPr="007C23E8">
        <w:t>: Summary of pharmacokinetic studies submitted</w:t>
      </w:r>
    </w:p>
    <w:tbl>
      <w:tblPr>
        <w:tblStyle w:val="TableTGAblue2023"/>
        <w:tblW w:w="8921" w:type="dxa"/>
        <w:tblLayout w:type="fixed"/>
        <w:tblLook w:val="04A0" w:firstRow="1" w:lastRow="0" w:firstColumn="1" w:lastColumn="0" w:noHBand="0" w:noVBand="1"/>
      </w:tblPr>
      <w:tblGrid>
        <w:gridCol w:w="2542"/>
        <w:gridCol w:w="2551"/>
        <w:gridCol w:w="3119"/>
        <w:gridCol w:w="709"/>
      </w:tblGrid>
      <w:tr w:rsidR="00225B62" w:rsidRPr="007C23E8" w14:paraId="642B7EAA" w14:textId="77777777" w:rsidTr="00670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hideMark/>
          </w:tcPr>
          <w:p w14:paraId="799D75AA" w14:textId="77777777" w:rsidR="00225B62" w:rsidRPr="00A11AD9" w:rsidRDefault="00225B62" w:rsidP="00670F34">
            <w:r w:rsidRPr="00A11AD9">
              <w:t>PK topic</w:t>
            </w:r>
          </w:p>
        </w:tc>
        <w:tc>
          <w:tcPr>
            <w:tcW w:w="2551" w:type="dxa"/>
            <w:hideMark/>
          </w:tcPr>
          <w:p w14:paraId="28B7F9B0" w14:textId="77777777" w:rsidR="00225B62" w:rsidRPr="00A11AD9" w:rsidRDefault="00225B62" w:rsidP="00670F34">
            <w:pPr>
              <w:cnfStyle w:val="100000000000" w:firstRow="1" w:lastRow="0" w:firstColumn="0" w:lastColumn="0" w:oddVBand="0" w:evenVBand="0" w:oddHBand="0" w:evenHBand="0" w:firstRowFirstColumn="0" w:firstRowLastColumn="0" w:lastRowFirstColumn="0" w:lastRowLastColumn="0"/>
            </w:pPr>
            <w:r w:rsidRPr="00A11AD9">
              <w:t>Subtopic</w:t>
            </w:r>
          </w:p>
        </w:tc>
        <w:tc>
          <w:tcPr>
            <w:tcW w:w="3119" w:type="dxa"/>
            <w:hideMark/>
          </w:tcPr>
          <w:p w14:paraId="34F2A363" w14:textId="15A10168" w:rsidR="00225B62" w:rsidRPr="00A11AD9" w:rsidRDefault="00225B62" w:rsidP="00670F34">
            <w:pPr>
              <w:cnfStyle w:val="100000000000" w:firstRow="1" w:lastRow="0" w:firstColumn="0" w:lastColumn="0" w:oddVBand="0" w:evenVBand="0" w:oddHBand="0" w:evenHBand="0" w:firstRowFirstColumn="0" w:firstRowLastColumn="0" w:lastRowFirstColumn="0" w:lastRowLastColumn="0"/>
            </w:pPr>
            <w:r w:rsidRPr="00A11AD9">
              <w:t xml:space="preserve">Study </w:t>
            </w:r>
            <w:r w:rsidR="00A11AD9" w:rsidRPr="00A11AD9">
              <w:t>identification</w:t>
            </w:r>
          </w:p>
        </w:tc>
        <w:tc>
          <w:tcPr>
            <w:tcW w:w="709" w:type="dxa"/>
            <w:hideMark/>
          </w:tcPr>
          <w:p w14:paraId="5B72ED9F" w14:textId="77777777" w:rsidR="00225B62" w:rsidRPr="00A11AD9" w:rsidRDefault="00225B62" w:rsidP="00670F34">
            <w:pPr>
              <w:cnfStyle w:val="100000000000" w:firstRow="1" w:lastRow="0" w:firstColumn="0" w:lastColumn="0" w:oddVBand="0" w:evenVBand="0" w:oddHBand="0" w:evenHBand="0" w:firstRowFirstColumn="0" w:firstRowLastColumn="0" w:lastRowFirstColumn="0" w:lastRowLastColumn="0"/>
            </w:pPr>
            <w:r w:rsidRPr="00A11AD9">
              <w:t>*</w:t>
            </w:r>
          </w:p>
        </w:tc>
      </w:tr>
      <w:tr w:rsidR="00225B62" w:rsidRPr="007C23E8" w14:paraId="52036502" w14:textId="77777777" w:rsidTr="00670F34">
        <w:tc>
          <w:tcPr>
            <w:cnfStyle w:val="001000000000" w:firstRow="0" w:lastRow="0" w:firstColumn="1" w:lastColumn="0" w:oddVBand="0" w:evenVBand="0" w:oddHBand="0" w:evenHBand="0" w:firstRowFirstColumn="0" w:firstRowLastColumn="0" w:lastRowFirstColumn="0" w:lastRowLastColumn="0"/>
            <w:tcW w:w="2542" w:type="dxa"/>
            <w:vMerge w:val="restart"/>
            <w:hideMark/>
          </w:tcPr>
          <w:p w14:paraId="73A73013" w14:textId="77777777" w:rsidR="00225B62" w:rsidRPr="00A11AD9" w:rsidRDefault="00225B62" w:rsidP="00670F34">
            <w:r w:rsidRPr="00A11AD9">
              <w:t>PK in subjects with haematological malignancies</w:t>
            </w:r>
          </w:p>
        </w:tc>
        <w:tc>
          <w:tcPr>
            <w:tcW w:w="2551" w:type="dxa"/>
            <w:hideMark/>
          </w:tcPr>
          <w:p w14:paraId="292EC660"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General PK</w:t>
            </w:r>
          </w:p>
          <w:p w14:paraId="6FEC2D74" w14:textId="133C09ED"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 Single dose</w:t>
            </w:r>
          </w:p>
        </w:tc>
        <w:tc>
          <w:tcPr>
            <w:tcW w:w="3119" w:type="dxa"/>
            <w:hideMark/>
          </w:tcPr>
          <w:p w14:paraId="5298B25A"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XmAb5574-01</w:t>
            </w:r>
          </w:p>
          <w:p w14:paraId="46FF003C"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MOR208C201</w:t>
            </w:r>
          </w:p>
          <w:p w14:paraId="3FB8D9F6"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MOR208C202</w:t>
            </w:r>
          </w:p>
        </w:tc>
        <w:tc>
          <w:tcPr>
            <w:tcW w:w="709" w:type="dxa"/>
            <w:hideMark/>
          </w:tcPr>
          <w:p w14:paraId="318E75E1"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w:t>
            </w:r>
          </w:p>
        </w:tc>
      </w:tr>
      <w:tr w:rsidR="00225B62" w:rsidRPr="007C23E8" w14:paraId="031452A0" w14:textId="77777777" w:rsidTr="00670F34">
        <w:tc>
          <w:tcPr>
            <w:cnfStyle w:val="001000000000" w:firstRow="0" w:lastRow="0" w:firstColumn="1" w:lastColumn="0" w:oddVBand="0" w:evenVBand="0" w:oddHBand="0" w:evenHBand="0" w:firstRowFirstColumn="0" w:firstRowLastColumn="0" w:lastRowFirstColumn="0" w:lastRowLastColumn="0"/>
            <w:tcW w:w="2542" w:type="dxa"/>
            <w:vMerge/>
            <w:hideMark/>
          </w:tcPr>
          <w:p w14:paraId="6746CBF3" w14:textId="77777777" w:rsidR="00225B62" w:rsidRPr="00A11AD9" w:rsidRDefault="00225B62" w:rsidP="00670F34"/>
        </w:tc>
        <w:tc>
          <w:tcPr>
            <w:tcW w:w="2551" w:type="dxa"/>
            <w:hideMark/>
          </w:tcPr>
          <w:p w14:paraId="220B1B65" w14:textId="4B110EC0"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 Multi-dose</w:t>
            </w:r>
          </w:p>
        </w:tc>
        <w:tc>
          <w:tcPr>
            <w:tcW w:w="3119" w:type="dxa"/>
            <w:hideMark/>
          </w:tcPr>
          <w:p w14:paraId="1F26BDAC"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XmAb5574-01</w:t>
            </w:r>
          </w:p>
          <w:p w14:paraId="2C472A01"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MOR208C203 (L-MIND)</w:t>
            </w:r>
          </w:p>
          <w:p w14:paraId="41233CE2"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MOR208C201</w:t>
            </w:r>
          </w:p>
          <w:p w14:paraId="7FE37FBE"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MOR208C202</w:t>
            </w:r>
          </w:p>
          <w:p w14:paraId="55A88D77"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MOR208C205 (COSMOS)</w:t>
            </w:r>
          </w:p>
        </w:tc>
        <w:tc>
          <w:tcPr>
            <w:tcW w:w="709" w:type="dxa"/>
          </w:tcPr>
          <w:p w14:paraId="3E47E85F"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p>
        </w:tc>
      </w:tr>
      <w:tr w:rsidR="00225B62" w:rsidRPr="007C23E8" w14:paraId="1C40B755" w14:textId="77777777" w:rsidTr="00670F34">
        <w:tc>
          <w:tcPr>
            <w:cnfStyle w:val="001000000000" w:firstRow="0" w:lastRow="0" w:firstColumn="1" w:lastColumn="0" w:oddVBand="0" w:evenVBand="0" w:oddHBand="0" w:evenHBand="0" w:firstRowFirstColumn="0" w:firstRowLastColumn="0" w:lastRowFirstColumn="0" w:lastRowLastColumn="0"/>
            <w:tcW w:w="2542" w:type="dxa"/>
            <w:hideMark/>
          </w:tcPr>
          <w:p w14:paraId="3DB27893" w14:textId="77777777" w:rsidR="00225B62" w:rsidRPr="00A11AD9" w:rsidRDefault="00225B62" w:rsidP="00670F34">
            <w:r w:rsidRPr="00A11AD9">
              <w:t>Population PK analyses</w:t>
            </w:r>
          </w:p>
        </w:tc>
        <w:tc>
          <w:tcPr>
            <w:tcW w:w="2551" w:type="dxa"/>
            <w:hideMark/>
          </w:tcPr>
          <w:p w14:paraId="02C87EF1"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First analysis</w:t>
            </w:r>
          </w:p>
          <w:p w14:paraId="60BA9E5E"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Second analysis</w:t>
            </w:r>
          </w:p>
        </w:tc>
        <w:tc>
          <w:tcPr>
            <w:tcW w:w="3119" w:type="dxa"/>
            <w:hideMark/>
          </w:tcPr>
          <w:p w14:paraId="725A6C8A"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Report MOR208L026</w:t>
            </w:r>
          </w:p>
          <w:p w14:paraId="1202ECA9"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Report MOR208L032</w:t>
            </w:r>
          </w:p>
        </w:tc>
        <w:tc>
          <w:tcPr>
            <w:tcW w:w="709" w:type="dxa"/>
            <w:hideMark/>
          </w:tcPr>
          <w:p w14:paraId="153DD30F"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w:t>
            </w:r>
          </w:p>
          <w:p w14:paraId="7FD69ABF" w14:textId="77777777" w:rsidR="00225B62" w:rsidRPr="00A11AD9" w:rsidRDefault="00225B62" w:rsidP="00670F34">
            <w:pPr>
              <w:cnfStyle w:val="000000000000" w:firstRow="0" w:lastRow="0" w:firstColumn="0" w:lastColumn="0" w:oddVBand="0" w:evenVBand="0" w:oddHBand="0" w:evenHBand="0" w:firstRowFirstColumn="0" w:firstRowLastColumn="0" w:lastRowFirstColumn="0" w:lastRowLastColumn="0"/>
            </w:pPr>
            <w:r w:rsidRPr="00A11AD9">
              <w:t>*</w:t>
            </w:r>
          </w:p>
        </w:tc>
      </w:tr>
    </w:tbl>
    <w:p w14:paraId="189E3C8F" w14:textId="04BDB6AB" w:rsidR="00A11AD9" w:rsidRPr="00A11AD9" w:rsidRDefault="00A11AD9" w:rsidP="00A11AD9">
      <w:pPr>
        <w:pStyle w:val="TableDescription"/>
      </w:pPr>
      <w:r w:rsidRPr="00A11AD9">
        <w:t>Abbreviation: PK = pharmacokinetic(s)</w:t>
      </w:r>
      <w:r>
        <w:t>.</w:t>
      </w:r>
    </w:p>
    <w:p w14:paraId="1556C842" w14:textId="1BB562DB" w:rsidR="00225B62" w:rsidRPr="00A11AD9" w:rsidRDefault="00225B62" w:rsidP="00A11AD9">
      <w:pPr>
        <w:pStyle w:val="TableDescription"/>
      </w:pPr>
      <w:r w:rsidRPr="00A11AD9">
        <w:t>* Indicates the primary PK aim of the study.</w:t>
      </w:r>
    </w:p>
    <w:p w14:paraId="5BBDC797" w14:textId="7FD7E95F" w:rsidR="001A711A" w:rsidRPr="007C23E8" w:rsidRDefault="003B1509" w:rsidP="00122426">
      <w:r w:rsidRPr="007C23E8">
        <w:t xml:space="preserve">In brief, </w:t>
      </w:r>
      <w:r w:rsidR="00225B62" w:rsidRPr="007C23E8">
        <w:t>tafasitamab</w:t>
      </w:r>
      <w:r w:rsidRPr="007C23E8">
        <w:t xml:space="preserve"> is administered </w:t>
      </w:r>
      <w:r w:rsidR="006A45BF" w:rsidRPr="007C23E8">
        <w:t>intravenously</w:t>
      </w:r>
      <w:r w:rsidRPr="007C23E8">
        <w:t xml:space="preserve"> and so has 100% bioavailability. The volume of distribution is small (9.32</w:t>
      </w:r>
      <w:r w:rsidR="00225B62" w:rsidRPr="007C23E8">
        <w:t xml:space="preserve"> </w:t>
      </w:r>
      <w:r w:rsidRPr="007C23E8">
        <w:t xml:space="preserve">L). Plasma concentrations of </w:t>
      </w:r>
      <w:r w:rsidR="00225B62" w:rsidRPr="007C23E8">
        <w:t>tafasitamab</w:t>
      </w:r>
      <w:r w:rsidRPr="007C23E8">
        <w:t xml:space="preserve"> increased dose</w:t>
      </w:r>
      <w:r w:rsidR="00225B62" w:rsidRPr="007C23E8">
        <w:noBreakHyphen/>
      </w:r>
      <w:r w:rsidRPr="007C23E8">
        <w:t>proportionally from 3</w:t>
      </w:r>
      <w:r w:rsidR="00225B62" w:rsidRPr="007C23E8">
        <w:t xml:space="preserve"> to </w:t>
      </w:r>
      <w:r w:rsidRPr="007C23E8">
        <w:t xml:space="preserve">12 mg/kg and then slightly less than proportionally at higher levels. There were no specific studies on metabolism or excretion, and the </w:t>
      </w:r>
      <w:r w:rsidR="006A45BF" w:rsidRPr="007C23E8">
        <w:t xml:space="preserve">clinical evaluation </w:t>
      </w:r>
      <w:r w:rsidRPr="007C23E8">
        <w:t>has noted it is likely to undergo protein catabolism by non-specific pathways.</w:t>
      </w:r>
    </w:p>
    <w:p w14:paraId="7DA361A5" w14:textId="3258004E" w:rsidR="003B1509" w:rsidRPr="007C23E8" w:rsidRDefault="003B1509" w:rsidP="00122426">
      <w:r w:rsidRPr="007C23E8">
        <w:t xml:space="preserve">There were no studies in the PK of </w:t>
      </w:r>
      <w:r w:rsidR="00225B62" w:rsidRPr="007C23E8">
        <w:t>tafasitamab</w:t>
      </w:r>
      <w:r w:rsidRPr="007C23E8">
        <w:t xml:space="preserve"> in patients with hepatic impairment or renal impairment, but this was examined in population PK analyses of the clinical studies.</w:t>
      </w:r>
    </w:p>
    <w:p w14:paraId="7FE5FE2F" w14:textId="138F54AF" w:rsidR="003B1509" w:rsidRPr="007C23E8" w:rsidRDefault="003B1509" w:rsidP="00122426">
      <w:r w:rsidRPr="007C23E8">
        <w:t xml:space="preserve">No drug interaction studies were performed except that no significant effect of </w:t>
      </w:r>
      <w:r w:rsidR="00225B62" w:rsidRPr="007C23E8">
        <w:t>tafasitamab</w:t>
      </w:r>
      <w:r w:rsidRPr="007C23E8">
        <w:t xml:space="preserve"> on lenalidomide PK was observed in the population PK analysis.</w:t>
      </w:r>
    </w:p>
    <w:p w14:paraId="6962233F" w14:textId="6273333B" w:rsidR="001A711A" w:rsidRPr="007C23E8" w:rsidRDefault="003B1509" w:rsidP="00122426">
      <w:r w:rsidRPr="007C23E8">
        <w:t xml:space="preserve">Two population PK analyses were submitted </w:t>
      </w:r>
      <w:r w:rsidR="006A45BF" w:rsidRPr="007C23E8">
        <w:t>(</w:t>
      </w:r>
      <w:r w:rsidRPr="007C23E8">
        <w:t>Report</w:t>
      </w:r>
      <w:r w:rsidR="006A45BF" w:rsidRPr="007C23E8">
        <w:t>s</w:t>
      </w:r>
      <w:r w:rsidRPr="007C23E8">
        <w:t xml:space="preserve"> MOR208L026 and MOR208l032</w:t>
      </w:r>
      <w:r w:rsidR="006A45BF" w:rsidRPr="007C23E8">
        <w:t>).</w:t>
      </w:r>
      <w:r w:rsidRPr="007C23E8">
        <w:t xml:space="preserve"> These </w:t>
      </w:r>
      <w:r w:rsidR="006A45BF" w:rsidRPr="007C23E8">
        <w:t xml:space="preserve">analyses </w:t>
      </w:r>
      <w:r w:rsidRPr="007C23E8">
        <w:t xml:space="preserve">found that bodyweight, serum albumin and blood-volume were significant co-variates for observed concentrations of </w:t>
      </w:r>
      <w:r w:rsidR="00225B62" w:rsidRPr="007C23E8">
        <w:t>tafasitamab</w:t>
      </w:r>
      <w:r w:rsidRPr="007C23E8">
        <w:t>.</w:t>
      </w:r>
    </w:p>
    <w:p w14:paraId="2452AB98" w14:textId="271B9CFB" w:rsidR="003B1509" w:rsidRPr="007C23E8" w:rsidRDefault="003B1509" w:rsidP="00E7642B">
      <w:pPr>
        <w:pStyle w:val="Heading5"/>
      </w:pPr>
      <w:r w:rsidRPr="007C23E8">
        <w:t>Pharmacodynamics</w:t>
      </w:r>
    </w:p>
    <w:p w14:paraId="0DCC0914" w14:textId="7F947310" w:rsidR="006A45BF" w:rsidRPr="007C23E8" w:rsidRDefault="006A45BF" w:rsidP="00E7642B">
      <w:pPr>
        <w:rPr>
          <w:lang w:eastAsia="ja-JP"/>
        </w:rPr>
      </w:pPr>
      <w:r w:rsidRPr="007C23E8">
        <w:rPr>
          <w:lang w:eastAsia="ja-JP"/>
        </w:rPr>
        <w:t xml:space="preserve">Studies providing </w:t>
      </w:r>
      <w:r w:rsidRPr="007C23E8">
        <w:t xml:space="preserve">pharmacodynamic </w:t>
      </w:r>
      <w:r w:rsidRPr="007C23E8">
        <w:rPr>
          <w:lang w:eastAsia="ja-JP"/>
        </w:rPr>
        <w:t xml:space="preserve">data are listed in </w:t>
      </w:r>
      <w:r w:rsidRPr="007C23E8">
        <w:rPr>
          <w:lang w:eastAsia="ja-JP"/>
        </w:rPr>
        <w:fldChar w:fldCharType="begin"/>
      </w:r>
      <w:r w:rsidRPr="007C23E8">
        <w:rPr>
          <w:lang w:eastAsia="ja-JP"/>
        </w:rPr>
        <w:instrText xml:space="preserve"> REF _Ref151638748 \h </w:instrText>
      </w:r>
      <w:r w:rsidR="007C23E8">
        <w:rPr>
          <w:lang w:eastAsia="ja-JP"/>
        </w:rPr>
        <w:instrText xml:space="preserve"> \* MERGEFORMAT </w:instrText>
      </w:r>
      <w:r w:rsidRPr="007C23E8">
        <w:rPr>
          <w:lang w:eastAsia="ja-JP"/>
        </w:rPr>
      </w:r>
      <w:r w:rsidRPr="007C23E8">
        <w:rPr>
          <w:lang w:eastAsia="ja-JP"/>
        </w:rPr>
        <w:fldChar w:fldCharType="separate"/>
      </w:r>
      <w:r w:rsidR="0062128D" w:rsidRPr="007C23E8">
        <w:t xml:space="preserve">Table </w:t>
      </w:r>
      <w:r w:rsidR="0062128D">
        <w:rPr>
          <w:noProof/>
        </w:rPr>
        <w:t>4</w:t>
      </w:r>
      <w:r w:rsidRPr="007C23E8">
        <w:rPr>
          <w:lang w:eastAsia="ja-JP"/>
        </w:rPr>
        <w:fldChar w:fldCharType="end"/>
      </w:r>
      <w:r w:rsidRPr="007C23E8">
        <w:rPr>
          <w:lang w:eastAsia="ja-JP"/>
        </w:rPr>
        <w:t xml:space="preserve"> below.</w:t>
      </w:r>
    </w:p>
    <w:p w14:paraId="0A3E9F8C" w14:textId="460677F4" w:rsidR="00E7642B" w:rsidRPr="007C23E8" w:rsidRDefault="006A45BF" w:rsidP="006A45BF">
      <w:pPr>
        <w:pStyle w:val="TableTitle"/>
      </w:pPr>
      <w:bookmarkStart w:id="72" w:name="_Ref151638748"/>
      <w:r w:rsidRPr="007C23E8">
        <w:lastRenderedPageBreak/>
        <w:t xml:space="preserve">Table </w:t>
      </w:r>
      <w:r>
        <w:fldChar w:fldCharType="begin"/>
      </w:r>
      <w:r>
        <w:instrText>SEQ Table \* ARABIC</w:instrText>
      </w:r>
      <w:r>
        <w:fldChar w:fldCharType="separate"/>
      </w:r>
      <w:r w:rsidR="0062128D">
        <w:rPr>
          <w:noProof/>
        </w:rPr>
        <w:t>4</w:t>
      </w:r>
      <w:r>
        <w:fldChar w:fldCharType="end"/>
      </w:r>
      <w:bookmarkEnd w:id="72"/>
      <w:r w:rsidR="00E7642B" w:rsidRPr="007C23E8">
        <w:t>: Summary of Pharmacodynamic studies submitted</w:t>
      </w:r>
    </w:p>
    <w:tbl>
      <w:tblPr>
        <w:tblStyle w:val="TableTGAblue2023"/>
        <w:tblW w:w="9062" w:type="dxa"/>
        <w:tblLayout w:type="fixed"/>
        <w:tblLook w:val="04A0" w:firstRow="1" w:lastRow="0" w:firstColumn="1" w:lastColumn="0" w:noHBand="0" w:noVBand="1"/>
      </w:tblPr>
      <w:tblGrid>
        <w:gridCol w:w="1975"/>
        <w:gridCol w:w="2693"/>
        <w:gridCol w:w="3686"/>
        <w:gridCol w:w="708"/>
      </w:tblGrid>
      <w:tr w:rsidR="006A45BF" w:rsidRPr="007C23E8" w14:paraId="6D9928DC" w14:textId="77777777" w:rsidTr="00670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hideMark/>
          </w:tcPr>
          <w:p w14:paraId="2660A70A" w14:textId="77777777" w:rsidR="006A45BF" w:rsidRPr="00A11AD9" w:rsidRDefault="006A45BF" w:rsidP="00670F34">
            <w:r w:rsidRPr="00A11AD9">
              <w:t>PD Topic</w:t>
            </w:r>
          </w:p>
        </w:tc>
        <w:tc>
          <w:tcPr>
            <w:tcW w:w="2693" w:type="dxa"/>
            <w:hideMark/>
          </w:tcPr>
          <w:p w14:paraId="64F4E3A7" w14:textId="77777777" w:rsidR="006A45BF" w:rsidRPr="00A11AD9" w:rsidRDefault="006A45BF" w:rsidP="00670F34">
            <w:pPr>
              <w:cnfStyle w:val="100000000000" w:firstRow="1" w:lastRow="0" w:firstColumn="0" w:lastColumn="0" w:oddVBand="0" w:evenVBand="0" w:oddHBand="0" w:evenHBand="0" w:firstRowFirstColumn="0" w:firstRowLastColumn="0" w:lastRowFirstColumn="0" w:lastRowLastColumn="0"/>
            </w:pPr>
            <w:r w:rsidRPr="00A11AD9">
              <w:t>Subtopic</w:t>
            </w:r>
          </w:p>
        </w:tc>
        <w:tc>
          <w:tcPr>
            <w:tcW w:w="3686" w:type="dxa"/>
            <w:hideMark/>
          </w:tcPr>
          <w:p w14:paraId="21CE6047" w14:textId="08EA3E4A" w:rsidR="006A45BF" w:rsidRPr="00A11AD9" w:rsidRDefault="006A45BF" w:rsidP="00670F34">
            <w:pPr>
              <w:cnfStyle w:val="100000000000" w:firstRow="1" w:lastRow="0" w:firstColumn="0" w:lastColumn="0" w:oddVBand="0" w:evenVBand="0" w:oddHBand="0" w:evenHBand="0" w:firstRowFirstColumn="0" w:firstRowLastColumn="0" w:lastRowFirstColumn="0" w:lastRowLastColumn="0"/>
            </w:pPr>
            <w:r w:rsidRPr="00A11AD9">
              <w:t xml:space="preserve">Study </w:t>
            </w:r>
            <w:r w:rsidR="00670F34" w:rsidRPr="00A11AD9">
              <w:t>identification</w:t>
            </w:r>
          </w:p>
        </w:tc>
        <w:tc>
          <w:tcPr>
            <w:tcW w:w="708" w:type="dxa"/>
            <w:hideMark/>
          </w:tcPr>
          <w:p w14:paraId="055038C5" w14:textId="77777777" w:rsidR="006A45BF" w:rsidRPr="00A11AD9" w:rsidRDefault="006A45BF" w:rsidP="00670F34">
            <w:pPr>
              <w:cnfStyle w:val="100000000000" w:firstRow="1" w:lastRow="0" w:firstColumn="0" w:lastColumn="0" w:oddVBand="0" w:evenVBand="0" w:oddHBand="0" w:evenHBand="0" w:firstRowFirstColumn="0" w:firstRowLastColumn="0" w:lastRowFirstColumn="0" w:lastRowLastColumn="0"/>
            </w:pPr>
            <w:r w:rsidRPr="00A11AD9">
              <w:t>*</w:t>
            </w:r>
          </w:p>
        </w:tc>
      </w:tr>
      <w:tr w:rsidR="006A45BF" w:rsidRPr="007C23E8" w14:paraId="1893B2D6" w14:textId="77777777" w:rsidTr="00670F34">
        <w:tc>
          <w:tcPr>
            <w:cnfStyle w:val="001000000000" w:firstRow="0" w:lastRow="0" w:firstColumn="1" w:lastColumn="0" w:oddVBand="0" w:evenVBand="0" w:oddHBand="0" w:evenHBand="0" w:firstRowFirstColumn="0" w:firstRowLastColumn="0" w:lastRowFirstColumn="0" w:lastRowLastColumn="0"/>
            <w:tcW w:w="1975" w:type="dxa"/>
            <w:hideMark/>
          </w:tcPr>
          <w:p w14:paraId="27C17C14" w14:textId="77777777" w:rsidR="006A45BF" w:rsidRPr="00A11AD9" w:rsidRDefault="006A45BF" w:rsidP="00670F34">
            <w:r w:rsidRPr="00A11AD9">
              <w:t>Primary Pharmacology</w:t>
            </w:r>
          </w:p>
        </w:tc>
        <w:tc>
          <w:tcPr>
            <w:tcW w:w="2693" w:type="dxa"/>
            <w:hideMark/>
          </w:tcPr>
          <w:p w14:paraId="44C1E45B"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Effect on peripheral B-cell count</w:t>
            </w:r>
          </w:p>
        </w:tc>
        <w:tc>
          <w:tcPr>
            <w:tcW w:w="3686" w:type="dxa"/>
            <w:hideMark/>
          </w:tcPr>
          <w:p w14:paraId="5D624FC6"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XmAb5574-01</w:t>
            </w:r>
          </w:p>
          <w:p w14:paraId="1F9B3B2B" w14:textId="24B8AD11"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MOR208C203 (L-MIND</w:t>
            </w:r>
            <w:r w:rsidR="00A11AD9">
              <w:t xml:space="preserve"> trial</w:t>
            </w:r>
            <w:r w:rsidRPr="00A11AD9">
              <w:t>)</w:t>
            </w:r>
          </w:p>
          <w:p w14:paraId="2139AB1A"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MOR208C201</w:t>
            </w:r>
          </w:p>
          <w:p w14:paraId="3C65CD0D"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MOR208C202</w:t>
            </w:r>
          </w:p>
          <w:p w14:paraId="287845F0" w14:textId="51894C46"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MOR208C205 (COSMOS</w:t>
            </w:r>
            <w:r w:rsidR="00A11AD9">
              <w:t xml:space="preserve"> trial</w:t>
            </w:r>
            <w:r w:rsidRPr="00A11AD9">
              <w:t>)</w:t>
            </w:r>
          </w:p>
        </w:tc>
        <w:tc>
          <w:tcPr>
            <w:tcW w:w="708" w:type="dxa"/>
            <w:hideMark/>
          </w:tcPr>
          <w:p w14:paraId="291FD657"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w:t>
            </w:r>
          </w:p>
        </w:tc>
      </w:tr>
      <w:tr w:rsidR="006A45BF" w:rsidRPr="007C23E8" w14:paraId="7503E31C" w14:textId="77777777" w:rsidTr="00670F34">
        <w:tc>
          <w:tcPr>
            <w:cnfStyle w:val="001000000000" w:firstRow="0" w:lastRow="0" w:firstColumn="1" w:lastColumn="0" w:oddVBand="0" w:evenVBand="0" w:oddHBand="0" w:evenHBand="0" w:firstRowFirstColumn="0" w:firstRowLastColumn="0" w:lastRowFirstColumn="0" w:lastRowLastColumn="0"/>
            <w:tcW w:w="1975" w:type="dxa"/>
            <w:vMerge w:val="restart"/>
            <w:hideMark/>
          </w:tcPr>
          <w:p w14:paraId="754080F9" w14:textId="77777777" w:rsidR="006A45BF" w:rsidRPr="00A11AD9" w:rsidRDefault="006A45BF" w:rsidP="00670F34">
            <w:r w:rsidRPr="00A11AD9">
              <w:t>Secondary Pharmacology</w:t>
            </w:r>
          </w:p>
        </w:tc>
        <w:tc>
          <w:tcPr>
            <w:tcW w:w="2693" w:type="dxa"/>
            <w:hideMark/>
          </w:tcPr>
          <w:p w14:paraId="46A0CA5E" w14:textId="4DA6F0B9"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Effect on peripheral T</w:t>
            </w:r>
            <w:r w:rsidR="00670F34">
              <w:noBreakHyphen/>
            </w:r>
            <w:r w:rsidRPr="00A11AD9">
              <w:t>cell and natural killer -cell counts</w:t>
            </w:r>
          </w:p>
        </w:tc>
        <w:tc>
          <w:tcPr>
            <w:tcW w:w="3686" w:type="dxa"/>
            <w:hideMark/>
          </w:tcPr>
          <w:p w14:paraId="21804002" w14:textId="4CB756A1"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MOR208C203 (L-MIND</w:t>
            </w:r>
            <w:r w:rsidR="00A11AD9">
              <w:t xml:space="preserve"> trial</w:t>
            </w:r>
            <w:r w:rsidRPr="00A11AD9">
              <w:t>)</w:t>
            </w:r>
          </w:p>
          <w:p w14:paraId="5024479F"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MOR208C201</w:t>
            </w:r>
          </w:p>
          <w:p w14:paraId="1ADC6FC3"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MOR208C202</w:t>
            </w:r>
          </w:p>
          <w:p w14:paraId="15B84CE1" w14:textId="36E94B1C"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MOR208C205 (COSMOS</w:t>
            </w:r>
            <w:r w:rsidR="00A11AD9">
              <w:t xml:space="preserve"> trial</w:t>
            </w:r>
            <w:r w:rsidRPr="00A11AD9">
              <w:t>)</w:t>
            </w:r>
          </w:p>
        </w:tc>
        <w:tc>
          <w:tcPr>
            <w:tcW w:w="708" w:type="dxa"/>
          </w:tcPr>
          <w:p w14:paraId="5A6A20B0"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p>
        </w:tc>
      </w:tr>
      <w:tr w:rsidR="006A45BF" w:rsidRPr="007C23E8" w14:paraId="1A075A8B" w14:textId="77777777" w:rsidTr="00670F34">
        <w:tc>
          <w:tcPr>
            <w:cnfStyle w:val="001000000000" w:firstRow="0" w:lastRow="0" w:firstColumn="1" w:lastColumn="0" w:oddVBand="0" w:evenVBand="0" w:oddHBand="0" w:evenHBand="0" w:firstRowFirstColumn="0" w:firstRowLastColumn="0" w:lastRowFirstColumn="0" w:lastRowLastColumn="0"/>
            <w:tcW w:w="1975" w:type="dxa"/>
            <w:vMerge/>
            <w:hideMark/>
          </w:tcPr>
          <w:p w14:paraId="312CA122" w14:textId="77777777" w:rsidR="006A45BF" w:rsidRPr="00A11AD9" w:rsidRDefault="006A45BF" w:rsidP="00670F34"/>
        </w:tc>
        <w:tc>
          <w:tcPr>
            <w:tcW w:w="2693" w:type="dxa"/>
            <w:hideMark/>
          </w:tcPr>
          <w:p w14:paraId="182E67DA"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Effect on serum immunoglobulin G concentrations</w:t>
            </w:r>
          </w:p>
        </w:tc>
        <w:tc>
          <w:tcPr>
            <w:tcW w:w="3686" w:type="dxa"/>
            <w:hideMark/>
          </w:tcPr>
          <w:p w14:paraId="4752C925"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IgG Report</w:t>
            </w:r>
          </w:p>
        </w:tc>
        <w:tc>
          <w:tcPr>
            <w:tcW w:w="708" w:type="dxa"/>
            <w:hideMark/>
          </w:tcPr>
          <w:p w14:paraId="4DFB7E10"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w:t>
            </w:r>
          </w:p>
        </w:tc>
      </w:tr>
      <w:tr w:rsidR="006A45BF" w:rsidRPr="007C23E8" w14:paraId="42372A1D" w14:textId="77777777" w:rsidTr="00670F34">
        <w:tc>
          <w:tcPr>
            <w:cnfStyle w:val="001000000000" w:firstRow="0" w:lastRow="0" w:firstColumn="1" w:lastColumn="0" w:oddVBand="0" w:evenVBand="0" w:oddHBand="0" w:evenHBand="0" w:firstRowFirstColumn="0" w:firstRowLastColumn="0" w:lastRowFirstColumn="0" w:lastRowLastColumn="0"/>
            <w:tcW w:w="1975" w:type="dxa"/>
            <w:vMerge w:val="restart"/>
            <w:hideMark/>
          </w:tcPr>
          <w:p w14:paraId="2729448A" w14:textId="77777777" w:rsidR="006A45BF" w:rsidRPr="00A11AD9" w:rsidRDefault="006A45BF" w:rsidP="00670F34">
            <w:r w:rsidRPr="00A11AD9">
              <w:t>Population PD and PK-PD analyses</w:t>
            </w:r>
          </w:p>
        </w:tc>
        <w:tc>
          <w:tcPr>
            <w:tcW w:w="2693" w:type="dxa"/>
            <w:hideMark/>
          </w:tcPr>
          <w:p w14:paraId="753724E4"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Exposure-response analysis for efficacy</w:t>
            </w:r>
          </w:p>
        </w:tc>
        <w:tc>
          <w:tcPr>
            <w:tcW w:w="3686" w:type="dxa"/>
            <w:hideMark/>
          </w:tcPr>
          <w:p w14:paraId="5F8F38F6"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Report MOR208L035</w:t>
            </w:r>
          </w:p>
        </w:tc>
        <w:tc>
          <w:tcPr>
            <w:tcW w:w="708" w:type="dxa"/>
            <w:hideMark/>
          </w:tcPr>
          <w:p w14:paraId="14891235"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w:t>
            </w:r>
          </w:p>
        </w:tc>
      </w:tr>
      <w:tr w:rsidR="006A45BF" w:rsidRPr="007C23E8" w14:paraId="0002F4AC" w14:textId="77777777" w:rsidTr="00670F34">
        <w:tc>
          <w:tcPr>
            <w:cnfStyle w:val="001000000000" w:firstRow="0" w:lastRow="0" w:firstColumn="1" w:lastColumn="0" w:oddVBand="0" w:evenVBand="0" w:oddHBand="0" w:evenHBand="0" w:firstRowFirstColumn="0" w:firstRowLastColumn="0" w:lastRowFirstColumn="0" w:lastRowLastColumn="0"/>
            <w:tcW w:w="1975" w:type="dxa"/>
            <w:vMerge/>
            <w:hideMark/>
          </w:tcPr>
          <w:p w14:paraId="595777BF" w14:textId="77777777" w:rsidR="006A45BF" w:rsidRPr="00A11AD9" w:rsidRDefault="006A45BF" w:rsidP="00670F34"/>
        </w:tc>
        <w:tc>
          <w:tcPr>
            <w:tcW w:w="2693" w:type="dxa"/>
            <w:hideMark/>
          </w:tcPr>
          <w:p w14:paraId="0B99B2BB"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Exposure-response analysis for safety</w:t>
            </w:r>
          </w:p>
        </w:tc>
        <w:tc>
          <w:tcPr>
            <w:tcW w:w="3686" w:type="dxa"/>
            <w:hideMark/>
          </w:tcPr>
          <w:p w14:paraId="226A6955" w14:textId="186DBDF4"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w:t>
            </w:r>
          </w:p>
        </w:tc>
        <w:tc>
          <w:tcPr>
            <w:tcW w:w="708" w:type="dxa"/>
            <w:hideMark/>
          </w:tcPr>
          <w:p w14:paraId="67579A99" w14:textId="77777777" w:rsidR="006A45BF" w:rsidRPr="00A11AD9" w:rsidRDefault="006A45BF" w:rsidP="00670F34">
            <w:pPr>
              <w:cnfStyle w:val="000000000000" w:firstRow="0" w:lastRow="0" w:firstColumn="0" w:lastColumn="0" w:oddVBand="0" w:evenVBand="0" w:oddHBand="0" w:evenHBand="0" w:firstRowFirstColumn="0" w:firstRowLastColumn="0" w:lastRowFirstColumn="0" w:lastRowLastColumn="0"/>
            </w:pPr>
            <w:r w:rsidRPr="00A11AD9">
              <w:t>*</w:t>
            </w:r>
          </w:p>
        </w:tc>
      </w:tr>
    </w:tbl>
    <w:p w14:paraId="4392064B" w14:textId="0EDADC6D" w:rsidR="00A11AD9" w:rsidRPr="00A11AD9" w:rsidRDefault="00A11AD9" w:rsidP="00A11AD9">
      <w:pPr>
        <w:pStyle w:val="TableDescription"/>
      </w:pPr>
      <w:r w:rsidRPr="00A11AD9">
        <w:t>Abbreviations: IgG = immunoglobulin G; PD = pharmacodynamic(s); PK = pharmacokinetic(s).</w:t>
      </w:r>
    </w:p>
    <w:p w14:paraId="66F4AAE8" w14:textId="2EF33702" w:rsidR="006A45BF" w:rsidRPr="00A11AD9" w:rsidRDefault="006A45BF" w:rsidP="00A11AD9">
      <w:pPr>
        <w:pStyle w:val="TableDescription"/>
      </w:pPr>
      <w:r w:rsidRPr="00A11AD9">
        <w:t>* Indicates the primary PD aim of the study.</w:t>
      </w:r>
    </w:p>
    <w:p w14:paraId="6CC7BED2" w14:textId="604674B7" w:rsidR="003B1509" w:rsidRPr="007C23E8" w:rsidRDefault="003B1509" w:rsidP="00E7642B">
      <w:r w:rsidRPr="007C23E8">
        <w:t xml:space="preserve">In summary, administration of </w:t>
      </w:r>
      <w:r w:rsidR="00225B62" w:rsidRPr="007C23E8">
        <w:t>tafasitamab</w:t>
      </w:r>
      <w:r w:rsidRPr="007C23E8">
        <w:t xml:space="preserve"> either as a monotherapy or in combination with </w:t>
      </w:r>
      <w:r w:rsidR="00DD3D37" w:rsidRPr="007C23E8">
        <w:t>lenalidomide</w:t>
      </w:r>
      <w:r w:rsidRPr="007C23E8">
        <w:t xml:space="preserve"> produced a significant reduction in the number of B-cells circulating in peripheral blood. This occurred rapidly, with a reduction from </w:t>
      </w:r>
      <w:r w:rsidR="006A45BF" w:rsidRPr="007C23E8">
        <w:t>Baseline</w:t>
      </w:r>
      <w:r w:rsidRPr="007C23E8">
        <w:t xml:space="preserve"> of 96.91% at </w:t>
      </w:r>
      <w:r w:rsidR="006A45BF" w:rsidRPr="007C23E8">
        <w:t xml:space="preserve">Day </w:t>
      </w:r>
      <w:r w:rsidRPr="007C23E8">
        <w:t xml:space="preserve">8 of </w:t>
      </w:r>
      <w:r w:rsidR="006A45BF" w:rsidRPr="007C23E8">
        <w:t xml:space="preserve">Cycle </w:t>
      </w:r>
      <w:r w:rsidRPr="007C23E8">
        <w:t xml:space="preserve">1. There was a concomitant reduction in </w:t>
      </w:r>
      <w:r w:rsidR="0035716C" w:rsidRPr="007C23E8">
        <w:t xml:space="preserve">immunoglobulin </w:t>
      </w:r>
      <w:r w:rsidRPr="007C23E8">
        <w:t>G levels.</w:t>
      </w:r>
    </w:p>
    <w:p w14:paraId="2D2CD6B4" w14:textId="77777777" w:rsidR="001A711A" w:rsidRPr="007C23E8" w:rsidRDefault="003B1509" w:rsidP="00E7642B">
      <w:r w:rsidRPr="007C23E8">
        <w:t>No trend was observed for a reduction in peripheral T-cell numbers on treatment.</w:t>
      </w:r>
    </w:p>
    <w:p w14:paraId="32C0CD36" w14:textId="76FB66B4" w:rsidR="003B1509" w:rsidRPr="007C23E8" w:rsidRDefault="003B1509" w:rsidP="00E7642B">
      <w:r w:rsidRPr="007C23E8">
        <w:t>In the pivotal study (</w:t>
      </w:r>
      <w:r w:rsidR="006A45BF" w:rsidRPr="007C23E8">
        <w:t xml:space="preserve">Study </w:t>
      </w:r>
      <w:r w:rsidRPr="007C23E8">
        <w:t>MOR208C203</w:t>
      </w:r>
      <w:r w:rsidR="0035716C" w:rsidRPr="007C23E8">
        <w:t xml:space="preserve">, also known as </w:t>
      </w:r>
      <w:r w:rsidR="006A45BF" w:rsidRPr="007C23E8">
        <w:t xml:space="preserve">the </w:t>
      </w:r>
      <w:r w:rsidRPr="007C23E8">
        <w:t>L-MIND</w:t>
      </w:r>
      <w:r w:rsidR="006A45BF" w:rsidRPr="007C23E8">
        <w:t xml:space="preserve"> trial</w:t>
      </w:r>
      <w:r w:rsidRPr="007C23E8">
        <w:t xml:space="preserve">), in which </w:t>
      </w:r>
      <w:r w:rsidR="00225B62" w:rsidRPr="007C23E8">
        <w:t>tafasitamab</w:t>
      </w:r>
      <w:r w:rsidRPr="007C23E8">
        <w:t xml:space="preserve"> was combined with lenalidomide, an increase in circulating </w:t>
      </w:r>
      <w:r w:rsidR="006A45BF" w:rsidRPr="007C23E8">
        <w:t>natural killer</w:t>
      </w:r>
      <w:r w:rsidRPr="007C23E8">
        <w:t xml:space="preserve"> cells was observed with longer term treatment. At </w:t>
      </w:r>
      <w:r w:rsidR="006A45BF" w:rsidRPr="007C23E8">
        <w:t xml:space="preserve">Cycle </w:t>
      </w:r>
      <w:r w:rsidRPr="007C23E8">
        <w:t xml:space="preserve">8, </w:t>
      </w:r>
      <w:r w:rsidR="006A45BF" w:rsidRPr="007C23E8">
        <w:t xml:space="preserve">Day </w:t>
      </w:r>
      <w:r w:rsidRPr="007C23E8">
        <w:t xml:space="preserve">15, the median percentage increase from </w:t>
      </w:r>
      <w:r w:rsidR="006A45BF" w:rsidRPr="007C23E8">
        <w:t>Baseline</w:t>
      </w:r>
      <w:r w:rsidRPr="007C23E8">
        <w:t xml:space="preserve"> was 67.50%. Lenalidomide has previously been associated with an increase in </w:t>
      </w:r>
      <w:r w:rsidR="006A45BF" w:rsidRPr="007C23E8">
        <w:t xml:space="preserve">natural killer </w:t>
      </w:r>
      <w:r w:rsidRPr="007C23E8">
        <w:t>cell count.</w:t>
      </w:r>
    </w:p>
    <w:p w14:paraId="298D4D50" w14:textId="75AE75CD" w:rsidR="003B1509" w:rsidRPr="007C23E8" w:rsidRDefault="003B1509" w:rsidP="00E7642B">
      <w:r w:rsidRPr="007C23E8">
        <w:t xml:space="preserve">In studies involving </w:t>
      </w:r>
      <w:r w:rsidR="00225B62" w:rsidRPr="007C23E8">
        <w:t>tafasitamab</w:t>
      </w:r>
      <w:r w:rsidRPr="007C23E8">
        <w:t xml:space="preserve"> monotherapy there were no consistent significant changes observed across studies.</w:t>
      </w:r>
    </w:p>
    <w:p w14:paraId="02C19C46" w14:textId="77777777" w:rsidR="003B1509" w:rsidRPr="007C23E8" w:rsidRDefault="003B1509" w:rsidP="00E7642B">
      <w:pPr>
        <w:pStyle w:val="Heading4"/>
      </w:pPr>
      <w:bookmarkStart w:id="73" w:name="_Toc152160786"/>
      <w:bookmarkStart w:id="74" w:name="_Toc153375883"/>
      <w:r w:rsidRPr="007C23E8">
        <w:t>Efficacy</w:t>
      </w:r>
      <w:bookmarkEnd w:id="73"/>
      <w:bookmarkEnd w:id="74"/>
    </w:p>
    <w:p w14:paraId="5894D902" w14:textId="466E8AB1" w:rsidR="003B1509" w:rsidRPr="007C23E8" w:rsidRDefault="003B1509" w:rsidP="00E7642B">
      <w:pPr>
        <w:pStyle w:val="Heading5"/>
      </w:pPr>
      <w:r w:rsidRPr="007C23E8">
        <w:t xml:space="preserve">Pivotal </w:t>
      </w:r>
      <w:r w:rsidR="00E7642B" w:rsidRPr="007C23E8">
        <w:t>study</w:t>
      </w:r>
    </w:p>
    <w:p w14:paraId="2D81C12C" w14:textId="507D5CBF" w:rsidR="001A711A" w:rsidRPr="007C23E8" w:rsidRDefault="003B1509" w:rsidP="00E7642B">
      <w:r w:rsidRPr="007C23E8">
        <w:t>Study MOR208C03 (L-MIND</w:t>
      </w:r>
      <w:r w:rsidR="006A45BF" w:rsidRPr="007C23E8">
        <w:t xml:space="preserve"> trial</w:t>
      </w:r>
      <w:r w:rsidRPr="007C23E8">
        <w:t xml:space="preserve">) </w:t>
      </w:r>
      <w:r w:rsidR="006A45BF" w:rsidRPr="007C23E8">
        <w:t xml:space="preserve">was an open-label, phase II, single arm study that </w:t>
      </w:r>
      <w:r w:rsidRPr="007C23E8">
        <w:t>provided pivotal efficacy data.</w:t>
      </w:r>
    </w:p>
    <w:p w14:paraId="7BCA7372" w14:textId="28816175" w:rsidR="006A45BF" w:rsidRPr="007C23E8" w:rsidRDefault="003B1509" w:rsidP="00E7642B">
      <w:r w:rsidRPr="007C23E8">
        <w:t xml:space="preserve">Included patients were adults with </w:t>
      </w:r>
      <w:r w:rsidR="0035716C" w:rsidRPr="007C23E8">
        <w:t>relapsed or refractory</w:t>
      </w:r>
      <w:r w:rsidRPr="007C23E8">
        <w:t xml:space="preserve"> DLBCL, defined as either</w:t>
      </w:r>
      <w:r w:rsidR="006A45BF" w:rsidRPr="007C23E8">
        <w:t>:</w:t>
      </w:r>
    </w:p>
    <w:p w14:paraId="5F53CA71" w14:textId="7E7450D1" w:rsidR="006A45BF" w:rsidRPr="007C23E8" w:rsidRDefault="003B1509" w:rsidP="006A45BF">
      <w:pPr>
        <w:pStyle w:val="ListBullet"/>
      </w:pPr>
      <w:r w:rsidRPr="007C23E8">
        <w:t>progression on first-line treatment</w:t>
      </w:r>
    </w:p>
    <w:p w14:paraId="4C909382" w14:textId="371B32C2" w:rsidR="006A45BF" w:rsidRPr="007C23E8" w:rsidRDefault="003B1509" w:rsidP="006A45BF">
      <w:pPr>
        <w:pStyle w:val="ListBullet"/>
      </w:pPr>
      <w:r w:rsidRPr="007C23E8">
        <w:t>less than a partial response on first-line treatment</w:t>
      </w:r>
      <w:r w:rsidR="006A45BF" w:rsidRPr="007C23E8">
        <w:t>,</w:t>
      </w:r>
      <w:r w:rsidRPr="007C23E8">
        <w:t xml:space="preserve"> or</w:t>
      </w:r>
    </w:p>
    <w:p w14:paraId="15107453" w14:textId="0BB44EF6" w:rsidR="001A711A" w:rsidRPr="007C23E8" w:rsidRDefault="003B1509" w:rsidP="006A45BF">
      <w:pPr>
        <w:pStyle w:val="ListBullet"/>
      </w:pPr>
      <w:r w:rsidRPr="007C23E8">
        <w:lastRenderedPageBreak/>
        <w:t>recurrence</w:t>
      </w:r>
      <w:r w:rsidR="006A45BF" w:rsidRPr="007C23E8">
        <w:t xml:space="preserve"> or </w:t>
      </w:r>
      <w:r w:rsidRPr="007C23E8">
        <w:t>progression within six months of the completion of first-line therapy.</w:t>
      </w:r>
    </w:p>
    <w:p w14:paraId="53F683EC" w14:textId="0DD09319" w:rsidR="003C4B0F" w:rsidRDefault="003B1509" w:rsidP="001348EB">
      <w:r w:rsidRPr="007C23E8">
        <w:t>Patients with CNS lymphoma were excluded from the trial. Patients with severe hepatic impairment or liver involvement by lymphoma were also excluded from the trial.</w:t>
      </w:r>
    </w:p>
    <w:p w14:paraId="712AD266" w14:textId="1D343538" w:rsidR="001348EB" w:rsidRPr="006759F3" w:rsidRDefault="006A45BF" w:rsidP="006759F3">
      <w:pPr>
        <w:pStyle w:val="FigureTitle"/>
      </w:pPr>
      <w:r w:rsidRPr="006759F3">
        <w:t xml:space="preserve">Figure </w:t>
      </w:r>
      <w:r>
        <w:fldChar w:fldCharType="begin"/>
      </w:r>
      <w:r>
        <w:instrText>SEQ Figure \* ARABIC</w:instrText>
      </w:r>
      <w:r>
        <w:fldChar w:fldCharType="separate"/>
      </w:r>
      <w:r w:rsidR="0062128D">
        <w:rPr>
          <w:noProof/>
        </w:rPr>
        <w:t>1</w:t>
      </w:r>
      <w:r>
        <w:fldChar w:fldCharType="end"/>
      </w:r>
      <w:r w:rsidRPr="006759F3">
        <w:t>:</w:t>
      </w:r>
      <w:r w:rsidR="001348EB" w:rsidRPr="006759F3">
        <w:t xml:space="preserve"> </w:t>
      </w:r>
      <w:r w:rsidRPr="006759F3">
        <w:t>Study MOR208C03 (L-MIND trial) Study d</w:t>
      </w:r>
      <w:r w:rsidR="001348EB" w:rsidRPr="006759F3">
        <w:t>esign</w:t>
      </w:r>
    </w:p>
    <w:p w14:paraId="0D4831BF" w14:textId="25A927A8" w:rsidR="00CB4EE9" w:rsidRDefault="00842D8E" w:rsidP="006759F3">
      <w:r>
        <w:rPr>
          <w:noProof/>
        </w:rPr>
        <w:drawing>
          <wp:inline distT="0" distB="0" distL="0" distR="0" wp14:anchorId="35E76586" wp14:editId="3546ECF9">
            <wp:extent cx="5759450" cy="1354455"/>
            <wp:effectExtent l="0" t="0" r="0" b="0"/>
            <wp:docPr id="23" name="Picture 23" descr="Figure 1: Study MOR208C03 (L-MIND trial) Study design &#10;&#10;Study MOR208C203 was designed to evaluate the efficacy and safety of lenalidomide combined with tafasitamab in adult patients with relapsed or refractory diffuse large B-cell lymphoma. The study included patients who had relapsed after or were refractory to at least one, but no more than 3 previous systemic regimens.&#10;&#10;For the first 3 cycles, tafasitamab was administered on Day 1, Day 8, Day 15, and Day 22 of each 28 day cycle. On Day 4 of Cycle 1, an additional loading dose of tafasitamab was administered. Thereafter, tafasitamab was administered via intravenous infusion on a bi-weekly (every 14 days) basis on Day 1 and Day 15 of each 28 day cycle. &#10;&#10;The study period consisted of a screening period followed by a maximum of 12 cycles for lenalidomide plus tafasitamab followed by tafasitamab monotherapy thereafter, until disease progression, unacceptable toxicity, or discontinuation for any other reason, whichever came first. &#10;&#10;The survival follow-up phase began with the end of treatment Visit. A safety follow-up took place 30 days after last administration of study drug, followed by survival follow-up every 3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 Study MOR208C03 (L-MIND trial) Study design &#10;&#10;Study MOR208C203 was designed to evaluate the efficacy and safety of lenalidomide combined with tafasitamab in adult patients with relapsed or refractory diffuse large B-cell lymphoma. The study included patients who had relapsed after or were refractory to at least one, but no more than 3 previous systemic regimens.&#10;&#10;For the first 3 cycles, tafasitamab was administered on Day 1, Day 8, Day 15, and Day 22 of each 28 day cycle. On Day 4 of Cycle 1, an additional loading dose of tafasitamab was administered. Thereafter, tafasitamab was administered via intravenous infusion on a bi-weekly (every 14 days) basis on Day 1 and Day 15 of each 28 day cycle. &#10;&#10;The study period consisted of a screening period followed by a maximum of 12 cycles for lenalidomide plus tafasitamab followed by tafasitamab monotherapy thereafter, until disease progression, unacceptable toxicity, or discontinuation for any other reason, whichever came first. &#10;&#10;The survival follow-up phase began with the end of treatment Visit. A safety follow-up took place 30 days after last administration of study drug, followed by survival follow-up every 3 months."/>
                    <pic:cNvPicPr/>
                  </pic:nvPicPr>
                  <pic:blipFill>
                    <a:blip r:embed="rId25"/>
                    <a:stretch>
                      <a:fillRect/>
                    </a:stretch>
                  </pic:blipFill>
                  <pic:spPr>
                    <a:xfrm>
                      <a:off x="0" y="0"/>
                      <a:ext cx="5759450" cy="1354455"/>
                    </a:xfrm>
                    <a:prstGeom prst="rect">
                      <a:avLst/>
                    </a:prstGeom>
                  </pic:spPr>
                </pic:pic>
              </a:graphicData>
            </a:graphic>
          </wp:inline>
        </w:drawing>
      </w:r>
    </w:p>
    <w:p w14:paraId="27A2BF06" w14:textId="3547F4EE" w:rsidR="00CB4EE9" w:rsidRPr="006759F3" w:rsidRDefault="00CB4EE9" w:rsidP="006759F3">
      <w:pPr>
        <w:pStyle w:val="FigureDescription"/>
      </w:pPr>
      <w:r w:rsidRPr="006759F3">
        <w:t xml:space="preserve">Abbreviations: </w:t>
      </w:r>
      <w:r w:rsidR="00D93D64" w:rsidRPr="006759F3">
        <w:t>E</w:t>
      </w:r>
      <w:r w:rsidRPr="006759F3">
        <w:t xml:space="preserve">OT = </w:t>
      </w:r>
      <w:r w:rsidR="00D93D64" w:rsidRPr="006759F3">
        <w:t>e</w:t>
      </w:r>
      <w:r w:rsidRPr="006759F3">
        <w:t xml:space="preserve">nd of treatment; FU = </w:t>
      </w:r>
      <w:r w:rsidR="00D93D64" w:rsidRPr="006759F3">
        <w:t>f</w:t>
      </w:r>
      <w:r w:rsidRPr="006759F3">
        <w:t xml:space="preserve">ollow-up; LEN = </w:t>
      </w:r>
      <w:r w:rsidR="00D93D64" w:rsidRPr="006759F3">
        <w:t>l</w:t>
      </w:r>
      <w:r w:rsidRPr="006759F3">
        <w:t>enalidomide; R</w:t>
      </w:r>
      <w:r w:rsidR="00D93D64" w:rsidRPr="006759F3">
        <w:t>/</w:t>
      </w:r>
      <w:r w:rsidRPr="006759F3">
        <w:t xml:space="preserve">R </w:t>
      </w:r>
      <w:r w:rsidR="00D93D64" w:rsidRPr="006759F3">
        <w:t xml:space="preserve">= relapsed or refractory; </w:t>
      </w:r>
      <w:r w:rsidRPr="006759F3">
        <w:t xml:space="preserve">DLBCL = diffuse large B-cell lymphoma; SD = </w:t>
      </w:r>
      <w:r w:rsidR="00D93D64" w:rsidRPr="006759F3">
        <w:t>s</w:t>
      </w:r>
      <w:r w:rsidRPr="006759F3">
        <w:t>table disease.</w:t>
      </w:r>
    </w:p>
    <w:p w14:paraId="0EC0C69D" w14:textId="726CA78F" w:rsidR="009B759A" w:rsidRPr="006759F3" w:rsidRDefault="009B759A" w:rsidP="006759F3">
      <w:pPr>
        <w:pStyle w:val="FigureDescription"/>
      </w:pPr>
      <w:r w:rsidRPr="006759F3">
        <w:t xml:space="preserve">* An additional loading dose of </w:t>
      </w:r>
      <w:r w:rsidRPr="006759F3">
        <w:rPr>
          <w:rStyle w:val="cf01"/>
          <w:rFonts w:ascii="Cambria" w:hAnsi="Cambria" w:cstheme="minorBidi"/>
          <w:sz w:val="19"/>
          <w:szCs w:val="20"/>
        </w:rPr>
        <w:t>tafasitamab is to be administered on Day 4 of Cycle 1.</w:t>
      </w:r>
    </w:p>
    <w:p w14:paraId="0FE742E6" w14:textId="769A01E9" w:rsidR="001A711A" w:rsidRPr="007C23E8" w:rsidRDefault="003B1509" w:rsidP="001348EB">
      <w:r w:rsidRPr="007C23E8">
        <w:t>After a 28</w:t>
      </w:r>
      <w:r w:rsidR="006A45BF" w:rsidRPr="007C23E8">
        <w:t>-</w:t>
      </w:r>
      <w:r w:rsidRPr="007C23E8">
        <w:t xml:space="preserve">day screening period, patients received 12 cycles of treatment with combination </w:t>
      </w:r>
      <w:r w:rsidR="00225B62" w:rsidRPr="007C23E8">
        <w:t>tafasitamab</w:t>
      </w:r>
      <w:r w:rsidRPr="007C23E8">
        <w:t xml:space="preserve"> and </w:t>
      </w:r>
      <w:r w:rsidR="006A45BF" w:rsidRPr="007C23E8">
        <w:t>lenalidomide</w:t>
      </w:r>
      <w:r w:rsidRPr="007C23E8">
        <w:t xml:space="preserve">. After this period of combination treatment, </w:t>
      </w:r>
      <w:r w:rsidR="00225B62" w:rsidRPr="007C23E8">
        <w:t>tafasitamab</w:t>
      </w:r>
      <w:r w:rsidRPr="007C23E8">
        <w:t xml:space="preserve"> monotherapy was continued until disease progression or unacceptable toxicity.</w:t>
      </w:r>
    </w:p>
    <w:p w14:paraId="78E5C6AC" w14:textId="7BAE47BB" w:rsidR="001A711A" w:rsidRPr="007C23E8" w:rsidRDefault="003B1509" w:rsidP="001348EB">
      <w:r w:rsidRPr="007C23E8">
        <w:t xml:space="preserve">The primary endpoint of the trial was the </w:t>
      </w:r>
      <w:r w:rsidR="006A45BF" w:rsidRPr="007C23E8">
        <w:t>objective response rate</w:t>
      </w:r>
      <w:r w:rsidRPr="007C23E8">
        <w:t xml:space="preserve"> to treatment, defined as the sum of the </w:t>
      </w:r>
      <w:r w:rsidR="006A45BF" w:rsidRPr="007C23E8">
        <w:t>complete response</w:t>
      </w:r>
      <w:r w:rsidRPr="007C23E8">
        <w:t xml:space="preserve"> and </w:t>
      </w:r>
      <w:r w:rsidR="006A45BF" w:rsidRPr="007C23E8">
        <w:t>partial response</w:t>
      </w:r>
      <w:r w:rsidRPr="007C23E8">
        <w:t xml:space="preserve"> rates.</w:t>
      </w:r>
    </w:p>
    <w:p w14:paraId="421B9D9B" w14:textId="24814887" w:rsidR="003B1509" w:rsidRPr="007C23E8" w:rsidRDefault="003B1509" w:rsidP="001348EB">
      <w:r w:rsidRPr="007C23E8">
        <w:t xml:space="preserve">Duration </w:t>
      </w:r>
      <w:r w:rsidR="006A45BF" w:rsidRPr="007C23E8">
        <w:t>of response</w:t>
      </w:r>
      <w:r w:rsidRPr="007C23E8">
        <w:t xml:space="preserve">, </w:t>
      </w:r>
      <w:r w:rsidR="006A45BF" w:rsidRPr="007C23E8">
        <w:t>overall survival</w:t>
      </w:r>
      <w:r w:rsidRPr="007C23E8">
        <w:t xml:space="preserve"> and </w:t>
      </w:r>
      <w:r w:rsidR="006A45BF" w:rsidRPr="007C23E8">
        <w:t>time to progression</w:t>
      </w:r>
      <w:r w:rsidRPr="007C23E8">
        <w:t xml:space="preserve"> were among several secondary endpoints that were explored in the trial.</w:t>
      </w:r>
    </w:p>
    <w:p w14:paraId="1B4E689D" w14:textId="77777777" w:rsidR="00176411" w:rsidRDefault="00176411" w:rsidP="00DD3D37">
      <w:pPr>
        <w:pStyle w:val="FigureTitle"/>
      </w:pPr>
      <w:r>
        <w:br w:type="page"/>
      </w:r>
    </w:p>
    <w:p w14:paraId="0654509F" w14:textId="62F17107" w:rsidR="00CD12F4" w:rsidRDefault="006A45BF" w:rsidP="00D25F24">
      <w:pPr>
        <w:pStyle w:val="FigureTitle"/>
      </w:pPr>
      <w:r w:rsidRPr="007C23E8">
        <w:lastRenderedPageBreak/>
        <w:t xml:space="preserve">Figure </w:t>
      </w:r>
      <w:r>
        <w:fldChar w:fldCharType="begin"/>
      </w:r>
      <w:r>
        <w:instrText>SEQ Figure \* ARABIC</w:instrText>
      </w:r>
      <w:r>
        <w:fldChar w:fldCharType="separate"/>
      </w:r>
      <w:r w:rsidR="0062128D">
        <w:rPr>
          <w:noProof/>
        </w:rPr>
        <w:t>2</w:t>
      </w:r>
      <w:r>
        <w:fldChar w:fldCharType="end"/>
      </w:r>
      <w:r w:rsidRPr="007C23E8">
        <w:t>: Study MOR208C03 (L-MIND trial)</w:t>
      </w:r>
      <w:r w:rsidR="00CD12F4" w:rsidRPr="007C23E8">
        <w:t xml:space="preserve"> </w:t>
      </w:r>
      <w:r w:rsidR="00AA490F" w:rsidRPr="00AA490F">
        <w:t xml:space="preserve">Patient disposition </w:t>
      </w:r>
      <w:r w:rsidR="00D25F24">
        <w:t>(all enrolled patients)</w:t>
      </w:r>
    </w:p>
    <w:p w14:paraId="5CAC61E8" w14:textId="574AA890" w:rsidR="00A9478B" w:rsidRDefault="00A9478B" w:rsidP="00564A39">
      <w:r>
        <w:rPr>
          <w:noProof/>
        </w:rPr>
        <w:drawing>
          <wp:inline distT="0" distB="0" distL="0" distR="0" wp14:anchorId="66318EA7" wp14:editId="5ED4B02B">
            <wp:extent cx="5759450" cy="6106795"/>
            <wp:effectExtent l="0" t="0" r="0" b="8255"/>
            <wp:docPr id="10" name="Picture 10" descr="Figure 2: Study MOR208C03 (L-MIND trial) Patient disposition (all enrolled patients)&#10;&#10;A total of 156 patients were screened and 81 patients were enrolled, of which 80 (98.8%) patients received both tafasitamab and lenalidomide. One patient received tafasitamab only and was excluded from the full analysis set.&#10;&#10;Overall, 30 of the 81 patients enrolled (37.0%) successfully completed the combination treatment phase on both study drugs (12 cycles). 51 out of the 81 patients enrolled (63.0%) did not complete the combination treatment phase, primarily due to progressive disease (32 patients, 39.5%).&#10;&#10;In total, 34 (42.0%) patients reached Cycle 13 Day 1. Out of these, 6 (7.4%) patients discontinued tafasitamab treatment in the monotherapy period. &#10;&#10;In total, 28 (34.6%) patients were still on treatment with tafasitamab monotherapy at the primary data cut-off of 30 November 2018. All patients had completed combination treatment at this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 Study MOR208C03 (L-MIND trial) Patient disposition (all enrolled patients)&#10;&#10;A total of 156 patients were screened and 81 patients were enrolled, of which 80 (98.8%) patients received both tafasitamab and lenalidomide. One patient received tafasitamab only and was excluded from the full analysis set.&#10;&#10;Overall, 30 of the 81 patients enrolled (37.0%) successfully completed the combination treatment phase on both study drugs (12 cycles). 51 out of the 81 patients enrolled (63.0%) did not complete the combination treatment phase, primarily due to progressive disease (32 patients, 39.5%).&#10;&#10;In total, 34 (42.0%) patients reached Cycle 13 Day 1. Out of these, 6 (7.4%) patients discontinued tafasitamab treatment in the monotherapy period. &#10;&#10;In total, 28 (34.6%) patients were still on treatment with tafasitamab monotherapy at the primary data cut-off of 30 November 2018. All patients had completed combination treatment at this data cut-off."/>
                    <pic:cNvPicPr/>
                  </pic:nvPicPr>
                  <pic:blipFill>
                    <a:blip r:embed="rId26"/>
                    <a:stretch>
                      <a:fillRect/>
                    </a:stretch>
                  </pic:blipFill>
                  <pic:spPr>
                    <a:xfrm>
                      <a:off x="0" y="0"/>
                      <a:ext cx="5759450" cy="6106795"/>
                    </a:xfrm>
                    <a:prstGeom prst="rect">
                      <a:avLst/>
                    </a:prstGeom>
                  </pic:spPr>
                </pic:pic>
              </a:graphicData>
            </a:graphic>
          </wp:inline>
        </w:drawing>
      </w:r>
    </w:p>
    <w:p w14:paraId="4812F16B" w14:textId="488EDF78" w:rsidR="00B63EEC" w:rsidRPr="00B941C2" w:rsidRDefault="00B63EEC" w:rsidP="00B941C2">
      <w:pPr>
        <w:pStyle w:val="FigureDescription"/>
      </w:pPr>
      <w:r w:rsidRPr="00B941C2">
        <w:t xml:space="preserve">Abbreviations: DLBC = </w:t>
      </w:r>
      <w:r w:rsidR="00C46CE2" w:rsidRPr="00B941C2">
        <w:t xml:space="preserve">diffuse </w:t>
      </w:r>
      <w:r w:rsidRPr="00B941C2">
        <w:t xml:space="preserve">large B-cell lymphoma; LEN = </w:t>
      </w:r>
      <w:r w:rsidR="00C46CE2" w:rsidRPr="00B941C2">
        <w:t>lenalidomide</w:t>
      </w:r>
      <w:r w:rsidRPr="00B941C2">
        <w:t xml:space="preserve">; n = </w:t>
      </w:r>
      <w:r w:rsidR="00C46CE2" w:rsidRPr="00B941C2">
        <w:t xml:space="preserve">number </w:t>
      </w:r>
      <w:r w:rsidRPr="00B941C2">
        <w:t>of patients; REAL = Revised European American Lymphoma; WHO = World Health Organization.</w:t>
      </w:r>
    </w:p>
    <w:p w14:paraId="1E214042" w14:textId="7B702B14" w:rsidR="00B63EEC" w:rsidRPr="00B941C2" w:rsidRDefault="00B63EEC" w:rsidP="00B941C2">
      <w:pPr>
        <w:pStyle w:val="FigureDescription"/>
      </w:pPr>
      <w:r w:rsidRPr="00B941C2">
        <w:t xml:space="preserve">The enrolled patient population consisted of all patients who received at least 1 dose of any study drug (tafasitamab or </w:t>
      </w:r>
      <w:r w:rsidR="00005B3F" w:rsidRPr="00B941C2">
        <w:t>Lenalidomide</w:t>
      </w:r>
      <w:r w:rsidRPr="00B941C2">
        <w:t>).</w:t>
      </w:r>
    </w:p>
    <w:p w14:paraId="481A152E" w14:textId="263A0AF3" w:rsidR="00B63EEC" w:rsidRPr="00B941C2" w:rsidRDefault="00B63EEC" w:rsidP="00B941C2">
      <w:pPr>
        <w:pStyle w:val="FigureDescription"/>
      </w:pPr>
      <w:r w:rsidRPr="00B941C2">
        <w:t xml:space="preserve">These summaries include discontinuations of tafasitamab and </w:t>
      </w:r>
      <w:r w:rsidR="00005B3F" w:rsidRPr="00B941C2">
        <w:t xml:space="preserve">Lenalidomide </w:t>
      </w:r>
      <w:r w:rsidRPr="00B941C2">
        <w:t>at the same time as well as sequential discontinuations. If study drugs were discontinued sequentially for different reasons, only the reason for the later discontinuation was summari</w:t>
      </w:r>
      <w:r w:rsidR="00F557AB" w:rsidRPr="00B941C2">
        <w:t>s</w:t>
      </w:r>
      <w:r w:rsidRPr="00B941C2">
        <w:t>ed.</w:t>
      </w:r>
    </w:p>
    <w:p w14:paraId="696C0B29" w14:textId="2795329C" w:rsidR="00B63EEC" w:rsidRPr="00B941C2" w:rsidRDefault="00B63EEC" w:rsidP="00B941C2">
      <w:pPr>
        <w:pStyle w:val="FigureDescription"/>
      </w:pPr>
      <w:r w:rsidRPr="00B941C2">
        <w:t>These summaries include patients who discontinued the other study drug before completing 12 cycles (discontinuations at the same time as well as sequential discontinuations).</w:t>
      </w:r>
    </w:p>
    <w:p w14:paraId="70F50081" w14:textId="77777777" w:rsidR="00B63EEC" w:rsidRPr="00B941C2" w:rsidRDefault="00B63EEC" w:rsidP="00B941C2">
      <w:pPr>
        <w:pStyle w:val="FigureDescription"/>
      </w:pPr>
      <w:r w:rsidRPr="00B941C2">
        <w:t>More than one reason for screen failure could be given.</w:t>
      </w:r>
    </w:p>
    <w:p w14:paraId="387A2A56" w14:textId="04D28B12" w:rsidR="003B1509" w:rsidRDefault="00B63EEC" w:rsidP="00B941C2">
      <w:pPr>
        <w:pStyle w:val="FigureDescription"/>
      </w:pPr>
      <w:r w:rsidRPr="00B941C2">
        <w:t>Percentage is based on the number of enrolled patients and for screen failures was based on the number of screened patients.</w:t>
      </w:r>
    </w:p>
    <w:p w14:paraId="0D43F84C" w14:textId="4AB6D782" w:rsidR="00D6322A" w:rsidRPr="00B941C2" w:rsidRDefault="00D6322A" w:rsidP="00B941C2">
      <w:pPr>
        <w:pStyle w:val="FigureDescription"/>
      </w:pPr>
      <w:r>
        <w:t>Data c</w:t>
      </w:r>
      <w:r w:rsidRPr="00D6322A">
        <w:t>ut-off</w:t>
      </w:r>
      <w:r>
        <w:t>:</w:t>
      </w:r>
      <w:r w:rsidRPr="00D6322A">
        <w:t xml:space="preserve"> 30 Nov</w:t>
      </w:r>
      <w:r>
        <w:t>ember</w:t>
      </w:r>
      <w:r w:rsidRPr="00D6322A">
        <w:t xml:space="preserve"> 2018</w:t>
      </w:r>
      <w:r>
        <w:t>.</w:t>
      </w:r>
    </w:p>
    <w:p w14:paraId="22FD4A78" w14:textId="63B0A965" w:rsidR="003B1509" w:rsidRPr="007C23E8" w:rsidRDefault="003B1509" w:rsidP="00CD12F4">
      <w:r w:rsidRPr="007C23E8">
        <w:lastRenderedPageBreak/>
        <w:t xml:space="preserve">A total of 156 patients were screened for the trial, of whom 81 were included for treatment. The mean age of patients in the study was 69.3 years with approximately equal male and female numbers. </w:t>
      </w:r>
      <w:proofErr w:type="gramStart"/>
      <w:r w:rsidR="006A45BF" w:rsidRPr="007C23E8">
        <w:t>With regard to</w:t>
      </w:r>
      <w:proofErr w:type="gramEnd"/>
      <w:r w:rsidR="006A45BF" w:rsidRPr="007C23E8">
        <w:t xml:space="preserve"> </w:t>
      </w:r>
      <w:r w:rsidRPr="007C23E8">
        <w:t>the baseline characteristics of the population</w:t>
      </w:r>
      <w:r w:rsidR="006A45BF" w:rsidRPr="007C23E8">
        <w:t>,</w:t>
      </w:r>
      <w:r w:rsidRPr="007C23E8">
        <w:t xml:space="preserve"> the Delegate notes:</w:t>
      </w:r>
    </w:p>
    <w:p w14:paraId="6A1EA107" w14:textId="53C509D2" w:rsidR="003B1509" w:rsidRPr="007C23E8" w:rsidRDefault="003B1509" w:rsidP="000F14BF">
      <w:pPr>
        <w:pStyle w:val="ListBullet"/>
      </w:pPr>
      <w:r w:rsidRPr="007C23E8">
        <w:t>50%, 42.5% and 6.4% of the patients had received 1,2 and 3 previous lines of therapy respectively</w:t>
      </w:r>
    </w:p>
    <w:p w14:paraId="341475AA" w14:textId="3E58125B" w:rsidR="003B1509" w:rsidRPr="007C23E8" w:rsidRDefault="003B1509" w:rsidP="000F14BF">
      <w:pPr>
        <w:pStyle w:val="ListBullet"/>
      </w:pPr>
      <w:r w:rsidRPr="007C23E8">
        <w:t>75% of patients had experienced relapse or progression &gt;12 months from diagnosis, and 23.8% &lt;12 months from diagnosis (</w:t>
      </w:r>
      <w:r w:rsidR="006A45BF" w:rsidRPr="007C23E8">
        <w:t>one</w:t>
      </w:r>
      <w:r w:rsidRPr="007C23E8">
        <w:t xml:space="preserve"> patient data not available)</w:t>
      </w:r>
    </w:p>
    <w:p w14:paraId="0FF2D8B9" w14:textId="030A547E" w:rsidR="003B1509" w:rsidRPr="007C23E8" w:rsidRDefault="003B1509" w:rsidP="000F14BF">
      <w:pPr>
        <w:pStyle w:val="ListBullet"/>
      </w:pPr>
      <w:r w:rsidRPr="007C23E8">
        <w:t>18.8% of patients had ‘primary refractoriness’</w:t>
      </w:r>
    </w:p>
    <w:p w14:paraId="7270DC23" w14:textId="4C26AEBD" w:rsidR="003B1509" w:rsidRPr="007C23E8" w:rsidRDefault="003B1509" w:rsidP="000F14BF">
      <w:pPr>
        <w:pStyle w:val="ListBullet"/>
      </w:pPr>
      <w:r w:rsidRPr="007C23E8">
        <w:t xml:space="preserve">75% of patient had Ann-Arbor Stage III or </w:t>
      </w:r>
      <w:r w:rsidR="006A45BF" w:rsidRPr="007C23E8">
        <w:t>intravenous</w:t>
      </w:r>
      <w:r w:rsidRPr="007C23E8">
        <w:t xml:space="preserve"> disease, and 25% had stage I or II disease</w:t>
      </w:r>
    </w:p>
    <w:p w14:paraId="6EBA2DFD" w14:textId="1DD20E35" w:rsidR="003B1509" w:rsidRPr="007C23E8" w:rsidRDefault="003B1509" w:rsidP="000F14BF">
      <w:pPr>
        <w:pStyle w:val="ListBullet"/>
      </w:pPr>
      <w:r w:rsidRPr="007C23E8">
        <w:t xml:space="preserve">41.3% of patients were refractory to prior </w:t>
      </w:r>
      <w:r w:rsidR="00225B62" w:rsidRPr="007C23E8">
        <w:t>rituximab</w:t>
      </w:r>
      <w:r w:rsidRPr="007C23E8">
        <w:t xml:space="preserve"> therapy.</w:t>
      </w:r>
    </w:p>
    <w:p w14:paraId="067F019E" w14:textId="77777777" w:rsidR="00566C07" w:rsidRDefault="003B1509" w:rsidP="00566C07">
      <w:r w:rsidRPr="007C23E8">
        <w:t>Of the 81 treated patients, 30 completed 12 weeks of treatment. The most common reasons for discontinuation were disease progression (n</w:t>
      </w:r>
      <w:r w:rsidR="006A45BF" w:rsidRPr="007C23E8">
        <w:t xml:space="preserve"> </w:t>
      </w:r>
      <w:r w:rsidRPr="007C23E8">
        <w:t>=</w:t>
      </w:r>
      <w:r w:rsidR="006A45BF" w:rsidRPr="007C23E8">
        <w:t xml:space="preserve"> </w:t>
      </w:r>
      <w:r w:rsidRPr="007C23E8">
        <w:t>32) and adverse events (n</w:t>
      </w:r>
      <w:r w:rsidR="006A45BF" w:rsidRPr="007C23E8">
        <w:t xml:space="preserve"> </w:t>
      </w:r>
      <w:r w:rsidRPr="007C23E8">
        <w:t>=</w:t>
      </w:r>
      <w:r w:rsidR="006A45BF" w:rsidRPr="007C23E8">
        <w:t xml:space="preserve"> </w:t>
      </w:r>
      <w:r w:rsidRPr="007C23E8">
        <w:t>15).</w:t>
      </w:r>
    </w:p>
    <w:p w14:paraId="254E9418" w14:textId="74635718" w:rsidR="004B33C7" w:rsidRDefault="00DD3D37" w:rsidP="00566C07">
      <w:pPr>
        <w:pStyle w:val="TableTitle"/>
        <w:rPr>
          <w:bCs/>
        </w:rPr>
      </w:pPr>
      <w:r w:rsidRPr="007C23E8">
        <w:t xml:space="preserve">Table </w:t>
      </w:r>
      <w:r>
        <w:fldChar w:fldCharType="begin"/>
      </w:r>
      <w:r>
        <w:instrText>SEQ Table \* ARABIC</w:instrText>
      </w:r>
      <w:r>
        <w:fldChar w:fldCharType="separate"/>
      </w:r>
      <w:r w:rsidR="0062128D">
        <w:rPr>
          <w:noProof/>
        </w:rPr>
        <w:t>5</w:t>
      </w:r>
      <w:r>
        <w:fldChar w:fldCharType="end"/>
      </w:r>
      <w:r w:rsidR="004B33C7" w:rsidRPr="007C23E8">
        <w:rPr>
          <w:bCs/>
        </w:rPr>
        <w:t xml:space="preserve">: </w:t>
      </w:r>
      <w:r w:rsidRPr="007C23E8">
        <w:t xml:space="preserve">Study MOR208C03 (L-MIND trial) </w:t>
      </w:r>
      <w:r w:rsidR="004F0C43">
        <w:t xml:space="preserve">Summary of </w:t>
      </w:r>
      <w:r w:rsidR="00EB1C48">
        <w:t xml:space="preserve">best </w:t>
      </w:r>
      <w:r w:rsidR="00EB1C48">
        <w:rPr>
          <w:bCs/>
        </w:rPr>
        <w:t>o</w:t>
      </w:r>
      <w:r w:rsidR="00FA20CA" w:rsidRPr="00FA20CA">
        <w:rPr>
          <w:bCs/>
        </w:rPr>
        <w:t xml:space="preserve">bjective </w:t>
      </w:r>
      <w:r w:rsidR="00EB1C48">
        <w:rPr>
          <w:bCs/>
        </w:rPr>
        <w:t>r</w:t>
      </w:r>
      <w:r w:rsidR="00FA20CA" w:rsidRPr="00FA20CA">
        <w:rPr>
          <w:bCs/>
        </w:rPr>
        <w:t xml:space="preserve">esponse </w:t>
      </w:r>
      <w:r w:rsidRPr="007C23E8">
        <w:rPr>
          <w:bCs/>
        </w:rPr>
        <w:t>rate</w:t>
      </w:r>
      <w:r w:rsidR="004B33C7" w:rsidRPr="007C23E8">
        <w:rPr>
          <w:bCs/>
        </w:rPr>
        <w:t xml:space="preserve"> </w:t>
      </w:r>
      <w:r w:rsidR="00DE53DA">
        <w:rPr>
          <w:bCs/>
        </w:rPr>
        <w:t>-</w:t>
      </w:r>
      <w:r w:rsidR="00DE53DA" w:rsidRPr="00DE53DA">
        <w:rPr>
          <w:bCs/>
        </w:rPr>
        <w:t xml:space="preserve">Independent Radiology/Clinical Review Committee </w:t>
      </w:r>
      <w:r w:rsidR="002B7398">
        <w:rPr>
          <w:bCs/>
        </w:rPr>
        <w:t>e</w:t>
      </w:r>
      <w:r w:rsidR="00DE53DA" w:rsidRPr="00DE53DA">
        <w:rPr>
          <w:bCs/>
        </w:rPr>
        <w:t>valuation</w:t>
      </w:r>
      <w:r w:rsidR="00DE53DA">
        <w:rPr>
          <w:bCs/>
        </w:rPr>
        <w:t xml:space="preserve"> </w:t>
      </w:r>
      <w:r w:rsidR="007859C2">
        <w:rPr>
          <w:bCs/>
        </w:rPr>
        <w:t>(full analysis set)</w:t>
      </w:r>
    </w:p>
    <w:p w14:paraId="01154416" w14:textId="09E77657" w:rsidR="00566C07" w:rsidRDefault="00566C07" w:rsidP="00564A39">
      <w:pPr>
        <w:rPr>
          <w:bCs/>
        </w:rPr>
      </w:pPr>
      <w:r>
        <w:rPr>
          <w:noProof/>
        </w:rPr>
        <w:drawing>
          <wp:inline distT="0" distB="0" distL="0" distR="0" wp14:anchorId="0FB3AABF" wp14:editId="25DC1CD0">
            <wp:extent cx="5759450" cy="2014855"/>
            <wp:effectExtent l="0" t="0" r="0" b="4445"/>
            <wp:docPr id="14" name="Picture 14" descr="Table 5: Study MOR208C03 (L-MIND trial) Summary of best objective response rate -Independent Radiology/Clinical Review Committee evalua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5: Study MOR208C03 (L-MIND trial) Summary of best objective response rate -Independent Radiology/Clinical Review Committee evaluation (full analysis set)"/>
                    <pic:cNvPicPr/>
                  </pic:nvPicPr>
                  <pic:blipFill>
                    <a:blip r:embed="rId27"/>
                    <a:stretch>
                      <a:fillRect/>
                    </a:stretch>
                  </pic:blipFill>
                  <pic:spPr>
                    <a:xfrm>
                      <a:off x="0" y="0"/>
                      <a:ext cx="5759450" cy="2014855"/>
                    </a:xfrm>
                    <a:prstGeom prst="rect">
                      <a:avLst/>
                    </a:prstGeom>
                  </pic:spPr>
                </pic:pic>
              </a:graphicData>
            </a:graphic>
          </wp:inline>
        </w:drawing>
      </w:r>
    </w:p>
    <w:p w14:paraId="6E536E9A" w14:textId="51F75471" w:rsidR="008007BD" w:rsidRPr="00877DF0" w:rsidRDefault="008007BD" w:rsidP="00877DF0">
      <w:pPr>
        <w:pStyle w:val="TableDescription"/>
      </w:pPr>
      <w:r w:rsidRPr="00877DF0">
        <w:t xml:space="preserve">Abbreviations: CI = </w:t>
      </w:r>
      <w:r w:rsidR="00877DF0">
        <w:t>c</w:t>
      </w:r>
      <w:r w:rsidRPr="00877DF0">
        <w:t xml:space="preserve">onfidence interval; LEN = </w:t>
      </w:r>
      <w:r w:rsidR="00877DF0" w:rsidRPr="00877DF0">
        <w:t>lenalidomide</w:t>
      </w:r>
      <w:r w:rsidRPr="00877DF0">
        <w:t xml:space="preserve">; N = </w:t>
      </w:r>
      <w:r w:rsidR="00877DF0" w:rsidRPr="00877DF0">
        <w:t xml:space="preserve">number </w:t>
      </w:r>
      <w:r w:rsidRPr="00877DF0">
        <w:t xml:space="preserve">of patients in </w:t>
      </w:r>
      <w:r w:rsidR="00912266">
        <w:t>full analysis set</w:t>
      </w:r>
      <w:r w:rsidRPr="00877DF0">
        <w:t xml:space="preserve">; n = </w:t>
      </w:r>
      <w:r w:rsidR="00877DF0" w:rsidRPr="00877DF0">
        <w:t xml:space="preserve">number </w:t>
      </w:r>
      <w:r w:rsidRPr="00877DF0">
        <w:t>of</w:t>
      </w:r>
      <w:r w:rsidR="00877DF0" w:rsidRPr="00877DF0">
        <w:t xml:space="preserve"> </w:t>
      </w:r>
      <w:r w:rsidRPr="00877DF0">
        <w:t>patients in each category.</w:t>
      </w:r>
    </w:p>
    <w:p w14:paraId="11C6ECA1" w14:textId="77777777" w:rsidR="008007BD" w:rsidRPr="00877DF0" w:rsidRDefault="008007BD" w:rsidP="00877DF0">
      <w:pPr>
        <w:pStyle w:val="TableDescription"/>
      </w:pPr>
      <w:r w:rsidRPr="00877DF0">
        <w:t>Percentages are based on N.</w:t>
      </w:r>
    </w:p>
    <w:p w14:paraId="559779A8" w14:textId="30D1BF72" w:rsidR="008007BD" w:rsidRPr="00877DF0" w:rsidRDefault="008007BD" w:rsidP="00877DF0">
      <w:pPr>
        <w:pStyle w:val="TableDescription"/>
      </w:pPr>
      <w:r w:rsidRPr="00877DF0">
        <w:t>a</w:t>
      </w:r>
      <w:r w:rsidR="00564A39">
        <w:t>.</w:t>
      </w:r>
      <w:r w:rsidRPr="00877DF0">
        <w:t xml:space="preserve"> The best </w:t>
      </w:r>
      <w:r w:rsidR="00DE53DA" w:rsidRPr="00877DF0">
        <w:t xml:space="preserve">objective response rate </w:t>
      </w:r>
      <w:r w:rsidRPr="00877DF0">
        <w:t xml:space="preserve">was defined as the proportion of patients with </w:t>
      </w:r>
      <w:r w:rsidR="001E59EF">
        <w:t>c</w:t>
      </w:r>
      <w:r w:rsidR="001E59EF" w:rsidRPr="00877DF0">
        <w:t xml:space="preserve">omplete response </w:t>
      </w:r>
      <w:r w:rsidRPr="00877DF0">
        <w:t xml:space="preserve">or </w:t>
      </w:r>
      <w:r w:rsidR="001E59EF" w:rsidRPr="00877DF0">
        <w:t xml:space="preserve">partial response </w:t>
      </w:r>
      <w:r w:rsidRPr="00877DF0">
        <w:t>as best response achieved at any time</w:t>
      </w:r>
      <w:r w:rsidR="001E59EF">
        <w:t xml:space="preserve"> </w:t>
      </w:r>
      <w:r w:rsidRPr="00877DF0">
        <w:t>during the study.</w:t>
      </w:r>
    </w:p>
    <w:p w14:paraId="3A509EFD" w14:textId="1F801237" w:rsidR="008007BD" w:rsidRDefault="008007BD" w:rsidP="00877DF0">
      <w:pPr>
        <w:pStyle w:val="TableDescription"/>
      </w:pPr>
      <w:r w:rsidRPr="00877DF0">
        <w:t>b</w:t>
      </w:r>
      <w:r w:rsidR="00564A39">
        <w:t>.</w:t>
      </w:r>
      <w:r w:rsidRPr="00877DF0">
        <w:t xml:space="preserve"> Using 2-sided 95% Clopper-Pearson exact method based on binomial distribution.</w:t>
      </w:r>
    </w:p>
    <w:p w14:paraId="18B90C9E" w14:textId="16E63573" w:rsidR="00166C0F" w:rsidRPr="00877DF0" w:rsidRDefault="00166C0F" w:rsidP="00877DF0">
      <w:pPr>
        <w:pStyle w:val="TableDescription"/>
      </w:pPr>
      <w:r w:rsidRPr="00166C0F">
        <w:t>Data cut-off</w:t>
      </w:r>
      <w:r w:rsidR="00D6322A">
        <w:t xml:space="preserve">: </w:t>
      </w:r>
      <w:r w:rsidRPr="00166C0F">
        <w:t>30 Nov</w:t>
      </w:r>
      <w:r>
        <w:t>ember</w:t>
      </w:r>
      <w:r w:rsidRPr="00166C0F">
        <w:t xml:space="preserve"> 2018</w:t>
      </w:r>
    </w:p>
    <w:p w14:paraId="553AF7AA" w14:textId="70BA7103" w:rsidR="001A711A" w:rsidRPr="007C23E8" w:rsidRDefault="003B1509" w:rsidP="004B33C7">
      <w:r w:rsidRPr="007C23E8">
        <w:t xml:space="preserve">One patient was excluded from the </w:t>
      </w:r>
      <w:r w:rsidR="00DD3D37" w:rsidRPr="007C23E8">
        <w:t>final analysis set</w:t>
      </w:r>
      <w:r w:rsidRPr="007C23E8">
        <w:t xml:space="preserve"> reported as they did not receive </w:t>
      </w:r>
      <w:r w:rsidR="00DD3D37" w:rsidRPr="007C23E8">
        <w:t>lenalidomide</w:t>
      </w:r>
      <w:r w:rsidRPr="007C23E8">
        <w:t>.</w:t>
      </w:r>
    </w:p>
    <w:p w14:paraId="30404D7A" w14:textId="2006688E" w:rsidR="001A711A" w:rsidRPr="007C23E8" w:rsidRDefault="003B1509" w:rsidP="004B33C7">
      <w:r w:rsidRPr="007C23E8">
        <w:t xml:space="preserve">The </w:t>
      </w:r>
      <w:r w:rsidR="0035716C" w:rsidRPr="007C23E8">
        <w:t>objective response rate</w:t>
      </w:r>
      <w:r w:rsidRPr="007C23E8">
        <w:t xml:space="preserve"> observed was 58.8%, comprised of 41.3% </w:t>
      </w:r>
      <w:r w:rsidR="0035716C" w:rsidRPr="007C23E8">
        <w:t>complete response</w:t>
      </w:r>
      <w:r w:rsidRPr="007C23E8">
        <w:t xml:space="preserve"> and 17.5% </w:t>
      </w:r>
      <w:r w:rsidR="0035716C" w:rsidRPr="007C23E8">
        <w:t>partial response</w:t>
      </w:r>
      <w:r w:rsidRPr="007C23E8">
        <w:t>.</w:t>
      </w:r>
    </w:p>
    <w:p w14:paraId="35AABD09" w14:textId="7A7EA62F" w:rsidR="004B33C7" w:rsidRDefault="00DD3D37" w:rsidP="00DD3D37">
      <w:pPr>
        <w:pStyle w:val="TableTitle"/>
        <w:rPr>
          <w:bCs/>
        </w:rPr>
      </w:pPr>
      <w:r w:rsidRPr="007C23E8">
        <w:lastRenderedPageBreak/>
        <w:t xml:space="preserve">Table </w:t>
      </w:r>
      <w:r>
        <w:fldChar w:fldCharType="begin"/>
      </w:r>
      <w:r>
        <w:instrText>SEQ Table \* ARABIC</w:instrText>
      </w:r>
      <w:r>
        <w:fldChar w:fldCharType="separate"/>
      </w:r>
      <w:r w:rsidR="0062128D">
        <w:rPr>
          <w:noProof/>
        </w:rPr>
        <w:t>6</w:t>
      </w:r>
      <w:r>
        <w:fldChar w:fldCharType="end"/>
      </w:r>
      <w:r w:rsidR="004B33C7" w:rsidRPr="007C23E8">
        <w:t xml:space="preserve">: </w:t>
      </w:r>
      <w:r w:rsidRPr="007C23E8">
        <w:t xml:space="preserve">Study MOR208C03 (L-MIND trial) </w:t>
      </w:r>
      <w:r w:rsidR="008D1009" w:rsidRPr="008D1009">
        <w:t xml:space="preserve">Summary of </w:t>
      </w:r>
      <w:r w:rsidR="001C1042">
        <w:t>d</w:t>
      </w:r>
      <w:r w:rsidR="004B33C7" w:rsidRPr="007C23E8">
        <w:t xml:space="preserve">uration of </w:t>
      </w:r>
      <w:r w:rsidRPr="007C23E8">
        <w:t xml:space="preserve">response </w:t>
      </w:r>
      <w:r w:rsidR="00006A82">
        <w:t xml:space="preserve">- </w:t>
      </w:r>
      <w:r w:rsidR="00006A82" w:rsidRPr="00DE53DA">
        <w:rPr>
          <w:bCs/>
        </w:rPr>
        <w:t xml:space="preserve">Independent Radiology/Clinical Review Committee </w:t>
      </w:r>
      <w:r w:rsidR="002B7398">
        <w:rPr>
          <w:bCs/>
        </w:rPr>
        <w:t>e</w:t>
      </w:r>
      <w:r w:rsidR="00006A82" w:rsidRPr="00DE53DA">
        <w:rPr>
          <w:bCs/>
        </w:rPr>
        <w:t>valuation</w:t>
      </w:r>
      <w:r w:rsidR="004D7D78">
        <w:rPr>
          <w:bCs/>
        </w:rPr>
        <w:t xml:space="preserve"> </w:t>
      </w:r>
      <w:r w:rsidR="00006A82">
        <w:rPr>
          <w:bCs/>
        </w:rPr>
        <w:t>(full analysis set)</w:t>
      </w:r>
    </w:p>
    <w:p w14:paraId="0B9BCD43" w14:textId="75DACEE5" w:rsidR="002B7398" w:rsidRDefault="002B7398" w:rsidP="00564A39">
      <w:r>
        <w:rPr>
          <w:noProof/>
        </w:rPr>
        <w:drawing>
          <wp:inline distT="0" distB="0" distL="0" distR="0" wp14:anchorId="664019E8" wp14:editId="2EC65BF2">
            <wp:extent cx="5759450" cy="2932430"/>
            <wp:effectExtent l="0" t="0" r="0" b="1270"/>
            <wp:docPr id="15" name="Picture 15" descr="Table 6: Study MOR208C03 (L-MIND trial) Summary of Duration of response - Independent Radiology/Clinical Review Committee evalua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6: Study MOR208C03 (L-MIND trial) Summary of Duration of response - Independent Radiology/Clinical Review Committee evaluation (full analysis set)"/>
                    <pic:cNvPicPr/>
                  </pic:nvPicPr>
                  <pic:blipFill>
                    <a:blip r:embed="rId28"/>
                    <a:stretch>
                      <a:fillRect/>
                    </a:stretch>
                  </pic:blipFill>
                  <pic:spPr>
                    <a:xfrm>
                      <a:off x="0" y="0"/>
                      <a:ext cx="5759450" cy="2932430"/>
                    </a:xfrm>
                    <a:prstGeom prst="rect">
                      <a:avLst/>
                    </a:prstGeom>
                  </pic:spPr>
                </pic:pic>
              </a:graphicData>
            </a:graphic>
          </wp:inline>
        </w:drawing>
      </w:r>
    </w:p>
    <w:p w14:paraId="6708D5E0" w14:textId="6AA45772" w:rsidR="004D7D78" w:rsidRDefault="004D7D78" w:rsidP="004D7D78">
      <w:pPr>
        <w:pStyle w:val="TableDescription"/>
      </w:pPr>
      <w:r>
        <w:t xml:space="preserve">Abbreviations: CI = confidence interval; </w:t>
      </w:r>
      <w:proofErr w:type="spellStart"/>
      <w:r>
        <w:t>DoR</w:t>
      </w:r>
      <w:proofErr w:type="spellEnd"/>
      <w:r>
        <w:t xml:space="preserve"> = duration of response; FAS = full analysis set; IRC = Independent Radiology/Clinical Review Committee; LEN = lenalidomide; N = number of patients in FAS; n = number of patients in each category; NR = not reached</w:t>
      </w:r>
      <w:r w:rsidR="007E1921">
        <w:t>.</w:t>
      </w:r>
    </w:p>
    <w:p w14:paraId="3A56AE5A" w14:textId="6E8F89AE" w:rsidR="004D7D78" w:rsidRDefault="004D7D78" w:rsidP="004D7D78">
      <w:pPr>
        <w:pStyle w:val="TableDescription"/>
      </w:pPr>
      <w:r>
        <w:t>95% CIs for the median and the 25</w:t>
      </w:r>
      <w:r w:rsidRPr="004D7D78">
        <w:rPr>
          <w:vertAlign w:val="superscript"/>
        </w:rPr>
        <w:t>th</w:t>
      </w:r>
      <w:r>
        <w:t xml:space="preserve"> and 75</w:t>
      </w:r>
      <w:r w:rsidRPr="004D7D78">
        <w:rPr>
          <w:vertAlign w:val="superscript"/>
        </w:rPr>
        <w:t>th</w:t>
      </w:r>
      <w:r>
        <w:t xml:space="preserve"> percentiles were calculated using the method of </w:t>
      </w:r>
      <w:r w:rsidR="00B45638">
        <w:t>Brookmeyer and Crowley (1982).</w:t>
      </w:r>
      <w:bookmarkStart w:id="75" w:name="_Ref152155839"/>
      <w:r w:rsidR="00B174AC">
        <w:rPr>
          <w:rStyle w:val="FootnoteReference"/>
        </w:rPr>
        <w:footnoteReference w:id="10"/>
      </w:r>
      <w:bookmarkEnd w:id="75"/>
    </w:p>
    <w:p w14:paraId="2A6B8F3C" w14:textId="77777777" w:rsidR="004D7D78" w:rsidRDefault="004D7D78" w:rsidP="004D7D78">
      <w:pPr>
        <w:pStyle w:val="TableDescription"/>
      </w:pPr>
      <w:r>
        <w:t>Percentages were based on the number of patients with response.</w:t>
      </w:r>
    </w:p>
    <w:p w14:paraId="3708924E" w14:textId="3724ACD3" w:rsidR="003B1509" w:rsidRDefault="004D7D78" w:rsidP="004D7D78">
      <w:pPr>
        <w:pStyle w:val="TableDescription"/>
      </w:pPr>
      <w:r>
        <w:t>a</w:t>
      </w:r>
      <w:r w:rsidR="00564A39">
        <w:t>.</w:t>
      </w:r>
      <w:r>
        <w:t xml:space="preserve"> </w:t>
      </w:r>
      <w:proofErr w:type="spellStart"/>
      <w:r>
        <w:t>DoR</w:t>
      </w:r>
      <w:proofErr w:type="spellEnd"/>
      <w:r>
        <w:t xml:space="preserve"> </w:t>
      </w:r>
      <w:r w:rsidR="00C840C4">
        <w:t>(</w:t>
      </w:r>
      <w:r>
        <w:t>months</w:t>
      </w:r>
      <w:r w:rsidR="00C840C4">
        <w:t>)</w:t>
      </w:r>
      <w:r>
        <w:t xml:space="preserve"> = (date of assessment of tumo</w:t>
      </w:r>
      <w:r w:rsidR="007E1921">
        <w:t>u</w:t>
      </w:r>
      <w:r>
        <w:t>r progression or death – date of assessment of first documented</w:t>
      </w:r>
      <w:r w:rsidR="00AF5CFB">
        <w:t xml:space="preserve"> </w:t>
      </w:r>
      <w:r>
        <w:t>response of (</w:t>
      </w:r>
      <w:r w:rsidR="007E1921">
        <w:t xml:space="preserve">complete response </w:t>
      </w:r>
      <w:r>
        <w:t xml:space="preserve">or </w:t>
      </w:r>
      <w:r w:rsidR="007E1921">
        <w:t>partial response</w:t>
      </w:r>
      <w:r>
        <w:t>) +1)/30.4375.</w:t>
      </w:r>
    </w:p>
    <w:p w14:paraId="07BD950C" w14:textId="189D2D7C" w:rsidR="00AF5CFB" w:rsidRPr="007C23E8" w:rsidRDefault="00AF5CFB" w:rsidP="004D7D78">
      <w:pPr>
        <w:pStyle w:val="TableDescription"/>
      </w:pPr>
      <w:r w:rsidRPr="00AF5CFB">
        <w:t>Data cut-off</w:t>
      </w:r>
      <w:r w:rsidR="00D6322A">
        <w:t>:</w:t>
      </w:r>
      <w:r w:rsidRPr="00AF5CFB">
        <w:t xml:space="preserve"> 30 Nov</w:t>
      </w:r>
      <w:r>
        <w:t>ember</w:t>
      </w:r>
      <w:r w:rsidRPr="00AF5CFB">
        <w:t xml:space="preserve"> 2018</w:t>
      </w:r>
      <w:r>
        <w:t>.</w:t>
      </w:r>
    </w:p>
    <w:p w14:paraId="18FB9518" w14:textId="08F2F600" w:rsidR="003B1509" w:rsidRPr="007C23E8" w:rsidRDefault="00DD3D37" w:rsidP="004B33C7">
      <w:r w:rsidRPr="007C23E8">
        <w:t xml:space="preserve">A total of </w:t>
      </w:r>
      <w:r w:rsidR="003B1509" w:rsidRPr="007C23E8">
        <w:t xml:space="preserve">34 patients were censored from this analysis due to not achieving an </w:t>
      </w:r>
      <w:r w:rsidR="0035716C" w:rsidRPr="007C23E8">
        <w:t>objective response rate</w:t>
      </w:r>
      <w:r w:rsidR="003B1509" w:rsidRPr="007C23E8">
        <w:t xml:space="preserve"> (either </w:t>
      </w:r>
      <w:r w:rsidR="0035716C" w:rsidRPr="007C23E8">
        <w:t>partial response</w:t>
      </w:r>
      <w:r w:rsidR="003B1509" w:rsidRPr="007C23E8">
        <w:t xml:space="preserve"> or </w:t>
      </w:r>
      <w:r w:rsidR="0035716C" w:rsidRPr="007C23E8">
        <w:t>complete response</w:t>
      </w:r>
      <w:r w:rsidR="003B1509" w:rsidRPr="007C23E8">
        <w:t xml:space="preserve">) as per the primary endpoint. This indicates a median </w:t>
      </w:r>
      <w:r w:rsidR="0035716C" w:rsidRPr="007C23E8">
        <w:t>duration of response</w:t>
      </w:r>
      <w:r w:rsidR="003B1509" w:rsidRPr="007C23E8">
        <w:t xml:space="preserve"> of 21.7 months, although a 95% </w:t>
      </w:r>
      <w:r w:rsidR="0035716C" w:rsidRPr="007C23E8">
        <w:t>confidence interval (</w:t>
      </w:r>
      <w:r w:rsidR="003B1509" w:rsidRPr="007C23E8">
        <w:t>CI</w:t>
      </w:r>
      <w:r w:rsidR="0035716C" w:rsidRPr="007C23E8">
        <w:t>)</w:t>
      </w:r>
      <w:r w:rsidR="003B1509" w:rsidRPr="007C23E8">
        <w:t xml:space="preserve"> could not be fully estimated. There was no significant baseline variable that influenced this including age, rituximab refractoriness, primary or secondary refractory disease or number of prior treatments. The Delegate notes that the numbers in these stratifications were small given the overall limited number of patients in the analysis.</w:t>
      </w:r>
    </w:p>
    <w:p w14:paraId="48E5F0D5" w14:textId="60D1D58A" w:rsidR="004B33C7" w:rsidRDefault="00DD3D37" w:rsidP="00DD3D37">
      <w:pPr>
        <w:pStyle w:val="TableTitle"/>
        <w:rPr>
          <w:bCs/>
        </w:rPr>
      </w:pPr>
      <w:r w:rsidRPr="007C23E8">
        <w:lastRenderedPageBreak/>
        <w:t xml:space="preserve">Table </w:t>
      </w:r>
      <w:r>
        <w:fldChar w:fldCharType="begin"/>
      </w:r>
      <w:r>
        <w:instrText>SEQ Table \* ARABIC</w:instrText>
      </w:r>
      <w:r>
        <w:fldChar w:fldCharType="separate"/>
      </w:r>
      <w:r w:rsidR="0062128D">
        <w:rPr>
          <w:noProof/>
        </w:rPr>
        <w:t>7</w:t>
      </w:r>
      <w:r>
        <w:fldChar w:fldCharType="end"/>
      </w:r>
      <w:r w:rsidR="004B33C7" w:rsidRPr="007C23E8">
        <w:rPr>
          <w:bCs/>
        </w:rPr>
        <w:t xml:space="preserve">: </w:t>
      </w:r>
      <w:r w:rsidRPr="007C23E8">
        <w:t xml:space="preserve">Study MOR208C03 (L-MIND trial) </w:t>
      </w:r>
      <w:r w:rsidR="00664D8C">
        <w:t>Summary of p</w:t>
      </w:r>
      <w:r w:rsidR="004B33C7" w:rsidRPr="007C23E8">
        <w:rPr>
          <w:bCs/>
        </w:rPr>
        <w:t xml:space="preserve">rogression </w:t>
      </w:r>
      <w:r w:rsidRPr="007C23E8">
        <w:rPr>
          <w:bCs/>
        </w:rPr>
        <w:t xml:space="preserve">free survival </w:t>
      </w:r>
      <w:r w:rsidR="00664D8C">
        <w:t xml:space="preserve">- </w:t>
      </w:r>
      <w:r w:rsidR="00664D8C" w:rsidRPr="00DE53DA">
        <w:rPr>
          <w:bCs/>
        </w:rPr>
        <w:t xml:space="preserve">Independent Radiology/Clinical Review Committee </w:t>
      </w:r>
      <w:r w:rsidR="00664D8C">
        <w:rPr>
          <w:bCs/>
        </w:rPr>
        <w:t>e</w:t>
      </w:r>
      <w:r w:rsidR="00664D8C" w:rsidRPr="00DE53DA">
        <w:rPr>
          <w:bCs/>
        </w:rPr>
        <w:t>valuation</w:t>
      </w:r>
      <w:r w:rsidR="00664D8C">
        <w:rPr>
          <w:bCs/>
        </w:rPr>
        <w:t xml:space="preserve"> (full analysis set)</w:t>
      </w:r>
    </w:p>
    <w:p w14:paraId="6AFEBD42" w14:textId="65FBBB7E" w:rsidR="008A4398" w:rsidRDefault="008A4398" w:rsidP="008C016C">
      <w:pPr>
        <w:rPr>
          <w:bCs/>
        </w:rPr>
      </w:pPr>
      <w:r>
        <w:rPr>
          <w:noProof/>
        </w:rPr>
        <w:drawing>
          <wp:inline distT="0" distB="0" distL="0" distR="0" wp14:anchorId="0554C6CA" wp14:editId="0B5FBB61">
            <wp:extent cx="5759450" cy="3011170"/>
            <wp:effectExtent l="0" t="0" r="0" b="0"/>
            <wp:docPr id="17" name="Picture 17" descr="Table 7: Study MOR208C03 (L-MIND trial) Summary of progression free survival - Independent Radiology/Clinical Review Committee evalua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7: Study MOR208C03 (L-MIND trial) Summary of progression free survival - Independent Radiology/Clinical Review Committee evaluation (full analysis set)"/>
                    <pic:cNvPicPr/>
                  </pic:nvPicPr>
                  <pic:blipFill>
                    <a:blip r:embed="rId29"/>
                    <a:stretch>
                      <a:fillRect/>
                    </a:stretch>
                  </pic:blipFill>
                  <pic:spPr>
                    <a:xfrm>
                      <a:off x="0" y="0"/>
                      <a:ext cx="5759450" cy="3011170"/>
                    </a:xfrm>
                    <a:prstGeom prst="rect">
                      <a:avLst/>
                    </a:prstGeom>
                  </pic:spPr>
                </pic:pic>
              </a:graphicData>
            </a:graphic>
          </wp:inline>
        </w:drawing>
      </w:r>
    </w:p>
    <w:p w14:paraId="462EE235" w14:textId="089FAC5A" w:rsidR="00E07BB4" w:rsidRPr="00E07BB4" w:rsidRDefault="00401C6C" w:rsidP="00E07BB4">
      <w:pPr>
        <w:pStyle w:val="TableDescription"/>
      </w:pPr>
      <w:r>
        <w:t xml:space="preserve">Abbreviations: </w:t>
      </w:r>
      <w:r w:rsidR="00E07BB4" w:rsidRPr="00E07BB4">
        <w:t xml:space="preserve">CI = </w:t>
      </w:r>
      <w:r>
        <w:t>c</w:t>
      </w:r>
      <w:r w:rsidR="00E07BB4" w:rsidRPr="00E07BB4">
        <w:t xml:space="preserve">onfidence interval; FAS = </w:t>
      </w:r>
      <w:r w:rsidRPr="00E07BB4">
        <w:t>full analysis set</w:t>
      </w:r>
      <w:r w:rsidR="00E07BB4" w:rsidRPr="00E07BB4">
        <w:t>; IRC = Independent Radiology/Clinical Review Committee;</w:t>
      </w:r>
      <w:r w:rsidR="00E07BB4">
        <w:t xml:space="preserve"> </w:t>
      </w:r>
      <w:r w:rsidR="00E07BB4" w:rsidRPr="00E07BB4">
        <w:t xml:space="preserve">LEN = </w:t>
      </w:r>
      <w:r w:rsidRPr="00E07BB4">
        <w:t>lenalidomide</w:t>
      </w:r>
      <w:r w:rsidR="00E07BB4" w:rsidRPr="00E07BB4">
        <w:t xml:space="preserve">; N = </w:t>
      </w:r>
      <w:r w:rsidRPr="00E07BB4">
        <w:t xml:space="preserve">number </w:t>
      </w:r>
      <w:r w:rsidR="00E07BB4" w:rsidRPr="00E07BB4">
        <w:t xml:space="preserve">of patients in FAS; n = </w:t>
      </w:r>
      <w:r w:rsidRPr="00E07BB4">
        <w:t xml:space="preserve">number </w:t>
      </w:r>
      <w:r w:rsidR="00E07BB4" w:rsidRPr="00E07BB4">
        <w:t xml:space="preserve">of patients in each category; NR = </w:t>
      </w:r>
      <w:r w:rsidRPr="00E07BB4">
        <w:t>not</w:t>
      </w:r>
      <w:r>
        <w:t xml:space="preserve"> </w:t>
      </w:r>
      <w:r w:rsidR="00E07BB4" w:rsidRPr="00E07BB4">
        <w:t xml:space="preserve">reached; PFS = </w:t>
      </w:r>
      <w:r w:rsidRPr="00E07BB4">
        <w:t xml:space="preserve">progression </w:t>
      </w:r>
      <w:r w:rsidR="00E07BB4" w:rsidRPr="00E07BB4">
        <w:t>free survival.</w:t>
      </w:r>
    </w:p>
    <w:p w14:paraId="0FA8DD01" w14:textId="77777777" w:rsidR="00E07BB4" w:rsidRPr="00E07BB4" w:rsidRDefault="00E07BB4" w:rsidP="00E07BB4">
      <w:pPr>
        <w:pStyle w:val="TableDescription"/>
      </w:pPr>
      <w:r w:rsidRPr="00E07BB4">
        <w:t>Percentages are based on N.</w:t>
      </w:r>
    </w:p>
    <w:p w14:paraId="31C67887" w14:textId="4A180DE1" w:rsidR="00E07BB4" w:rsidRPr="00E07BB4" w:rsidRDefault="00E07BB4" w:rsidP="00E07BB4">
      <w:pPr>
        <w:pStyle w:val="TableDescription"/>
      </w:pPr>
      <w:r w:rsidRPr="00E07BB4">
        <w:t>95% CIs for the median and the 25</w:t>
      </w:r>
      <w:r w:rsidRPr="00401C6C">
        <w:rPr>
          <w:vertAlign w:val="superscript"/>
        </w:rPr>
        <w:t>th</w:t>
      </w:r>
      <w:r w:rsidR="00401C6C">
        <w:t xml:space="preserve"> </w:t>
      </w:r>
      <w:r w:rsidRPr="00E07BB4">
        <w:t>and 75</w:t>
      </w:r>
      <w:r w:rsidRPr="00401C6C">
        <w:rPr>
          <w:vertAlign w:val="superscript"/>
        </w:rPr>
        <w:t>th</w:t>
      </w:r>
      <w:r w:rsidR="00401C6C">
        <w:t xml:space="preserve"> </w:t>
      </w:r>
      <w:r w:rsidRPr="00E07BB4">
        <w:t>percentiles were calculated using the method of Brookmeyer and</w:t>
      </w:r>
      <w:r>
        <w:t xml:space="preserve"> </w:t>
      </w:r>
      <w:r w:rsidRPr="00E07BB4">
        <w:t>Crowley</w:t>
      </w:r>
      <w:r>
        <w:t xml:space="preserve"> (</w:t>
      </w:r>
      <w:r w:rsidRPr="00E07BB4">
        <w:t>1982</w:t>
      </w:r>
      <w:r w:rsidR="00401C6C">
        <w:t>)</w:t>
      </w:r>
      <w:r w:rsidRPr="00E07BB4">
        <w:t>.</w:t>
      </w:r>
      <w:r w:rsidR="00E41B8F" w:rsidRPr="00E41B8F">
        <w:rPr>
          <w:vertAlign w:val="superscript"/>
        </w:rPr>
        <w:fldChar w:fldCharType="begin"/>
      </w:r>
      <w:r w:rsidR="00E41B8F" w:rsidRPr="00E41B8F">
        <w:rPr>
          <w:vertAlign w:val="superscript"/>
        </w:rPr>
        <w:instrText xml:space="preserve"> NOTEREF _Ref152155839 \h </w:instrText>
      </w:r>
      <w:r w:rsidR="00E41B8F">
        <w:rPr>
          <w:vertAlign w:val="superscript"/>
        </w:rPr>
        <w:instrText xml:space="preserve"> \* MERGEFORMAT </w:instrText>
      </w:r>
      <w:r w:rsidR="00E41B8F" w:rsidRPr="00E41B8F">
        <w:rPr>
          <w:vertAlign w:val="superscript"/>
        </w:rPr>
      </w:r>
      <w:r w:rsidR="00E41B8F" w:rsidRPr="00E41B8F">
        <w:rPr>
          <w:vertAlign w:val="superscript"/>
        </w:rPr>
        <w:fldChar w:fldCharType="separate"/>
      </w:r>
      <w:r w:rsidR="0062128D">
        <w:rPr>
          <w:vertAlign w:val="superscript"/>
        </w:rPr>
        <w:t>9</w:t>
      </w:r>
      <w:r w:rsidR="00E41B8F" w:rsidRPr="00E41B8F">
        <w:rPr>
          <w:vertAlign w:val="superscript"/>
        </w:rPr>
        <w:fldChar w:fldCharType="end"/>
      </w:r>
    </w:p>
    <w:p w14:paraId="00892372" w14:textId="7184D451" w:rsidR="00E07BB4" w:rsidRPr="00E07BB4" w:rsidRDefault="00E07BB4" w:rsidP="00E07BB4">
      <w:pPr>
        <w:pStyle w:val="TableDescription"/>
      </w:pPr>
      <w:r w:rsidRPr="00E07BB4">
        <w:t>a</w:t>
      </w:r>
      <w:r w:rsidR="008C016C">
        <w:t>.</w:t>
      </w:r>
      <w:r w:rsidRPr="00E07BB4">
        <w:t xml:space="preserve"> </w:t>
      </w:r>
      <w:r w:rsidR="00401C6C" w:rsidRPr="00E07BB4">
        <w:t xml:space="preserve">Progression free survival </w:t>
      </w:r>
      <w:r w:rsidRPr="00E07BB4">
        <w:t>time was defined as the time (in months) from the date of the first administration of any study drug to the date of tumo</w:t>
      </w:r>
      <w:r w:rsidR="00401C6C">
        <w:t>u</w:t>
      </w:r>
      <w:r w:rsidRPr="00E07BB4">
        <w:t>r progression or death from any cause.</w:t>
      </w:r>
    </w:p>
    <w:p w14:paraId="262BD6E9" w14:textId="0F85D238" w:rsidR="00E07BB4" w:rsidRPr="00E07BB4" w:rsidRDefault="00E07BB4" w:rsidP="00E07BB4">
      <w:pPr>
        <w:pStyle w:val="TableDescription"/>
      </w:pPr>
      <w:r w:rsidRPr="00E07BB4">
        <w:t>b</w:t>
      </w:r>
      <w:r w:rsidR="008C016C">
        <w:t>.</w:t>
      </w:r>
      <w:r w:rsidRPr="00E07BB4">
        <w:t xml:space="preserve"> </w:t>
      </w:r>
      <w:r w:rsidR="00401C6C" w:rsidRPr="00E07BB4">
        <w:t xml:space="preserve">Progression free survival </w:t>
      </w:r>
      <w:r w:rsidRPr="00E07BB4">
        <w:t>% estimate was the estimated probability that a patient would remain progression free up to the specified</w:t>
      </w:r>
      <w:r w:rsidR="00401C6C">
        <w:t xml:space="preserve"> </w:t>
      </w:r>
      <w:r w:rsidRPr="00E07BB4">
        <w:t>point in time.</w:t>
      </w:r>
    </w:p>
    <w:p w14:paraId="521DCD00" w14:textId="43E4670B" w:rsidR="00E07BB4" w:rsidRDefault="00E07BB4" w:rsidP="00E07BB4">
      <w:pPr>
        <w:pStyle w:val="TableDescription"/>
      </w:pPr>
      <w:r w:rsidRPr="00E07BB4">
        <w:t>c</w:t>
      </w:r>
      <w:r w:rsidR="008C016C">
        <w:t>.</w:t>
      </w:r>
      <w:r w:rsidRPr="00E07BB4">
        <w:t xml:space="preserve"> The median follow-up time for </w:t>
      </w:r>
      <w:r w:rsidR="00401C6C">
        <w:t>p</w:t>
      </w:r>
      <w:r w:rsidR="00401C6C" w:rsidRPr="00E07BB4">
        <w:t xml:space="preserve">rogression free survival </w:t>
      </w:r>
      <w:r w:rsidRPr="00E07BB4">
        <w:t>was calculated using the reverse Kaplan-Meier method, considering the censored patients as events and patients with events as censored.</w:t>
      </w:r>
    </w:p>
    <w:p w14:paraId="06937EBB" w14:textId="767D5D5D" w:rsidR="003B1509" w:rsidRPr="007C23E8" w:rsidRDefault="00401C6C" w:rsidP="008A4398">
      <w:pPr>
        <w:pStyle w:val="TableDescription"/>
      </w:pPr>
      <w:r w:rsidRPr="00401C6C">
        <w:t>Data cut-off</w:t>
      </w:r>
      <w:r w:rsidR="00D6322A">
        <w:t xml:space="preserve">: </w:t>
      </w:r>
      <w:r w:rsidRPr="00401C6C">
        <w:t>30 Nov</w:t>
      </w:r>
      <w:r>
        <w:t>ember</w:t>
      </w:r>
      <w:r w:rsidRPr="00401C6C">
        <w:t xml:space="preserve"> 2018</w:t>
      </w:r>
      <w:r w:rsidR="00AF5CFB">
        <w:t>.</w:t>
      </w:r>
    </w:p>
    <w:p w14:paraId="47AC6011" w14:textId="173AA095" w:rsidR="001A711A" w:rsidRPr="007C23E8" w:rsidRDefault="003B1509" w:rsidP="004B33C7">
      <w:r w:rsidRPr="007C23E8">
        <w:t xml:space="preserve">The median </w:t>
      </w:r>
      <w:r w:rsidR="0035716C" w:rsidRPr="007C23E8">
        <w:t>progression free survival</w:t>
      </w:r>
      <w:r w:rsidRPr="007C23E8">
        <w:t xml:space="preserve"> was 11.6 months, although a 95%</w:t>
      </w:r>
      <w:r w:rsidR="00DD3D37" w:rsidRPr="007C23E8">
        <w:t xml:space="preserve"> </w:t>
      </w:r>
      <w:r w:rsidRPr="007C23E8">
        <w:t>CI could not be fully estimated.</w:t>
      </w:r>
    </w:p>
    <w:p w14:paraId="24C91F06" w14:textId="29C43B71" w:rsidR="008B5435" w:rsidRDefault="00DD3D37" w:rsidP="00DD3D37">
      <w:pPr>
        <w:pStyle w:val="TableTitle"/>
        <w:rPr>
          <w:bCs/>
        </w:rPr>
      </w:pPr>
      <w:r w:rsidRPr="007C23E8">
        <w:lastRenderedPageBreak/>
        <w:t xml:space="preserve">Table </w:t>
      </w:r>
      <w:r>
        <w:fldChar w:fldCharType="begin"/>
      </w:r>
      <w:r>
        <w:instrText>SEQ Table \* ARABIC</w:instrText>
      </w:r>
      <w:r>
        <w:fldChar w:fldCharType="separate"/>
      </w:r>
      <w:r w:rsidR="0062128D">
        <w:rPr>
          <w:noProof/>
        </w:rPr>
        <w:t>8</w:t>
      </w:r>
      <w:r>
        <w:fldChar w:fldCharType="end"/>
      </w:r>
      <w:r w:rsidR="008B5435" w:rsidRPr="007C23E8">
        <w:rPr>
          <w:bCs/>
        </w:rPr>
        <w:t xml:space="preserve">: </w:t>
      </w:r>
      <w:r w:rsidRPr="007C23E8">
        <w:t xml:space="preserve">Study MOR208C03 (L-MIND trial) </w:t>
      </w:r>
      <w:r w:rsidR="0036317B" w:rsidRPr="0036317B">
        <w:rPr>
          <w:bCs/>
        </w:rPr>
        <w:t>Kaplan-Meier analysis of overall survival (</w:t>
      </w:r>
      <w:r w:rsidR="0036317B">
        <w:rPr>
          <w:bCs/>
        </w:rPr>
        <w:t>full analysis set</w:t>
      </w:r>
      <w:r w:rsidR="0036317B" w:rsidRPr="0036317B">
        <w:rPr>
          <w:bCs/>
        </w:rPr>
        <w:t>)</w:t>
      </w:r>
    </w:p>
    <w:p w14:paraId="6237B877" w14:textId="68E5C256" w:rsidR="0034618D" w:rsidRDefault="0034618D" w:rsidP="008C016C">
      <w:pPr>
        <w:rPr>
          <w:bCs/>
        </w:rPr>
      </w:pPr>
      <w:r>
        <w:rPr>
          <w:noProof/>
        </w:rPr>
        <w:drawing>
          <wp:inline distT="0" distB="0" distL="0" distR="0" wp14:anchorId="515D5F18" wp14:editId="40FA6B71">
            <wp:extent cx="5759450" cy="4169410"/>
            <wp:effectExtent l="0" t="0" r="0" b="2540"/>
            <wp:docPr id="22" name="Picture 22" descr="Table 8: Study MOR208C03 (L-MIND trial) Kaplan-Meier analysis of overall surviva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8: Study MOR208C03 (L-MIND trial) Kaplan-Meier analysis of overall survival (full analysis set)"/>
                    <pic:cNvPicPr/>
                  </pic:nvPicPr>
                  <pic:blipFill>
                    <a:blip r:embed="rId30"/>
                    <a:stretch>
                      <a:fillRect/>
                    </a:stretch>
                  </pic:blipFill>
                  <pic:spPr>
                    <a:xfrm>
                      <a:off x="0" y="0"/>
                      <a:ext cx="5759450" cy="4169410"/>
                    </a:xfrm>
                    <a:prstGeom prst="rect">
                      <a:avLst/>
                    </a:prstGeom>
                  </pic:spPr>
                </pic:pic>
              </a:graphicData>
            </a:graphic>
          </wp:inline>
        </w:drawing>
      </w:r>
    </w:p>
    <w:p w14:paraId="39DB8D2B" w14:textId="11F86511" w:rsidR="00024394" w:rsidRPr="00024394" w:rsidRDefault="00024394" w:rsidP="003041B7">
      <w:pPr>
        <w:pStyle w:val="TableDescription"/>
      </w:pPr>
      <w:r w:rsidRPr="00024394">
        <w:t xml:space="preserve">Abbreviations: CI = </w:t>
      </w:r>
      <w:r w:rsidR="003041B7" w:rsidRPr="00024394">
        <w:t xml:space="preserve">confidence </w:t>
      </w:r>
      <w:r w:rsidRPr="00024394">
        <w:t xml:space="preserve">interval; N = </w:t>
      </w:r>
      <w:r w:rsidR="003041B7" w:rsidRPr="00024394">
        <w:t xml:space="preserve">number </w:t>
      </w:r>
      <w:r w:rsidRPr="00024394">
        <w:t>of</w:t>
      </w:r>
      <w:r>
        <w:t xml:space="preserve"> </w:t>
      </w:r>
      <w:r w:rsidRPr="00024394">
        <w:t xml:space="preserve">patients in FAS; n = </w:t>
      </w:r>
      <w:r w:rsidR="003041B7" w:rsidRPr="00024394">
        <w:t xml:space="preserve">number </w:t>
      </w:r>
      <w:r w:rsidRPr="00024394">
        <w:t xml:space="preserve">of patients in each category; NR = </w:t>
      </w:r>
      <w:r w:rsidR="003041B7" w:rsidRPr="00024394">
        <w:t xml:space="preserve">not </w:t>
      </w:r>
      <w:r w:rsidRPr="00024394">
        <w:t>reached.</w:t>
      </w:r>
    </w:p>
    <w:p w14:paraId="36C38DFA" w14:textId="714B61CD" w:rsidR="00024394" w:rsidRPr="00024394" w:rsidRDefault="00024394" w:rsidP="003041B7">
      <w:pPr>
        <w:pStyle w:val="TableDescription"/>
      </w:pPr>
      <w:r w:rsidRPr="00024394">
        <w:t xml:space="preserve">Percentages were based on the number of patients in </w:t>
      </w:r>
      <w:r>
        <w:t>f</w:t>
      </w:r>
      <w:r w:rsidRPr="00024394">
        <w:t>ull analysis set, N.</w:t>
      </w:r>
    </w:p>
    <w:p w14:paraId="051B33A4" w14:textId="0E74CCF9" w:rsidR="00024394" w:rsidRPr="00024394" w:rsidRDefault="00024394" w:rsidP="003041B7">
      <w:pPr>
        <w:pStyle w:val="TableDescription"/>
      </w:pPr>
      <w:r w:rsidRPr="00024394">
        <w:t>95% CIs for the median and the 25</w:t>
      </w:r>
      <w:r w:rsidRPr="00024394">
        <w:rPr>
          <w:vertAlign w:val="superscript"/>
        </w:rPr>
        <w:t>th</w:t>
      </w:r>
      <w:r>
        <w:t xml:space="preserve"> </w:t>
      </w:r>
      <w:r w:rsidRPr="00024394">
        <w:t>and 75</w:t>
      </w:r>
      <w:r w:rsidRPr="00024394">
        <w:rPr>
          <w:vertAlign w:val="superscript"/>
        </w:rPr>
        <w:t>th</w:t>
      </w:r>
      <w:r>
        <w:t xml:space="preserve"> </w:t>
      </w:r>
      <w:r w:rsidRPr="00024394">
        <w:t>percentiles were calculated using the method of Brookmeyer and</w:t>
      </w:r>
      <w:r>
        <w:t xml:space="preserve"> </w:t>
      </w:r>
      <w:r w:rsidRPr="00024394">
        <w:t>Crowley</w:t>
      </w:r>
      <w:r>
        <w:t xml:space="preserve"> (</w:t>
      </w:r>
      <w:r w:rsidRPr="00024394">
        <w:t>1982</w:t>
      </w:r>
      <w:r>
        <w:t>)</w:t>
      </w:r>
      <w:r w:rsidRPr="00024394">
        <w:t>.</w:t>
      </w:r>
      <w:r w:rsidR="003041B7" w:rsidRPr="003041B7">
        <w:rPr>
          <w:vertAlign w:val="superscript"/>
        </w:rPr>
        <w:fldChar w:fldCharType="begin"/>
      </w:r>
      <w:r w:rsidR="003041B7" w:rsidRPr="003041B7">
        <w:rPr>
          <w:vertAlign w:val="superscript"/>
        </w:rPr>
        <w:instrText xml:space="preserve"> NOTEREF _Ref152155839 \h  \* MERGEFORMAT </w:instrText>
      </w:r>
      <w:r w:rsidR="003041B7" w:rsidRPr="003041B7">
        <w:rPr>
          <w:vertAlign w:val="superscript"/>
        </w:rPr>
      </w:r>
      <w:r w:rsidR="003041B7" w:rsidRPr="003041B7">
        <w:rPr>
          <w:vertAlign w:val="superscript"/>
        </w:rPr>
        <w:fldChar w:fldCharType="separate"/>
      </w:r>
      <w:r w:rsidR="0062128D">
        <w:rPr>
          <w:vertAlign w:val="superscript"/>
        </w:rPr>
        <w:t>9</w:t>
      </w:r>
      <w:r w:rsidR="003041B7" w:rsidRPr="003041B7">
        <w:rPr>
          <w:vertAlign w:val="superscript"/>
        </w:rPr>
        <w:fldChar w:fldCharType="end"/>
      </w:r>
    </w:p>
    <w:p w14:paraId="23C9C4E6" w14:textId="6529C9DF" w:rsidR="00024394" w:rsidRPr="00024394" w:rsidRDefault="00024394" w:rsidP="003041B7">
      <w:pPr>
        <w:pStyle w:val="TableDescription"/>
      </w:pPr>
      <w:r w:rsidRPr="00024394">
        <w:t>a</w:t>
      </w:r>
      <w:r w:rsidR="00564A39">
        <w:t>.</w:t>
      </w:r>
      <w:r w:rsidRPr="00024394">
        <w:t xml:space="preserve"> </w:t>
      </w:r>
      <w:r w:rsidR="003041B7">
        <w:t>O</w:t>
      </w:r>
      <w:r w:rsidR="003041B7" w:rsidRPr="00024394">
        <w:t>verall</w:t>
      </w:r>
      <w:r w:rsidR="003041B7">
        <w:t xml:space="preserve"> </w:t>
      </w:r>
      <w:r w:rsidR="003041B7" w:rsidRPr="00024394">
        <w:t xml:space="preserve">survival </w:t>
      </w:r>
      <w:r w:rsidRPr="00024394">
        <w:t>was defined as the time from the date of the first administration of any study drug until death from any</w:t>
      </w:r>
      <w:r>
        <w:t xml:space="preserve"> </w:t>
      </w:r>
      <w:r w:rsidRPr="00024394">
        <w:t>cause (documented by the date of death).</w:t>
      </w:r>
    </w:p>
    <w:p w14:paraId="45A96DEC" w14:textId="5622F661" w:rsidR="00024394" w:rsidRPr="00024394" w:rsidRDefault="00024394" w:rsidP="003041B7">
      <w:pPr>
        <w:pStyle w:val="TableDescription"/>
      </w:pPr>
      <w:r w:rsidRPr="00024394">
        <w:t>b</w:t>
      </w:r>
      <w:r w:rsidR="00564A39">
        <w:t>.</w:t>
      </w:r>
      <w:r w:rsidRPr="00024394">
        <w:t xml:space="preserve"> The median follow-up time for </w:t>
      </w:r>
      <w:r w:rsidR="003041B7" w:rsidRPr="00024394">
        <w:t>overall</w:t>
      </w:r>
      <w:r w:rsidR="003041B7">
        <w:t xml:space="preserve"> </w:t>
      </w:r>
      <w:r w:rsidR="003041B7" w:rsidRPr="00024394">
        <w:t xml:space="preserve">survival </w:t>
      </w:r>
      <w:r w:rsidRPr="00024394">
        <w:t>was calculated using the reverse Kaplan-Meier method, considering the</w:t>
      </w:r>
      <w:r>
        <w:t xml:space="preserve"> </w:t>
      </w:r>
      <w:r w:rsidRPr="00024394">
        <w:t>censored patients as events and patients with events as censored.</w:t>
      </w:r>
    </w:p>
    <w:p w14:paraId="43BC5E15" w14:textId="77865537" w:rsidR="001A711A" w:rsidRPr="007C23E8" w:rsidRDefault="003B1509" w:rsidP="007A1033">
      <w:r w:rsidRPr="007C23E8">
        <w:t xml:space="preserve">At 24 months follow-up, 56.6% of patients were alive and the estimated medial </w:t>
      </w:r>
      <w:r w:rsidR="0035716C" w:rsidRPr="007C23E8">
        <w:t>overall survival</w:t>
      </w:r>
      <w:r w:rsidRPr="007C23E8">
        <w:t xml:space="preserve"> was approximately 33.5 months.</w:t>
      </w:r>
    </w:p>
    <w:p w14:paraId="73001891" w14:textId="38738B86" w:rsidR="003B1509" w:rsidRPr="007C23E8" w:rsidRDefault="003B1509" w:rsidP="00FB3733">
      <w:pPr>
        <w:pStyle w:val="Heading5"/>
      </w:pPr>
      <w:r w:rsidRPr="007C23E8">
        <w:t>Other efficacy studies</w:t>
      </w:r>
    </w:p>
    <w:p w14:paraId="65BB6444" w14:textId="1B185262" w:rsidR="003B1509" w:rsidRPr="007C23E8" w:rsidRDefault="00DD3D37" w:rsidP="00FB3733">
      <w:pPr>
        <w:pStyle w:val="Heading5"/>
      </w:pPr>
      <w:r w:rsidRPr="007C23E8">
        <w:t xml:space="preserve">Study </w:t>
      </w:r>
      <w:r w:rsidR="003B1509" w:rsidRPr="007C23E8">
        <w:t>MOR208C201</w:t>
      </w:r>
    </w:p>
    <w:p w14:paraId="52ECED44" w14:textId="75D85A6E" w:rsidR="001A711A" w:rsidRPr="007C23E8" w:rsidRDefault="00DD3D37" w:rsidP="00FB3733">
      <w:r w:rsidRPr="007C23E8">
        <w:t xml:space="preserve">Study MOR208C201 </w:t>
      </w:r>
      <w:r w:rsidR="003B1509" w:rsidRPr="007C23E8">
        <w:t xml:space="preserve">was a </w:t>
      </w:r>
      <w:r w:rsidRPr="007C23E8">
        <w:t xml:space="preserve">Phase </w:t>
      </w:r>
      <w:proofErr w:type="spellStart"/>
      <w:r w:rsidR="003B1509" w:rsidRPr="007C23E8">
        <w:t>IIa</w:t>
      </w:r>
      <w:proofErr w:type="spellEnd"/>
      <w:r w:rsidR="003B1509" w:rsidRPr="007C23E8">
        <w:t xml:space="preserve"> single arm, open label study. It examined the efficacy of </w:t>
      </w:r>
      <w:r w:rsidR="00225B62" w:rsidRPr="007C23E8">
        <w:t>tafasitamab</w:t>
      </w:r>
      <w:r w:rsidR="003B1509" w:rsidRPr="007C23E8">
        <w:t xml:space="preserve"> monotherapy in 92 patients with </w:t>
      </w:r>
      <w:r w:rsidR="0035716C" w:rsidRPr="007C23E8">
        <w:t>relapsed or refractory</w:t>
      </w:r>
      <w:r w:rsidR="003B1509" w:rsidRPr="007C23E8">
        <w:t xml:space="preserve"> DLBCL. The </w:t>
      </w:r>
      <w:r w:rsidR="0035716C" w:rsidRPr="007C23E8">
        <w:t>objective response rate</w:t>
      </w:r>
      <w:r w:rsidR="003B1509" w:rsidRPr="007C23E8">
        <w:t xml:space="preserve"> reported was 25.7% (95%CI</w:t>
      </w:r>
      <w:r w:rsidRPr="007C23E8">
        <w:t>:</w:t>
      </w:r>
      <w:r w:rsidR="003B1509" w:rsidRPr="007C23E8">
        <w:t xml:space="preserve"> 12.5</w:t>
      </w:r>
      <w:r w:rsidRPr="007C23E8">
        <w:t xml:space="preserve">, </w:t>
      </w:r>
      <w:r w:rsidR="003B1509" w:rsidRPr="007C23E8">
        <w:t>43.4).</w:t>
      </w:r>
    </w:p>
    <w:p w14:paraId="350E33DB" w14:textId="7D0A876E" w:rsidR="003B1509" w:rsidRPr="007C23E8" w:rsidRDefault="00DD3D37" w:rsidP="00FB3733">
      <w:pPr>
        <w:pStyle w:val="Heading5"/>
      </w:pPr>
      <w:r w:rsidRPr="007C23E8">
        <w:t xml:space="preserve">Study </w:t>
      </w:r>
      <w:r w:rsidR="003B1509" w:rsidRPr="007C23E8">
        <w:t>MOR208C206 (RE-MIND</w:t>
      </w:r>
      <w:r w:rsidRPr="007C23E8">
        <w:t xml:space="preserve"> trial</w:t>
      </w:r>
      <w:r w:rsidR="003B1509" w:rsidRPr="007C23E8">
        <w:t>)</w:t>
      </w:r>
    </w:p>
    <w:p w14:paraId="7CE82A74" w14:textId="5E261D0F" w:rsidR="003B1509" w:rsidRPr="007C23E8" w:rsidRDefault="00DD3D37" w:rsidP="00FB3733">
      <w:r>
        <w:t xml:space="preserve">Study MOR208C206 (RE-MIND trial) </w:t>
      </w:r>
      <w:r w:rsidR="003B1509">
        <w:t xml:space="preserve">was an observational retrospective cohort study for </w:t>
      </w:r>
      <w:r>
        <w:t>lenalidomide</w:t>
      </w:r>
      <w:r w:rsidR="003B1509">
        <w:t xml:space="preserve"> monotherapy or </w:t>
      </w:r>
      <w:r w:rsidR="0035716C">
        <w:t>relapsed or refractory</w:t>
      </w:r>
      <w:r w:rsidR="003B1509">
        <w:t xml:space="preserve"> DLBCL. The objective was to provide an analysis of the efficacy of </w:t>
      </w:r>
      <w:r w:rsidR="00296972">
        <w:t>l</w:t>
      </w:r>
      <w:r w:rsidR="00296972" w:rsidRPr="00296972">
        <w:t>enalidomide</w:t>
      </w:r>
      <w:r>
        <w:t xml:space="preserve"> </w:t>
      </w:r>
      <w:r w:rsidR="003B1509">
        <w:t xml:space="preserve">for comparison with the results of combination </w:t>
      </w:r>
      <w:r>
        <w:t xml:space="preserve">of </w:t>
      </w:r>
      <w:r w:rsidR="00225B62">
        <w:t>tafasitamab</w:t>
      </w:r>
      <w:r>
        <w:t xml:space="preserve"> and lenalidomide</w:t>
      </w:r>
      <w:r w:rsidR="003B1509">
        <w:t xml:space="preserve"> therapy. The best </w:t>
      </w:r>
      <w:r w:rsidR="0035716C">
        <w:t>objective response rate</w:t>
      </w:r>
      <w:r w:rsidR="003B1509">
        <w:t xml:space="preserve"> was reported as 34.2% </w:t>
      </w:r>
      <w:r w:rsidR="003B1509">
        <w:lastRenderedPageBreak/>
        <w:t xml:space="preserve">with </w:t>
      </w:r>
      <w:r>
        <w:t>lenalidomide</w:t>
      </w:r>
      <w:r w:rsidR="003B1509">
        <w:t xml:space="preserve"> monotherapy, with </w:t>
      </w:r>
      <w:r w:rsidR="0035716C">
        <w:t>progression free survival</w:t>
      </w:r>
      <w:r w:rsidR="003B1509">
        <w:t xml:space="preserve"> of 4 months (95% CI</w:t>
      </w:r>
      <w:r>
        <w:t>:</w:t>
      </w:r>
      <w:r w:rsidR="003B1509">
        <w:t xml:space="preserve"> 3.1</w:t>
      </w:r>
      <w:r>
        <w:t xml:space="preserve">, </w:t>
      </w:r>
      <w:r w:rsidR="003B1509">
        <w:t xml:space="preserve">7.4) and </w:t>
      </w:r>
      <w:r w:rsidR="0035716C">
        <w:t>overall survival</w:t>
      </w:r>
      <w:r w:rsidR="003B1509">
        <w:t xml:space="preserve"> of 9.4 months (95%</w:t>
      </w:r>
      <w:r>
        <w:t xml:space="preserve"> </w:t>
      </w:r>
      <w:r w:rsidR="003B1509">
        <w:t>C</w:t>
      </w:r>
      <w:r>
        <w:t>I:</w:t>
      </w:r>
      <w:r w:rsidR="003B1509">
        <w:t xml:space="preserve"> 5.1</w:t>
      </w:r>
      <w:r>
        <w:t xml:space="preserve">, </w:t>
      </w:r>
      <w:r w:rsidR="003B1509">
        <w:t>20.0).</w:t>
      </w:r>
    </w:p>
    <w:p w14:paraId="575630BA" w14:textId="77777777" w:rsidR="003B1509" w:rsidRPr="007C23E8" w:rsidRDefault="003B1509" w:rsidP="003B1509">
      <w:pPr>
        <w:pStyle w:val="Heading4"/>
      </w:pPr>
      <w:bookmarkStart w:id="76" w:name="_Toc152160787"/>
      <w:bookmarkStart w:id="77" w:name="_Toc153375884"/>
      <w:r w:rsidRPr="007C23E8">
        <w:t>Safety</w:t>
      </w:r>
      <w:bookmarkEnd w:id="76"/>
      <w:bookmarkEnd w:id="77"/>
    </w:p>
    <w:p w14:paraId="176FF2B8" w14:textId="1CD3D776" w:rsidR="001A711A" w:rsidRPr="007C23E8" w:rsidRDefault="003B1509" w:rsidP="00FB3733">
      <w:r w:rsidRPr="007C23E8">
        <w:t xml:space="preserve">There were no dedicated safety studies for </w:t>
      </w:r>
      <w:r w:rsidR="00225B62" w:rsidRPr="007C23E8">
        <w:t>tafasitamab</w:t>
      </w:r>
      <w:r w:rsidRPr="007C23E8">
        <w:t xml:space="preserve">, and </w:t>
      </w:r>
      <w:r w:rsidR="00DD3D37" w:rsidRPr="007C23E8">
        <w:t>t</w:t>
      </w:r>
      <w:r w:rsidRPr="007C23E8">
        <w:t>he safety data is obtained from the submitted clinical studies.</w:t>
      </w:r>
    </w:p>
    <w:p w14:paraId="640789E8" w14:textId="7F38C09C" w:rsidR="00FB3733" w:rsidRDefault="00DD3D37" w:rsidP="00DD3D37">
      <w:pPr>
        <w:pStyle w:val="TableTitle"/>
      </w:pPr>
      <w:bookmarkStart w:id="78" w:name="_Ref152161651"/>
      <w:r>
        <w:t xml:space="preserve">Table </w:t>
      </w:r>
      <w:r w:rsidRPr="267A8B1F">
        <w:fldChar w:fldCharType="begin"/>
      </w:r>
      <w:r>
        <w:instrText xml:space="preserve"> SEQ Table \* ARABIC </w:instrText>
      </w:r>
      <w:r w:rsidRPr="267A8B1F">
        <w:fldChar w:fldCharType="separate"/>
      </w:r>
      <w:r w:rsidR="0062128D">
        <w:rPr>
          <w:noProof/>
        </w:rPr>
        <w:t>9</w:t>
      </w:r>
      <w:r w:rsidRPr="267A8B1F">
        <w:rPr>
          <w:noProof/>
        </w:rPr>
        <w:fldChar w:fldCharType="end"/>
      </w:r>
      <w:bookmarkEnd w:id="78"/>
      <w:r w:rsidR="00FB3733">
        <w:t>: Summary of patient exposure in submitted studies</w:t>
      </w:r>
    </w:p>
    <w:p w14:paraId="77FDA2E8" w14:textId="706930AE" w:rsidR="003B1509" w:rsidRPr="007C23E8" w:rsidRDefault="00B919DD" w:rsidP="00FB3733">
      <w:r>
        <w:rPr>
          <w:noProof/>
        </w:rPr>
        <w:drawing>
          <wp:inline distT="0" distB="0" distL="0" distR="0" wp14:anchorId="742B56BD" wp14:editId="3898B00C">
            <wp:extent cx="5759450" cy="2392680"/>
            <wp:effectExtent l="0" t="0" r="0" b="7620"/>
            <wp:docPr id="2" name="Picture 2" descr="Table 9: Summary of patient exposure in submitt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9: Summary of patient exposure in submitted studies"/>
                    <pic:cNvPicPr/>
                  </pic:nvPicPr>
                  <pic:blipFill>
                    <a:blip r:embed="rId31"/>
                    <a:stretch>
                      <a:fillRect/>
                    </a:stretch>
                  </pic:blipFill>
                  <pic:spPr>
                    <a:xfrm>
                      <a:off x="0" y="0"/>
                      <a:ext cx="5759450" cy="2392680"/>
                    </a:xfrm>
                    <a:prstGeom prst="rect">
                      <a:avLst/>
                    </a:prstGeom>
                  </pic:spPr>
                </pic:pic>
              </a:graphicData>
            </a:graphic>
          </wp:inline>
        </w:drawing>
      </w:r>
      <w:r w:rsidR="003B1509" w:rsidRPr="007C23E8">
        <w:t>The median days of treatment in this population was 232 days (mean of 532.5 days).</w:t>
      </w:r>
    </w:p>
    <w:p w14:paraId="675FDE5C" w14:textId="63E264FC" w:rsidR="00DD3D37" w:rsidRPr="007C23E8" w:rsidRDefault="003B1509" w:rsidP="00FB3733">
      <w:pPr>
        <w:pStyle w:val="Heading5"/>
      </w:pPr>
      <w:r w:rsidRPr="007C23E8">
        <w:t>Pivotal Study</w:t>
      </w:r>
    </w:p>
    <w:p w14:paraId="0CD7B68F" w14:textId="768F0280" w:rsidR="003B1509" w:rsidRDefault="00DD3D37" w:rsidP="00DD3D37">
      <w:pPr>
        <w:pStyle w:val="Heading6"/>
      </w:pPr>
      <w:r w:rsidRPr="007C23E8">
        <w:t>MOR208C03 (L-MIND trial)</w:t>
      </w:r>
    </w:p>
    <w:p w14:paraId="2BD4760E" w14:textId="41A87DD9" w:rsidR="00FF4558" w:rsidRDefault="003B1509" w:rsidP="00FF4558">
      <w:r w:rsidRPr="007C23E8">
        <w:t xml:space="preserve">The overall incidence of </w:t>
      </w:r>
      <w:r w:rsidR="0035716C" w:rsidRPr="007C23E8">
        <w:t>adverse events (</w:t>
      </w:r>
      <w:r w:rsidRPr="007C23E8">
        <w:t>AEs</w:t>
      </w:r>
      <w:r w:rsidR="0035716C" w:rsidRPr="007C23E8">
        <w:t>)</w:t>
      </w:r>
      <w:r w:rsidRPr="007C23E8">
        <w:t xml:space="preserve"> was 100%. Incidence was 98.8% during combination treatment and 85.0% during </w:t>
      </w:r>
      <w:r w:rsidR="00225B62" w:rsidRPr="007C23E8">
        <w:t>tafasitamab</w:t>
      </w:r>
      <w:r w:rsidRPr="007C23E8">
        <w:t xml:space="preserve"> monotherapy. Common AEs (those occurring with an incidence of</w:t>
      </w:r>
      <w:r w:rsidR="0035716C" w:rsidRPr="007C23E8">
        <w:t xml:space="preserve"> at least </w:t>
      </w:r>
      <w:r w:rsidRPr="007C23E8">
        <w:t xml:space="preserve">5% as of the 20 October 2020 </w:t>
      </w:r>
      <w:r w:rsidR="00DD3D37" w:rsidRPr="007C23E8">
        <w:t xml:space="preserve">data </w:t>
      </w:r>
      <w:r w:rsidRPr="007C23E8">
        <w:t xml:space="preserve">cut-off) are shown in </w:t>
      </w:r>
      <w:r w:rsidR="00C62BFD">
        <w:fldChar w:fldCharType="begin"/>
      </w:r>
      <w:r w:rsidR="00C62BFD">
        <w:instrText xml:space="preserve"> REF _Ref152150855 \h </w:instrText>
      </w:r>
      <w:r w:rsidR="00C62BFD">
        <w:fldChar w:fldCharType="separate"/>
      </w:r>
      <w:r w:rsidR="0062128D" w:rsidRPr="007C23E8">
        <w:t xml:space="preserve">Table </w:t>
      </w:r>
      <w:r w:rsidR="0062128D">
        <w:rPr>
          <w:noProof/>
        </w:rPr>
        <w:t>10</w:t>
      </w:r>
      <w:r w:rsidR="00C62BFD">
        <w:fldChar w:fldCharType="end"/>
      </w:r>
      <w:r w:rsidR="00FF4558" w:rsidRPr="007C23E8">
        <w:t xml:space="preserve"> below.</w:t>
      </w:r>
    </w:p>
    <w:p w14:paraId="00CB96CF" w14:textId="46F9D1FA" w:rsidR="00052472" w:rsidRDefault="00052472" w:rsidP="00052472">
      <w:pPr>
        <w:pStyle w:val="TableTitle"/>
        <w:rPr>
          <w:bCs/>
        </w:rPr>
      </w:pPr>
      <w:bookmarkStart w:id="79" w:name="_Ref152150855"/>
      <w:r w:rsidRPr="007C23E8">
        <w:lastRenderedPageBreak/>
        <w:t xml:space="preserve">Table </w:t>
      </w:r>
      <w:r>
        <w:fldChar w:fldCharType="begin"/>
      </w:r>
      <w:r>
        <w:instrText>SEQ Table \* ARABIC</w:instrText>
      </w:r>
      <w:r>
        <w:fldChar w:fldCharType="separate"/>
      </w:r>
      <w:r w:rsidR="0062128D">
        <w:rPr>
          <w:noProof/>
        </w:rPr>
        <w:t>10</w:t>
      </w:r>
      <w:r>
        <w:fldChar w:fldCharType="end"/>
      </w:r>
      <w:bookmarkEnd w:id="79"/>
      <w:r w:rsidRPr="007C23E8">
        <w:rPr>
          <w:bCs/>
        </w:rPr>
        <w:t>:</w:t>
      </w:r>
      <w:r w:rsidRPr="007C23E8">
        <w:t xml:space="preserve"> Study MOR208C03 (L-MIND trial) </w:t>
      </w:r>
      <w:r w:rsidRPr="00913DF8">
        <w:rPr>
          <w:bCs/>
        </w:rPr>
        <w:t xml:space="preserve">Treatment-emergent adverse events in </w:t>
      </w:r>
      <w:r w:rsidR="00D115B1">
        <w:rPr>
          <w:bCs/>
        </w:rPr>
        <w:t xml:space="preserve">at least </w:t>
      </w:r>
      <w:r w:rsidRPr="00913DF8">
        <w:rPr>
          <w:bCs/>
        </w:rPr>
        <w:t xml:space="preserve">5% </w:t>
      </w:r>
      <w:r w:rsidR="008A3241">
        <w:rPr>
          <w:bCs/>
        </w:rPr>
        <w:t>(</w:t>
      </w:r>
      <w:r w:rsidRPr="00913DF8">
        <w:rPr>
          <w:bCs/>
        </w:rPr>
        <w:t xml:space="preserve">Preferred Term) of patients </w:t>
      </w:r>
      <w:r>
        <w:rPr>
          <w:bCs/>
        </w:rPr>
        <w:t>(</w:t>
      </w:r>
      <w:r w:rsidRPr="00913DF8">
        <w:rPr>
          <w:bCs/>
        </w:rPr>
        <w:t>safety analysis set</w:t>
      </w:r>
      <w:r>
        <w:rPr>
          <w:bCs/>
        </w:rPr>
        <w:t>)</w:t>
      </w:r>
    </w:p>
    <w:p w14:paraId="1D652CDD" w14:textId="77777777" w:rsidR="00052472" w:rsidRDefault="00052472" w:rsidP="008C016C">
      <w:pPr>
        <w:rPr>
          <w:bCs/>
        </w:rPr>
      </w:pPr>
      <w:r>
        <w:rPr>
          <w:noProof/>
        </w:rPr>
        <w:drawing>
          <wp:inline distT="0" distB="0" distL="0" distR="0" wp14:anchorId="2AAEDCDD" wp14:editId="21C5BFD3">
            <wp:extent cx="5759450" cy="6354445"/>
            <wp:effectExtent l="0" t="0" r="0" b="8255"/>
            <wp:docPr id="18" name="Picture 18" descr="Table 10: Study MOR208C03 (L-MIND trial) Treatment-emergent adverse events in at least 5% (Preferred Term) of pati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10: Study MOR208C03 (L-MIND trial) Treatment-emergent adverse events in at least 5% (Preferred Term) of patients (safety analysis set)"/>
                    <pic:cNvPicPr/>
                  </pic:nvPicPr>
                  <pic:blipFill>
                    <a:blip r:embed="rId32"/>
                    <a:stretch>
                      <a:fillRect/>
                    </a:stretch>
                  </pic:blipFill>
                  <pic:spPr>
                    <a:xfrm>
                      <a:off x="0" y="0"/>
                      <a:ext cx="5759450" cy="6354445"/>
                    </a:xfrm>
                    <a:prstGeom prst="rect">
                      <a:avLst/>
                    </a:prstGeom>
                  </pic:spPr>
                </pic:pic>
              </a:graphicData>
            </a:graphic>
          </wp:inline>
        </w:drawing>
      </w:r>
    </w:p>
    <w:p w14:paraId="4D76CD76" w14:textId="77777777" w:rsidR="00052472" w:rsidRDefault="00052472" w:rsidP="00052472">
      <w:pPr>
        <w:pStyle w:val="TableTitle"/>
      </w:pPr>
      <w:r>
        <w:br w:type="page"/>
      </w:r>
    </w:p>
    <w:p w14:paraId="61B50F87" w14:textId="06FED5B2" w:rsidR="00052472" w:rsidRDefault="00052472" w:rsidP="00052472">
      <w:pPr>
        <w:pStyle w:val="TableTitle"/>
        <w:rPr>
          <w:bCs/>
        </w:rPr>
      </w:pPr>
      <w:r>
        <w:lastRenderedPageBreak/>
        <w:fldChar w:fldCharType="begin"/>
      </w:r>
      <w:r>
        <w:instrText xml:space="preserve"> REF _Ref152150855 \h </w:instrText>
      </w:r>
      <w:r>
        <w:fldChar w:fldCharType="separate"/>
      </w:r>
      <w:r w:rsidR="0062128D" w:rsidRPr="007C23E8">
        <w:t xml:space="preserve">Table </w:t>
      </w:r>
      <w:r w:rsidR="0062128D">
        <w:rPr>
          <w:noProof/>
        </w:rPr>
        <w:t>10</w:t>
      </w:r>
      <w:r>
        <w:fldChar w:fldCharType="end"/>
      </w:r>
      <w:r>
        <w:t xml:space="preserve"> continued: </w:t>
      </w:r>
      <w:r w:rsidRPr="007C23E8">
        <w:t xml:space="preserve">Study MOR208C03 (L-MIND trial) </w:t>
      </w:r>
      <w:r w:rsidRPr="00913DF8">
        <w:rPr>
          <w:bCs/>
        </w:rPr>
        <w:t>Treatment-emergent adverse events in</w:t>
      </w:r>
      <w:r w:rsidR="00B14867">
        <w:rPr>
          <w:bCs/>
        </w:rPr>
        <w:t xml:space="preserve"> at least </w:t>
      </w:r>
      <w:r w:rsidRPr="00913DF8">
        <w:rPr>
          <w:bCs/>
        </w:rPr>
        <w:t xml:space="preserve">5% (Preferred Term) of patients </w:t>
      </w:r>
      <w:r>
        <w:rPr>
          <w:bCs/>
        </w:rPr>
        <w:t>(</w:t>
      </w:r>
      <w:r w:rsidRPr="00913DF8">
        <w:rPr>
          <w:bCs/>
        </w:rPr>
        <w:t>safety analysis set</w:t>
      </w:r>
      <w:r>
        <w:rPr>
          <w:bCs/>
        </w:rPr>
        <w:t>)</w:t>
      </w:r>
    </w:p>
    <w:p w14:paraId="7A21A686" w14:textId="77777777" w:rsidR="00052472" w:rsidRDefault="00052472" w:rsidP="008C016C">
      <w:pPr>
        <w:rPr>
          <w:bCs/>
        </w:rPr>
      </w:pPr>
      <w:r>
        <w:rPr>
          <w:noProof/>
        </w:rPr>
        <w:drawing>
          <wp:inline distT="0" distB="0" distL="0" distR="0" wp14:anchorId="08212CCA" wp14:editId="60779DEB">
            <wp:extent cx="5759450" cy="8282940"/>
            <wp:effectExtent l="0" t="0" r="0" b="3810"/>
            <wp:docPr id="1" name="Picture 1" descr="Table 10 continued: Study MOR208C03 (L-MIND trial) Treatment-emergent adverse events in at least 5% (Preferred Term) of pati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10 continued: Study MOR208C03 (L-MIND trial) Treatment-emergent adverse events in at least 5% (Preferred Term) of patients (safety analysis set)"/>
                    <pic:cNvPicPr/>
                  </pic:nvPicPr>
                  <pic:blipFill>
                    <a:blip r:embed="rId33"/>
                    <a:stretch>
                      <a:fillRect/>
                    </a:stretch>
                  </pic:blipFill>
                  <pic:spPr>
                    <a:xfrm>
                      <a:off x="0" y="0"/>
                      <a:ext cx="5759450" cy="8282940"/>
                    </a:xfrm>
                    <a:prstGeom prst="rect">
                      <a:avLst/>
                    </a:prstGeom>
                  </pic:spPr>
                </pic:pic>
              </a:graphicData>
            </a:graphic>
          </wp:inline>
        </w:drawing>
      </w:r>
    </w:p>
    <w:p w14:paraId="77FE65E0" w14:textId="77777777" w:rsidR="00052472" w:rsidRPr="00294F54" w:rsidRDefault="00052472" w:rsidP="00052472">
      <w:pPr>
        <w:pStyle w:val="TableDescription"/>
      </w:pPr>
      <w:r>
        <w:t>Abbreviation:</w:t>
      </w:r>
      <w:r w:rsidRPr="00294F54">
        <w:t xml:space="preserve"> </w:t>
      </w:r>
      <w:r w:rsidRPr="003B791E">
        <w:t xml:space="preserve">N = </w:t>
      </w:r>
      <w:r>
        <w:t xml:space="preserve">total </w:t>
      </w:r>
      <w:r w:rsidRPr="003B791E">
        <w:t>number of patients</w:t>
      </w:r>
      <w:r>
        <w:t>.</w:t>
      </w:r>
    </w:p>
    <w:p w14:paraId="759744AC" w14:textId="77777777" w:rsidR="00052472" w:rsidRPr="00294F54" w:rsidRDefault="00052472" w:rsidP="00052472">
      <w:pPr>
        <w:pStyle w:val="TableDescription"/>
      </w:pPr>
      <w:r w:rsidRPr="00294F54">
        <w:lastRenderedPageBreak/>
        <w:t>Patients were counted once per System Organ Class and Preferred Term.</w:t>
      </w:r>
    </w:p>
    <w:p w14:paraId="473275E4" w14:textId="77777777" w:rsidR="00052472" w:rsidRPr="00294F54" w:rsidRDefault="00052472" w:rsidP="00052472">
      <w:pPr>
        <w:pStyle w:val="TableDescription"/>
      </w:pPr>
      <w:r w:rsidRPr="00294F54">
        <w:t>Medical Dictionary for Regulatory Activities Version 21.0.</w:t>
      </w:r>
    </w:p>
    <w:p w14:paraId="75E18BF5" w14:textId="77777777" w:rsidR="00052472" w:rsidRPr="00294F54" w:rsidRDefault="00052472" w:rsidP="00052472">
      <w:pPr>
        <w:pStyle w:val="TableDescription"/>
      </w:pPr>
      <w:r w:rsidRPr="00294F54">
        <w:t xml:space="preserve">Sorted in descending order of frequency in by </w:t>
      </w:r>
      <w:r>
        <w:t>System Organ Class</w:t>
      </w:r>
      <w:r w:rsidRPr="00294F54">
        <w:t xml:space="preserve">, Preferred Term within </w:t>
      </w:r>
      <w:r>
        <w:t>System Organ Class</w:t>
      </w:r>
      <w:r w:rsidRPr="00294F54">
        <w:t>, then alphabetically.</w:t>
      </w:r>
    </w:p>
    <w:p w14:paraId="68C337ED" w14:textId="77777777" w:rsidR="00052472" w:rsidRPr="00294F54" w:rsidRDefault="00052472" w:rsidP="00052472">
      <w:pPr>
        <w:pStyle w:val="TableDescription"/>
      </w:pPr>
      <w:r w:rsidRPr="00294F54">
        <w:t xml:space="preserve">a. Overall includes </w:t>
      </w:r>
      <w:r>
        <w:t>adverse events (</w:t>
      </w:r>
      <w:r w:rsidRPr="00294F54">
        <w:t>AEs</w:t>
      </w:r>
      <w:r>
        <w:t>)</w:t>
      </w:r>
      <w:r w:rsidRPr="00294F54">
        <w:t xml:space="preserve"> starting during the entire on-treatment phase; the combination Therapy phase includes AEs</w:t>
      </w:r>
      <w:r>
        <w:t xml:space="preserve"> </w:t>
      </w:r>
      <w:r w:rsidRPr="00294F54">
        <w:t xml:space="preserve">starting between the start of the on-treatment phase and the last date of treatment with </w:t>
      </w:r>
      <w:r w:rsidRPr="003866E6">
        <w:t>lenalidomide</w:t>
      </w:r>
      <w:r>
        <w:t xml:space="preserve"> </w:t>
      </w:r>
      <w:r w:rsidRPr="00294F54">
        <w:t>+ 30 days; and the</w:t>
      </w:r>
    </w:p>
    <w:p w14:paraId="24457E1A" w14:textId="77777777" w:rsidR="00052472" w:rsidRPr="00294F54" w:rsidRDefault="00052472" w:rsidP="00052472">
      <w:pPr>
        <w:pStyle w:val="TableDescription"/>
      </w:pPr>
      <w:r w:rsidRPr="00294F54">
        <w:t xml:space="preserve">Extended Tafasitamab Monotherapy phase includes AEs starting after the last date of treatment with </w:t>
      </w:r>
      <w:r w:rsidRPr="003866E6">
        <w:t>lenalidomide</w:t>
      </w:r>
      <w:r>
        <w:t xml:space="preserve"> </w:t>
      </w:r>
      <w:r w:rsidRPr="00294F54">
        <w:t>+ 30 days</w:t>
      </w:r>
      <w:r>
        <w:t xml:space="preserve"> </w:t>
      </w:r>
      <w:r w:rsidRPr="00294F54">
        <w:t>through the end of the on-treatment phase. Planned treatment is twelve 28-day cycles of combination therapy</w:t>
      </w:r>
      <w:r>
        <w:t xml:space="preserve"> </w:t>
      </w:r>
      <w:r w:rsidRPr="00294F54">
        <w:t>followed by extended tafasitamab monotherapy until progressive disease or unacceptable toxicity or study</w:t>
      </w:r>
      <w:r>
        <w:t xml:space="preserve"> </w:t>
      </w:r>
      <w:r w:rsidRPr="00294F54">
        <w:t>discontinuation for any reason.</w:t>
      </w:r>
    </w:p>
    <w:p w14:paraId="190380B7" w14:textId="77777777" w:rsidR="00052472" w:rsidRPr="00294F54" w:rsidRDefault="00052472" w:rsidP="00052472">
      <w:pPr>
        <w:pStyle w:val="TableDescription"/>
      </w:pPr>
      <w:r w:rsidRPr="00294F54">
        <w:t xml:space="preserve">b. One patient received infusions of tafasitamab on Days 1 and 4 of Cycle 1, but </w:t>
      </w:r>
      <w:r>
        <w:t>l</w:t>
      </w:r>
      <w:r w:rsidRPr="003B791E">
        <w:t xml:space="preserve">enalidomide </w:t>
      </w:r>
      <w:r w:rsidRPr="00294F54">
        <w:t>was not administered</w:t>
      </w:r>
      <w:r>
        <w:t xml:space="preserve"> </w:t>
      </w:r>
      <w:r w:rsidRPr="00294F54">
        <w:t>due to acute kidney injury at the time of treatment, and the patient discontinued the study treatment after Cycle 1</w:t>
      </w:r>
      <w:r>
        <w:t xml:space="preserve"> </w:t>
      </w:r>
      <w:r w:rsidRPr="00294F54">
        <w:t>Day</w:t>
      </w:r>
      <w:r>
        <w:t> </w:t>
      </w:r>
      <w:r w:rsidRPr="00294F54">
        <w:t>4.</w:t>
      </w:r>
    </w:p>
    <w:p w14:paraId="366DBB15" w14:textId="77777777" w:rsidR="00052472" w:rsidRPr="00294F54" w:rsidRDefault="00052472" w:rsidP="00052472">
      <w:pPr>
        <w:pStyle w:val="TableDescription"/>
      </w:pPr>
      <w:r>
        <w:t xml:space="preserve">Data cut-off: </w:t>
      </w:r>
      <w:r w:rsidRPr="00294F54">
        <w:t>30 Oct</w:t>
      </w:r>
      <w:r>
        <w:t>ober</w:t>
      </w:r>
      <w:r w:rsidRPr="00294F54">
        <w:t>2020</w:t>
      </w:r>
      <w:r>
        <w:t>.</w:t>
      </w:r>
    </w:p>
    <w:p w14:paraId="37449E46" w14:textId="10C1CE61" w:rsidR="003B1509" w:rsidRPr="007C23E8" w:rsidRDefault="003B1509" w:rsidP="00FB3733">
      <w:r w:rsidRPr="007C23E8">
        <w:t>The most common AEs were:</w:t>
      </w:r>
    </w:p>
    <w:p w14:paraId="5E78A66A" w14:textId="587B4D08" w:rsidR="003B1509" w:rsidRPr="007C23E8" w:rsidRDefault="00DD3D37" w:rsidP="00FB3733">
      <w:pPr>
        <w:pStyle w:val="ListBullet"/>
        <w:numPr>
          <w:ilvl w:val="0"/>
          <w:numId w:val="16"/>
        </w:numPr>
      </w:pPr>
      <w:r w:rsidRPr="007C23E8">
        <w:t>haematological: neutropenia (50.6%), anaemia (37.0%), thrombocytopaenia (30.9%)</w:t>
      </w:r>
    </w:p>
    <w:p w14:paraId="5595192F" w14:textId="4939A81A" w:rsidR="003B1509" w:rsidRPr="007C23E8" w:rsidRDefault="00DD3D37" w:rsidP="00FB3733">
      <w:pPr>
        <w:pStyle w:val="ListBullet"/>
      </w:pPr>
      <w:r w:rsidRPr="007C23E8">
        <w:t>gastrointestinal: diarrhoea (35.8%), decreased appetite (22.2%)</w:t>
      </w:r>
    </w:p>
    <w:p w14:paraId="53F3F065" w14:textId="2CFEE42B" w:rsidR="003B1509" w:rsidRPr="007C23E8" w:rsidRDefault="00DD3D37" w:rsidP="00FB3733">
      <w:pPr>
        <w:pStyle w:val="ListBullet"/>
      </w:pPr>
      <w:r w:rsidRPr="007C23E8">
        <w:t>general disorders: asthenia (24.7%), peripheral oedema (23.5%) and pyrexia (23.5%)</w:t>
      </w:r>
    </w:p>
    <w:p w14:paraId="505A481A" w14:textId="6D464478" w:rsidR="003B1509" w:rsidRPr="007C23E8" w:rsidRDefault="00DD3D37" w:rsidP="00FB3733">
      <w:pPr>
        <w:pStyle w:val="ListBullet"/>
      </w:pPr>
      <w:r w:rsidRPr="007C23E8">
        <w:t>respiratory: cough (27.2%)</w:t>
      </w:r>
    </w:p>
    <w:p w14:paraId="328CFF7D" w14:textId="2CD67B64" w:rsidR="003B1509" w:rsidRPr="007C23E8" w:rsidRDefault="00DD3D37" w:rsidP="00FB3733">
      <w:pPr>
        <w:pStyle w:val="ListBullet"/>
      </w:pPr>
      <w:r w:rsidRPr="007C23E8">
        <w:t>infections: all types combined (72.8%).</w:t>
      </w:r>
    </w:p>
    <w:p w14:paraId="6632236B" w14:textId="77777777" w:rsidR="003B1509" w:rsidRPr="007C23E8" w:rsidRDefault="003B1509" w:rsidP="00730940">
      <w:r w:rsidRPr="007C23E8">
        <w:t>The incidence of most AE terms was lower during extended monotherapy treatment phase than during the initial combination therapy phase.</w:t>
      </w:r>
    </w:p>
    <w:p w14:paraId="1E12F986" w14:textId="5AFD21BB" w:rsidR="003B1509" w:rsidRPr="007C23E8" w:rsidRDefault="003B1509" w:rsidP="00730940">
      <w:r w:rsidRPr="007C23E8">
        <w:t xml:space="preserve">Haematological AEs were the </w:t>
      </w:r>
      <w:proofErr w:type="gramStart"/>
      <w:r w:rsidRPr="007C23E8">
        <w:t>most commonly observed</w:t>
      </w:r>
      <w:proofErr w:type="gramEnd"/>
      <w:r w:rsidRPr="007C23E8">
        <w:t xml:space="preserve"> </w:t>
      </w:r>
      <w:r w:rsidR="00DD3D37" w:rsidRPr="007C23E8">
        <w:t xml:space="preserve">Grade </w:t>
      </w:r>
      <w:r w:rsidRPr="007C23E8">
        <w:t>≥ 3 events</w:t>
      </w:r>
      <w:r w:rsidR="00FF4558" w:rsidRPr="007C23E8">
        <w:t>, with</w:t>
      </w:r>
      <w:r w:rsidRPr="007C23E8">
        <w:t xml:space="preserve"> neutropenia (49.4%), febrile neutropenia (12.3%) and thrombocytopaenia (17.3%) being the most common. Grade ≥ 3 infections were reported in 29.6% of subjects with pneumonia being the </w:t>
      </w:r>
      <w:proofErr w:type="gramStart"/>
      <w:r w:rsidRPr="007C23E8">
        <w:t>most commonly reported</w:t>
      </w:r>
      <w:proofErr w:type="gramEnd"/>
      <w:r w:rsidRPr="007C23E8">
        <w:t xml:space="preserve"> AE (9.9%)</w:t>
      </w:r>
    </w:p>
    <w:p w14:paraId="58FB3C7B" w14:textId="7F5FD513" w:rsidR="003B1509" w:rsidRPr="007C23E8" w:rsidRDefault="003B1509" w:rsidP="00730940">
      <w:r w:rsidRPr="007C23E8">
        <w:t>The overall incidence of serious AEs (including fatal AEs) was 26.2%.</w:t>
      </w:r>
      <w:r w:rsidR="001A711A" w:rsidRPr="007C23E8">
        <w:t xml:space="preserve"> </w:t>
      </w:r>
      <w:r w:rsidRPr="007C23E8">
        <w:t xml:space="preserve">Serious AEs that were reported in more than </w:t>
      </w:r>
      <w:r w:rsidR="00DD3D37" w:rsidRPr="007C23E8">
        <w:t>one</w:t>
      </w:r>
      <w:r w:rsidRPr="007C23E8">
        <w:t xml:space="preserve"> subject were:</w:t>
      </w:r>
    </w:p>
    <w:p w14:paraId="394C1A5E" w14:textId="78DE003D" w:rsidR="003B1509" w:rsidRPr="007C23E8" w:rsidRDefault="00DD3D37" w:rsidP="00730940">
      <w:pPr>
        <w:pStyle w:val="ListBullet"/>
        <w:numPr>
          <w:ilvl w:val="0"/>
          <w:numId w:val="16"/>
        </w:numPr>
      </w:pPr>
      <w:r w:rsidRPr="007C23E8">
        <w:t>pneumonia (2.8%)</w:t>
      </w:r>
    </w:p>
    <w:p w14:paraId="379C6044" w14:textId="05509231" w:rsidR="003B1509" w:rsidRPr="007C23E8" w:rsidRDefault="00DD3D37" w:rsidP="00730940">
      <w:pPr>
        <w:pStyle w:val="ListBullet"/>
      </w:pPr>
      <w:r w:rsidRPr="007C23E8">
        <w:t>sepsis (2.1%)</w:t>
      </w:r>
    </w:p>
    <w:p w14:paraId="0525DB8F" w14:textId="01981043" w:rsidR="003B1509" w:rsidRPr="007C23E8" w:rsidRDefault="00DD3D37" w:rsidP="00730940">
      <w:pPr>
        <w:pStyle w:val="ListBullet"/>
      </w:pPr>
      <w:r w:rsidRPr="007C23E8">
        <w:t>herpes zoster (1.4%)</w:t>
      </w:r>
    </w:p>
    <w:p w14:paraId="1864C209" w14:textId="45BFE776" w:rsidR="003B1509" w:rsidRPr="007C23E8" w:rsidRDefault="00DD3D37" w:rsidP="00730940">
      <w:pPr>
        <w:pStyle w:val="ListBullet"/>
      </w:pPr>
      <w:r w:rsidRPr="007C23E8">
        <w:t>febrile neutropenia (4.3%)</w:t>
      </w:r>
    </w:p>
    <w:p w14:paraId="6C7498E0" w14:textId="496FC3DD" w:rsidR="003B1509" w:rsidRPr="007C23E8" w:rsidRDefault="00DD3D37" w:rsidP="00730940">
      <w:pPr>
        <w:pStyle w:val="ListBullet"/>
      </w:pPr>
      <w:r w:rsidRPr="007C23E8">
        <w:t>anaemia (1.4%)</w:t>
      </w:r>
    </w:p>
    <w:p w14:paraId="5019BFC3" w14:textId="7E48DDF8" w:rsidR="003B1509" w:rsidRPr="007C23E8" w:rsidRDefault="00DD3D37" w:rsidP="00730940">
      <w:pPr>
        <w:pStyle w:val="ListBullet"/>
      </w:pPr>
      <w:r w:rsidRPr="007C23E8">
        <w:t>pyrexia (2.8%)</w:t>
      </w:r>
    </w:p>
    <w:p w14:paraId="06DE7562" w14:textId="442299F9" w:rsidR="003B1509" w:rsidRPr="007C23E8" w:rsidRDefault="00DD3D37" w:rsidP="00730940">
      <w:pPr>
        <w:pStyle w:val="ListBullet"/>
      </w:pPr>
      <w:r w:rsidRPr="007C23E8">
        <w:t>acute kidney injury (1.4%)</w:t>
      </w:r>
    </w:p>
    <w:p w14:paraId="1F49E667" w14:textId="3916A03D" w:rsidR="003B1509" w:rsidRPr="007C23E8" w:rsidRDefault="00DD3D37" w:rsidP="00730940">
      <w:pPr>
        <w:pStyle w:val="ListBullet"/>
      </w:pPr>
      <w:r w:rsidRPr="007C23E8">
        <w:t>tumour lysis syndrome (2.1%).</w:t>
      </w:r>
    </w:p>
    <w:p w14:paraId="5DAE3730" w14:textId="5A751BD5" w:rsidR="003B1509" w:rsidRPr="007C23E8" w:rsidRDefault="003B1509" w:rsidP="00730940">
      <w:r w:rsidRPr="007C23E8">
        <w:t xml:space="preserve">The </w:t>
      </w:r>
      <w:r w:rsidR="006A45BF" w:rsidRPr="007C23E8">
        <w:t>clinical evaluation</w:t>
      </w:r>
      <w:r w:rsidRPr="007C23E8">
        <w:t xml:space="preserve"> </w:t>
      </w:r>
      <w:r w:rsidR="00DD3D37" w:rsidRPr="007C23E8">
        <w:t>has</w:t>
      </w:r>
      <w:r w:rsidRPr="007C23E8">
        <w:t xml:space="preserve"> noted that combination therapy is associated with a high rate of toxicity</w:t>
      </w:r>
      <w:r w:rsidR="00DD3D37" w:rsidRPr="007C23E8">
        <w:t>, these include</w:t>
      </w:r>
    </w:p>
    <w:p w14:paraId="7F880646" w14:textId="610484F3" w:rsidR="003B1509" w:rsidRPr="007C23E8" w:rsidRDefault="003B1509" w:rsidP="00730940">
      <w:pPr>
        <w:pStyle w:val="ListBullet"/>
        <w:numPr>
          <w:ilvl w:val="0"/>
          <w:numId w:val="16"/>
        </w:numPr>
      </w:pPr>
      <w:r w:rsidRPr="007C23E8">
        <w:t>Grade ≥ 3 AEs:</w:t>
      </w:r>
      <w:r w:rsidR="00BA364F" w:rsidRPr="007C23E8">
        <w:t xml:space="preserve"> </w:t>
      </w:r>
      <w:r w:rsidRPr="007C23E8">
        <w:t>77.8%</w:t>
      </w:r>
    </w:p>
    <w:p w14:paraId="2065A378" w14:textId="056D53FE" w:rsidR="003B1509" w:rsidRPr="007C23E8" w:rsidRDefault="003B1509" w:rsidP="00730940">
      <w:pPr>
        <w:pStyle w:val="ListBullet"/>
      </w:pPr>
      <w:r w:rsidRPr="007C23E8">
        <w:t>Grade ≥ 3 treatment-related AEs:</w:t>
      </w:r>
      <w:r w:rsidR="00BA364F" w:rsidRPr="007C23E8">
        <w:t xml:space="preserve"> </w:t>
      </w:r>
      <w:r w:rsidRPr="007C23E8">
        <w:t>56.8%</w:t>
      </w:r>
    </w:p>
    <w:p w14:paraId="763CE5C4" w14:textId="2D7AB4CF" w:rsidR="003B1509" w:rsidRPr="007C23E8" w:rsidRDefault="00DD3D37" w:rsidP="00730940">
      <w:pPr>
        <w:pStyle w:val="ListBullet"/>
      </w:pPr>
      <w:r w:rsidRPr="007C23E8">
        <w:lastRenderedPageBreak/>
        <w:t>s</w:t>
      </w:r>
      <w:r w:rsidR="003B1509" w:rsidRPr="007C23E8">
        <w:t>erious AEs:</w:t>
      </w:r>
      <w:r w:rsidR="00BA364F" w:rsidRPr="007C23E8">
        <w:t xml:space="preserve"> </w:t>
      </w:r>
      <w:r w:rsidR="003B1509" w:rsidRPr="007C23E8">
        <w:t>53.1%</w:t>
      </w:r>
    </w:p>
    <w:p w14:paraId="194792BB" w14:textId="6703D2AF" w:rsidR="003B1509" w:rsidRPr="007C23E8" w:rsidRDefault="00DD3D37" w:rsidP="00730940">
      <w:pPr>
        <w:pStyle w:val="ListBullet"/>
      </w:pPr>
      <w:r w:rsidRPr="007C23E8">
        <w:t>s</w:t>
      </w:r>
      <w:r w:rsidR="003B1509" w:rsidRPr="007C23E8">
        <w:t>erious treatment-related AEs:</w:t>
      </w:r>
      <w:r w:rsidR="00BA364F" w:rsidRPr="007C23E8">
        <w:t xml:space="preserve"> </w:t>
      </w:r>
      <w:r w:rsidR="003B1509" w:rsidRPr="007C23E8">
        <w:t>21.0%</w:t>
      </w:r>
      <w:r w:rsidRPr="007C23E8">
        <w:t>.</w:t>
      </w:r>
    </w:p>
    <w:p w14:paraId="69D4D397" w14:textId="1A58D1D0" w:rsidR="003B1509" w:rsidRPr="007C23E8" w:rsidRDefault="00DD3D37" w:rsidP="00730940">
      <w:r w:rsidRPr="007C23E8">
        <w:t>Adverse events</w:t>
      </w:r>
      <w:r w:rsidR="003B1509" w:rsidRPr="007C23E8">
        <w:t xml:space="preserve"> leading to discontinuation of </w:t>
      </w:r>
      <w:r w:rsidR="00225B62" w:rsidRPr="007C23E8">
        <w:t>tafasitamab</w:t>
      </w:r>
      <w:r w:rsidR="003B1509" w:rsidRPr="007C23E8">
        <w:t xml:space="preserve"> or lenalidomide occurred in 24.7% of subjects.</w:t>
      </w:r>
    </w:p>
    <w:p w14:paraId="2F6EEEA9" w14:textId="570485B0" w:rsidR="001A711A" w:rsidRPr="007C23E8" w:rsidRDefault="003B1509" w:rsidP="003B1509">
      <w:r w:rsidRPr="007C23E8">
        <w:t>However</w:t>
      </w:r>
      <w:r w:rsidR="00DD3D37" w:rsidRPr="007C23E8">
        <w:t>,</w:t>
      </w:r>
      <w:r w:rsidRPr="007C23E8">
        <w:t xml:space="preserve"> the </w:t>
      </w:r>
      <w:r w:rsidR="006A45BF" w:rsidRPr="007C23E8">
        <w:t xml:space="preserve">clinical evaluation </w:t>
      </w:r>
      <w:r w:rsidRPr="007C23E8">
        <w:t xml:space="preserve">has advised that in the context of </w:t>
      </w:r>
      <w:r w:rsidR="0035716C" w:rsidRPr="007C23E8">
        <w:t>relapsed or refractory</w:t>
      </w:r>
      <w:r w:rsidRPr="007C23E8">
        <w:t xml:space="preserve"> DLBCL for which </w:t>
      </w:r>
      <w:r w:rsidR="00AC5A67" w:rsidRPr="007C23E8">
        <w:t>high dose chemotherapy</w:t>
      </w:r>
      <w:r w:rsidRPr="007C23E8">
        <w:t>/ASCT is not a possibility, toxicity is not so severe to warrant not approving the application.</w:t>
      </w:r>
    </w:p>
    <w:p w14:paraId="2858B006" w14:textId="1D203AC3" w:rsidR="00C22214" w:rsidRPr="007C23E8" w:rsidRDefault="00C22214" w:rsidP="00C22214">
      <w:pPr>
        <w:pStyle w:val="Heading3"/>
        <w:rPr>
          <w:lang w:eastAsia="en-AU"/>
        </w:rPr>
      </w:pPr>
      <w:bookmarkStart w:id="80" w:name="_Toc103679298"/>
      <w:bookmarkStart w:id="81" w:name="_Toc152160788"/>
      <w:bookmarkStart w:id="82" w:name="_Toc153375885"/>
      <w:r w:rsidRPr="007C23E8">
        <w:rPr>
          <w:lang w:eastAsia="en-AU"/>
        </w:rPr>
        <w:t>Risk management plan</w:t>
      </w:r>
      <w:bookmarkEnd w:id="70"/>
      <w:bookmarkEnd w:id="80"/>
      <w:bookmarkEnd w:id="81"/>
      <w:bookmarkEnd w:id="82"/>
    </w:p>
    <w:p w14:paraId="39F3CD1D" w14:textId="692FAD6D" w:rsidR="0072003B" w:rsidRPr="007C23E8" w:rsidRDefault="00C22214" w:rsidP="009D3D57">
      <w:bookmarkStart w:id="83" w:name="_Toc247691531"/>
      <w:bookmarkStart w:id="84" w:name="_Toc314842515"/>
      <w:r w:rsidRPr="007C23E8">
        <w:t>The summary of safety concerns and their associated risk monitoring and mitigation strategies are summarised in</w:t>
      </w:r>
      <w:r w:rsidR="003B149C" w:rsidRPr="007C23E8">
        <w:t xml:space="preserve"> </w:t>
      </w:r>
      <w:r w:rsidR="003B149C" w:rsidRPr="007C23E8">
        <w:fldChar w:fldCharType="begin"/>
      </w:r>
      <w:r w:rsidR="003B149C" w:rsidRPr="007C23E8">
        <w:instrText xml:space="preserve"> REF _Ref97629131 \h  \* MERGEFORMAT </w:instrText>
      </w:r>
      <w:r w:rsidR="003B149C" w:rsidRPr="007C23E8">
        <w:fldChar w:fldCharType="separate"/>
      </w:r>
      <w:r w:rsidR="0062128D" w:rsidRPr="007C23E8">
        <w:t xml:space="preserve">Table </w:t>
      </w:r>
      <w:r w:rsidR="0062128D">
        <w:t>11</w:t>
      </w:r>
      <w:r w:rsidR="003B149C" w:rsidRPr="007C23E8">
        <w:fldChar w:fldCharType="end"/>
      </w:r>
      <w:r w:rsidR="008C49C6" w:rsidRPr="007C23E8">
        <w:t>.</w:t>
      </w:r>
      <w:r w:rsidR="0072003B" w:rsidRPr="007C23E8">
        <w:t xml:space="preserve"> The TGA</w:t>
      </w:r>
      <w:r w:rsidR="00C07551" w:rsidRPr="007C23E8">
        <w:t xml:space="preserve"> may</w:t>
      </w:r>
      <w:r w:rsidR="0072003B" w:rsidRPr="007C23E8">
        <w:t xml:space="preserve"> request an updated </w:t>
      </w:r>
      <w:r w:rsidR="0035716C" w:rsidRPr="007C23E8">
        <w:t>risk management plan (</w:t>
      </w:r>
      <w:r w:rsidR="0072003B" w:rsidRPr="007C23E8">
        <w:t>RMP</w:t>
      </w:r>
      <w:r w:rsidR="0035716C" w:rsidRPr="007C23E8">
        <w:t>)</w:t>
      </w:r>
      <w:r w:rsidR="0072003B" w:rsidRPr="007C23E8">
        <w:t xml:space="preserve"> at any stage of a product's </w:t>
      </w:r>
      <w:proofErr w:type="gramStart"/>
      <w:r w:rsidR="0072003B" w:rsidRPr="007C23E8">
        <w:t>life-cycle</w:t>
      </w:r>
      <w:proofErr w:type="gramEnd"/>
      <w:r w:rsidR="0072003B" w:rsidRPr="007C23E8">
        <w:t>, during both the pre-approval and post-approval phases.</w:t>
      </w:r>
    </w:p>
    <w:p w14:paraId="0E7D3ADC" w14:textId="4CC42ED5" w:rsidR="00127A74" w:rsidRPr="007C23E8" w:rsidRDefault="00C22214" w:rsidP="009D3D57">
      <w:pPr>
        <w:pStyle w:val="TableTitle"/>
      </w:pPr>
      <w:bookmarkStart w:id="85" w:name="_Ref97629131"/>
      <w:r w:rsidRPr="007C23E8">
        <w:t xml:space="preserve">Table </w:t>
      </w:r>
      <w:r>
        <w:fldChar w:fldCharType="begin"/>
      </w:r>
      <w:r>
        <w:instrText>SEQ Table \* ARABIC</w:instrText>
      </w:r>
      <w:r>
        <w:fldChar w:fldCharType="separate"/>
      </w:r>
      <w:r w:rsidR="0062128D">
        <w:rPr>
          <w:noProof/>
        </w:rPr>
        <w:t>11</w:t>
      </w:r>
      <w:r>
        <w:fldChar w:fldCharType="end"/>
      </w:r>
      <w:bookmarkEnd w:id="85"/>
      <w:r w:rsidRPr="007C23E8">
        <w:t>: Summary of safety concerns</w:t>
      </w:r>
    </w:p>
    <w:tbl>
      <w:tblPr>
        <w:tblStyle w:val="TableTGAblue2023"/>
        <w:tblW w:w="9067" w:type="dxa"/>
        <w:tblLayout w:type="fixed"/>
        <w:tblLook w:val="04A0" w:firstRow="1" w:lastRow="0" w:firstColumn="1" w:lastColumn="0" w:noHBand="0" w:noVBand="1"/>
      </w:tblPr>
      <w:tblGrid>
        <w:gridCol w:w="1555"/>
        <w:gridCol w:w="2409"/>
        <w:gridCol w:w="1134"/>
        <w:gridCol w:w="1418"/>
        <w:gridCol w:w="1134"/>
        <w:gridCol w:w="1417"/>
      </w:tblGrid>
      <w:tr w:rsidR="00127A74" w:rsidRPr="007C23E8" w14:paraId="359A0C59" w14:textId="77777777" w:rsidTr="00E91F11">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24B1F090" w14:textId="77777777" w:rsidR="00127A74" w:rsidRPr="007C23E8" w:rsidRDefault="00127A74" w:rsidP="00127A74">
            <w:r w:rsidRPr="007C23E8">
              <w:t>Summary of safety concerns</w:t>
            </w:r>
          </w:p>
        </w:tc>
        <w:tc>
          <w:tcPr>
            <w:tcW w:w="2552" w:type="dxa"/>
            <w:gridSpan w:val="2"/>
          </w:tcPr>
          <w:p w14:paraId="596694C9" w14:textId="77777777" w:rsidR="00127A74" w:rsidRPr="007C23E8" w:rsidRDefault="00127A74" w:rsidP="00127A74">
            <w:pPr>
              <w:cnfStyle w:val="100000000000" w:firstRow="1" w:lastRow="0" w:firstColumn="0" w:lastColumn="0" w:oddVBand="0" w:evenVBand="0" w:oddHBand="0" w:evenHBand="0" w:firstRowFirstColumn="0" w:firstRowLastColumn="0" w:lastRowFirstColumn="0" w:lastRowLastColumn="0"/>
            </w:pPr>
            <w:r w:rsidRPr="007C23E8">
              <w:t>Pharmacovigilance</w:t>
            </w:r>
          </w:p>
        </w:tc>
        <w:tc>
          <w:tcPr>
            <w:tcW w:w="2551" w:type="dxa"/>
            <w:gridSpan w:val="2"/>
          </w:tcPr>
          <w:p w14:paraId="4F66CB82" w14:textId="77777777" w:rsidR="00127A74" w:rsidRPr="007C23E8" w:rsidRDefault="00127A74" w:rsidP="00127A74">
            <w:pPr>
              <w:cnfStyle w:val="100000000000" w:firstRow="1" w:lastRow="0" w:firstColumn="0" w:lastColumn="0" w:oddVBand="0" w:evenVBand="0" w:oddHBand="0" w:evenHBand="0" w:firstRowFirstColumn="0" w:firstRowLastColumn="0" w:lastRowFirstColumn="0" w:lastRowLastColumn="0"/>
            </w:pPr>
            <w:r w:rsidRPr="007C23E8">
              <w:t>Risk minimisation</w:t>
            </w:r>
          </w:p>
        </w:tc>
      </w:tr>
      <w:tr w:rsidR="00127A74" w:rsidRPr="007C23E8" w14:paraId="12411E68" w14:textId="77777777" w:rsidTr="00E91F11">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71D88F2A" w14:textId="77777777" w:rsidR="00127A74" w:rsidRPr="007C23E8" w:rsidRDefault="00127A74" w:rsidP="00127A74"/>
        </w:tc>
        <w:tc>
          <w:tcPr>
            <w:tcW w:w="1134" w:type="dxa"/>
            <w:shd w:val="clear" w:color="auto" w:fill="DEEAF6"/>
          </w:tcPr>
          <w:p w14:paraId="1BF9407C" w14:textId="77777777" w:rsidR="00127A74" w:rsidRPr="007C23E8"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7C23E8">
              <w:rPr>
                <w:b/>
                <w:color w:val="263287"/>
              </w:rPr>
              <w:t>Routine</w:t>
            </w:r>
          </w:p>
        </w:tc>
        <w:tc>
          <w:tcPr>
            <w:tcW w:w="1418" w:type="dxa"/>
            <w:shd w:val="clear" w:color="auto" w:fill="DEEAF6"/>
          </w:tcPr>
          <w:p w14:paraId="442BA332" w14:textId="77777777" w:rsidR="00127A74" w:rsidRPr="007C23E8"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7C23E8">
              <w:rPr>
                <w:b/>
                <w:color w:val="263287"/>
              </w:rPr>
              <w:t>Additional</w:t>
            </w:r>
          </w:p>
        </w:tc>
        <w:tc>
          <w:tcPr>
            <w:tcW w:w="1134" w:type="dxa"/>
            <w:shd w:val="clear" w:color="auto" w:fill="DEEAF6"/>
          </w:tcPr>
          <w:p w14:paraId="5920A04F" w14:textId="77777777" w:rsidR="00127A74" w:rsidRPr="007C23E8"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7C23E8">
              <w:rPr>
                <w:b/>
                <w:color w:val="263287"/>
              </w:rPr>
              <w:t>Routine</w:t>
            </w:r>
          </w:p>
        </w:tc>
        <w:tc>
          <w:tcPr>
            <w:tcW w:w="1417" w:type="dxa"/>
            <w:shd w:val="clear" w:color="auto" w:fill="DEEAF6"/>
          </w:tcPr>
          <w:p w14:paraId="53B2ED29" w14:textId="77777777" w:rsidR="00127A74" w:rsidRPr="007C23E8"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7C23E8">
              <w:rPr>
                <w:b/>
                <w:color w:val="263287"/>
              </w:rPr>
              <w:t>Additional</w:t>
            </w:r>
          </w:p>
        </w:tc>
      </w:tr>
      <w:tr w:rsidR="00F37438" w:rsidRPr="007C23E8" w14:paraId="05599231" w14:textId="77777777" w:rsidTr="00BE6918">
        <w:trPr>
          <w:trHeight w:val="137"/>
        </w:trPr>
        <w:tc>
          <w:tcPr>
            <w:cnfStyle w:val="001000000000" w:firstRow="0" w:lastRow="0" w:firstColumn="1" w:lastColumn="0" w:oddVBand="0" w:evenVBand="0" w:oddHBand="0" w:evenHBand="0" w:firstRowFirstColumn="0" w:firstRowLastColumn="0" w:lastRowFirstColumn="0" w:lastRowLastColumn="0"/>
            <w:tcW w:w="1555" w:type="dxa"/>
          </w:tcPr>
          <w:p w14:paraId="67382D75" w14:textId="77777777" w:rsidR="00F37438" w:rsidRPr="007C23E8" w:rsidRDefault="00F37438" w:rsidP="00F37438">
            <w:pPr>
              <w:rPr>
                <w:b/>
                <w:bCs/>
              </w:rPr>
            </w:pPr>
            <w:r w:rsidRPr="007C23E8">
              <w:rPr>
                <w:b/>
                <w:bCs/>
              </w:rPr>
              <w:t>Important identified risks</w:t>
            </w:r>
          </w:p>
        </w:tc>
        <w:tc>
          <w:tcPr>
            <w:tcW w:w="2409" w:type="dxa"/>
          </w:tcPr>
          <w:p w14:paraId="7134CBC0" w14:textId="720A9CB7" w:rsidR="00F37438" w:rsidRPr="007C23E8" w:rsidRDefault="00F37438" w:rsidP="00F37438">
            <w:pPr>
              <w:cnfStyle w:val="000000000000" w:firstRow="0" w:lastRow="0" w:firstColumn="0" w:lastColumn="0" w:oddVBand="0" w:evenVBand="0" w:oddHBand="0" w:evenHBand="0" w:firstRowFirstColumn="0" w:firstRowLastColumn="0" w:lastRowFirstColumn="0" w:lastRowLastColumn="0"/>
            </w:pPr>
            <w:r w:rsidRPr="007C23E8">
              <w:t>None</w:t>
            </w:r>
          </w:p>
        </w:tc>
        <w:tc>
          <w:tcPr>
            <w:tcW w:w="1134" w:type="dxa"/>
            <w:vAlign w:val="center"/>
          </w:tcPr>
          <w:p w14:paraId="11797452" w14:textId="1C2B0308" w:rsidR="00F37438" w:rsidRPr="007C23E8" w:rsidRDefault="00F37438" w:rsidP="00F37438">
            <w:pPr>
              <w:cnfStyle w:val="000000000000" w:firstRow="0" w:lastRow="0" w:firstColumn="0" w:lastColumn="0" w:oddVBand="0" w:evenVBand="0" w:oddHBand="0" w:evenHBand="0" w:firstRowFirstColumn="0" w:firstRowLastColumn="0" w:lastRowFirstColumn="0" w:lastRowLastColumn="0"/>
            </w:pPr>
            <w:r w:rsidRPr="007C23E8">
              <w:t>–</w:t>
            </w:r>
          </w:p>
        </w:tc>
        <w:tc>
          <w:tcPr>
            <w:tcW w:w="1418" w:type="dxa"/>
            <w:vAlign w:val="center"/>
          </w:tcPr>
          <w:p w14:paraId="7B703318" w14:textId="392008C6" w:rsidR="00F37438" w:rsidRPr="007C23E8" w:rsidRDefault="00F37438" w:rsidP="00F37438">
            <w:pPr>
              <w:cnfStyle w:val="000000000000" w:firstRow="0" w:lastRow="0" w:firstColumn="0" w:lastColumn="0" w:oddVBand="0" w:evenVBand="0" w:oddHBand="0" w:evenHBand="0" w:firstRowFirstColumn="0" w:firstRowLastColumn="0" w:lastRowFirstColumn="0" w:lastRowLastColumn="0"/>
            </w:pPr>
            <w:r w:rsidRPr="007C23E8">
              <w:t>–</w:t>
            </w:r>
          </w:p>
        </w:tc>
        <w:tc>
          <w:tcPr>
            <w:tcW w:w="1134" w:type="dxa"/>
            <w:vAlign w:val="center"/>
          </w:tcPr>
          <w:p w14:paraId="1A652099" w14:textId="1CFD569E" w:rsidR="00F37438" w:rsidRPr="007C23E8" w:rsidRDefault="00F37438" w:rsidP="00F37438">
            <w:pPr>
              <w:cnfStyle w:val="000000000000" w:firstRow="0" w:lastRow="0" w:firstColumn="0" w:lastColumn="0" w:oddVBand="0" w:evenVBand="0" w:oddHBand="0" w:evenHBand="0" w:firstRowFirstColumn="0" w:firstRowLastColumn="0" w:lastRowFirstColumn="0" w:lastRowLastColumn="0"/>
            </w:pPr>
            <w:r w:rsidRPr="007C23E8">
              <w:t>–</w:t>
            </w:r>
          </w:p>
        </w:tc>
        <w:tc>
          <w:tcPr>
            <w:tcW w:w="1417" w:type="dxa"/>
            <w:vAlign w:val="center"/>
          </w:tcPr>
          <w:p w14:paraId="34A0513E" w14:textId="3DF0B833" w:rsidR="00F37438" w:rsidRPr="007C23E8" w:rsidRDefault="00F37438" w:rsidP="00F37438">
            <w:pPr>
              <w:cnfStyle w:val="000000000000" w:firstRow="0" w:lastRow="0" w:firstColumn="0" w:lastColumn="0" w:oddVBand="0" w:evenVBand="0" w:oddHBand="0" w:evenHBand="0" w:firstRowFirstColumn="0" w:firstRowLastColumn="0" w:lastRowFirstColumn="0" w:lastRowLastColumn="0"/>
            </w:pPr>
            <w:r w:rsidRPr="007C23E8">
              <w:t>–</w:t>
            </w:r>
          </w:p>
        </w:tc>
      </w:tr>
      <w:tr w:rsidR="00272EA4" w:rsidRPr="007C23E8" w14:paraId="176B93B3" w14:textId="77777777" w:rsidTr="00BE6918">
        <w:trPr>
          <w:trHeight w:val="159"/>
        </w:trPr>
        <w:tc>
          <w:tcPr>
            <w:cnfStyle w:val="001000000000" w:firstRow="0" w:lastRow="0" w:firstColumn="1" w:lastColumn="0" w:oddVBand="0" w:evenVBand="0" w:oddHBand="0" w:evenHBand="0" w:firstRowFirstColumn="0" w:firstRowLastColumn="0" w:lastRowFirstColumn="0" w:lastRowLastColumn="0"/>
            <w:tcW w:w="1555" w:type="dxa"/>
          </w:tcPr>
          <w:p w14:paraId="77F0DB3E" w14:textId="77777777" w:rsidR="00272EA4" w:rsidRPr="007C23E8" w:rsidRDefault="00272EA4" w:rsidP="00272EA4">
            <w:pPr>
              <w:rPr>
                <w:b/>
                <w:bCs/>
              </w:rPr>
            </w:pPr>
            <w:r w:rsidRPr="007C23E8">
              <w:rPr>
                <w:b/>
                <w:bCs/>
              </w:rPr>
              <w:t>Important potential risks</w:t>
            </w:r>
          </w:p>
        </w:tc>
        <w:tc>
          <w:tcPr>
            <w:tcW w:w="2409" w:type="dxa"/>
          </w:tcPr>
          <w:p w14:paraId="6E17E14A" w14:textId="2EE7292F" w:rsidR="00272EA4" w:rsidRPr="007C23E8" w:rsidRDefault="00272EA4" w:rsidP="00272EA4">
            <w:pPr>
              <w:cnfStyle w:val="000000000000" w:firstRow="0" w:lastRow="0" w:firstColumn="0" w:lastColumn="0" w:oddVBand="0" w:evenVBand="0" w:oddHBand="0" w:evenHBand="0" w:firstRowFirstColumn="0" w:firstRowLastColumn="0" w:lastRowFirstColumn="0" w:lastRowLastColumn="0"/>
            </w:pPr>
            <w:r w:rsidRPr="007C23E8">
              <w:t>Progressive multifocal leukoencephalopathy</w:t>
            </w:r>
          </w:p>
        </w:tc>
        <w:tc>
          <w:tcPr>
            <w:tcW w:w="1134" w:type="dxa"/>
            <w:vAlign w:val="center"/>
          </w:tcPr>
          <w:p w14:paraId="252AD92F" w14:textId="7523C0B2" w:rsidR="00272EA4" w:rsidRPr="007C23E8" w:rsidRDefault="00272EA4" w:rsidP="00272EA4">
            <w:pPr>
              <w:cnfStyle w:val="000000000000" w:firstRow="0" w:lastRow="0" w:firstColumn="0" w:lastColumn="0" w:oddVBand="0" w:evenVBand="0" w:oddHBand="0" w:evenHBand="0" w:firstRowFirstColumn="0" w:firstRowLastColumn="0" w:lastRowFirstColumn="0" w:lastRowLastColumn="0"/>
            </w:pPr>
            <w:r w:rsidRPr="007C23E8">
              <w:rPr>
                <w:rFonts w:ascii="Wingdings" w:eastAsia="Wingdings" w:hAnsi="Wingdings" w:cs="Wingdings"/>
              </w:rPr>
              <w:t>ü</w:t>
            </w:r>
          </w:p>
        </w:tc>
        <w:tc>
          <w:tcPr>
            <w:tcW w:w="1418" w:type="dxa"/>
            <w:vAlign w:val="center"/>
          </w:tcPr>
          <w:p w14:paraId="77DA98F1" w14:textId="77A45795" w:rsidR="00272EA4" w:rsidRPr="007C23E8" w:rsidRDefault="00272EA4" w:rsidP="00272EA4">
            <w:pPr>
              <w:cnfStyle w:val="000000000000" w:firstRow="0" w:lastRow="0" w:firstColumn="0" w:lastColumn="0" w:oddVBand="0" w:evenVBand="0" w:oddHBand="0" w:evenHBand="0" w:firstRowFirstColumn="0" w:firstRowLastColumn="0" w:lastRowFirstColumn="0" w:lastRowLastColumn="0"/>
            </w:pPr>
            <w:r w:rsidRPr="007C23E8">
              <w:t>–</w:t>
            </w:r>
          </w:p>
        </w:tc>
        <w:tc>
          <w:tcPr>
            <w:tcW w:w="1134" w:type="dxa"/>
            <w:vAlign w:val="center"/>
          </w:tcPr>
          <w:p w14:paraId="182A5096" w14:textId="76C0F71F" w:rsidR="00272EA4" w:rsidRPr="007C23E8" w:rsidRDefault="00272EA4" w:rsidP="00272EA4">
            <w:pPr>
              <w:cnfStyle w:val="000000000000" w:firstRow="0" w:lastRow="0" w:firstColumn="0" w:lastColumn="0" w:oddVBand="0" w:evenVBand="0" w:oddHBand="0" w:evenHBand="0" w:firstRowFirstColumn="0" w:firstRowLastColumn="0" w:lastRowFirstColumn="0" w:lastRowLastColumn="0"/>
            </w:pPr>
            <w:r w:rsidRPr="007C23E8">
              <w:t>–</w:t>
            </w:r>
          </w:p>
        </w:tc>
        <w:tc>
          <w:tcPr>
            <w:tcW w:w="1417" w:type="dxa"/>
            <w:vAlign w:val="center"/>
          </w:tcPr>
          <w:p w14:paraId="2A6247DC" w14:textId="63D5542D" w:rsidR="00272EA4" w:rsidRPr="007C23E8" w:rsidRDefault="00272EA4" w:rsidP="00272EA4">
            <w:pPr>
              <w:cnfStyle w:val="000000000000" w:firstRow="0" w:lastRow="0" w:firstColumn="0" w:lastColumn="0" w:oddVBand="0" w:evenVBand="0" w:oddHBand="0" w:evenHBand="0" w:firstRowFirstColumn="0" w:firstRowLastColumn="0" w:lastRowFirstColumn="0" w:lastRowLastColumn="0"/>
            </w:pPr>
            <w:r w:rsidRPr="007C23E8">
              <w:t>–</w:t>
            </w:r>
          </w:p>
        </w:tc>
      </w:tr>
      <w:tr w:rsidR="00BE6918" w:rsidRPr="007C23E8" w14:paraId="74C5E610" w14:textId="77777777" w:rsidTr="00BE6918">
        <w:trPr>
          <w:trHeight w:val="178"/>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262C65E3" w14:textId="77777777" w:rsidR="00BE6918" w:rsidRPr="007C23E8" w:rsidRDefault="00BE6918" w:rsidP="00BE6918">
            <w:pPr>
              <w:rPr>
                <w:b/>
                <w:bCs/>
              </w:rPr>
            </w:pPr>
            <w:r w:rsidRPr="007C23E8">
              <w:rPr>
                <w:b/>
                <w:bCs/>
              </w:rPr>
              <w:t>Missing information</w:t>
            </w:r>
          </w:p>
        </w:tc>
        <w:tc>
          <w:tcPr>
            <w:tcW w:w="2409" w:type="dxa"/>
          </w:tcPr>
          <w:p w14:paraId="104D79CD" w14:textId="6FC3FB61"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t>Use in pregnancy and lactation</w:t>
            </w:r>
          </w:p>
        </w:tc>
        <w:tc>
          <w:tcPr>
            <w:tcW w:w="1134" w:type="dxa"/>
            <w:vAlign w:val="center"/>
          </w:tcPr>
          <w:p w14:paraId="07467A21" w14:textId="4C8FA76F"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rPr>
                <w:rFonts w:ascii="Wingdings" w:eastAsia="Wingdings" w:hAnsi="Wingdings" w:cs="Wingdings"/>
              </w:rPr>
              <w:t>ü</w:t>
            </w:r>
          </w:p>
        </w:tc>
        <w:tc>
          <w:tcPr>
            <w:tcW w:w="1418" w:type="dxa"/>
            <w:vAlign w:val="center"/>
          </w:tcPr>
          <w:p w14:paraId="35C7F07F" w14:textId="3E172D28"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t>–</w:t>
            </w:r>
          </w:p>
        </w:tc>
        <w:tc>
          <w:tcPr>
            <w:tcW w:w="1134" w:type="dxa"/>
            <w:vAlign w:val="center"/>
          </w:tcPr>
          <w:p w14:paraId="52620DEE" w14:textId="1A2C3D96"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rPr>
                <w:rFonts w:ascii="Wingdings" w:eastAsia="Wingdings" w:hAnsi="Wingdings" w:cs="Wingdings"/>
              </w:rPr>
              <w:t>ü</w:t>
            </w:r>
          </w:p>
        </w:tc>
        <w:tc>
          <w:tcPr>
            <w:tcW w:w="1417" w:type="dxa"/>
            <w:vAlign w:val="center"/>
          </w:tcPr>
          <w:p w14:paraId="16BD3C7B" w14:textId="2E43661B"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t>–</w:t>
            </w:r>
          </w:p>
        </w:tc>
      </w:tr>
      <w:tr w:rsidR="00BE6918" w:rsidRPr="007C23E8" w14:paraId="0E5AEFE4" w14:textId="77777777" w:rsidTr="00BE6918">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6717FA88" w14:textId="77777777" w:rsidR="00BE6918" w:rsidRPr="007C23E8" w:rsidRDefault="00BE6918" w:rsidP="00BE6918"/>
        </w:tc>
        <w:tc>
          <w:tcPr>
            <w:tcW w:w="2409" w:type="dxa"/>
          </w:tcPr>
          <w:p w14:paraId="1DF32407" w14:textId="6AB0DFA4"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t>Use in patients with recent use of B-cell depleting drugs or chemotherapy</w:t>
            </w:r>
          </w:p>
        </w:tc>
        <w:tc>
          <w:tcPr>
            <w:tcW w:w="1134" w:type="dxa"/>
            <w:vAlign w:val="center"/>
          </w:tcPr>
          <w:p w14:paraId="13B9D43F" w14:textId="1E807B82"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rPr>
                <w:rFonts w:ascii="Wingdings" w:eastAsia="Wingdings" w:hAnsi="Wingdings" w:cs="Wingdings"/>
              </w:rPr>
              <w:t>ü</w:t>
            </w:r>
          </w:p>
        </w:tc>
        <w:tc>
          <w:tcPr>
            <w:tcW w:w="1418" w:type="dxa"/>
            <w:vAlign w:val="center"/>
          </w:tcPr>
          <w:p w14:paraId="5B103519" w14:textId="420EF767"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t>–</w:t>
            </w:r>
          </w:p>
        </w:tc>
        <w:tc>
          <w:tcPr>
            <w:tcW w:w="1134" w:type="dxa"/>
            <w:vAlign w:val="center"/>
          </w:tcPr>
          <w:p w14:paraId="17D1F379" w14:textId="533607B4"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rPr>
                <w:rFonts w:ascii="Wingdings" w:eastAsia="Wingdings" w:hAnsi="Wingdings" w:cs="Wingdings"/>
              </w:rPr>
              <w:t>ü</w:t>
            </w:r>
          </w:p>
        </w:tc>
        <w:tc>
          <w:tcPr>
            <w:tcW w:w="1417" w:type="dxa"/>
            <w:vAlign w:val="center"/>
          </w:tcPr>
          <w:p w14:paraId="6C76384E" w14:textId="5AD263B3"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t>–</w:t>
            </w:r>
          </w:p>
        </w:tc>
      </w:tr>
      <w:tr w:rsidR="00BE6918" w:rsidRPr="007C23E8" w14:paraId="7D0EBB55" w14:textId="77777777" w:rsidTr="00BE6918">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51B1B281" w14:textId="77777777" w:rsidR="00BE6918" w:rsidRPr="007C23E8" w:rsidRDefault="00BE6918" w:rsidP="00BE6918"/>
        </w:tc>
        <w:tc>
          <w:tcPr>
            <w:tcW w:w="2409" w:type="dxa"/>
          </w:tcPr>
          <w:p w14:paraId="2919CCF1" w14:textId="5447A5AA"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t>Long-term safety</w:t>
            </w:r>
          </w:p>
        </w:tc>
        <w:tc>
          <w:tcPr>
            <w:tcW w:w="1134" w:type="dxa"/>
            <w:vAlign w:val="center"/>
          </w:tcPr>
          <w:p w14:paraId="5DD7F75D" w14:textId="5BAB4A37"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rPr>
                <w:rFonts w:ascii="Wingdings" w:eastAsia="Wingdings" w:hAnsi="Wingdings" w:cs="Wingdings"/>
              </w:rPr>
              <w:t>ü</w:t>
            </w:r>
          </w:p>
        </w:tc>
        <w:tc>
          <w:tcPr>
            <w:tcW w:w="1418" w:type="dxa"/>
            <w:vAlign w:val="center"/>
          </w:tcPr>
          <w:p w14:paraId="4139A55E" w14:textId="554B098E"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rPr>
                <w:rFonts w:ascii="Wingdings" w:eastAsia="Wingdings" w:hAnsi="Wingdings" w:cs="Wingdings"/>
              </w:rPr>
              <w:t>ü</w:t>
            </w:r>
            <w:r w:rsidRPr="007C23E8">
              <w:rPr>
                <w:rFonts w:asciiTheme="majorHAnsi" w:hAnsiTheme="majorHAnsi"/>
                <w:szCs w:val="20"/>
                <w:vertAlign w:val="superscript"/>
              </w:rPr>
              <w:t>†</w:t>
            </w:r>
          </w:p>
        </w:tc>
        <w:tc>
          <w:tcPr>
            <w:tcW w:w="1134" w:type="dxa"/>
            <w:vAlign w:val="center"/>
          </w:tcPr>
          <w:p w14:paraId="5B89E748" w14:textId="3ABA63CE"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t>–</w:t>
            </w:r>
          </w:p>
        </w:tc>
        <w:tc>
          <w:tcPr>
            <w:tcW w:w="1417" w:type="dxa"/>
            <w:vAlign w:val="center"/>
          </w:tcPr>
          <w:p w14:paraId="547A90B8" w14:textId="1B9399CC" w:rsidR="00BE6918" w:rsidRPr="007C23E8" w:rsidRDefault="00BE6918" w:rsidP="00BE6918">
            <w:pPr>
              <w:cnfStyle w:val="000000000000" w:firstRow="0" w:lastRow="0" w:firstColumn="0" w:lastColumn="0" w:oddVBand="0" w:evenVBand="0" w:oddHBand="0" w:evenHBand="0" w:firstRowFirstColumn="0" w:firstRowLastColumn="0" w:lastRowFirstColumn="0" w:lastRowLastColumn="0"/>
            </w:pPr>
            <w:r w:rsidRPr="007C23E8">
              <w:t>–</w:t>
            </w:r>
          </w:p>
        </w:tc>
      </w:tr>
    </w:tbl>
    <w:p w14:paraId="46127291" w14:textId="2E56F285" w:rsidR="006657A8" w:rsidRPr="007C23E8" w:rsidRDefault="006657A8" w:rsidP="006657A8">
      <w:pPr>
        <w:pStyle w:val="TableDescription"/>
      </w:pPr>
      <w:r w:rsidRPr="007C23E8">
        <w:t>†</w:t>
      </w:r>
      <w:r w:rsidR="008C016C">
        <w:t xml:space="preserve"> </w:t>
      </w:r>
      <w:r w:rsidRPr="007C23E8">
        <w:t>Phase II/III study</w:t>
      </w:r>
    </w:p>
    <w:p w14:paraId="48E66448" w14:textId="77777777" w:rsidR="006657A8" w:rsidRPr="007C23E8" w:rsidRDefault="006657A8" w:rsidP="006D712C">
      <w:r w:rsidRPr="007C23E8">
        <w:t>The summary of safety concerns is acceptable from an RMP perspective.</w:t>
      </w:r>
    </w:p>
    <w:p w14:paraId="01A2E673" w14:textId="76DE8503" w:rsidR="001A711A" w:rsidRPr="007C23E8" w:rsidRDefault="006657A8" w:rsidP="006D712C">
      <w:r>
        <w:t xml:space="preserve">The sponsor has provided the clinical study plan for provisional registration with the </w:t>
      </w:r>
      <w:r w:rsidR="0035716C">
        <w:t>Australia specific annex</w:t>
      </w:r>
      <w:r>
        <w:t xml:space="preserve">. The </w:t>
      </w:r>
      <w:r w:rsidR="00B919DD">
        <w:t>D</w:t>
      </w:r>
      <w:r>
        <w:t>elegate will assess the acceptability of the clinical study plan.</w:t>
      </w:r>
      <w:r w:rsidR="00DA7609">
        <w:rPr>
          <w:rStyle w:val="FootnoteReference"/>
        </w:rPr>
        <w:footnoteReference w:id="11"/>
      </w:r>
      <w:r w:rsidR="001A711A">
        <w:t xml:space="preserve"> </w:t>
      </w:r>
      <w:r>
        <w:t>The pharmacovigilance plan is acceptable from an RMP perspective.</w:t>
      </w:r>
    </w:p>
    <w:p w14:paraId="64DF0CE0" w14:textId="38BB39BD" w:rsidR="006657A8" w:rsidRPr="007C23E8" w:rsidRDefault="006657A8" w:rsidP="006D712C">
      <w:r w:rsidRPr="007C23E8">
        <w:t>Only routine risk minimisation measures have been proposed. The risk minimisation plan is acceptable.</w:t>
      </w:r>
    </w:p>
    <w:p w14:paraId="1C00EBFB" w14:textId="7181AE8B" w:rsidR="00DA7609" w:rsidRDefault="00032A0F" w:rsidP="006D712C">
      <w:r w:rsidRPr="007C23E8">
        <w:t>The RMP evaluation recommended conditions of registration relating to the versions of the risk management plan, requirement for periodic safety update reports, and inclusion of the medicine in the Black Triangle Scheme.</w:t>
      </w:r>
    </w:p>
    <w:p w14:paraId="1711F7D2" w14:textId="104CE507" w:rsidR="00DA7609" w:rsidRPr="007C23E8" w:rsidRDefault="00DA7609" w:rsidP="006D712C">
      <w:r>
        <w:lastRenderedPageBreak/>
        <w:t>The Delegate noted that t</w:t>
      </w:r>
      <w:r w:rsidRPr="00DA7609">
        <w:t xml:space="preserve">here are no outstanding RMP issues following </w:t>
      </w:r>
      <w:r>
        <w:t>the third r</w:t>
      </w:r>
      <w:r w:rsidRPr="00DA7609">
        <w:t>ound</w:t>
      </w:r>
      <w:r>
        <w:t xml:space="preserve"> of</w:t>
      </w:r>
      <w:r w:rsidRPr="00DA7609">
        <w:t xml:space="preserve"> evaluation.</w:t>
      </w:r>
    </w:p>
    <w:p w14:paraId="74A4F87F" w14:textId="77777777" w:rsidR="00C22214" w:rsidRPr="007C23E8" w:rsidRDefault="00C22214" w:rsidP="00C22214">
      <w:pPr>
        <w:pStyle w:val="Heading3"/>
      </w:pPr>
      <w:bookmarkStart w:id="86" w:name="_Toc103679299"/>
      <w:bookmarkStart w:id="87" w:name="_Toc152160789"/>
      <w:bookmarkStart w:id="88" w:name="_Toc153375886"/>
      <w:r w:rsidRPr="007C23E8">
        <w:t>Risk-benefit analysis</w:t>
      </w:r>
      <w:bookmarkEnd w:id="83"/>
      <w:bookmarkEnd w:id="84"/>
      <w:bookmarkEnd w:id="86"/>
      <w:bookmarkEnd w:id="87"/>
      <w:bookmarkEnd w:id="88"/>
    </w:p>
    <w:p w14:paraId="77DE2655" w14:textId="77777777" w:rsidR="00C22214" w:rsidRPr="007C23E8" w:rsidRDefault="00C22214" w:rsidP="00C22214">
      <w:pPr>
        <w:pStyle w:val="Heading4"/>
      </w:pPr>
      <w:bookmarkStart w:id="89" w:name="_Toc98931932"/>
      <w:bookmarkStart w:id="90" w:name="_Toc152160790"/>
      <w:bookmarkStart w:id="91" w:name="_Toc153375887"/>
      <w:r w:rsidRPr="007C23E8">
        <w:t>Delegate’s considerations</w:t>
      </w:r>
      <w:bookmarkEnd w:id="89"/>
      <w:bookmarkEnd w:id="90"/>
      <w:bookmarkEnd w:id="91"/>
    </w:p>
    <w:p w14:paraId="7E6485BB" w14:textId="3A868CC4" w:rsidR="00F5011A" w:rsidRPr="007C23E8" w:rsidRDefault="0035716C" w:rsidP="00BA364F">
      <w:r>
        <w:t>Relapsed or refractory</w:t>
      </w:r>
      <w:r w:rsidR="00F5011A">
        <w:t xml:space="preserve"> DLBCL is a condition with an overall poor prognosis, with </w:t>
      </w:r>
      <w:r>
        <w:t>overall survival</w:t>
      </w:r>
      <w:r w:rsidR="00F5011A">
        <w:t xml:space="preserve"> of &lt;6</w:t>
      </w:r>
      <w:r w:rsidR="00DD3D37">
        <w:t xml:space="preserve"> </w:t>
      </w:r>
      <w:r w:rsidR="00F5011A">
        <w:t xml:space="preserve">months in primary refractory or rapidly relapsing disease. The population in </w:t>
      </w:r>
      <w:r w:rsidR="00DD3D37">
        <w:t xml:space="preserve">MOR208C03 (L-MIND trial) </w:t>
      </w:r>
      <w:r w:rsidR="00F5011A">
        <w:t xml:space="preserve">was one with relatively rapidly progressing DLBCL, but both the </w:t>
      </w:r>
      <w:r>
        <w:t>progression free survival</w:t>
      </w:r>
      <w:r w:rsidR="00F5011A">
        <w:t xml:space="preserve"> and </w:t>
      </w:r>
      <w:r>
        <w:t>overall survival</w:t>
      </w:r>
      <w:r w:rsidR="00F5011A">
        <w:t xml:space="preserve"> suggest a benefit from </w:t>
      </w:r>
      <w:proofErr w:type="spellStart"/>
      <w:r w:rsidR="00DD3D37">
        <w:t>tafastimab</w:t>
      </w:r>
      <w:proofErr w:type="spellEnd"/>
      <w:r w:rsidR="00DD3D37">
        <w:t xml:space="preserve"> and lenalidomide</w:t>
      </w:r>
      <w:r w:rsidR="00F5011A">
        <w:t xml:space="preserve"> </w:t>
      </w:r>
      <w:r w:rsidR="00DD3D37">
        <w:t xml:space="preserve">combination </w:t>
      </w:r>
      <w:r w:rsidR="00F5011A">
        <w:t xml:space="preserve">therapy. The </w:t>
      </w:r>
      <w:r>
        <w:t>progression free survival</w:t>
      </w:r>
      <w:r w:rsidR="00F5011A">
        <w:t xml:space="preserve"> of 11.8 months and 56.6% survival at 2 years is considerably longer than expected for </w:t>
      </w:r>
      <w:r w:rsidR="00DD3D37">
        <w:t>lenalidomide</w:t>
      </w:r>
      <w:r w:rsidR="00F5011A">
        <w:t xml:space="preserve"> alone, and comparable to other immunotherapies such as </w:t>
      </w:r>
      <w:r w:rsidR="00DD3D37">
        <w:t xml:space="preserve">combination of </w:t>
      </w:r>
      <w:proofErr w:type="spellStart"/>
      <w:r w:rsidR="00DD3D37">
        <w:t>polutuzumab</w:t>
      </w:r>
      <w:proofErr w:type="spellEnd"/>
      <w:r w:rsidR="00DD3D37">
        <w:t xml:space="preserve"> and </w:t>
      </w:r>
      <w:proofErr w:type="spellStart"/>
      <w:r w:rsidR="00DD3D37">
        <w:t>bendamustine</w:t>
      </w:r>
      <w:proofErr w:type="spellEnd"/>
      <w:r w:rsidR="00F5011A">
        <w:t>. The Delegate notes that it is unfortunate than a comparator arm was not included in the pivotal trial.</w:t>
      </w:r>
      <w:r w:rsidR="00BE6D6E">
        <w:rPr>
          <w:rStyle w:val="FootnoteReference"/>
        </w:rPr>
        <w:footnoteReference w:id="12"/>
      </w:r>
    </w:p>
    <w:p w14:paraId="26383AC4" w14:textId="6CB88048" w:rsidR="001A711A" w:rsidRPr="007C23E8" w:rsidRDefault="00F5011A" w:rsidP="00BA364F">
      <w:r w:rsidRPr="007C23E8">
        <w:t xml:space="preserve">There is a considerable risk of toxicity with the use of </w:t>
      </w:r>
      <w:r w:rsidR="00DD3D37" w:rsidRPr="007C23E8">
        <w:t xml:space="preserve">combination of </w:t>
      </w:r>
      <w:r w:rsidR="00225B62" w:rsidRPr="007C23E8">
        <w:t>tafasitamab</w:t>
      </w:r>
      <w:r w:rsidR="00DD3D37" w:rsidRPr="007C23E8">
        <w:t xml:space="preserve"> and lenalidomide</w:t>
      </w:r>
      <w:r w:rsidRPr="007C23E8">
        <w:t xml:space="preserve">, but the Delegate agrees with the </w:t>
      </w:r>
      <w:r w:rsidR="006A45BF" w:rsidRPr="007C23E8">
        <w:t>clinical evaluation</w:t>
      </w:r>
      <w:r w:rsidRPr="007C23E8">
        <w:t xml:space="preserve"> that in the context of </w:t>
      </w:r>
      <w:r w:rsidR="0035716C" w:rsidRPr="007C23E8">
        <w:t>relapsed or refractory</w:t>
      </w:r>
      <w:r w:rsidRPr="007C23E8">
        <w:t xml:space="preserve"> DLBCL this is acceptable.</w:t>
      </w:r>
    </w:p>
    <w:p w14:paraId="3916F296" w14:textId="54B45BF2" w:rsidR="00C22214" w:rsidRPr="007C23E8" w:rsidRDefault="00C22214" w:rsidP="00C22214">
      <w:pPr>
        <w:pStyle w:val="Heading4"/>
      </w:pPr>
      <w:bookmarkStart w:id="92" w:name="_Toc98931933"/>
      <w:bookmarkStart w:id="93" w:name="_Toc152160791"/>
      <w:bookmarkStart w:id="94" w:name="_Toc153375888"/>
      <w:r w:rsidRPr="007C23E8">
        <w:t>Proposed action</w:t>
      </w:r>
      <w:bookmarkEnd w:id="92"/>
      <w:bookmarkEnd w:id="93"/>
      <w:bookmarkEnd w:id="94"/>
    </w:p>
    <w:p w14:paraId="3D2D31FA" w14:textId="77777777" w:rsidR="00DD3D37" w:rsidRPr="007C23E8" w:rsidRDefault="00303137" w:rsidP="00BA364F">
      <w:r w:rsidRPr="007C23E8">
        <w:t xml:space="preserve">The Delegate is currently minded </w:t>
      </w:r>
      <w:proofErr w:type="gramStart"/>
      <w:r w:rsidRPr="007C23E8">
        <w:t>to approve</w:t>
      </w:r>
      <w:proofErr w:type="gramEnd"/>
      <w:r w:rsidRPr="007C23E8">
        <w:t xml:space="preserve"> </w:t>
      </w:r>
      <w:r w:rsidR="00225B62" w:rsidRPr="007C23E8">
        <w:t>tafasitamab</w:t>
      </w:r>
      <w:r w:rsidRPr="007C23E8">
        <w:t xml:space="preserve"> for the indication</w:t>
      </w:r>
      <w:r w:rsidR="00DD3D37" w:rsidRPr="007C23E8">
        <w:t>:</w:t>
      </w:r>
    </w:p>
    <w:p w14:paraId="1D0BAB10" w14:textId="63C8D8EF" w:rsidR="00303137" w:rsidRPr="007C23E8" w:rsidRDefault="00F146CB" w:rsidP="00DD3D37">
      <w:pPr>
        <w:ind w:left="720"/>
        <w:rPr>
          <w:i/>
          <w:iCs/>
        </w:rPr>
      </w:pPr>
      <w:r w:rsidRPr="007C23E8">
        <w:rPr>
          <w:i/>
          <w:iCs/>
        </w:rPr>
        <w:t>Minjuvi</w:t>
      </w:r>
      <w:r w:rsidR="00303137" w:rsidRPr="007C23E8">
        <w:rPr>
          <w:i/>
          <w:iCs/>
        </w:rPr>
        <w:t xml:space="preserve"> is indicated in combination with lenalidomide followed by </w:t>
      </w:r>
      <w:r w:rsidRPr="007C23E8">
        <w:rPr>
          <w:i/>
          <w:iCs/>
        </w:rPr>
        <w:t>Minjuvi</w:t>
      </w:r>
      <w:r w:rsidR="00303137" w:rsidRPr="007C23E8">
        <w:rPr>
          <w:i/>
          <w:iCs/>
        </w:rPr>
        <w:t xml:space="preserve"> monotherapy for the treatment of adult patients with relapsed or refractory diffuse large B-cell lymphoma (DLBCL) who are not eligible for autologous stem cell transplant (ASCT)</w:t>
      </w:r>
      <w:r w:rsidR="00DD3D37" w:rsidRPr="007C23E8">
        <w:rPr>
          <w:i/>
          <w:iCs/>
        </w:rPr>
        <w:t>.</w:t>
      </w:r>
    </w:p>
    <w:p w14:paraId="318CFABC" w14:textId="77777777" w:rsidR="00C22214" w:rsidRPr="007C23E8" w:rsidRDefault="00C22214" w:rsidP="00C22214">
      <w:pPr>
        <w:pStyle w:val="Heading4"/>
      </w:pPr>
      <w:bookmarkStart w:id="95" w:name="_Toc98931936"/>
      <w:bookmarkStart w:id="96" w:name="_Toc152160792"/>
      <w:bookmarkStart w:id="97" w:name="_Toc153375889"/>
      <w:bookmarkStart w:id="98" w:name="_Toc247691532"/>
      <w:bookmarkStart w:id="99" w:name="_Toc314842516"/>
      <w:r w:rsidRPr="007C23E8">
        <w:t>Advisory Committee considerations</w:t>
      </w:r>
      <w:bookmarkEnd w:id="95"/>
      <w:bookmarkEnd w:id="96"/>
      <w:bookmarkEnd w:id="97"/>
    </w:p>
    <w:p w14:paraId="087BB9CB" w14:textId="292C5C15" w:rsidR="00C22214" w:rsidRPr="007C23E8" w:rsidRDefault="00C22214" w:rsidP="00C22214">
      <w:pPr>
        <w:rPr>
          <w:bCs/>
          <w:szCs w:val="22"/>
        </w:rPr>
      </w:pPr>
      <w:r w:rsidRPr="007C23E8">
        <w:rPr>
          <w:bCs/>
          <w:szCs w:val="22"/>
        </w:rPr>
        <w:t xml:space="preserve">The </w:t>
      </w:r>
      <w:hyperlink r:id="rId34" w:history="1">
        <w:r w:rsidRPr="007C23E8">
          <w:rPr>
            <w:rStyle w:val="Hyperlink"/>
            <w:szCs w:val="22"/>
          </w:rPr>
          <w:t>Advisory Committee on Medicines (ACM)</w:t>
        </w:r>
      </w:hyperlink>
      <w:r w:rsidRPr="007C23E8">
        <w:rPr>
          <w:szCs w:val="22"/>
        </w:rPr>
        <w:t>,</w:t>
      </w:r>
      <w:r w:rsidRPr="007C23E8">
        <w:rPr>
          <w:bCs/>
          <w:szCs w:val="22"/>
        </w:rPr>
        <w:t xml:space="preserve"> having considered the evaluations and the Delegate’s overview, as well as the sponsor’s response to these documents, advised the following.</w:t>
      </w:r>
    </w:p>
    <w:p w14:paraId="0D935CC4" w14:textId="77777777" w:rsidR="00C22214" w:rsidRPr="007C23E8" w:rsidRDefault="00C22214" w:rsidP="00C22214">
      <w:pPr>
        <w:pStyle w:val="Heading5"/>
      </w:pPr>
      <w:r w:rsidRPr="007C23E8">
        <w:t>Specific advice to the Delegate</w:t>
      </w:r>
    </w:p>
    <w:p w14:paraId="191AB7D1" w14:textId="77777777" w:rsidR="00844F74" w:rsidRPr="007C23E8" w:rsidRDefault="00844F74" w:rsidP="00844F74">
      <w:pPr>
        <w:pStyle w:val="DelegatesQuestions"/>
      </w:pPr>
      <w:r w:rsidRPr="007C23E8">
        <w:t>Is the safety and efficacy of this product sufficient to warrant provisional registration given the limited nature of the pivotal data supporting this application?</w:t>
      </w:r>
    </w:p>
    <w:p w14:paraId="564FD144" w14:textId="77777777" w:rsidR="001A711A" w:rsidRPr="007C23E8" w:rsidRDefault="00844F74" w:rsidP="00BA364F">
      <w:r w:rsidRPr="007C23E8">
        <w:t>The ACM agreed the safety and efficacy data is sufficient to warrant provisional registration given the effectiveness of the drug and is supportive of the proposed indication for tafasitamab used in combination with lenalidomide.</w:t>
      </w:r>
    </w:p>
    <w:p w14:paraId="17169E00" w14:textId="6427D729" w:rsidR="001A711A" w:rsidRPr="007C23E8" w:rsidRDefault="00AC5A67" w:rsidP="00BA364F">
      <w:r w:rsidRPr="007C23E8">
        <w:t>Relapsed or refractory</w:t>
      </w:r>
      <w:r w:rsidR="00844F74" w:rsidRPr="007C23E8">
        <w:t xml:space="preserve"> DLBCL is a serious, life-threatening disease, with a high clinical unmet need. This combination represents a significantly positive benefit risk ratio compared to single agents and other available therapy. The ACM noted that the L-MIND study demonstrated an overall response rate of 58.8% and complete remission rate of 41.3% and agreed that this is a clinically significant response within a difficult to treat population with limited treatment options.</w:t>
      </w:r>
    </w:p>
    <w:p w14:paraId="08C83C7A" w14:textId="3B52959D" w:rsidR="00844F74" w:rsidRPr="007C23E8" w:rsidRDefault="00844F74" w:rsidP="00BA364F">
      <w:r w:rsidRPr="007C23E8">
        <w:t xml:space="preserve">The ACM acknowledged this data is based on a small number of patients from a single arm study, however, the ACM noted that the </w:t>
      </w:r>
      <w:r w:rsidR="00AC5A67" w:rsidRPr="007C23E8">
        <w:t>relapsed or refractory</w:t>
      </w:r>
      <w:r w:rsidRPr="007C23E8">
        <w:t xml:space="preserve"> DLBCL population is small.</w:t>
      </w:r>
    </w:p>
    <w:p w14:paraId="04C4C2B4" w14:textId="1235BA4E" w:rsidR="00844F74" w:rsidRPr="007C23E8" w:rsidRDefault="00844F74" w:rsidP="00BA364F">
      <w:r w:rsidRPr="007C23E8">
        <w:lastRenderedPageBreak/>
        <w:t xml:space="preserve">The ACM also noted this would be the first non-chemotherapy option and agreed the approval of this combination is significant for the standard of care and improving the mortality rates in patients with </w:t>
      </w:r>
      <w:r w:rsidR="00AC5A67" w:rsidRPr="007C23E8">
        <w:t>relapsed or refractory</w:t>
      </w:r>
      <w:r w:rsidRPr="007C23E8">
        <w:t xml:space="preserve"> DLBCL who are ineligible for ASCT.</w:t>
      </w:r>
    </w:p>
    <w:p w14:paraId="5291EA2A" w14:textId="77777777" w:rsidR="00C22214" w:rsidRPr="007C23E8" w:rsidRDefault="00C22214" w:rsidP="00C22214">
      <w:pPr>
        <w:pStyle w:val="Heading5"/>
      </w:pPr>
      <w:r w:rsidRPr="007C23E8">
        <w:t>Conclusion</w:t>
      </w:r>
    </w:p>
    <w:p w14:paraId="02B3F73D" w14:textId="77777777" w:rsidR="00E65F06" w:rsidRPr="007C23E8" w:rsidRDefault="00E65F06" w:rsidP="00E65F06">
      <w:r w:rsidRPr="007C23E8">
        <w:t>The ACM considered this product to have a provisional positive benefit-risk profile for the indication:</w:t>
      </w:r>
    </w:p>
    <w:p w14:paraId="4D208526" w14:textId="2EAD5A73" w:rsidR="00E65F06" w:rsidRPr="007C23E8" w:rsidRDefault="00F146CB" w:rsidP="00E65F06">
      <w:pPr>
        <w:ind w:left="720"/>
        <w:rPr>
          <w:i/>
          <w:iCs/>
        </w:rPr>
      </w:pPr>
      <w:r w:rsidRPr="007C23E8">
        <w:rPr>
          <w:i/>
          <w:iCs/>
        </w:rPr>
        <w:t>Minjuvi</w:t>
      </w:r>
      <w:r w:rsidR="00E65F06" w:rsidRPr="007C23E8">
        <w:rPr>
          <w:i/>
          <w:iCs/>
        </w:rPr>
        <w:t xml:space="preserve"> is indicated in combination with lenalidomide followed by </w:t>
      </w:r>
      <w:r w:rsidRPr="007C23E8">
        <w:rPr>
          <w:i/>
          <w:iCs/>
        </w:rPr>
        <w:t>Minjuvi</w:t>
      </w:r>
      <w:r w:rsidR="00E65F06" w:rsidRPr="007C23E8">
        <w:rPr>
          <w:i/>
          <w:iCs/>
        </w:rPr>
        <w:t xml:space="preserve"> monotherapy for the treatment of adult patients with relapsed or refractory diffuse large B-cell lymphoma (DLBCL) who are not eligible for autologous stem cell transplant (ASCT).</w:t>
      </w:r>
    </w:p>
    <w:p w14:paraId="4B728061" w14:textId="7CB744B1" w:rsidR="00E65F06" w:rsidRPr="007C23E8" w:rsidRDefault="00E65F06" w:rsidP="00E65F06">
      <w:pPr>
        <w:ind w:left="720"/>
        <w:rPr>
          <w:i/>
          <w:iCs/>
        </w:rPr>
      </w:pPr>
      <w:r w:rsidRPr="007C23E8">
        <w:rPr>
          <w:i/>
          <w:iCs/>
        </w:rPr>
        <w:t>This indication was approved via the provisional approval pathway, based on objective response rate and duration of response in a single arm trial. Continued approval for this indication depends on verification and description of clinical benefit in a confirmatory trial.</w:t>
      </w:r>
    </w:p>
    <w:p w14:paraId="307F236C" w14:textId="77777777" w:rsidR="00C22214" w:rsidRPr="007C23E8" w:rsidRDefault="00C22214" w:rsidP="00C22214">
      <w:pPr>
        <w:pStyle w:val="Heading2"/>
      </w:pPr>
      <w:bookmarkStart w:id="100" w:name="_Toc103679300"/>
      <w:bookmarkStart w:id="101" w:name="_Toc152160793"/>
      <w:bookmarkStart w:id="102" w:name="_Toc153375890"/>
      <w:r w:rsidRPr="007C23E8">
        <w:t>Outcome</w:t>
      </w:r>
      <w:bookmarkEnd w:id="98"/>
      <w:bookmarkEnd w:id="99"/>
      <w:bookmarkEnd w:id="100"/>
      <w:bookmarkEnd w:id="101"/>
      <w:bookmarkEnd w:id="102"/>
    </w:p>
    <w:p w14:paraId="4EF22939" w14:textId="036E1E86" w:rsidR="00C22214" w:rsidRPr="007C23E8" w:rsidRDefault="00C22214" w:rsidP="0006104E">
      <w:r w:rsidRPr="007C23E8">
        <w:t xml:space="preserve">Based on a review of quality, safety, and efficacy, the TGA </w:t>
      </w:r>
      <w:r w:rsidR="00B46DFB" w:rsidRPr="007C23E8">
        <w:t>decided to</w:t>
      </w:r>
      <w:r w:rsidRPr="007C23E8">
        <w:t xml:space="preserve"> regist</w:t>
      </w:r>
      <w:r w:rsidR="00B46DFB" w:rsidRPr="007C23E8">
        <w:t>er</w:t>
      </w:r>
      <w:r w:rsidRPr="007C23E8">
        <w:t xml:space="preserve"> </w:t>
      </w:r>
      <w:r w:rsidR="00DD3D37" w:rsidRPr="007C23E8">
        <w:t xml:space="preserve">Minjuvi (tafasitamab) </w:t>
      </w:r>
      <w:r w:rsidR="00DD3D37" w:rsidRPr="007C23E8">
        <w:rPr>
          <w:szCs w:val="22"/>
        </w:rPr>
        <w:t>200 mg</w:t>
      </w:r>
      <w:r w:rsidR="00DD3D37" w:rsidRPr="007C23E8">
        <w:t>, powder for solution for infusion, vial</w:t>
      </w:r>
      <w:r w:rsidRPr="007C23E8">
        <w:t>, indicated for:</w:t>
      </w:r>
    </w:p>
    <w:p w14:paraId="3515D162" w14:textId="77777777" w:rsidR="00DD3D37" w:rsidRPr="007C23E8" w:rsidRDefault="00DD3D37" w:rsidP="00DD3D37">
      <w:pPr>
        <w:ind w:left="720"/>
        <w:rPr>
          <w:i/>
          <w:iCs/>
        </w:rPr>
      </w:pPr>
      <w:r w:rsidRPr="007C23E8">
        <w:rPr>
          <w:i/>
          <w:iCs/>
        </w:rPr>
        <w:t>Minjuvi is indicated in combination with lenalidomide followed by Minjuvi monotherapy for the treatment of adult patients with relapsed or refractory diffuse large B-cell lymphoma (DLBCL) who are not eligible for autologous stem cell transplant (ASCT).</w:t>
      </w:r>
    </w:p>
    <w:p w14:paraId="3295BA38" w14:textId="210E6AAE" w:rsidR="00DD3D37" w:rsidRPr="007C23E8" w:rsidRDefault="00DD3D37" w:rsidP="00DD3D37">
      <w:pPr>
        <w:ind w:left="720"/>
      </w:pPr>
      <w:r w:rsidRPr="007C23E8">
        <w:rPr>
          <w:i/>
          <w:iCs/>
        </w:rPr>
        <w:t>This indication was approved via the provisional approval pathway, based on objective response rate and duration of response in a single arm trial. Continued approval for this indication depends on verification and description of clinical benefit in a confirmatory trial.</w:t>
      </w:r>
    </w:p>
    <w:p w14:paraId="0D732DA4" w14:textId="77777777" w:rsidR="00854D98" w:rsidRPr="007C23E8" w:rsidRDefault="00854D98" w:rsidP="00854D98">
      <w:pPr>
        <w:pStyle w:val="Heading3"/>
      </w:pPr>
      <w:bookmarkStart w:id="103" w:name="_Toc103679301"/>
      <w:bookmarkStart w:id="104" w:name="_Toc152160794"/>
      <w:bookmarkStart w:id="105" w:name="_Toc153375891"/>
      <w:r w:rsidRPr="007C23E8">
        <w:t>Specific conditions of registration applying to these goods</w:t>
      </w:r>
      <w:bookmarkEnd w:id="103"/>
      <w:bookmarkEnd w:id="104"/>
      <w:bookmarkEnd w:id="105"/>
    </w:p>
    <w:p w14:paraId="576EE97F" w14:textId="7A25B12E" w:rsidR="00CA3E1D" w:rsidRPr="007C23E8" w:rsidRDefault="00F146CB" w:rsidP="00CA3E1D">
      <w:pPr>
        <w:pStyle w:val="ListBullet"/>
      </w:pPr>
      <w:r w:rsidRPr="007C23E8">
        <w:t>Minjuvi</w:t>
      </w:r>
      <w:r w:rsidR="00CA3E1D" w:rsidRPr="007C23E8">
        <w:t xml:space="preserve"> (</w:t>
      </w:r>
      <w:r w:rsidR="00225B62" w:rsidRPr="007C23E8">
        <w:t>tafasitamab</w:t>
      </w:r>
      <w:r w:rsidR="00CA3E1D" w:rsidRPr="007C23E8">
        <w:t xml:space="preserve">) is to be included in the Black Triangle Scheme. The PI and CMI for </w:t>
      </w:r>
      <w:r w:rsidRPr="007C23E8">
        <w:t>Minjuvi</w:t>
      </w:r>
      <w:r w:rsidR="00CA3E1D" w:rsidRPr="007C23E8">
        <w:t xml:space="preserve"> must include the black triangle symbol and mandatory accompanying text for five years, which starts from the date that the sponsor notifies the TGA of supply of the product.</w:t>
      </w:r>
    </w:p>
    <w:p w14:paraId="006BE0B3" w14:textId="029C2B6B" w:rsidR="00CA3E1D" w:rsidRPr="007C23E8" w:rsidRDefault="00CA3E1D" w:rsidP="00CA3E1D">
      <w:pPr>
        <w:pStyle w:val="ListBullet"/>
      </w:pPr>
      <w:r w:rsidRPr="007C23E8">
        <w:t xml:space="preserve">The </w:t>
      </w:r>
      <w:r w:rsidR="00F146CB" w:rsidRPr="007C23E8">
        <w:t>Minjuvi</w:t>
      </w:r>
      <w:r w:rsidRPr="007C23E8">
        <w:t xml:space="preserve"> EU-</w:t>
      </w:r>
      <w:r w:rsidR="00DD3D37" w:rsidRPr="007C23E8">
        <w:t xml:space="preserve">risk management plan </w:t>
      </w:r>
      <w:r w:rsidRPr="007C23E8">
        <w:t xml:space="preserve">(RMP) (version 0.7, date 24 June 2021; DLP 30 November 2019), with Australian </w:t>
      </w:r>
      <w:r w:rsidR="00DD3D37" w:rsidRPr="007C23E8">
        <w:t xml:space="preserve">specific annex </w:t>
      </w:r>
      <w:r w:rsidRPr="007C23E8">
        <w:t xml:space="preserve">(version 0.1, dated July 2021), included with </w:t>
      </w:r>
      <w:r w:rsidR="00DD3D37" w:rsidRPr="007C23E8">
        <w:t xml:space="preserve">Submission </w:t>
      </w:r>
      <w:r w:rsidRPr="007C23E8">
        <w:t>PM-2022-01544-1-6, and any subsequent revisions, as agreed with the TGA will be implemented in Australia.</w:t>
      </w:r>
    </w:p>
    <w:p w14:paraId="413CAB4F" w14:textId="0E0F6406" w:rsidR="00CA3E1D" w:rsidRPr="007C23E8" w:rsidRDefault="00CA3E1D" w:rsidP="00CA3E1D">
      <w:pPr>
        <w:pStyle w:val="ListBullet"/>
        <w:numPr>
          <w:ilvl w:val="0"/>
          <w:numId w:val="0"/>
        </w:numPr>
        <w:ind w:left="360"/>
      </w:pPr>
      <w:r w:rsidRPr="007C23E8">
        <w:t>An obligatory component of risk management plans is routine pharmacovigilance. Routine pharmacovigilance includes the submission of periodic safety update reports (PSURs).</w:t>
      </w:r>
    </w:p>
    <w:p w14:paraId="77FD631E" w14:textId="115FF80A" w:rsidR="00CA3E1D" w:rsidRPr="007C23E8" w:rsidRDefault="00CA3E1D" w:rsidP="00CA3E1D">
      <w:pPr>
        <w:pStyle w:val="ListBullet"/>
        <w:numPr>
          <w:ilvl w:val="0"/>
          <w:numId w:val="0"/>
        </w:numPr>
        <w:ind w:left="360"/>
      </w:pPr>
      <w:r w:rsidRPr="007C23E8">
        <w:t xml:space="preserve">Unless agreed separately between the supplier who is the recipient of the approval and the TGA, the first report must be submitted to TGA no later than 15 calendar months after the date of </w:t>
      </w:r>
      <w:r w:rsidR="00DD3D37" w:rsidRPr="007C23E8">
        <w:t>the</w:t>
      </w:r>
      <w:r w:rsidRPr="007C23E8">
        <w:t xml:space="preserve"> approval letter. The subsequent reports must be submitted no less frequently than annually from the date of the first submitted report until the period covered by such reports is not less than three years from the date of </w:t>
      </w:r>
      <w:r w:rsidR="00DD3D37" w:rsidRPr="007C23E8">
        <w:t>the</w:t>
      </w:r>
      <w:r w:rsidRPr="007C23E8">
        <w:t xml:space="preserve"> approval letter, or the entire period of provisional registration, whichever is longer.</w:t>
      </w:r>
    </w:p>
    <w:p w14:paraId="22FFD1D0" w14:textId="3F5B669E" w:rsidR="00CA3E1D" w:rsidRPr="007C23E8" w:rsidRDefault="00CA3E1D" w:rsidP="00CA3E1D">
      <w:pPr>
        <w:pStyle w:val="ListBullet"/>
        <w:numPr>
          <w:ilvl w:val="0"/>
          <w:numId w:val="0"/>
        </w:numPr>
        <w:ind w:left="360"/>
      </w:pPr>
      <w:r w:rsidRPr="007C23E8">
        <w:t xml:space="preserve">The reports are to at least meet the requirements for PSURs as described in the European Medicines Agency’s Guideline on </w:t>
      </w:r>
      <w:r w:rsidR="00DD3D37" w:rsidRPr="007C23E8">
        <w:t xml:space="preserve">Good Pharmacovigilance Practices </w:t>
      </w:r>
      <w:r w:rsidRPr="007C23E8">
        <w:t>(GVP)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95C5276" w14:textId="5E0B8211" w:rsidR="00CA3E1D" w:rsidRPr="007C23E8" w:rsidRDefault="00CA3E1D" w:rsidP="00CA3E1D">
      <w:pPr>
        <w:pStyle w:val="ListBullet"/>
      </w:pPr>
      <w:r w:rsidRPr="007C23E8">
        <w:lastRenderedPageBreak/>
        <w:t xml:space="preserve">A final clinical study report for </w:t>
      </w:r>
      <w:r w:rsidR="00DD3D37" w:rsidRPr="007C23E8">
        <w:t xml:space="preserve">[Study] </w:t>
      </w:r>
      <w:r w:rsidRPr="007C23E8">
        <w:t xml:space="preserve">MOR208C310 will be submitted for evaluation by the TGA as per the </w:t>
      </w:r>
      <w:r w:rsidR="00DD3D37" w:rsidRPr="007C23E8">
        <w:t xml:space="preserve">clinical study plan </w:t>
      </w:r>
      <w:r w:rsidRPr="007C23E8">
        <w:t xml:space="preserve">included in the Australian </w:t>
      </w:r>
      <w:r w:rsidR="00DD3D37" w:rsidRPr="007C23E8">
        <w:t>specific annex</w:t>
      </w:r>
      <w:r w:rsidRPr="007C23E8">
        <w:t>.</w:t>
      </w:r>
    </w:p>
    <w:p w14:paraId="4837EC46" w14:textId="69773C86" w:rsidR="001A711A" w:rsidRPr="007C23E8" w:rsidRDefault="00CA3E1D" w:rsidP="00CA3E1D">
      <w:pPr>
        <w:pStyle w:val="ListBullet"/>
      </w:pPr>
      <w:r w:rsidRPr="007C23E8">
        <w:t xml:space="preserve">Laboratory testing </w:t>
      </w:r>
      <w:r w:rsidR="00DD3D37" w:rsidRPr="007C23E8">
        <w:t>and</w:t>
      </w:r>
      <w:r w:rsidRPr="007C23E8">
        <w:t xml:space="preserve"> compliance with Certified Product Details (CPD)</w:t>
      </w:r>
    </w:p>
    <w:p w14:paraId="671FFCA3" w14:textId="50CB22AD" w:rsidR="00CA3E1D" w:rsidRPr="007C23E8" w:rsidRDefault="00CA3E1D" w:rsidP="00CA3E1D">
      <w:pPr>
        <w:pStyle w:val="ListBullet2"/>
      </w:pPr>
      <w:r w:rsidRPr="007C23E8">
        <w:t xml:space="preserve">All batches of </w:t>
      </w:r>
      <w:r w:rsidR="00F146CB" w:rsidRPr="007C23E8">
        <w:t>Minjuvi</w:t>
      </w:r>
      <w:r w:rsidRPr="007C23E8">
        <w:t>-tafasitamab supplied in Australia must comply with the product details and specifications approved during evaluation and detailed in the Certified Product Details (CPD).</w:t>
      </w:r>
    </w:p>
    <w:p w14:paraId="6C82233A" w14:textId="02E2A1D0" w:rsidR="00CA3E1D" w:rsidRPr="007C23E8" w:rsidRDefault="00CA3E1D" w:rsidP="00CA3E1D">
      <w:pPr>
        <w:pStyle w:val="ListBullet2"/>
      </w:pPr>
      <w:r w:rsidRPr="007C23E8">
        <w:t xml:space="preserve">When requested by the TGA, the </w:t>
      </w:r>
      <w:r w:rsidR="00DD3D37" w:rsidRPr="007C23E8">
        <w:t xml:space="preserve">sponsor </w:t>
      </w:r>
      <w:r w:rsidRPr="007C23E8">
        <w:t xml:space="preserve">should be prepared to provide product samples, specified reference materials and documentary evidence to enable the TGA to conduct laboratory testing on the </w:t>
      </w:r>
      <w:r w:rsidR="00DD3D37" w:rsidRPr="007C23E8">
        <w:t>product</w:t>
      </w:r>
      <w:r w:rsidRPr="007C23E8">
        <w:t xml:space="preserve">. Outcomes of laboratory testing are published biannually in the TGA Database of Laboratory Testing Results </w:t>
      </w:r>
      <w:hyperlink r:id="rId35" w:history="1">
        <w:r w:rsidRPr="007C23E8">
          <w:rPr>
            <w:rStyle w:val="Hyperlink"/>
          </w:rPr>
          <w:t>http://www.tga.gov.au/ws-labs-index and periodically in testing reports on the TGA website</w:t>
        </w:r>
      </w:hyperlink>
      <w:r w:rsidRPr="007C23E8">
        <w:t>.</w:t>
      </w:r>
    </w:p>
    <w:p w14:paraId="38566E79" w14:textId="76F722DE" w:rsidR="00CA3E1D" w:rsidRPr="007C23E8" w:rsidRDefault="00CA3E1D" w:rsidP="00CA3E1D">
      <w:pPr>
        <w:pStyle w:val="ListBullet"/>
      </w:pPr>
      <w:r w:rsidRPr="007C23E8">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369E6BBB" w14:textId="77777777" w:rsidR="001A711A" w:rsidRPr="007C23E8" w:rsidRDefault="00CA3E1D" w:rsidP="00CA3E1D">
      <w:pPr>
        <w:pStyle w:val="ListBullet"/>
        <w:numPr>
          <w:ilvl w:val="0"/>
          <w:numId w:val="0"/>
        </w:numPr>
        <w:ind w:left="360"/>
      </w:pPr>
      <w:r w:rsidRPr="007C23E8">
        <w:t>A template for preparation of CPD for biological prescription medicines can be obtained from the TGA website:</w:t>
      </w:r>
    </w:p>
    <w:p w14:paraId="478B6F62" w14:textId="2DCC6101" w:rsidR="001A711A" w:rsidRPr="007C23E8" w:rsidRDefault="00CA3E1D" w:rsidP="00CA3E1D">
      <w:pPr>
        <w:pStyle w:val="ListBullet"/>
        <w:numPr>
          <w:ilvl w:val="0"/>
          <w:numId w:val="0"/>
        </w:numPr>
        <w:ind w:left="360"/>
      </w:pPr>
      <w:r w:rsidRPr="007C23E8">
        <w:t xml:space="preserve">[for the form] </w:t>
      </w:r>
      <w:hyperlink r:id="rId36" w:history="1">
        <w:r w:rsidRPr="007C23E8">
          <w:rPr>
            <w:rStyle w:val="Hyperlink"/>
          </w:rPr>
          <w:t>https://www.tga.gov.au/form/certified-product-details-cpd-biologicalprescription-medicines</w:t>
        </w:r>
      </w:hyperlink>
    </w:p>
    <w:p w14:paraId="37371A7E" w14:textId="107ED822" w:rsidR="00CA3E1D" w:rsidRPr="007C23E8" w:rsidRDefault="00CA3E1D" w:rsidP="00CA3E1D">
      <w:pPr>
        <w:pStyle w:val="ListBullet"/>
        <w:numPr>
          <w:ilvl w:val="0"/>
          <w:numId w:val="0"/>
        </w:numPr>
        <w:ind w:left="360"/>
      </w:pPr>
      <w:r w:rsidRPr="007C23E8">
        <w:t xml:space="preserve">[for the CPD guidance] </w:t>
      </w:r>
      <w:hyperlink r:id="rId37" w:history="1">
        <w:r w:rsidRPr="007C23E8">
          <w:rPr>
            <w:rStyle w:val="Hyperlink"/>
          </w:rPr>
          <w:t>https://www.tga.gov.au/guidance-7-certified-product-details</w:t>
        </w:r>
      </w:hyperlink>
    </w:p>
    <w:p w14:paraId="451DC3FC" w14:textId="2D1EC6E2" w:rsidR="00C22214" w:rsidRPr="007C23E8" w:rsidRDefault="00C22214" w:rsidP="00C22214">
      <w:pPr>
        <w:pStyle w:val="Heading2"/>
      </w:pPr>
      <w:bookmarkStart w:id="106" w:name="_Toc103679303"/>
      <w:bookmarkStart w:id="107" w:name="_Toc152160795"/>
      <w:bookmarkStart w:id="108" w:name="_Toc153375892"/>
      <w:r w:rsidRPr="007C23E8">
        <w:t>Attachment 1. Product Information</w:t>
      </w:r>
      <w:bookmarkEnd w:id="106"/>
      <w:bookmarkEnd w:id="107"/>
      <w:bookmarkEnd w:id="108"/>
    </w:p>
    <w:p w14:paraId="40740B65" w14:textId="3D6A0C16" w:rsidR="00C22214" w:rsidRPr="007C23E8" w:rsidRDefault="00675F81" w:rsidP="00CA3E1D">
      <w:pPr>
        <w:rPr>
          <w:szCs w:val="22"/>
        </w:rPr>
      </w:pPr>
      <w:r w:rsidRPr="007C23E8">
        <w:rPr>
          <w:szCs w:val="22"/>
        </w:rPr>
        <w:t xml:space="preserve">The </w:t>
      </w:r>
      <w:hyperlink r:id="rId38" w:history="1">
        <w:r w:rsidRPr="007C23E8">
          <w:rPr>
            <w:rStyle w:val="Hyperlink"/>
            <w:szCs w:val="22"/>
          </w:rPr>
          <w:t>Product Information</w:t>
        </w:r>
      </w:hyperlink>
      <w:r w:rsidRPr="007C23E8">
        <w:rPr>
          <w:szCs w:val="22"/>
        </w:rPr>
        <w:t xml:space="preserve"> (</w:t>
      </w:r>
      <w:hyperlink r:id="rId39" w:history="1">
        <w:r w:rsidRPr="007C23E8">
          <w:rPr>
            <w:rStyle w:val="Hyperlink"/>
            <w:szCs w:val="22"/>
          </w:rPr>
          <w:t>PI</w:t>
        </w:r>
      </w:hyperlink>
      <w:r w:rsidRPr="007C23E8">
        <w:rPr>
          <w:szCs w:val="22"/>
        </w:rPr>
        <w:t>) approved with the submission</w:t>
      </w:r>
      <w:r w:rsidR="0017005C" w:rsidRPr="007C23E8">
        <w:rPr>
          <w:szCs w:val="22"/>
        </w:rPr>
        <w:t xml:space="preserve"> for </w:t>
      </w:r>
      <w:r w:rsidR="00CA3E1D" w:rsidRPr="007C23E8">
        <w:t>Minjuvi</w:t>
      </w:r>
      <w:r w:rsidR="003163BC" w:rsidRPr="007C23E8">
        <w:t xml:space="preserve"> </w:t>
      </w:r>
      <w:r w:rsidRPr="007C23E8">
        <w:rPr>
          <w:szCs w:val="22"/>
        </w:rPr>
        <w:t xml:space="preserve">which is described in this AusPAR can be found as Attachment 1. </w:t>
      </w:r>
      <w:r w:rsidR="0025785B" w:rsidRPr="007C23E8">
        <w:t xml:space="preserve">It may have been superseded. </w:t>
      </w:r>
      <w:r w:rsidRPr="007C23E8">
        <w:rPr>
          <w:szCs w:val="22"/>
        </w:rPr>
        <w:t xml:space="preserve">For the most recent PI and </w:t>
      </w:r>
      <w:hyperlink r:id="rId40" w:history="1">
        <w:r w:rsidRPr="007C23E8">
          <w:rPr>
            <w:rStyle w:val="Hyperlink"/>
            <w:szCs w:val="22"/>
          </w:rPr>
          <w:t>Consumer Medicines Information</w:t>
        </w:r>
      </w:hyperlink>
      <w:r w:rsidRPr="007C23E8">
        <w:rPr>
          <w:szCs w:val="22"/>
        </w:rPr>
        <w:t xml:space="preserve"> (CMI), please refer to the TGA </w:t>
      </w:r>
      <w:hyperlink r:id="rId41" w:history="1">
        <w:r w:rsidRPr="007C23E8">
          <w:rPr>
            <w:rStyle w:val="Hyperlink"/>
            <w:szCs w:val="22"/>
          </w:rPr>
          <w:t>PI/CMI search facility.</w:t>
        </w:r>
      </w:hyperlink>
    </w:p>
    <w:p w14:paraId="3977C241" w14:textId="77777777" w:rsidR="00CA3E1D" w:rsidRPr="007C23E8" w:rsidRDefault="00CA3E1D" w:rsidP="00CA3E1D">
      <w:pPr>
        <w:rPr>
          <w:szCs w:val="22"/>
        </w:rPr>
      </w:pPr>
    </w:p>
    <w:p w14:paraId="53357BF3" w14:textId="276457B5" w:rsidR="00C22214" w:rsidRPr="007C23E8" w:rsidRDefault="00C22214" w:rsidP="00C22214">
      <w:pPr>
        <w:rPr>
          <w:lang w:eastAsia="ja-JP"/>
        </w:rPr>
        <w:sectPr w:rsidR="00C22214" w:rsidRPr="007C23E8" w:rsidSect="007452E8">
          <w:headerReference w:type="default" r:id="rId42"/>
          <w:footerReference w:type="default" r:id="rId43"/>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7C23E8" w14:paraId="3C0C07BF" w14:textId="77777777" w:rsidTr="007452E8">
        <w:trPr>
          <w:trHeight w:hRule="exact" w:val="565"/>
          <w:jc w:val="center"/>
        </w:trPr>
        <w:tc>
          <w:tcPr>
            <w:tcW w:w="9145" w:type="dxa"/>
          </w:tcPr>
          <w:bookmarkEnd w:id="4"/>
          <w:bookmarkEnd w:id="5"/>
          <w:p w14:paraId="7E090B86" w14:textId="77777777" w:rsidR="00F02AEC" w:rsidRPr="007C23E8" w:rsidRDefault="00F02AEC" w:rsidP="007452E8">
            <w:pPr>
              <w:pStyle w:val="TGASignoff"/>
            </w:pPr>
            <w:r w:rsidRPr="007C23E8">
              <w:lastRenderedPageBreak/>
              <w:t>Therapeutic Goods Administration</w:t>
            </w:r>
          </w:p>
        </w:tc>
      </w:tr>
      <w:tr w:rsidR="00F02AEC" w:rsidRPr="007C23E8" w14:paraId="70F47EA1" w14:textId="77777777" w:rsidTr="007452E8">
        <w:trPr>
          <w:trHeight w:val="963"/>
          <w:jc w:val="center"/>
        </w:trPr>
        <w:tc>
          <w:tcPr>
            <w:tcW w:w="9145" w:type="dxa"/>
            <w:tcMar>
              <w:top w:w="28" w:type="dxa"/>
            </w:tcMar>
          </w:tcPr>
          <w:p w14:paraId="3491EBCD" w14:textId="77777777" w:rsidR="00F02AEC" w:rsidRPr="007C23E8" w:rsidRDefault="00F02AEC" w:rsidP="007452E8">
            <w:pPr>
              <w:pStyle w:val="Address"/>
              <w:jc w:val="center"/>
            </w:pPr>
            <w:r w:rsidRPr="007C23E8">
              <w:t>PO Box 100 Woden ACT 2606 Australia</w:t>
            </w:r>
          </w:p>
          <w:p w14:paraId="5D0FE0E7" w14:textId="7E1C775E" w:rsidR="00F02AEC" w:rsidRPr="007C23E8" w:rsidRDefault="00F02AEC">
            <w:pPr>
              <w:pStyle w:val="Address"/>
              <w:jc w:val="center"/>
              <w:rPr>
                <w:sz w:val="22"/>
                <w:szCs w:val="22"/>
              </w:rPr>
            </w:pPr>
            <w:r w:rsidRPr="007C23E8">
              <w:t xml:space="preserve">Email: </w:t>
            </w:r>
            <w:hyperlink r:id="rId44" w:history="1">
              <w:r w:rsidRPr="007C23E8">
                <w:rPr>
                  <w:rStyle w:val="Hyperlink"/>
                </w:rPr>
                <w:t>info@tga.gov.au</w:t>
              </w:r>
            </w:hyperlink>
            <w:r w:rsidRPr="007C23E8">
              <w:t xml:space="preserve">  Phone: 1800 020 </w:t>
            </w:r>
            <w:proofErr w:type="gramStart"/>
            <w:r w:rsidRPr="007C23E8">
              <w:t>653  Fax</w:t>
            </w:r>
            <w:proofErr w:type="gramEnd"/>
            <w:r w:rsidRPr="007C23E8">
              <w:t>: 02 6203 1605</w:t>
            </w:r>
          </w:p>
          <w:p w14:paraId="4533D80F" w14:textId="4B722F8B" w:rsidR="00F02AEC" w:rsidRPr="007C23E8" w:rsidRDefault="00FE077F">
            <w:pPr>
              <w:pStyle w:val="Address"/>
              <w:jc w:val="center"/>
              <w:rPr>
                <w:rStyle w:val="Hyperlink"/>
                <w:b/>
                <w:color w:val="auto"/>
                <w:sz w:val="22"/>
              </w:rPr>
            </w:pPr>
            <w:hyperlink r:id="rId45" w:history="1">
              <w:r w:rsidR="00F02AEC" w:rsidRPr="007C23E8">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7C23E8">
              <w:t>Reference/Publication #</w:t>
            </w:r>
          </w:p>
        </w:tc>
      </w:tr>
    </w:tbl>
    <w:p w14:paraId="788B80FD" w14:textId="77777777" w:rsidR="007452E8" w:rsidRDefault="007452E8"/>
    <w:sectPr w:rsidR="007452E8" w:rsidSect="007452E8">
      <w:headerReference w:type="first" r:id="rId46"/>
      <w:footerReference w:type="first" r:id="rId4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A8A83" w14:textId="77777777" w:rsidR="00221206" w:rsidRDefault="00221206" w:rsidP="00F02AEC">
      <w:pPr>
        <w:spacing w:after="0" w:line="240" w:lineRule="auto"/>
      </w:pPr>
      <w:r>
        <w:separator/>
      </w:r>
    </w:p>
  </w:endnote>
  <w:endnote w:type="continuationSeparator" w:id="0">
    <w:p w14:paraId="66431BA8" w14:textId="77777777" w:rsidR="00221206" w:rsidRDefault="00221206" w:rsidP="00F02AEC">
      <w:pPr>
        <w:spacing w:after="0" w:line="240" w:lineRule="auto"/>
      </w:pPr>
      <w:r>
        <w:continuationSeparator/>
      </w:r>
    </w:p>
  </w:endnote>
  <w:endnote w:type="continuationNotice" w:id="1">
    <w:p w14:paraId="1D4726AD" w14:textId="77777777" w:rsidR="00221206" w:rsidRDefault="002212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4B887430" w:rsidR="007452E8" w:rsidRPr="004A3084" w:rsidRDefault="007452E8" w:rsidP="007452E8">
          <w:pPr>
            <w:pStyle w:val="Footer"/>
          </w:pPr>
          <w:r w:rsidRPr="00487162">
            <w:t>AusPA</w:t>
          </w:r>
          <w:r>
            <w:t xml:space="preserve">R - </w:t>
          </w:r>
          <w:r w:rsidR="00CA3E1D" w:rsidRPr="00CA3E1D">
            <w:t xml:space="preserve">Minjuvi </w:t>
          </w:r>
          <w:r>
            <w:t>-</w:t>
          </w:r>
          <w:r w:rsidRPr="00460036">
            <w:t xml:space="preserve"> </w:t>
          </w:r>
          <w:r w:rsidR="00CA3E1D" w:rsidRPr="00CA3E1D">
            <w:t xml:space="preserve">tafasitamab </w:t>
          </w:r>
          <w:r w:rsidR="008C754C">
            <w:t>-</w:t>
          </w:r>
          <w:r>
            <w:t xml:space="preserve"> </w:t>
          </w:r>
          <w:r w:rsidR="00CA3E1D" w:rsidRPr="00CA3E1D">
            <w:t>Specialised Therapeutics Alim Pty Ltd</w:t>
          </w:r>
          <w:r>
            <w:t xml:space="preserve"> - </w:t>
          </w:r>
          <w:r w:rsidR="00CA3E1D" w:rsidRPr="00CA3E1D">
            <w:t>PM-2022-01544-1-6</w:t>
          </w:r>
          <w:r>
            <w:br/>
          </w:r>
          <w:r w:rsidR="001A6A66">
            <w:t>FINAL 23 January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10B28" w14:textId="77777777" w:rsidR="00221206" w:rsidRDefault="00221206" w:rsidP="00F02AEC">
      <w:pPr>
        <w:spacing w:after="0" w:line="240" w:lineRule="auto"/>
      </w:pPr>
      <w:r>
        <w:separator/>
      </w:r>
    </w:p>
  </w:footnote>
  <w:footnote w:type="continuationSeparator" w:id="0">
    <w:p w14:paraId="2F52E9F6" w14:textId="77777777" w:rsidR="00221206" w:rsidRDefault="00221206" w:rsidP="00F02AEC">
      <w:pPr>
        <w:spacing w:after="0" w:line="240" w:lineRule="auto"/>
      </w:pPr>
      <w:r>
        <w:continuationSeparator/>
      </w:r>
    </w:p>
  </w:footnote>
  <w:footnote w:type="continuationNotice" w:id="1">
    <w:p w14:paraId="104FC73E" w14:textId="77777777" w:rsidR="00221206" w:rsidRDefault="00221206">
      <w:pPr>
        <w:spacing w:after="0" w:line="240" w:lineRule="auto"/>
      </w:pPr>
    </w:p>
  </w:footnote>
  <w:footnote w:id="2">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4BFA2864" w14:textId="4093551F" w:rsidR="00FF4558" w:rsidRDefault="00FF4558">
      <w:pPr>
        <w:pStyle w:val="FootnoteText"/>
      </w:pPr>
      <w:r>
        <w:rPr>
          <w:rStyle w:val="FootnoteReference"/>
        </w:rPr>
        <w:footnoteRef/>
      </w:r>
      <w:r>
        <w:t xml:space="preserve"> </w:t>
      </w:r>
      <w:r w:rsidRPr="00FF4558">
        <w:t>National Comprehensive Cancer Network (NCCN)</w:t>
      </w:r>
      <w:r w:rsidR="007C23E8">
        <w:t>,</w:t>
      </w:r>
      <w:r w:rsidRPr="00FF4558">
        <w:t xml:space="preserve"> NCCN Clinical Practice Guidelines in Oncology</w:t>
      </w:r>
      <w:r w:rsidR="007C23E8">
        <w:t>,</w:t>
      </w:r>
      <w:r w:rsidRPr="00FF4558">
        <w:t xml:space="preserve"> B-Cell Lymphomas</w:t>
      </w:r>
      <w:r w:rsidR="007C23E8">
        <w:t>,</w:t>
      </w:r>
      <w:r w:rsidRPr="00FF4558">
        <w:t xml:space="preserve"> Version 4.2022</w:t>
      </w:r>
      <w:r w:rsidR="007C23E8">
        <w:t>,</w:t>
      </w:r>
      <w:r w:rsidRPr="00FF4558">
        <w:t xml:space="preserve"> 2022. Available from: </w:t>
      </w:r>
      <w:hyperlink r:id="rId1" w:history="1">
        <w:r w:rsidR="007C23E8" w:rsidRPr="00D932B5">
          <w:rPr>
            <w:rStyle w:val="Hyperlink"/>
          </w:rPr>
          <w:t>https://www.nccn.org/professionals/physician_gls/pdf/b-cell.pdf</w:t>
        </w:r>
      </w:hyperlink>
      <w:r w:rsidR="007C23E8">
        <w:t>.</w:t>
      </w:r>
    </w:p>
  </w:footnote>
  <w:footnote w:id="4">
    <w:p w14:paraId="463777D1" w14:textId="07CE968C" w:rsidR="00FF4558" w:rsidRDefault="00FF4558">
      <w:pPr>
        <w:pStyle w:val="FootnoteText"/>
      </w:pPr>
      <w:r>
        <w:rPr>
          <w:rStyle w:val="FootnoteReference"/>
        </w:rPr>
        <w:footnoteRef/>
      </w:r>
      <w:r>
        <w:t xml:space="preserve"> </w:t>
      </w:r>
      <w:r w:rsidRPr="00FF4558">
        <w:t xml:space="preserve">Tilly H et al. Diffuse </w:t>
      </w:r>
      <w:r w:rsidR="007C23E8" w:rsidRPr="00FF4558">
        <w:t xml:space="preserve">Large </w:t>
      </w:r>
      <w:r w:rsidRPr="00FF4558">
        <w:t>B</w:t>
      </w:r>
      <w:r w:rsidR="007C23E8" w:rsidRPr="00FF4558">
        <w:t xml:space="preserve">-Cell Lymphoma </w:t>
      </w:r>
      <w:r w:rsidRPr="00FF4558">
        <w:t xml:space="preserve">(DLBCL): ESMO Clinical Practice Guidelines </w:t>
      </w:r>
      <w:r w:rsidR="007C23E8">
        <w:t>f</w:t>
      </w:r>
      <w:r w:rsidR="007C23E8" w:rsidRPr="00FF4558">
        <w:t xml:space="preserve">or Diagnosis, Treatment </w:t>
      </w:r>
      <w:r w:rsidR="007C23E8">
        <w:t>a</w:t>
      </w:r>
      <w:r w:rsidR="007C23E8" w:rsidRPr="00FF4558">
        <w:t>nd Follow-</w:t>
      </w:r>
      <w:r w:rsidR="007C23E8">
        <w:t>u</w:t>
      </w:r>
      <w:r w:rsidR="007C23E8" w:rsidRPr="00FF4558">
        <w:t>p</w:t>
      </w:r>
      <w:r w:rsidR="007C23E8">
        <w:t>,</w:t>
      </w:r>
      <w:r w:rsidRPr="00FF4558">
        <w:t xml:space="preserve"> </w:t>
      </w:r>
      <w:r w:rsidRPr="007E5463">
        <w:rPr>
          <w:i/>
          <w:iCs/>
        </w:rPr>
        <w:t>Ann Oncol</w:t>
      </w:r>
      <w:r w:rsidR="007C23E8">
        <w:t>,</w:t>
      </w:r>
      <w:r w:rsidRPr="00FF4558">
        <w:t xml:space="preserve"> 2015; 26 Suppl 5: v116-25.</w:t>
      </w:r>
    </w:p>
  </w:footnote>
  <w:footnote w:id="5">
    <w:p w14:paraId="224CD836" w14:textId="306D80AC" w:rsidR="00500D68" w:rsidRDefault="00500D68">
      <w:pPr>
        <w:pStyle w:val="FootnoteText"/>
      </w:pPr>
      <w:r>
        <w:rPr>
          <w:rStyle w:val="FootnoteReference"/>
        </w:rPr>
        <w:footnoteRef/>
      </w:r>
      <w:r w:rsidR="001A711A">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 w:id="6">
    <w:p w14:paraId="26723EF1" w14:textId="01F0DD07" w:rsidR="00FF4558" w:rsidRDefault="00FF4558">
      <w:pPr>
        <w:pStyle w:val="FootnoteText"/>
      </w:pPr>
      <w:r>
        <w:rPr>
          <w:rStyle w:val="FootnoteReference"/>
        </w:rPr>
        <w:footnoteRef/>
      </w:r>
      <w:r>
        <w:t xml:space="preserve"> </w:t>
      </w:r>
      <w:r w:rsidRPr="00FF4558">
        <w:t>European Medicines Agency (EMA), Committee for Medicinal Products for Human Use (CHMP), ICH Guideline S6 (R1) – Preclinical Safety Evaluation of Biotechnology-Derived Pharmaceuticals, EMA/CHMP/ICH/731268/1998, June 2011.</w:t>
      </w:r>
    </w:p>
  </w:footnote>
  <w:footnote w:id="7">
    <w:p w14:paraId="540CC281" w14:textId="2151E140" w:rsidR="00FF4558" w:rsidRDefault="00FF4558">
      <w:pPr>
        <w:pStyle w:val="FootnoteText"/>
      </w:pPr>
      <w:r>
        <w:rPr>
          <w:rStyle w:val="FootnoteReference"/>
        </w:rPr>
        <w:footnoteRef/>
      </w:r>
      <w:r>
        <w:t xml:space="preserve"> </w:t>
      </w:r>
      <w:r w:rsidRPr="00FF4558">
        <w:t>European Medicines Agency (EMA), Committee for Medicinal Products for Human Use (CHMP), ICH Guideline S9 on Nonclinical Evaluation for Anticancer Pharmaceuticals, EMA/CHMP/ICH/646107/2008, May 2010.</w:t>
      </w:r>
    </w:p>
  </w:footnote>
  <w:footnote w:id="8">
    <w:p w14:paraId="144585FA" w14:textId="7A49B0E6" w:rsidR="0035716C" w:rsidRDefault="0035716C">
      <w:pPr>
        <w:pStyle w:val="FootnoteText"/>
      </w:pPr>
      <w:r>
        <w:rPr>
          <w:rStyle w:val="FootnoteReference"/>
        </w:rPr>
        <w:footnoteRef/>
      </w:r>
      <w:r>
        <w:t xml:space="preserve"> </w:t>
      </w:r>
      <w:r w:rsidRPr="007E5463">
        <w:rPr>
          <w:b/>
          <w:bCs/>
        </w:rPr>
        <w:t>Good Laboratory Practice (GLP)</w:t>
      </w:r>
      <w:r w:rsidRPr="0035716C">
        <w:t xml:space="preserve"> is a code of standards following the International Council on Harmonisation (ICH) relevant to testing of medicines in laboratories during drug development.</w:t>
      </w:r>
    </w:p>
  </w:footnote>
  <w:footnote w:id="9">
    <w:p w14:paraId="5A82F867" w14:textId="2D1C7597" w:rsidR="0035716C" w:rsidRDefault="0035716C" w:rsidP="0035716C">
      <w:pPr>
        <w:pStyle w:val="FootnoteText"/>
      </w:pPr>
      <w:r>
        <w:rPr>
          <w:rStyle w:val="FootnoteReference"/>
        </w:rPr>
        <w:footnoteRef/>
      </w:r>
      <w:r>
        <w:t xml:space="preserve"> </w:t>
      </w:r>
      <w:r w:rsidRPr="007E5463">
        <w:rPr>
          <w:b/>
          <w:bCs/>
        </w:rPr>
        <w:t xml:space="preserve">Pregnancy </w:t>
      </w:r>
      <w:r w:rsidR="007E5463" w:rsidRPr="007E5463">
        <w:rPr>
          <w:b/>
          <w:bCs/>
        </w:rPr>
        <w:t>C</w:t>
      </w:r>
      <w:r w:rsidRPr="007E5463">
        <w:rPr>
          <w:b/>
          <w:bCs/>
        </w:rPr>
        <w:t>ategory C</w:t>
      </w:r>
      <w:r>
        <w:t>: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10">
    <w:p w14:paraId="699DE6F5" w14:textId="4CA7ACFF" w:rsidR="00B174AC" w:rsidRDefault="00B174AC" w:rsidP="00B174AC">
      <w:pPr>
        <w:pStyle w:val="FootnoteText"/>
      </w:pPr>
      <w:r>
        <w:rPr>
          <w:rStyle w:val="FootnoteReference"/>
        </w:rPr>
        <w:footnoteRef/>
      </w:r>
      <w:r>
        <w:t xml:space="preserve"> Brookmeyer R and Crowley J. A Confidence Interval for the Median Survival Time</w:t>
      </w:r>
      <w:r w:rsidR="00B45638">
        <w:t>,</w:t>
      </w:r>
      <w:r>
        <w:t xml:space="preserve"> </w:t>
      </w:r>
      <w:r w:rsidRPr="00B45638">
        <w:rPr>
          <w:i/>
          <w:iCs/>
        </w:rPr>
        <w:t>Biometrics</w:t>
      </w:r>
      <w:r>
        <w:t xml:space="preserve">, </w:t>
      </w:r>
      <w:r w:rsidR="00B45638">
        <w:t xml:space="preserve">1982; </w:t>
      </w:r>
      <w:r>
        <w:t>38 (1)</w:t>
      </w:r>
      <w:r w:rsidR="00B45638">
        <w:t>:</w:t>
      </w:r>
      <w:r>
        <w:t xml:space="preserve"> 29-41.</w:t>
      </w:r>
    </w:p>
  </w:footnote>
  <w:footnote w:id="11">
    <w:p w14:paraId="3062D4E8" w14:textId="5DFBB619" w:rsidR="00DA7609" w:rsidRDefault="00DA7609">
      <w:pPr>
        <w:pStyle w:val="FootnoteText"/>
      </w:pPr>
      <w:r>
        <w:rPr>
          <w:rStyle w:val="FootnoteReference"/>
        </w:rPr>
        <w:footnoteRef/>
      </w:r>
      <w:r>
        <w:t xml:space="preserve"> T</w:t>
      </w:r>
      <w:r w:rsidRPr="00DA7609">
        <w:t>he delegate has assessed the plan</w:t>
      </w:r>
      <w:r>
        <w:t>.</w:t>
      </w:r>
    </w:p>
  </w:footnote>
  <w:footnote w:id="12">
    <w:p w14:paraId="56D30E26" w14:textId="78120548" w:rsidR="00BE6D6E" w:rsidRDefault="00BE6D6E">
      <w:pPr>
        <w:pStyle w:val="FootnoteText"/>
      </w:pPr>
      <w:r>
        <w:rPr>
          <w:rStyle w:val="FootnoteReference"/>
        </w:rPr>
        <w:footnoteRef/>
      </w:r>
      <w:r>
        <w:t xml:space="preserve"> </w:t>
      </w:r>
      <w:r w:rsidRPr="00BE6D6E">
        <w:t>The absence of a comparator arm is not unusual within the scope of a provisional registration.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FE077F"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0D2706F"/>
    <w:multiLevelType w:val="multilevel"/>
    <w:tmpl w:val="D3120E10"/>
    <w:lvl w:ilvl="0">
      <w:start w:val="1"/>
      <w:numFmt w:val="decimal"/>
      <w:pStyle w:val="3Bodyparagraph"/>
      <w:lvlText w:val="%1."/>
      <w:lvlJc w:val="left"/>
      <w:pPr>
        <w:ind w:left="1080" w:hanging="360"/>
      </w:pPr>
    </w:lvl>
    <w:lvl w:ilvl="1">
      <w:start w:val="1"/>
      <w:numFmt w:val="lowerLetter"/>
      <w:pStyle w:val="4Subparagrapha"/>
      <w:lvlText w:val="(%2)"/>
      <w:lvlJc w:val="left"/>
      <w:pPr>
        <w:ind w:left="1512" w:hanging="432"/>
      </w:pPr>
    </w:lvl>
    <w:lvl w:ilvl="2">
      <w:start w:val="1"/>
      <w:numFmt w:val="lowerRoman"/>
      <w:pStyle w:val="5Subparagraphi"/>
      <w:lvlText w:val="(%3)"/>
      <w:lvlJc w:val="left"/>
      <w:pPr>
        <w:ind w:left="1944" w:hanging="504"/>
      </w:pPr>
    </w:lvl>
    <w:lvl w:ilvl="3">
      <w:start w:val="1"/>
      <w:numFmt w:val="lowerRoman"/>
      <w:lvlText w:val="(%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3FF13EB"/>
    <w:multiLevelType w:val="hybridMultilevel"/>
    <w:tmpl w:val="A0CC3C06"/>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 w15:restartNumberingAfterBreak="0">
    <w:nsid w:val="2A3734B2"/>
    <w:multiLevelType w:val="hybridMultilevel"/>
    <w:tmpl w:val="EEF03550"/>
    <w:lvl w:ilvl="0" w:tplc="8E16577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7B72D5"/>
    <w:multiLevelType w:val="hybridMultilevel"/>
    <w:tmpl w:val="3878B570"/>
    <w:lvl w:ilvl="0" w:tplc="3FAAE4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6" w15:restartNumberingAfterBreak="0">
    <w:nsid w:val="62E1248D"/>
    <w:multiLevelType w:val="hybridMultilevel"/>
    <w:tmpl w:val="440851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5"/>
  </w:num>
  <w:num w:numId="2" w16cid:durableId="1856573705">
    <w:abstractNumId w:val="1"/>
  </w:num>
  <w:num w:numId="3" w16cid:durableId="357703499">
    <w:abstractNumId w:val="4"/>
  </w:num>
  <w:num w:numId="4" w16cid:durableId="1869176708">
    <w:abstractNumId w:val="14"/>
  </w:num>
  <w:num w:numId="5" w16cid:durableId="1652950129">
    <w:abstractNumId w:val="7"/>
  </w:num>
  <w:num w:numId="6" w16cid:durableId="1053193207">
    <w:abstractNumId w:val="12"/>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3"/>
  </w:num>
  <w:num w:numId="9" w16cid:durableId="173421270">
    <w:abstractNumId w:val="3"/>
  </w:num>
  <w:num w:numId="10" w16cid:durableId="2108043357">
    <w:abstractNumId w:val="6"/>
  </w:num>
  <w:num w:numId="11" w16cid:durableId="1725904230">
    <w:abstractNumId w:val="11"/>
  </w:num>
  <w:num w:numId="12" w16cid:durableId="141579354">
    <w:abstractNumId w:val="15"/>
  </w:num>
  <w:num w:numId="13" w16cid:durableId="283735081">
    <w:abstractNumId w:val="17"/>
  </w:num>
  <w:num w:numId="14" w16cid:durableId="10301044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737916">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5807979">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0919273">
    <w:abstractNumId w:val="16"/>
  </w:num>
  <w:num w:numId="18" w16cid:durableId="1220940103">
    <w:abstractNumId w:val="0"/>
  </w:num>
  <w:num w:numId="19" w16cid:durableId="2049141330">
    <w:abstractNumId w:val="8"/>
  </w:num>
  <w:num w:numId="20" w16cid:durableId="2083722920">
    <w:abstractNumId w:val="10"/>
  </w:num>
  <w:num w:numId="21" w16cid:durableId="6523753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624"/>
    <w:rsid w:val="00000E6E"/>
    <w:rsid w:val="00004406"/>
    <w:rsid w:val="00004431"/>
    <w:rsid w:val="00005B3F"/>
    <w:rsid w:val="00005B55"/>
    <w:rsid w:val="00006A82"/>
    <w:rsid w:val="0001064C"/>
    <w:rsid w:val="0001384A"/>
    <w:rsid w:val="00014499"/>
    <w:rsid w:val="00024394"/>
    <w:rsid w:val="00032A0F"/>
    <w:rsid w:val="0003464F"/>
    <w:rsid w:val="0003693D"/>
    <w:rsid w:val="00040D8D"/>
    <w:rsid w:val="00046423"/>
    <w:rsid w:val="000468EF"/>
    <w:rsid w:val="00052472"/>
    <w:rsid w:val="0006104E"/>
    <w:rsid w:val="00061CCF"/>
    <w:rsid w:val="000640BD"/>
    <w:rsid w:val="00065839"/>
    <w:rsid w:val="00065FDF"/>
    <w:rsid w:val="00074A35"/>
    <w:rsid w:val="00076376"/>
    <w:rsid w:val="00077844"/>
    <w:rsid w:val="000826AE"/>
    <w:rsid w:val="00085E6A"/>
    <w:rsid w:val="0009006C"/>
    <w:rsid w:val="00090510"/>
    <w:rsid w:val="000917AE"/>
    <w:rsid w:val="000948FF"/>
    <w:rsid w:val="00094B81"/>
    <w:rsid w:val="000975AA"/>
    <w:rsid w:val="000B0B3A"/>
    <w:rsid w:val="000B6B15"/>
    <w:rsid w:val="000C247D"/>
    <w:rsid w:val="000C25A7"/>
    <w:rsid w:val="000C4EB4"/>
    <w:rsid w:val="000C5C00"/>
    <w:rsid w:val="000D78EC"/>
    <w:rsid w:val="000D7934"/>
    <w:rsid w:val="000E10F1"/>
    <w:rsid w:val="000E2597"/>
    <w:rsid w:val="000E6746"/>
    <w:rsid w:val="000F14BF"/>
    <w:rsid w:val="000F2221"/>
    <w:rsid w:val="000F435D"/>
    <w:rsid w:val="000F7554"/>
    <w:rsid w:val="000F7B51"/>
    <w:rsid w:val="00101BEE"/>
    <w:rsid w:val="00101CE6"/>
    <w:rsid w:val="00101FB1"/>
    <w:rsid w:val="0010558A"/>
    <w:rsid w:val="001101FF"/>
    <w:rsid w:val="00112C4C"/>
    <w:rsid w:val="00122426"/>
    <w:rsid w:val="0012473C"/>
    <w:rsid w:val="00127A74"/>
    <w:rsid w:val="0013132F"/>
    <w:rsid w:val="0013306D"/>
    <w:rsid w:val="001348EB"/>
    <w:rsid w:val="0013528C"/>
    <w:rsid w:val="0014297E"/>
    <w:rsid w:val="001442A2"/>
    <w:rsid w:val="001468CA"/>
    <w:rsid w:val="001500A8"/>
    <w:rsid w:val="0015563C"/>
    <w:rsid w:val="00155D85"/>
    <w:rsid w:val="00165D28"/>
    <w:rsid w:val="0016677E"/>
    <w:rsid w:val="00166C0F"/>
    <w:rsid w:val="0017005C"/>
    <w:rsid w:val="00175CD8"/>
    <w:rsid w:val="00176411"/>
    <w:rsid w:val="00181F6D"/>
    <w:rsid w:val="00182BD8"/>
    <w:rsid w:val="001917C2"/>
    <w:rsid w:val="001A6A66"/>
    <w:rsid w:val="001A711A"/>
    <w:rsid w:val="001A76F9"/>
    <w:rsid w:val="001B06FF"/>
    <w:rsid w:val="001B1703"/>
    <w:rsid w:val="001C0E2E"/>
    <w:rsid w:val="001C1042"/>
    <w:rsid w:val="001C1C2E"/>
    <w:rsid w:val="001C31A1"/>
    <w:rsid w:val="001C3FA2"/>
    <w:rsid w:val="001C5EE2"/>
    <w:rsid w:val="001D0077"/>
    <w:rsid w:val="001D168D"/>
    <w:rsid w:val="001E081E"/>
    <w:rsid w:val="001E16A4"/>
    <w:rsid w:val="001E407B"/>
    <w:rsid w:val="001E59EF"/>
    <w:rsid w:val="001E7FC6"/>
    <w:rsid w:val="001F0C8C"/>
    <w:rsid w:val="001F2502"/>
    <w:rsid w:val="001F5A27"/>
    <w:rsid w:val="001F70A5"/>
    <w:rsid w:val="0020235D"/>
    <w:rsid w:val="00202C14"/>
    <w:rsid w:val="0020369B"/>
    <w:rsid w:val="00207B4D"/>
    <w:rsid w:val="002117B1"/>
    <w:rsid w:val="00217CCE"/>
    <w:rsid w:val="002203B1"/>
    <w:rsid w:val="00221206"/>
    <w:rsid w:val="00225B62"/>
    <w:rsid w:val="00226F39"/>
    <w:rsid w:val="00230924"/>
    <w:rsid w:val="002334AD"/>
    <w:rsid w:val="00241B60"/>
    <w:rsid w:val="002571CA"/>
    <w:rsid w:val="0025785B"/>
    <w:rsid w:val="00257969"/>
    <w:rsid w:val="00260908"/>
    <w:rsid w:val="00266E51"/>
    <w:rsid w:val="00267F52"/>
    <w:rsid w:val="002700EC"/>
    <w:rsid w:val="00271357"/>
    <w:rsid w:val="00272EA4"/>
    <w:rsid w:val="00280048"/>
    <w:rsid w:val="0028489E"/>
    <w:rsid w:val="002848DE"/>
    <w:rsid w:val="0028794E"/>
    <w:rsid w:val="00292108"/>
    <w:rsid w:val="00294F54"/>
    <w:rsid w:val="00296972"/>
    <w:rsid w:val="002A5841"/>
    <w:rsid w:val="002B1EDF"/>
    <w:rsid w:val="002B2061"/>
    <w:rsid w:val="002B7398"/>
    <w:rsid w:val="002B75CA"/>
    <w:rsid w:val="002C1232"/>
    <w:rsid w:val="002C1E44"/>
    <w:rsid w:val="002C5C92"/>
    <w:rsid w:val="002C5E29"/>
    <w:rsid w:val="002D0478"/>
    <w:rsid w:val="002D0F23"/>
    <w:rsid w:val="002D7127"/>
    <w:rsid w:val="002E066E"/>
    <w:rsid w:val="002F599E"/>
    <w:rsid w:val="003008D8"/>
    <w:rsid w:val="00301D9A"/>
    <w:rsid w:val="00303137"/>
    <w:rsid w:val="00303959"/>
    <w:rsid w:val="003041B7"/>
    <w:rsid w:val="00306E72"/>
    <w:rsid w:val="00312AC3"/>
    <w:rsid w:val="00314430"/>
    <w:rsid w:val="003163BC"/>
    <w:rsid w:val="00320DFB"/>
    <w:rsid w:val="003223EB"/>
    <w:rsid w:val="0032351A"/>
    <w:rsid w:val="00324B33"/>
    <w:rsid w:val="00327488"/>
    <w:rsid w:val="003318C5"/>
    <w:rsid w:val="00333ACC"/>
    <w:rsid w:val="00336FE1"/>
    <w:rsid w:val="00340348"/>
    <w:rsid w:val="00342D56"/>
    <w:rsid w:val="0034513F"/>
    <w:rsid w:val="003456E7"/>
    <w:rsid w:val="0034618D"/>
    <w:rsid w:val="00346EC2"/>
    <w:rsid w:val="003477F9"/>
    <w:rsid w:val="0035444D"/>
    <w:rsid w:val="00356D62"/>
    <w:rsid w:val="0035716C"/>
    <w:rsid w:val="00360B95"/>
    <w:rsid w:val="0036317B"/>
    <w:rsid w:val="00363EE3"/>
    <w:rsid w:val="003735F3"/>
    <w:rsid w:val="00374729"/>
    <w:rsid w:val="00381564"/>
    <w:rsid w:val="003839E5"/>
    <w:rsid w:val="003866E6"/>
    <w:rsid w:val="00387298"/>
    <w:rsid w:val="00387947"/>
    <w:rsid w:val="00387984"/>
    <w:rsid w:val="00395140"/>
    <w:rsid w:val="003A2422"/>
    <w:rsid w:val="003B149C"/>
    <w:rsid w:val="003B1509"/>
    <w:rsid w:val="003B791E"/>
    <w:rsid w:val="003C0FDB"/>
    <w:rsid w:val="003C1192"/>
    <w:rsid w:val="003C4B0F"/>
    <w:rsid w:val="003C55E2"/>
    <w:rsid w:val="003C5BA6"/>
    <w:rsid w:val="003C63D5"/>
    <w:rsid w:val="003C7AA8"/>
    <w:rsid w:val="003D71A1"/>
    <w:rsid w:val="00401C6C"/>
    <w:rsid w:val="00403271"/>
    <w:rsid w:val="00407189"/>
    <w:rsid w:val="0041688F"/>
    <w:rsid w:val="0042376F"/>
    <w:rsid w:val="004246B8"/>
    <w:rsid w:val="004259DD"/>
    <w:rsid w:val="00433318"/>
    <w:rsid w:val="00442A56"/>
    <w:rsid w:val="004444B0"/>
    <w:rsid w:val="0045060B"/>
    <w:rsid w:val="00461D72"/>
    <w:rsid w:val="004626FF"/>
    <w:rsid w:val="00462C7D"/>
    <w:rsid w:val="00470A52"/>
    <w:rsid w:val="00470B1D"/>
    <w:rsid w:val="00471BD5"/>
    <w:rsid w:val="00477C4E"/>
    <w:rsid w:val="00477F07"/>
    <w:rsid w:val="00481503"/>
    <w:rsid w:val="00481D12"/>
    <w:rsid w:val="004854A6"/>
    <w:rsid w:val="00491A55"/>
    <w:rsid w:val="00494C3E"/>
    <w:rsid w:val="00497163"/>
    <w:rsid w:val="00497DF1"/>
    <w:rsid w:val="004A1432"/>
    <w:rsid w:val="004A2099"/>
    <w:rsid w:val="004A318E"/>
    <w:rsid w:val="004B3081"/>
    <w:rsid w:val="004B33C7"/>
    <w:rsid w:val="004B4A09"/>
    <w:rsid w:val="004C41CE"/>
    <w:rsid w:val="004C631B"/>
    <w:rsid w:val="004D2F00"/>
    <w:rsid w:val="004D31D8"/>
    <w:rsid w:val="004D4BB0"/>
    <w:rsid w:val="004D5388"/>
    <w:rsid w:val="004D7D78"/>
    <w:rsid w:val="004E7F16"/>
    <w:rsid w:val="004F0C43"/>
    <w:rsid w:val="004F18EC"/>
    <w:rsid w:val="004F6584"/>
    <w:rsid w:val="004F6A8C"/>
    <w:rsid w:val="00500D68"/>
    <w:rsid w:val="00507B58"/>
    <w:rsid w:val="005209C4"/>
    <w:rsid w:val="00531D8E"/>
    <w:rsid w:val="00533178"/>
    <w:rsid w:val="0053377D"/>
    <w:rsid w:val="00533D52"/>
    <w:rsid w:val="00535DFE"/>
    <w:rsid w:val="005373B5"/>
    <w:rsid w:val="00537AB7"/>
    <w:rsid w:val="00542398"/>
    <w:rsid w:val="0054669B"/>
    <w:rsid w:val="0055499E"/>
    <w:rsid w:val="005610D1"/>
    <w:rsid w:val="00562F42"/>
    <w:rsid w:val="00564A39"/>
    <w:rsid w:val="00565739"/>
    <w:rsid w:val="00566C07"/>
    <w:rsid w:val="0056766D"/>
    <w:rsid w:val="00574589"/>
    <w:rsid w:val="00575215"/>
    <w:rsid w:val="00583360"/>
    <w:rsid w:val="0058575E"/>
    <w:rsid w:val="0058783C"/>
    <w:rsid w:val="00590C3A"/>
    <w:rsid w:val="005911AE"/>
    <w:rsid w:val="005926E2"/>
    <w:rsid w:val="0059313A"/>
    <w:rsid w:val="005A4E62"/>
    <w:rsid w:val="005A54EA"/>
    <w:rsid w:val="005A7795"/>
    <w:rsid w:val="005A7DE8"/>
    <w:rsid w:val="005B023F"/>
    <w:rsid w:val="005B02A2"/>
    <w:rsid w:val="005B1417"/>
    <w:rsid w:val="005B4BD4"/>
    <w:rsid w:val="005B69CF"/>
    <w:rsid w:val="005C2979"/>
    <w:rsid w:val="005C3F07"/>
    <w:rsid w:val="005C4B46"/>
    <w:rsid w:val="005C5DC5"/>
    <w:rsid w:val="005D2089"/>
    <w:rsid w:val="005D246C"/>
    <w:rsid w:val="005D7514"/>
    <w:rsid w:val="005E0FC6"/>
    <w:rsid w:val="005E1A7B"/>
    <w:rsid w:val="005E231F"/>
    <w:rsid w:val="00602D6E"/>
    <w:rsid w:val="00605C05"/>
    <w:rsid w:val="00611351"/>
    <w:rsid w:val="0061217D"/>
    <w:rsid w:val="00620A95"/>
    <w:rsid w:val="00620F81"/>
    <w:rsid w:val="0062128D"/>
    <w:rsid w:val="006249E0"/>
    <w:rsid w:val="006277A1"/>
    <w:rsid w:val="00633BD7"/>
    <w:rsid w:val="00634580"/>
    <w:rsid w:val="00634884"/>
    <w:rsid w:val="006351D9"/>
    <w:rsid w:val="00637130"/>
    <w:rsid w:val="00637F0E"/>
    <w:rsid w:val="006423F2"/>
    <w:rsid w:val="00647000"/>
    <w:rsid w:val="00653EBB"/>
    <w:rsid w:val="0066044B"/>
    <w:rsid w:val="006630AA"/>
    <w:rsid w:val="00663544"/>
    <w:rsid w:val="00664D8C"/>
    <w:rsid w:val="006657A8"/>
    <w:rsid w:val="00666539"/>
    <w:rsid w:val="00666911"/>
    <w:rsid w:val="00670F34"/>
    <w:rsid w:val="0067334B"/>
    <w:rsid w:val="006759F3"/>
    <w:rsid w:val="00675F81"/>
    <w:rsid w:val="00680567"/>
    <w:rsid w:val="0068143E"/>
    <w:rsid w:val="0068507D"/>
    <w:rsid w:val="00691AF2"/>
    <w:rsid w:val="00692B80"/>
    <w:rsid w:val="00692CCD"/>
    <w:rsid w:val="00692D51"/>
    <w:rsid w:val="00693002"/>
    <w:rsid w:val="00694DD7"/>
    <w:rsid w:val="0069636B"/>
    <w:rsid w:val="006A1762"/>
    <w:rsid w:val="006A1F0B"/>
    <w:rsid w:val="006A277A"/>
    <w:rsid w:val="006A45BF"/>
    <w:rsid w:val="006A5973"/>
    <w:rsid w:val="006A6125"/>
    <w:rsid w:val="006B7126"/>
    <w:rsid w:val="006C568A"/>
    <w:rsid w:val="006C6B86"/>
    <w:rsid w:val="006C7EED"/>
    <w:rsid w:val="006D0D36"/>
    <w:rsid w:val="006D1FAA"/>
    <w:rsid w:val="006D4553"/>
    <w:rsid w:val="006D6B44"/>
    <w:rsid w:val="006D712C"/>
    <w:rsid w:val="006E27FE"/>
    <w:rsid w:val="00701110"/>
    <w:rsid w:val="007023BA"/>
    <w:rsid w:val="00702E91"/>
    <w:rsid w:val="0070330F"/>
    <w:rsid w:val="00703624"/>
    <w:rsid w:val="007046ED"/>
    <w:rsid w:val="00705E8E"/>
    <w:rsid w:val="007072A1"/>
    <w:rsid w:val="00710BC5"/>
    <w:rsid w:val="007121CA"/>
    <w:rsid w:val="0072003B"/>
    <w:rsid w:val="0072010E"/>
    <w:rsid w:val="00721059"/>
    <w:rsid w:val="007211E6"/>
    <w:rsid w:val="007220C4"/>
    <w:rsid w:val="00722AB4"/>
    <w:rsid w:val="00730940"/>
    <w:rsid w:val="00732361"/>
    <w:rsid w:val="007357B9"/>
    <w:rsid w:val="00741AB9"/>
    <w:rsid w:val="00742D03"/>
    <w:rsid w:val="00744216"/>
    <w:rsid w:val="0074509E"/>
    <w:rsid w:val="007452E8"/>
    <w:rsid w:val="00746990"/>
    <w:rsid w:val="00747093"/>
    <w:rsid w:val="00750D70"/>
    <w:rsid w:val="00753AB8"/>
    <w:rsid w:val="007575D0"/>
    <w:rsid w:val="007662E0"/>
    <w:rsid w:val="00773110"/>
    <w:rsid w:val="00776E9C"/>
    <w:rsid w:val="007816D8"/>
    <w:rsid w:val="00784150"/>
    <w:rsid w:val="007859C2"/>
    <w:rsid w:val="00793272"/>
    <w:rsid w:val="00793B5E"/>
    <w:rsid w:val="00794B64"/>
    <w:rsid w:val="007967C3"/>
    <w:rsid w:val="007A0A33"/>
    <w:rsid w:val="007A1033"/>
    <w:rsid w:val="007A47E6"/>
    <w:rsid w:val="007A4CA9"/>
    <w:rsid w:val="007B04DE"/>
    <w:rsid w:val="007B0AE6"/>
    <w:rsid w:val="007B455B"/>
    <w:rsid w:val="007C0F0B"/>
    <w:rsid w:val="007C23E8"/>
    <w:rsid w:val="007C57BC"/>
    <w:rsid w:val="007D04CA"/>
    <w:rsid w:val="007D0A2B"/>
    <w:rsid w:val="007D12A1"/>
    <w:rsid w:val="007D40E5"/>
    <w:rsid w:val="007D4138"/>
    <w:rsid w:val="007E1921"/>
    <w:rsid w:val="007E4178"/>
    <w:rsid w:val="007E5463"/>
    <w:rsid w:val="007E7725"/>
    <w:rsid w:val="007F0A77"/>
    <w:rsid w:val="007F50D3"/>
    <w:rsid w:val="007F6B1F"/>
    <w:rsid w:val="008007BD"/>
    <w:rsid w:val="00804897"/>
    <w:rsid w:val="00831100"/>
    <w:rsid w:val="008329DB"/>
    <w:rsid w:val="00834F29"/>
    <w:rsid w:val="00835322"/>
    <w:rsid w:val="008361C5"/>
    <w:rsid w:val="0083628F"/>
    <w:rsid w:val="00837AB9"/>
    <w:rsid w:val="008424BF"/>
    <w:rsid w:val="00842D8E"/>
    <w:rsid w:val="00844F74"/>
    <w:rsid w:val="00847ABA"/>
    <w:rsid w:val="00850637"/>
    <w:rsid w:val="00854D98"/>
    <w:rsid w:val="0085751E"/>
    <w:rsid w:val="00860B29"/>
    <w:rsid w:val="008622E8"/>
    <w:rsid w:val="008645EE"/>
    <w:rsid w:val="00870144"/>
    <w:rsid w:val="00870A2B"/>
    <w:rsid w:val="00873D7A"/>
    <w:rsid w:val="00877CB3"/>
    <w:rsid w:val="00877DF0"/>
    <w:rsid w:val="00877FDF"/>
    <w:rsid w:val="008804CF"/>
    <w:rsid w:val="00882D58"/>
    <w:rsid w:val="00882F19"/>
    <w:rsid w:val="00883D35"/>
    <w:rsid w:val="00884569"/>
    <w:rsid w:val="008877ED"/>
    <w:rsid w:val="00887A51"/>
    <w:rsid w:val="00890D9B"/>
    <w:rsid w:val="00891C6C"/>
    <w:rsid w:val="00893CCD"/>
    <w:rsid w:val="008964B3"/>
    <w:rsid w:val="008A3241"/>
    <w:rsid w:val="008A3C6C"/>
    <w:rsid w:val="008A4398"/>
    <w:rsid w:val="008A6A7F"/>
    <w:rsid w:val="008A6C02"/>
    <w:rsid w:val="008B1CB5"/>
    <w:rsid w:val="008B5435"/>
    <w:rsid w:val="008B67EF"/>
    <w:rsid w:val="008C016C"/>
    <w:rsid w:val="008C2D69"/>
    <w:rsid w:val="008C49C6"/>
    <w:rsid w:val="008C754C"/>
    <w:rsid w:val="008D1009"/>
    <w:rsid w:val="008D56C9"/>
    <w:rsid w:val="008D6A54"/>
    <w:rsid w:val="008D7CC5"/>
    <w:rsid w:val="008E2585"/>
    <w:rsid w:val="008E2D7A"/>
    <w:rsid w:val="008F3215"/>
    <w:rsid w:val="008F4A62"/>
    <w:rsid w:val="00900A68"/>
    <w:rsid w:val="0090424C"/>
    <w:rsid w:val="0090605E"/>
    <w:rsid w:val="009108CE"/>
    <w:rsid w:val="00912266"/>
    <w:rsid w:val="00913DF8"/>
    <w:rsid w:val="00915A9F"/>
    <w:rsid w:val="00930D58"/>
    <w:rsid w:val="0093291E"/>
    <w:rsid w:val="00933BB6"/>
    <w:rsid w:val="00935AAA"/>
    <w:rsid w:val="00947366"/>
    <w:rsid w:val="0094A1ED"/>
    <w:rsid w:val="0095031E"/>
    <w:rsid w:val="00956D6A"/>
    <w:rsid w:val="00960A56"/>
    <w:rsid w:val="00966EF1"/>
    <w:rsid w:val="00967223"/>
    <w:rsid w:val="009751F7"/>
    <w:rsid w:val="0098350E"/>
    <w:rsid w:val="0099404F"/>
    <w:rsid w:val="00996F50"/>
    <w:rsid w:val="00996FA5"/>
    <w:rsid w:val="009A0B9B"/>
    <w:rsid w:val="009A0F52"/>
    <w:rsid w:val="009B3C29"/>
    <w:rsid w:val="009B5662"/>
    <w:rsid w:val="009B759A"/>
    <w:rsid w:val="009C2211"/>
    <w:rsid w:val="009C40E8"/>
    <w:rsid w:val="009C426A"/>
    <w:rsid w:val="009C45C5"/>
    <w:rsid w:val="009D3D57"/>
    <w:rsid w:val="009E6858"/>
    <w:rsid w:val="009E6F8C"/>
    <w:rsid w:val="009F1593"/>
    <w:rsid w:val="009F2241"/>
    <w:rsid w:val="00A01C56"/>
    <w:rsid w:val="00A0241E"/>
    <w:rsid w:val="00A11AD9"/>
    <w:rsid w:val="00A21A17"/>
    <w:rsid w:val="00A32C50"/>
    <w:rsid w:val="00A33843"/>
    <w:rsid w:val="00A358E7"/>
    <w:rsid w:val="00A4380B"/>
    <w:rsid w:val="00A51A2D"/>
    <w:rsid w:val="00A5596B"/>
    <w:rsid w:val="00A63C07"/>
    <w:rsid w:val="00A63D9B"/>
    <w:rsid w:val="00A66955"/>
    <w:rsid w:val="00A66963"/>
    <w:rsid w:val="00A704DC"/>
    <w:rsid w:val="00A91A17"/>
    <w:rsid w:val="00A93DC6"/>
    <w:rsid w:val="00A9411A"/>
    <w:rsid w:val="00A9478B"/>
    <w:rsid w:val="00AA490F"/>
    <w:rsid w:val="00AA4A4B"/>
    <w:rsid w:val="00AA6682"/>
    <w:rsid w:val="00AB27F9"/>
    <w:rsid w:val="00AB7CBF"/>
    <w:rsid w:val="00AC034D"/>
    <w:rsid w:val="00AC5A67"/>
    <w:rsid w:val="00AC6AEA"/>
    <w:rsid w:val="00AD0111"/>
    <w:rsid w:val="00AD4C72"/>
    <w:rsid w:val="00AD5451"/>
    <w:rsid w:val="00AE1947"/>
    <w:rsid w:val="00AE40BB"/>
    <w:rsid w:val="00AF117B"/>
    <w:rsid w:val="00AF1C8B"/>
    <w:rsid w:val="00AF299B"/>
    <w:rsid w:val="00AF5CFB"/>
    <w:rsid w:val="00AF7E43"/>
    <w:rsid w:val="00B02AE0"/>
    <w:rsid w:val="00B05326"/>
    <w:rsid w:val="00B1228E"/>
    <w:rsid w:val="00B12ADF"/>
    <w:rsid w:val="00B14545"/>
    <w:rsid w:val="00B14867"/>
    <w:rsid w:val="00B14E60"/>
    <w:rsid w:val="00B161AA"/>
    <w:rsid w:val="00B174AC"/>
    <w:rsid w:val="00B17BA2"/>
    <w:rsid w:val="00B26DC3"/>
    <w:rsid w:val="00B30B9D"/>
    <w:rsid w:val="00B34D6F"/>
    <w:rsid w:val="00B45638"/>
    <w:rsid w:val="00B4574D"/>
    <w:rsid w:val="00B468E1"/>
    <w:rsid w:val="00B46BC0"/>
    <w:rsid w:val="00B46DFB"/>
    <w:rsid w:val="00B5141B"/>
    <w:rsid w:val="00B5312C"/>
    <w:rsid w:val="00B53514"/>
    <w:rsid w:val="00B54702"/>
    <w:rsid w:val="00B55681"/>
    <w:rsid w:val="00B57AAD"/>
    <w:rsid w:val="00B63EEC"/>
    <w:rsid w:val="00B72B16"/>
    <w:rsid w:val="00B80408"/>
    <w:rsid w:val="00B81397"/>
    <w:rsid w:val="00B919DD"/>
    <w:rsid w:val="00B925DB"/>
    <w:rsid w:val="00B941C2"/>
    <w:rsid w:val="00B967FF"/>
    <w:rsid w:val="00B974B9"/>
    <w:rsid w:val="00BA0CE4"/>
    <w:rsid w:val="00BA364F"/>
    <w:rsid w:val="00BA3F6D"/>
    <w:rsid w:val="00BA4BE6"/>
    <w:rsid w:val="00BA4FC0"/>
    <w:rsid w:val="00BA516A"/>
    <w:rsid w:val="00BA5476"/>
    <w:rsid w:val="00BA61E0"/>
    <w:rsid w:val="00BA7F7D"/>
    <w:rsid w:val="00BB1C14"/>
    <w:rsid w:val="00BB3B23"/>
    <w:rsid w:val="00BB6847"/>
    <w:rsid w:val="00BB7F8F"/>
    <w:rsid w:val="00BC2F06"/>
    <w:rsid w:val="00BC716A"/>
    <w:rsid w:val="00BD07DF"/>
    <w:rsid w:val="00BD26F4"/>
    <w:rsid w:val="00BD3B78"/>
    <w:rsid w:val="00BD5D98"/>
    <w:rsid w:val="00BD5DBD"/>
    <w:rsid w:val="00BD5DF6"/>
    <w:rsid w:val="00BD728D"/>
    <w:rsid w:val="00BE0041"/>
    <w:rsid w:val="00BE640F"/>
    <w:rsid w:val="00BE6918"/>
    <w:rsid w:val="00BE6D6E"/>
    <w:rsid w:val="00BF4638"/>
    <w:rsid w:val="00C00649"/>
    <w:rsid w:val="00C0338A"/>
    <w:rsid w:val="00C03FA0"/>
    <w:rsid w:val="00C059D0"/>
    <w:rsid w:val="00C07551"/>
    <w:rsid w:val="00C1109F"/>
    <w:rsid w:val="00C12D65"/>
    <w:rsid w:val="00C133AB"/>
    <w:rsid w:val="00C1536A"/>
    <w:rsid w:val="00C20B56"/>
    <w:rsid w:val="00C22214"/>
    <w:rsid w:val="00C2357B"/>
    <w:rsid w:val="00C26F72"/>
    <w:rsid w:val="00C30123"/>
    <w:rsid w:val="00C309A7"/>
    <w:rsid w:val="00C335AB"/>
    <w:rsid w:val="00C379EF"/>
    <w:rsid w:val="00C407AB"/>
    <w:rsid w:val="00C46CE2"/>
    <w:rsid w:val="00C52B7B"/>
    <w:rsid w:val="00C547CD"/>
    <w:rsid w:val="00C570FF"/>
    <w:rsid w:val="00C57CEA"/>
    <w:rsid w:val="00C57EDE"/>
    <w:rsid w:val="00C60FEC"/>
    <w:rsid w:val="00C62BFD"/>
    <w:rsid w:val="00C6574E"/>
    <w:rsid w:val="00C707FD"/>
    <w:rsid w:val="00C76DEB"/>
    <w:rsid w:val="00C77DD1"/>
    <w:rsid w:val="00C816C6"/>
    <w:rsid w:val="00C83B99"/>
    <w:rsid w:val="00C840C4"/>
    <w:rsid w:val="00C86382"/>
    <w:rsid w:val="00C863A7"/>
    <w:rsid w:val="00C912F4"/>
    <w:rsid w:val="00C9156F"/>
    <w:rsid w:val="00C9581A"/>
    <w:rsid w:val="00C97D29"/>
    <w:rsid w:val="00CA3E1D"/>
    <w:rsid w:val="00CB0550"/>
    <w:rsid w:val="00CB4EE9"/>
    <w:rsid w:val="00CB6813"/>
    <w:rsid w:val="00CD12F4"/>
    <w:rsid w:val="00CF6A55"/>
    <w:rsid w:val="00CF6DC6"/>
    <w:rsid w:val="00CF6DCF"/>
    <w:rsid w:val="00D01D45"/>
    <w:rsid w:val="00D01DDB"/>
    <w:rsid w:val="00D0661E"/>
    <w:rsid w:val="00D078BE"/>
    <w:rsid w:val="00D115B1"/>
    <w:rsid w:val="00D13F8A"/>
    <w:rsid w:val="00D16F60"/>
    <w:rsid w:val="00D22981"/>
    <w:rsid w:val="00D25F24"/>
    <w:rsid w:val="00D33357"/>
    <w:rsid w:val="00D3349B"/>
    <w:rsid w:val="00D34A99"/>
    <w:rsid w:val="00D373C7"/>
    <w:rsid w:val="00D424A8"/>
    <w:rsid w:val="00D44557"/>
    <w:rsid w:val="00D51290"/>
    <w:rsid w:val="00D568F8"/>
    <w:rsid w:val="00D6036F"/>
    <w:rsid w:val="00D612A7"/>
    <w:rsid w:val="00D62877"/>
    <w:rsid w:val="00D6322A"/>
    <w:rsid w:val="00D63760"/>
    <w:rsid w:val="00D64159"/>
    <w:rsid w:val="00D64FC7"/>
    <w:rsid w:val="00D66C8F"/>
    <w:rsid w:val="00D6703F"/>
    <w:rsid w:val="00D734EB"/>
    <w:rsid w:val="00D82713"/>
    <w:rsid w:val="00D86F00"/>
    <w:rsid w:val="00D918D5"/>
    <w:rsid w:val="00D93D64"/>
    <w:rsid w:val="00D94C8E"/>
    <w:rsid w:val="00D9701E"/>
    <w:rsid w:val="00DA3EF1"/>
    <w:rsid w:val="00DA7609"/>
    <w:rsid w:val="00DB1372"/>
    <w:rsid w:val="00DB192C"/>
    <w:rsid w:val="00DB1CF3"/>
    <w:rsid w:val="00DB5425"/>
    <w:rsid w:val="00DB72A6"/>
    <w:rsid w:val="00DC6611"/>
    <w:rsid w:val="00DD3D37"/>
    <w:rsid w:val="00DE1344"/>
    <w:rsid w:val="00DE3B5B"/>
    <w:rsid w:val="00DE53DA"/>
    <w:rsid w:val="00DF5BFE"/>
    <w:rsid w:val="00E0523F"/>
    <w:rsid w:val="00E07BB4"/>
    <w:rsid w:val="00E156A7"/>
    <w:rsid w:val="00E21753"/>
    <w:rsid w:val="00E23E50"/>
    <w:rsid w:val="00E24619"/>
    <w:rsid w:val="00E26213"/>
    <w:rsid w:val="00E274DF"/>
    <w:rsid w:val="00E27E84"/>
    <w:rsid w:val="00E34D66"/>
    <w:rsid w:val="00E362C4"/>
    <w:rsid w:val="00E404F3"/>
    <w:rsid w:val="00E41B8F"/>
    <w:rsid w:val="00E46CC2"/>
    <w:rsid w:val="00E47B9E"/>
    <w:rsid w:val="00E47E0C"/>
    <w:rsid w:val="00E51813"/>
    <w:rsid w:val="00E52C0B"/>
    <w:rsid w:val="00E53D3F"/>
    <w:rsid w:val="00E54E4B"/>
    <w:rsid w:val="00E5579B"/>
    <w:rsid w:val="00E57FF4"/>
    <w:rsid w:val="00E65F06"/>
    <w:rsid w:val="00E679D1"/>
    <w:rsid w:val="00E67C1C"/>
    <w:rsid w:val="00E7642B"/>
    <w:rsid w:val="00E801C5"/>
    <w:rsid w:val="00E91F11"/>
    <w:rsid w:val="00E968F7"/>
    <w:rsid w:val="00E9706D"/>
    <w:rsid w:val="00EA3AF4"/>
    <w:rsid w:val="00EA44D5"/>
    <w:rsid w:val="00EB1C48"/>
    <w:rsid w:val="00ED47A2"/>
    <w:rsid w:val="00EE2771"/>
    <w:rsid w:val="00EF3F0B"/>
    <w:rsid w:val="00EF5583"/>
    <w:rsid w:val="00EF680F"/>
    <w:rsid w:val="00F0289D"/>
    <w:rsid w:val="00F02AEC"/>
    <w:rsid w:val="00F07572"/>
    <w:rsid w:val="00F146CB"/>
    <w:rsid w:val="00F157FC"/>
    <w:rsid w:val="00F276B4"/>
    <w:rsid w:val="00F30AF3"/>
    <w:rsid w:val="00F313D2"/>
    <w:rsid w:val="00F31F1D"/>
    <w:rsid w:val="00F3694D"/>
    <w:rsid w:val="00F37438"/>
    <w:rsid w:val="00F43CD1"/>
    <w:rsid w:val="00F45AE0"/>
    <w:rsid w:val="00F5011A"/>
    <w:rsid w:val="00F557AB"/>
    <w:rsid w:val="00F5638D"/>
    <w:rsid w:val="00F60CF2"/>
    <w:rsid w:val="00F657B4"/>
    <w:rsid w:val="00F70494"/>
    <w:rsid w:val="00F7649F"/>
    <w:rsid w:val="00F77EBF"/>
    <w:rsid w:val="00F8083B"/>
    <w:rsid w:val="00F865A7"/>
    <w:rsid w:val="00F94A46"/>
    <w:rsid w:val="00F97610"/>
    <w:rsid w:val="00FA0754"/>
    <w:rsid w:val="00FA1BC9"/>
    <w:rsid w:val="00FA20CA"/>
    <w:rsid w:val="00FA2E16"/>
    <w:rsid w:val="00FA49C3"/>
    <w:rsid w:val="00FB236E"/>
    <w:rsid w:val="00FB3733"/>
    <w:rsid w:val="00FB3F7B"/>
    <w:rsid w:val="00FB4C2A"/>
    <w:rsid w:val="00FC2107"/>
    <w:rsid w:val="00FC3281"/>
    <w:rsid w:val="00FC48FE"/>
    <w:rsid w:val="00FC6F56"/>
    <w:rsid w:val="00FD1581"/>
    <w:rsid w:val="00FE077F"/>
    <w:rsid w:val="00FE087C"/>
    <w:rsid w:val="00FE79A0"/>
    <w:rsid w:val="00FF0939"/>
    <w:rsid w:val="00FF4558"/>
    <w:rsid w:val="0678FC85"/>
    <w:rsid w:val="101C7A34"/>
    <w:rsid w:val="1C650506"/>
    <w:rsid w:val="1D546B60"/>
    <w:rsid w:val="1EB66F93"/>
    <w:rsid w:val="21C9CD48"/>
    <w:rsid w:val="2613FE17"/>
    <w:rsid w:val="267A8B1F"/>
    <w:rsid w:val="26E1250D"/>
    <w:rsid w:val="2C649124"/>
    <w:rsid w:val="2E1A70FB"/>
    <w:rsid w:val="35C71DD5"/>
    <w:rsid w:val="388402F5"/>
    <w:rsid w:val="3C098AC6"/>
    <w:rsid w:val="3EADB251"/>
    <w:rsid w:val="430F6595"/>
    <w:rsid w:val="498E9AA3"/>
    <w:rsid w:val="4C6A9DE9"/>
    <w:rsid w:val="52E06B32"/>
    <w:rsid w:val="539C432D"/>
    <w:rsid w:val="5A43A17F"/>
    <w:rsid w:val="5DCD4C9D"/>
    <w:rsid w:val="5EFCEA09"/>
    <w:rsid w:val="6247C2F8"/>
    <w:rsid w:val="6A2047B5"/>
    <w:rsid w:val="6A5F54EF"/>
    <w:rsid w:val="78F44B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BE868FD0-5CE3-46EE-AF77-FC7F21FE5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3Bodyparagraph">
    <w:name w:val="3. Body paragraph"/>
    <w:basedOn w:val="Normal"/>
    <w:qFormat/>
    <w:rsid w:val="001D168D"/>
    <w:pPr>
      <w:numPr>
        <w:numId w:val="14"/>
      </w:numPr>
      <w:adjustRightInd w:val="0"/>
      <w:snapToGrid w:val="0"/>
      <w:spacing w:before="240" w:after="0" w:line="240" w:lineRule="atLeast"/>
    </w:pPr>
    <w:rPr>
      <w:rFonts w:asciiTheme="minorHAnsi" w:eastAsia="MS Mincho" w:hAnsiTheme="minorHAnsi" w:cs="Times New Roman"/>
      <w:lang w:eastAsia="ja-JP"/>
    </w:rPr>
  </w:style>
  <w:style w:type="paragraph" w:customStyle="1" w:styleId="4Subparagrapha">
    <w:name w:val="4. Subparagraph (a)"/>
    <w:basedOn w:val="3Bodyparagraph"/>
    <w:qFormat/>
    <w:rsid w:val="001D168D"/>
    <w:pPr>
      <w:numPr>
        <w:ilvl w:val="1"/>
      </w:numPr>
      <w:ind w:left="1134" w:hanging="567"/>
    </w:pPr>
  </w:style>
  <w:style w:type="paragraph" w:customStyle="1" w:styleId="5Subparagraphi">
    <w:name w:val="5. Subparagraph (i)"/>
    <w:basedOn w:val="4Subparagrapha"/>
    <w:qFormat/>
    <w:rsid w:val="001D168D"/>
    <w:pPr>
      <w:numPr>
        <w:ilvl w:val="2"/>
      </w:numPr>
      <w:ind w:left="1701" w:hanging="567"/>
    </w:pPr>
  </w:style>
  <w:style w:type="table" w:customStyle="1" w:styleId="TableTGAblue1">
    <w:name w:val="Table TGA blue1"/>
    <w:basedOn w:val="TableNormal"/>
    <w:uiPriority w:val="99"/>
    <w:qFormat/>
    <w:rsid w:val="003B1509"/>
    <w:pPr>
      <w:spacing w:after="0" w:line="240" w:lineRule="auto"/>
      <w:ind w:left="170" w:right="170"/>
    </w:pPr>
    <w:rPr>
      <w:rFonts w:ascii="Cambria" w:hAnsi="Cambria" w:cs="Times New Roman"/>
      <w:color w:val="000000" w:themeColor="text1"/>
      <w:sz w:val="22"/>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100" w:beforeAutospacing="1" w:afterLines="0" w:after="100" w:afterAutospacing="1"/>
      </w:pPr>
      <w:rPr>
        <w:rFonts w:ascii="Cambria" w:hAnsi="Cambria" w:hint="default"/>
        <w:b/>
        <w:color w:val="FFFFFF" w:themeColor="background1"/>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wordWrap/>
      </w:pPr>
    </w:tblStylePr>
  </w:style>
  <w:style w:type="table" w:customStyle="1" w:styleId="TableTGAblue2">
    <w:name w:val="Table TGA blue2"/>
    <w:basedOn w:val="TableNormal"/>
    <w:uiPriority w:val="99"/>
    <w:qFormat/>
    <w:rsid w:val="003B1509"/>
    <w:pPr>
      <w:spacing w:after="0" w:line="240" w:lineRule="auto"/>
      <w:ind w:left="170" w:right="170"/>
    </w:pPr>
    <w:rPr>
      <w:rFonts w:ascii="Cambria" w:hAnsi="Cambria" w:cs="Times New Roman"/>
      <w:color w:val="000000" w:themeColor="text1"/>
      <w:sz w:val="22"/>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100" w:beforeAutospacing="1" w:afterLines="0" w:after="100" w:afterAutospacing="1"/>
      </w:pPr>
      <w:rPr>
        <w:rFonts w:ascii="Cambria" w:hAnsi="Cambria" w:hint="default"/>
        <w:b/>
        <w:color w:val="FFFFFF" w:themeColor="background1"/>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wordWrap/>
      </w:pPr>
    </w:tblStylePr>
  </w:style>
  <w:style w:type="paragraph" w:customStyle="1" w:styleId="Standard">
    <w:name w:val="Standard"/>
    <w:basedOn w:val="Normal"/>
    <w:link w:val="StandardChar"/>
    <w:qFormat/>
    <w:rsid w:val="006657A8"/>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6657A8"/>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6657A8"/>
    <w:pPr>
      <w:numPr>
        <w:numId w:val="18"/>
      </w:numPr>
      <w:spacing w:after="180"/>
      <w:ind w:left="426" w:hanging="284"/>
    </w:pPr>
    <w:rPr>
      <w:kern w:val="2"/>
      <w:szCs w:val="22"/>
    </w:rPr>
  </w:style>
  <w:style w:type="character" w:customStyle="1" w:styleId="BulletlistChar">
    <w:name w:val="Bullet list Char"/>
    <w:basedOn w:val="StandardChar"/>
    <w:link w:val="Bulletlist"/>
    <w:rsid w:val="006657A8"/>
    <w:rPr>
      <w:rFonts w:ascii="Cambria" w:eastAsia="Times New Roman" w:hAnsi="Cambria" w:cs="Times New Roman"/>
      <w:snapToGrid w:val="0"/>
      <w:kern w:val="2"/>
      <w:sz w:val="23"/>
      <w:szCs w:val="22"/>
    </w:rPr>
  </w:style>
  <w:style w:type="character" w:customStyle="1" w:styleId="cf01">
    <w:name w:val="cf01"/>
    <w:basedOn w:val="DefaultParagraphFont"/>
    <w:rsid w:val="009B759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341280">
      <w:bodyDiv w:val="1"/>
      <w:marLeft w:val="0"/>
      <w:marRight w:val="0"/>
      <w:marTop w:val="0"/>
      <w:marBottom w:val="0"/>
      <w:divBdr>
        <w:top w:val="none" w:sz="0" w:space="0" w:color="auto"/>
        <w:left w:val="none" w:sz="0" w:space="0" w:color="auto"/>
        <w:bottom w:val="none" w:sz="0" w:space="0" w:color="auto"/>
        <w:right w:val="none" w:sz="0" w:space="0" w:color="auto"/>
      </w:divBdr>
    </w:div>
    <w:div w:id="557282880">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997341985">
      <w:bodyDiv w:val="1"/>
      <w:marLeft w:val="0"/>
      <w:marRight w:val="0"/>
      <w:marTop w:val="0"/>
      <w:marBottom w:val="0"/>
      <w:divBdr>
        <w:top w:val="none" w:sz="0" w:space="0" w:color="auto"/>
        <w:left w:val="none" w:sz="0" w:space="0" w:color="auto"/>
        <w:bottom w:val="none" w:sz="0" w:space="0" w:color="auto"/>
        <w:right w:val="none" w:sz="0" w:space="0" w:color="auto"/>
      </w:divBdr>
    </w:div>
    <w:div w:id="1008631506">
      <w:bodyDiv w:val="1"/>
      <w:marLeft w:val="0"/>
      <w:marRight w:val="0"/>
      <w:marTop w:val="0"/>
      <w:marBottom w:val="0"/>
      <w:divBdr>
        <w:top w:val="none" w:sz="0" w:space="0" w:color="auto"/>
        <w:left w:val="none" w:sz="0" w:space="0" w:color="auto"/>
        <w:bottom w:val="none" w:sz="0" w:space="0" w:color="auto"/>
        <w:right w:val="none" w:sz="0" w:space="0" w:color="auto"/>
      </w:divBdr>
    </w:div>
    <w:div w:id="102159317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633092803">
      <w:bodyDiv w:val="1"/>
      <w:marLeft w:val="0"/>
      <w:marRight w:val="0"/>
      <w:marTop w:val="0"/>
      <w:marBottom w:val="0"/>
      <w:divBdr>
        <w:top w:val="none" w:sz="0" w:space="0" w:color="auto"/>
        <w:left w:val="none" w:sz="0" w:space="0" w:color="auto"/>
        <w:bottom w:val="none" w:sz="0" w:space="0" w:color="auto"/>
        <w:right w:val="none" w:sz="0" w:space="0" w:color="auto"/>
      </w:divBdr>
    </w:div>
    <w:div w:id="1873767432">
      <w:bodyDiv w:val="1"/>
      <w:marLeft w:val="0"/>
      <w:marRight w:val="0"/>
      <w:marTop w:val="0"/>
      <w:marBottom w:val="0"/>
      <w:divBdr>
        <w:top w:val="none" w:sz="0" w:space="0" w:color="auto"/>
        <w:left w:val="none" w:sz="0" w:space="0" w:color="auto"/>
        <w:bottom w:val="none" w:sz="0" w:space="0" w:color="auto"/>
        <w:right w:val="none" w:sz="0" w:space="0" w:color="auto"/>
      </w:divBdr>
    </w:div>
    <w:div w:id="2008895815">
      <w:bodyDiv w:val="1"/>
      <w:marLeft w:val="0"/>
      <w:marRight w:val="0"/>
      <w:marTop w:val="0"/>
      <w:marBottom w:val="0"/>
      <w:divBdr>
        <w:top w:val="none" w:sz="0" w:space="0" w:color="auto"/>
        <w:left w:val="none" w:sz="0" w:space="0" w:color="auto"/>
        <w:bottom w:val="none" w:sz="0" w:space="0" w:color="auto"/>
        <w:right w:val="none" w:sz="0" w:space="0" w:color="auto"/>
      </w:divBdr>
    </w:div>
    <w:div w:id="212461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5.png"/><Relationship Id="rId39" Type="http://schemas.openxmlformats.org/officeDocument/2006/relationships/hyperlink" Target="https://www.tga.gov.au/products/australian-register-therapeutic-goods-artg/product-information-one" TargetMode="External"/><Relationship Id="rId3" Type="http://schemas.openxmlformats.org/officeDocument/2006/relationships/customXml" Target="../customXml/item3.xml"/><Relationship Id="rId21" Type="http://schemas.openxmlformats.org/officeDocument/2006/relationships/hyperlink" Target="https://www.tga.gov.au/project-orbis" TargetMode="External"/><Relationship Id="rId34" Type="http://schemas.openxmlformats.org/officeDocument/2006/relationships/hyperlink" Target="https://www.tga.gov.au/committee/advisory-committee-medicines-acm" TargetMode="External"/><Relationship Id="rId42" Type="http://schemas.openxmlformats.org/officeDocument/2006/relationships/header" Target="header3.xml"/><Relationship Id="rId47"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tga.gov.au/products/australian-register-therapeutic-goods-artg/product-information-one"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8.png"/><Relationship Id="rId41" Type="http://schemas.openxmlformats.org/officeDocument/2006/relationships/hyperlink" Target="https://www.tga.gov.au/picmi-search-faci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ccn.org/professionals/physician_gls/pdf/b-cell.pdf" TargetMode="External"/><Relationship Id="rId32" Type="http://schemas.openxmlformats.org/officeDocument/2006/relationships/image" Target="media/image11.png"/><Relationship Id="rId37" Type="http://schemas.openxmlformats.org/officeDocument/2006/relationships/hyperlink" Target="https://www.tga.gov.au/guidance-7-certified-product-details" TargetMode="External"/><Relationship Id="rId40" Type="http://schemas.openxmlformats.org/officeDocument/2006/relationships/hyperlink" Target="https://www.tga.gov.au/products/australian-register-therapeutic-goods-artg/consumer-medicines-information-cmi" TargetMode="External"/><Relationship Id="rId45"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resources/resource/guidance/orphan-drug-designation" TargetMode="External"/><Relationship Id="rId28" Type="http://schemas.openxmlformats.org/officeDocument/2006/relationships/image" Target="media/image7.png"/><Relationship Id="rId36" Type="http://schemas.openxmlformats.org/officeDocument/2006/relationships/hyperlink" Target="https://www.tga.gov.au/form/certified-product-details-cpd-biologicalprescription-medicine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0.png"/><Relationship Id="rId44" Type="http://schemas.openxmlformats.org/officeDocument/2006/relationships/hyperlink" Target="mailto:info@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visional-approval-pathway-prescription-medicine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tga.gov.au/ws-labs-index%20and%20periodically%20in%20testing%20reports%20on%20the%20TGA%20website" TargetMode="External"/><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nccn.org/professionals/physician_gls/pdf/b-cell.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E52A38EF923540BEFA1B6FC451B16A" ma:contentTypeVersion="19" ma:contentTypeDescription="Create a new document." ma:contentTypeScope="" ma:versionID="a1d93fbc96fe5f4faaf3403fec0ff353">
  <xsd:schema xmlns:xsd="http://www.w3.org/2001/XMLSchema" xmlns:xs="http://www.w3.org/2001/XMLSchema" xmlns:p="http://schemas.microsoft.com/office/2006/metadata/properties" xmlns:ns1="http://schemas.microsoft.com/sharepoint/v3" xmlns:ns2="98462ecd-b279-436c-b43a-bb013e125fa9" xmlns:ns3="a347395a-ef1c-43fd-82de-fcdafe8321f5" targetNamespace="http://schemas.microsoft.com/office/2006/metadata/properties" ma:root="true" ma:fieldsID="341dfc61274b83d32883cbbbfd9ded79" ns1:_="" ns2:_="" ns3:_="">
    <xsd:import namespace="http://schemas.microsoft.com/sharepoint/v3"/>
    <xsd:import namespace="98462ecd-b279-436c-b43a-bb013e125fa9"/>
    <xsd:import namespace="a347395a-ef1c-43fd-82de-fcdafe8321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Approvedby_x002f_on"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462ecd-b279-436c-b43a-bb013e125f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f40b0f-2eae-4ca5-9139-7527fc530ceb" ma:termSetId="09814cd3-568e-fe90-9814-8d621ff8fb84" ma:anchorId="fba54fb3-c3e1-fe81-a776-ca4b69148c4d" ma:open="true" ma:isKeyword="false">
      <xsd:complexType>
        <xsd:sequence>
          <xsd:element ref="pc:Terms" minOccurs="0" maxOccurs="1"/>
        </xsd:sequence>
      </xsd:complexType>
    </xsd:element>
    <xsd:element name="Approvedby_x002f_on" ma:index="23" nillable="true" ma:displayName="Approved by/on" ma:format="Dropdown" ma:internalName="Approvedby_x002f_on">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47395a-ef1c-43fd-82de-fcdafe8321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17a6c1-93c0-41d7-ba66-fe0b630fe297}" ma:internalName="TaxCatchAll" ma:showField="CatchAllData" ma:web="a347395a-ef1c-43fd-82de-fcdafe832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pprovedby_x002f_on xmlns="98462ecd-b279-436c-b43a-bb013e125fa9" xsi:nil="true"/>
    <lcf76f155ced4ddcb4097134ff3c332f xmlns="98462ecd-b279-436c-b43a-bb013e125fa9">
      <Terms xmlns="http://schemas.microsoft.com/office/infopath/2007/PartnerControls"/>
    </lcf76f155ced4ddcb4097134ff3c332f>
    <_ip_UnifiedCompliancePolicyProperties xmlns="http://schemas.microsoft.com/sharepoint/v3" xsi:nil="true"/>
    <TaxCatchAll xmlns="a347395a-ef1c-43fd-82de-fcdafe8321f5" xsi:nil="true"/>
    <SharedWithUsers xmlns="a347395a-ef1c-43fd-82de-fcdafe8321f5">
      <UserInfo>
        <DisplayName>Dana Shuey</DisplayName>
        <AccountId>443</AccountId>
        <AccountType/>
      </UserInfo>
    </SharedWithUsers>
  </documentManagement>
</p:properties>
</file>

<file path=customXml/itemProps1.xml><?xml version="1.0" encoding="utf-8"?>
<ds:datastoreItem xmlns:ds="http://schemas.openxmlformats.org/officeDocument/2006/customXml" ds:itemID="{5722B269-7E97-44DC-B6D3-8E2B891CB3BC}">
  <ds:schemaRefs>
    <ds:schemaRef ds:uri="http://schemas.microsoft.com/sharepoint/v3/contenttype/forms"/>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8952D34B-A137-4DCA-BF53-7FEC6D825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462ecd-b279-436c-b43a-bb013e125fa9"/>
    <ds:schemaRef ds:uri="a347395a-ef1c-43fd-82de-fcdafe832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5800D9-B73B-464E-8E02-30183CC5EB53}">
  <ds:schemaRefs>
    <ds:schemaRef ds:uri="http://schemas.microsoft.com/office/2006/metadata/properties"/>
    <ds:schemaRef ds:uri="http://schemas.microsoft.com/office/infopath/2007/PartnerControls"/>
    <ds:schemaRef ds:uri="http://schemas.microsoft.com/sharepoint/v3"/>
    <ds:schemaRef ds:uri="98462ecd-b279-436c-b43a-bb013e125fa9"/>
    <ds:schemaRef ds:uri="a347395a-ef1c-43fd-82de-fcdafe8321f5"/>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8293</Words>
  <Characters>45944</Characters>
  <Application>Microsoft Office Word</Application>
  <DocSecurity>0</DocSecurity>
  <Lines>1178</Lines>
  <Paragraphs>704</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53533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Minjuvi</dc:title>
  <dc:subject>Prescription medicines</dc:subject>
  <dc:creator>Therapeutic Goods Administration</dc:creator>
  <cp:keywords/>
  <dc:description/>
  <cp:lastModifiedBy>LACK, Janet</cp:lastModifiedBy>
  <cp:revision>3</cp:revision>
  <dcterms:created xsi:type="dcterms:W3CDTF">2024-02-01T05:09:00Z</dcterms:created>
  <dcterms:modified xsi:type="dcterms:W3CDTF">2024-02-01T05:13:00Z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0x0101002AE52A38EF923540BEFA1B6FC451B16A</vt:lpwstr>
  </property>
  <property fmtid="{D5CDD505-2E9C-101B-9397-08002B2CF9AE}" pid="3" name="MediaServiceImageTags">
    <vt:lpwstr/>
  </property>
</Properties>
</file>