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08AE1D54" w14:textId="77777777" w:rsidTr="00346EC2">
        <w:trPr>
          <w:trHeight w:val="1558"/>
        </w:trPr>
        <w:tc>
          <w:tcPr>
            <w:tcW w:w="8720" w:type="dxa"/>
          </w:tcPr>
          <w:p w14:paraId="2538A211" w14:textId="188319F4" w:rsidR="00F02AEC" w:rsidRPr="00215D48" w:rsidRDefault="00346EC2" w:rsidP="007452E8">
            <w:pPr>
              <w:pStyle w:val="Title"/>
            </w:pPr>
            <w:r w:rsidRPr="00346EC2">
              <w:t xml:space="preserve">Australian Public Assessment Report for </w:t>
            </w:r>
            <w:r w:rsidR="004E4980">
              <w:t>Comirnaty Omicron XBB.1.5</w:t>
            </w:r>
          </w:p>
        </w:tc>
      </w:tr>
      <w:tr w:rsidR="00F02AEC" w:rsidRPr="00215D48" w14:paraId="318A40A3" w14:textId="77777777" w:rsidTr="00346EC2">
        <w:trPr>
          <w:trHeight w:val="995"/>
        </w:trPr>
        <w:tc>
          <w:tcPr>
            <w:tcW w:w="8720" w:type="dxa"/>
          </w:tcPr>
          <w:p w14:paraId="1AA7C701" w14:textId="30D8CF66" w:rsidR="00F02AEC" w:rsidRPr="00215D48" w:rsidRDefault="00346EC2" w:rsidP="007452E8">
            <w:pPr>
              <w:pStyle w:val="Subtitle"/>
              <w:ind w:left="0"/>
            </w:pPr>
            <w:r w:rsidRPr="00346EC2">
              <w:t xml:space="preserve">Active ingredient/s: </w:t>
            </w:r>
            <w:r w:rsidR="004E4980" w:rsidRPr="004E4980">
              <w:t>Raxtozinameran</w:t>
            </w:r>
          </w:p>
        </w:tc>
      </w:tr>
      <w:tr w:rsidR="00346EC2" w:rsidRPr="00215D48" w14:paraId="362CCAE4" w14:textId="77777777" w:rsidTr="007452E8">
        <w:trPr>
          <w:trHeight w:val="1916"/>
        </w:trPr>
        <w:tc>
          <w:tcPr>
            <w:tcW w:w="8720" w:type="dxa"/>
          </w:tcPr>
          <w:p w14:paraId="709C45C0" w14:textId="39B8A2C2" w:rsidR="00346EC2" w:rsidRPr="00215D48" w:rsidRDefault="00346EC2" w:rsidP="007452E8">
            <w:pPr>
              <w:pStyle w:val="Subtitle"/>
              <w:ind w:left="0"/>
            </w:pPr>
            <w:r w:rsidRPr="00346EC2">
              <w:t xml:space="preserve">Sponsor: </w:t>
            </w:r>
            <w:r w:rsidR="004E4980" w:rsidRPr="004E4980">
              <w:t>Pfizer Australia Pty Ltd</w:t>
            </w:r>
          </w:p>
        </w:tc>
      </w:tr>
      <w:tr w:rsidR="00F02AEC" w:rsidRPr="00215D48" w14:paraId="37F2AA1F" w14:textId="77777777" w:rsidTr="007452E8">
        <w:tc>
          <w:tcPr>
            <w:tcW w:w="8720" w:type="dxa"/>
          </w:tcPr>
          <w:p w14:paraId="1FDE8DCD" w14:textId="73DB8FE2" w:rsidR="00F02AEC" w:rsidRPr="00215D48" w:rsidRDefault="0043149B" w:rsidP="007452E8">
            <w:pPr>
              <w:pStyle w:val="Date"/>
            </w:pPr>
            <w:r>
              <w:t>February</w:t>
            </w:r>
            <w:r w:rsidR="00E5750E">
              <w:t xml:space="preserve"> </w:t>
            </w:r>
            <w:r w:rsidR="004E4980">
              <w:t>202</w:t>
            </w:r>
            <w:r w:rsidR="00631277">
              <w:t>4</w:t>
            </w:r>
          </w:p>
        </w:tc>
      </w:tr>
    </w:tbl>
    <w:p w14:paraId="73752706" w14:textId="77777777" w:rsidR="00F02AEC" w:rsidRPr="00215D48" w:rsidRDefault="00F02AEC" w:rsidP="007452E8">
      <w:pPr>
        <w:pStyle w:val="ListBullet"/>
        <w:numPr>
          <w:ilvl w:val="0"/>
          <w:numId w:val="0"/>
        </w:numPr>
        <w:sectPr w:rsidR="00F02AEC" w:rsidRPr="00215D48" w:rsidSect="00CB0550">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p w14:paraId="2170A423" w14:textId="77777777" w:rsidR="00346EC2" w:rsidRPr="001F6CBA" w:rsidRDefault="00346EC2" w:rsidP="00346EC2">
      <w:pPr>
        <w:pStyle w:val="NonTOCHeading20"/>
      </w:pPr>
      <w:r w:rsidRPr="001F6CBA">
        <w:lastRenderedPageBreak/>
        <w:t>About the Therapeutic Goods Administration (TGA)</w:t>
      </w:r>
    </w:p>
    <w:p w14:paraId="79558AE9" w14:textId="77777777" w:rsidR="00346EC2" w:rsidRPr="00391B0C" w:rsidRDefault="00346EC2" w:rsidP="0056766D">
      <w:pPr>
        <w:pStyle w:val="ListBullet"/>
      </w:pPr>
      <w:r w:rsidRPr="00391B0C">
        <w:t xml:space="preserve">The Therapeutic Goods Administration (TGA) is part of the Australian Government </w:t>
      </w:r>
      <w:r w:rsidRPr="00C22214">
        <w:t>Department of Health and Aged Care</w:t>
      </w:r>
      <w:r>
        <w:t xml:space="preserve"> </w:t>
      </w:r>
      <w:r w:rsidRPr="00391B0C">
        <w:t>and is responsible for regulating therapeutic goods, including medicines, medical devices, and biologicals.</w:t>
      </w:r>
    </w:p>
    <w:p w14:paraId="61BEFDB6" w14:textId="77777777" w:rsidR="00346EC2" w:rsidRPr="00391B0C" w:rsidRDefault="00346EC2" w:rsidP="00346EC2">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safety, and efficacy.</w:t>
      </w:r>
    </w:p>
    <w:p w14:paraId="77180CB3" w14:textId="77777777" w:rsidR="00346EC2" w:rsidRPr="003C6D1F" w:rsidRDefault="00346EC2" w:rsidP="00346EC2">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70AC2A35" w14:textId="77777777" w:rsidR="00346EC2" w:rsidRPr="003C6D1F" w:rsidRDefault="00346EC2" w:rsidP="00346EC2">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7DC24C6" w14:textId="0AC8A5B4" w:rsidR="00346EC2" w:rsidRDefault="00346EC2" w:rsidP="00346EC2">
      <w:pPr>
        <w:pStyle w:val="ListBullet"/>
      </w:pPr>
      <w:r w:rsidRPr="003C6D1F">
        <w:t xml:space="preserve">To report a problem with a </w:t>
      </w:r>
      <w:r>
        <w:t>therapeutic good</w:t>
      </w:r>
      <w:r w:rsidRPr="003C6D1F">
        <w:t xml:space="preserve">, please see the information on the </w:t>
      </w:r>
      <w:hyperlink r:id="rId15" w:history="1">
        <w:r w:rsidRPr="000F15B4">
          <w:rPr>
            <w:rStyle w:val="Hyperlink"/>
          </w:rPr>
          <w:t>TGA website</w:t>
        </w:r>
      </w:hyperlink>
      <w:r w:rsidRPr="003C6D1F">
        <w:t>.</w:t>
      </w:r>
    </w:p>
    <w:p w14:paraId="737B7A99" w14:textId="77777777" w:rsidR="00346EC2" w:rsidRDefault="00346EC2" w:rsidP="00346EC2">
      <w:pPr>
        <w:pStyle w:val="NonTOCHeading20"/>
      </w:pPr>
      <w:r>
        <w:t>About AusPARs</w:t>
      </w:r>
    </w:p>
    <w:p w14:paraId="631B2209" w14:textId="136B3D71" w:rsidR="00346EC2" w:rsidRPr="003C6D1F" w:rsidRDefault="00346EC2" w:rsidP="00346EC2">
      <w:pPr>
        <w:pStyle w:val="ListBullet"/>
      </w:pPr>
      <w:r>
        <w:t>The</w:t>
      </w:r>
      <w:r w:rsidRPr="003C6D1F">
        <w:t xml:space="preserve"> Australian Public Assessment Report (AusPAR) provides information about the evaluation of a prescription medicine and the considerations that led the TGA to approve or not approve a prescription medicine submission.</w:t>
      </w:r>
      <w:r>
        <w:t xml:space="preserve"> Further information can be found in </w:t>
      </w:r>
      <w:hyperlink r:id="rId16" w:history="1">
        <w:r w:rsidRPr="005A2EB8">
          <w:rPr>
            <w:rStyle w:val="Hyperlink"/>
          </w:rPr>
          <w:t>Australian Public Assessment Report (AusPAR) guidance</w:t>
        </w:r>
      </w:hyperlink>
      <w:r>
        <w:t>.</w:t>
      </w:r>
    </w:p>
    <w:p w14:paraId="22F5A730" w14:textId="77777777" w:rsidR="00346EC2" w:rsidRPr="003C6D1F" w:rsidRDefault="00346EC2" w:rsidP="00346EC2">
      <w:pPr>
        <w:pStyle w:val="ListBullet"/>
      </w:pPr>
      <w:r w:rsidRPr="003C6D1F">
        <w:t>AusPARs are prepared and published by the TGA.</w:t>
      </w:r>
    </w:p>
    <w:p w14:paraId="451B8FD7" w14:textId="77777777" w:rsidR="00346EC2" w:rsidRPr="003C6D1F" w:rsidRDefault="00346EC2" w:rsidP="00346EC2">
      <w:pPr>
        <w:pStyle w:val="ListBullet"/>
      </w:pPr>
      <w:r w:rsidRPr="003C6D1F">
        <w:t>AusPAR</w:t>
      </w:r>
      <w:r>
        <w:t xml:space="preserve">s are </w:t>
      </w:r>
      <w:r w:rsidRPr="003C6D1F">
        <w:t>static document</w:t>
      </w:r>
      <w:r>
        <w:t xml:space="preserve">s that </w:t>
      </w:r>
      <w:r w:rsidRPr="003C6D1F">
        <w:t>provide information that relates to a submission at a particular point in time.</w:t>
      </w:r>
      <w:r>
        <w:t xml:space="preserve"> The publication of an AusPAR is an important part of the transparency of the TGA’s decision-making process.</w:t>
      </w:r>
    </w:p>
    <w:p w14:paraId="4D69F5CF" w14:textId="77777777" w:rsidR="00346EC2" w:rsidRPr="003C6D1F" w:rsidRDefault="00346EC2" w:rsidP="00346EC2">
      <w:pPr>
        <w:pStyle w:val="ListBullet"/>
      </w:pPr>
      <w:r w:rsidRPr="003C6D1F">
        <w:t xml:space="preserve">A new AusPAR </w:t>
      </w:r>
      <w:r>
        <w:t xml:space="preserve">may be provided </w:t>
      </w:r>
      <w:r w:rsidRPr="003C6D1F">
        <w:t>to reflect changes to indications or major variations to a prescription medicine subject to evaluation by the TGA.</w:t>
      </w:r>
    </w:p>
    <w:p w14:paraId="7067011F" w14:textId="510D5C5C" w:rsidR="00F02AEC" w:rsidRPr="00E1198B" w:rsidRDefault="00F02AEC" w:rsidP="00FE087C">
      <w:pPr>
        <w:pStyle w:val="LegalSubheading"/>
        <w:spacing w:before="3600"/>
      </w:pPr>
      <w:r w:rsidRPr="00BA0DFC">
        <w:t>Copyright</w:t>
      </w:r>
    </w:p>
    <w:p w14:paraId="170A8A5D" w14:textId="7B020A1F" w:rsidR="00175CD8" w:rsidRPr="00346EC2" w:rsidRDefault="00F02AEC" w:rsidP="00346EC2">
      <w:pPr>
        <w:pStyle w:val="LegalCopy"/>
        <w:rPr>
          <w:rFonts w:cs="Arial"/>
        </w:rPr>
      </w:pPr>
      <w:r w:rsidRPr="00215D48">
        <w:rPr>
          <w:rFonts w:cs="Arial"/>
        </w:rPr>
        <w:t>© Commonwealth of Australia 20</w:t>
      </w:r>
      <w:r>
        <w:rPr>
          <w:rFonts w:cs="Arial"/>
        </w:rPr>
        <w:t>2</w:t>
      </w:r>
      <w:r w:rsidR="00E5750E">
        <w:rPr>
          <w:rFonts w:cs="Arial"/>
        </w:rPr>
        <w:t>4</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7" w:history="1">
        <w:r w:rsidRPr="00215D48">
          <w:rPr>
            <w:rStyle w:val="Hyperlink"/>
            <w:rFonts w:cs="Arial"/>
          </w:rPr>
          <w:t>tga.copyright@tga.gov.au</w:t>
        </w:r>
      </w:hyperlink>
      <w:r w:rsidRPr="00215D48">
        <w:rPr>
          <w:rFonts w:cs="Arial"/>
        </w:rPr>
        <w:t>&gt;.</w:t>
      </w:r>
    </w:p>
    <w:sdt>
      <w:sdtPr>
        <w:rPr>
          <w:rFonts w:ascii="Cambria" w:eastAsiaTheme="minorHAnsi" w:hAnsi="Cambria" w:cstheme="minorBidi"/>
          <w:b w:val="0"/>
          <w:color w:val="auto"/>
          <w:sz w:val="22"/>
          <w:szCs w:val="22"/>
        </w:rPr>
        <w:id w:val="21514769"/>
        <w:docPartObj>
          <w:docPartGallery w:val="Table of Contents"/>
          <w:docPartUnique/>
        </w:docPartObj>
      </w:sdtPr>
      <w:sdtEndPr>
        <w:rPr>
          <w:szCs w:val="20"/>
        </w:rPr>
      </w:sdtEndPr>
      <w:sdtContent>
        <w:p w14:paraId="0A6ADA2B" w14:textId="77777777" w:rsidR="00F02AEC" w:rsidRPr="00215D48" w:rsidRDefault="00F02AEC" w:rsidP="007452E8">
          <w:pPr>
            <w:pStyle w:val="NonTOCheading2"/>
          </w:pPr>
          <w:r w:rsidRPr="00215D48">
            <w:t>Contents</w:t>
          </w:r>
        </w:p>
        <w:p w14:paraId="124B0119" w14:textId="0D8D2941" w:rsidR="0043149B" w:rsidRDefault="00F02AEC">
          <w:pPr>
            <w:pStyle w:val="TOC1"/>
            <w:rPr>
              <w:rFonts w:asciiTheme="minorHAnsi" w:eastAsiaTheme="minorEastAsia" w:hAnsiTheme="minorHAnsi" w:cstheme="minorBidi"/>
              <w:b w:val="0"/>
              <w:noProof/>
              <w:color w:val="auto"/>
              <w:kern w:val="2"/>
              <w:sz w:val="22"/>
              <w:szCs w:val="22"/>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58382378" w:history="1">
            <w:r w:rsidR="0043149B" w:rsidRPr="00DD0C74">
              <w:rPr>
                <w:rStyle w:val="Hyperlink"/>
                <w:noProof/>
              </w:rPr>
              <w:t>List of abbreviations</w:t>
            </w:r>
            <w:r w:rsidR="0043149B">
              <w:rPr>
                <w:noProof/>
                <w:webHidden/>
              </w:rPr>
              <w:tab/>
            </w:r>
            <w:r w:rsidR="0043149B">
              <w:rPr>
                <w:noProof/>
                <w:webHidden/>
              </w:rPr>
              <w:fldChar w:fldCharType="begin"/>
            </w:r>
            <w:r w:rsidR="0043149B">
              <w:rPr>
                <w:noProof/>
                <w:webHidden/>
              </w:rPr>
              <w:instrText xml:space="preserve"> PAGEREF _Toc158382378 \h </w:instrText>
            </w:r>
            <w:r w:rsidR="0043149B">
              <w:rPr>
                <w:noProof/>
                <w:webHidden/>
              </w:rPr>
            </w:r>
            <w:r w:rsidR="0043149B">
              <w:rPr>
                <w:noProof/>
                <w:webHidden/>
              </w:rPr>
              <w:fldChar w:fldCharType="separate"/>
            </w:r>
            <w:r w:rsidR="0043149B">
              <w:rPr>
                <w:noProof/>
                <w:webHidden/>
              </w:rPr>
              <w:t>5</w:t>
            </w:r>
            <w:r w:rsidR="0043149B">
              <w:rPr>
                <w:noProof/>
                <w:webHidden/>
              </w:rPr>
              <w:fldChar w:fldCharType="end"/>
            </w:r>
          </w:hyperlink>
        </w:p>
        <w:p w14:paraId="6275E955" w14:textId="6B6B7E3E" w:rsidR="0043149B" w:rsidRDefault="008004A2">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58382379" w:history="1">
            <w:r w:rsidR="0043149B" w:rsidRPr="00DD0C74">
              <w:rPr>
                <w:rStyle w:val="Hyperlink"/>
                <w:noProof/>
              </w:rPr>
              <w:t>Product submission</w:t>
            </w:r>
            <w:r w:rsidR="0043149B">
              <w:rPr>
                <w:noProof/>
                <w:webHidden/>
              </w:rPr>
              <w:tab/>
            </w:r>
            <w:r w:rsidR="0043149B">
              <w:rPr>
                <w:noProof/>
                <w:webHidden/>
              </w:rPr>
              <w:fldChar w:fldCharType="begin"/>
            </w:r>
            <w:r w:rsidR="0043149B">
              <w:rPr>
                <w:noProof/>
                <w:webHidden/>
              </w:rPr>
              <w:instrText xml:space="preserve"> PAGEREF _Toc158382379 \h </w:instrText>
            </w:r>
            <w:r w:rsidR="0043149B">
              <w:rPr>
                <w:noProof/>
                <w:webHidden/>
              </w:rPr>
            </w:r>
            <w:r w:rsidR="0043149B">
              <w:rPr>
                <w:noProof/>
                <w:webHidden/>
              </w:rPr>
              <w:fldChar w:fldCharType="separate"/>
            </w:r>
            <w:r w:rsidR="0043149B">
              <w:rPr>
                <w:noProof/>
                <w:webHidden/>
              </w:rPr>
              <w:t>6</w:t>
            </w:r>
            <w:r w:rsidR="0043149B">
              <w:rPr>
                <w:noProof/>
                <w:webHidden/>
              </w:rPr>
              <w:fldChar w:fldCharType="end"/>
            </w:r>
          </w:hyperlink>
        </w:p>
        <w:p w14:paraId="60854622" w14:textId="09936ADC" w:rsidR="0043149B" w:rsidRDefault="008004A2">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58382380" w:history="1">
            <w:r w:rsidR="0043149B" w:rsidRPr="00DD0C74">
              <w:rPr>
                <w:rStyle w:val="Hyperlink"/>
                <w:noProof/>
                <w:lang w:eastAsia="en-AU"/>
              </w:rPr>
              <w:t>Submission details</w:t>
            </w:r>
            <w:r w:rsidR="0043149B">
              <w:rPr>
                <w:noProof/>
                <w:webHidden/>
              </w:rPr>
              <w:tab/>
            </w:r>
            <w:r w:rsidR="0043149B">
              <w:rPr>
                <w:noProof/>
                <w:webHidden/>
              </w:rPr>
              <w:fldChar w:fldCharType="begin"/>
            </w:r>
            <w:r w:rsidR="0043149B">
              <w:rPr>
                <w:noProof/>
                <w:webHidden/>
              </w:rPr>
              <w:instrText xml:space="preserve"> PAGEREF _Toc158382380 \h </w:instrText>
            </w:r>
            <w:r w:rsidR="0043149B">
              <w:rPr>
                <w:noProof/>
                <w:webHidden/>
              </w:rPr>
            </w:r>
            <w:r w:rsidR="0043149B">
              <w:rPr>
                <w:noProof/>
                <w:webHidden/>
              </w:rPr>
              <w:fldChar w:fldCharType="separate"/>
            </w:r>
            <w:r w:rsidR="0043149B">
              <w:rPr>
                <w:noProof/>
                <w:webHidden/>
              </w:rPr>
              <w:t>6</w:t>
            </w:r>
            <w:r w:rsidR="0043149B">
              <w:rPr>
                <w:noProof/>
                <w:webHidden/>
              </w:rPr>
              <w:fldChar w:fldCharType="end"/>
            </w:r>
          </w:hyperlink>
        </w:p>
        <w:p w14:paraId="73E06189" w14:textId="0B3CA0A0" w:rsidR="0043149B" w:rsidRDefault="008004A2">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58382381" w:history="1">
            <w:r w:rsidR="0043149B" w:rsidRPr="00DD0C74">
              <w:rPr>
                <w:rStyle w:val="Hyperlink"/>
                <w:noProof/>
              </w:rPr>
              <w:t>Product background</w:t>
            </w:r>
            <w:r w:rsidR="0043149B">
              <w:rPr>
                <w:noProof/>
                <w:webHidden/>
              </w:rPr>
              <w:tab/>
            </w:r>
            <w:r w:rsidR="0043149B">
              <w:rPr>
                <w:noProof/>
                <w:webHidden/>
              </w:rPr>
              <w:fldChar w:fldCharType="begin"/>
            </w:r>
            <w:r w:rsidR="0043149B">
              <w:rPr>
                <w:noProof/>
                <w:webHidden/>
              </w:rPr>
              <w:instrText xml:space="preserve"> PAGEREF _Toc158382381 \h </w:instrText>
            </w:r>
            <w:r w:rsidR="0043149B">
              <w:rPr>
                <w:noProof/>
                <w:webHidden/>
              </w:rPr>
            </w:r>
            <w:r w:rsidR="0043149B">
              <w:rPr>
                <w:noProof/>
                <w:webHidden/>
              </w:rPr>
              <w:fldChar w:fldCharType="separate"/>
            </w:r>
            <w:r w:rsidR="0043149B">
              <w:rPr>
                <w:noProof/>
                <w:webHidden/>
              </w:rPr>
              <w:t>7</w:t>
            </w:r>
            <w:r w:rsidR="0043149B">
              <w:rPr>
                <w:noProof/>
                <w:webHidden/>
              </w:rPr>
              <w:fldChar w:fldCharType="end"/>
            </w:r>
          </w:hyperlink>
        </w:p>
        <w:p w14:paraId="020AC726" w14:textId="36FFC9E5" w:rsidR="0043149B" w:rsidRDefault="008004A2">
          <w:pPr>
            <w:pStyle w:val="TOC3"/>
            <w:rPr>
              <w:rFonts w:asciiTheme="minorHAnsi" w:eastAsiaTheme="minorEastAsia" w:hAnsiTheme="minorHAnsi" w:cstheme="minorBidi"/>
              <w:b w:val="0"/>
              <w:noProof/>
              <w:color w:val="auto"/>
              <w:kern w:val="2"/>
              <w:szCs w:val="22"/>
              <w:lang w:eastAsia="en-AU"/>
              <w14:ligatures w14:val="standardContextual"/>
            </w:rPr>
          </w:pPr>
          <w:hyperlink w:anchor="_Toc158382382" w:history="1">
            <w:r w:rsidR="0043149B" w:rsidRPr="00DD0C74">
              <w:rPr>
                <w:rStyle w:val="Hyperlink"/>
                <w:noProof/>
              </w:rPr>
              <w:t>Condition</w:t>
            </w:r>
            <w:r w:rsidR="0043149B">
              <w:rPr>
                <w:noProof/>
                <w:webHidden/>
              </w:rPr>
              <w:tab/>
            </w:r>
            <w:r w:rsidR="0043149B">
              <w:rPr>
                <w:noProof/>
                <w:webHidden/>
              </w:rPr>
              <w:fldChar w:fldCharType="begin"/>
            </w:r>
            <w:r w:rsidR="0043149B">
              <w:rPr>
                <w:noProof/>
                <w:webHidden/>
              </w:rPr>
              <w:instrText xml:space="preserve"> PAGEREF _Toc158382382 \h </w:instrText>
            </w:r>
            <w:r w:rsidR="0043149B">
              <w:rPr>
                <w:noProof/>
                <w:webHidden/>
              </w:rPr>
            </w:r>
            <w:r w:rsidR="0043149B">
              <w:rPr>
                <w:noProof/>
                <w:webHidden/>
              </w:rPr>
              <w:fldChar w:fldCharType="separate"/>
            </w:r>
            <w:r w:rsidR="0043149B">
              <w:rPr>
                <w:noProof/>
                <w:webHidden/>
              </w:rPr>
              <w:t>8</w:t>
            </w:r>
            <w:r w:rsidR="0043149B">
              <w:rPr>
                <w:noProof/>
                <w:webHidden/>
              </w:rPr>
              <w:fldChar w:fldCharType="end"/>
            </w:r>
          </w:hyperlink>
        </w:p>
        <w:p w14:paraId="7286B260" w14:textId="1F6E67A9" w:rsidR="0043149B" w:rsidRDefault="008004A2">
          <w:pPr>
            <w:pStyle w:val="TOC3"/>
            <w:rPr>
              <w:rFonts w:asciiTheme="minorHAnsi" w:eastAsiaTheme="minorEastAsia" w:hAnsiTheme="minorHAnsi" w:cstheme="minorBidi"/>
              <w:b w:val="0"/>
              <w:noProof/>
              <w:color w:val="auto"/>
              <w:kern w:val="2"/>
              <w:szCs w:val="22"/>
              <w:lang w:eastAsia="en-AU"/>
              <w14:ligatures w14:val="standardContextual"/>
            </w:rPr>
          </w:pPr>
          <w:hyperlink w:anchor="_Toc158382383" w:history="1">
            <w:r w:rsidR="0043149B" w:rsidRPr="00DD0C74">
              <w:rPr>
                <w:rStyle w:val="Hyperlink"/>
                <w:noProof/>
              </w:rPr>
              <w:t>Comirnaty XBB.1.5 Vaccine</w:t>
            </w:r>
            <w:r w:rsidR="0043149B">
              <w:rPr>
                <w:noProof/>
                <w:webHidden/>
              </w:rPr>
              <w:tab/>
            </w:r>
            <w:r w:rsidR="0043149B">
              <w:rPr>
                <w:noProof/>
                <w:webHidden/>
              </w:rPr>
              <w:fldChar w:fldCharType="begin"/>
            </w:r>
            <w:r w:rsidR="0043149B">
              <w:rPr>
                <w:noProof/>
                <w:webHidden/>
              </w:rPr>
              <w:instrText xml:space="preserve"> PAGEREF _Toc158382383 \h </w:instrText>
            </w:r>
            <w:r w:rsidR="0043149B">
              <w:rPr>
                <w:noProof/>
                <w:webHidden/>
              </w:rPr>
            </w:r>
            <w:r w:rsidR="0043149B">
              <w:rPr>
                <w:noProof/>
                <w:webHidden/>
              </w:rPr>
              <w:fldChar w:fldCharType="separate"/>
            </w:r>
            <w:r w:rsidR="0043149B">
              <w:rPr>
                <w:noProof/>
                <w:webHidden/>
              </w:rPr>
              <w:t>9</w:t>
            </w:r>
            <w:r w:rsidR="0043149B">
              <w:rPr>
                <w:noProof/>
                <w:webHidden/>
              </w:rPr>
              <w:fldChar w:fldCharType="end"/>
            </w:r>
          </w:hyperlink>
        </w:p>
        <w:p w14:paraId="34760836" w14:textId="0D6A1350" w:rsidR="0043149B" w:rsidRDefault="008004A2">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58382384" w:history="1">
            <w:r w:rsidR="0043149B" w:rsidRPr="00DD0C74">
              <w:rPr>
                <w:rStyle w:val="Hyperlink"/>
                <w:noProof/>
              </w:rPr>
              <w:t>Regulatory status</w:t>
            </w:r>
            <w:r w:rsidR="0043149B">
              <w:rPr>
                <w:noProof/>
                <w:webHidden/>
              </w:rPr>
              <w:tab/>
            </w:r>
            <w:r w:rsidR="0043149B">
              <w:rPr>
                <w:noProof/>
                <w:webHidden/>
              </w:rPr>
              <w:fldChar w:fldCharType="begin"/>
            </w:r>
            <w:r w:rsidR="0043149B">
              <w:rPr>
                <w:noProof/>
                <w:webHidden/>
              </w:rPr>
              <w:instrText xml:space="preserve"> PAGEREF _Toc158382384 \h </w:instrText>
            </w:r>
            <w:r w:rsidR="0043149B">
              <w:rPr>
                <w:noProof/>
                <w:webHidden/>
              </w:rPr>
            </w:r>
            <w:r w:rsidR="0043149B">
              <w:rPr>
                <w:noProof/>
                <w:webHidden/>
              </w:rPr>
              <w:fldChar w:fldCharType="separate"/>
            </w:r>
            <w:r w:rsidR="0043149B">
              <w:rPr>
                <w:noProof/>
                <w:webHidden/>
              </w:rPr>
              <w:t>9</w:t>
            </w:r>
            <w:r w:rsidR="0043149B">
              <w:rPr>
                <w:noProof/>
                <w:webHidden/>
              </w:rPr>
              <w:fldChar w:fldCharType="end"/>
            </w:r>
          </w:hyperlink>
        </w:p>
        <w:p w14:paraId="2F25C96C" w14:textId="320BB5E5" w:rsidR="0043149B" w:rsidRDefault="008004A2">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58382385" w:history="1">
            <w:r w:rsidR="0043149B" w:rsidRPr="00DD0C74">
              <w:rPr>
                <w:rStyle w:val="Hyperlink"/>
                <w:noProof/>
              </w:rPr>
              <w:t>Product Information</w:t>
            </w:r>
            <w:r w:rsidR="0043149B">
              <w:rPr>
                <w:noProof/>
                <w:webHidden/>
              </w:rPr>
              <w:tab/>
            </w:r>
            <w:r w:rsidR="0043149B">
              <w:rPr>
                <w:noProof/>
                <w:webHidden/>
              </w:rPr>
              <w:fldChar w:fldCharType="begin"/>
            </w:r>
            <w:r w:rsidR="0043149B">
              <w:rPr>
                <w:noProof/>
                <w:webHidden/>
              </w:rPr>
              <w:instrText xml:space="preserve"> PAGEREF _Toc158382385 \h </w:instrText>
            </w:r>
            <w:r w:rsidR="0043149B">
              <w:rPr>
                <w:noProof/>
                <w:webHidden/>
              </w:rPr>
            </w:r>
            <w:r w:rsidR="0043149B">
              <w:rPr>
                <w:noProof/>
                <w:webHidden/>
              </w:rPr>
              <w:fldChar w:fldCharType="separate"/>
            </w:r>
            <w:r w:rsidR="0043149B">
              <w:rPr>
                <w:noProof/>
                <w:webHidden/>
              </w:rPr>
              <w:t>9</w:t>
            </w:r>
            <w:r w:rsidR="0043149B">
              <w:rPr>
                <w:noProof/>
                <w:webHidden/>
              </w:rPr>
              <w:fldChar w:fldCharType="end"/>
            </w:r>
          </w:hyperlink>
        </w:p>
        <w:p w14:paraId="57AD0ADA" w14:textId="2085EC76" w:rsidR="0043149B" w:rsidRDefault="008004A2">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58382386" w:history="1">
            <w:r w:rsidR="0043149B" w:rsidRPr="00DD0C74">
              <w:rPr>
                <w:rStyle w:val="Hyperlink"/>
                <w:noProof/>
              </w:rPr>
              <w:t>Registration timeline</w:t>
            </w:r>
            <w:r w:rsidR="0043149B">
              <w:rPr>
                <w:noProof/>
                <w:webHidden/>
              </w:rPr>
              <w:tab/>
            </w:r>
            <w:r w:rsidR="0043149B">
              <w:rPr>
                <w:noProof/>
                <w:webHidden/>
              </w:rPr>
              <w:fldChar w:fldCharType="begin"/>
            </w:r>
            <w:r w:rsidR="0043149B">
              <w:rPr>
                <w:noProof/>
                <w:webHidden/>
              </w:rPr>
              <w:instrText xml:space="preserve"> PAGEREF _Toc158382386 \h </w:instrText>
            </w:r>
            <w:r w:rsidR="0043149B">
              <w:rPr>
                <w:noProof/>
                <w:webHidden/>
              </w:rPr>
            </w:r>
            <w:r w:rsidR="0043149B">
              <w:rPr>
                <w:noProof/>
                <w:webHidden/>
              </w:rPr>
              <w:fldChar w:fldCharType="separate"/>
            </w:r>
            <w:r w:rsidR="0043149B">
              <w:rPr>
                <w:noProof/>
                <w:webHidden/>
              </w:rPr>
              <w:t>9</w:t>
            </w:r>
            <w:r w:rsidR="0043149B">
              <w:rPr>
                <w:noProof/>
                <w:webHidden/>
              </w:rPr>
              <w:fldChar w:fldCharType="end"/>
            </w:r>
          </w:hyperlink>
        </w:p>
        <w:p w14:paraId="24862623" w14:textId="057DB761" w:rsidR="0043149B" w:rsidRDefault="008004A2">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58382387" w:history="1">
            <w:r w:rsidR="0043149B" w:rsidRPr="00DD0C74">
              <w:rPr>
                <w:rStyle w:val="Hyperlink"/>
                <w:noProof/>
              </w:rPr>
              <w:t>Submission overview and risk/benefit assessment</w:t>
            </w:r>
            <w:r w:rsidR="0043149B">
              <w:rPr>
                <w:noProof/>
                <w:webHidden/>
              </w:rPr>
              <w:tab/>
            </w:r>
            <w:r w:rsidR="0043149B">
              <w:rPr>
                <w:noProof/>
                <w:webHidden/>
              </w:rPr>
              <w:fldChar w:fldCharType="begin"/>
            </w:r>
            <w:r w:rsidR="0043149B">
              <w:rPr>
                <w:noProof/>
                <w:webHidden/>
              </w:rPr>
              <w:instrText xml:space="preserve"> PAGEREF _Toc158382387 \h </w:instrText>
            </w:r>
            <w:r w:rsidR="0043149B">
              <w:rPr>
                <w:noProof/>
                <w:webHidden/>
              </w:rPr>
            </w:r>
            <w:r w:rsidR="0043149B">
              <w:rPr>
                <w:noProof/>
                <w:webHidden/>
              </w:rPr>
              <w:fldChar w:fldCharType="separate"/>
            </w:r>
            <w:r w:rsidR="0043149B">
              <w:rPr>
                <w:noProof/>
                <w:webHidden/>
              </w:rPr>
              <w:t>10</w:t>
            </w:r>
            <w:r w:rsidR="0043149B">
              <w:rPr>
                <w:noProof/>
                <w:webHidden/>
              </w:rPr>
              <w:fldChar w:fldCharType="end"/>
            </w:r>
          </w:hyperlink>
        </w:p>
        <w:p w14:paraId="4971D77E" w14:textId="6067106F" w:rsidR="0043149B" w:rsidRDefault="008004A2">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58382388" w:history="1">
            <w:r w:rsidR="0043149B" w:rsidRPr="00DD0C74">
              <w:rPr>
                <w:rStyle w:val="Hyperlink"/>
                <w:noProof/>
              </w:rPr>
              <w:t>Quality</w:t>
            </w:r>
            <w:r w:rsidR="0043149B">
              <w:rPr>
                <w:noProof/>
                <w:webHidden/>
              </w:rPr>
              <w:tab/>
            </w:r>
            <w:r w:rsidR="0043149B">
              <w:rPr>
                <w:noProof/>
                <w:webHidden/>
              </w:rPr>
              <w:fldChar w:fldCharType="begin"/>
            </w:r>
            <w:r w:rsidR="0043149B">
              <w:rPr>
                <w:noProof/>
                <w:webHidden/>
              </w:rPr>
              <w:instrText xml:space="preserve"> PAGEREF _Toc158382388 \h </w:instrText>
            </w:r>
            <w:r w:rsidR="0043149B">
              <w:rPr>
                <w:noProof/>
                <w:webHidden/>
              </w:rPr>
            </w:r>
            <w:r w:rsidR="0043149B">
              <w:rPr>
                <w:noProof/>
                <w:webHidden/>
              </w:rPr>
              <w:fldChar w:fldCharType="separate"/>
            </w:r>
            <w:r w:rsidR="0043149B">
              <w:rPr>
                <w:noProof/>
                <w:webHidden/>
              </w:rPr>
              <w:t>11</w:t>
            </w:r>
            <w:r w:rsidR="0043149B">
              <w:rPr>
                <w:noProof/>
                <w:webHidden/>
              </w:rPr>
              <w:fldChar w:fldCharType="end"/>
            </w:r>
          </w:hyperlink>
        </w:p>
        <w:p w14:paraId="2F64E141" w14:textId="48E11042" w:rsidR="0043149B" w:rsidRDefault="008004A2">
          <w:pPr>
            <w:pStyle w:val="TOC3"/>
            <w:rPr>
              <w:rFonts w:asciiTheme="minorHAnsi" w:eastAsiaTheme="minorEastAsia" w:hAnsiTheme="minorHAnsi" w:cstheme="minorBidi"/>
              <w:b w:val="0"/>
              <w:noProof/>
              <w:color w:val="auto"/>
              <w:kern w:val="2"/>
              <w:szCs w:val="22"/>
              <w:lang w:eastAsia="en-AU"/>
              <w14:ligatures w14:val="standardContextual"/>
            </w:rPr>
          </w:pPr>
          <w:hyperlink w:anchor="_Toc158382389" w:history="1">
            <w:r w:rsidR="0043149B" w:rsidRPr="00DD0C74">
              <w:rPr>
                <w:rStyle w:val="Hyperlink"/>
                <w:noProof/>
              </w:rPr>
              <w:t>Stage I decision (AUST R 419330 and 419371)</w:t>
            </w:r>
            <w:r w:rsidR="0043149B">
              <w:rPr>
                <w:noProof/>
                <w:webHidden/>
              </w:rPr>
              <w:tab/>
            </w:r>
            <w:r w:rsidR="0043149B">
              <w:rPr>
                <w:noProof/>
                <w:webHidden/>
              </w:rPr>
              <w:fldChar w:fldCharType="begin"/>
            </w:r>
            <w:r w:rsidR="0043149B">
              <w:rPr>
                <w:noProof/>
                <w:webHidden/>
              </w:rPr>
              <w:instrText xml:space="preserve"> PAGEREF _Toc158382389 \h </w:instrText>
            </w:r>
            <w:r w:rsidR="0043149B">
              <w:rPr>
                <w:noProof/>
                <w:webHidden/>
              </w:rPr>
            </w:r>
            <w:r w:rsidR="0043149B">
              <w:rPr>
                <w:noProof/>
                <w:webHidden/>
              </w:rPr>
              <w:fldChar w:fldCharType="separate"/>
            </w:r>
            <w:r w:rsidR="0043149B">
              <w:rPr>
                <w:noProof/>
                <w:webHidden/>
              </w:rPr>
              <w:t>11</w:t>
            </w:r>
            <w:r w:rsidR="0043149B">
              <w:rPr>
                <w:noProof/>
                <w:webHidden/>
              </w:rPr>
              <w:fldChar w:fldCharType="end"/>
            </w:r>
          </w:hyperlink>
        </w:p>
        <w:p w14:paraId="4C224458" w14:textId="01AE4B79" w:rsidR="0043149B" w:rsidRDefault="008004A2">
          <w:pPr>
            <w:pStyle w:val="TOC3"/>
            <w:rPr>
              <w:rFonts w:asciiTheme="minorHAnsi" w:eastAsiaTheme="minorEastAsia" w:hAnsiTheme="minorHAnsi" w:cstheme="minorBidi"/>
              <w:b w:val="0"/>
              <w:noProof/>
              <w:color w:val="auto"/>
              <w:kern w:val="2"/>
              <w:szCs w:val="22"/>
              <w:lang w:eastAsia="en-AU"/>
              <w14:ligatures w14:val="standardContextual"/>
            </w:rPr>
          </w:pPr>
          <w:hyperlink w:anchor="_Toc158382390" w:history="1">
            <w:r w:rsidR="0043149B" w:rsidRPr="00DD0C74">
              <w:rPr>
                <w:rStyle w:val="Hyperlink"/>
                <w:noProof/>
              </w:rPr>
              <w:t>Stage II decision (AUST R 419331, 419332, 419370, 419372 and 428610)</w:t>
            </w:r>
            <w:r w:rsidR="0043149B">
              <w:rPr>
                <w:noProof/>
                <w:webHidden/>
              </w:rPr>
              <w:tab/>
            </w:r>
            <w:r w:rsidR="0043149B">
              <w:rPr>
                <w:noProof/>
                <w:webHidden/>
              </w:rPr>
              <w:fldChar w:fldCharType="begin"/>
            </w:r>
            <w:r w:rsidR="0043149B">
              <w:rPr>
                <w:noProof/>
                <w:webHidden/>
              </w:rPr>
              <w:instrText xml:space="preserve"> PAGEREF _Toc158382390 \h </w:instrText>
            </w:r>
            <w:r w:rsidR="0043149B">
              <w:rPr>
                <w:noProof/>
                <w:webHidden/>
              </w:rPr>
            </w:r>
            <w:r w:rsidR="0043149B">
              <w:rPr>
                <w:noProof/>
                <w:webHidden/>
              </w:rPr>
              <w:fldChar w:fldCharType="separate"/>
            </w:r>
            <w:r w:rsidR="0043149B">
              <w:rPr>
                <w:noProof/>
                <w:webHidden/>
              </w:rPr>
              <w:t>14</w:t>
            </w:r>
            <w:r w:rsidR="0043149B">
              <w:rPr>
                <w:noProof/>
                <w:webHidden/>
              </w:rPr>
              <w:fldChar w:fldCharType="end"/>
            </w:r>
          </w:hyperlink>
        </w:p>
        <w:p w14:paraId="59A4B39E" w14:textId="748376ED" w:rsidR="0043149B" w:rsidRDefault="008004A2">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58382391" w:history="1">
            <w:r w:rsidR="0043149B" w:rsidRPr="00DD0C74">
              <w:rPr>
                <w:rStyle w:val="Hyperlink"/>
                <w:noProof/>
              </w:rPr>
              <w:t>Nonclinical</w:t>
            </w:r>
            <w:r w:rsidR="0043149B">
              <w:rPr>
                <w:noProof/>
                <w:webHidden/>
              </w:rPr>
              <w:tab/>
            </w:r>
            <w:r w:rsidR="0043149B">
              <w:rPr>
                <w:noProof/>
                <w:webHidden/>
              </w:rPr>
              <w:fldChar w:fldCharType="begin"/>
            </w:r>
            <w:r w:rsidR="0043149B">
              <w:rPr>
                <w:noProof/>
                <w:webHidden/>
              </w:rPr>
              <w:instrText xml:space="preserve"> PAGEREF _Toc158382391 \h </w:instrText>
            </w:r>
            <w:r w:rsidR="0043149B">
              <w:rPr>
                <w:noProof/>
                <w:webHidden/>
              </w:rPr>
            </w:r>
            <w:r w:rsidR="0043149B">
              <w:rPr>
                <w:noProof/>
                <w:webHidden/>
              </w:rPr>
              <w:fldChar w:fldCharType="separate"/>
            </w:r>
            <w:r w:rsidR="0043149B">
              <w:rPr>
                <w:noProof/>
                <w:webHidden/>
              </w:rPr>
              <w:t>17</w:t>
            </w:r>
            <w:r w:rsidR="0043149B">
              <w:rPr>
                <w:noProof/>
                <w:webHidden/>
              </w:rPr>
              <w:fldChar w:fldCharType="end"/>
            </w:r>
          </w:hyperlink>
        </w:p>
        <w:p w14:paraId="1E8B9176" w14:textId="13F24CCC" w:rsidR="0043149B" w:rsidRDefault="008004A2">
          <w:pPr>
            <w:pStyle w:val="TOC3"/>
            <w:rPr>
              <w:rFonts w:asciiTheme="minorHAnsi" w:eastAsiaTheme="minorEastAsia" w:hAnsiTheme="minorHAnsi" w:cstheme="minorBidi"/>
              <w:b w:val="0"/>
              <w:noProof/>
              <w:color w:val="auto"/>
              <w:kern w:val="2"/>
              <w:szCs w:val="22"/>
              <w:lang w:eastAsia="en-AU"/>
              <w14:ligatures w14:val="standardContextual"/>
            </w:rPr>
          </w:pPr>
          <w:hyperlink w:anchor="_Toc158382392" w:history="1">
            <w:r w:rsidR="0043149B" w:rsidRPr="00DD0C74">
              <w:rPr>
                <w:rStyle w:val="Hyperlink"/>
                <w:noProof/>
              </w:rPr>
              <w:t>Immunogenicity</w:t>
            </w:r>
            <w:r w:rsidR="0043149B">
              <w:rPr>
                <w:noProof/>
                <w:webHidden/>
              </w:rPr>
              <w:tab/>
            </w:r>
            <w:r w:rsidR="0043149B">
              <w:rPr>
                <w:noProof/>
                <w:webHidden/>
              </w:rPr>
              <w:fldChar w:fldCharType="begin"/>
            </w:r>
            <w:r w:rsidR="0043149B">
              <w:rPr>
                <w:noProof/>
                <w:webHidden/>
              </w:rPr>
              <w:instrText xml:space="preserve"> PAGEREF _Toc158382392 \h </w:instrText>
            </w:r>
            <w:r w:rsidR="0043149B">
              <w:rPr>
                <w:noProof/>
                <w:webHidden/>
              </w:rPr>
            </w:r>
            <w:r w:rsidR="0043149B">
              <w:rPr>
                <w:noProof/>
                <w:webHidden/>
              </w:rPr>
              <w:fldChar w:fldCharType="separate"/>
            </w:r>
            <w:r w:rsidR="0043149B">
              <w:rPr>
                <w:noProof/>
                <w:webHidden/>
              </w:rPr>
              <w:t>17</w:t>
            </w:r>
            <w:r w:rsidR="0043149B">
              <w:rPr>
                <w:noProof/>
                <w:webHidden/>
              </w:rPr>
              <w:fldChar w:fldCharType="end"/>
            </w:r>
          </w:hyperlink>
        </w:p>
        <w:p w14:paraId="6B582645" w14:textId="36FD5F1C" w:rsidR="0043149B" w:rsidRDefault="008004A2">
          <w:pPr>
            <w:pStyle w:val="TOC3"/>
            <w:rPr>
              <w:rFonts w:asciiTheme="minorHAnsi" w:eastAsiaTheme="minorEastAsia" w:hAnsiTheme="minorHAnsi" w:cstheme="minorBidi"/>
              <w:b w:val="0"/>
              <w:noProof/>
              <w:color w:val="auto"/>
              <w:kern w:val="2"/>
              <w:szCs w:val="22"/>
              <w:lang w:eastAsia="en-AU"/>
              <w14:ligatures w14:val="standardContextual"/>
            </w:rPr>
          </w:pPr>
          <w:hyperlink w:anchor="_Toc158382393" w:history="1">
            <w:r w:rsidR="0043149B" w:rsidRPr="00DD0C74">
              <w:rPr>
                <w:rStyle w:val="Hyperlink"/>
                <w:noProof/>
              </w:rPr>
              <w:t>Distribution and protein expression</w:t>
            </w:r>
            <w:r w:rsidR="0043149B">
              <w:rPr>
                <w:noProof/>
                <w:webHidden/>
              </w:rPr>
              <w:tab/>
            </w:r>
            <w:r w:rsidR="0043149B">
              <w:rPr>
                <w:noProof/>
                <w:webHidden/>
              </w:rPr>
              <w:fldChar w:fldCharType="begin"/>
            </w:r>
            <w:r w:rsidR="0043149B">
              <w:rPr>
                <w:noProof/>
                <w:webHidden/>
              </w:rPr>
              <w:instrText xml:space="preserve"> PAGEREF _Toc158382393 \h </w:instrText>
            </w:r>
            <w:r w:rsidR="0043149B">
              <w:rPr>
                <w:noProof/>
                <w:webHidden/>
              </w:rPr>
            </w:r>
            <w:r w:rsidR="0043149B">
              <w:rPr>
                <w:noProof/>
                <w:webHidden/>
              </w:rPr>
              <w:fldChar w:fldCharType="separate"/>
            </w:r>
            <w:r w:rsidR="0043149B">
              <w:rPr>
                <w:noProof/>
                <w:webHidden/>
              </w:rPr>
              <w:t>18</w:t>
            </w:r>
            <w:r w:rsidR="0043149B">
              <w:rPr>
                <w:noProof/>
                <w:webHidden/>
              </w:rPr>
              <w:fldChar w:fldCharType="end"/>
            </w:r>
          </w:hyperlink>
        </w:p>
        <w:p w14:paraId="2FC10D11" w14:textId="4A252B74" w:rsidR="0043149B" w:rsidRDefault="008004A2">
          <w:pPr>
            <w:pStyle w:val="TOC3"/>
            <w:rPr>
              <w:rFonts w:asciiTheme="minorHAnsi" w:eastAsiaTheme="minorEastAsia" w:hAnsiTheme="minorHAnsi" w:cstheme="minorBidi"/>
              <w:b w:val="0"/>
              <w:noProof/>
              <w:color w:val="auto"/>
              <w:kern w:val="2"/>
              <w:szCs w:val="22"/>
              <w:lang w:eastAsia="en-AU"/>
              <w14:ligatures w14:val="standardContextual"/>
            </w:rPr>
          </w:pPr>
          <w:hyperlink w:anchor="_Toc158382394" w:history="1">
            <w:r w:rsidR="0043149B" w:rsidRPr="00DD0C74">
              <w:rPr>
                <w:rStyle w:val="Hyperlink"/>
                <w:noProof/>
              </w:rPr>
              <w:t>Recommendation</w:t>
            </w:r>
            <w:r w:rsidR="0043149B">
              <w:rPr>
                <w:noProof/>
                <w:webHidden/>
              </w:rPr>
              <w:tab/>
            </w:r>
            <w:r w:rsidR="0043149B">
              <w:rPr>
                <w:noProof/>
                <w:webHidden/>
              </w:rPr>
              <w:fldChar w:fldCharType="begin"/>
            </w:r>
            <w:r w:rsidR="0043149B">
              <w:rPr>
                <w:noProof/>
                <w:webHidden/>
              </w:rPr>
              <w:instrText xml:space="preserve"> PAGEREF _Toc158382394 \h </w:instrText>
            </w:r>
            <w:r w:rsidR="0043149B">
              <w:rPr>
                <w:noProof/>
                <w:webHidden/>
              </w:rPr>
            </w:r>
            <w:r w:rsidR="0043149B">
              <w:rPr>
                <w:noProof/>
                <w:webHidden/>
              </w:rPr>
              <w:fldChar w:fldCharType="separate"/>
            </w:r>
            <w:r w:rsidR="0043149B">
              <w:rPr>
                <w:noProof/>
                <w:webHidden/>
              </w:rPr>
              <w:t>18</w:t>
            </w:r>
            <w:r w:rsidR="0043149B">
              <w:rPr>
                <w:noProof/>
                <w:webHidden/>
              </w:rPr>
              <w:fldChar w:fldCharType="end"/>
            </w:r>
          </w:hyperlink>
        </w:p>
        <w:p w14:paraId="1C1F2383" w14:textId="17437CFF" w:rsidR="0043149B" w:rsidRDefault="008004A2">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58382395" w:history="1">
            <w:r w:rsidR="0043149B" w:rsidRPr="00DD0C74">
              <w:rPr>
                <w:rStyle w:val="Hyperlink"/>
                <w:noProof/>
              </w:rPr>
              <w:t>Clinical</w:t>
            </w:r>
            <w:r w:rsidR="0043149B">
              <w:rPr>
                <w:noProof/>
                <w:webHidden/>
              </w:rPr>
              <w:tab/>
            </w:r>
            <w:r w:rsidR="0043149B">
              <w:rPr>
                <w:noProof/>
                <w:webHidden/>
              </w:rPr>
              <w:fldChar w:fldCharType="begin"/>
            </w:r>
            <w:r w:rsidR="0043149B">
              <w:rPr>
                <w:noProof/>
                <w:webHidden/>
              </w:rPr>
              <w:instrText xml:space="preserve"> PAGEREF _Toc158382395 \h </w:instrText>
            </w:r>
            <w:r w:rsidR="0043149B">
              <w:rPr>
                <w:noProof/>
                <w:webHidden/>
              </w:rPr>
            </w:r>
            <w:r w:rsidR="0043149B">
              <w:rPr>
                <w:noProof/>
                <w:webHidden/>
              </w:rPr>
              <w:fldChar w:fldCharType="separate"/>
            </w:r>
            <w:r w:rsidR="0043149B">
              <w:rPr>
                <w:noProof/>
                <w:webHidden/>
              </w:rPr>
              <w:t>18</w:t>
            </w:r>
            <w:r w:rsidR="0043149B">
              <w:rPr>
                <w:noProof/>
                <w:webHidden/>
              </w:rPr>
              <w:fldChar w:fldCharType="end"/>
            </w:r>
          </w:hyperlink>
        </w:p>
        <w:p w14:paraId="71A2265D" w14:textId="7CC957D6" w:rsidR="0043149B" w:rsidRDefault="008004A2">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58382396" w:history="1">
            <w:r w:rsidR="0043149B" w:rsidRPr="00DD0C74">
              <w:rPr>
                <w:rStyle w:val="Hyperlink"/>
                <w:noProof/>
                <w:lang w:eastAsia="en-AU"/>
              </w:rPr>
              <w:t>Risk management plan</w:t>
            </w:r>
            <w:r w:rsidR="0043149B">
              <w:rPr>
                <w:noProof/>
                <w:webHidden/>
              </w:rPr>
              <w:tab/>
            </w:r>
            <w:r w:rsidR="0043149B">
              <w:rPr>
                <w:noProof/>
                <w:webHidden/>
              </w:rPr>
              <w:fldChar w:fldCharType="begin"/>
            </w:r>
            <w:r w:rsidR="0043149B">
              <w:rPr>
                <w:noProof/>
                <w:webHidden/>
              </w:rPr>
              <w:instrText xml:space="preserve"> PAGEREF _Toc158382396 \h </w:instrText>
            </w:r>
            <w:r w:rsidR="0043149B">
              <w:rPr>
                <w:noProof/>
                <w:webHidden/>
              </w:rPr>
            </w:r>
            <w:r w:rsidR="0043149B">
              <w:rPr>
                <w:noProof/>
                <w:webHidden/>
              </w:rPr>
              <w:fldChar w:fldCharType="separate"/>
            </w:r>
            <w:r w:rsidR="0043149B">
              <w:rPr>
                <w:noProof/>
                <w:webHidden/>
              </w:rPr>
              <w:t>18</w:t>
            </w:r>
            <w:r w:rsidR="0043149B">
              <w:rPr>
                <w:noProof/>
                <w:webHidden/>
              </w:rPr>
              <w:fldChar w:fldCharType="end"/>
            </w:r>
          </w:hyperlink>
        </w:p>
        <w:p w14:paraId="74A6AC74" w14:textId="172E0DC3" w:rsidR="0043149B" w:rsidRDefault="008004A2">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58382397" w:history="1">
            <w:r w:rsidR="0043149B" w:rsidRPr="00DD0C74">
              <w:rPr>
                <w:rStyle w:val="Hyperlink"/>
                <w:noProof/>
              </w:rPr>
              <w:t>Risk-benefit analysis</w:t>
            </w:r>
            <w:r w:rsidR="0043149B">
              <w:rPr>
                <w:noProof/>
                <w:webHidden/>
              </w:rPr>
              <w:tab/>
            </w:r>
            <w:r w:rsidR="0043149B">
              <w:rPr>
                <w:noProof/>
                <w:webHidden/>
              </w:rPr>
              <w:fldChar w:fldCharType="begin"/>
            </w:r>
            <w:r w:rsidR="0043149B">
              <w:rPr>
                <w:noProof/>
                <w:webHidden/>
              </w:rPr>
              <w:instrText xml:space="preserve"> PAGEREF _Toc158382397 \h </w:instrText>
            </w:r>
            <w:r w:rsidR="0043149B">
              <w:rPr>
                <w:noProof/>
                <w:webHidden/>
              </w:rPr>
            </w:r>
            <w:r w:rsidR="0043149B">
              <w:rPr>
                <w:noProof/>
                <w:webHidden/>
              </w:rPr>
              <w:fldChar w:fldCharType="separate"/>
            </w:r>
            <w:r w:rsidR="0043149B">
              <w:rPr>
                <w:noProof/>
                <w:webHidden/>
              </w:rPr>
              <w:t>19</w:t>
            </w:r>
            <w:r w:rsidR="0043149B">
              <w:rPr>
                <w:noProof/>
                <w:webHidden/>
              </w:rPr>
              <w:fldChar w:fldCharType="end"/>
            </w:r>
          </w:hyperlink>
        </w:p>
        <w:p w14:paraId="3932C2EC" w14:textId="05AB69E5" w:rsidR="0043149B" w:rsidRDefault="008004A2">
          <w:pPr>
            <w:pStyle w:val="TOC3"/>
            <w:rPr>
              <w:rFonts w:asciiTheme="minorHAnsi" w:eastAsiaTheme="minorEastAsia" w:hAnsiTheme="minorHAnsi" w:cstheme="minorBidi"/>
              <w:b w:val="0"/>
              <w:noProof/>
              <w:color w:val="auto"/>
              <w:kern w:val="2"/>
              <w:szCs w:val="22"/>
              <w:lang w:eastAsia="en-AU"/>
              <w14:ligatures w14:val="standardContextual"/>
            </w:rPr>
          </w:pPr>
          <w:hyperlink w:anchor="_Toc158382398" w:history="1">
            <w:r w:rsidR="0043149B" w:rsidRPr="00DD0C74">
              <w:rPr>
                <w:rStyle w:val="Hyperlink"/>
                <w:noProof/>
              </w:rPr>
              <w:t>Delegate’s considerations</w:t>
            </w:r>
            <w:r w:rsidR="0043149B">
              <w:rPr>
                <w:noProof/>
                <w:webHidden/>
              </w:rPr>
              <w:tab/>
            </w:r>
            <w:r w:rsidR="0043149B">
              <w:rPr>
                <w:noProof/>
                <w:webHidden/>
              </w:rPr>
              <w:fldChar w:fldCharType="begin"/>
            </w:r>
            <w:r w:rsidR="0043149B">
              <w:rPr>
                <w:noProof/>
                <w:webHidden/>
              </w:rPr>
              <w:instrText xml:space="preserve"> PAGEREF _Toc158382398 \h </w:instrText>
            </w:r>
            <w:r w:rsidR="0043149B">
              <w:rPr>
                <w:noProof/>
                <w:webHidden/>
              </w:rPr>
            </w:r>
            <w:r w:rsidR="0043149B">
              <w:rPr>
                <w:noProof/>
                <w:webHidden/>
              </w:rPr>
              <w:fldChar w:fldCharType="separate"/>
            </w:r>
            <w:r w:rsidR="0043149B">
              <w:rPr>
                <w:noProof/>
                <w:webHidden/>
              </w:rPr>
              <w:t>19</w:t>
            </w:r>
            <w:r w:rsidR="0043149B">
              <w:rPr>
                <w:noProof/>
                <w:webHidden/>
              </w:rPr>
              <w:fldChar w:fldCharType="end"/>
            </w:r>
          </w:hyperlink>
        </w:p>
        <w:p w14:paraId="6B6C970C" w14:textId="32DE5F1D" w:rsidR="0043149B" w:rsidRDefault="008004A2">
          <w:pPr>
            <w:pStyle w:val="TOC3"/>
            <w:rPr>
              <w:rFonts w:asciiTheme="minorHAnsi" w:eastAsiaTheme="minorEastAsia" w:hAnsiTheme="minorHAnsi" w:cstheme="minorBidi"/>
              <w:b w:val="0"/>
              <w:noProof/>
              <w:color w:val="auto"/>
              <w:kern w:val="2"/>
              <w:szCs w:val="22"/>
              <w:lang w:eastAsia="en-AU"/>
              <w14:ligatures w14:val="standardContextual"/>
            </w:rPr>
          </w:pPr>
          <w:hyperlink w:anchor="_Toc158382399" w:history="1">
            <w:r w:rsidR="0043149B" w:rsidRPr="00DD0C74">
              <w:rPr>
                <w:rStyle w:val="Hyperlink"/>
                <w:noProof/>
              </w:rPr>
              <w:t>Proposed action</w:t>
            </w:r>
            <w:r w:rsidR="0043149B">
              <w:rPr>
                <w:noProof/>
                <w:webHidden/>
              </w:rPr>
              <w:tab/>
            </w:r>
            <w:r w:rsidR="0043149B">
              <w:rPr>
                <w:noProof/>
                <w:webHidden/>
              </w:rPr>
              <w:fldChar w:fldCharType="begin"/>
            </w:r>
            <w:r w:rsidR="0043149B">
              <w:rPr>
                <w:noProof/>
                <w:webHidden/>
              </w:rPr>
              <w:instrText xml:space="preserve"> PAGEREF _Toc158382399 \h </w:instrText>
            </w:r>
            <w:r w:rsidR="0043149B">
              <w:rPr>
                <w:noProof/>
                <w:webHidden/>
              </w:rPr>
            </w:r>
            <w:r w:rsidR="0043149B">
              <w:rPr>
                <w:noProof/>
                <w:webHidden/>
              </w:rPr>
              <w:fldChar w:fldCharType="separate"/>
            </w:r>
            <w:r w:rsidR="0043149B">
              <w:rPr>
                <w:noProof/>
                <w:webHidden/>
              </w:rPr>
              <w:t>20</w:t>
            </w:r>
            <w:r w:rsidR="0043149B">
              <w:rPr>
                <w:noProof/>
                <w:webHidden/>
              </w:rPr>
              <w:fldChar w:fldCharType="end"/>
            </w:r>
          </w:hyperlink>
        </w:p>
        <w:p w14:paraId="3FEB93DB" w14:textId="2E4D941F" w:rsidR="0043149B" w:rsidRDefault="008004A2">
          <w:pPr>
            <w:pStyle w:val="TOC3"/>
            <w:rPr>
              <w:rFonts w:asciiTheme="minorHAnsi" w:eastAsiaTheme="minorEastAsia" w:hAnsiTheme="minorHAnsi" w:cstheme="minorBidi"/>
              <w:b w:val="0"/>
              <w:noProof/>
              <w:color w:val="auto"/>
              <w:kern w:val="2"/>
              <w:szCs w:val="22"/>
              <w:lang w:eastAsia="en-AU"/>
              <w14:ligatures w14:val="standardContextual"/>
            </w:rPr>
          </w:pPr>
          <w:hyperlink w:anchor="_Toc158382400" w:history="1">
            <w:r w:rsidR="0043149B" w:rsidRPr="00DD0C74">
              <w:rPr>
                <w:rStyle w:val="Hyperlink"/>
                <w:noProof/>
              </w:rPr>
              <w:t>Conclusion</w:t>
            </w:r>
            <w:r w:rsidR="0043149B">
              <w:rPr>
                <w:noProof/>
                <w:webHidden/>
              </w:rPr>
              <w:tab/>
            </w:r>
            <w:r w:rsidR="0043149B">
              <w:rPr>
                <w:noProof/>
                <w:webHidden/>
              </w:rPr>
              <w:fldChar w:fldCharType="begin"/>
            </w:r>
            <w:r w:rsidR="0043149B">
              <w:rPr>
                <w:noProof/>
                <w:webHidden/>
              </w:rPr>
              <w:instrText xml:space="preserve"> PAGEREF _Toc158382400 \h </w:instrText>
            </w:r>
            <w:r w:rsidR="0043149B">
              <w:rPr>
                <w:noProof/>
                <w:webHidden/>
              </w:rPr>
            </w:r>
            <w:r w:rsidR="0043149B">
              <w:rPr>
                <w:noProof/>
                <w:webHidden/>
              </w:rPr>
              <w:fldChar w:fldCharType="separate"/>
            </w:r>
            <w:r w:rsidR="0043149B">
              <w:rPr>
                <w:noProof/>
                <w:webHidden/>
              </w:rPr>
              <w:t>21</w:t>
            </w:r>
            <w:r w:rsidR="0043149B">
              <w:rPr>
                <w:noProof/>
                <w:webHidden/>
              </w:rPr>
              <w:fldChar w:fldCharType="end"/>
            </w:r>
          </w:hyperlink>
        </w:p>
        <w:p w14:paraId="4B9412FF" w14:textId="22603D7F" w:rsidR="0043149B" w:rsidRDefault="008004A2">
          <w:pPr>
            <w:pStyle w:val="TOC3"/>
            <w:rPr>
              <w:rFonts w:asciiTheme="minorHAnsi" w:eastAsiaTheme="minorEastAsia" w:hAnsiTheme="minorHAnsi" w:cstheme="minorBidi"/>
              <w:b w:val="0"/>
              <w:noProof/>
              <w:color w:val="auto"/>
              <w:kern w:val="2"/>
              <w:szCs w:val="22"/>
              <w:lang w:eastAsia="en-AU"/>
              <w14:ligatures w14:val="standardContextual"/>
            </w:rPr>
          </w:pPr>
          <w:hyperlink w:anchor="_Toc158382401" w:history="1">
            <w:r w:rsidR="0043149B" w:rsidRPr="00DD0C74">
              <w:rPr>
                <w:rStyle w:val="Hyperlink"/>
                <w:noProof/>
              </w:rPr>
              <w:t>Questions for the sponsor</w:t>
            </w:r>
            <w:r w:rsidR="0043149B">
              <w:rPr>
                <w:noProof/>
                <w:webHidden/>
              </w:rPr>
              <w:tab/>
            </w:r>
            <w:r w:rsidR="0043149B">
              <w:rPr>
                <w:noProof/>
                <w:webHidden/>
              </w:rPr>
              <w:fldChar w:fldCharType="begin"/>
            </w:r>
            <w:r w:rsidR="0043149B">
              <w:rPr>
                <w:noProof/>
                <w:webHidden/>
              </w:rPr>
              <w:instrText xml:space="preserve"> PAGEREF _Toc158382401 \h </w:instrText>
            </w:r>
            <w:r w:rsidR="0043149B">
              <w:rPr>
                <w:noProof/>
                <w:webHidden/>
              </w:rPr>
            </w:r>
            <w:r w:rsidR="0043149B">
              <w:rPr>
                <w:noProof/>
                <w:webHidden/>
              </w:rPr>
              <w:fldChar w:fldCharType="separate"/>
            </w:r>
            <w:r w:rsidR="0043149B">
              <w:rPr>
                <w:noProof/>
                <w:webHidden/>
              </w:rPr>
              <w:t>21</w:t>
            </w:r>
            <w:r w:rsidR="0043149B">
              <w:rPr>
                <w:noProof/>
                <w:webHidden/>
              </w:rPr>
              <w:fldChar w:fldCharType="end"/>
            </w:r>
          </w:hyperlink>
        </w:p>
        <w:p w14:paraId="0AA9A3B2" w14:textId="24C50434" w:rsidR="0043149B" w:rsidRDefault="008004A2">
          <w:pPr>
            <w:pStyle w:val="TOC3"/>
            <w:rPr>
              <w:rFonts w:asciiTheme="minorHAnsi" w:eastAsiaTheme="minorEastAsia" w:hAnsiTheme="minorHAnsi" w:cstheme="minorBidi"/>
              <w:b w:val="0"/>
              <w:noProof/>
              <w:color w:val="auto"/>
              <w:kern w:val="2"/>
              <w:szCs w:val="22"/>
              <w:lang w:eastAsia="en-AU"/>
              <w14:ligatures w14:val="standardContextual"/>
            </w:rPr>
          </w:pPr>
          <w:hyperlink w:anchor="_Toc158382402" w:history="1">
            <w:r w:rsidR="0043149B" w:rsidRPr="00DD0C74">
              <w:rPr>
                <w:rStyle w:val="Hyperlink"/>
                <w:noProof/>
              </w:rPr>
              <w:t>Advisory Committee considerations</w:t>
            </w:r>
            <w:r w:rsidR="0043149B">
              <w:rPr>
                <w:noProof/>
                <w:webHidden/>
              </w:rPr>
              <w:tab/>
            </w:r>
            <w:r w:rsidR="0043149B">
              <w:rPr>
                <w:noProof/>
                <w:webHidden/>
              </w:rPr>
              <w:fldChar w:fldCharType="begin"/>
            </w:r>
            <w:r w:rsidR="0043149B">
              <w:rPr>
                <w:noProof/>
                <w:webHidden/>
              </w:rPr>
              <w:instrText xml:space="preserve"> PAGEREF _Toc158382402 \h </w:instrText>
            </w:r>
            <w:r w:rsidR="0043149B">
              <w:rPr>
                <w:noProof/>
                <w:webHidden/>
              </w:rPr>
            </w:r>
            <w:r w:rsidR="0043149B">
              <w:rPr>
                <w:noProof/>
                <w:webHidden/>
              </w:rPr>
              <w:fldChar w:fldCharType="separate"/>
            </w:r>
            <w:r w:rsidR="0043149B">
              <w:rPr>
                <w:noProof/>
                <w:webHidden/>
              </w:rPr>
              <w:t>25</w:t>
            </w:r>
            <w:r w:rsidR="0043149B">
              <w:rPr>
                <w:noProof/>
                <w:webHidden/>
              </w:rPr>
              <w:fldChar w:fldCharType="end"/>
            </w:r>
          </w:hyperlink>
        </w:p>
        <w:p w14:paraId="28F99C16" w14:textId="703BDCDF" w:rsidR="0043149B" w:rsidRDefault="008004A2">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58382403" w:history="1">
            <w:r w:rsidR="0043149B" w:rsidRPr="00DD0C74">
              <w:rPr>
                <w:rStyle w:val="Hyperlink"/>
                <w:noProof/>
              </w:rPr>
              <w:t>Outcome</w:t>
            </w:r>
            <w:r w:rsidR="0043149B">
              <w:rPr>
                <w:noProof/>
                <w:webHidden/>
              </w:rPr>
              <w:tab/>
            </w:r>
            <w:r w:rsidR="0043149B">
              <w:rPr>
                <w:noProof/>
                <w:webHidden/>
              </w:rPr>
              <w:fldChar w:fldCharType="begin"/>
            </w:r>
            <w:r w:rsidR="0043149B">
              <w:rPr>
                <w:noProof/>
                <w:webHidden/>
              </w:rPr>
              <w:instrText xml:space="preserve"> PAGEREF _Toc158382403 \h </w:instrText>
            </w:r>
            <w:r w:rsidR="0043149B">
              <w:rPr>
                <w:noProof/>
                <w:webHidden/>
              </w:rPr>
            </w:r>
            <w:r w:rsidR="0043149B">
              <w:rPr>
                <w:noProof/>
                <w:webHidden/>
              </w:rPr>
              <w:fldChar w:fldCharType="separate"/>
            </w:r>
            <w:r w:rsidR="0043149B">
              <w:rPr>
                <w:noProof/>
                <w:webHidden/>
              </w:rPr>
              <w:t>26</w:t>
            </w:r>
            <w:r w:rsidR="0043149B">
              <w:rPr>
                <w:noProof/>
                <w:webHidden/>
              </w:rPr>
              <w:fldChar w:fldCharType="end"/>
            </w:r>
          </w:hyperlink>
        </w:p>
        <w:p w14:paraId="0AE5C938" w14:textId="3AC90BF3" w:rsidR="0043149B" w:rsidRDefault="008004A2">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58382404" w:history="1">
            <w:r w:rsidR="0043149B" w:rsidRPr="00DD0C74">
              <w:rPr>
                <w:rStyle w:val="Hyperlink"/>
                <w:noProof/>
              </w:rPr>
              <w:t>Specific conditions of registration applying to these goods</w:t>
            </w:r>
            <w:r w:rsidR="0043149B">
              <w:rPr>
                <w:noProof/>
                <w:webHidden/>
              </w:rPr>
              <w:tab/>
            </w:r>
            <w:r w:rsidR="0043149B">
              <w:rPr>
                <w:noProof/>
                <w:webHidden/>
              </w:rPr>
              <w:fldChar w:fldCharType="begin"/>
            </w:r>
            <w:r w:rsidR="0043149B">
              <w:rPr>
                <w:noProof/>
                <w:webHidden/>
              </w:rPr>
              <w:instrText xml:space="preserve"> PAGEREF _Toc158382404 \h </w:instrText>
            </w:r>
            <w:r w:rsidR="0043149B">
              <w:rPr>
                <w:noProof/>
                <w:webHidden/>
              </w:rPr>
            </w:r>
            <w:r w:rsidR="0043149B">
              <w:rPr>
                <w:noProof/>
                <w:webHidden/>
              </w:rPr>
              <w:fldChar w:fldCharType="separate"/>
            </w:r>
            <w:r w:rsidR="0043149B">
              <w:rPr>
                <w:noProof/>
                <w:webHidden/>
              </w:rPr>
              <w:t>27</w:t>
            </w:r>
            <w:r w:rsidR="0043149B">
              <w:rPr>
                <w:noProof/>
                <w:webHidden/>
              </w:rPr>
              <w:fldChar w:fldCharType="end"/>
            </w:r>
          </w:hyperlink>
        </w:p>
        <w:p w14:paraId="2C6518ED" w14:textId="217259D5" w:rsidR="0043149B" w:rsidRDefault="008004A2">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58382405" w:history="1">
            <w:r w:rsidR="0043149B" w:rsidRPr="00DD0C74">
              <w:rPr>
                <w:rStyle w:val="Hyperlink"/>
                <w:noProof/>
              </w:rPr>
              <w:t>Attachment 1. Product Information</w:t>
            </w:r>
            <w:r w:rsidR="0043149B">
              <w:rPr>
                <w:noProof/>
                <w:webHidden/>
              </w:rPr>
              <w:tab/>
            </w:r>
            <w:r w:rsidR="0043149B">
              <w:rPr>
                <w:noProof/>
                <w:webHidden/>
              </w:rPr>
              <w:fldChar w:fldCharType="begin"/>
            </w:r>
            <w:r w:rsidR="0043149B">
              <w:rPr>
                <w:noProof/>
                <w:webHidden/>
              </w:rPr>
              <w:instrText xml:space="preserve"> PAGEREF _Toc158382405 \h </w:instrText>
            </w:r>
            <w:r w:rsidR="0043149B">
              <w:rPr>
                <w:noProof/>
                <w:webHidden/>
              </w:rPr>
            </w:r>
            <w:r w:rsidR="0043149B">
              <w:rPr>
                <w:noProof/>
                <w:webHidden/>
              </w:rPr>
              <w:fldChar w:fldCharType="separate"/>
            </w:r>
            <w:r w:rsidR="0043149B">
              <w:rPr>
                <w:noProof/>
                <w:webHidden/>
              </w:rPr>
              <w:t>29</w:t>
            </w:r>
            <w:r w:rsidR="0043149B">
              <w:rPr>
                <w:noProof/>
                <w:webHidden/>
              </w:rPr>
              <w:fldChar w:fldCharType="end"/>
            </w:r>
          </w:hyperlink>
        </w:p>
        <w:p w14:paraId="77659F2D" w14:textId="7FB22040" w:rsidR="00F02AEC" w:rsidRPr="00215D48" w:rsidRDefault="00F02AEC" w:rsidP="007452E8">
          <w:r w:rsidRPr="00215D48">
            <w:fldChar w:fldCharType="end"/>
          </w:r>
        </w:p>
      </w:sdtContent>
    </w:sdt>
    <w:p w14:paraId="10987AE2" w14:textId="77777777" w:rsidR="00F02AEC" w:rsidRPr="00215D48" w:rsidRDefault="00F02AEC" w:rsidP="007452E8">
      <w:r w:rsidRPr="00215D48">
        <w:br w:type="page"/>
      </w:r>
    </w:p>
    <w:p w14:paraId="58578454" w14:textId="166D3522" w:rsidR="00324B33" w:rsidRPr="004E4980" w:rsidRDefault="00324B33" w:rsidP="004E4980">
      <w:pPr>
        <w:pStyle w:val="Heading2"/>
      </w:pPr>
      <w:bookmarkStart w:id="0" w:name="_Toc98931917"/>
      <w:bookmarkStart w:id="1" w:name="_Toc103679287"/>
      <w:bookmarkStart w:id="2" w:name="_Toc158382378"/>
      <w:bookmarkStart w:id="3" w:name="_Toc323739589"/>
      <w:bookmarkStart w:id="4" w:name="_Toc356305216"/>
      <w:r>
        <w:lastRenderedPageBreak/>
        <w:t>List of abbreviations</w:t>
      </w:r>
      <w:bookmarkEnd w:id="0"/>
      <w:bookmarkEnd w:id="1"/>
      <w:bookmarkEnd w:id="2"/>
    </w:p>
    <w:tbl>
      <w:tblPr>
        <w:tblStyle w:val="TableTGAblue2023"/>
        <w:tblW w:w="5000" w:type="pct"/>
        <w:tblLook w:val="04A0" w:firstRow="1" w:lastRow="0" w:firstColumn="1" w:lastColumn="0" w:noHBand="0" w:noVBand="1"/>
      </w:tblPr>
      <w:tblGrid>
        <w:gridCol w:w="2174"/>
        <w:gridCol w:w="6886"/>
      </w:tblGrid>
      <w:tr w:rsidR="00C3193D" w:rsidRPr="00D01DDB" w14:paraId="431EFE60" w14:textId="77777777" w:rsidTr="00652113">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200" w:type="pct"/>
          </w:tcPr>
          <w:p w14:paraId="1442E6CA" w14:textId="77777777" w:rsidR="00C3193D" w:rsidRPr="00D01DDB" w:rsidRDefault="00C3193D" w:rsidP="00652113">
            <w:pPr>
              <w:rPr>
                <w:szCs w:val="22"/>
              </w:rPr>
            </w:pPr>
            <w:r w:rsidRPr="00D01DDB">
              <w:rPr>
                <w:szCs w:val="22"/>
              </w:rPr>
              <w:t>Abbreviation</w:t>
            </w:r>
          </w:p>
        </w:tc>
        <w:tc>
          <w:tcPr>
            <w:tcW w:w="3800" w:type="pct"/>
          </w:tcPr>
          <w:p w14:paraId="659C9578" w14:textId="77777777" w:rsidR="00C3193D" w:rsidRPr="00D01DDB" w:rsidRDefault="00C3193D" w:rsidP="0065211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Meaning</w:t>
            </w:r>
          </w:p>
        </w:tc>
      </w:tr>
      <w:tr w:rsidR="00C3193D" w:rsidRPr="00D01DDB" w14:paraId="0564F944" w14:textId="77777777" w:rsidTr="00652113">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711844A" w14:textId="77777777" w:rsidR="00C3193D" w:rsidRPr="00D01DDB" w:rsidRDefault="00C3193D" w:rsidP="00652113">
            <w:pPr>
              <w:rPr>
                <w:szCs w:val="22"/>
              </w:rPr>
            </w:pPr>
            <w:r w:rsidRPr="00D01DDB">
              <w:rPr>
                <w:szCs w:val="22"/>
              </w:rPr>
              <w:t>ACV</w:t>
            </w:r>
          </w:p>
        </w:tc>
        <w:tc>
          <w:tcPr>
            <w:tcW w:w="3800" w:type="pct"/>
          </w:tcPr>
          <w:p w14:paraId="160CD570" w14:textId="77777777" w:rsidR="00C3193D" w:rsidRPr="00D01DDB" w:rsidRDefault="00C3193D" w:rsidP="0065211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Advisory Committee on Vaccines</w:t>
            </w:r>
          </w:p>
        </w:tc>
      </w:tr>
      <w:tr w:rsidR="00C3193D" w:rsidRPr="00D01DDB" w14:paraId="5455D975" w14:textId="77777777" w:rsidTr="00652113">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DBB5570" w14:textId="77777777" w:rsidR="00C3193D" w:rsidRPr="00D01DDB" w:rsidRDefault="00C3193D" w:rsidP="00652113">
            <w:pPr>
              <w:rPr>
                <w:szCs w:val="22"/>
              </w:rPr>
            </w:pPr>
            <w:r>
              <w:rPr>
                <w:szCs w:val="22"/>
              </w:rPr>
              <w:t>AE</w:t>
            </w:r>
          </w:p>
        </w:tc>
        <w:tc>
          <w:tcPr>
            <w:tcW w:w="3800" w:type="pct"/>
          </w:tcPr>
          <w:p w14:paraId="66C951D9" w14:textId="77777777" w:rsidR="00C3193D" w:rsidRPr="00D01DDB" w:rsidRDefault="00C3193D" w:rsidP="00652113">
            <w:pPr>
              <w:cnfStyle w:val="000000000000" w:firstRow="0" w:lastRow="0" w:firstColumn="0" w:lastColumn="0" w:oddVBand="0" w:evenVBand="0" w:oddHBand="0" w:evenHBand="0" w:firstRowFirstColumn="0" w:firstRowLastColumn="0" w:lastRowFirstColumn="0" w:lastRowLastColumn="0"/>
              <w:rPr>
                <w:szCs w:val="22"/>
              </w:rPr>
            </w:pPr>
            <w:r>
              <w:rPr>
                <w:szCs w:val="22"/>
              </w:rPr>
              <w:t>Adverse event</w:t>
            </w:r>
          </w:p>
        </w:tc>
      </w:tr>
      <w:tr w:rsidR="00C3193D" w:rsidRPr="00D01DDB" w14:paraId="50963B58" w14:textId="77777777" w:rsidTr="00652113">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C843F5B" w14:textId="77777777" w:rsidR="00C3193D" w:rsidRPr="00D01DDB" w:rsidRDefault="00C3193D" w:rsidP="00652113">
            <w:pPr>
              <w:rPr>
                <w:szCs w:val="22"/>
              </w:rPr>
            </w:pPr>
            <w:r w:rsidRPr="00D01DDB">
              <w:rPr>
                <w:szCs w:val="22"/>
              </w:rPr>
              <w:t>ARTG</w:t>
            </w:r>
          </w:p>
        </w:tc>
        <w:tc>
          <w:tcPr>
            <w:tcW w:w="3800" w:type="pct"/>
          </w:tcPr>
          <w:p w14:paraId="787F8ECD" w14:textId="77777777" w:rsidR="00C3193D" w:rsidRPr="00D01DDB" w:rsidRDefault="00C3193D" w:rsidP="0065211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Australian Register of Therapeutic Goods</w:t>
            </w:r>
          </w:p>
        </w:tc>
      </w:tr>
      <w:tr w:rsidR="00C3193D" w14:paraId="6688828E" w14:textId="77777777" w:rsidTr="00652113">
        <w:tc>
          <w:tcPr>
            <w:cnfStyle w:val="001000000000" w:firstRow="0" w:lastRow="0" w:firstColumn="1" w:lastColumn="0" w:oddVBand="0" w:evenVBand="0" w:oddHBand="0" w:evenHBand="0" w:firstRowFirstColumn="0" w:firstRowLastColumn="0" w:lastRowFirstColumn="0" w:lastRowLastColumn="0"/>
            <w:tcW w:w="1200" w:type="pct"/>
          </w:tcPr>
          <w:p w14:paraId="2E6F75F6" w14:textId="77777777" w:rsidR="00C3193D" w:rsidRDefault="00C3193D" w:rsidP="00652113">
            <w:r>
              <w:t>BNT162b2</w:t>
            </w:r>
          </w:p>
        </w:tc>
        <w:tc>
          <w:tcPr>
            <w:tcW w:w="3800" w:type="pct"/>
          </w:tcPr>
          <w:p w14:paraId="050D33CA" w14:textId="77777777" w:rsidR="00C3193D" w:rsidRDefault="00C3193D" w:rsidP="00652113">
            <w:pPr>
              <w:cnfStyle w:val="000000000000" w:firstRow="0" w:lastRow="0" w:firstColumn="0" w:lastColumn="0" w:oddVBand="0" w:evenVBand="0" w:oddHBand="0" w:evenHBand="0" w:firstRowFirstColumn="0" w:firstRowLastColumn="0" w:lastRowFirstColumn="0" w:lastRowLastColumn="0"/>
            </w:pPr>
            <w:r>
              <w:t>Drug development code for Comirnaty Original vaccine (t</w:t>
            </w:r>
            <w:r w:rsidRPr="00184A53">
              <w:t>ozinameran</w:t>
            </w:r>
            <w:r>
              <w:t>)</w:t>
            </w:r>
          </w:p>
        </w:tc>
      </w:tr>
      <w:tr w:rsidR="00C3193D" w:rsidRPr="00D01DDB" w14:paraId="23CAE233" w14:textId="77777777" w:rsidTr="00652113">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E0567F1" w14:textId="77777777" w:rsidR="00C3193D" w:rsidRPr="00D01DDB" w:rsidRDefault="00C3193D" w:rsidP="00652113">
            <w:pPr>
              <w:rPr>
                <w:szCs w:val="22"/>
              </w:rPr>
            </w:pPr>
            <w:r w:rsidRPr="00D01DDB">
              <w:rPr>
                <w:szCs w:val="22"/>
              </w:rPr>
              <w:t>CMI</w:t>
            </w:r>
          </w:p>
        </w:tc>
        <w:tc>
          <w:tcPr>
            <w:tcW w:w="3800" w:type="pct"/>
          </w:tcPr>
          <w:p w14:paraId="507140AC" w14:textId="77777777" w:rsidR="00C3193D" w:rsidRPr="00D01DDB" w:rsidRDefault="00C3193D" w:rsidP="0065211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Consumer Medicines Information</w:t>
            </w:r>
          </w:p>
        </w:tc>
      </w:tr>
      <w:tr w:rsidR="00C3193D" w:rsidRPr="00D01DDB" w14:paraId="23414A4B" w14:textId="77777777" w:rsidTr="00652113">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9547E97" w14:textId="77777777" w:rsidR="00C3193D" w:rsidRPr="00D01DDB" w:rsidRDefault="00C3193D" w:rsidP="00652113">
            <w:pPr>
              <w:rPr>
                <w:szCs w:val="22"/>
              </w:rPr>
            </w:pPr>
            <w:r>
              <w:t>COVID-19</w:t>
            </w:r>
          </w:p>
        </w:tc>
        <w:tc>
          <w:tcPr>
            <w:tcW w:w="3800" w:type="pct"/>
          </w:tcPr>
          <w:p w14:paraId="79894C4E" w14:textId="77777777" w:rsidR="00C3193D" w:rsidRPr="00D01DDB" w:rsidRDefault="00C3193D" w:rsidP="00652113">
            <w:pPr>
              <w:cnfStyle w:val="000000000000" w:firstRow="0" w:lastRow="0" w:firstColumn="0" w:lastColumn="0" w:oddVBand="0" w:evenVBand="0" w:oddHBand="0" w:evenHBand="0" w:firstRowFirstColumn="0" w:firstRowLastColumn="0" w:lastRowFirstColumn="0" w:lastRowLastColumn="0"/>
              <w:rPr>
                <w:szCs w:val="22"/>
              </w:rPr>
            </w:pPr>
            <w:r>
              <w:t>Coronavirus disease 2019</w:t>
            </w:r>
          </w:p>
        </w:tc>
      </w:tr>
      <w:tr w:rsidR="00C4036C" w:rsidRPr="00D01DDB" w14:paraId="13C2941E" w14:textId="77777777" w:rsidTr="00652113">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341AF3A" w14:textId="1281C26C" w:rsidR="00C4036C" w:rsidRDefault="00C4036C" w:rsidP="00652113">
            <w:r w:rsidRPr="00C4036C">
              <w:t>CPD</w:t>
            </w:r>
          </w:p>
        </w:tc>
        <w:tc>
          <w:tcPr>
            <w:tcW w:w="3800" w:type="pct"/>
          </w:tcPr>
          <w:p w14:paraId="19EC27E1" w14:textId="2BF2CDCB" w:rsidR="00C4036C" w:rsidRDefault="00C4036C" w:rsidP="00652113">
            <w:pPr>
              <w:cnfStyle w:val="000000000000" w:firstRow="0" w:lastRow="0" w:firstColumn="0" w:lastColumn="0" w:oddVBand="0" w:evenVBand="0" w:oddHBand="0" w:evenHBand="0" w:firstRowFirstColumn="0" w:firstRowLastColumn="0" w:lastRowFirstColumn="0" w:lastRowLastColumn="0"/>
            </w:pPr>
            <w:r w:rsidRPr="00C4036C">
              <w:t>Certified Product Details</w:t>
            </w:r>
          </w:p>
        </w:tc>
      </w:tr>
      <w:tr w:rsidR="00D845DD" w:rsidRPr="00D01DDB" w14:paraId="2161111E" w14:textId="77777777" w:rsidTr="00652113">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D92E3AC" w14:textId="470196B5" w:rsidR="00D845DD" w:rsidRDefault="00D845DD" w:rsidP="00652113">
            <w:r w:rsidRPr="00D845DD">
              <w:t>DNA</w:t>
            </w:r>
          </w:p>
        </w:tc>
        <w:tc>
          <w:tcPr>
            <w:tcW w:w="3800" w:type="pct"/>
          </w:tcPr>
          <w:p w14:paraId="0735433C" w14:textId="6A27917D" w:rsidR="00D845DD" w:rsidRDefault="00D845DD" w:rsidP="00652113">
            <w:pPr>
              <w:cnfStyle w:val="000000000000" w:firstRow="0" w:lastRow="0" w:firstColumn="0" w:lastColumn="0" w:oddVBand="0" w:evenVBand="0" w:oddHBand="0" w:evenHBand="0" w:firstRowFirstColumn="0" w:firstRowLastColumn="0" w:lastRowFirstColumn="0" w:lastRowLastColumn="0"/>
            </w:pPr>
            <w:r>
              <w:t>D</w:t>
            </w:r>
            <w:r w:rsidRPr="00D845DD">
              <w:t>eoxyribonucleic acid</w:t>
            </w:r>
          </w:p>
        </w:tc>
      </w:tr>
      <w:tr w:rsidR="00C3193D" w14:paraId="23528E1B" w14:textId="77777777" w:rsidTr="00652113">
        <w:tc>
          <w:tcPr>
            <w:cnfStyle w:val="001000000000" w:firstRow="0" w:lastRow="0" w:firstColumn="1" w:lastColumn="0" w:oddVBand="0" w:evenVBand="0" w:oddHBand="0" w:evenHBand="0" w:firstRowFirstColumn="0" w:firstRowLastColumn="0" w:lastRowFirstColumn="0" w:lastRowLastColumn="0"/>
            <w:tcW w:w="1200" w:type="pct"/>
          </w:tcPr>
          <w:p w14:paraId="1ACBDFC3" w14:textId="77777777" w:rsidR="00C3193D" w:rsidRDefault="00C3193D" w:rsidP="00652113">
            <w:r>
              <w:t>DP</w:t>
            </w:r>
          </w:p>
        </w:tc>
        <w:tc>
          <w:tcPr>
            <w:tcW w:w="3800" w:type="pct"/>
          </w:tcPr>
          <w:p w14:paraId="1A53FE61" w14:textId="77777777" w:rsidR="00C3193D" w:rsidRDefault="00C3193D" w:rsidP="00652113">
            <w:pPr>
              <w:cnfStyle w:val="000000000000" w:firstRow="0" w:lastRow="0" w:firstColumn="0" w:lastColumn="0" w:oddVBand="0" w:evenVBand="0" w:oddHBand="0" w:evenHBand="0" w:firstRowFirstColumn="0" w:firstRowLastColumn="0" w:lastRowFirstColumn="0" w:lastRowLastColumn="0"/>
            </w:pPr>
            <w:r>
              <w:t>Drug product</w:t>
            </w:r>
          </w:p>
        </w:tc>
      </w:tr>
      <w:tr w:rsidR="00C3193D" w14:paraId="430D5FFF" w14:textId="77777777" w:rsidTr="00652113">
        <w:tc>
          <w:tcPr>
            <w:cnfStyle w:val="001000000000" w:firstRow="0" w:lastRow="0" w:firstColumn="1" w:lastColumn="0" w:oddVBand="0" w:evenVBand="0" w:oddHBand="0" w:evenHBand="0" w:firstRowFirstColumn="0" w:firstRowLastColumn="0" w:lastRowFirstColumn="0" w:lastRowLastColumn="0"/>
            <w:tcW w:w="1200" w:type="pct"/>
          </w:tcPr>
          <w:p w14:paraId="3122647F" w14:textId="77777777" w:rsidR="00C3193D" w:rsidRDefault="00C3193D" w:rsidP="00652113">
            <w:r>
              <w:t>DS</w:t>
            </w:r>
          </w:p>
        </w:tc>
        <w:tc>
          <w:tcPr>
            <w:tcW w:w="3800" w:type="pct"/>
          </w:tcPr>
          <w:p w14:paraId="0F7628F1" w14:textId="77777777" w:rsidR="00C3193D" w:rsidRDefault="00C3193D" w:rsidP="00652113">
            <w:pPr>
              <w:cnfStyle w:val="000000000000" w:firstRow="0" w:lastRow="0" w:firstColumn="0" w:lastColumn="0" w:oddVBand="0" w:evenVBand="0" w:oddHBand="0" w:evenHBand="0" w:firstRowFirstColumn="0" w:firstRowLastColumn="0" w:lastRowFirstColumn="0" w:lastRowLastColumn="0"/>
            </w:pPr>
            <w:r>
              <w:t>Drug substance</w:t>
            </w:r>
          </w:p>
        </w:tc>
      </w:tr>
      <w:tr w:rsidR="00C3193D" w:rsidRPr="00D01DDB" w14:paraId="7A7B93BE" w14:textId="77777777" w:rsidTr="00652113">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328872F" w14:textId="77777777" w:rsidR="00C3193D" w:rsidRDefault="00C3193D" w:rsidP="00652113">
            <w:r>
              <w:t>EMA</w:t>
            </w:r>
          </w:p>
        </w:tc>
        <w:tc>
          <w:tcPr>
            <w:tcW w:w="3800" w:type="pct"/>
          </w:tcPr>
          <w:p w14:paraId="74D71633" w14:textId="2B33CED9" w:rsidR="00C3193D" w:rsidRDefault="00C3193D" w:rsidP="00652113">
            <w:pPr>
              <w:cnfStyle w:val="000000000000" w:firstRow="0" w:lastRow="0" w:firstColumn="0" w:lastColumn="0" w:oddVBand="0" w:evenVBand="0" w:oddHBand="0" w:evenHBand="0" w:firstRowFirstColumn="0" w:firstRowLastColumn="0" w:lastRowFirstColumn="0" w:lastRowLastColumn="0"/>
            </w:pPr>
            <w:r w:rsidRPr="00F702A1">
              <w:t>European Medicines Agency</w:t>
            </w:r>
            <w:r w:rsidR="00BD6F31">
              <w:t xml:space="preserve"> (European Union)</w:t>
            </w:r>
          </w:p>
        </w:tc>
      </w:tr>
      <w:tr w:rsidR="00C3193D" w:rsidRPr="00D01DDB" w14:paraId="1085228A" w14:textId="77777777" w:rsidTr="00652113">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1DFCB8B" w14:textId="77777777" w:rsidR="00C3193D" w:rsidRPr="00D01DDB" w:rsidRDefault="00C3193D" w:rsidP="00652113">
            <w:pPr>
              <w:rPr>
                <w:szCs w:val="22"/>
              </w:rPr>
            </w:pPr>
            <w:r>
              <w:t>EU</w:t>
            </w:r>
          </w:p>
        </w:tc>
        <w:tc>
          <w:tcPr>
            <w:tcW w:w="3800" w:type="pct"/>
          </w:tcPr>
          <w:p w14:paraId="31908683" w14:textId="77777777" w:rsidR="00C3193D" w:rsidRPr="00D01DDB" w:rsidRDefault="00C3193D" w:rsidP="00652113">
            <w:pPr>
              <w:cnfStyle w:val="000000000000" w:firstRow="0" w:lastRow="0" w:firstColumn="0" w:lastColumn="0" w:oddVBand="0" w:evenVBand="0" w:oddHBand="0" w:evenHBand="0" w:firstRowFirstColumn="0" w:firstRowLastColumn="0" w:lastRowFirstColumn="0" w:lastRowLastColumn="0"/>
              <w:rPr>
                <w:szCs w:val="22"/>
              </w:rPr>
            </w:pPr>
            <w:r>
              <w:t>European Union</w:t>
            </w:r>
          </w:p>
        </w:tc>
      </w:tr>
      <w:tr w:rsidR="00C3193D" w14:paraId="4F622818" w14:textId="77777777" w:rsidTr="00652113">
        <w:tc>
          <w:tcPr>
            <w:cnfStyle w:val="001000000000" w:firstRow="0" w:lastRow="0" w:firstColumn="1" w:lastColumn="0" w:oddVBand="0" w:evenVBand="0" w:oddHBand="0" w:evenHBand="0" w:firstRowFirstColumn="0" w:firstRowLastColumn="0" w:lastRowFirstColumn="0" w:lastRowLastColumn="0"/>
            <w:tcW w:w="1200" w:type="pct"/>
          </w:tcPr>
          <w:p w14:paraId="5E8ABE87" w14:textId="77777777" w:rsidR="00C3193D" w:rsidRDefault="00C3193D" w:rsidP="00652113">
            <w:r>
              <w:t>GFP</w:t>
            </w:r>
          </w:p>
        </w:tc>
        <w:tc>
          <w:tcPr>
            <w:tcW w:w="3800" w:type="pct"/>
          </w:tcPr>
          <w:p w14:paraId="0BBC3C4E" w14:textId="77777777" w:rsidR="00C3193D" w:rsidRDefault="00C3193D" w:rsidP="00652113">
            <w:pPr>
              <w:cnfStyle w:val="000000000000" w:firstRow="0" w:lastRow="0" w:firstColumn="0" w:lastColumn="0" w:oddVBand="0" w:evenVBand="0" w:oddHBand="0" w:evenHBand="0" w:firstRowFirstColumn="0" w:firstRowLastColumn="0" w:lastRowFirstColumn="0" w:lastRowLastColumn="0"/>
            </w:pPr>
            <w:r>
              <w:t>Green fluorescent protein</w:t>
            </w:r>
          </w:p>
        </w:tc>
      </w:tr>
      <w:tr w:rsidR="00342D26" w14:paraId="2403E87D" w14:textId="77777777" w:rsidTr="00652113">
        <w:tc>
          <w:tcPr>
            <w:cnfStyle w:val="001000000000" w:firstRow="0" w:lastRow="0" w:firstColumn="1" w:lastColumn="0" w:oddVBand="0" w:evenVBand="0" w:oddHBand="0" w:evenHBand="0" w:firstRowFirstColumn="0" w:firstRowLastColumn="0" w:lastRowFirstColumn="0" w:lastRowLastColumn="0"/>
            <w:tcW w:w="1200" w:type="pct"/>
          </w:tcPr>
          <w:p w14:paraId="2D48CB9E" w14:textId="568F2FF4" w:rsidR="00342D26" w:rsidRDefault="00342D26" w:rsidP="00652113">
            <w:r w:rsidRPr="00342D26">
              <w:t>GMP</w:t>
            </w:r>
          </w:p>
        </w:tc>
        <w:tc>
          <w:tcPr>
            <w:tcW w:w="3800" w:type="pct"/>
          </w:tcPr>
          <w:p w14:paraId="5CB8438A" w14:textId="7CC937E9" w:rsidR="00342D26" w:rsidRDefault="00342D26" w:rsidP="00652113">
            <w:pPr>
              <w:cnfStyle w:val="000000000000" w:firstRow="0" w:lastRow="0" w:firstColumn="0" w:lastColumn="0" w:oddVBand="0" w:evenVBand="0" w:oddHBand="0" w:evenHBand="0" w:firstRowFirstColumn="0" w:firstRowLastColumn="0" w:lastRowFirstColumn="0" w:lastRowLastColumn="0"/>
            </w:pPr>
            <w:r w:rsidRPr="00342D26">
              <w:t>Good Manufacturing Practice</w:t>
            </w:r>
          </w:p>
        </w:tc>
      </w:tr>
      <w:tr w:rsidR="00C3193D" w14:paraId="6D2E65C6" w14:textId="77777777" w:rsidTr="00652113">
        <w:tc>
          <w:tcPr>
            <w:cnfStyle w:val="001000000000" w:firstRow="0" w:lastRow="0" w:firstColumn="1" w:lastColumn="0" w:oddVBand="0" w:evenVBand="0" w:oddHBand="0" w:evenHBand="0" w:firstRowFirstColumn="0" w:firstRowLastColumn="0" w:lastRowFirstColumn="0" w:lastRowLastColumn="0"/>
            <w:tcW w:w="1200" w:type="pct"/>
          </w:tcPr>
          <w:p w14:paraId="03A8FD8F" w14:textId="77777777" w:rsidR="00C3193D" w:rsidRDefault="00C3193D" w:rsidP="00652113">
            <w:r>
              <w:t>LNP</w:t>
            </w:r>
          </w:p>
        </w:tc>
        <w:tc>
          <w:tcPr>
            <w:tcW w:w="3800" w:type="pct"/>
          </w:tcPr>
          <w:p w14:paraId="05140C74" w14:textId="77777777" w:rsidR="00C3193D" w:rsidRDefault="00C3193D" w:rsidP="00652113">
            <w:pPr>
              <w:cnfStyle w:val="000000000000" w:firstRow="0" w:lastRow="0" w:firstColumn="0" w:lastColumn="0" w:oddVBand="0" w:evenVBand="0" w:oddHBand="0" w:evenHBand="0" w:firstRowFirstColumn="0" w:firstRowLastColumn="0" w:lastRowFirstColumn="0" w:lastRowLastColumn="0"/>
            </w:pPr>
            <w:r>
              <w:t>Lipid nanoparticles</w:t>
            </w:r>
          </w:p>
        </w:tc>
      </w:tr>
      <w:tr w:rsidR="00C3193D" w14:paraId="44F963A6" w14:textId="77777777" w:rsidTr="00652113">
        <w:tc>
          <w:tcPr>
            <w:cnfStyle w:val="001000000000" w:firstRow="0" w:lastRow="0" w:firstColumn="1" w:lastColumn="0" w:oddVBand="0" w:evenVBand="0" w:oddHBand="0" w:evenHBand="0" w:firstRowFirstColumn="0" w:firstRowLastColumn="0" w:lastRowFirstColumn="0" w:lastRowLastColumn="0"/>
            <w:tcW w:w="1200" w:type="pct"/>
          </w:tcPr>
          <w:p w14:paraId="28036081" w14:textId="77777777" w:rsidR="00C3193D" w:rsidRDefault="00C3193D" w:rsidP="00652113">
            <w:r>
              <w:t>mRNA</w:t>
            </w:r>
          </w:p>
        </w:tc>
        <w:tc>
          <w:tcPr>
            <w:tcW w:w="3800" w:type="pct"/>
          </w:tcPr>
          <w:p w14:paraId="249A0D35" w14:textId="77777777" w:rsidR="00C3193D" w:rsidRDefault="00C3193D" w:rsidP="00652113">
            <w:pPr>
              <w:cnfStyle w:val="000000000000" w:firstRow="0" w:lastRow="0" w:firstColumn="0" w:lastColumn="0" w:oddVBand="0" w:evenVBand="0" w:oddHBand="0" w:evenHBand="0" w:firstRowFirstColumn="0" w:firstRowLastColumn="0" w:lastRowFirstColumn="0" w:lastRowLastColumn="0"/>
            </w:pPr>
            <w:r>
              <w:t>Messenger</w:t>
            </w:r>
            <w:r w:rsidRPr="0066660A">
              <w:t xml:space="preserve"> ribonucleic acid</w:t>
            </w:r>
          </w:p>
        </w:tc>
      </w:tr>
      <w:tr w:rsidR="00C3193D" w14:paraId="09F3E846" w14:textId="77777777" w:rsidTr="00652113">
        <w:tc>
          <w:tcPr>
            <w:cnfStyle w:val="001000000000" w:firstRow="0" w:lastRow="0" w:firstColumn="1" w:lastColumn="0" w:oddVBand="0" w:evenVBand="0" w:oddHBand="0" w:evenHBand="0" w:firstRowFirstColumn="0" w:firstRowLastColumn="0" w:lastRowFirstColumn="0" w:lastRowLastColumn="0"/>
            <w:tcW w:w="1200" w:type="pct"/>
            <w:hideMark/>
          </w:tcPr>
          <w:p w14:paraId="2E70B664" w14:textId="77777777" w:rsidR="00C3193D" w:rsidRDefault="00C3193D" w:rsidP="00652113">
            <w:r>
              <w:t>NAb</w:t>
            </w:r>
          </w:p>
        </w:tc>
        <w:tc>
          <w:tcPr>
            <w:tcW w:w="3800" w:type="pct"/>
            <w:hideMark/>
          </w:tcPr>
          <w:p w14:paraId="3511E110" w14:textId="77777777" w:rsidR="00C3193D" w:rsidRDefault="00C3193D" w:rsidP="00652113">
            <w:pPr>
              <w:cnfStyle w:val="000000000000" w:firstRow="0" w:lastRow="0" w:firstColumn="0" w:lastColumn="0" w:oddVBand="0" w:evenVBand="0" w:oddHBand="0" w:evenHBand="0" w:firstRowFirstColumn="0" w:firstRowLastColumn="0" w:lastRowFirstColumn="0" w:lastRowLastColumn="0"/>
            </w:pPr>
            <w:r>
              <w:t>Neutralising antibody</w:t>
            </w:r>
          </w:p>
        </w:tc>
      </w:tr>
      <w:tr w:rsidR="00C3193D" w:rsidRPr="00D01DDB" w14:paraId="35E36BC9" w14:textId="77777777" w:rsidTr="00652113">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D228784" w14:textId="77777777" w:rsidR="00C3193D" w:rsidRPr="00D01DDB" w:rsidRDefault="00C3193D" w:rsidP="00652113">
            <w:pPr>
              <w:rPr>
                <w:szCs w:val="22"/>
              </w:rPr>
            </w:pPr>
            <w:r w:rsidRPr="00D01DDB">
              <w:rPr>
                <w:szCs w:val="22"/>
              </w:rPr>
              <w:t>PI</w:t>
            </w:r>
          </w:p>
        </w:tc>
        <w:tc>
          <w:tcPr>
            <w:tcW w:w="3800" w:type="pct"/>
          </w:tcPr>
          <w:p w14:paraId="60B5B4BC" w14:textId="77777777" w:rsidR="00C3193D" w:rsidRPr="00D01DDB" w:rsidRDefault="00C3193D" w:rsidP="0065211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Product Information</w:t>
            </w:r>
          </w:p>
        </w:tc>
      </w:tr>
      <w:tr w:rsidR="00C3193D" w:rsidRPr="00D01DDB" w14:paraId="75F18AD1" w14:textId="77777777" w:rsidTr="00652113">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0AACF8A" w14:textId="77777777" w:rsidR="00C3193D" w:rsidRPr="00D01DDB" w:rsidRDefault="00C3193D" w:rsidP="00652113">
            <w:pPr>
              <w:rPr>
                <w:szCs w:val="22"/>
              </w:rPr>
            </w:pPr>
            <w:r w:rsidRPr="00D01DDB">
              <w:rPr>
                <w:szCs w:val="22"/>
              </w:rPr>
              <w:t>PSUR</w:t>
            </w:r>
          </w:p>
        </w:tc>
        <w:tc>
          <w:tcPr>
            <w:tcW w:w="3800" w:type="pct"/>
          </w:tcPr>
          <w:p w14:paraId="63E8D2F2" w14:textId="77777777" w:rsidR="00C3193D" w:rsidRPr="00D01DDB" w:rsidRDefault="00C3193D" w:rsidP="0065211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Periodic safety update report</w:t>
            </w:r>
          </w:p>
        </w:tc>
      </w:tr>
      <w:tr w:rsidR="00C3193D" w:rsidRPr="00D01DDB" w14:paraId="548E6901" w14:textId="77777777" w:rsidTr="00652113">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E676C43" w14:textId="77777777" w:rsidR="00C3193D" w:rsidRPr="00D01DDB" w:rsidRDefault="00C3193D" w:rsidP="00652113">
            <w:pPr>
              <w:rPr>
                <w:szCs w:val="22"/>
              </w:rPr>
            </w:pPr>
            <w:r w:rsidRPr="00D01DDB">
              <w:rPr>
                <w:szCs w:val="22"/>
              </w:rPr>
              <w:t>RMP</w:t>
            </w:r>
          </w:p>
        </w:tc>
        <w:tc>
          <w:tcPr>
            <w:tcW w:w="3800" w:type="pct"/>
          </w:tcPr>
          <w:p w14:paraId="70B11563" w14:textId="77777777" w:rsidR="00C3193D" w:rsidRPr="00D01DDB" w:rsidRDefault="00C3193D" w:rsidP="0065211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Risk management plan</w:t>
            </w:r>
          </w:p>
        </w:tc>
      </w:tr>
      <w:tr w:rsidR="00C3193D" w14:paraId="73B5C50C" w14:textId="77777777" w:rsidTr="00652113">
        <w:tc>
          <w:tcPr>
            <w:cnfStyle w:val="001000000000" w:firstRow="0" w:lastRow="0" w:firstColumn="1" w:lastColumn="0" w:oddVBand="0" w:evenVBand="0" w:oddHBand="0" w:evenHBand="0" w:firstRowFirstColumn="0" w:firstRowLastColumn="0" w:lastRowFirstColumn="0" w:lastRowLastColumn="0"/>
            <w:tcW w:w="1200" w:type="pct"/>
          </w:tcPr>
          <w:p w14:paraId="765F36E2" w14:textId="77777777" w:rsidR="00C3193D" w:rsidRDefault="00C3193D" w:rsidP="00652113">
            <w:r>
              <w:t>RNA</w:t>
            </w:r>
          </w:p>
        </w:tc>
        <w:tc>
          <w:tcPr>
            <w:tcW w:w="3800" w:type="pct"/>
          </w:tcPr>
          <w:p w14:paraId="3DC96F0B" w14:textId="77777777" w:rsidR="00C3193D" w:rsidRDefault="00C3193D" w:rsidP="00652113">
            <w:pPr>
              <w:cnfStyle w:val="000000000000" w:firstRow="0" w:lastRow="0" w:firstColumn="0" w:lastColumn="0" w:oddVBand="0" w:evenVBand="0" w:oddHBand="0" w:evenHBand="0" w:firstRowFirstColumn="0" w:firstRowLastColumn="0" w:lastRowFirstColumn="0" w:lastRowLastColumn="0"/>
            </w:pPr>
            <w:r>
              <w:t>R</w:t>
            </w:r>
            <w:r w:rsidRPr="0066660A">
              <w:t>ibonucleic acid</w:t>
            </w:r>
          </w:p>
        </w:tc>
      </w:tr>
      <w:tr w:rsidR="00C3193D" w:rsidRPr="00D01DDB" w14:paraId="14FFA437" w14:textId="77777777" w:rsidTr="00652113">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F554536" w14:textId="77777777" w:rsidR="00C3193D" w:rsidRDefault="00C3193D" w:rsidP="00652113">
            <w:pPr>
              <w:rPr>
                <w:szCs w:val="22"/>
              </w:rPr>
            </w:pPr>
            <w:r>
              <w:rPr>
                <w:szCs w:val="22"/>
              </w:rPr>
              <w:t>SAE</w:t>
            </w:r>
          </w:p>
        </w:tc>
        <w:tc>
          <w:tcPr>
            <w:tcW w:w="3800" w:type="pct"/>
          </w:tcPr>
          <w:p w14:paraId="254CF92B" w14:textId="77777777" w:rsidR="00C3193D" w:rsidRDefault="00C3193D" w:rsidP="00652113">
            <w:pPr>
              <w:cnfStyle w:val="000000000000" w:firstRow="0" w:lastRow="0" w:firstColumn="0" w:lastColumn="0" w:oddVBand="0" w:evenVBand="0" w:oddHBand="0" w:evenHBand="0" w:firstRowFirstColumn="0" w:firstRowLastColumn="0" w:lastRowFirstColumn="0" w:lastRowLastColumn="0"/>
              <w:rPr>
                <w:szCs w:val="22"/>
              </w:rPr>
            </w:pPr>
            <w:r>
              <w:rPr>
                <w:szCs w:val="22"/>
              </w:rPr>
              <w:t>Serious adverse event</w:t>
            </w:r>
          </w:p>
        </w:tc>
      </w:tr>
      <w:tr w:rsidR="00C3193D" w14:paraId="5B681176" w14:textId="77777777" w:rsidTr="00652113">
        <w:tc>
          <w:tcPr>
            <w:cnfStyle w:val="001000000000" w:firstRow="0" w:lastRow="0" w:firstColumn="1" w:lastColumn="0" w:oddVBand="0" w:evenVBand="0" w:oddHBand="0" w:evenHBand="0" w:firstRowFirstColumn="0" w:firstRowLastColumn="0" w:lastRowFirstColumn="0" w:lastRowLastColumn="0"/>
            <w:tcW w:w="1200" w:type="pct"/>
            <w:hideMark/>
          </w:tcPr>
          <w:p w14:paraId="2E4B914C" w14:textId="77777777" w:rsidR="00C3193D" w:rsidRDefault="00C3193D" w:rsidP="00652113">
            <w:r>
              <w:t>SARS-CoV-2</w:t>
            </w:r>
          </w:p>
        </w:tc>
        <w:tc>
          <w:tcPr>
            <w:tcW w:w="3800" w:type="pct"/>
            <w:hideMark/>
          </w:tcPr>
          <w:p w14:paraId="2411D6BF" w14:textId="77777777" w:rsidR="00C3193D" w:rsidRDefault="00C3193D" w:rsidP="00652113">
            <w:pPr>
              <w:cnfStyle w:val="000000000000" w:firstRow="0" w:lastRow="0" w:firstColumn="0" w:lastColumn="0" w:oddVBand="0" w:evenVBand="0" w:oddHBand="0" w:evenHBand="0" w:firstRowFirstColumn="0" w:firstRowLastColumn="0" w:lastRowFirstColumn="0" w:lastRowLastColumn="0"/>
            </w:pPr>
            <w:r>
              <w:t>Severe acute respiratory syndrome coronavirus 2</w:t>
            </w:r>
          </w:p>
        </w:tc>
      </w:tr>
      <w:tr w:rsidR="00C3193D" w:rsidRPr="00D01DDB" w14:paraId="48EBB98A" w14:textId="77777777" w:rsidTr="00652113">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272BEEC" w14:textId="77777777" w:rsidR="00C3193D" w:rsidRPr="00D01DDB" w:rsidRDefault="00C3193D" w:rsidP="00652113">
            <w:pPr>
              <w:rPr>
                <w:szCs w:val="22"/>
              </w:rPr>
            </w:pPr>
            <w:r w:rsidRPr="00D01DDB">
              <w:rPr>
                <w:szCs w:val="22"/>
              </w:rPr>
              <w:t>TGA</w:t>
            </w:r>
          </w:p>
        </w:tc>
        <w:tc>
          <w:tcPr>
            <w:tcW w:w="3800" w:type="pct"/>
          </w:tcPr>
          <w:p w14:paraId="47134285" w14:textId="77777777" w:rsidR="00C3193D" w:rsidRPr="00D01DDB" w:rsidRDefault="00C3193D" w:rsidP="0065211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Therapeutic Goods Administration</w:t>
            </w:r>
          </w:p>
        </w:tc>
      </w:tr>
      <w:tr w:rsidR="00C3193D" w14:paraId="5E273F10" w14:textId="77777777" w:rsidTr="00652113">
        <w:tc>
          <w:tcPr>
            <w:cnfStyle w:val="001000000000" w:firstRow="0" w:lastRow="0" w:firstColumn="1" w:lastColumn="0" w:oddVBand="0" w:evenVBand="0" w:oddHBand="0" w:evenHBand="0" w:firstRowFirstColumn="0" w:firstRowLastColumn="0" w:lastRowFirstColumn="0" w:lastRowLastColumn="0"/>
            <w:tcW w:w="1200" w:type="pct"/>
            <w:hideMark/>
          </w:tcPr>
          <w:p w14:paraId="1639B914" w14:textId="77777777" w:rsidR="00C3193D" w:rsidRDefault="00C3193D" w:rsidP="00652113">
            <w:r>
              <w:t>US(A)</w:t>
            </w:r>
          </w:p>
        </w:tc>
        <w:tc>
          <w:tcPr>
            <w:tcW w:w="3800" w:type="pct"/>
            <w:hideMark/>
          </w:tcPr>
          <w:p w14:paraId="3F7DF4DB" w14:textId="77777777" w:rsidR="00C3193D" w:rsidRDefault="00C3193D" w:rsidP="00652113">
            <w:pPr>
              <w:cnfStyle w:val="000000000000" w:firstRow="0" w:lastRow="0" w:firstColumn="0" w:lastColumn="0" w:oddVBand="0" w:evenVBand="0" w:oddHBand="0" w:evenHBand="0" w:firstRowFirstColumn="0" w:firstRowLastColumn="0" w:lastRowFirstColumn="0" w:lastRowLastColumn="0"/>
            </w:pPr>
            <w:r>
              <w:t>United States (of America)</w:t>
            </w:r>
          </w:p>
        </w:tc>
      </w:tr>
      <w:tr w:rsidR="00C3193D" w14:paraId="4D0F2C64" w14:textId="77777777" w:rsidTr="00652113">
        <w:tc>
          <w:tcPr>
            <w:cnfStyle w:val="001000000000" w:firstRow="0" w:lastRow="0" w:firstColumn="1" w:lastColumn="0" w:oddVBand="0" w:evenVBand="0" w:oddHBand="0" w:evenHBand="0" w:firstRowFirstColumn="0" w:firstRowLastColumn="0" w:lastRowFirstColumn="0" w:lastRowLastColumn="0"/>
            <w:tcW w:w="1200" w:type="pct"/>
            <w:hideMark/>
          </w:tcPr>
          <w:p w14:paraId="22AB29EC" w14:textId="77777777" w:rsidR="00C3193D" w:rsidRDefault="00C3193D" w:rsidP="00652113">
            <w:r>
              <w:t>WHO</w:t>
            </w:r>
          </w:p>
        </w:tc>
        <w:tc>
          <w:tcPr>
            <w:tcW w:w="3800" w:type="pct"/>
            <w:hideMark/>
          </w:tcPr>
          <w:p w14:paraId="1B7405CC" w14:textId="77777777" w:rsidR="00C3193D" w:rsidRDefault="00C3193D" w:rsidP="00652113">
            <w:pPr>
              <w:cnfStyle w:val="000000000000" w:firstRow="0" w:lastRow="0" w:firstColumn="0" w:lastColumn="0" w:oddVBand="0" w:evenVBand="0" w:oddHBand="0" w:evenHBand="0" w:firstRowFirstColumn="0" w:firstRowLastColumn="0" w:lastRowFirstColumn="0" w:lastRowLastColumn="0"/>
            </w:pPr>
            <w:r>
              <w:t>World Health Organization</w:t>
            </w:r>
          </w:p>
        </w:tc>
      </w:tr>
    </w:tbl>
    <w:p w14:paraId="02FB1F38" w14:textId="77777777" w:rsidR="00324B33" w:rsidRPr="00FD119B" w:rsidRDefault="00324B33" w:rsidP="00324B33">
      <w:pPr>
        <w:spacing w:after="200" w:line="0" w:lineRule="auto"/>
        <w:rPr>
          <w:b/>
          <w:i/>
          <w:sz w:val="24"/>
          <w:szCs w:val="24"/>
        </w:rPr>
      </w:pPr>
      <w:r w:rsidRPr="00FD119B">
        <w:rPr>
          <w:b/>
          <w:i/>
          <w:sz w:val="24"/>
          <w:szCs w:val="24"/>
        </w:rPr>
        <w:br w:type="page"/>
      </w:r>
    </w:p>
    <w:p w14:paraId="44C2A39C" w14:textId="77777777" w:rsidR="00324B33" w:rsidRDefault="00324B33" w:rsidP="00324B33">
      <w:pPr>
        <w:pStyle w:val="Heading2"/>
      </w:pPr>
      <w:bookmarkStart w:id="5" w:name="_Toc103679288"/>
      <w:bookmarkStart w:id="6" w:name="_Toc158382379"/>
      <w:r>
        <w:lastRenderedPageBreak/>
        <w:t>Product submission</w:t>
      </w:r>
      <w:bookmarkEnd w:id="5"/>
      <w:bookmarkEnd w:id="6"/>
    </w:p>
    <w:p w14:paraId="21D559DF" w14:textId="77777777" w:rsidR="00324B33" w:rsidRDefault="00324B33" w:rsidP="00324B33">
      <w:pPr>
        <w:pStyle w:val="Heading3"/>
        <w:rPr>
          <w:lang w:eastAsia="en-AU"/>
        </w:rPr>
      </w:pPr>
      <w:bookmarkStart w:id="7" w:name="_Toc247691502"/>
      <w:bookmarkStart w:id="8" w:name="_Toc314842483"/>
      <w:bookmarkStart w:id="9" w:name="_Toc103679289"/>
      <w:bookmarkStart w:id="10" w:name="_Toc158382380"/>
      <w:r>
        <w:rPr>
          <w:lang w:eastAsia="en-AU"/>
        </w:rPr>
        <w:t>Submission details</w:t>
      </w:r>
      <w:bookmarkEnd w:id="7"/>
      <w:bookmarkEnd w:id="8"/>
      <w:bookmarkEnd w:id="9"/>
      <w:bookmarkEnd w:id="10"/>
    </w:p>
    <w:tbl>
      <w:tblPr>
        <w:tblW w:w="5000" w:type="pct"/>
        <w:tblLook w:val="01E0" w:firstRow="1" w:lastRow="1" w:firstColumn="1" w:lastColumn="1" w:noHBand="0" w:noVBand="0"/>
      </w:tblPr>
      <w:tblGrid>
        <w:gridCol w:w="2861"/>
        <w:gridCol w:w="6209"/>
      </w:tblGrid>
      <w:tr w:rsidR="00324B33" w:rsidRPr="00BD5DBD" w14:paraId="77D11C95" w14:textId="77777777" w:rsidTr="00F865A7">
        <w:tc>
          <w:tcPr>
            <w:tcW w:w="1577" w:type="pct"/>
          </w:tcPr>
          <w:p w14:paraId="10E57D62" w14:textId="77777777" w:rsidR="00324B33" w:rsidRPr="00BD5DBD" w:rsidRDefault="00324B33" w:rsidP="007452E8">
            <w:pPr>
              <w:rPr>
                <w:i/>
                <w:szCs w:val="22"/>
              </w:rPr>
            </w:pPr>
            <w:r w:rsidRPr="00BD5DBD">
              <w:rPr>
                <w:i/>
                <w:szCs w:val="22"/>
              </w:rPr>
              <w:t>Type of submission:</w:t>
            </w:r>
          </w:p>
        </w:tc>
        <w:tc>
          <w:tcPr>
            <w:tcW w:w="3423" w:type="pct"/>
          </w:tcPr>
          <w:p w14:paraId="4F07C303" w14:textId="5AB0B302" w:rsidR="00324B33" w:rsidRPr="00BD5DBD" w:rsidRDefault="00263103" w:rsidP="007452E8">
            <w:pPr>
              <w:rPr>
                <w:szCs w:val="22"/>
              </w:rPr>
            </w:pPr>
            <w:bookmarkStart w:id="11" w:name="_Hlk158704599"/>
            <w:r>
              <w:rPr>
                <w:szCs w:val="22"/>
              </w:rPr>
              <w:t>Major variation (update in strain) and new formulation</w:t>
            </w:r>
            <w:bookmarkEnd w:id="11"/>
          </w:p>
        </w:tc>
      </w:tr>
      <w:tr w:rsidR="00324B33" w:rsidRPr="00BD5DBD" w14:paraId="13482B61" w14:textId="77777777" w:rsidTr="00F865A7">
        <w:tc>
          <w:tcPr>
            <w:tcW w:w="1577" w:type="pct"/>
          </w:tcPr>
          <w:p w14:paraId="2C427FCF" w14:textId="51414404" w:rsidR="00324B33" w:rsidRPr="00BD5DBD" w:rsidRDefault="00324B33" w:rsidP="007452E8">
            <w:pPr>
              <w:rPr>
                <w:i/>
                <w:szCs w:val="22"/>
              </w:rPr>
            </w:pPr>
            <w:r w:rsidRPr="00BD5DBD">
              <w:rPr>
                <w:i/>
                <w:szCs w:val="22"/>
              </w:rPr>
              <w:t>Product name:</w:t>
            </w:r>
          </w:p>
        </w:tc>
        <w:tc>
          <w:tcPr>
            <w:tcW w:w="3423" w:type="pct"/>
          </w:tcPr>
          <w:p w14:paraId="0E2DEF76" w14:textId="292605D0" w:rsidR="00324B33" w:rsidRPr="00BD5DBD" w:rsidRDefault="004E4980" w:rsidP="007452E8">
            <w:pPr>
              <w:rPr>
                <w:szCs w:val="22"/>
              </w:rPr>
            </w:pPr>
            <w:r>
              <w:t>Comirnaty Omicron XBB.1.5</w:t>
            </w:r>
          </w:p>
        </w:tc>
      </w:tr>
      <w:tr w:rsidR="00324B33" w:rsidRPr="00BD5DBD" w14:paraId="01255B5B" w14:textId="77777777" w:rsidTr="00F865A7">
        <w:tc>
          <w:tcPr>
            <w:tcW w:w="1577" w:type="pct"/>
          </w:tcPr>
          <w:p w14:paraId="52B4F3D7" w14:textId="3FD0547A" w:rsidR="00324B33" w:rsidRPr="00BD5DBD" w:rsidRDefault="00324B33" w:rsidP="007452E8">
            <w:pPr>
              <w:rPr>
                <w:i/>
                <w:szCs w:val="22"/>
              </w:rPr>
            </w:pPr>
            <w:r w:rsidRPr="00BD5DBD">
              <w:rPr>
                <w:i/>
                <w:szCs w:val="22"/>
              </w:rPr>
              <w:t>Active ingredient:</w:t>
            </w:r>
          </w:p>
        </w:tc>
        <w:tc>
          <w:tcPr>
            <w:tcW w:w="3423" w:type="pct"/>
          </w:tcPr>
          <w:p w14:paraId="02FB6383" w14:textId="0832123D" w:rsidR="00324B33" w:rsidRPr="00BD5DBD" w:rsidRDefault="004E4980" w:rsidP="007452E8">
            <w:pPr>
              <w:rPr>
                <w:szCs w:val="22"/>
              </w:rPr>
            </w:pPr>
            <w:r>
              <w:rPr>
                <w:szCs w:val="22"/>
              </w:rPr>
              <w:t>Raxtozinameran</w:t>
            </w:r>
          </w:p>
        </w:tc>
      </w:tr>
      <w:tr w:rsidR="00324B33" w:rsidRPr="00BD5DBD" w14:paraId="219A281B" w14:textId="77777777" w:rsidTr="00F865A7">
        <w:tc>
          <w:tcPr>
            <w:tcW w:w="1577" w:type="pct"/>
          </w:tcPr>
          <w:p w14:paraId="112E5F78" w14:textId="77777777" w:rsidR="00324B33" w:rsidRPr="00BD5DBD" w:rsidRDefault="00324B33" w:rsidP="007452E8">
            <w:pPr>
              <w:rPr>
                <w:i/>
                <w:szCs w:val="22"/>
              </w:rPr>
            </w:pPr>
            <w:r w:rsidRPr="00BD5DBD">
              <w:rPr>
                <w:i/>
                <w:szCs w:val="22"/>
              </w:rPr>
              <w:t>Decision:</w:t>
            </w:r>
          </w:p>
        </w:tc>
        <w:tc>
          <w:tcPr>
            <w:tcW w:w="3423" w:type="pct"/>
          </w:tcPr>
          <w:p w14:paraId="3B114BEA" w14:textId="607CC5B0" w:rsidR="00324B33" w:rsidRPr="00535105" w:rsidRDefault="006331A0" w:rsidP="007452E8">
            <w:pPr>
              <w:rPr>
                <w:szCs w:val="22"/>
                <w:highlight w:val="yellow"/>
              </w:rPr>
            </w:pPr>
            <w:r>
              <w:rPr>
                <w:szCs w:val="22"/>
              </w:rPr>
              <w:t>Approved</w:t>
            </w:r>
          </w:p>
        </w:tc>
      </w:tr>
      <w:tr w:rsidR="00AE1947" w:rsidRPr="00BD5DBD" w14:paraId="32B72632" w14:textId="77777777" w:rsidTr="00F865A7">
        <w:tc>
          <w:tcPr>
            <w:tcW w:w="1577" w:type="pct"/>
          </w:tcPr>
          <w:p w14:paraId="332A5CD5" w14:textId="4162D773" w:rsidR="00AE1947" w:rsidRPr="004E4980" w:rsidRDefault="00AE1947" w:rsidP="004E4980">
            <w:pPr>
              <w:rPr>
                <w:i/>
                <w:szCs w:val="22"/>
              </w:rPr>
            </w:pPr>
            <w:r w:rsidRPr="00BD5DBD">
              <w:rPr>
                <w:i/>
                <w:szCs w:val="22"/>
              </w:rPr>
              <w:t>Date of decision:</w:t>
            </w:r>
          </w:p>
        </w:tc>
        <w:tc>
          <w:tcPr>
            <w:tcW w:w="3423" w:type="pct"/>
          </w:tcPr>
          <w:p w14:paraId="7B381CD6" w14:textId="29B83814" w:rsidR="00AE1947" w:rsidRPr="00535105" w:rsidRDefault="006331A0" w:rsidP="00602658">
            <w:pPr>
              <w:rPr>
                <w:szCs w:val="22"/>
                <w:highlight w:val="yellow"/>
              </w:rPr>
            </w:pPr>
            <w:r w:rsidRPr="006331A0">
              <w:rPr>
                <w:szCs w:val="22"/>
              </w:rPr>
              <w:t>6 October 2023</w:t>
            </w:r>
            <w:r w:rsidR="00C25E48">
              <w:rPr>
                <w:szCs w:val="22"/>
              </w:rPr>
              <w:t xml:space="preserve"> </w:t>
            </w:r>
            <w:r w:rsidR="003504E6">
              <w:rPr>
                <w:szCs w:val="22"/>
              </w:rPr>
              <w:t xml:space="preserve">and </w:t>
            </w:r>
            <w:r w:rsidR="009530B9" w:rsidRPr="009530B9">
              <w:rPr>
                <w:szCs w:val="22"/>
              </w:rPr>
              <w:t>21 December 2023</w:t>
            </w:r>
          </w:p>
        </w:tc>
      </w:tr>
      <w:tr w:rsidR="00324B33" w:rsidRPr="00BD5DBD" w14:paraId="60A25F5A" w14:textId="77777777" w:rsidTr="00F865A7">
        <w:tc>
          <w:tcPr>
            <w:tcW w:w="1577" w:type="pct"/>
          </w:tcPr>
          <w:p w14:paraId="5C5E4CBA" w14:textId="77777777" w:rsidR="00324B33" w:rsidRPr="00BD5DBD" w:rsidRDefault="00324B33" w:rsidP="007452E8">
            <w:pPr>
              <w:rPr>
                <w:i/>
                <w:szCs w:val="22"/>
              </w:rPr>
            </w:pPr>
            <w:r w:rsidRPr="00BD5DBD">
              <w:rPr>
                <w:i/>
                <w:szCs w:val="22"/>
              </w:rPr>
              <w:t>Date of entry onto ARTG:</w:t>
            </w:r>
          </w:p>
        </w:tc>
        <w:tc>
          <w:tcPr>
            <w:tcW w:w="3423" w:type="pct"/>
          </w:tcPr>
          <w:p w14:paraId="28B270E9" w14:textId="58D758BD" w:rsidR="00324B33" w:rsidRPr="00535105" w:rsidRDefault="008F5D26" w:rsidP="007452E8">
            <w:pPr>
              <w:rPr>
                <w:szCs w:val="22"/>
                <w:highlight w:val="yellow"/>
              </w:rPr>
            </w:pPr>
            <w:r>
              <w:rPr>
                <w:szCs w:val="22"/>
              </w:rPr>
              <w:t>9 October 2023</w:t>
            </w:r>
            <w:r w:rsidR="009530B9">
              <w:rPr>
                <w:szCs w:val="22"/>
              </w:rPr>
              <w:t xml:space="preserve"> and </w:t>
            </w:r>
            <w:r w:rsidR="009530B9" w:rsidRPr="009530B9">
              <w:rPr>
                <w:szCs w:val="22"/>
              </w:rPr>
              <w:t>2</w:t>
            </w:r>
            <w:r w:rsidR="009530B9">
              <w:rPr>
                <w:szCs w:val="22"/>
              </w:rPr>
              <w:t>2</w:t>
            </w:r>
            <w:r w:rsidR="009530B9" w:rsidRPr="009530B9">
              <w:rPr>
                <w:szCs w:val="22"/>
              </w:rPr>
              <w:t xml:space="preserve"> December 2023</w:t>
            </w:r>
          </w:p>
        </w:tc>
      </w:tr>
      <w:tr w:rsidR="00324B33" w:rsidRPr="00BD5DBD" w14:paraId="547E08D7" w14:textId="77777777" w:rsidTr="00F865A7">
        <w:tc>
          <w:tcPr>
            <w:tcW w:w="1577" w:type="pct"/>
          </w:tcPr>
          <w:p w14:paraId="5030EF30" w14:textId="1F361233" w:rsidR="00324B33" w:rsidRPr="00BD5DBD" w:rsidRDefault="00324B33" w:rsidP="007452E8">
            <w:pPr>
              <w:rPr>
                <w:i/>
                <w:szCs w:val="22"/>
              </w:rPr>
            </w:pPr>
            <w:r w:rsidRPr="00BD5DBD">
              <w:rPr>
                <w:i/>
                <w:szCs w:val="22"/>
              </w:rPr>
              <w:t>ARTG number:</w:t>
            </w:r>
          </w:p>
        </w:tc>
        <w:tc>
          <w:tcPr>
            <w:tcW w:w="3423" w:type="pct"/>
          </w:tcPr>
          <w:p w14:paraId="0054E912" w14:textId="599E8E22" w:rsidR="005034B2" w:rsidRPr="00535105" w:rsidRDefault="00A1402A" w:rsidP="005034B2">
            <w:pPr>
              <w:rPr>
                <w:szCs w:val="22"/>
                <w:highlight w:val="yellow"/>
              </w:rPr>
            </w:pPr>
            <w:r>
              <w:t>419330</w:t>
            </w:r>
            <w:r w:rsidR="005034B2">
              <w:t xml:space="preserve">, </w:t>
            </w:r>
            <w:r w:rsidR="005034B2" w:rsidRPr="005034B2">
              <w:rPr>
                <w:szCs w:val="22"/>
              </w:rPr>
              <w:t xml:space="preserve">419331, 419332, 419370, </w:t>
            </w:r>
            <w:r>
              <w:t>419371</w:t>
            </w:r>
            <w:r w:rsidR="005034B2">
              <w:t xml:space="preserve">, </w:t>
            </w:r>
            <w:r w:rsidR="005034B2" w:rsidRPr="005034B2">
              <w:rPr>
                <w:szCs w:val="22"/>
              </w:rPr>
              <w:t>419372 and 428610</w:t>
            </w:r>
          </w:p>
        </w:tc>
      </w:tr>
      <w:tr w:rsidR="00324B33" w:rsidRPr="00BD5DBD" w14:paraId="7618393F" w14:textId="77777777" w:rsidTr="00F865A7">
        <w:tc>
          <w:tcPr>
            <w:tcW w:w="1577" w:type="pct"/>
          </w:tcPr>
          <w:p w14:paraId="6C24CEB6" w14:textId="6538BBAB" w:rsidR="00E47E0C" w:rsidRPr="00BD5DBD" w:rsidRDefault="00324B33" w:rsidP="007452E8">
            <w:pPr>
              <w:rPr>
                <w:rStyle w:val="Hyperlink"/>
                <w:i/>
                <w:szCs w:val="22"/>
              </w:rPr>
            </w:pPr>
            <w:r w:rsidRPr="00BD5DBD">
              <w:rPr>
                <w:rFonts w:ascii="Wingdings 3" w:hAnsi="Wingdings 3"/>
                <w:szCs w:val="22"/>
                <w:lang w:eastAsia="en-AU"/>
              </w:rPr>
              <w:t></w:t>
            </w:r>
            <w:hyperlink r:id="rId18" w:history="1">
              <w:r w:rsidRPr="00BD5DBD">
                <w:rPr>
                  <w:rStyle w:val="Hyperlink"/>
                  <w:i/>
                  <w:szCs w:val="22"/>
                </w:rPr>
                <w:t>Black Triangle Scheme</w:t>
              </w:r>
            </w:hyperlink>
          </w:p>
          <w:p w14:paraId="02260DE2" w14:textId="1FC334AE" w:rsidR="00324B33" w:rsidRPr="00BD5DBD" w:rsidRDefault="00E47E0C" w:rsidP="007452E8">
            <w:pPr>
              <w:rPr>
                <w:i/>
                <w:szCs w:val="22"/>
              </w:rPr>
            </w:pPr>
            <w:r w:rsidRPr="00BD5DBD">
              <w:rPr>
                <w:i/>
                <w:szCs w:val="22"/>
              </w:rPr>
              <w:t xml:space="preserve">for </w:t>
            </w:r>
            <w:r w:rsidR="007B04DE" w:rsidRPr="00BD5DBD">
              <w:rPr>
                <w:i/>
                <w:szCs w:val="22"/>
              </w:rPr>
              <w:t>the current</w:t>
            </w:r>
            <w:r w:rsidRPr="00BD5DBD">
              <w:rPr>
                <w:i/>
                <w:szCs w:val="22"/>
              </w:rPr>
              <w:t xml:space="preserve"> submission</w:t>
            </w:r>
            <w:r w:rsidR="00324B33" w:rsidRPr="00BD5DBD">
              <w:rPr>
                <w:i/>
                <w:szCs w:val="22"/>
              </w:rPr>
              <w:t>:</w:t>
            </w:r>
          </w:p>
        </w:tc>
        <w:tc>
          <w:tcPr>
            <w:tcW w:w="3423" w:type="pct"/>
          </w:tcPr>
          <w:p w14:paraId="6FF3C6A2" w14:textId="7D05F85D" w:rsidR="00324B33" w:rsidRPr="00BD5DBD" w:rsidRDefault="00324B33" w:rsidP="007452E8">
            <w:pPr>
              <w:rPr>
                <w:szCs w:val="22"/>
              </w:rPr>
            </w:pPr>
            <w:r w:rsidRPr="00BD5DBD">
              <w:rPr>
                <w:szCs w:val="22"/>
              </w:rPr>
              <w:t>Yes</w:t>
            </w:r>
          </w:p>
        </w:tc>
      </w:tr>
      <w:tr w:rsidR="00324B33" w:rsidRPr="00BD5DBD" w14:paraId="179E09FE" w14:textId="77777777" w:rsidTr="00F865A7">
        <w:tc>
          <w:tcPr>
            <w:tcW w:w="1577" w:type="pct"/>
          </w:tcPr>
          <w:p w14:paraId="1A592498" w14:textId="77777777" w:rsidR="00324B33" w:rsidRPr="00BD5DBD" w:rsidRDefault="00324B33" w:rsidP="007452E8">
            <w:pPr>
              <w:rPr>
                <w:i/>
                <w:szCs w:val="22"/>
              </w:rPr>
            </w:pPr>
            <w:r w:rsidRPr="00BD5DBD">
              <w:rPr>
                <w:i/>
                <w:szCs w:val="22"/>
              </w:rPr>
              <w:t>Sponsor’s name and address:</w:t>
            </w:r>
          </w:p>
        </w:tc>
        <w:tc>
          <w:tcPr>
            <w:tcW w:w="3423" w:type="pct"/>
          </w:tcPr>
          <w:p w14:paraId="3A77422B" w14:textId="77777777" w:rsidR="0066660A" w:rsidRDefault="0066660A" w:rsidP="0066660A">
            <w:pPr>
              <w:rPr>
                <w:szCs w:val="22"/>
              </w:rPr>
            </w:pPr>
            <w:r w:rsidRPr="00C56D8A">
              <w:rPr>
                <w:szCs w:val="22"/>
              </w:rPr>
              <w:t>Pfizer Australia Pty Ltd</w:t>
            </w:r>
          </w:p>
          <w:p w14:paraId="0C3249F6" w14:textId="77777777" w:rsidR="0066660A" w:rsidRPr="00C56D8A" w:rsidRDefault="0066660A" w:rsidP="0066660A">
            <w:pPr>
              <w:rPr>
                <w:szCs w:val="22"/>
              </w:rPr>
            </w:pPr>
            <w:r w:rsidRPr="00C56D8A">
              <w:rPr>
                <w:szCs w:val="22"/>
              </w:rPr>
              <w:t>Level 17 151 Clarence Street</w:t>
            </w:r>
          </w:p>
          <w:p w14:paraId="68DD94B0" w14:textId="004C09C9" w:rsidR="00324B33" w:rsidRPr="00BD5DBD" w:rsidRDefault="0066660A" w:rsidP="0066660A">
            <w:pPr>
              <w:rPr>
                <w:szCs w:val="22"/>
              </w:rPr>
            </w:pPr>
            <w:r w:rsidRPr="00C56D8A">
              <w:rPr>
                <w:szCs w:val="22"/>
              </w:rPr>
              <w:t>Sydney</w:t>
            </w:r>
            <w:r>
              <w:rPr>
                <w:szCs w:val="22"/>
              </w:rPr>
              <w:t>,</w:t>
            </w:r>
            <w:r w:rsidRPr="00C56D8A">
              <w:rPr>
                <w:szCs w:val="22"/>
              </w:rPr>
              <w:t xml:space="preserve"> NSW</w:t>
            </w:r>
            <w:r>
              <w:rPr>
                <w:szCs w:val="22"/>
              </w:rPr>
              <w:t>,</w:t>
            </w:r>
            <w:r w:rsidRPr="00C56D8A">
              <w:rPr>
                <w:szCs w:val="22"/>
              </w:rPr>
              <w:t xml:space="preserve"> 2000</w:t>
            </w:r>
          </w:p>
        </w:tc>
      </w:tr>
      <w:tr w:rsidR="00324B33" w:rsidRPr="00BD5DBD" w14:paraId="5322B989" w14:textId="77777777" w:rsidTr="00F865A7">
        <w:tc>
          <w:tcPr>
            <w:tcW w:w="1577" w:type="pct"/>
          </w:tcPr>
          <w:p w14:paraId="24F217E3" w14:textId="0723E2FD" w:rsidR="00324B33" w:rsidRPr="00BD5DBD" w:rsidRDefault="00324B33" w:rsidP="007452E8">
            <w:pPr>
              <w:rPr>
                <w:i/>
                <w:szCs w:val="22"/>
              </w:rPr>
            </w:pPr>
            <w:r w:rsidRPr="00BD5DBD">
              <w:rPr>
                <w:i/>
                <w:szCs w:val="22"/>
              </w:rPr>
              <w:t>Dose form:</w:t>
            </w:r>
          </w:p>
        </w:tc>
        <w:tc>
          <w:tcPr>
            <w:tcW w:w="3423" w:type="pct"/>
          </w:tcPr>
          <w:p w14:paraId="768B254C" w14:textId="4A8BD46A" w:rsidR="00324B33" w:rsidRPr="00BD5DBD" w:rsidRDefault="0066660A" w:rsidP="007452E8">
            <w:pPr>
              <w:rPr>
                <w:szCs w:val="22"/>
              </w:rPr>
            </w:pPr>
            <w:r>
              <w:rPr>
                <w:szCs w:val="22"/>
              </w:rPr>
              <w:t>Suspension for injection</w:t>
            </w:r>
            <w:r w:rsidR="00FA1EE1">
              <w:rPr>
                <w:szCs w:val="22"/>
              </w:rPr>
              <w:t xml:space="preserve"> and </w:t>
            </w:r>
            <w:r w:rsidR="00FA1EE1" w:rsidRPr="00FA1EE1">
              <w:rPr>
                <w:szCs w:val="22"/>
              </w:rPr>
              <w:t>concentrated</w:t>
            </w:r>
            <w:r w:rsidR="00FA1EE1">
              <w:rPr>
                <w:szCs w:val="22"/>
              </w:rPr>
              <w:t xml:space="preserve"> solution for injection</w:t>
            </w:r>
          </w:p>
        </w:tc>
      </w:tr>
      <w:tr w:rsidR="00324B33" w:rsidRPr="00BD5DBD" w14:paraId="115243E6" w14:textId="77777777" w:rsidTr="00F865A7">
        <w:tc>
          <w:tcPr>
            <w:tcW w:w="1577" w:type="pct"/>
          </w:tcPr>
          <w:p w14:paraId="7634B062" w14:textId="20C7B370" w:rsidR="00324B33" w:rsidRPr="00BD5DBD" w:rsidRDefault="00324B33" w:rsidP="007452E8">
            <w:pPr>
              <w:rPr>
                <w:i/>
                <w:szCs w:val="22"/>
              </w:rPr>
            </w:pPr>
            <w:r w:rsidRPr="00BD5DBD">
              <w:rPr>
                <w:i/>
                <w:szCs w:val="22"/>
              </w:rPr>
              <w:t>Strength</w:t>
            </w:r>
            <w:r w:rsidR="00776337">
              <w:rPr>
                <w:i/>
                <w:szCs w:val="22"/>
              </w:rPr>
              <w:t>s</w:t>
            </w:r>
            <w:r w:rsidRPr="00BD5DBD">
              <w:rPr>
                <w:i/>
                <w:szCs w:val="22"/>
              </w:rPr>
              <w:t>:</w:t>
            </w:r>
          </w:p>
        </w:tc>
        <w:tc>
          <w:tcPr>
            <w:tcW w:w="3423" w:type="pct"/>
          </w:tcPr>
          <w:p w14:paraId="5E5F83DB" w14:textId="0C09B46C" w:rsidR="00324B33" w:rsidRPr="00BD5DBD" w:rsidRDefault="005557C9" w:rsidP="005557C9">
            <w:pPr>
              <w:rPr>
                <w:szCs w:val="22"/>
              </w:rPr>
            </w:pPr>
            <w:r w:rsidRPr="006D3555">
              <w:rPr>
                <w:szCs w:val="22"/>
              </w:rPr>
              <w:t>3</w:t>
            </w:r>
            <w:r>
              <w:rPr>
                <w:szCs w:val="22"/>
              </w:rPr>
              <w:t> </w:t>
            </w:r>
            <w:r w:rsidRPr="00776337">
              <w:rPr>
                <w:szCs w:val="22"/>
              </w:rPr>
              <w:t>µg</w:t>
            </w:r>
            <w:r w:rsidRPr="006D3555">
              <w:rPr>
                <w:szCs w:val="22"/>
              </w:rPr>
              <w:t>/0.3 mL</w:t>
            </w:r>
            <w:r>
              <w:rPr>
                <w:szCs w:val="22"/>
              </w:rPr>
              <w:t>,</w:t>
            </w:r>
            <w:r w:rsidRPr="006D3555">
              <w:rPr>
                <w:szCs w:val="22"/>
              </w:rPr>
              <w:t xml:space="preserve"> 3 </w:t>
            </w:r>
            <w:r w:rsidRPr="00776337">
              <w:rPr>
                <w:szCs w:val="22"/>
              </w:rPr>
              <w:t>µg</w:t>
            </w:r>
            <w:r w:rsidRPr="006D3555">
              <w:rPr>
                <w:szCs w:val="22"/>
              </w:rPr>
              <w:t>/0.2 mL</w:t>
            </w:r>
            <w:r>
              <w:rPr>
                <w:szCs w:val="22"/>
              </w:rPr>
              <w:t xml:space="preserve">, </w:t>
            </w:r>
            <w:r w:rsidR="00776337" w:rsidRPr="00776337">
              <w:rPr>
                <w:szCs w:val="22"/>
              </w:rPr>
              <w:t>10 µg</w:t>
            </w:r>
            <w:r w:rsidR="004E629C">
              <w:rPr>
                <w:szCs w:val="22"/>
              </w:rPr>
              <w:t>/0.3 mL</w:t>
            </w:r>
            <w:r w:rsidR="00CA13A9">
              <w:rPr>
                <w:szCs w:val="22"/>
              </w:rPr>
              <w:t xml:space="preserve">, </w:t>
            </w:r>
            <w:r w:rsidR="00436A23" w:rsidRPr="00CA13A9">
              <w:rPr>
                <w:szCs w:val="22"/>
              </w:rPr>
              <w:t xml:space="preserve">10 </w:t>
            </w:r>
            <w:r w:rsidR="00436A23" w:rsidRPr="00776337">
              <w:rPr>
                <w:szCs w:val="22"/>
              </w:rPr>
              <w:t>µg</w:t>
            </w:r>
            <w:r w:rsidR="00436A23" w:rsidRPr="00CA13A9">
              <w:rPr>
                <w:szCs w:val="22"/>
              </w:rPr>
              <w:t>/0.2 mL</w:t>
            </w:r>
            <w:r w:rsidR="00436A23">
              <w:rPr>
                <w:szCs w:val="22"/>
              </w:rPr>
              <w:t xml:space="preserve">, and </w:t>
            </w:r>
            <w:r w:rsidR="00776337" w:rsidRPr="00776337">
              <w:rPr>
                <w:szCs w:val="22"/>
              </w:rPr>
              <w:t>30</w:t>
            </w:r>
            <w:r w:rsidR="00436A23">
              <w:rPr>
                <w:szCs w:val="22"/>
              </w:rPr>
              <w:t> </w:t>
            </w:r>
            <w:r w:rsidR="00776337" w:rsidRPr="00776337">
              <w:rPr>
                <w:szCs w:val="22"/>
              </w:rPr>
              <w:t>µg</w:t>
            </w:r>
            <w:r w:rsidR="004E629C">
              <w:rPr>
                <w:szCs w:val="22"/>
              </w:rPr>
              <w:t>/0.3 mL</w:t>
            </w:r>
          </w:p>
        </w:tc>
      </w:tr>
      <w:tr w:rsidR="00324B33" w:rsidRPr="00BD5DBD" w14:paraId="34B07BA6" w14:textId="77777777" w:rsidTr="00F865A7">
        <w:tc>
          <w:tcPr>
            <w:tcW w:w="1577" w:type="pct"/>
          </w:tcPr>
          <w:p w14:paraId="1C039224" w14:textId="33E18D62" w:rsidR="00324B33" w:rsidRPr="00BD5DBD" w:rsidRDefault="00324B33" w:rsidP="007452E8">
            <w:pPr>
              <w:rPr>
                <w:i/>
                <w:szCs w:val="22"/>
              </w:rPr>
            </w:pPr>
            <w:r w:rsidRPr="00BD5DBD">
              <w:rPr>
                <w:i/>
                <w:szCs w:val="22"/>
              </w:rPr>
              <w:t>Container</w:t>
            </w:r>
            <w:r w:rsidR="00263103">
              <w:rPr>
                <w:i/>
                <w:szCs w:val="22"/>
              </w:rPr>
              <w:t>s</w:t>
            </w:r>
            <w:r w:rsidRPr="00BD5DBD">
              <w:rPr>
                <w:i/>
                <w:szCs w:val="22"/>
              </w:rPr>
              <w:t>:</w:t>
            </w:r>
          </w:p>
        </w:tc>
        <w:tc>
          <w:tcPr>
            <w:tcW w:w="3423" w:type="pct"/>
          </w:tcPr>
          <w:p w14:paraId="500A42C6" w14:textId="3E0BB99A" w:rsidR="00324B33" w:rsidRPr="00BD5DBD" w:rsidRDefault="00A1402A" w:rsidP="007452E8">
            <w:pPr>
              <w:rPr>
                <w:szCs w:val="22"/>
              </w:rPr>
            </w:pPr>
            <w:r>
              <w:rPr>
                <w:szCs w:val="22"/>
              </w:rPr>
              <w:t xml:space="preserve">Single dose vial </w:t>
            </w:r>
            <w:r w:rsidR="00263103">
              <w:rPr>
                <w:szCs w:val="22"/>
              </w:rPr>
              <w:t>and multidose vial</w:t>
            </w:r>
          </w:p>
        </w:tc>
      </w:tr>
      <w:tr w:rsidR="00324B33" w:rsidRPr="00BD5DBD" w14:paraId="176B6773" w14:textId="77777777" w:rsidTr="00F865A7">
        <w:tc>
          <w:tcPr>
            <w:tcW w:w="1577" w:type="pct"/>
          </w:tcPr>
          <w:p w14:paraId="71846159" w14:textId="2D7E2751" w:rsidR="00324B33" w:rsidRPr="00BD5DBD" w:rsidRDefault="00324B33" w:rsidP="007452E8">
            <w:pPr>
              <w:rPr>
                <w:i/>
                <w:szCs w:val="22"/>
              </w:rPr>
            </w:pPr>
            <w:r w:rsidRPr="00BD5DBD">
              <w:rPr>
                <w:i/>
                <w:szCs w:val="22"/>
              </w:rPr>
              <w:t>Pack sizes:</w:t>
            </w:r>
          </w:p>
        </w:tc>
        <w:tc>
          <w:tcPr>
            <w:tcW w:w="3423" w:type="pct"/>
          </w:tcPr>
          <w:p w14:paraId="7E978F8F" w14:textId="61673DDF" w:rsidR="00324B33" w:rsidRPr="00BD5DBD" w:rsidRDefault="0066660A" w:rsidP="007452E8">
            <w:pPr>
              <w:rPr>
                <w:szCs w:val="22"/>
              </w:rPr>
            </w:pPr>
            <w:r>
              <w:rPr>
                <w:szCs w:val="22"/>
              </w:rPr>
              <w:t>10 and 195</w:t>
            </w:r>
          </w:p>
        </w:tc>
      </w:tr>
      <w:tr w:rsidR="00324B33" w:rsidRPr="00BD5DBD" w14:paraId="19A2544A" w14:textId="77777777" w:rsidTr="00F865A7">
        <w:tc>
          <w:tcPr>
            <w:tcW w:w="1577" w:type="pct"/>
          </w:tcPr>
          <w:p w14:paraId="0E6C5C0E" w14:textId="7DB3FC66" w:rsidR="00324B33" w:rsidRPr="00BD5DBD" w:rsidRDefault="00324B33" w:rsidP="007452E8">
            <w:pPr>
              <w:rPr>
                <w:i/>
                <w:szCs w:val="22"/>
              </w:rPr>
            </w:pPr>
            <w:r w:rsidRPr="00BD5DBD">
              <w:rPr>
                <w:i/>
                <w:szCs w:val="22"/>
              </w:rPr>
              <w:t>Approved therapeutic use</w:t>
            </w:r>
            <w:r w:rsidR="00E47E0C" w:rsidRPr="00BD5DBD">
              <w:rPr>
                <w:i/>
                <w:szCs w:val="22"/>
              </w:rPr>
              <w:t xml:space="preserve"> </w:t>
            </w:r>
            <w:r w:rsidR="007B04DE" w:rsidRPr="00BD5DBD">
              <w:rPr>
                <w:i/>
                <w:szCs w:val="22"/>
              </w:rPr>
              <w:t>for the current</w:t>
            </w:r>
            <w:r w:rsidR="00E47E0C" w:rsidRPr="00BD5DBD">
              <w:rPr>
                <w:i/>
                <w:szCs w:val="22"/>
              </w:rPr>
              <w:t xml:space="preserve"> submission</w:t>
            </w:r>
            <w:r w:rsidRPr="00BD5DBD">
              <w:rPr>
                <w:i/>
                <w:szCs w:val="22"/>
              </w:rPr>
              <w:t>:</w:t>
            </w:r>
          </w:p>
        </w:tc>
        <w:tc>
          <w:tcPr>
            <w:tcW w:w="3423" w:type="pct"/>
          </w:tcPr>
          <w:p w14:paraId="65D880E1" w14:textId="76FB56CE" w:rsidR="00BB35CC" w:rsidRPr="00C51B28" w:rsidRDefault="00BB35CC" w:rsidP="00BB35CC">
            <w:pPr>
              <w:rPr>
                <w:i/>
                <w:iCs/>
                <w:szCs w:val="22"/>
              </w:rPr>
            </w:pPr>
            <w:r w:rsidRPr="00C51B28">
              <w:rPr>
                <w:i/>
                <w:iCs/>
                <w:szCs w:val="22"/>
              </w:rPr>
              <w:t xml:space="preserve">Active immunisation to prevent coronavirus disease 2019 (COVID-19) caused by SARS-CoV-2, in individuals </w:t>
            </w:r>
            <w:r w:rsidR="000418BB">
              <w:rPr>
                <w:i/>
                <w:iCs/>
                <w:szCs w:val="22"/>
              </w:rPr>
              <w:t>6 months</w:t>
            </w:r>
            <w:r w:rsidRPr="00C51B28">
              <w:rPr>
                <w:i/>
                <w:iCs/>
                <w:szCs w:val="22"/>
              </w:rPr>
              <w:t xml:space="preserve"> of age and older.</w:t>
            </w:r>
          </w:p>
          <w:p w14:paraId="6E143E2E" w14:textId="7F2C32DC" w:rsidR="00324B33" w:rsidRPr="00BD5DBD" w:rsidRDefault="00BB35CC" w:rsidP="00BB35CC">
            <w:pPr>
              <w:rPr>
                <w:szCs w:val="22"/>
              </w:rPr>
            </w:pPr>
            <w:r w:rsidRPr="00C51B28">
              <w:rPr>
                <w:i/>
                <w:iCs/>
                <w:szCs w:val="22"/>
              </w:rPr>
              <w:t>The use of this vaccine should be in accordance with official recommendations.</w:t>
            </w:r>
          </w:p>
        </w:tc>
      </w:tr>
      <w:tr w:rsidR="00324B33" w:rsidRPr="00BD5DBD" w14:paraId="5AFDEED3" w14:textId="77777777" w:rsidTr="00F865A7">
        <w:tc>
          <w:tcPr>
            <w:tcW w:w="1577" w:type="pct"/>
          </w:tcPr>
          <w:p w14:paraId="03884BD1" w14:textId="5F1BFC87" w:rsidR="00324B33" w:rsidRPr="00BD5DBD" w:rsidRDefault="00324B33" w:rsidP="007452E8">
            <w:pPr>
              <w:rPr>
                <w:i/>
                <w:szCs w:val="22"/>
              </w:rPr>
            </w:pPr>
            <w:r w:rsidRPr="00BD5DBD">
              <w:rPr>
                <w:i/>
                <w:szCs w:val="22"/>
              </w:rPr>
              <w:t>Route of administration:</w:t>
            </w:r>
          </w:p>
        </w:tc>
        <w:tc>
          <w:tcPr>
            <w:tcW w:w="3423" w:type="pct"/>
          </w:tcPr>
          <w:p w14:paraId="1ED1357E" w14:textId="63BF1498" w:rsidR="00324B33" w:rsidRPr="00BD5DBD" w:rsidRDefault="0066660A" w:rsidP="007452E8">
            <w:pPr>
              <w:rPr>
                <w:szCs w:val="22"/>
              </w:rPr>
            </w:pPr>
            <w:r>
              <w:rPr>
                <w:szCs w:val="22"/>
              </w:rPr>
              <w:t>Intramuscular</w:t>
            </w:r>
          </w:p>
        </w:tc>
      </w:tr>
      <w:tr w:rsidR="00324B33" w:rsidRPr="00BD5DBD" w14:paraId="70D7E9FA" w14:textId="77777777" w:rsidTr="00F865A7">
        <w:tc>
          <w:tcPr>
            <w:tcW w:w="1577" w:type="pct"/>
          </w:tcPr>
          <w:p w14:paraId="5ABFFC80" w14:textId="77777777" w:rsidR="00324B33" w:rsidRPr="00BD5DBD" w:rsidRDefault="00324B33" w:rsidP="007452E8">
            <w:pPr>
              <w:rPr>
                <w:i/>
                <w:szCs w:val="22"/>
              </w:rPr>
            </w:pPr>
            <w:r w:rsidRPr="00BD5DBD">
              <w:rPr>
                <w:i/>
                <w:szCs w:val="22"/>
              </w:rPr>
              <w:t>Dosage:</w:t>
            </w:r>
          </w:p>
        </w:tc>
        <w:tc>
          <w:tcPr>
            <w:tcW w:w="3423" w:type="pct"/>
          </w:tcPr>
          <w:tbl>
            <w:tblPr>
              <w:tblStyle w:val="TableGrid"/>
              <w:tblW w:w="5000" w:type="pct"/>
              <w:tblLook w:val="04A0" w:firstRow="1" w:lastRow="0" w:firstColumn="1" w:lastColumn="0" w:noHBand="0" w:noVBand="1"/>
            </w:tblPr>
            <w:tblGrid>
              <w:gridCol w:w="1466"/>
              <w:gridCol w:w="993"/>
              <w:gridCol w:w="3524"/>
            </w:tblGrid>
            <w:tr w:rsidR="00E037D9" w14:paraId="6297888C" w14:textId="77777777" w:rsidTr="00323ECD">
              <w:trPr>
                <w:trHeight w:val="573"/>
              </w:trPr>
              <w:tc>
                <w:tcPr>
                  <w:tcW w:w="1249" w:type="pct"/>
                  <w:hideMark/>
                </w:tcPr>
                <w:p w14:paraId="2A1D4077" w14:textId="77777777" w:rsidR="00E037D9" w:rsidRPr="000C7A1C" w:rsidRDefault="00E037D9" w:rsidP="00E037D9">
                  <w:pPr>
                    <w:rPr>
                      <w:b/>
                      <w:bCs/>
                    </w:rPr>
                  </w:pPr>
                  <w:r w:rsidRPr="000C7A1C">
                    <w:rPr>
                      <w:b/>
                      <w:bCs/>
                    </w:rPr>
                    <w:t>Strength and age of individual</w:t>
                  </w:r>
                </w:p>
              </w:tc>
              <w:tc>
                <w:tcPr>
                  <w:tcW w:w="783" w:type="pct"/>
                  <w:hideMark/>
                </w:tcPr>
                <w:p w14:paraId="3F3EE51B" w14:textId="77777777" w:rsidR="00E037D9" w:rsidRPr="000C7A1C" w:rsidRDefault="00E037D9" w:rsidP="00E037D9">
                  <w:pPr>
                    <w:rPr>
                      <w:b/>
                      <w:bCs/>
                    </w:rPr>
                  </w:pPr>
                  <w:r w:rsidRPr="000C7A1C">
                    <w:rPr>
                      <w:b/>
                      <w:bCs/>
                    </w:rPr>
                    <w:t>Volume of each dose</w:t>
                  </w:r>
                </w:p>
              </w:tc>
              <w:tc>
                <w:tcPr>
                  <w:tcW w:w="2969" w:type="pct"/>
                  <w:hideMark/>
                </w:tcPr>
                <w:p w14:paraId="6AE80869" w14:textId="77777777" w:rsidR="00E037D9" w:rsidRPr="000C7A1C" w:rsidRDefault="00E037D9" w:rsidP="00E037D9">
                  <w:pPr>
                    <w:rPr>
                      <w:b/>
                      <w:bCs/>
                    </w:rPr>
                  </w:pPr>
                  <w:r w:rsidRPr="000C7A1C">
                    <w:rPr>
                      <w:b/>
                      <w:bCs/>
                    </w:rPr>
                    <w:t>Dose schedule for primary series and additional dose(s)</w:t>
                  </w:r>
                </w:p>
              </w:tc>
            </w:tr>
            <w:tr w:rsidR="00E037D9" w14:paraId="15C92C77" w14:textId="77777777" w:rsidTr="00323ECD">
              <w:trPr>
                <w:trHeight w:val="894"/>
              </w:trPr>
              <w:tc>
                <w:tcPr>
                  <w:tcW w:w="1249" w:type="pct"/>
                </w:tcPr>
                <w:p w14:paraId="6A5E4BFB" w14:textId="77777777" w:rsidR="00E037D9" w:rsidRPr="00E558C5" w:rsidRDefault="00E037D9" w:rsidP="00E037D9">
                  <w:r w:rsidRPr="00C51B28">
                    <w:rPr>
                      <w:szCs w:val="20"/>
                    </w:rPr>
                    <w:t xml:space="preserve">3 </w:t>
                  </w:r>
                  <w:r w:rsidRPr="00E558C5">
                    <w:t>µg</w:t>
                  </w:r>
                  <w:r>
                    <w:t xml:space="preserve"> </w:t>
                  </w:r>
                  <w:r w:rsidRPr="00C51B28">
                    <w:rPr>
                      <w:szCs w:val="20"/>
                    </w:rPr>
                    <w:t>per dose</w:t>
                  </w:r>
                  <w:r>
                    <w:rPr>
                      <w:szCs w:val="20"/>
                    </w:rPr>
                    <w:br/>
                  </w:r>
                  <w:r w:rsidRPr="00C51B28">
                    <w:rPr>
                      <w:szCs w:val="20"/>
                    </w:rPr>
                    <w:t>6 months to &lt;5</w:t>
                  </w:r>
                  <w:r>
                    <w:t> </w:t>
                  </w:r>
                  <w:r w:rsidRPr="00C51B28">
                    <w:rPr>
                      <w:szCs w:val="20"/>
                    </w:rPr>
                    <w:t>years</w:t>
                  </w:r>
                </w:p>
              </w:tc>
              <w:tc>
                <w:tcPr>
                  <w:tcW w:w="783" w:type="pct"/>
                </w:tcPr>
                <w:p w14:paraId="3E95D651" w14:textId="77777777" w:rsidR="00E037D9" w:rsidRPr="00E558C5" w:rsidRDefault="00E037D9" w:rsidP="00E037D9">
                  <w:r w:rsidRPr="00C51B28">
                    <w:rPr>
                      <w:szCs w:val="20"/>
                    </w:rPr>
                    <w:t>0.2 mL</w:t>
                  </w:r>
                  <w:r>
                    <w:rPr>
                      <w:szCs w:val="20"/>
                    </w:rPr>
                    <w:br/>
                  </w:r>
                  <w:r w:rsidRPr="00C51B28">
                    <w:rPr>
                      <w:szCs w:val="20"/>
                    </w:rPr>
                    <w:t>0.3 mL</w:t>
                  </w:r>
                </w:p>
              </w:tc>
              <w:tc>
                <w:tcPr>
                  <w:tcW w:w="2969" w:type="pct"/>
                </w:tcPr>
                <w:p w14:paraId="154BBE1D" w14:textId="77777777" w:rsidR="00E037D9" w:rsidRPr="00E558C5" w:rsidRDefault="00E037D9" w:rsidP="00E037D9">
                  <w:r w:rsidRPr="00C51B28">
                    <w:rPr>
                      <w:szCs w:val="20"/>
                    </w:rPr>
                    <w:t>Primary series: 3 doses</w:t>
                  </w:r>
                  <w:r>
                    <w:rPr>
                      <w:szCs w:val="20"/>
                    </w:rPr>
                    <w:br/>
                  </w:r>
                  <w:proofErr w:type="spellStart"/>
                  <w:r w:rsidRPr="00C51B28">
                    <w:rPr>
                      <w:szCs w:val="20"/>
                    </w:rPr>
                    <w:t>Dose</w:t>
                  </w:r>
                  <w:r>
                    <w:t>s</w:t>
                  </w:r>
                  <w:proofErr w:type="spellEnd"/>
                  <w:r w:rsidRPr="00C51B28">
                    <w:rPr>
                      <w:szCs w:val="20"/>
                    </w:rPr>
                    <w:t xml:space="preserve"> 1 and 2: at least 3 weeks apart</w:t>
                  </w:r>
                  <w:r>
                    <w:rPr>
                      <w:szCs w:val="20"/>
                    </w:rPr>
                    <w:br/>
                  </w:r>
                  <w:r w:rsidRPr="00C51B28">
                    <w:rPr>
                      <w:szCs w:val="20"/>
                    </w:rPr>
                    <w:t>Dose 3: at least 8 weeks after second dose</w:t>
                  </w:r>
                </w:p>
              </w:tc>
            </w:tr>
            <w:tr w:rsidR="00E037D9" w14:paraId="7D643179" w14:textId="77777777" w:rsidTr="00E037D9">
              <w:trPr>
                <w:trHeight w:val="557"/>
              </w:trPr>
              <w:tc>
                <w:tcPr>
                  <w:tcW w:w="1249" w:type="pct"/>
                </w:tcPr>
                <w:p w14:paraId="61BB811C" w14:textId="77777777" w:rsidR="00E037D9" w:rsidRPr="0043149B" w:rsidRDefault="00E037D9" w:rsidP="00E037D9">
                  <w:pPr>
                    <w:rPr>
                      <w:lang w:val="en-GB"/>
                    </w:rPr>
                  </w:pPr>
                  <w:r w:rsidRPr="00C51B28">
                    <w:rPr>
                      <w:szCs w:val="20"/>
                    </w:rPr>
                    <w:t xml:space="preserve">10 </w:t>
                  </w:r>
                  <w:r w:rsidRPr="00E558C5">
                    <w:t>µg</w:t>
                  </w:r>
                  <w:r>
                    <w:t xml:space="preserve"> </w:t>
                  </w:r>
                  <w:r w:rsidRPr="00C51B28">
                    <w:rPr>
                      <w:szCs w:val="20"/>
                    </w:rPr>
                    <w:t>per dose</w:t>
                  </w:r>
                  <w:r>
                    <w:rPr>
                      <w:szCs w:val="20"/>
                    </w:rPr>
                    <w:br/>
                  </w:r>
                  <w:r w:rsidRPr="00C51B28">
                    <w:rPr>
                      <w:szCs w:val="20"/>
                    </w:rPr>
                    <w:t>5 to &lt;12 years</w:t>
                  </w:r>
                  <w:r>
                    <w:rPr>
                      <w:szCs w:val="20"/>
                    </w:rPr>
                    <w:br/>
                  </w:r>
                  <w:r>
                    <w:t xml:space="preserve">30 </w:t>
                  </w:r>
                  <w:r w:rsidRPr="00E558C5">
                    <w:t>µg</w:t>
                  </w:r>
                  <w:r>
                    <w:t xml:space="preserve"> per dose</w:t>
                  </w:r>
                  <w:r>
                    <w:br/>
                  </w:r>
                  <w:r>
                    <w:lastRenderedPageBreak/>
                    <w:t>12 years and older</w:t>
                  </w:r>
                </w:p>
              </w:tc>
              <w:tc>
                <w:tcPr>
                  <w:tcW w:w="783" w:type="pct"/>
                  <w:tcBorders>
                    <w:bottom w:val="single" w:sz="4" w:space="0" w:color="000000" w:themeColor="text1"/>
                  </w:tcBorders>
                </w:tcPr>
                <w:p w14:paraId="3306CC99" w14:textId="77777777" w:rsidR="00E037D9" w:rsidRDefault="00E037D9" w:rsidP="00E037D9">
                  <w:r w:rsidRPr="00C51B28">
                    <w:rPr>
                      <w:szCs w:val="20"/>
                    </w:rPr>
                    <w:lastRenderedPageBreak/>
                    <w:t>0.2 mL</w:t>
                  </w:r>
                  <w:r>
                    <w:rPr>
                      <w:szCs w:val="20"/>
                    </w:rPr>
                    <w:br/>
                  </w:r>
                </w:p>
                <w:p w14:paraId="0DDDCBD3" w14:textId="77777777" w:rsidR="00E037D9" w:rsidRDefault="00E037D9" w:rsidP="00E037D9">
                  <w:r>
                    <w:t>0.3 mL</w:t>
                  </w:r>
                  <w:r>
                    <w:br/>
                  </w:r>
                </w:p>
                <w:p w14:paraId="2868CD7C" w14:textId="77777777" w:rsidR="00E037D9" w:rsidRDefault="00E037D9" w:rsidP="00E037D9"/>
                <w:p w14:paraId="2B3C9066" w14:textId="77777777" w:rsidR="00E037D9" w:rsidRDefault="00E037D9" w:rsidP="00E037D9"/>
                <w:p w14:paraId="7154EBA1" w14:textId="579FDF0B" w:rsidR="00E037D9" w:rsidRPr="00C51B28" w:rsidRDefault="00E037D9" w:rsidP="00E037D9">
                  <w:r>
                    <w:t>0.3 mL</w:t>
                  </w:r>
                </w:p>
              </w:tc>
              <w:tc>
                <w:tcPr>
                  <w:tcW w:w="2969" w:type="pct"/>
                  <w:tcBorders>
                    <w:bottom w:val="single" w:sz="4" w:space="0" w:color="000000" w:themeColor="text1"/>
                  </w:tcBorders>
                </w:tcPr>
                <w:p w14:paraId="61E0853C" w14:textId="77777777" w:rsidR="00E037D9" w:rsidRPr="00784034" w:rsidRDefault="00E037D9" w:rsidP="00E037D9">
                  <w:pPr>
                    <w:rPr>
                      <w:lang w:val="en-GB"/>
                    </w:rPr>
                  </w:pPr>
                  <w:r w:rsidRPr="00C51B28">
                    <w:rPr>
                      <w:szCs w:val="20"/>
                    </w:rPr>
                    <w:t>Primary series:</w:t>
                  </w:r>
                  <w:r>
                    <w:t xml:space="preserve"> </w:t>
                  </w:r>
                  <w:r w:rsidRPr="00C51B28">
                    <w:rPr>
                      <w:szCs w:val="20"/>
                    </w:rPr>
                    <w:t>2 doses at least to 21 days (preferably 3 weeks)</w:t>
                  </w:r>
                  <w:r>
                    <w:t xml:space="preserve"> </w:t>
                  </w:r>
                  <w:r w:rsidRPr="00121B7B">
                    <w:t>apart</w:t>
                  </w:r>
                  <w:r>
                    <w:br/>
                  </w:r>
                  <w:r w:rsidRPr="00C51B28">
                    <w:rPr>
                      <w:szCs w:val="20"/>
                    </w:rPr>
                    <w:t>Additional dose(s):</w:t>
                  </w:r>
                  <w:r>
                    <w:t xml:space="preserve"> </w:t>
                  </w:r>
                  <w:r w:rsidRPr="00C51B28">
                    <w:rPr>
                      <w:szCs w:val="20"/>
                    </w:rPr>
                    <w:t>at least 3 months after a previous dose</w:t>
                  </w:r>
                </w:p>
              </w:tc>
            </w:tr>
          </w:tbl>
          <w:p w14:paraId="6D19B1D7" w14:textId="46C03AB0" w:rsidR="00004A11" w:rsidRDefault="00004A11" w:rsidP="006331A0">
            <w:r>
              <w:t>Primary series, when clinically indicated, can be given to the individuals such as those who are vaccine-naïve and immunocompromised.</w:t>
            </w:r>
          </w:p>
          <w:p w14:paraId="0BC04211" w14:textId="2D932421" w:rsidR="00324B33" w:rsidRDefault="00004A11" w:rsidP="006331A0">
            <w:pPr>
              <w:rPr>
                <w:rFonts w:cs="Arial"/>
                <w:szCs w:val="22"/>
                <w:shd w:val="clear" w:color="auto" w:fill="FFFFFF"/>
              </w:rPr>
            </w:pPr>
            <w:bookmarkStart w:id="12" w:name="_Hlk84240794"/>
            <w:r>
              <w:rPr>
                <w:rFonts w:cs="Arial"/>
                <w:szCs w:val="22"/>
                <w:shd w:val="clear" w:color="auto" w:fill="FFFFFF"/>
              </w:rPr>
              <w:t>The decision when and for whom to administer C</w:t>
            </w:r>
            <w:r w:rsidR="00884AF4">
              <w:rPr>
                <w:rFonts w:cs="Arial"/>
                <w:szCs w:val="22"/>
                <w:shd w:val="clear" w:color="auto" w:fill="FFFFFF"/>
              </w:rPr>
              <w:t>omirnaty</w:t>
            </w:r>
            <w:r>
              <w:rPr>
                <w:rFonts w:cs="Arial"/>
                <w:szCs w:val="22"/>
                <w:shd w:val="clear" w:color="auto" w:fill="FFFFFF"/>
              </w:rPr>
              <w:t xml:space="preserve"> </w:t>
            </w:r>
            <w:r>
              <w:t>Omicron XBB.1.5</w:t>
            </w:r>
            <w:r>
              <w:rPr>
                <w:rFonts w:cs="Arial"/>
                <w:szCs w:val="22"/>
                <w:shd w:val="clear" w:color="auto" w:fill="FFFFFF"/>
              </w:rPr>
              <w:t xml:space="preserve"> should be made based on available vaccine safety and effectiveness data (see Sections 4.4</w:t>
            </w:r>
            <w:r>
              <w:t xml:space="preserve"> </w:t>
            </w:r>
            <w:r>
              <w:rPr>
                <w:rFonts w:cs="Arial"/>
                <w:szCs w:val="22"/>
                <w:shd w:val="clear" w:color="auto" w:fill="FFFFFF"/>
              </w:rPr>
              <w:t xml:space="preserve">Special </w:t>
            </w:r>
            <w:r w:rsidR="000136A5">
              <w:rPr>
                <w:rFonts w:cs="Arial"/>
                <w:szCs w:val="22"/>
                <w:shd w:val="clear" w:color="auto" w:fill="FFFFFF"/>
              </w:rPr>
              <w:t>Warnings and Precautions for Use</w:t>
            </w:r>
            <w:r>
              <w:rPr>
                <w:rFonts w:cs="Arial"/>
                <w:szCs w:val="22"/>
                <w:shd w:val="clear" w:color="auto" w:fill="FFFFFF"/>
              </w:rPr>
              <w:t xml:space="preserve"> and 5.1</w:t>
            </w:r>
            <w:bookmarkEnd w:id="12"/>
            <w:r>
              <w:rPr>
                <w:rFonts w:cs="Arial"/>
                <w:szCs w:val="22"/>
                <w:shd w:val="clear" w:color="auto" w:fill="FFFFFF"/>
              </w:rPr>
              <w:t xml:space="preserve"> </w:t>
            </w:r>
            <w:r>
              <w:t xml:space="preserve">Pharmacodynamic </w:t>
            </w:r>
            <w:r w:rsidR="000136A5">
              <w:t xml:space="preserve">Properties </w:t>
            </w:r>
            <w:r w:rsidR="00D1195C">
              <w:t>of the Product Information</w:t>
            </w:r>
            <w:r>
              <w:rPr>
                <w:rFonts w:cs="Arial"/>
                <w:szCs w:val="22"/>
                <w:shd w:val="clear" w:color="auto" w:fill="FFFFFF"/>
              </w:rPr>
              <w:t>), in accordance with official recommendations.</w:t>
            </w:r>
          </w:p>
          <w:p w14:paraId="3D0B2D5C" w14:textId="78C78B65" w:rsidR="00EE3E59" w:rsidRPr="00BD5DBD" w:rsidRDefault="00EE3E59" w:rsidP="006331A0">
            <w:pPr>
              <w:rPr>
                <w:szCs w:val="22"/>
              </w:rPr>
            </w:pPr>
            <w:r w:rsidRPr="00EE3E59">
              <w:rPr>
                <w:szCs w:val="22"/>
              </w:rPr>
              <w:t>For further information regarding dosage, such as dosage modifications to manage adverse reactions, refer to the Product Information.</w:t>
            </w:r>
          </w:p>
        </w:tc>
      </w:tr>
      <w:tr w:rsidR="00324B33" w:rsidRPr="00BD5DBD" w14:paraId="24DC408E" w14:textId="77777777" w:rsidTr="00F865A7">
        <w:tc>
          <w:tcPr>
            <w:tcW w:w="1577" w:type="pct"/>
          </w:tcPr>
          <w:p w14:paraId="26380792" w14:textId="77777777" w:rsidR="00324B33" w:rsidRPr="00BD5DBD" w:rsidRDefault="00324B33" w:rsidP="007452E8">
            <w:pPr>
              <w:rPr>
                <w:i/>
                <w:szCs w:val="22"/>
              </w:rPr>
            </w:pPr>
            <w:r w:rsidRPr="00BD5DBD">
              <w:rPr>
                <w:i/>
                <w:szCs w:val="22"/>
              </w:rPr>
              <w:lastRenderedPageBreak/>
              <w:t>Pregnancy category:</w:t>
            </w:r>
          </w:p>
        </w:tc>
        <w:tc>
          <w:tcPr>
            <w:tcW w:w="3423" w:type="pct"/>
          </w:tcPr>
          <w:p w14:paraId="6AA272B3" w14:textId="77777777" w:rsidR="0066660A" w:rsidRDefault="0066660A" w:rsidP="0066660A">
            <w:pPr>
              <w:rPr>
                <w:szCs w:val="22"/>
              </w:rPr>
            </w:pPr>
            <w:r>
              <w:rPr>
                <w:szCs w:val="22"/>
              </w:rPr>
              <w:t>B1</w:t>
            </w:r>
          </w:p>
          <w:p w14:paraId="751737C2" w14:textId="77777777" w:rsidR="0066660A" w:rsidRPr="002E77AA" w:rsidRDefault="0066660A" w:rsidP="0066660A">
            <w:pPr>
              <w:rPr>
                <w:szCs w:val="22"/>
              </w:rPr>
            </w:pPr>
            <w:r w:rsidRPr="002E77AA">
              <w:rPr>
                <w:szCs w:val="22"/>
              </w:rPr>
              <w:t>Drugs which have been taken by only a limited number of pregnant women and women of childbearing age, without an increase in the frequency of malformation or other direct or indirect harmful effects on the human fetus having been observed.</w:t>
            </w:r>
          </w:p>
          <w:p w14:paraId="16C2FB8D" w14:textId="77777777" w:rsidR="0066660A" w:rsidRDefault="0066660A" w:rsidP="0066660A">
            <w:pPr>
              <w:rPr>
                <w:szCs w:val="22"/>
              </w:rPr>
            </w:pPr>
            <w:r w:rsidRPr="002E77AA">
              <w:rPr>
                <w:szCs w:val="22"/>
              </w:rPr>
              <w:t>Studies in animals have not shown evidence of an increased occurrence of fetal damage.</w:t>
            </w:r>
          </w:p>
          <w:p w14:paraId="5E2AA3D6" w14:textId="5BE16DC0" w:rsidR="0084354D" w:rsidRPr="00BD5DBD" w:rsidRDefault="0084354D" w:rsidP="007452E8">
            <w:pPr>
              <w:rPr>
                <w:szCs w:val="22"/>
              </w:rPr>
            </w:pPr>
            <w:r w:rsidRPr="00BD5DBD">
              <w:rPr>
                <w:szCs w:val="22"/>
              </w:rPr>
              <w:t xml:space="preserve">The use of any medicine during pregnancy requires careful consideration of both risks and benefits by the treating health professional. </w:t>
            </w:r>
            <w:r>
              <w:rPr>
                <w:szCs w:val="22"/>
              </w:rPr>
              <w:t xml:space="preserve">The </w:t>
            </w:r>
            <w:hyperlink r:id="rId19" w:history="1">
              <w:r w:rsidRPr="00065FDF">
                <w:rPr>
                  <w:rStyle w:val="Hyperlink"/>
                  <w:szCs w:val="22"/>
                </w:rPr>
                <w:t>pregnancy database</w:t>
              </w:r>
            </w:hyperlink>
            <w:r>
              <w:t xml:space="preserve"> </w:t>
            </w:r>
            <w:r w:rsidRPr="00BD5DBD">
              <w:rPr>
                <w:szCs w:val="22"/>
              </w:rPr>
              <w:t xml:space="preserve">must not be used as the sole basis of decision making in the use of medicines during pregnancy. The TGA does not provide advice on the use of medicines in pregnancy for specific cases. More information is available from </w:t>
            </w:r>
            <w:hyperlink r:id="rId20" w:history="1">
              <w:r w:rsidRPr="00C059D0">
                <w:rPr>
                  <w:rStyle w:val="Hyperlink"/>
                  <w:szCs w:val="22"/>
                </w:rPr>
                <w:t>obstetric drug information services</w:t>
              </w:r>
            </w:hyperlink>
            <w:r w:rsidRPr="00BD5DBD">
              <w:rPr>
                <w:szCs w:val="22"/>
              </w:rPr>
              <w:t xml:space="preserve"> in your </w:t>
            </w:r>
            <w:r>
              <w:rPr>
                <w:szCs w:val="22"/>
              </w:rPr>
              <w:t>s</w:t>
            </w:r>
            <w:r w:rsidRPr="00BD5DBD">
              <w:rPr>
                <w:szCs w:val="22"/>
              </w:rPr>
              <w:t xml:space="preserve">tate or </w:t>
            </w:r>
            <w:r>
              <w:rPr>
                <w:szCs w:val="22"/>
              </w:rPr>
              <w:t>t</w:t>
            </w:r>
            <w:r w:rsidRPr="00BD5DBD">
              <w:rPr>
                <w:szCs w:val="22"/>
              </w:rPr>
              <w:t>erritory.</w:t>
            </w:r>
          </w:p>
        </w:tc>
      </w:tr>
    </w:tbl>
    <w:p w14:paraId="51F2479F" w14:textId="77777777" w:rsidR="00324B33" w:rsidRDefault="00324B33" w:rsidP="00324B33">
      <w:pPr>
        <w:pStyle w:val="Heading3"/>
      </w:pPr>
      <w:bookmarkStart w:id="13" w:name="_Toc247691503"/>
      <w:bookmarkStart w:id="14" w:name="_Toc314842484"/>
      <w:bookmarkStart w:id="15" w:name="_Toc103679290"/>
      <w:bookmarkStart w:id="16" w:name="_Toc158382381"/>
      <w:r>
        <w:t>Product background</w:t>
      </w:r>
      <w:bookmarkEnd w:id="13"/>
      <w:bookmarkEnd w:id="14"/>
      <w:bookmarkEnd w:id="15"/>
      <w:bookmarkEnd w:id="16"/>
    </w:p>
    <w:p w14:paraId="56B27CF2" w14:textId="723C3391" w:rsidR="00324B33" w:rsidRDefault="00324B33" w:rsidP="00324B33">
      <w:pPr>
        <w:rPr>
          <w:szCs w:val="22"/>
        </w:rPr>
      </w:pPr>
      <w:r w:rsidRPr="00BD5DBD">
        <w:rPr>
          <w:szCs w:val="22"/>
        </w:rPr>
        <w:t xml:space="preserve">This AusPAR describes the submission by </w:t>
      </w:r>
      <w:r w:rsidR="00A65B5E">
        <w:rPr>
          <w:szCs w:val="22"/>
        </w:rPr>
        <w:t>Pfizer Australia Pty Ltd</w:t>
      </w:r>
      <w:r w:rsidRPr="00BD5DBD">
        <w:rPr>
          <w:szCs w:val="22"/>
        </w:rPr>
        <w:t xml:space="preserve"> (the sponsor) to register </w:t>
      </w:r>
      <w:r w:rsidR="00A65B5E">
        <w:t>Comirnaty Omicron XBB.1.5 (raxtozinameran</w:t>
      </w:r>
      <w:r w:rsidRPr="00BD5DBD">
        <w:rPr>
          <w:szCs w:val="22"/>
        </w:rPr>
        <w:t>)</w:t>
      </w:r>
      <w:r w:rsidR="008952C6">
        <w:rPr>
          <w:szCs w:val="22"/>
        </w:rPr>
        <w:t xml:space="preserve"> </w:t>
      </w:r>
      <w:r w:rsidR="00D845DD" w:rsidRPr="006D3555">
        <w:rPr>
          <w:szCs w:val="22"/>
        </w:rPr>
        <w:t>3</w:t>
      </w:r>
      <w:r w:rsidR="00D845DD">
        <w:rPr>
          <w:szCs w:val="22"/>
        </w:rPr>
        <w:t> </w:t>
      </w:r>
      <w:r w:rsidR="00D845DD" w:rsidRPr="00776337">
        <w:rPr>
          <w:szCs w:val="22"/>
        </w:rPr>
        <w:t>µg</w:t>
      </w:r>
      <w:r w:rsidR="00D845DD" w:rsidRPr="006D3555">
        <w:rPr>
          <w:szCs w:val="22"/>
        </w:rPr>
        <w:t>/0.3 mL</w:t>
      </w:r>
      <w:r w:rsidR="00D845DD">
        <w:rPr>
          <w:szCs w:val="22"/>
        </w:rPr>
        <w:t>,</w:t>
      </w:r>
      <w:r w:rsidR="00D845DD" w:rsidRPr="006D3555">
        <w:rPr>
          <w:szCs w:val="22"/>
        </w:rPr>
        <w:t xml:space="preserve"> 3 </w:t>
      </w:r>
      <w:r w:rsidR="00D845DD" w:rsidRPr="00776337">
        <w:rPr>
          <w:szCs w:val="22"/>
        </w:rPr>
        <w:t>µg</w:t>
      </w:r>
      <w:r w:rsidR="00D845DD" w:rsidRPr="006D3555">
        <w:rPr>
          <w:szCs w:val="22"/>
        </w:rPr>
        <w:t>/0.2 mL</w:t>
      </w:r>
      <w:r w:rsidR="00D845DD">
        <w:rPr>
          <w:szCs w:val="22"/>
        </w:rPr>
        <w:t xml:space="preserve">, </w:t>
      </w:r>
      <w:r w:rsidR="00D845DD" w:rsidRPr="00776337">
        <w:rPr>
          <w:szCs w:val="22"/>
        </w:rPr>
        <w:t>10 µg</w:t>
      </w:r>
      <w:r w:rsidR="00D845DD">
        <w:rPr>
          <w:szCs w:val="22"/>
        </w:rPr>
        <w:t xml:space="preserve">/0.3 mL, </w:t>
      </w:r>
      <w:r w:rsidR="00D845DD" w:rsidRPr="00CA13A9">
        <w:rPr>
          <w:szCs w:val="22"/>
        </w:rPr>
        <w:t>10</w:t>
      </w:r>
      <w:r w:rsidR="00D845DD">
        <w:rPr>
          <w:szCs w:val="22"/>
        </w:rPr>
        <w:t> </w:t>
      </w:r>
      <w:r w:rsidR="00D845DD" w:rsidRPr="00776337">
        <w:rPr>
          <w:szCs w:val="22"/>
        </w:rPr>
        <w:t>µg</w:t>
      </w:r>
      <w:r w:rsidR="00D845DD" w:rsidRPr="00CA13A9">
        <w:rPr>
          <w:szCs w:val="22"/>
        </w:rPr>
        <w:t>/0.2 mL</w:t>
      </w:r>
      <w:r w:rsidR="00D845DD">
        <w:rPr>
          <w:szCs w:val="22"/>
        </w:rPr>
        <w:t xml:space="preserve">, and </w:t>
      </w:r>
      <w:r w:rsidR="00D845DD" w:rsidRPr="00776337">
        <w:rPr>
          <w:szCs w:val="22"/>
        </w:rPr>
        <w:t>30</w:t>
      </w:r>
      <w:r w:rsidR="00D845DD">
        <w:rPr>
          <w:szCs w:val="22"/>
        </w:rPr>
        <w:t> </w:t>
      </w:r>
      <w:r w:rsidR="00D845DD" w:rsidRPr="00776337">
        <w:rPr>
          <w:szCs w:val="22"/>
        </w:rPr>
        <w:t>µg</w:t>
      </w:r>
      <w:r w:rsidR="00D845DD">
        <w:rPr>
          <w:szCs w:val="22"/>
        </w:rPr>
        <w:t>/0.3 mL</w:t>
      </w:r>
      <w:r w:rsidRPr="00BD5DBD">
        <w:rPr>
          <w:szCs w:val="22"/>
        </w:rPr>
        <w:t xml:space="preserve">, </w:t>
      </w:r>
      <w:r w:rsidR="00263103">
        <w:rPr>
          <w:szCs w:val="22"/>
        </w:rPr>
        <w:t>suspension for injection</w:t>
      </w:r>
      <w:r w:rsidR="00D62877" w:rsidRPr="00BD5DBD">
        <w:rPr>
          <w:szCs w:val="22"/>
        </w:rPr>
        <w:t xml:space="preserve">, </w:t>
      </w:r>
      <w:r w:rsidR="00A1402A">
        <w:rPr>
          <w:szCs w:val="22"/>
        </w:rPr>
        <w:t xml:space="preserve">single dose </w:t>
      </w:r>
      <w:r w:rsidR="00263103">
        <w:rPr>
          <w:szCs w:val="22"/>
        </w:rPr>
        <w:t>vial and multidose vial</w:t>
      </w:r>
      <w:r w:rsidRPr="00BD5DBD">
        <w:rPr>
          <w:szCs w:val="22"/>
        </w:rPr>
        <w:t xml:space="preserve"> for the following proposed </w:t>
      </w:r>
      <w:r w:rsidR="00A65B5E">
        <w:rPr>
          <w:szCs w:val="22"/>
        </w:rPr>
        <w:t>strain update and new formulations</w:t>
      </w:r>
      <w:r w:rsidRPr="00BD5DBD">
        <w:rPr>
          <w:szCs w:val="22"/>
        </w:rPr>
        <w:t>:</w:t>
      </w:r>
      <w:r w:rsidR="00D63760" w:rsidRPr="00BD5DBD">
        <w:rPr>
          <w:rStyle w:val="FootnoteReference"/>
          <w:szCs w:val="22"/>
        </w:rPr>
        <w:footnoteReference w:id="1"/>
      </w:r>
    </w:p>
    <w:p w14:paraId="1268C1E8" w14:textId="0A933332" w:rsidR="00A65B5E" w:rsidRDefault="60B8A696" w:rsidP="7CC8F668">
      <w:pPr>
        <w:ind w:left="720"/>
        <w:rPr>
          <w:i/>
          <w:iCs/>
        </w:rPr>
      </w:pPr>
      <w:r w:rsidRPr="7CC8F668">
        <w:rPr>
          <w:i/>
          <w:iCs/>
        </w:rPr>
        <w:t>To supply Comirnaty monovalent COVID-19 vaccines adapted to latest dominating SARS</w:t>
      </w:r>
      <w:r w:rsidR="00D845DD">
        <w:rPr>
          <w:i/>
          <w:iCs/>
          <w:szCs w:val="22"/>
        </w:rPr>
        <w:noBreakHyphen/>
      </w:r>
      <w:r w:rsidRPr="7CC8F668">
        <w:rPr>
          <w:i/>
          <w:iCs/>
        </w:rPr>
        <w:t>CoV-2 Omicron XBB.1.5 strain.</w:t>
      </w:r>
    </w:p>
    <w:p w14:paraId="5CEB7237" w14:textId="11338FE4" w:rsidR="009F6C73" w:rsidRDefault="009F6C73" w:rsidP="009F6C73">
      <w:pPr>
        <w:pStyle w:val="TableTitle"/>
      </w:pPr>
      <w:bookmarkStart w:id="17" w:name="_Ref147480004"/>
      <w:r w:rsidRPr="009F6C73">
        <w:lastRenderedPageBreak/>
        <w:t xml:space="preserve">Table </w:t>
      </w:r>
      <w:r>
        <w:fldChar w:fldCharType="begin"/>
      </w:r>
      <w:r>
        <w:instrText>SEQ Table \* ARABIC</w:instrText>
      </w:r>
      <w:r>
        <w:fldChar w:fldCharType="separate"/>
      </w:r>
      <w:r w:rsidR="003A20CD">
        <w:rPr>
          <w:noProof/>
        </w:rPr>
        <w:t>1</w:t>
      </w:r>
      <w:r>
        <w:fldChar w:fldCharType="end"/>
      </w:r>
      <w:bookmarkEnd w:id="17"/>
      <w:r w:rsidRPr="009F6C73">
        <w:t>:</w:t>
      </w:r>
      <w:r>
        <w:t xml:space="preserve"> Sponsor proposed formulations</w:t>
      </w:r>
    </w:p>
    <w:p w14:paraId="711B137F" w14:textId="0A248517" w:rsidR="009F6C73" w:rsidRPr="009F6C73" w:rsidRDefault="009F6C73" w:rsidP="009F6C73">
      <w:pPr>
        <w:rPr>
          <w:szCs w:val="22"/>
        </w:rPr>
      </w:pPr>
      <w:r w:rsidRPr="009F6C73">
        <w:rPr>
          <w:noProof/>
          <w:szCs w:val="22"/>
        </w:rPr>
        <w:drawing>
          <wp:inline distT="0" distB="0" distL="0" distR="0" wp14:anchorId="3612696C" wp14:editId="58B32C78">
            <wp:extent cx="5088835" cy="2712736"/>
            <wp:effectExtent l="0" t="0" r="0" b="0"/>
            <wp:docPr id="3" name="Picture 3" descr="Sponsor proposed formu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ponsor proposed formulations"/>
                    <pic:cNvPicPr/>
                  </pic:nvPicPr>
                  <pic:blipFill>
                    <a:blip r:embed="rId21"/>
                    <a:stretch>
                      <a:fillRect/>
                    </a:stretch>
                  </pic:blipFill>
                  <pic:spPr>
                    <a:xfrm>
                      <a:off x="0" y="0"/>
                      <a:ext cx="5094991" cy="2716017"/>
                    </a:xfrm>
                    <a:prstGeom prst="rect">
                      <a:avLst/>
                    </a:prstGeom>
                  </pic:spPr>
                </pic:pic>
              </a:graphicData>
            </a:graphic>
          </wp:inline>
        </w:drawing>
      </w:r>
    </w:p>
    <w:p w14:paraId="630728E1" w14:textId="4C1FBFD5" w:rsidR="00A65B5E" w:rsidRDefault="00F55113" w:rsidP="00A65B5E">
      <w:bookmarkStart w:id="18" w:name="_Toc314842485"/>
      <w:bookmarkStart w:id="19" w:name="_Toc247691504"/>
      <w:r>
        <w:t>The sponsor</w:t>
      </w:r>
      <w:r w:rsidR="00A65B5E">
        <w:t xml:space="preserve"> has applied for approval for strain update for currently registered Comirnaty (monovalent, original) to the monovalent COVID-19 vaccine raxtozinameran (Comirnaty Omicron XBB.1.5) in lipid nanoparticles (LNP). The Omicron XBB.1.5 vaccine is indicated (proposed) for active immunisation to prevent coronavirus disease 2019 (COVID-19) caused by SARS-CoV-2, in individuals 5 years of age and older.</w:t>
      </w:r>
    </w:p>
    <w:p w14:paraId="24B82545" w14:textId="1727F421" w:rsidR="00A65B5E" w:rsidRDefault="00A65B5E" w:rsidP="00A65B5E">
      <w:r>
        <w:t>The messenger</w:t>
      </w:r>
      <w:r w:rsidR="0066660A" w:rsidRPr="0066660A">
        <w:t xml:space="preserve"> ribonucleic acid</w:t>
      </w:r>
      <w:r w:rsidR="0066660A">
        <w:t xml:space="preserve"> (</w:t>
      </w:r>
      <w:r>
        <w:t>mRNA</w:t>
      </w:r>
      <w:r w:rsidR="0066660A">
        <w:t>)</w:t>
      </w:r>
      <w:r>
        <w:t xml:space="preserve"> of the Omicron XBB.1.5 variant is manufactured using the same processes as for the original monovalent vaccine (BNT162b2).</w:t>
      </w:r>
    </w:p>
    <w:p w14:paraId="477A8043" w14:textId="67FE234D" w:rsidR="00A65B5E" w:rsidRDefault="00A65B5E" w:rsidP="00A65B5E">
      <w:r>
        <w:t xml:space="preserve">The sponsor initially proposed registration for </w:t>
      </w:r>
      <w:r w:rsidR="0066660A">
        <w:t>six</w:t>
      </w:r>
      <w:r>
        <w:t xml:space="preserve"> formulations. However, quality data has only been provided for the 10 </w:t>
      </w:r>
      <w:r w:rsidR="0066660A">
        <w:t>µg per dose</w:t>
      </w:r>
      <w:r>
        <w:t xml:space="preserve"> (single dose vial</w:t>
      </w:r>
      <w:r w:rsidR="0066660A">
        <w:t xml:space="preserve"> with </w:t>
      </w:r>
      <w:r>
        <w:t xml:space="preserve">light blue cap) and 30 </w:t>
      </w:r>
      <w:r w:rsidR="0066660A">
        <w:t>µg</w:t>
      </w:r>
      <w:r>
        <w:t xml:space="preserve"> per dose</w:t>
      </w:r>
      <w:r w:rsidR="0066660A">
        <w:t xml:space="preserve"> </w:t>
      </w:r>
      <w:r>
        <w:t>(multidose vial</w:t>
      </w:r>
      <w:r w:rsidR="0066660A">
        <w:t xml:space="preserve"> with</w:t>
      </w:r>
      <w:r>
        <w:t xml:space="preserve"> dark grey cap) and the data for remaining formulations will be submitted at a later stage.</w:t>
      </w:r>
      <w:r w:rsidR="006331A0">
        <w:rPr>
          <w:rStyle w:val="FootnoteReference"/>
        </w:rPr>
        <w:footnoteReference w:id="2"/>
      </w:r>
      <w:r>
        <w:t xml:space="preserve"> For this reason, the decision for this application will be divided in to two stages.</w:t>
      </w:r>
    </w:p>
    <w:p w14:paraId="41976D05" w14:textId="77777777" w:rsidR="00A65B5E" w:rsidRDefault="00A65B5E" w:rsidP="0066660A">
      <w:pPr>
        <w:pStyle w:val="Heading4"/>
      </w:pPr>
      <w:bookmarkStart w:id="20" w:name="_Toc158382382"/>
      <w:r>
        <w:t>Condition</w:t>
      </w:r>
      <w:bookmarkEnd w:id="20"/>
    </w:p>
    <w:p w14:paraId="693E3B1F" w14:textId="790F30D5" w:rsidR="00A65B5E" w:rsidRDefault="0066660A" w:rsidP="00A65B5E">
      <w:r>
        <w:rPr>
          <w:rFonts w:cstheme="minorHAnsi"/>
          <w:szCs w:val="22"/>
        </w:rPr>
        <w:t>The s</w:t>
      </w:r>
      <w:r w:rsidRPr="00B919B7">
        <w:rPr>
          <w:rFonts w:cstheme="minorHAnsi"/>
          <w:szCs w:val="22"/>
        </w:rPr>
        <w:t>evere acute respiratory syndrome coronavirus 2</w:t>
      </w:r>
      <w:r>
        <w:rPr>
          <w:rFonts w:cstheme="minorHAnsi"/>
          <w:szCs w:val="22"/>
        </w:rPr>
        <w:t xml:space="preserve"> (</w:t>
      </w:r>
      <w:r w:rsidR="00A65B5E">
        <w:t>SARS-CoV-2</w:t>
      </w:r>
      <w:r>
        <w:t>)</w:t>
      </w:r>
      <w:r w:rsidR="00A65B5E">
        <w:t xml:space="preserve"> has spread rapidly and globally since its emergence, causing </w:t>
      </w:r>
      <w:r>
        <w:rPr>
          <w:rFonts w:cstheme="minorHAnsi"/>
          <w:szCs w:val="22"/>
        </w:rPr>
        <w:t>c</w:t>
      </w:r>
      <w:r w:rsidRPr="00B919B7">
        <w:rPr>
          <w:rFonts w:cstheme="minorHAnsi"/>
          <w:szCs w:val="22"/>
        </w:rPr>
        <w:t>oronavirus disease 2019</w:t>
      </w:r>
      <w:r>
        <w:rPr>
          <w:rFonts w:cstheme="minorHAnsi"/>
          <w:szCs w:val="22"/>
        </w:rPr>
        <w:t xml:space="preserve"> (</w:t>
      </w:r>
      <w:r w:rsidR="00A65B5E">
        <w:t>COVID-19</w:t>
      </w:r>
      <w:r>
        <w:t>)</w:t>
      </w:r>
      <w:r w:rsidR="00A65B5E">
        <w:t>. The World Health Organization (WHO) declared that the outbreak constituted a public health emergency of international concern on 30 January 2020 and declared the outbreak to be a pandemic on 11</w:t>
      </w:r>
      <w:r w:rsidR="00444D43">
        <w:t> </w:t>
      </w:r>
      <w:r w:rsidR="00A65B5E">
        <w:t>March 2020.</w:t>
      </w:r>
    </w:p>
    <w:p w14:paraId="136EFA18" w14:textId="78D2BC65" w:rsidR="00A65B5E" w:rsidRDefault="00A65B5E" w:rsidP="00A65B5E">
      <w:r>
        <w:t>The rise of the COVID-19 Omicron subvariant XBB.1.5 is the product of a potent mix of mutations that make it easier to spread broadly, including among those who have been previously infected or vaccinated. That means there are higher chances for reinfection or breakthrough infections.</w:t>
      </w:r>
    </w:p>
    <w:p w14:paraId="237D186D" w14:textId="323B6260" w:rsidR="00A65B5E" w:rsidRDefault="00A65B5E" w:rsidP="00A65B5E">
      <w:r>
        <w:t>Since the COVID-19 Omicron variant became the world’s dominant strain, it has mutated into different subvariants. First it was BA.1, then it was the BA.5 Omicron subvariant. It eventually mutated into BQ.1 and BQ.1.1.</w:t>
      </w:r>
      <w:bookmarkStart w:id="21" w:name="_Ref147388418"/>
      <w:r w:rsidR="00263103">
        <w:rPr>
          <w:rStyle w:val="FootnoteReference"/>
        </w:rPr>
        <w:footnoteReference w:id="3"/>
      </w:r>
      <w:bookmarkEnd w:id="21"/>
    </w:p>
    <w:p w14:paraId="111EDFCC" w14:textId="33358E1B" w:rsidR="00A65B5E" w:rsidRDefault="00263103" w:rsidP="00A65B5E">
      <w:r>
        <w:t xml:space="preserve">The Omicron </w:t>
      </w:r>
      <w:r w:rsidR="00A65B5E">
        <w:t xml:space="preserve">XBB.1.5 </w:t>
      </w:r>
      <w:r>
        <w:t xml:space="preserve">strain </w:t>
      </w:r>
      <w:r w:rsidR="00A65B5E">
        <w:t xml:space="preserve">is derived from the </w:t>
      </w:r>
      <w:r>
        <w:t xml:space="preserve">Omicron </w:t>
      </w:r>
      <w:r w:rsidR="00A65B5E">
        <w:t xml:space="preserve">BA.2 subvariant. It is part of the XBB family of variants and contains more mutations to evade immunity than other variants seen so </w:t>
      </w:r>
      <w:r w:rsidR="00A65B5E">
        <w:lastRenderedPageBreak/>
        <w:t>far. The XBB.1.5 subvariant has a mutation that is believed to help the virus bind to cells, becoming more transmissible.</w:t>
      </w:r>
      <w:r>
        <w:fldChar w:fldCharType="begin"/>
      </w:r>
      <w:r>
        <w:instrText xml:space="preserve"> NOTEREF _Ref147388418 \f \h </w:instrText>
      </w:r>
      <w:r>
        <w:fldChar w:fldCharType="separate"/>
      </w:r>
      <w:r w:rsidR="003A20CD" w:rsidRPr="003A20CD">
        <w:rPr>
          <w:rStyle w:val="FootnoteReference"/>
        </w:rPr>
        <w:t>3</w:t>
      </w:r>
      <w:r>
        <w:fldChar w:fldCharType="end"/>
      </w:r>
    </w:p>
    <w:p w14:paraId="687C528C" w14:textId="77777777" w:rsidR="00A65B5E" w:rsidRDefault="00A65B5E" w:rsidP="00A65B5E">
      <w:r>
        <w:t>Currently circulating mutated SARS-CoV-2 Omicron subvariants are posing challenges for current vaccination strategies.</w:t>
      </w:r>
    </w:p>
    <w:p w14:paraId="0477C2F8" w14:textId="7884A59F" w:rsidR="00A65B5E" w:rsidRDefault="60B8A696" w:rsidP="00263103">
      <w:pPr>
        <w:pStyle w:val="Heading4"/>
      </w:pPr>
      <w:bookmarkStart w:id="22" w:name="_Toc158382383"/>
      <w:r>
        <w:t>C</w:t>
      </w:r>
      <w:r w:rsidR="270E3C50">
        <w:t>omirnaty</w:t>
      </w:r>
      <w:r>
        <w:t xml:space="preserve"> XBB</w:t>
      </w:r>
      <w:r w:rsidR="3DF002E5">
        <w:t>.</w:t>
      </w:r>
      <w:r>
        <w:t>1.5 Vaccine</w:t>
      </w:r>
      <w:bookmarkEnd w:id="22"/>
    </w:p>
    <w:p w14:paraId="0258C595" w14:textId="50B31D0C" w:rsidR="00324B33" w:rsidRPr="001D111E" w:rsidRDefault="00A65B5E" w:rsidP="00A65B5E">
      <w:r>
        <w:t>Raxtozinameran is a single-stranded, 5’-capped mRNA produced using a cell</w:t>
      </w:r>
      <w:r w:rsidR="00263103">
        <w:t>-</w:t>
      </w:r>
      <w:r>
        <w:t xml:space="preserve">free </w:t>
      </w:r>
      <w:r w:rsidRPr="00263103">
        <w:rPr>
          <w:i/>
          <w:iCs/>
        </w:rPr>
        <w:t>in vitro</w:t>
      </w:r>
      <w:r>
        <w:t xml:space="preserve"> transcription from the corresponding </w:t>
      </w:r>
      <w:r w:rsidR="00D845DD">
        <w:t>d</w:t>
      </w:r>
      <w:r w:rsidR="00117C3C" w:rsidRPr="00117C3C">
        <w:t xml:space="preserve">eoxyribonucleic acid </w:t>
      </w:r>
      <w:r w:rsidR="00117C3C">
        <w:t>(</w:t>
      </w:r>
      <w:r>
        <w:t>DNA</w:t>
      </w:r>
      <w:r w:rsidR="00117C3C">
        <w:t>)</w:t>
      </w:r>
      <w:r>
        <w:t xml:space="preserve"> templates, encoding the viral spike protein of SARS-CoV-2 </w:t>
      </w:r>
      <w:r w:rsidR="00263103">
        <w:t xml:space="preserve">subvariant strain </w:t>
      </w:r>
      <w:r>
        <w:t>Omicron XBB.1.5.</w:t>
      </w:r>
    </w:p>
    <w:p w14:paraId="0D615854" w14:textId="77777777" w:rsidR="00324B33" w:rsidRPr="003F31A2" w:rsidRDefault="00324B33" w:rsidP="00324B33">
      <w:pPr>
        <w:pStyle w:val="Heading3"/>
      </w:pPr>
      <w:bookmarkStart w:id="23" w:name="_Toc103679291"/>
      <w:bookmarkStart w:id="24" w:name="_Toc158382384"/>
      <w:r>
        <w:t>Regulatory status</w:t>
      </w:r>
      <w:bookmarkEnd w:id="18"/>
      <w:bookmarkEnd w:id="19"/>
      <w:bookmarkEnd w:id="23"/>
      <w:bookmarkEnd w:id="24"/>
    </w:p>
    <w:p w14:paraId="70EB507C" w14:textId="59B1B01D" w:rsidR="00263103" w:rsidRDefault="00263103" w:rsidP="00324B33">
      <w:pPr>
        <w:rPr>
          <w:szCs w:val="22"/>
        </w:rPr>
      </w:pPr>
      <w:r>
        <w:rPr>
          <w:szCs w:val="22"/>
        </w:rPr>
        <w:t>T</w:t>
      </w:r>
      <w:r w:rsidRPr="00BD5DBD">
        <w:rPr>
          <w:szCs w:val="22"/>
        </w:rPr>
        <w:t xml:space="preserve">he TGA </w:t>
      </w:r>
      <w:r w:rsidR="0053712B">
        <w:rPr>
          <w:szCs w:val="22"/>
        </w:rPr>
        <w:t xml:space="preserve">has </w:t>
      </w:r>
      <w:r w:rsidRPr="00BD5DBD">
        <w:rPr>
          <w:szCs w:val="22"/>
        </w:rPr>
        <w:t xml:space="preserve">approved the </w:t>
      </w:r>
      <w:r>
        <w:rPr>
          <w:szCs w:val="22"/>
        </w:rPr>
        <w:t xml:space="preserve">full </w:t>
      </w:r>
      <w:r w:rsidRPr="00BD5DBD">
        <w:rPr>
          <w:szCs w:val="22"/>
        </w:rPr>
        <w:t xml:space="preserve">registration of </w:t>
      </w:r>
      <w:r>
        <w:rPr>
          <w:szCs w:val="22"/>
        </w:rPr>
        <w:t>Comirnaty</w:t>
      </w:r>
      <w:r w:rsidRPr="00BD5DBD">
        <w:rPr>
          <w:szCs w:val="22"/>
        </w:rPr>
        <w:t xml:space="preserve"> (</w:t>
      </w:r>
      <w:r>
        <w:rPr>
          <w:szCs w:val="22"/>
        </w:rPr>
        <w:t>t</w:t>
      </w:r>
      <w:r w:rsidRPr="00461E36">
        <w:rPr>
          <w:szCs w:val="22"/>
        </w:rPr>
        <w:t>ozinameran</w:t>
      </w:r>
      <w:r w:rsidRPr="00BD5DBD">
        <w:rPr>
          <w:szCs w:val="22"/>
        </w:rPr>
        <w:t>)</w:t>
      </w:r>
      <w:r>
        <w:rPr>
          <w:szCs w:val="22"/>
        </w:rPr>
        <w:t xml:space="preserve"> on the 14 July 2023.</w:t>
      </w:r>
      <w:r w:rsidR="0053712B">
        <w:rPr>
          <w:rStyle w:val="FootnoteReference"/>
          <w:szCs w:val="22"/>
        </w:rPr>
        <w:footnoteReference w:id="4"/>
      </w:r>
    </w:p>
    <w:p w14:paraId="56170D8F" w14:textId="4E13B7D0" w:rsidR="00324B33" w:rsidRPr="0098350E" w:rsidRDefault="3378D002" w:rsidP="0053712B">
      <w:r>
        <w:t>At the time the TGA considered this submission</w:t>
      </w:r>
      <w:r w:rsidR="290FCC01">
        <w:t xml:space="preserve"> for Comirnaty Omicron XBB.1.5 (raxtozinameran)</w:t>
      </w:r>
      <w:r>
        <w:t xml:space="preserve">, a similar submission had been approved in </w:t>
      </w:r>
      <w:r w:rsidR="11511ACF">
        <w:t>European Union (EU)</w:t>
      </w:r>
      <w:r>
        <w:t xml:space="preserve"> on </w:t>
      </w:r>
      <w:r w:rsidR="11511ACF">
        <w:t>31 August 2023, United States of America on 11 September 2023 and Canada on 28 September 2023</w:t>
      </w:r>
      <w:r>
        <w:t>.</w:t>
      </w:r>
    </w:p>
    <w:p w14:paraId="064CCADF" w14:textId="77777777" w:rsidR="00324B33" w:rsidRDefault="00324B33" w:rsidP="00324B33">
      <w:pPr>
        <w:pStyle w:val="Heading3"/>
      </w:pPr>
      <w:bookmarkStart w:id="25" w:name="_Toc103679292"/>
      <w:bookmarkStart w:id="26" w:name="_Toc158382385"/>
      <w:r>
        <w:t>Product Information</w:t>
      </w:r>
      <w:bookmarkEnd w:id="25"/>
      <w:bookmarkEnd w:id="26"/>
    </w:p>
    <w:p w14:paraId="4B0F7D57" w14:textId="6966FBD1" w:rsidR="00324B33" w:rsidRPr="00BD5DBD" w:rsidRDefault="00324B33" w:rsidP="00324B33">
      <w:pPr>
        <w:rPr>
          <w:szCs w:val="22"/>
        </w:rPr>
      </w:pPr>
      <w:bookmarkStart w:id="27" w:name="_Toc504480011"/>
      <w:r w:rsidRPr="00BD5DBD">
        <w:rPr>
          <w:szCs w:val="22"/>
        </w:rPr>
        <w:t xml:space="preserve">The </w:t>
      </w:r>
      <w:hyperlink r:id="rId22" w:history="1">
        <w:r w:rsidRPr="00BD5DBD">
          <w:rPr>
            <w:rStyle w:val="Hyperlink"/>
            <w:szCs w:val="22"/>
          </w:rPr>
          <w:t>Product Information</w:t>
        </w:r>
      </w:hyperlink>
      <w:r w:rsidRPr="00BD5DBD">
        <w:rPr>
          <w:szCs w:val="22"/>
        </w:rPr>
        <w:t xml:space="preserve"> (</w:t>
      </w:r>
      <w:hyperlink r:id="rId23" w:history="1">
        <w:r w:rsidRPr="00BD5DBD">
          <w:rPr>
            <w:rStyle w:val="Hyperlink"/>
            <w:szCs w:val="22"/>
          </w:rPr>
          <w:t>PI</w:t>
        </w:r>
      </w:hyperlink>
      <w:r w:rsidRPr="00BD5DBD">
        <w:rPr>
          <w:szCs w:val="22"/>
        </w:rPr>
        <w:t>) approved with the submission which is described in this AusPAR can be found as Attachment 1. For the most recent PI</w:t>
      </w:r>
      <w:r w:rsidR="00A93DC6" w:rsidRPr="00BD5DBD">
        <w:rPr>
          <w:szCs w:val="22"/>
        </w:rPr>
        <w:t xml:space="preserve"> and </w:t>
      </w:r>
      <w:hyperlink r:id="rId24" w:history="1">
        <w:r w:rsidR="00A93DC6" w:rsidRPr="00BD5DBD">
          <w:rPr>
            <w:rStyle w:val="Hyperlink"/>
            <w:szCs w:val="22"/>
          </w:rPr>
          <w:t>Consumer Medicines Information</w:t>
        </w:r>
      </w:hyperlink>
      <w:r w:rsidR="00A93DC6" w:rsidRPr="00BD5DBD">
        <w:rPr>
          <w:szCs w:val="22"/>
        </w:rPr>
        <w:t xml:space="preserve"> (CMI)</w:t>
      </w:r>
      <w:r w:rsidRPr="00BD5DBD">
        <w:rPr>
          <w:szCs w:val="22"/>
        </w:rPr>
        <w:t xml:space="preserve">, please refer to the TGA </w:t>
      </w:r>
      <w:hyperlink r:id="rId25" w:history="1">
        <w:r w:rsidRPr="00BD5DBD">
          <w:rPr>
            <w:rStyle w:val="Hyperlink"/>
            <w:szCs w:val="22"/>
          </w:rPr>
          <w:t>PI/CMI search facility.</w:t>
        </w:r>
      </w:hyperlink>
    </w:p>
    <w:p w14:paraId="6D92589C" w14:textId="77777777" w:rsidR="00324B33" w:rsidRDefault="00324B33" w:rsidP="00324B33">
      <w:pPr>
        <w:pStyle w:val="Heading2"/>
      </w:pPr>
      <w:bookmarkStart w:id="28" w:name="_Toc103679293"/>
      <w:bookmarkStart w:id="29" w:name="_Toc158382386"/>
      <w:r>
        <w:t>Registration timeline</w:t>
      </w:r>
      <w:bookmarkEnd w:id="27"/>
      <w:bookmarkEnd w:id="28"/>
      <w:bookmarkEnd w:id="29"/>
    </w:p>
    <w:p w14:paraId="225E3D87" w14:textId="03AD5E4E" w:rsidR="00324B33" w:rsidRDefault="00324B33" w:rsidP="00324B33">
      <w:pPr>
        <w:rPr>
          <w:szCs w:val="22"/>
        </w:rPr>
      </w:pPr>
      <w:r w:rsidRPr="00BD5DBD">
        <w:rPr>
          <w:szCs w:val="22"/>
        </w:rPr>
        <w:t>The following table captures the key steps and dates for this submission.</w:t>
      </w:r>
    </w:p>
    <w:p w14:paraId="2D078851" w14:textId="1C3F83A3" w:rsidR="00AD6C37" w:rsidRPr="00BD5DBD" w:rsidRDefault="00AD6C37" w:rsidP="00324B33">
      <w:pPr>
        <w:rPr>
          <w:szCs w:val="22"/>
        </w:rPr>
      </w:pPr>
      <w:r w:rsidRPr="00BD5DBD">
        <w:rPr>
          <w:szCs w:val="22"/>
        </w:rPr>
        <w:t xml:space="preserve">This submission was evaluated under the </w:t>
      </w:r>
      <w:hyperlink r:id="rId26" w:history="1">
        <w:r w:rsidRPr="00BD5DBD">
          <w:rPr>
            <w:rStyle w:val="Hyperlink"/>
            <w:szCs w:val="22"/>
          </w:rPr>
          <w:t>standard prescription medicines registration process</w:t>
        </w:r>
      </w:hyperlink>
      <w:r w:rsidRPr="00BD5DBD">
        <w:rPr>
          <w:szCs w:val="22"/>
        </w:rPr>
        <w:t>.</w:t>
      </w:r>
    </w:p>
    <w:p w14:paraId="06850328" w14:textId="096ED592" w:rsidR="00C22214" w:rsidRDefault="00C22214" w:rsidP="00C22214">
      <w:pPr>
        <w:rPr>
          <w:szCs w:val="22"/>
        </w:rPr>
      </w:pPr>
      <w:r w:rsidRPr="00BD5DBD">
        <w:rPr>
          <w:szCs w:val="22"/>
        </w:rPr>
        <w:t>Data were provided as a rolling submission. Under normal circumstances, TGA's assessment (for both provisional and general registration) begins once all information to support registration is available. As part of the Department of Health and Aged Care's response to the pandemic, the TGA has agreed to accept rolling data for COVID-19 vaccines and treatments, to enable early evaluation of data as it becomes available.</w:t>
      </w:r>
    </w:p>
    <w:p w14:paraId="4D1407A1" w14:textId="14758CC0" w:rsidR="00EC4E0E" w:rsidRPr="00BD5DBD" w:rsidRDefault="00EC4E0E" w:rsidP="00EC4E0E">
      <w:pPr>
        <w:pStyle w:val="TableTitle"/>
      </w:pPr>
      <w:r>
        <w:t xml:space="preserve">Stage I decision (AUSR R </w:t>
      </w:r>
      <w:r w:rsidRPr="009530B9">
        <w:t>419330 and 419371</w:t>
      </w:r>
      <w:r>
        <w:t>)</w:t>
      </w:r>
    </w:p>
    <w:tbl>
      <w:tblPr>
        <w:tblStyle w:val="TableTGAblue2023"/>
        <w:tblW w:w="8780" w:type="dxa"/>
        <w:tblLook w:val="04A0" w:firstRow="1" w:lastRow="0" w:firstColumn="1" w:lastColumn="0" w:noHBand="0" w:noVBand="1"/>
      </w:tblPr>
      <w:tblGrid>
        <w:gridCol w:w="6374"/>
        <w:gridCol w:w="2406"/>
      </w:tblGrid>
      <w:tr w:rsidR="00C22214" w:rsidRPr="00D01DDB" w14:paraId="1E6392AD" w14:textId="77777777" w:rsidTr="00EC4E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shd w:val="clear" w:color="auto" w:fill="DEEAF6"/>
          </w:tcPr>
          <w:p w14:paraId="37E60B8C" w14:textId="0D831017" w:rsidR="00C22214" w:rsidRPr="00C51B28" w:rsidRDefault="00C22214" w:rsidP="00EC4E0E">
            <w:pPr>
              <w:rPr>
                <w:b w:val="0"/>
              </w:rPr>
            </w:pPr>
            <w:bookmarkStart w:id="30" w:name="_Hlk147750385"/>
            <w:r w:rsidRPr="00C51B28">
              <w:t>Description</w:t>
            </w:r>
          </w:p>
        </w:tc>
        <w:tc>
          <w:tcPr>
            <w:tcW w:w="2406" w:type="dxa"/>
            <w:shd w:val="clear" w:color="auto" w:fill="DEEAF6"/>
          </w:tcPr>
          <w:p w14:paraId="0F55D5BA" w14:textId="780CEEDC" w:rsidR="00C22214" w:rsidRPr="00C51B28" w:rsidRDefault="00C22214" w:rsidP="00EC4E0E">
            <w:pPr>
              <w:cnfStyle w:val="100000000000" w:firstRow="1" w:lastRow="0" w:firstColumn="0" w:lastColumn="0" w:oddVBand="0" w:evenVBand="0" w:oddHBand="0" w:evenHBand="0" w:firstRowFirstColumn="0" w:firstRowLastColumn="0" w:lastRowFirstColumn="0" w:lastRowLastColumn="0"/>
              <w:rPr>
                <w:b w:val="0"/>
              </w:rPr>
            </w:pPr>
            <w:r w:rsidRPr="00C51B28">
              <w:t>Date</w:t>
            </w:r>
          </w:p>
        </w:tc>
      </w:tr>
      <w:tr w:rsidR="00C22214" w:rsidRPr="00D01DDB" w14:paraId="25F5A953" w14:textId="77777777" w:rsidTr="00EC4E0E">
        <w:tc>
          <w:tcPr>
            <w:cnfStyle w:val="001000000000" w:firstRow="0" w:lastRow="0" w:firstColumn="1" w:lastColumn="0" w:oddVBand="0" w:evenVBand="0" w:oddHBand="0" w:evenHBand="0" w:firstRowFirstColumn="0" w:firstRowLastColumn="0" w:lastRowFirstColumn="0" w:lastRowLastColumn="0"/>
            <w:tcW w:w="6374" w:type="dxa"/>
          </w:tcPr>
          <w:p w14:paraId="10BB7432" w14:textId="2CD65A5B" w:rsidR="00C22214" w:rsidRPr="00D01DDB" w:rsidRDefault="00C22214" w:rsidP="00EC4E0E">
            <w:r w:rsidRPr="00D01DDB">
              <w:t>Submission dossier accepted and first round evaluation commenced</w:t>
            </w:r>
          </w:p>
        </w:tc>
        <w:tc>
          <w:tcPr>
            <w:tcW w:w="2406" w:type="dxa"/>
          </w:tcPr>
          <w:p w14:paraId="026568FA" w14:textId="1065FDC3" w:rsidR="00C22214" w:rsidRPr="00D01DDB" w:rsidRDefault="00535105" w:rsidP="00EC4E0E">
            <w:pPr>
              <w:cnfStyle w:val="000000000000" w:firstRow="0" w:lastRow="0" w:firstColumn="0" w:lastColumn="0" w:oddVBand="0" w:evenVBand="0" w:oddHBand="0" w:evenHBand="0" w:firstRowFirstColumn="0" w:firstRowLastColumn="0" w:lastRowFirstColumn="0" w:lastRowLastColumn="0"/>
            </w:pPr>
            <w:r>
              <w:t>23 August 2023</w:t>
            </w:r>
          </w:p>
        </w:tc>
      </w:tr>
      <w:tr w:rsidR="00C22214" w:rsidRPr="00D01DDB" w14:paraId="66817B4D" w14:textId="77777777" w:rsidTr="00EC4E0E">
        <w:tc>
          <w:tcPr>
            <w:cnfStyle w:val="001000000000" w:firstRow="0" w:lastRow="0" w:firstColumn="1" w:lastColumn="0" w:oddVBand="0" w:evenVBand="0" w:oddHBand="0" w:evenHBand="0" w:firstRowFirstColumn="0" w:firstRowLastColumn="0" w:lastRowFirstColumn="0" w:lastRowLastColumn="0"/>
            <w:tcW w:w="6374" w:type="dxa"/>
          </w:tcPr>
          <w:p w14:paraId="43F1966F" w14:textId="36552DC6" w:rsidR="00C22214" w:rsidRPr="00D01DDB" w:rsidRDefault="00C22214" w:rsidP="00EC4E0E">
            <w:r w:rsidRPr="00D01DDB">
              <w:t>Evaluation completed</w:t>
            </w:r>
          </w:p>
        </w:tc>
        <w:tc>
          <w:tcPr>
            <w:tcW w:w="2406" w:type="dxa"/>
          </w:tcPr>
          <w:p w14:paraId="2624F31D" w14:textId="2250F2C4" w:rsidR="00C22214" w:rsidRPr="00D01DDB" w:rsidRDefault="008D22FA" w:rsidP="00EC4E0E">
            <w:pPr>
              <w:cnfStyle w:val="000000000000" w:firstRow="0" w:lastRow="0" w:firstColumn="0" w:lastColumn="0" w:oddVBand="0" w:evenVBand="0" w:oddHBand="0" w:evenHBand="0" w:firstRowFirstColumn="0" w:firstRowLastColumn="0" w:lastRowFirstColumn="0" w:lastRowLastColumn="0"/>
            </w:pPr>
            <w:r>
              <w:t>5 October 2023</w:t>
            </w:r>
          </w:p>
        </w:tc>
      </w:tr>
      <w:tr w:rsidR="00C22214" w:rsidRPr="00D01DDB" w14:paraId="4F6872C6" w14:textId="77777777" w:rsidTr="00EC4E0E">
        <w:tc>
          <w:tcPr>
            <w:cnfStyle w:val="001000000000" w:firstRow="0" w:lastRow="0" w:firstColumn="1" w:lastColumn="0" w:oddVBand="0" w:evenVBand="0" w:oddHBand="0" w:evenHBand="0" w:firstRowFirstColumn="0" w:firstRowLastColumn="0" w:lastRowFirstColumn="0" w:lastRowLastColumn="0"/>
            <w:tcW w:w="6374" w:type="dxa"/>
          </w:tcPr>
          <w:p w14:paraId="013F36F2" w14:textId="7CA3562E" w:rsidR="00C22214" w:rsidRPr="00D01DDB" w:rsidRDefault="00C22214" w:rsidP="00EC4E0E">
            <w:r w:rsidRPr="00D01DDB">
              <w:t>Delegate’s</w:t>
            </w:r>
            <w:r w:rsidR="00860248">
              <w:rPr>
                <w:rStyle w:val="FootnoteReference"/>
                <w:szCs w:val="22"/>
              </w:rPr>
              <w:footnoteReference w:id="5"/>
            </w:r>
            <w:r w:rsidRPr="00D01DDB">
              <w:t xml:space="preserve"> Overall benefit-risk assessment </w:t>
            </w:r>
            <w:r w:rsidRPr="0053712B">
              <w:rPr>
                <w:color w:val="auto"/>
              </w:rPr>
              <w:t>and request for Advisory Committee advice</w:t>
            </w:r>
          </w:p>
        </w:tc>
        <w:tc>
          <w:tcPr>
            <w:tcW w:w="2406" w:type="dxa"/>
          </w:tcPr>
          <w:p w14:paraId="712B89B3" w14:textId="4B0F355D" w:rsidR="00C22214" w:rsidRPr="00D01DDB" w:rsidRDefault="0053712B" w:rsidP="00EC4E0E">
            <w:pPr>
              <w:cnfStyle w:val="000000000000" w:firstRow="0" w:lastRow="0" w:firstColumn="0" w:lastColumn="0" w:oddVBand="0" w:evenVBand="0" w:oddHBand="0" w:evenHBand="0" w:firstRowFirstColumn="0" w:firstRowLastColumn="0" w:lastRowFirstColumn="0" w:lastRowLastColumn="0"/>
            </w:pPr>
            <w:r>
              <w:t>29 September 2023</w:t>
            </w:r>
          </w:p>
        </w:tc>
      </w:tr>
      <w:tr w:rsidR="00C22214" w:rsidRPr="00D01DDB" w14:paraId="3E7B1E31" w14:textId="77777777" w:rsidTr="00EC4E0E">
        <w:tc>
          <w:tcPr>
            <w:cnfStyle w:val="001000000000" w:firstRow="0" w:lastRow="0" w:firstColumn="1" w:lastColumn="0" w:oddVBand="0" w:evenVBand="0" w:oddHBand="0" w:evenHBand="0" w:firstRowFirstColumn="0" w:firstRowLastColumn="0" w:lastRowFirstColumn="0" w:lastRowLastColumn="0"/>
            <w:tcW w:w="6374" w:type="dxa"/>
          </w:tcPr>
          <w:p w14:paraId="150B30FD" w14:textId="67CFF919" w:rsidR="00C22214" w:rsidRPr="00D01DDB" w:rsidRDefault="00C22214" w:rsidP="00EC4E0E">
            <w:r w:rsidRPr="00D01DDB">
              <w:lastRenderedPageBreak/>
              <w:t>Sponsor’s pre-Advisory Committee response</w:t>
            </w:r>
          </w:p>
        </w:tc>
        <w:tc>
          <w:tcPr>
            <w:tcW w:w="2406" w:type="dxa"/>
          </w:tcPr>
          <w:p w14:paraId="69631301" w14:textId="419E3721" w:rsidR="00C22214" w:rsidRPr="00D01DDB" w:rsidRDefault="0053712B" w:rsidP="00EC4E0E">
            <w:pPr>
              <w:cnfStyle w:val="000000000000" w:firstRow="0" w:lastRow="0" w:firstColumn="0" w:lastColumn="0" w:oddVBand="0" w:evenVBand="0" w:oddHBand="0" w:evenHBand="0" w:firstRowFirstColumn="0" w:firstRowLastColumn="0" w:lastRowFirstColumn="0" w:lastRowLastColumn="0"/>
            </w:pPr>
            <w:r>
              <w:t>3 October 2023</w:t>
            </w:r>
          </w:p>
        </w:tc>
      </w:tr>
      <w:tr w:rsidR="00C22214" w:rsidRPr="00D01DDB" w14:paraId="075CCA22" w14:textId="77777777" w:rsidTr="00EC4E0E">
        <w:tc>
          <w:tcPr>
            <w:cnfStyle w:val="001000000000" w:firstRow="0" w:lastRow="0" w:firstColumn="1" w:lastColumn="0" w:oddVBand="0" w:evenVBand="0" w:oddHBand="0" w:evenHBand="0" w:firstRowFirstColumn="0" w:firstRowLastColumn="0" w:lastRowFirstColumn="0" w:lastRowLastColumn="0"/>
            <w:tcW w:w="6374" w:type="dxa"/>
          </w:tcPr>
          <w:p w14:paraId="6FFA2C67" w14:textId="30942334" w:rsidR="00C22214" w:rsidRPr="00D01DDB" w:rsidRDefault="00C22214" w:rsidP="00EC4E0E">
            <w:r w:rsidRPr="00D01DDB">
              <w:t>Advisory Committee meeting</w:t>
            </w:r>
          </w:p>
        </w:tc>
        <w:tc>
          <w:tcPr>
            <w:tcW w:w="2406" w:type="dxa"/>
          </w:tcPr>
          <w:p w14:paraId="6B8655BD" w14:textId="67AF1026" w:rsidR="00C22214" w:rsidRPr="00D01DDB" w:rsidRDefault="0053712B" w:rsidP="00EC4E0E">
            <w:pPr>
              <w:cnfStyle w:val="000000000000" w:firstRow="0" w:lastRow="0" w:firstColumn="0" w:lastColumn="0" w:oddVBand="0" w:evenVBand="0" w:oddHBand="0" w:evenHBand="0" w:firstRowFirstColumn="0" w:firstRowLastColumn="0" w:lastRowFirstColumn="0" w:lastRowLastColumn="0"/>
            </w:pPr>
            <w:r>
              <w:t>4 October 2023</w:t>
            </w:r>
          </w:p>
        </w:tc>
      </w:tr>
      <w:tr w:rsidR="00C22214" w:rsidRPr="00D01DDB" w14:paraId="7EF4EDFC" w14:textId="77777777" w:rsidTr="00EC4E0E">
        <w:tc>
          <w:tcPr>
            <w:cnfStyle w:val="001000000000" w:firstRow="0" w:lastRow="0" w:firstColumn="1" w:lastColumn="0" w:oddVBand="0" w:evenVBand="0" w:oddHBand="0" w:evenHBand="0" w:firstRowFirstColumn="0" w:firstRowLastColumn="0" w:lastRowFirstColumn="0" w:lastRowLastColumn="0"/>
            <w:tcW w:w="6374" w:type="dxa"/>
          </w:tcPr>
          <w:p w14:paraId="1E268797" w14:textId="3E1743AE" w:rsidR="00C22214" w:rsidRPr="00D01DDB" w:rsidRDefault="00C22214" w:rsidP="00EC4E0E">
            <w:r w:rsidRPr="00D01DDB">
              <w:t>Registration decision (Outcome)</w:t>
            </w:r>
          </w:p>
        </w:tc>
        <w:tc>
          <w:tcPr>
            <w:tcW w:w="2406" w:type="dxa"/>
          </w:tcPr>
          <w:p w14:paraId="472C5C42" w14:textId="2DBB3749" w:rsidR="00C22214" w:rsidRPr="00535105" w:rsidRDefault="00E91244" w:rsidP="00EC4E0E">
            <w:pPr>
              <w:cnfStyle w:val="000000000000" w:firstRow="0" w:lastRow="0" w:firstColumn="0" w:lastColumn="0" w:oddVBand="0" w:evenVBand="0" w:oddHBand="0" w:evenHBand="0" w:firstRowFirstColumn="0" w:firstRowLastColumn="0" w:lastRowFirstColumn="0" w:lastRowLastColumn="0"/>
              <w:rPr>
                <w:highlight w:val="yellow"/>
              </w:rPr>
            </w:pPr>
            <w:r w:rsidRPr="00FC136A">
              <w:t>6 October 2023</w:t>
            </w:r>
          </w:p>
        </w:tc>
      </w:tr>
      <w:tr w:rsidR="00C22214" w:rsidRPr="00D01DDB" w14:paraId="7545F43F" w14:textId="77777777" w:rsidTr="00EC4E0E">
        <w:tc>
          <w:tcPr>
            <w:cnfStyle w:val="001000000000" w:firstRow="0" w:lastRow="0" w:firstColumn="1" w:lastColumn="0" w:oddVBand="0" w:evenVBand="0" w:oddHBand="0" w:evenHBand="0" w:firstRowFirstColumn="0" w:firstRowLastColumn="0" w:lastRowFirstColumn="0" w:lastRowLastColumn="0"/>
            <w:tcW w:w="6374" w:type="dxa"/>
          </w:tcPr>
          <w:p w14:paraId="1A313219" w14:textId="13622BD8" w:rsidR="00C22214" w:rsidRPr="00D01DDB" w:rsidRDefault="0013132F" w:rsidP="00EC4E0E">
            <w:r>
              <w:t>Administrative activities and registration on the ARTG completed</w:t>
            </w:r>
          </w:p>
        </w:tc>
        <w:tc>
          <w:tcPr>
            <w:tcW w:w="2406" w:type="dxa"/>
          </w:tcPr>
          <w:p w14:paraId="6C5BA7F2" w14:textId="6EB8EA82" w:rsidR="00C22214" w:rsidRPr="00535105" w:rsidRDefault="008F5D26" w:rsidP="00EC4E0E">
            <w:pPr>
              <w:cnfStyle w:val="000000000000" w:firstRow="0" w:lastRow="0" w:firstColumn="0" w:lastColumn="0" w:oddVBand="0" w:evenVBand="0" w:oddHBand="0" w:evenHBand="0" w:firstRowFirstColumn="0" w:firstRowLastColumn="0" w:lastRowFirstColumn="0" w:lastRowLastColumn="0"/>
              <w:rPr>
                <w:highlight w:val="yellow"/>
              </w:rPr>
            </w:pPr>
            <w:r w:rsidRPr="008F5D26">
              <w:t>9 October 2023</w:t>
            </w:r>
          </w:p>
        </w:tc>
      </w:tr>
      <w:tr w:rsidR="00C22214" w:rsidRPr="00D01DDB" w14:paraId="2B3F361E" w14:textId="77777777" w:rsidTr="00EC4E0E">
        <w:tc>
          <w:tcPr>
            <w:cnfStyle w:val="001000000000" w:firstRow="0" w:lastRow="0" w:firstColumn="1" w:lastColumn="0" w:oddVBand="0" w:evenVBand="0" w:oddHBand="0" w:evenHBand="0" w:firstRowFirstColumn="0" w:firstRowLastColumn="0" w:lastRowFirstColumn="0" w:lastRowLastColumn="0"/>
            <w:tcW w:w="6374" w:type="dxa"/>
          </w:tcPr>
          <w:p w14:paraId="1FD7EBAF" w14:textId="261EDACC" w:rsidR="00C22214" w:rsidRPr="008D22FA" w:rsidRDefault="00C22214" w:rsidP="00EC4E0E">
            <w:r w:rsidRPr="008D22FA">
              <w:t>Number of working days from submission dossier acceptance to registration decision*</w:t>
            </w:r>
          </w:p>
        </w:tc>
        <w:tc>
          <w:tcPr>
            <w:tcW w:w="2406" w:type="dxa"/>
          </w:tcPr>
          <w:p w14:paraId="397960F5" w14:textId="5B0AD653" w:rsidR="00C22214" w:rsidRPr="008D22FA" w:rsidRDefault="008D22FA" w:rsidP="00EC4E0E">
            <w:pPr>
              <w:cnfStyle w:val="000000000000" w:firstRow="0" w:lastRow="0" w:firstColumn="0" w:lastColumn="0" w:oddVBand="0" w:evenVBand="0" w:oddHBand="0" w:evenHBand="0" w:firstRowFirstColumn="0" w:firstRowLastColumn="0" w:lastRowFirstColumn="0" w:lastRowLastColumn="0"/>
            </w:pPr>
            <w:r w:rsidRPr="008D22FA">
              <w:t>32 days</w:t>
            </w:r>
          </w:p>
        </w:tc>
      </w:tr>
    </w:tbl>
    <w:bookmarkEnd w:id="30"/>
    <w:p w14:paraId="54B16070" w14:textId="36ECF8C8" w:rsidR="00B25F80" w:rsidRDefault="00C22214" w:rsidP="00C22214">
      <w:pPr>
        <w:pStyle w:val="TableDescription"/>
      </w:pPr>
      <w:r>
        <w:t>*</w:t>
      </w:r>
      <w:r w:rsidRPr="00BF3774">
        <w:t xml:space="preserve">Statutory </w:t>
      </w:r>
      <w:r>
        <w:t>timeframe for standard submissions is 255 working days</w:t>
      </w:r>
    </w:p>
    <w:p w14:paraId="42A22A80" w14:textId="0AE8FF50" w:rsidR="00EC4E0E" w:rsidRDefault="00EC4E0E" w:rsidP="00EC4E0E">
      <w:pPr>
        <w:pStyle w:val="TableTitle"/>
      </w:pPr>
      <w:r>
        <w:t xml:space="preserve">Stage II decision </w:t>
      </w:r>
      <w:r w:rsidRPr="009530B9">
        <w:t>(AUST R 419331, 419332, 419370, 419372 and 428610)</w:t>
      </w:r>
    </w:p>
    <w:tbl>
      <w:tblPr>
        <w:tblStyle w:val="TableTGAblue2023"/>
        <w:tblW w:w="8780" w:type="dxa"/>
        <w:tblLook w:val="04A0" w:firstRow="1" w:lastRow="0" w:firstColumn="1" w:lastColumn="0" w:noHBand="0" w:noVBand="1"/>
      </w:tblPr>
      <w:tblGrid>
        <w:gridCol w:w="6374"/>
        <w:gridCol w:w="2406"/>
      </w:tblGrid>
      <w:tr w:rsidR="005B2CD3" w:rsidRPr="00D01DDB" w14:paraId="6DAAA076" w14:textId="77777777" w:rsidTr="00EC4E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shd w:val="clear" w:color="auto" w:fill="DEEAF6"/>
          </w:tcPr>
          <w:p w14:paraId="14F803D6" w14:textId="77777777" w:rsidR="005B2CD3" w:rsidRPr="00C51B28" w:rsidRDefault="005B2CD3" w:rsidP="00C51B28">
            <w:pPr>
              <w:rPr>
                <w:b w:val="0"/>
                <w:szCs w:val="22"/>
              </w:rPr>
            </w:pPr>
            <w:r w:rsidRPr="00C51B28">
              <w:rPr>
                <w:szCs w:val="22"/>
              </w:rPr>
              <w:t>Description</w:t>
            </w:r>
          </w:p>
        </w:tc>
        <w:tc>
          <w:tcPr>
            <w:tcW w:w="2406" w:type="dxa"/>
            <w:shd w:val="clear" w:color="auto" w:fill="DEEAF6"/>
          </w:tcPr>
          <w:p w14:paraId="09B7DD1F" w14:textId="77777777" w:rsidR="005B2CD3" w:rsidRPr="00C51B28" w:rsidRDefault="005B2CD3" w:rsidP="00C51B28">
            <w:pPr>
              <w:cnfStyle w:val="100000000000" w:firstRow="1" w:lastRow="0" w:firstColumn="0" w:lastColumn="0" w:oddVBand="0" w:evenVBand="0" w:oddHBand="0" w:evenHBand="0" w:firstRowFirstColumn="0" w:firstRowLastColumn="0" w:lastRowFirstColumn="0" w:lastRowLastColumn="0"/>
              <w:rPr>
                <w:b w:val="0"/>
                <w:szCs w:val="22"/>
              </w:rPr>
            </w:pPr>
            <w:r w:rsidRPr="00C51B28">
              <w:rPr>
                <w:szCs w:val="22"/>
              </w:rPr>
              <w:t>Date</w:t>
            </w:r>
          </w:p>
        </w:tc>
      </w:tr>
      <w:tr w:rsidR="005B2CD3" w:rsidRPr="00D01DDB" w14:paraId="3B9698B7" w14:textId="77777777" w:rsidTr="00EC4E0E">
        <w:tc>
          <w:tcPr>
            <w:cnfStyle w:val="001000000000" w:firstRow="0" w:lastRow="0" w:firstColumn="1" w:lastColumn="0" w:oddVBand="0" w:evenVBand="0" w:oddHBand="0" w:evenHBand="0" w:firstRowFirstColumn="0" w:firstRowLastColumn="0" w:lastRowFirstColumn="0" w:lastRowLastColumn="0"/>
            <w:tcW w:w="6374" w:type="dxa"/>
          </w:tcPr>
          <w:p w14:paraId="45DAC388" w14:textId="77777777" w:rsidR="005B2CD3" w:rsidRPr="00D01DDB" w:rsidRDefault="005B2CD3" w:rsidP="001E6D91">
            <w:pPr>
              <w:rPr>
                <w:szCs w:val="22"/>
              </w:rPr>
            </w:pPr>
            <w:r w:rsidRPr="00D01DDB">
              <w:rPr>
                <w:szCs w:val="22"/>
              </w:rPr>
              <w:t>Submission dossier accepted and first round evaluation commenced</w:t>
            </w:r>
          </w:p>
        </w:tc>
        <w:tc>
          <w:tcPr>
            <w:tcW w:w="2406" w:type="dxa"/>
          </w:tcPr>
          <w:p w14:paraId="748C0B33" w14:textId="6AE26401" w:rsidR="005B2CD3" w:rsidRPr="00D01DDB" w:rsidRDefault="00524D9D" w:rsidP="001E6D91">
            <w:pPr>
              <w:cnfStyle w:val="000000000000" w:firstRow="0" w:lastRow="0" w:firstColumn="0" w:lastColumn="0" w:oddVBand="0" w:evenVBand="0" w:oddHBand="0" w:evenHBand="0" w:firstRowFirstColumn="0" w:firstRowLastColumn="0" w:lastRowFirstColumn="0" w:lastRowLastColumn="0"/>
              <w:rPr>
                <w:szCs w:val="22"/>
              </w:rPr>
            </w:pPr>
            <w:r w:rsidRPr="00524D9D">
              <w:rPr>
                <w:szCs w:val="22"/>
              </w:rPr>
              <w:t>23 August 2023</w:t>
            </w:r>
          </w:p>
        </w:tc>
      </w:tr>
      <w:tr w:rsidR="005B2CD3" w:rsidRPr="00D01DDB" w14:paraId="02577873" w14:textId="77777777" w:rsidTr="00EC4E0E">
        <w:tc>
          <w:tcPr>
            <w:cnfStyle w:val="001000000000" w:firstRow="0" w:lastRow="0" w:firstColumn="1" w:lastColumn="0" w:oddVBand="0" w:evenVBand="0" w:oddHBand="0" w:evenHBand="0" w:firstRowFirstColumn="0" w:firstRowLastColumn="0" w:lastRowFirstColumn="0" w:lastRowLastColumn="0"/>
            <w:tcW w:w="6374" w:type="dxa"/>
          </w:tcPr>
          <w:p w14:paraId="1B6D819E" w14:textId="77777777" w:rsidR="005B2CD3" w:rsidRPr="00D01DDB" w:rsidRDefault="005B2CD3" w:rsidP="001E6D91">
            <w:pPr>
              <w:rPr>
                <w:szCs w:val="22"/>
              </w:rPr>
            </w:pPr>
            <w:r w:rsidRPr="00D01DDB">
              <w:rPr>
                <w:szCs w:val="22"/>
              </w:rPr>
              <w:t>Evaluation completed</w:t>
            </w:r>
          </w:p>
        </w:tc>
        <w:tc>
          <w:tcPr>
            <w:tcW w:w="2406" w:type="dxa"/>
          </w:tcPr>
          <w:p w14:paraId="53125BC5" w14:textId="5D9BA564" w:rsidR="005B2CD3" w:rsidRPr="00D01DDB" w:rsidRDefault="00524D9D" w:rsidP="001E6D91">
            <w:pPr>
              <w:cnfStyle w:val="000000000000" w:firstRow="0" w:lastRow="0" w:firstColumn="0" w:lastColumn="0" w:oddVBand="0" w:evenVBand="0" w:oddHBand="0" w:evenHBand="0" w:firstRowFirstColumn="0" w:firstRowLastColumn="0" w:lastRowFirstColumn="0" w:lastRowLastColumn="0"/>
              <w:rPr>
                <w:szCs w:val="22"/>
              </w:rPr>
            </w:pPr>
            <w:r w:rsidRPr="00524D9D">
              <w:rPr>
                <w:szCs w:val="22"/>
              </w:rPr>
              <w:t>21 December 2023</w:t>
            </w:r>
          </w:p>
        </w:tc>
      </w:tr>
      <w:tr w:rsidR="005B2CD3" w:rsidRPr="00D01DDB" w14:paraId="49CDB5CE" w14:textId="77777777" w:rsidTr="00EC4E0E">
        <w:tc>
          <w:tcPr>
            <w:cnfStyle w:val="001000000000" w:firstRow="0" w:lastRow="0" w:firstColumn="1" w:lastColumn="0" w:oddVBand="0" w:evenVBand="0" w:oddHBand="0" w:evenHBand="0" w:firstRowFirstColumn="0" w:firstRowLastColumn="0" w:lastRowFirstColumn="0" w:lastRowLastColumn="0"/>
            <w:tcW w:w="6374" w:type="dxa"/>
          </w:tcPr>
          <w:p w14:paraId="70B48C1F" w14:textId="77777777" w:rsidR="005B2CD3" w:rsidRPr="00D01DDB" w:rsidRDefault="005B2CD3" w:rsidP="001E6D91">
            <w:pPr>
              <w:rPr>
                <w:szCs w:val="22"/>
              </w:rPr>
            </w:pPr>
            <w:r w:rsidRPr="00D01DDB">
              <w:rPr>
                <w:szCs w:val="22"/>
              </w:rPr>
              <w:t xml:space="preserve">Delegate’s Overall benefit-risk assessment </w:t>
            </w:r>
            <w:r w:rsidRPr="0053712B">
              <w:rPr>
                <w:color w:val="auto"/>
                <w:szCs w:val="22"/>
              </w:rPr>
              <w:t>and request for Advisory Committee advice</w:t>
            </w:r>
          </w:p>
        </w:tc>
        <w:tc>
          <w:tcPr>
            <w:tcW w:w="2406" w:type="dxa"/>
          </w:tcPr>
          <w:p w14:paraId="597071E1" w14:textId="46D74321" w:rsidR="005B2CD3" w:rsidRPr="00D01DDB" w:rsidRDefault="00524D9D" w:rsidP="001E6D91">
            <w:pPr>
              <w:cnfStyle w:val="000000000000" w:firstRow="0" w:lastRow="0" w:firstColumn="0" w:lastColumn="0" w:oddVBand="0" w:evenVBand="0" w:oddHBand="0" w:evenHBand="0" w:firstRowFirstColumn="0" w:firstRowLastColumn="0" w:lastRowFirstColumn="0" w:lastRowLastColumn="0"/>
              <w:rPr>
                <w:szCs w:val="22"/>
              </w:rPr>
            </w:pPr>
            <w:r w:rsidRPr="00524D9D">
              <w:rPr>
                <w:szCs w:val="22"/>
              </w:rPr>
              <w:t>21 December 2023</w:t>
            </w:r>
          </w:p>
        </w:tc>
      </w:tr>
      <w:tr w:rsidR="005B2CD3" w:rsidRPr="00D01DDB" w14:paraId="0D7A136D" w14:textId="77777777" w:rsidTr="00EC4E0E">
        <w:tc>
          <w:tcPr>
            <w:cnfStyle w:val="001000000000" w:firstRow="0" w:lastRow="0" w:firstColumn="1" w:lastColumn="0" w:oddVBand="0" w:evenVBand="0" w:oddHBand="0" w:evenHBand="0" w:firstRowFirstColumn="0" w:firstRowLastColumn="0" w:lastRowFirstColumn="0" w:lastRowLastColumn="0"/>
            <w:tcW w:w="6374" w:type="dxa"/>
          </w:tcPr>
          <w:p w14:paraId="73C47D58" w14:textId="77777777" w:rsidR="005B2CD3" w:rsidRPr="00D01DDB" w:rsidRDefault="005B2CD3" w:rsidP="001E6D91">
            <w:pPr>
              <w:rPr>
                <w:szCs w:val="22"/>
              </w:rPr>
            </w:pPr>
            <w:r w:rsidRPr="00D01DDB">
              <w:rPr>
                <w:szCs w:val="22"/>
              </w:rPr>
              <w:t>Sponsor’s pre-Advisory Committee response</w:t>
            </w:r>
          </w:p>
        </w:tc>
        <w:tc>
          <w:tcPr>
            <w:tcW w:w="2406" w:type="dxa"/>
          </w:tcPr>
          <w:p w14:paraId="54098D2E" w14:textId="3074902F" w:rsidR="005B2CD3" w:rsidRPr="00D01DDB" w:rsidRDefault="00524D9D" w:rsidP="001E6D91">
            <w:pPr>
              <w:cnfStyle w:val="000000000000" w:firstRow="0" w:lastRow="0" w:firstColumn="0" w:lastColumn="0" w:oddVBand="0" w:evenVBand="0" w:oddHBand="0" w:evenHBand="0" w:firstRowFirstColumn="0" w:firstRowLastColumn="0" w:lastRowFirstColumn="0" w:lastRowLastColumn="0"/>
              <w:rPr>
                <w:szCs w:val="22"/>
              </w:rPr>
            </w:pPr>
            <w:r>
              <w:rPr>
                <w:szCs w:val="22"/>
              </w:rPr>
              <w:t>Not applicable</w:t>
            </w:r>
          </w:p>
        </w:tc>
      </w:tr>
      <w:tr w:rsidR="005B2CD3" w:rsidRPr="00D01DDB" w14:paraId="5310C4C8" w14:textId="77777777" w:rsidTr="00EC4E0E">
        <w:tc>
          <w:tcPr>
            <w:cnfStyle w:val="001000000000" w:firstRow="0" w:lastRow="0" w:firstColumn="1" w:lastColumn="0" w:oddVBand="0" w:evenVBand="0" w:oddHBand="0" w:evenHBand="0" w:firstRowFirstColumn="0" w:firstRowLastColumn="0" w:lastRowFirstColumn="0" w:lastRowLastColumn="0"/>
            <w:tcW w:w="6374" w:type="dxa"/>
          </w:tcPr>
          <w:p w14:paraId="1F47FDCA" w14:textId="77777777" w:rsidR="005B2CD3" w:rsidRPr="00D01DDB" w:rsidRDefault="005B2CD3" w:rsidP="001E6D91">
            <w:pPr>
              <w:rPr>
                <w:szCs w:val="22"/>
              </w:rPr>
            </w:pPr>
            <w:r w:rsidRPr="00D01DDB">
              <w:rPr>
                <w:szCs w:val="22"/>
              </w:rPr>
              <w:t>Advisory Committee meeting</w:t>
            </w:r>
          </w:p>
        </w:tc>
        <w:tc>
          <w:tcPr>
            <w:tcW w:w="2406" w:type="dxa"/>
          </w:tcPr>
          <w:p w14:paraId="27DFE2E9" w14:textId="02945B2E" w:rsidR="005B2CD3" w:rsidRPr="00D01DDB" w:rsidRDefault="00524D9D" w:rsidP="001E6D91">
            <w:pPr>
              <w:cnfStyle w:val="000000000000" w:firstRow="0" w:lastRow="0" w:firstColumn="0" w:lastColumn="0" w:oddVBand="0" w:evenVBand="0" w:oddHBand="0" w:evenHBand="0" w:firstRowFirstColumn="0" w:firstRowLastColumn="0" w:lastRowFirstColumn="0" w:lastRowLastColumn="0"/>
              <w:rPr>
                <w:szCs w:val="22"/>
              </w:rPr>
            </w:pPr>
            <w:r>
              <w:rPr>
                <w:szCs w:val="22"/>
              </w:rPr>
              <w:t>Not applicable</w:t>
            </w:r>
          </w:p>
        </w:tc>
      </w:tr>
      <w:tr w:rsidR="005B2CD3" w:rsidRPr="00D01DDB" w14:paraId="6846FE79" w14:textId="77777777" w:rsidTr="00EC4E0E">
        <w:tc>
          <w:tcPr>
            <w:cnfStyle w:val="001000000000" w:firstRow="0" w:lastRow="0" w:firstColumn="1" w:lastColumn="0" w:oddVBand="0" w:evenVBand="0" w:oddHBand="0" w:evenHBand="0" w:firstRowFirstColumn="0" w:firstRowLastColumn="0" w:lastRowFirstColumn="0" w:lastRowLastColumn="0"/>
            <w:tcW w:w="6374" w:type="dxa"/>
          </w:tcPr>
          <w:p w14:paraId="455A1914" w14:textId="77777777" w:rsidR="005B2CD3" w:rsidRPr="00D01DDB" w:rsidRDefault="005B2CD3" w:rsidP="001E6D91">
            <w:pPr>
              <w:rPr>
                <w:szCs w:val="22"/>
              </w:rPr>
            </w:pPr>
            <w:r w:rsidRPr="00D01DDB">
              <w:rPr>
                <w:szCs w:val="22"/>
              </w:rPr>
              <w:t>Registration decision (Outcome)</w:t>
            </w:r>
          </w:p>
        </w:tc>
        <w:tc>
          <w:tcPr>
            <w:tcW w:w="2406" w:type="dxa"/>
          </w:tcPr>
          <w:p w14:paraId="2C80E7BD" w14:textId="5A253520" w:rsidR="005B2CD3" w:rsidRPr="00535105" w:rsidRDefault="00F20A54" w:rsidP="001E6D91">
            <w:pPr>
              <w:cnfStyle w:val="000000000000" w:firstRow="0" w:lastRow="0" w:firstColumn="0" w:lastColumn="0" w:oddVBand="0" w:evenVBand="0" w:oddHBand="0" w:evenHBand="0" w:firstRowFirstColumn="0" w:firstRowLastColumn="0" w:lastRowFirstColumn="0" w:lastRowLastColumn="0"/>
              <w:rPr>
                <w:szCs w:val="22"/>
                <w:highlight w:val="yellow"/>
              </w:rPr>
            </w:pPr>
            <w:r w:rsidRPr="00F20A54">
              <w:rPr>
                <w:szCs w:val="22"/>
              </w:rPr>
              <w:t>21 December 2023</w:t>
            </w:r>
          </w:p>
        </w:tc>
      </w:tr>
      <w:tr w:rsidR="005B2CD3" w:rsidRPr="00D01DDB" w14:paraId="7ADC0D5F" w14:textId="77777777" w:rsidTr="00EC4E0E">
        <w:tc>
          <w:tcPr>
            <w:cnfStyle w:val="001000000000" w:firstRow="0" w:lastRow="0" w:firstColumn="1" w:lastColumn="0" w:oddVBand="0" w:evenVBand="0" w:oddHBand="0" w:evenHBand="0" w:firstRowFirstColumn="0" w:firstRowLastColumn="0" w:lastRowFirstColumn="0" w:lastRowLastColumn="0"/>
            <w:tcW w:w="6374" w:type="dxa"/>
          </w:tcPr>
          <w:p w14:paraId="069D465F" w14:textId="77777777" w:rsidR="005B2CD3" w:rsidRPr="00D01DDB" w:rsidRDefault="005B2CD3" w:rsidP="001E6D91">
            <w:pPr>
              <w:rPr>
                <w:szCs w:val="22"/>
              </w:rPr>
            </w:pPr>
            <w:r>
              <w:t>Administrative activities and registration on the ARTG completed</w:t>
            </w:r>
          </w:p>
        </w:tc>
        <w:tc>
          <w:tcPr>
            <w:tcW w:w="2406" w:type="dxa"/>
          </w:tcPr>
          <w:p w14:paraId="5AA158E4" w14:textId="21613CAF" w:rsidR="005B2CD3" w:rsidRPr="00535105" w:rsidRDefault="006B1207" w:rsidP="001E6D91">
            <w:pPr>
              <w:cnfStyle w:val="000000000000" w:firstRow="0" w:lastRow="0" w:firstColumn="0" w:lastColumn="0" w:oddVBand="0" w:evenVBand="0" w:oddHBand="0" w:evenHBand="0" w:firstRowFirstColumn="0" w:firstRowLastColumn="0" w:lastRowFirstColumn="0" w:lastRowLastColumn="0"/>
              <w:rPr>
                <w:szCs w:val="22"/>
                <w:highlight w:val="yellow"/>
              </w:rPr>
            </w:pPr>
            <w:r w:rsidRPr="00C51B28">
              <w:rPr>
                <w:szCs w:val="22"/>
              </w:rPr>
              <w:t xml:space="preserve">22 </w:t>
            </w:r>
            <w:r w:rsidRPr="006B1207">
              <w:rPr>
                <w:szCs w:val="22"/>
              </w:rPr>
              <w:t>December 2023</w:t>
            </w:r>
          </w:p>
        </w:tc>
      </w:tr>
      <w:tr w:rsidR="005B2CD3" w:rsidRPr="00D01DDB" w14:paraId="3E4C8007" w14:textId="77777777" w:rsidTr="00EC4E0E">
        <w:tc>
          <w:tcPr>
            <w:cnfStyle w:val="001000000000" w:firstRow="0" w:lastRow="0" w:firstColumn="1" w:lastColumn="0" w:oddVBand="0" w:evenVBand="0" w:oddHBand="0" w:evenHBand="0" w:firstRowFirstColumn="0" w:firstRowLastColumn="0" w:lastRowFirstColumn="0" w:lastRowLastColumn="0"/>
            <w:tcW w:w="6374" w:type="dxa"/>
          </w:tcPr>
          <w:p w14:paraId="66FA00F4" w14:textId="77777777" w:rsidR="005B2CD3" w:rsidRPr="008D22FA" w:rsidRDefault="005B2CD3" w:rsidP="001E6D91">
            <w:pPr>
              <w:rPr>
                <w:szCs w:val="22"/>
              </w:rPr>
            </w:pPr>
            <w:r w:rsidRPr="008D22FA">
              <w:rPr>
                <w:szCs w:val="22"/>
              </w:rPr>
              <w:t>Number of working days from submission dossier acceptance to registration decision*</w:t>
            </w:r>
          </w:p>
        </w:tc>
        <w:tc>
          <w:tcPr>
            <w:tcW w:w="2406" w:type="dxa"/>
          </w:tcPr>
          <w:p w14:paraId="20036BD5" w14:textId="2A4D19AC" w:rsidR="005B2CD3" w:rsidRPr="008D22FA" w:rsidRDefault="00F20A54" w:rsidP="001E6D91">
            <w:pPr>
              <w:cnfStyle w:val="000000000000" w:firstRow="0" w:lastRow="0" w:firstColumn="0" w:lastColumn="0" w:oddVBand="0" w:evenVBand="0" w:oddHBand="0" w:evenHBand="0" w:firstRowFirstColumn="0" w:firstRowLastColumn="0" w:lastRowFirstColumn="0" w:lastRowLastColumn="0"/>
              <w:rPr>
                <w:szCs w:val="22"/>
              </w:rPr>
            </w:pPr>
            <w:r>
              <w:rPr>
                <w:szCs w:val="22"/>
              </w:rPr>
              <w:t>86</w:t>
            </w:r>
          </w:p>
        </w:tc>
      </w:tr>
    </w:tbl>
    <w:p w14:paraId="17D8687C" w14:textId="77777777" w:rsidR="005B2CD3" w:rsidRDefault="005B2CD3" w:rsidP="005B2CD3">
      <w:pPr>
        <w:pStyle w:val="TableDescription"/>
      </w:pPr>
      <w:r>
        <w:t>*</w:t>
      </w:r>
      <w:r w:rsidRPr="00BF3774">
        <w:t xml:space="preserve">Statutory </w:t>
      </w:r>
      <w:r>
        <w:t>timeframe for standard submissions is 255 working days</w:t>
      </w:r>
    </w:p>
    <w:p w14:paraId="220925F1" w14:textId="77777777" w:rsidR="00C22214" w:rsidRPr="00792A32" w:rsidRDefault="00C22214" w:rsidP="00EC4E0E">
      <w:pPr>
        <w:pStyle w:val="Heading2"/>
        <w:pageBreakBefore/>
      </w:pPr>
      <w:bookmarkStart w:id="31" w:name="_Toc196046504"/>
      <w:bookmarkStart w:id="32" w:name="_Toc247691527"/>
      <w:bookmarkStart w:id="33" w:name="_Toc314842510"/>
      <w:bookmarkStart w:id="34" w:name="_Toc103679294"/>
      <w:bookmarkStart w:id="35" w:name="_Toc158382387"/>
      <w:r w:rsidRPr="00006FAB">
        <w:lastRenderedPageBreak/>
        <w:t xml:space="preserve">Submission overview </w:t>
      </w:r>
      <w:r w:rsidRPr="00792A32">
        <w:t xml:space="preserve">and </w:t>
      </w:r>
      <w:r>
        <w:t>r</w:t>
      </w:r>
      <w:r w:rsidRPr="00792A32">
        <w:t>isk/</w:t>
      </w:r>
      <w:r>
        <w:t>b</w:t>
      </w:r>
      <w:r w:rsidRPr="00792A32">
        <w:t xml:space="preserve">enefit </w:t>
      </w:r>
      <w:r>
        <w:t>a</w:t>
      </w:r>
      <w:r w:rsidRPr="00792A32">
        <w:t>ssessment</w:t>
      </w:r>
      <w:bookmarkEnd w:id="31"/>
      <w:bookmarkEnd w:id="32"/>
      <w:bookmarkEnd w:id="33"/>
      <w:bookmarkEnd w:id="34"/>
      <w:bookmarkEnd w:id="35"/>
    </w:p>
    <w:p w14:paraId="540151FC" w14:textId="77777777" w:rsidR="00C22214" w:rsidRPr="00BD5DBD" w:rsidRDefault="00C22214" w:rsidP="00BD5DBD">
      <w:pPr>
        <w:rPr>
          <w:szCs w:val="22"/>
        </w:rPr>
      </w:pPr>
      <w:bookmarkStart w:id="36" w:name="_Toc247691528"/>
      <w:bookmarkStart w:id="37" w:name="_Toc314842511"/>
      <w:r w:rsidRPr="00BD5DBD">
        <w:rPr>
          <w:szCs w:val="22"/>
        </w:rPr>
        <w:t>A summary of the TGA’s assessment for this submission is provided below.</w:t>
      </w:r>
    </w:p>
    <w:p w14:paraId="37F5A1C0" w14:textId="77777777" w:rsidR="00C22214" w:rsidRDefault="00C22214" w:rsidP="00C22214">
      <w:pPr>
        <w:pStyle w:val="Heading3"/>
      </w:pPr>
      <w:bookmarkStart w:id="38" w:name="_Toc103679295"/>
      <w:bookmarkStart w:id="39" w:name="_Toc158382388"/>
      <w:r>
        <w:t>Quality</w:t>
      </w:r>
      <w:bookmarkEnd w:id="36"/>
      <w:bookmarkEnd w:id="37"/>
      <w:bookmarkEnd w:id="38"/>
      <w:bookmarkEnd w:id="39"/>
    </w:p>
    <w:p w14:paraId="4C7B482E" w14:textId="45D642F9" w:rsidR="00381B16" w:rsidRPr="00675172" w:rsidRDefault="005E3FEC" w:rsidP="00C51B28">
      <w:pPr>
        <w:pStyle w:val="Heading4"/>
      </w:pPr>
      <w:bookmarkStart w:id="40" w:name="_Toc158382389"/>
      <w:r>
        <w:t>Stage</w:t>
      </w:r>
      <w:r w:rsidR="00381B16" w:rsidRPr="00675172">
        <w:t xml:space="preserve"> </w:t>
      </w:r>
      <w:r w:rsidR="009C1818">
        <w:t>I</w:t>
      </w:r>
      <w:r w:rsidR="00381B16" w:rsidRPr="00675172">
        <w:t xml:space="preserve"> decision </w:t>
      </w:r>
      <w:r w:rsidR="009C1818">
        <w:t>(</w:t>
      </w:r>
      <w:r w:rsidR="00D03BFF" w:rsidRPr="00675172">
        <w:t>AUST R 419330 and 419371</w:t>
      </w:r>
      <w:r w:rsidR="009C1818">
        <w:t>)</w:t>
      </w:r>
      <w:bookmarkEnd w:id="40"/>
    </w:p>
    <w:p w14:paraId="793CF2E5" w14:textId="32FD4832" w:rsidR="000C52A3" w:rsidRDefault="000C52A3" w:rsidP="00637F0E">
      <w:pPr>
        <w:rPr>
          <w:szCs w:val="22"/>
        </w:rPr>
      </w:pPr>
      <w:r w:rsidRPr="000C52A3">
        <w:rPr>
          <w:szCs w:val="22"/>
        </w:rPr>
        <w:t xml:space="preserve">Due to timeframe constraints, </w:t>
      </w:r>
      <w:r>
        <w:rPr>
          <w:szCs w:val="22"/>
        </w:rPr>
        <w:t xml:space="preserve">the Delegate noted the </w:t>
      </w:r>
      <w:r w:rsidRPr="000C52A3">
        <w:rPr>
          <w:szCs w:val="22"/>
        </w:rPr>
        <w:t>following two presentations (total 6</w:t>
      </w:r>
      <w:r w:rsidR="00444D43">
        <w:rPr>
          <w:szCs w:val="22"/>
        </w:rPr>
        <w:t> </w:t>
      </w:r>
      <w:r w:rsidRPr="000C52A3">
        <w:rPr>
          <w:szCs w:val="22"/>
        </w:rPr>
        <w:t>formulations are proposed</w:t>
      </w:r>
      <w:r>
        <w:rPr>
          <w:szCs w:val="22"/>
        </w:rPr>
        <w:t xml:space="preserve"> by the sponsor</w:t>
      </w:r>
      <w:r w:rsidR="00B33A6A">
        <w:rPr>
          <w:szCs w:val="22"/>
        </w:rPr>
        <w:t xml:space="preserve">, see </w:t>
      </w:r>
      <w:r w:rsidR="00B33A6A">
        <w:rPr>
          <w:szCs w:val="22"/>
        </w:rPr>
        <w:fldChar w:fldCharType="begin"/>
      </w:r>
      <w:r w:rsidR="00B33A6A">
        <w:rPr>
          <w:szCs w:val="22"/>
        </w:rPr>
        <w:instrText xml:space="preserve"> REF _Ref147480004 \h </w:instrText>
      </w:r>
      <w:r w:rsidR="00B33A6A">
        <w:rPr>
          <w:szCs w:val="22"/>
        </w:rPr>
      </w:r>
      <w:r w:rsidR="00B33A6A">
        <w:rPr>
          <w:szCs w:val="22"/>
        </w:rPr>
        <w:fldChar w:fldCharType="separate"/>
      </w:r>
      <w:r w:rsidR="003A20CD" w:rsidRPr="009F6C73">
        <w:t xml:space="preserve">Table </w:t>
      </w:r>
      <w:r w:rsidR="003A20CD">
        <w:rPr>
          <w:noProof/>
        </w:rPr>
        <w:t>1</w:t>
      </w:r>
      <w:r w:rsidR="00B33A6A">
        <w:rPr>
          <w:szCs w:val="22"/>
        </w:rPr>
        <w:fldChar w:fldCharType="end"/>
      </w:r>
      <w:r w:rsidRPr="000C52A3">
        <w:rPr>
          <w:szCs w:val="22"/>
        </w:rPr>
        <w:t>) are prioritised to ensure age groups: 12</w:t>
      </w:r>
      <w:r w:rsidR="00444D43">
        <w:rPr>
          <w:szCs w:val="22"/>
        </w:rPr>
        <w:t> </w:t>
      </w:r>
      <w:r w:rsidRPr="000C52A3">
        <w:rPr>
          <w:szCs w:val="22"/>
        </w:rPr>
        <w:t xml:space="preserve">years and older and 5 to </w:t>
      </w:r>
      <w:r>
        <w:rPr>
          <w:szCs w:val="22"/>
        </w:rPr>
        <w:t xml:space="preserve">younger than </w:t>
      </w:r>
      <w:r w:rsidRPr="000C52A3">
        <w:rPr>
          <w:szCs w:val="22"/>
        </w:rPr>
        <w:t>12 years will be covered.</w:t>
      </w:r>
    </w:p>
    <w:p w14:paraId="20C9CF19" w14:textId="5ED14C77" w:rsidR="000C52A3" w:rsidRDefault="000C52A3" w:rsidP="000C52A3">
      <w:pPr>
        <w:pStyle w:val="TableTitle"/>
      </w:pPr>
      <w:r w:rsidRPr="000C52A3">
        <w:t xml:space="preserve">Table </w:t>
      </w:r>
      <w:r>
        <w:fldChar w:fldCharType="begin"/>
      </w:r>
      <w:r>
        <w:instrText>SEQ Table \* ARABIC</w:instrText>
      </w:r>
      <w:r>
        <w:fldChar w:fldCharType="separate"/>
      </w:r>
      <w:r w:rsidR="003A20CD">
        <w:rPr>
          <w:noProof/>
        </w:rPr>
        <w:t>2</w:t>
      </w:r>
      <w:r>
        <w:fldChar w:fldCharType="end"/>
      </w:r>
      <w:r>
        <w:t xml:space="preserve">: Comirnaty formulation for </w:t>
      </w:r>
      <w:bookmarkStart w:id="41" w:name="_Hlk147512253"/>
      <w:r>
        <w:t xml:space="preserve">AUST R 419330 and 419371 </w:t>
      </w:r>
      <w:bookmarkEnd w:id="41"/>
      <w:r>
        <w:t>products</w:t>
      </w:r>
    </w:p>
    <w:tbl>
      <w:tblPr>
        <w:tblStyle w:val="TableTGAblue2023"/>
        <w:tblW w:w="5000" w:type="pct"/>
        <w:tblLook w:val="01E0" w:firstRow="1" w:lastRow="1" w:firstColumn="1" w:lastColumn="1" w:noHBand="0" w:noVBand="0"/>
      </w:tblPr>
      <w:tblGrid>
        <w:gridCol w:w="3030"/>
        <w:gridCol w:w="3015"/>
        <w:gridCol w:w="3015"/>
      </w:tblGrid>
      <w:tr w:rsidR="000C52A3" w:rsidRPr="00D3489E" w14:paraId="2B80C8D6" w14:textId="77777777" w:rsidTr="000C52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hideMark/>
          </w:tcPr>
          <w:p w14:paraId="6E02E9FA" w14:textId="77777777" w:rsidR="000C52A3" w:rsidRPr="00B77071" w:rsidRDefault="000C52A3" w:rsidP="000E35DC">
            <w:pPr>
              <w:pStyle w:val="TableParagraph"/>
              <w:spacing w:before="120" w:after="120" w:line="240" w:lineRule="atLeast"/>
              <w:jc w:val="left"/>
              <w:rPr>
                <w:rFonts w:ascii="Cambria" w:eastAsiaTheme="minorHAnsi" w:hAnsi="Cambria"/>
                <w:b w:val="0"/>
                <w:sz w:val="20"/>
                <w:szCs w:val="20"/>
              </w:rPr>
            </w:pPr>
            <w:r w:rsidRPr="00B77071">
              <w:rPr>
                <w:rFonts w:ascii="Cambria" w:hAnsi="Cambria"/>
                <w:sz w:val="20"/>
                <w:szCs w:val="20"/>
              </w:rPr>
              <w:t>Age group</w:t>
            </w:r>
          </w:p>
        </w:tc>
        <w:tc>
          <w:tcPr>
            <w:tcW w:w="1664" w:type="pct"/>
            <w:hideMark/>
          </w:tcPr>
          <w:p w14:paraId="00D71DD3" w14:textId="77777777" w:rsidR="000C52A3" w:rsidRPr="00B77071" w:rsidRDefault="000C52A3" w:rsidP="000E35DC">
            <w:pPr>
              <w:pStyle w:val="TableParagraph"/>
              <w:spacing w:before="120" w:after="120" w:line="240" w:lineRule="atLeast"/>
              <w:ind w:right="-2422"/>
              <w:jc w:val="left"/>
              <w:cnfStyle w:val="100000000000" w:firstRow="1" w:lastRow="0" w:firstColumn="0" w:lastColumn="0" w:oddVBand="0" w:evenVBand="0" w:oddHBand="0" w:evenHBand="0" w:firstRowFirstColumn="0" w:firstRowLastColumn="0" w:lastRowFirstColumn="0" w:lastRowLastColumn="0"/>
              <w:rPr>
                <w:rFonts w:ascii="Cambria" w:hAnsi="Cambria"/>
                <w:b w:val="0"/>
                <w:sz w:val="20"/>
                <w:szCs w:val="20"/>
              </w:rPr>
            </w:pPr>
            <w:r w:rsidRPr="00B77071">
              <w:rPr>
                <w:rFonts w:ascii="Cambria" w:hAnsi="Cambria"/>
                <w:sz w:val="20"/>
                <w:szCs w:val="20"/>
              </w:rPr>
              <w:t>12 years and older</w:t>
            </w:r>
          </w:p>
        </w:tc>
        <w:tc>
          <w:tcPr>
            <w:tcW w:w="1664" w:type="pct"/>
            <w:hideMark/>
          </w:tcPr>
          <w:p w14:paraId="579FE0D2" w14:textId="77777777" w:rsidR="000C52A3" w:rsidRPr="00B77071" w:rsidRDefault="000C52A3" w:rsidP="000E35DC">
            <w:pPr>
              <w:pStyle w:val="TableParagraph"/>
              <w:spacing w:before="120" w:after="120" w:line="240" w:lineRule="atLeast"/>
              <w:ind w:right="-2422"/>
              <w:jc w:val="left"/>
              <w:cnfStyle w:val="100000000000" w:firstRow="1" w:lastRow="0" w:firstColumn="0" w:lastColumn="0" w:oddVBand="0" w:evenVBand="0" w:oddHBand="0" w:evenHBand="0" w:firstRowFirstColumn="0" w:firstRowLastColumn="0" w:lastRowFirstColumn="0" w:lastRowLastColumn="0"/>
              <w:rPr>
                <w:rFonts w:ascii="Cambria" w:hAnsi="Cambria"/>
                <w:b w:val="0"/>
                <w:sz w:val="20"/>
                <w:szCs w:val="20"/>
              </w:rPr>
            </w:pPr>
            <w:r w:rsidRPr="00B77071">
              <w:rPr>
                <w:rFonts w:ascii="Cambria" w:hAnsi="Cambria"/>
                <w:sz w:val="20"/>
                <w:szCs w:val="20"/>
              </w:rPr>
              <w:t>5 to &lt;12 years</w:t>
            </w:r>
          </w:p>
        </w:tc>
      </w:tr>
      <w:tr w:rsidR="000C52A3" w:rsidRPr="00D3489E" w14:paraId="29ABDA78" w14:textId="77777777" w:rsidTr="000C52A3">
        <w:tc>
          <w:tcPr>
            <w:cnfStyle w:val="001000000000" w:firstRow="0" w:lastRow="0" w:firstColumn="1" w:lastColumn="0" w:oddVBand="0" w:evenVBand="0" w:oddHBand="0" w:evenHBand="0" w:firstRowFirstColumn="0" w:firstRowLastColumn="0" w:lastRowFirstColumn="0" w:lastRowLastColumn="0"/>
            <w:tcW w:w="1672" w:type="pct"/>
            <w:hideMark/>
          </w:tcPr>
          <w:p w14:paraId="06A571F1" w14:textId="77777777" w:rsidR="000C52A3" w:rsidRPr="00B77071" w:rsidRDefault="000C52A3" w:rsidP="000E35DC">
            <w:pPr>
              <w:pStyle w:val="TableParagraph"/>
              <w:spacing w:before="120" w:after="120" w:line="240" w:lineRule="atLeast"/>
              <w:jc w:val="left"/>
              <w:rPr>
                <w:rFonts w:ascii="Cambria" w:hAnsi="Cambria"/>
                <w:b/>
                <w:sz w:val="20"/>
                <w:szCs w:val="20"/>
              </w:rPr>
            </w:pPr>
            <w:r w:rsidRPr="00B77071">
              <w:rPr>
                <w:rFonts w:ascii="Cambria" w:hAnsi="Cambria"/>
                <w:b/>
                <w:sz w:val="20"/>
                <w:szCs w:val="20"/>
              </w:rPr>
              <w:t>AUST R</w:t>
            </w:r>
          </w:p>
        </w:tc>
        <w:tc>
          <w:tcPr>
            <w:tcW w:w="1664" w:type="pct"/>
            <w:hideMark/>
          </w:tcPr>
          <w:p w14:paraId="1410E6DF" w14:textId="77777777" w:rsidR="000C52A3" w:rsidRPr="00C51B28" w:rsidRDefault="000C52A3" w:rsidP="000E35DC">
            <w:pPr>
              <w:pStyle w:val="TableParagraph"/>
              <w:spacing w:before="120" w:after="120" w:line="240" w:lineRule="atLeast"/>
              <w:ind w:right="-2422"/>
              <w:jc w:val="left"/>
              <w:cnfStyle w:val="000000000000" w:firstRow="0" w:lastRow="0" w:firstColumn="0" w:lastColumn="0" w:oddVBand="0" w:evenVBand="0" w:oddHBand="0" w:evenHBand="0" w:firstRowFirstColumn="0" w:firstRowLastColumn="0" w:lastRowFirstColumn="0" w:lastRowLastColumn="0"/>
              <w:rPr>
                <w:rFonts w:ascii="Cambria" w:hAnsi="Cambria"/>
                <w:bCs/>
                <w:sz w:val="20"/>
                <w:szCs w:val="20"/>
              </w:rPr>
            </w:pPr>
            <w:r w:rsidRPr="00C51B28">
              <w:rPr>
                <w:rFonts w:ascii="Cambria" w:hAnsi="Cambria"/>
                <w:bCs/>
                <w:sz w:val="20"/>
                <w:szCs w:val="20"/>
              </w:rPr>
              <w:t>419330</w:t>
            </w:r>
          </w:p>
        </w:tc>
        <w:tc>
          <w:tcPr>
            <w:tcW w:w="1664" w:type="pct"/>
            <w:hideMark/>
          </w:tcPr>
          <w:p w14:paraId="6775B4F4" w14:textId="77777777" w:rsidR="000C52A3" w:rsidRPr="00C51B28" w:rsidRDefault="000C52A3" w:rsidP="000E35DC">
            <w:pPr>
              <w:pStyle w:val="TableParagraph"/>
              <w:spacing w:before="120" w:after="120" w:line="240" w:lineRule="atLeast"/>
              <w:ind w:right="-2422"/>
              <w:jc w:val="left"/>
              <w:cnfStyle w:val="000000000000" w:firstRow="0" w:lastRow="0" w:firstColumn="0" w:lastColumn="0" w:oddVBand="0" w:evenVBand="0" w:oddHBand="0" w:evenHBand="0" w:firstRowFirstColumn="0" w:firstRowLastColumn="0" w:lastRowFirstColumn="0" w:lastRowLastColumn="0"/>
              <w:rPr>
                <w:rFonts w:ascii="Cambria" w:hAnsi="Cambria"/>
                <w:bCs/>
                <w:sz w:val="20"/>
                <w:szCs w:val="20"/>
              </w:rPr>
            </w:pPr>
            <w:r w:rsidRPr="00C51B28">
              <w:rPr>
                <w:rFonts w:ascii="Cambria" w:hAnsi="Cambria"/>
                <w:bCs/>
                <w:sz w:val="20"/>
                <w:szCs w:val="20"/>
              </w:rPr>
              <w:t>419371</w:t>
            </w:r>
          </w:p>
        </w:tc>
      </w:tr>
      <w:tr w:rsidR="000C52A3" w:rsidRPr="00D3489E" w14:paraId="7F11F927" w14:textId="77777777" w:rsidTr="000C52A3">
        <w:tc>
          <w:tcPr>
            <w:cnfStyle w:val="001000000000" w:firstRow="0" w:lastRow="0" w:firstColumn="1" w:lastColumn="0" w:oddVBand="0" w:evenVBand="0" w:oddHBand="0" w:evenHBand="0" w:firstRowFirstColumn="0" w:firstRowLastColumn="0" w:lastRowFirstColumn="0" w:lastRowLastColumn="0"/>
            <w:tcW w:w="1672" w:type="pct"/>
            <w:hideMark/>
          </w:tcPr>
          <w:p w14:paraId="40E901AA" w14:textId="77777777" w:rsidR="000C52A3" w:rsidRPr="00B77071" w:rsidRDefault="000C52A3" w:rsidP="000E35DC">
            <w:pPr>
              <w:pStyle w:val="TableParagraph"/>
              <w:spacing w:before="120" w:after="120" w:line="240" w:lineRule="atLeast"/>
              <w:jc w:val="left"/>
              <w:rPr>
                <w:rFonts w:ascii="Cambria" w:hAnsi="Cambria"/>
                <w:b/>
                <w:sz w:val="20"/>
                <w:szCs w:val="20"/>
              </w:rPr>
            </w:pPr>
            <w:r w:rsidRPr="00B77071">
              <w:rPr>
                <w:rFonts w:ascii="Cambria" w:hAnsi="Cambria"/>
                <w:b/>
                <w:sz w:val="20"/>
                <w:szCs w:val="20"/>
              </w:rPr>
              <w:t xml:space="preserve">Cap and Label </w:t>
            </w:r>
            <w:proofErr w:type="spellStart"/>
            <w:r w:rsidRPr="00B77071">
              <w:rPr>
                <w:rFonts w:ascii="Cambria" w:hAnsi="Cambria"/>
                <w:b/>
                <w:sz w:val="20"/>
                <w:szCs w:val="20"/>
              </w:rPr>
              <w:t>colour</w:t>
            </w:r>
            <w:proofErr w:type="spellEnd"/>
            <w:r w:rsidRPr="00B77071">
              <w:rPr>
                <w:rFonts w:ascii="Cambria" w:hAnsi="Cambria"/>
                <w:b/>
                <w:sz w:val="20"/>
                <w:szCs w:val="20"/>
              </w:rPr>
              <w:t xml:space="preserve"> code</w:t>
            </w:r>
          </w:p>
        </w:tc>
        <w:tc>
          <w:tcPr>
            <w:tcW w:w="1664" w:type="pct"/>
            <w:hideMark/>
          </w:tcPr>
          <w:p w14:paraId="45F1A8F4" w14:textId="77777777" w:rsidR="000C52A3" w:rsidRPr="00B77071" w:rsidRDefault="000C52A3" w:rsidP="000E35DC">
            <w:pPr>
              <w:pStyle w:val="TableParagraph"/>
              <w:spacing w:before="120" w:after="120" w:line="240" w:lineRule="atLeast"/>
              <w:ind w:right="-2422"/>
              <w:jc w:val="left"/>
              <w:cnfStyle w:val="000000000000" w:firstRow="0" w:lastRow="0" w:firstColumn="0" w:lastColumn="0" w:oddVBand="0" w:evenVBand="0" w:oddHBand="0" w:evenHBand="0" w:firstRowFirstColumn="0" w:firstRowLastColumn="0" w:lastRowFirstColumn="0" w:lastRowLastColumn="0"/>
              <w:rPr>
                <w:rFonts w:ascii="Cambria" w:hAnsi="Cambria"/>
                <w:bCs/>
                <w:sz w:val="20"/>
                <w:szCs w:val="20"/>
              </w:rPr>
            </w:pPr>
            <w:r w:rsidRPr="00B77071">
              <w:rPr>
                <w:rFonts w:ascii="Cambria" w:hAnsi="Cambria"/>
                <w:bCs/>
                <w:sz w:val="20"/>
                <w:szCs w:val="20"/>
              </w:rPr>
              <w:t>Dark Grey</w:t>
            </w:r>
          </w:p>
        </w:tc>
        <w:tc>
          <w:tcPr>
            <w:tcW w:w="1664" w:type="pct"/>
            <w:hideMark/>
          </w:tcPr>
          <w:p w14:paraId="62EB7C71" w14:textId="77777777" w:rsidR="000C52A3" w:rsidRPr="00B77071" w:rsidRDefault="000C52A3" w:rsidP="000E35DC">
            <w:pPr>
              <w:pStyle w:val="TableParagraph"/>
              <w:spacing w:before="120" w:after="120" w:line="240" w:lineRule="atLeast"/>
              <w:ind w:right="-2422"/>
              <w:jc w:val="left"/>
              <w:cnfStyle w:val="000000000000" w:firstRow="0" w:lastRow="0" w:firstColumn="0" w:lastColumn="0" w:oddVBand="0" w:evenVBand="0" w:oddHBand="0" w:evenHBand="0" w:firstRowFirstColumn="0" w:firstRowLastColumn="0" w:lastRowFirstColumn="0" w:lastRowLastColumn="0"/>
              <w:rPr>
                <w:rFonts w:ascii="Cambria" w:hAnsi="Cambria"/>
                <w:bCs/>
                <w:sz w:val="20"/>
                <w:szCs w:val="20"/>
              </w:rPr>
            </w:pPr>
            <w:r w:rsidRPr="00B77071">
              <w:rPr>
                <w:rFonts w:ascii="Cambria" w:hAnsi="Cambria"/>
                <w:bCs/>
                <w:sz w:val="20"/>
                <w:szCs w:val="20"/>
              </w:rPr>
              <w:t>Light Blue</w:t>
            </w:r>
          </w:p>
        </w:tc>
      </w:tr>
      <w:tr w:rsidR="000C52A3" w:rsidRPr="00D3489E" w14:paraId="5DB1BB15" w14:textId="77777777" w:rsidTr="000C52A3">
        <w:tc>
          <w:tcPr>
            <w:cnfStyle w:val="001000000000" w:firstRow="0" w:lastRow="0" w:firstColumn="1" w:lastColumn="0" w:oddVBand="0" w:evenVBand="0" w:oddHBand="0" w:evenHBand="0" w:firstRowFirstColumn="0" w:firstRowLastColumn="0" w:lastRowFirstColumn="0" w:lastRowLastColumn="0"/>
            <w:tcW w:w="1672" w:type="pct"/>
            <w:hideMark/>
          </w:tcPr>
          <w:p w14:paraId="6F9041E7" w14:textId="77777777" w:rsidR="000C52A3" w:rsidRPr="00B77071" w:rsidRDefault="000C52A3" w:rsidP="000E35DC">
            <w:pPr>
              <w:pStyle w:val="TableParagraph"/>
              <w:spacing w:before="120" w:after="120" w:line="240" w:lineRule="atLeast"/>
              <w:jc w:val="left"/>
              <w:rPr>
                <w:rFonts w:ascii="Cambria" w:hAnsi="Cambria"/>
                <w:b/>
                <w:sz w:val="20"/>
                <w:szCs w:val="20"/>
              </w:rPr>
            </w:pPr>
            <w:r w:rsidRPr="00B77071">
              <w:rPr>
                <w:rFonts w:ascii="Cambria" w:hAnsi="Cambria"/>
                <w:b/>
                <w:sz w:val="20"/>
                <w:szCs w:val="20"/>
              </w:rPr>
              <w:t>Pharmaceutical form</w:t>
            </w:r>
          </w:p>
        </w:tc>
        <w:tc>
          <w:tcPr>
            <w:tcW w:w="1664" w:type="pct"/>
            <w:hideMark/>
          </w:tcPr>
          <w:p w14:paraId="0C3D3B20" w14:textId="77777777" w:rsidR="000C52A3" w:rsidRPr="00B77071" w:rsidRDefault="000C52A3" w:rsidP="000E35DC">
            <w:pPr>
              <w:pStyle w:val="TableParagraph"/>
              <w:spacing w:before="120" w:after="120" w:line="240" w:lineRule="atLeast"/>
              <w:ind w:right="-2422"/>
              <w:jc w:val="left"/>
              <w:cnfStyle w:val="000000000000" w:firstRow="0" w:lastRow="0" w:firstColumn="0" w:lastColumn="0" w:oddVBand="0" w:evenVBand="0" w:oddHBand="0" w:evenHBand="0" w:firstRowFirstColumn="0" w:firstRowLastColumn="0" w:lastRowFirstColumn="0" w:lastRowLastColumn="0"/>
              <w:rPr>
                <w:rFonts w:ascii="Cambria" w:hAnsi="Cambria"/>
                <w:bCs/>
                <w:sz w:val="20"/>
                <w:szCs w:val="20"/>
              </w:rPr>
            </w:pPr>
            <w:r w:rsidRPr="00B77071">
              <w:rPr>
                <w:rFonts w:ascii="Cambria" w:hAnsi="Cambria"/>
                <w:bCs/>
                <w:sz w:val="20"/>
                <w:szCs w:val="20"/>
              </w:rPr>
              <w:t>Suspension for injection</w:t>
            </w:r>
          </w:p>
        </w:tc>
        <w:tc>
          <w:tcPr>
            <w:tcW w:w="1664" w:type="pct"/>
            <w:hideMark/>
          </w:tcPr>
          <w:p w14:paraId="2411E603" w14:textId="77777777" w:rsidR="000C52A3" w:rsidRPr="00B77071" w:rsidRDefault="000C52A3" w:rsidP="000E35DC">
            <w:pPr>
              <w:pStyle w:val="TableParagraph"/>
              <w:spacing w:before="120" w:after="120" w:line="240" w:lineRule="atLeast"/>
              <w:ind w:right="-2422"/>
              <w:jc w:val="left"/>
              <w:cnfStyle w:val="000000000000" w:firstRow="0" w:lastRow="0" w:firstColumn="0" w:lastColumn="0" w:oddVBand="0" w:evenVBand="0" w:oddHBand="0" w:evenHBand="0" w:firstRowFirstColumn="0" w:firstRowLastColumn="0" w:lastRowFirstColumn="0" w:lastRowLastColumn="0"/>
              <w:rPr>
                <w:rFonts w:ascii="Cambria" w:hAnsi="Cambria"/>
                <w:bCs/>
                <w:sz w:val="20"/>
                <w:szCs w:val="20"/>
              </w:rPr>
            </w:pPr>
            <w:r w:rsidRPr="00B77071">
              <w:rPr>
                <w:rFonts w:ascii="Cambria" w:hAnsi="Cambria"/>
                <w:bCs/>
                <w:sz w:val="20"/>
                <w:szCs w:val="20"/>
              </w:rPr>
              <w:t>Suspension for injection</w:t>
            </w:r>
          </w:p>
        </w:tc>
      </w:tr>
      <w:tr w:rsidR="000C52A3" w:rsidRPr="00D3489E" w14:paraId="6445C7D7" w14:textId="77777777" w:rsidTr="000C52A3">
        <w:tc>
          <w:tcPr>
            <w:cnfStyle w:val="001000000000" w:firstRow="0" w:lastRow="0" w:firstColumn="1" w:lastColumn="0" w:oddVBand="0" w:evenVBand="0" w:oddHBand="0" w:evenHBand="0" w:firstRowFirstColumn="0" w:firstRowLastColumn="0" w:lastRowFirstColumn="0" w:lastRowLastColumn="0"/>
            <w:tcW w:w="1672" w:type="pct"/>
            <w:hideMark/>
          </w:tcPr>
          <w:p w14:paraId="0663051A" w14:textId="77777777" w:rsidR="000C52A3" w:rsidRPr="00B77071" w:rsidRDefault="000C52A3" w:rsidP="000E35DC">
            <w:pPr>
              <w:pStyle w:val="TableParagraph"/>
              <w:spacing w:before="120" w:after="120" w:line="240" w:lineRule="atLeast"/>
              <w:jc w:val="left"/>
              <w:rPr>
                <w:rFonts w:ascii="Cambria" w:hAnsi="Cambria"/>
                <w:b/>
                <w:sz w:val="20"/>
                <w:szCs w:val="20"/>
              </w:rPr>
            </w:pPr>
            <w:r w:rsidRPr="00B77071">
              <w:rPr>
                <w:rFonts w:ascii="Cambria" w:hAnsi="Cambria"/>
                <w:b/>
                <w:sz w:val="20"/>
                <w:szCs w:val="20"/>
              </w:rPr>
              <w:t>Strength per dose</w:t>
            </w:r>
          </w:p>
        </w:tc>
        <w:tc>
          <w:tcPr>
            <w:tcW w:w="1664" w:type="pct"/>
            <w:hideMark/>
          </w:tcPr>
          <w:p w14:paraId="3E294C13" w14:textId="6E9A0CCB" w:rsidR="000C52A3" w:rsidRPr="00B77071" w:rsidRDefault="000C52A3" w:rsidP="00EC4E0E">
            <w:pPr>
              <w:pStyle w:val="TableParagraph"/>
              <w:spacing w:before="120" w:after="120" w:line="240" w:lineRule="atLeast"/>
              <w:ind w:right="-2422"/>
              <w:jc w:val="left"/>
              <w:cnfStyle w:val="000000000000" w:firstRow="0" w:lastRow="0" w:firstColumn="0" w:lastColumn="0" w:oddVBand="0" w:evenVBand="0" w:oddHBand="0" w:evenHBand="0" w:firstRowFirstColumn="0" w:firstRowLastColumn="0" w:lastRowFirstColumn="0" w:lastRowLastColumn="0"/>
              <w:rPr>
                <w:rFonts w:ascii="Cambria" w:hAnsi="Cambria"/>
                <w:bCs/>
                <w:sz w:val="20"/>
                <w:szCs w:val="20"/>
              </w:rPr>
            </w:pPr>
            <w:r w:rsidRPr="00B77071">
              <w:rPr>
                <w:rFonts w:ascii="Cambria" w:hAnsi="Cambria"/>
                <w:bCs/>
                <w:sz w:val="20"/>
                <w:szCs w:val="20"/>
              </w:rPr>
              <w:t xml:space="preserve">30 </w:t>
            </w:r>
            <w:r w:rsidR="002C0DB3">
              <w:rPr>
                <w:rFonts w:ascii="Cambria" w:hAnsi="Cambria"/>
                <w:bCs/>
                <w:sz w:val="20"/>
                <w:szCs w:val="20"/>
              </w:rPr>
              <w:t>µg</w:t>
            </w:r>
            <w:r w:rsidR="00EC4E0E">
              <w:rPr>
                <w:rFonts w:ascii="Cambria" w:hAnsi="Cambria"/>
                <w:bCs/>
                <w:sz w:val="20"/>
                <w:szCs w:val="20"/>
              </w:rPr>
              <w:t xml:space="preserve"> </w:t>
            </w:r>
            <w:r w:rsidRPr="00B77071">
              <w:rPr>
                <w:rFonts w:ascii="Cambria" w:hAnsi="Cambria"/>
                <w:bCs/>
                <w:sz w:val="20"/>
                <w:szCs w:val="20"/>
              </w:rPr>
              <w:t>(0.3 mL dose)</w:t>
            </w:r>
          </w:p>
        </w:tc>
        <w:tc>
          <w:tcPr>
            <w:tcW w:w="1664" w:type="pct"/>
            <w:hideMark/>
          </w:tcPr>
          <w:p w14:paraId="41C9581A" w14:textId="6FE81B32" w:rsidR="000C52A3" w:rsidRPr="00B77071" w:rsidRDefault="000C52A3" w:rsidP="00EC4E0E">
            <w:pPr>
              <w:pStyle w:val="TableParagraph"/>
              <w:spacing w:before="120" w:after="120" w:line="240" w:lineRule="atLeast"/>
              <w:ind w:right="-2422"/>
              <w:jc w:val="left"/>
              <w:cnfStyle w:val="000000000000" w:firstRow="0" w:lastRow="0" w:firstColumn="0" w:lastColumn="0" w:oddVBand="0" w:evenVBand="0" w:oddHBand="0" w:evenHBand="0" w:firstRowFirstColumn="0" w:firstRowLastColumn="0" w:lastRowFirstColumn="0" w:lastRowLastColumn="0"/>
              <w:rPr>
                <w:rFonts w:ascii="Cambria" w:hAnsi="Cambria"/>
                <w:bCs/>
                <w:sz w:val="20"/>
                <w:szCs w:val="20"/>
              </w:rPr>
            </w:pPr>
            <w:r w:rsidRPr="00B77071">
              <w:rPr>
                <w:rFonts w:ascii="Cambria" w:hAnsi="Cambria"/>
                <w:bCs/>
                <w:sz w:val="20"/>
                <w:szCs w:val="20"/>
              </w:rPr>
              <w:t xml:space="preserve">10 </w:t>
            </w:r>
            <w:r w:rsidR="002C0DB3">
              <w:rPr>
                <w:rFonts w:ascii="Cambria" w:hAnsi="Cambria"/>
                <w:bCs/>
                <w:sz w:val="20"/>
                <w:szCs w:val="20"/>
              </w:rPr>
              <w:t>µg</w:t>
            </w:r>
            <w:r w:rsidR="00EC4E0E">
              <w:rPr>
                <w:rFonts w:ascii="Cambria" w:hAnsi="Cambria"/>
                <w:bCs/>
                <w:sz w:val="20"/>
                <w:szCs w:val="20"/>
              </w:rPr>
              <w:t xml:space="preserve"> </w:t>
            </w:r>
            <w:r w:rsidRPr="00B77071">
              <w:rPr>
                <w:rFonts w:ascii="Cambria" w:hAnsi="Cambria"/>
                <w:bCs/>
                <w:sz w:val="20"/>
                <w:szCs w:val="20"/>
              </w:rPr>
              <w:t>(0.3 mL dose)</w:t>
            </w:r>
          </w:p>
        </w:tc>
      </w:tr>
      <w:tr w:rsidR="000C52A3" w:rsidRPr="00D3489E" w14:paraId="28773CD8" w14:textId="77777777" w:rsidTr="000C52A3">
        <w:tc>
          <w:tcPr>
            <w:cnfStyle w:val="001000000000" w:firstRow="0" w:lastRow="0" w:firstColumn="1" w:lastColumn="0" w:oddVBand="0" w:evenVBand="0" w:oddHBand="0" w:evenHBand="0" w:firstRowFirstColumn="0" w:firstRowLastColumn="0" w:lastRowFirstColumn="0" w:lastRowLastColumn="0"/>
            <w:tcW w:w="1672" w:type="pct"/>
            <w:hideMark/>
          </w:tcPr>
          <w:p w14:paraId="6410809C" w14:textId="77777777" w:rsidR="000C52A3" w:rsidRPr="00B77071" w:rsidRDefault="000C52A3" w:rsidP="000E35DC">
            <w:pPr>
              <w:pStyle w:val="TableParagraph"/>
              <w:spacing w:before="120" w:after="120" w:line="240" w:lineRule="atLeast"/>
              <w:jc w:val="left"/>
              <w:rPr>
                <w:rFonts w:ascii="Cambria" w:hAnsi="Cambria"/>
                <w:b/>
                <w:sz w:val="20"/>
                <w:szCs w:val="20"/>
              </w:rPr>
            </w:pPr>
            <w:r w:rsidRPr="00B77071">
              <w:rPr>
                <w:rFonts w:ascii="Cambria" w:hAnsi="Cambria"/>
                <w:b/>
                <w:sz w:val="20"/>
                <w:szCs w:val="20"/>
              </w:rPr>
              <w:t>Fill volume</w:t>
            </w:r>
          </w:p>
        </w:tc>
        <w:tc>
          <w:tcPr>
            <w:tcW w:w="1664" w:type="pct"/>
            <w:hideMark/>
          </w:tcPr>
          <w:p w14:paraId="6822C406" w14:textId="77777777" w:rsidR="000C52A3" w:rsidRPr="00B77071" w:rsidRDefault="000C52A3" w:rsidP="000E35DC">
            <w:pPr>
              <w:pStyle w:val="TableParagraph"/>
              <w:spacing w:before="120" w:after="120" w:line="240" w:lineRule="atLeast"/>
              <w:ind w:right="-2422"/>
              <w:jc w:val="left"/>
              <w:cnfStyle w:val="000000000000" w:firstRow="0" w:lastRow="0" w:firstColumn="0" w:lastColumn="0" w:oddVBand="0" w:evenVBand="0" w:oddHBand="0" w:evenHBand="0" w:firstRowFirstColumn="0" w:firstRowLastColumn="0" w:lastRowFirstColumn="0" w:lastRowLastColumn="0"/>
              <w:rPr>
                <w:rFonts w:ascii="Cambria" w:hAnsi="Cambria"/>
                <w:bCs/>
                <w:sz w:val="20"/>
                <w:szCs w:val="20"/>
              </w:rPr>
            </w:pPr>
            <w:r w:rsidRPr="00B77071">
              <w:rPr>
                <w:rFonts w:ascii="Cambria" w:hAnsi="Cambria"/>
                <w:bCs/>
                <w:sz w:val="20"/>
                <w:szCs w:val="20"/>
              </w:rPr>
              <w:t>2.25 mL</w:t>
            </w:r>
          </w:p>
        </w:tc>
        <w:tc>
          <w:tcPr>
            <w:tcW w:w="1664" w:type="pct"/>
            <w:hideMark/>
          </w:tcPr>
          <w:p w14:paraId="18C714D7" w14:textId="77777777" w:rsidR="000C52A3" w:rsidRPr="00B77071" w:rsidRDefault="000C52A3" w:rsidP="000E35DC">
            <w:pPr>
              <w:pStyle w:val="TableParagraph"/>
              <w:spacing w:before="120" w:after="120" w:line="240" w:lineRule="atLeast"/>
              <w:ind w:right="-2422"/>
              <w:jc w:val="left"/>
              <w:cnfStyle w:val="000000000000" w:firstRow="0" w:lastRow="0" w:firstColumn="0" w:lastColumn="0" w:oddVBand="0" w:evenVBand="0" w:oddHBand="0" w:evenHBand="0" w:firstRowFirstColumn="0" w:firstRowLastColumn="0" w:lastRowFirstColumn="0" w:lastRowLastColumn="0"/>
              <w:rPr>
                <w:rFonts w:ascii="Cambria" w:hAnsi="Cambria"/>
                <w:bCs/>
                <w:sz w:val="20"/>
                <w:szCs w:val="20"/>
              </w:rPr>
            </w:pPr>
            <w:r w:rsidRPr="00B77071">
              <w:rPr>
                <w:rFonts w:ascii="Cambria" w:hAnsi="Cambria"/>
                <w:bCs/>
                <w:sz w:val="20"/>
                <w:szCs w:val="20"/>
              </w:rPr>
              <w:t>0.48 mL</w:t>
            </w:r>
          </w:p>
        </w:tc>
      </w:tr>
      <w:tr w:rsidR="000C52A3" w:rsidRPr="00D3489E" w14:paraId="681C0E1E" w14:textId="77777777" w:rsidTr="000C52A3">
        <w:tc>
          <w:tcPr>
            <w:cnfStyle w:val="001000000000" w:firstRow="0" w:lastRow="0" w:firstColumn="1" w:lastColumn="0" w:oddVBand="0" w:evenVBand="0" w:oddHBand="0" w:evenHBand="0" w:firstRowFirstColumn="0" w:firstRowLastColumn="0" w:lastRowFirstColumn="0" w:lastRowLastColumn="0"/>
            <w:tcW w:w="1672" w:type="pct"/>
            <w:hideMark/>
          </w:tcPr>
          <w:p w14:paraId="016601EA" w14:textId="77777777" w:rsidR="000C52A3" w:rsidRPr="00B77071" w:rsidRDefault="000C52A3" w:rsidP="000E35DC">
            <w:pPr>
              <w:pStyle w:val="TableParagraph"/>
              <w:spacing w:before="120" w:after="120" w:line="240" w:lineRule="atLeast"/>
              <w:jc w:val="left"/>
              <w:rPr>
                <w:rFonts w:ascii="Cambria" w:hAnsi="Cambria"/>
                <w:b/>
                <w:sz w:val="20"/>
                <w:szCs w:val="20"/>
              </w:rPr>
            </w:pPr>
            <w:r w:rsidRPr="00B77071">
              <w:rPr>
                <w:rFonts w:ascii="Cambria" w:hAnsi="Cambria"/>
                <w:b/>
                <w:sz w:val="20"/>
                <w:szCs w:val="20"/>
              </w:rPr>
              <w:t>No. of doses per vial</w:t>
            </w:r>
          </w:p>
        </w:tc>
        <w:tc>
          <w:tcPr>
            <w:tcW w:w="1664" w:type="pct"/>
            <w:hideMark/>
          </w:tcPr>
          <w:p w14:paraId="41642082" w14:textId="77777777" w:rsidR="000C52A3" w:rsidRPr="00B77071" w:rsidRDefault="000C52A3" w:rsidP="000E35DC">
            <w:pPr>
              <w:pStyle w:val="TableParagraph"/>
              <w:spacing w:before="120" w:after="120" w:line="240" w:lineRule="atLeast"/>
              <w:ind w:right="-2422"/>
              <w:jc w:val="left"/>
              <w:cnfStyle w:val="000000000000" w:firstRow="0" w:lastRow="0" w:firstColumn="0" w:lastColumn="0" w:oddVBand="0" w:evenVBand="0" w:oddHBand="0" w:evenHBand="0" w:firstRowFirstColumn="0" w:firstRowLastColumn="0" w:lastRowFirstColumn="0" w:lastRowLastColumn="0"/>
              <w:rPr>
                <w:rFonts w:ascii="Cambria" w:hAnsi="Cambria"/>
                <w:bCs/>
                <w:sz w:val="20"/>
                <w:szCs w:val="20"/>
              </w:rPr>
            </w:pPr>
            <w:r w:rsidRPr="00B77071">
              <w:rPr>
                <w:rFonts w:ascii="Cambria" w:hAnsi="Cambria"/>
                <w:bCs/>
                <w:sz w:val="20"/>
                <w:szCs w:val="20"/>
              </w:rPr>
              <w:t>6</w:t>
            </w:r>
          </w:p>
        </w:tc>
        <w:tc>
          <w:tcPr>
            <w:tcW w:w="1664" w:type="pct"/>
            <w:hideMark/>
          </w:tcPr>
          <w:p w14:paraId="39400567" w14:textId="77777777" w:rsidR="000C52A3" w:rsidRPr="00B77071" w:rsidRDefault="000C52A3" w:rsidP="000E35DC">
            <w:pPr>
              <w:pStyle w:val="TableParagraph"/>
              <w:spacing w:before="120" w:after="120" w:line="240" w:lineRule="atLeast"/>
              <w:ind w:right="-2422"/>
              <w:jc w:val="left"/>
              <w:cnfStyle w:val="000000000000" w:firstRow="0" w:lastRow="0" w:firstColumn="0" w:lastColumn="0" w:oddVBand="0" w:evenVBand="0" w:oddHBand="0" w:evenHBand="0" w:firstRowFirstColumn="0" w:firstRowLastColumn="0" w:lastRowFirstColumn="0" w:lastRowLastColumn="0"/>
              <w:rPr>
                <w:rFonts w:ascii="Cambria" w:hAnsi="Cambria"/>
                <w:bCs/>
                <w:sz w:val="20"/>
                <w:szCs w:val="20"/>
              </w:rPr>
            </w:pPr>
            <w:r w:rsidRPr="00B77071">
              <w:rPr>
                <w:rFonts w:ascii="Cambria" w:hAnsi="Cambria"/>
                <w:bCs/>
                <w:sz w:val="20"/>
                <w:szCs w:val="20"/>
              </w:rPr>
              <w:t>1</w:t>
            </w:r>
          </w:p>
        </w:tc>
      </w:tr>
      <w:tr w:rsidR="000C52A3" w:rsidRPr="00D3489E" w14:paraId="554E02F4" w14:textId="77777777" w:rsidTr="000C52A3">
        <w:tc>
          <w:tcPr>
            <w:cnfStyle w:val="001000000000" w:firstRow="0" w:lastRow="0" w:firstColumn="1" w:lastColumn="0" w:oddVBand="0" w:evenVBand="0" w:oddHBand="0" w:evenHBand="0" w:firstRowFirstColumn="0" w:firstRowLastColumn="0" w:lastRowFirstColumn="0" w:lastRowLastColumn="0"/>
            <w:tcW w:w="1672" w:type="pct"/>
            <w:hideMark/>
          </w:tcPr>
          <w:p w14:paraId="17567C9A" w14:textId="77777777" w:rsidR="000C52A3" w:rsidRPr="00B77071" w:rsidRDefault="000C52A3" w:rsidP="000E35DC">
            <w:pPr>
              <w:pStyle w:val="TableParagraph"/>
              <w:spacing w:before="120" w:after="120" w:line="240" w:lineRule="atLeast"/>
              <w:jc w:val="left"/>
              <w:rPr>
                <w:rFonts w:ascii="Cambria" w:hAnsi="Cambria"/>
                <w:b/>
                <w:sz w:val="20"/>
                <w:szCs w:val="20"/>
              </w:rPr>
            </w:pPr>
            <w:r w:rsidRPr="00B77071">
              <w:rPr>
                <w:rFonts w:ascii="Cambria" w:hAnsi="Cambria"/>
                <w:b/>
                <w:sz w:val="20"/>
                <w:szCs w:val="20"/>
              </w:rPr>
              <w:t>Dilution</w:t>
            </w:r>
          </w:p>
        </w:tc>
        <w:tc>
          <w:tcPr>
            <w:tcW w:w="1664" w:type="pct"/>
            <w:hideMark/>
          </w:tcPr>
          <w:p w14:paraId="6BF6E268" w14:textId="77777777" w:rsidR="000C52A3" w:rsidRPr="00B77071" w:rsidRDefault="000C52A3" w:rsidP="000E35DC">
            <w:pPr>
              <w:pStyle w:val="TableParagraph"/>
              <w:spacing w:before="120" w:after="120" w:line="240" w:lineRule="atLeast"/>
              <w:ind w:right="-2422"/>
              <w:jc w:val="left"/>
              <w:cnfStyle w:val="000000000000" w:firstRow="0" w:lastRow="0" w:firstColumn="0" w:lastColumn="0" w:oddVBand="0" w:evenVBand="0" w:oddHBand="0" w:evenHBand="0" w:firstRowFirstColumn="0" w:firstRowLastColumn="0" w:lastRowFirstColumn="0" w:lastRowLastColumn="0"/>
              <w:rPr>
                <w:rFonts w:ascii="Cambria" w:hAnsi="Cambria"/>
                <w:bCs/>
                <w:sz w:val="20"/>
                <w:szCs w:val="20"/>
              </w:rPr>
            </w:pPr>
            <w:r w:rsidRPr="00B77071">
              <w:rPr>
                <w:rFonts w:ascii="Cambria" w:hAnsi="Cambria"/>
                <w:bCs/>
                <w:sz w:val="20"/>
                <w:szCs w:val="20"/>
              </w:rPr>
              <w:t>Do not dilute</w:t>
            </w:r>
          </w:p>
        </w:tc>
        <w:tc>
          <w:tcPr>
            <w:tcW w:w="1664" w:type="pct"/>
            <w:hideMark/>
          </w:tcPr>
          <w:p w14:paraId="79588E0A" w14:textId="77777777" w:rsidR="000C52A3" w:rsidRPr="00B77071" w:rsidRDefault="000C52A3" w:rsidP="000E35DC">
            <w:pPr>
              <w:pStyle w:val="TableParagraph"/>
              <w:spacing w:before="120" w:after="120" w:line="240" w:lineRule="atLeast"/>
              <w:ind w:right="-2422"/>
              <w:jc w:val="left"/>
              <w:cnfStyle w:val="000000000000" w:firstRow="0" w:lastRow="0" w:firstColumn="0" w:lastColumn="0" w:oddVBand="0" w:evenVBand="0" w:oddHBand="0" w:evenHBand="0" w:firstRowFirstColumn="0" w:firstRowLastColumn="0" w:lastRowFirstColumn="0" w:lastRowLastColumn="0"/>
              <w:rPr>
                <w:rFonts w:ascii="Cambria" w:hAnsi="Cambria"/>
                <w:bCs/>
                <w:sz w:val="20"/>
                <w:szCs w:val="20"/>
              </w:rPr>
            </w:pPr>
            <w:r w:rsidRPr="00B77071">
              <w:rPr>
                <w:rFonts w:ascii="Cambria" w:hAnsi="Cambria"/>
                <w:bCs/>
                <w:sz w:val="20"/>
                <w:szCs w:val="20"/>
              </w:rPr>
              <w:t>Do not dilute</w:t>
            </w:r>
          </w:p>
        </w:tc>
      </w:tr>
    </w:tbl>
    <w:p w14:paraId="71DAB29B" w14:textId="1D89CDC6" w:rsidR="000C52A3" w:rsidRDefault="000C52A3" w:rsidP="000C52A3">
      <w:pPr>
        <w:spacing w:before="120"/>
      </w:pPr>
      <w:r>
        <w:t>The Delegate noted that</w:t>
      </w:r>
      <w:r w:rsidRPr="000C52A3">
        <w:t xml:space="preserve"> C</w:t>
      </w:r>
      <w:r>
        <w:t>omirnaty</w:t>
      </w:r>
      <w:r w:rsidRPr="000C52A3">
        <w:t xml:space="preserve"> Omicron XBB.1.5 (raxtozinameran) COVID-19 V</w:t>
      </w:r>
      <w:r>
        <w:t>accine</w:t>
      </w:r>
      <w:r w:rsidRPr="000C52A3">
        <w:t xml:space="preserve"> 30</w:t>
      </w:r>
      <w:r>
        <w:t> µg</w:t>
      </w:r>
      <w:r w:rsidRPr="000C52A3">
        <w:t xml:space="preserve">/0.3 mL suspension for injection multidose vial presentation is based on ARTG </w:t>
      </w:r>
      <w:r>
        <w:t>e</w:t>
      </w:r>
      <w:r w:rsidRPr="000C52A3">
        <w:t>ntry 377110 (identical formulation)</w:t>
      </w:r>
      <w:r w:rsidR="00B33A6A">
        <w:t>;</w:t>
      </w:r>
      <w:r w:rsidR="00B33A6A">
        <w:rPr>
          <w:rStyle w:val="FootnoteReference"/>
        </w:rPr>
        <w:footnoteReference w:id="6"/>
      </w:r>
      <w:r w:rsidRPr="000C52A3">
        <w:t xml:space="preserve"> while the C</w:t>
      </w:r>
      <w:r>
        <w:t xml:space="preserve">omirnaty </w:t>
      </w:r>
      <w:r w:rsidRPr="000C52A3">
        <w:t>Omicron XBB.1.5 (raxtozinameran) COVID-19 V</w:t>
      </w:r>
      <w:r>
        <w:t>accine</w:t>
      </w:r>
      <w:r w:rsidRPr="000C52A3">
        <w:t xml:space="preserve"> 10 </w:t>
      </w:r>
      <w:r>
        <w:t>µg</w:t>
      </w:r>
      <w:r w:rsidRPr="000C52A3">
        <w:t>/0.</w:t>
      </w:r>
      <w:r w:rsidR="00A1402A">
        <w:t>3</w:t>
      </w:r>
      <w:r w:rsidR="00A1402A" w:rsidRPr="000C52A3">
        <w:t xml:space="preserve"> </w:t>
      </w:r>
      <w:r w:rsidRPr="000C52A3">
        <w:t>mL suspension for injection represents a new single dose vial presentation, both presentations not requiring dilution prior to use.</w:t>
      </w:r>
    </w:p>
    <w:p w14:paraId="22F674ED" w14:textId="2CCCE1AD" w:rsidR="000C52A3" w:rsidRPr="00FB7619" w:rsidRDefault="000C52A3" w:rsidP="00C51B28">
      <w:pPr>
        <w:pStyle w:val="Heading5"/>
      </w:pPr>
      <w:r w:rsidRPr="00FB7619">
        <w:t>Comparability</w:t>
      </w:r>
    </w:p>
    <w:p w14:paraId="63F07BCA" w14:textId="0ACA4A8D" w:rsidR="000C52A3" w:rsidRDefault="000C52A3" w:rsidP="000C52A3">
      <w:pPr>
        <w:spacing w:before="120"/>
      </w:pPr>
      <w:r>
        <w:t xml:space="preserve">The quality </w:t>
      </w:r>
      <w:r w:rsidR="009767EA">
        <w:t xml:space="preserve">evaluation </w:t>
      </w:r>
      <w:r>
        <w:t xml:space="preserve">commented that since the manufacturing processes remains unchanged for both the drug substance (DS) and drug product (DP) such that processes are previously validated (linear DNA template, DS and DP), the sponsor has provided a single confirmatory batch of DS (HD1999) and four confirmatory lots of </w:t>
      </w:r>
      <w:proofErr w:type="gramStart"/>
      <w:r>
        <w:t>DP</w:t>
      </w:r>
      <w:proofErr w:type="gramEnd"/>
      <w:r>
        <w:t xml:space="preserve"> (HD9835; HE0781; HE0786; and HE2391) manufactured at one approved manufacturing facility on approved manufacturing line(s).</w:t>
      </w:r>
    </w:p>
    <w:p w14:paraId="1BC9F077" w14:textId="04B5D350" w:rsidR="000C52A3" w:rsidRDefault="002E2811" w:rsidP="000C52A3">
      <w:pPr>
        <w:spacing w:before="120"/>
      </w:pPr>
      <w:r>
        <w:t xml:space="preserve">The quality </w:t>
      </w:r>
      <w:r w:rsidR="009767EA">
        <w:t xml:space="preserve">evaluation </w:t>
      </w:r>
      <w:r w:rsidR="000C52A3">
        <w:t>noted that the four DP lots represent the different product presentations:</w:t>
      </w:r>
      <w:r>
        <w:t xml:space="preserve"> </w:t>
      </w:r>
      <w:r w:rsidR="000C52A3">
        <w:t xml:space="preserve">HD9835 - 0.48 mL </w:t>
      </w:r>
      <w:r>
        <w:t>f</w:t>
      </w:r>
      <w:r w:rsidR="000C52A3">
        <w:t xml:space="preserve">ill, 30 µg dose; HE0781 - 1.3 mL </w:t>
      </w:r>
      <w:r>
        <w:t>f</w:t>
      </w:r>
      <w:r w:rsidR="000C52A3">
        <w:t>ill, 10 µg dose (dilute to use); HE0786 - 0.4</w:t>
      </w:r>
      <w:r>
        <w:t> </w:t>
      </w:r>
      <w:r w:rsidR="000C52A3">
        <w:t xml:space="preserve">mL </w:t>
      </w:r>
      <w:r>
        <w:t>f</w:t>
      </w:r>
      <w:r w:rsidR="000C52A3">
        <w:t xml:space="preserve">ill, 3 µg dose (dilute to use); and HE2391 - 0.48 mL </w:t>
      </w:r>
      <w:r>
        <w:t>f</w:t>
      </w:r>
      <w:r w:rsidR="000C52A3">
        <w:t xml:space="preserve">ill, 10 µg dose (ready to use). Given </w:t>
      </w:r>
      <w:r w:rsidR="000C52A3">
        <w:lastRenderedPageBreak/>
        <w:t>that the manufacture of the remains unchanged, the DP lots are considered representative of the DP manufacturing process and are acceptable.</w:t>
      </w:r>
    </w:p>
    <w:p w14:paraId="2D1AD747" w14:textId="7F23D19A" w:rsidR="000C52A3" w:rsidRDefault="000C52A3" w:rsidP="00C51B28">
      <w:pPr>
        <w:pStyle w:val="Heading6"/>
      </w:pPr>
      <w:r>
        <w:t xml:space="preserve">Drug </w:t>
      </w:r>
      <w:r w:rsidR="002E2811">
        <w:t>s</w:t>
      </w:r>
      <w:r>
        <w:t>ubstance</w:t>
      </w:r>
    </w:p>
    <w:p w14:paraId="79C194A8" w14:textId="4E785F68" w:rsidR="000C52A3" w:rsidRDefault="002E2811" w:rsidP="000C52A3">
      <w:pPr>
        <w:spacing w:before="120"/>
      </w:pPr>
      <w:r>
        <w:t xml:space="preserve">The quality </w:t>
      </w:r>
      <w:r w:rsidR="009767EA">
        <w:t xml:space="preserve">evaluation </w:t>
      </w:r>
      <w:r>
        <w:t>commented that b</w:t>
      </w:r>
      <w:r w:rsidR="000C52A3">
        <w:t>atch analysis for the single Omicron XBB.1.5 DS batch HD1999 met the acceptance criteria in place at the time of release. Since the manufacturing process of the DS is unchanged from the previous Original and Omicron DS manufacturing, the single DS release data indicate that the DS manufacturing process remains capable of consistently manufacturing DS meeting the required quality attributes.</w:t>
      </w:r>
    </w:p>
    <w:p w14:paraId="1270F761" w14:textId="75287700" w:rsidR="000C52A3" w:rsidRDefault="000C52A3" w:rsidP="00C51B28">
      <w:pPr>
        <w:pStyle w:val="Heading6"/>
      </w:pPr>
      <w:r>
        <w:t xml:space="preserve">Drug </w:t>
      </w:r>
      <w:r w:rsidR="002E2811">
        <w:t>p</w:t>
      </w:r>
      <w:r>
        <w:t>roduct</w:t>
      </w:r>
    </w:p>
    <w:p w14:paraId="12CF11F1" w14:textId="7AF0ED39" w:rsidR="000C52A3" w:rsidRDefault="002E2811" w:rsidP="000C52A3">
      <w:pPr>
        <w:spacing w:before="120"/>
      </w:pPr>
      <w:r>
        <w:t xml:space="preserve">The quality </w:t>
      </w:r>
      <w:r w:rsidR="009767EA">
        <w:t xml:space="preserve">evaluation </w:t>
      </w:r>
      <w:r>
        <w:t>commented that b</w:t>
      </w:r>
      <w:r w:rsidR="000C52A3">
        <w:t>atch analysis for the four Omicron XBB.1.5 DP batches: HD9835; HE0781; HE0786; and HE2391 met the acceptance criteria in place at the time of release. Since the manufacturing process of the DP is highly similar to the previous Original monovalent and Omicron bivalent products, the release data indicate that the DP manufacturing process remains capable of consistently manufacturing DP meeting the required quality attributes.</w:t>
      </w:r>
    </w:p>
    <w:p w14:paraId="2CF00BE4" w14:textId="07C998C0" w:rsidR="000C52A3" w:rsidRDefault="000C52A3" w:rsidP="000C52A3">
      <w:pPr>
        <w:spacing w:before="120"/>
      </w:pPr>
      <w:r>
        <w:t>While it is usual practice to require three batch analytical data for DS and DP to confirm batch</w:t>
      </w:r>
      <w:r w:rsidR="00444D43">
        <w:noBreakHyphen/>
      </w:r>
      <w:r>
        <w:t>to-batch consistency, and to demonstrate there is no significant drift in quality attributes, the provided data is considered acceptable. Since the manufacturing processes remain unchanged and the control of the DS and DP remain unchanged with the exception of tests for identity, the control strategy is considered to be maintained as demonstrated through the available batch analysis data.</w:t>
      </w:r>
    </w:p>
    <w:p w14:paraId="1004EC4B" w14:textId="5BF5A6BC" w:rsidR="000C52A3" w:rsidRDefault="002E2811" w:rsidP="000C52A3">
      <w:pPr>
        <w:spacing w:before="120"/>
      </w:pPr>
      <w:r>
        <w:t xml:space="preserve">The quality </w:t>
      </w:r>
      <w:r w:rsidR="009767EA">
        <w:t xml:space="preserve">evaluation </w:t>
      </w:r>
      <w:r>
        <w:t>commented that p</w:t>
      </w:r>
      <w:r w:rsidR="000C52A3">
        <w:t>ost approval</w:t>
      </w:r>
      <w:r>
        <w:t>, t</w:t>
      </w:r>
      <w:r w:rsidR="000C52A3">
        <w:t>he sponsor should provide batch analysis data for additional DS and DP batches manufactured at the commercial scale once they become available to support batch-to-batch consistency.</w:t>
      </w:r>
    </w:p>
    <w:p w14:paraId="27E9B125" w14:textId="638E3E91" w:rsidR="000C52A3" w:rsidRDefault="000C52A3" w:rsidP="00C51B28">
      <w:pPr>
        <w:pStyle w:val="Heading5"/>
      </w:pPr>
      <w:r>
        <w:t>S</w:t>
      </w:r>
      <w:r w:rsidR="002E2811">
        <w:t>tability</w:t>
      </w:r>
    </w:p>
    <w:p w14:paraId="4B3D9F40" w14:textId="255AAF2C" w:rsidR="000C52A3" w:rsidRDefault="000C52A3" w:rsidP="00C51B28">
      <w:pPr>
        <w:pStyle w:val="Heading6"/>
      </w:pPr>
      <w:r>
        <w:t xml:space="preserve">Drug </w:t>
      </w:r>
      <w:r w:rsidR="002E2811">
        <w:t>s</w:t>
      </w:r>
      <w:r>
        <w:t>ubstance</w:t>
      </w:r>
    </w:p>
    <w:p w14:paraId="161326AE" w14:textId="7A0A61D8" w:rsidR="000C52A3" w:rsidRDefault="002E2811" w:rsidP="000C52A3">
      <w:pPr>
        <w:spacing w:before="120"/>
      </w:pPr>
      <w:r>
        <w:t xml:space="preserve">The quality </w:t>
      </w:r>
      <w:r w:rsidR="009767EA">
        <w:t xml:space="preserve">evaluation </w:t>
      </w:r>
      <w:r>
        <w:t>commented that n</w:t>
      </w:r>
      <w:r w:rsidR="000C52A3">
        <w:t xml:space="preserve">o new stability data was submitted for the Omicron XBB.1.5 DS at the time of evaluation. The </w:t>
      </w:r>
      <w:r>
        <w:t>s</w:t>
      </w:r>
      <w:r w:rsidR="000C52A3">
        <w:t>ponsor proposes a commercial shelf-life of the Omicron XBB.1.5 DS of:</w:t>
      </w:r>
    </w:p>
    <w:p w14:paraId="77BF9F2C" w14:textId="48D7C271" w:rsidR="000C52A3" w:rsidRDefault="002E2811" w:rsidP="002E2811">
      <w:pPr>
        <w:pStyle w:val="ListBullet"/>
      </w:pPr>
      <w:r>
        <w:t>Six</w:t>
      </w:r>
      <w:r w:rsidR="000C52A3">
        <w:t xml:space="preserve"> months when stored at the intended storage condition of -20±5°C in </w:t>
      </w:r>
      <w:r w:rsidR="00B33A6A" w:rsidRPr="00B33A6A">
        <w:t>ethylene vinyl acetate</w:t>
      </w:r>
      <w:r w:rsidR="000C52A3">
        <w:t xml:space="preserve"> bags</w:t>
      </w:r>
      <w:r>
        <w:t>.</w:t>
      </w:r>
    </w:p>
    <w:p w14:paraId="0D4A6382" w14:textId="19E4BB6B" w:rsidR="000C52A3" w:rsidRDefault="000C52A3" w:rsidP="000C52A3">
      <w:pPr>
        <w:spacing w:before="120"/>
      </w:pPr>
      <w:r>
        <w:t>The shelf-life is based on the currently available results of primary stability studies conducted on commercial Original and Omicron (BA.4</w:t>
      </w:r>
      <w:r w:rsidR="002E2811">
        <w:t>/</w:t>
      </w:r>
      <w:r>
        <w:t>5) DS batches corresponding with the approved shelf-life of the Original (tozinameran) DS and is acceptable since they are highly similar.</w:t>
      </w:r>
    </w:p>
    <w:p w14:paraId="79D823E7" w14:textId="6C6985DC" w:rsidR="000C52A3" w:rsidRDefault="000C52A3" w:rsidP="00C51B28">
      <w:pPr>
        <w:pStyle w:val="Heading7"/>
      </w:pPr>
      <w:r>
        <w:t>Post-approval commitment</w:t>
      </w:r>
    </w:p>
    <w:p w14:paraId="73E63F2A" w14:textId="01328045" w:rsidR="000C52A3" w:rsidRDefault="000C52A3" w:rsidP="000C52A3">
      <w:pPr>
        <w:spacing w:before="120"/>
      </w:pPr>
      <w:r>
        <w:t xml:space="preserve">The </w:t>
      </w:r>
      <w:r w:rsidR="002E2811">
        <w:t>s</w:t>
      </w:r>
      <w:r>
        <w:t xml:space="preserve">ponsor is requested to provide the results from ongoing stability studies performed on Omicron XBB.1.5 DS lots when stored at -20±5°C and 5±3°C for each time point in accordance with the stability testing protocols to confirm the shelf life of </w:t>
      </w:r>
      <w:r w:rsidR="002E2811">
        <w:t>six</w:t>
      </w:r>
      <w:r>
        <w:t xml:space="preserve"> months stored at -20±5°C</w:t>
      </w:r>
      <w:r w:rsidR="002E2811">
        <w:t>.</w:t>
      </w:r>
    </w:p>
    <w:p w14:paraId="63121DF9" w14:textId="52A7B080" w:rsidR="000C52A3" w:rsidRDefault="000C52A3" w:rsidP="00C51B28">
      <w:pPr>
        <w:pStyle w:val="Heading6"/>
      </w:pPr>
      <w:r>
        <w:t xml:space="preserve">Drug </w:t>
      </w:r>
      <w:r w:rsidR="008F5D26">
        <w:t>p</w:t>
      </w:r>
      <w:r>
        <w:t>roduct</w:t>
      </w:r>
    </w:p>
    <w:p w14:paraId="4914D311" w14:textId="7B589CB7" w:rsidR="000C52A3" w:rsidRDefault="002E2811" w:rsidP="000C52A3">
      <w:pPr>
        <w:spacing w:before="120"/>
      </w:pPr>
      <w:r>
        <w:t xml:space="preserve">The quality </w:t>
      </w:r>
      <w:r w:rsidR="009767EA">
        <w:t xml:space="preserve">evaluation </w:t>
      </w:r>
      <w:r>
        <w:t>commented that n</w:t>
      </w:r>
      <w:r w:rsidR="000C52A3">
        <w:t xml:space="preserve">o new stability data was submitted for the Omicron XBB.1.5 DP at the time of evaluation. The </w:t>
      </w:r>
      <w:r>
        <w:t>s</w:t>
      </w:r>
      <w:r w:rsidR="000C52A3">
        <w:t>ponsor proposes a commercial shelf-life of the Omicron XBB.1.5 DP of 18 months when stored at -90°C to -60°C.</w:t>
      </w:r>
    </w:p>
    <w:p w14:paraId="3EF20573" w14:textId="0D8925F8" w:rsidR="000C52A3" w:rsidRDefault="000C52A3" w:rsidP="000C52A3">
      <w:pPr>
        <w:spacing w:before="120"/>
      </w:pPr>
      <w:r>
        <w:lastRenderedPageBreak/>
        <w:t>However, the shelf-life for all Comirnaty products registered in Australia was recently extended to 24 months storage at -90°C to -60 °C. The shelf-life of 24 months is based on extensive stability data on the Original PBS/Sucrose and TRIS/Sucrose Comirnaty (Original) DP where up to 24 months stability data is available for PBS/Sucrose DP lots and primary stability data is available for TRIS/Sucrose DP lots when stored at -90°C to -60°C.</w:t>
      </w:r>
    </w:p>
    <w:p w14:paraId="65C7D12F" w14:textId="618251CA" w:rsidR="000C52A3" w:rsidRDefault="000C52A3" w:rsidP="000C52A3">
      <w:pPr>
        <w:spacing w:before="120"/>
      </w:pPr>
      <w:r>
        <w:t>Given the manufacturing processes for the DP remain unchanged and the specifications for the control of the DP are identical (except for identity methods), it is acceptable to leverage the shelf-life for the Omicron XBB.1.5 DP from the extensive stability data available on Original (PBS/sucrose and Tris/sucrose formulations).</w:t>
      </w:r>
    </w:p>
    <w:p w14:paraId="3DB0F20F" w14:textId="77777777" w:rsidR="000C52A3" w:rsidRDefault="000C52A3" w:rsidP="000C52A3">
      <w:pPr>
        <w:spacing w:before="120"/>
      </w:pPr>
      <w:r>
        <w:t>Based on the above, the recommended shelf life and storage conditions are:</w:t>
      </w:r>
    </w:p>
    <w:p w14:paraId="4842F833" w14:textId="62893A42" w:rsidR="000C52A3" w:rsidRDefault="000C52A3" w:rsidP="002E2811">
      <w:pPr>
        <w:pStyle w:val="ListBullet"/>
      </w:pPr>
      <w:r>
        <w:t>Shelf life: 24 months from the date of manufacture</w:t>
      </w:r>
    </w:p>
    <w:p w14:paraId="31608C29" w14:textId="1181256C" w:rsidR="000C52A3" w:rsidRDefault="000C52A3" w:rsidP="000C52A3">
      <w:pPr>
        <w:pStyle w:val="ListBullet"/>
      </w:pPr>
      <w:r>
        <w:t>Storage condition: -90°C to -60°C</w:t>
      </w:r>
    </w:p>
    <w:p w14:paraId="5FEDBE09" w14:textId="1EA6D53D" w:rsidR="000C52A3" w:rsidRDefault="000C52A3" w:rsidP="00C51B28">
      <w:pPr>
        <w:pStyle w:val="Heading5"/>
      </w:pPr>
      <w:r>
        <w:t>C</w:t>
      </w:r>
      <w:r w:rsidR="002E2811">
        <w:t>ontainer safety</w:t>
      </w:r>
    </w:p>
    <w:p w14:paraId="3EA04180" w14:textId="103F9D79" w:rsidR="000C52A3" w:rsidRDefault="000C52A3" w:rsidP="000C52A3">
      <w:pPr>
        <w:spacing w:before="120"/>
      </w:pPr>
      <w:r>
        <w:t xml:space="preserve">No updated information was submitted for the container closure system and the </w:t>
      </w:r>
      <w:r w:rsidR="002E2811">
        <w:t>c</w:t>
      </w:r>
      <w:r>
        <w:t xml:space="preserve">ontainer </w:t>
      </w:r>
      <w:r w:rsidR="002E2811">
        <w:t>s</w:t>
      </w:r>
      <w:r>
        <w:t xml:space="preserve">afety </w:t>
      </w:r>
      <w:r w:rsidR="009767EA">
        <w:t xml:space="preserve">evaluation </w:t>
      </w:r>
      <w:r>
        <w:t xml:space="preserve">indicated that this was </w:t>
      </w:r>
      <w:r w:rsidR="00784034">
        <w:t>acceptable,</w:t>
      </w:r>
      <w:r>
        <w:t xml:space="preserve"> and no further evaluation was required</w:t>
      </w:r>
      <w:r w:rsidR="002E2811">
        <w:t>.</w:t>
      </w:r>
    </w:p>
    <w:p w14:paraId="24FDAA5C" w14:textId="0BD24706" w:rsidR="000C52A3" w:rsidRDefault="000C52A3" w:rsidP="00C51B28">
      <w:pPr>
        <w:pStyle w:val="Heading5"/>
      </w:pPr>
      <w:r>
        <w:t>E</w:t>
      </w:r>
      <w:r w:rsidR="002E2811">
        <w:t>ndotoxin</w:t>
      </w:r>
    </w:p>
    <w:p w14:paraId="327D639D" w14:textId="73E21687" w:rsidR="000C52A3" w:rsidRDefault="000C52A3" w:rsidP="000C52A3">
      <w:pPr>
        <w:spacing w:before="120"/>
      </w:pPr>
      <w:r>
        <w:t xml:space="preserve">An endotoxin secondary evaluation was not required since it is the same formulation as those already submitted and the change relates to </w:t>
      </w:r>
      <w:r w:rsidR="00B33A6A" w:rsidRPr="0066660A">
        <w:t>ribonucleic acid</w:t>
      </w:r>
      <w:r w:rsidR="00B33A6A">
        <w:t xml:space="preserve"> (RNA)</w:t>
      </w:r>
      <w:r>
        <w:t xml:space="preserve"> sequence(s) used only</w:t>
      </w:r>
      <w:r w:rsidR="002E2811">
        <w:t>.</w:t>
      </w:r>
    </w:p>
    <w:p w14:paraId="0F634FDC" w14:textId="22CB4022" w:rsidR="000C52A3" w:rsidRDefault="000C52A3" w:rsidP="00C51B28">
      <w:pPr>
        <w:pStyle w:val="Heading5"/>
      </w:pPr>
      <w:r>
        <w:t>I</w:t>
      </w:r>
      <w:r w:rsidR="002E2811">
        <w:t>nfectious disease/viral safety</w:t>
      </w:r>
    </w:p>
    <w:p w14:paraId="6FFB6BE2" w14:textId="23CC73EA" w:rsidR="000C52A3" w:rsidRDefault="000C52A3" w:rsidP="000C52A3">
      <w:pPr>
        <w:spacing w:before="120"/>
      </w:pPr>
      <w:r>
        <w:t>A secondary evaluation was conducted to evaluate the infectious disease safety of the DS and DP and concluded that sufficient evidence has been provided to demonstrate that the risks related to the presence of adventitious agents in the manufacturing of C</w:t>
      </w:r>
      <w:r w:rsidR="002E2811">
        <w:t>omirnaty</w:t>
      </w:r>
      <w:r>
        <w:t xml:space="preserve"> Omicron XBB.1.5 (raxtozinameran) COVID-19 V</w:t>
      </w:r>
      <w:r w:rsidR="002E2811">
        <w:t>accine</w:t>
      </w:r>
      <w:r>
        <w:t xml:space="preserve"> have been controlled to an acceptable level.</w:t>
      </w:r>
    </w:p>
    <w:p w14:paraId="1B66A973" w14:textId="29440A91" w:rsidR="000C52A3" w:rsidRDefault="000C52A3" w:rsidP="00C51B28">
      <w:pPr>
        <w:pStyle w:val="Heading5"/>
      </w:pPr>
      <w:r>
        <w:t>M</w:t>
      </w:r>
      <w:r w:rsidR="002E2811">
        <w:t>icrobiology</w:t>
      </w:r>
      <w:r>
        <w:t xml:space="preserve"> (</w:t>
      </w:r>
      <w:r w:rsidR="00B33A6A">
        <w:t>s</w:t>
      </w:r>
      <w:r w:rsidR="002E2811">
        <w:t>terility</w:t>
      </w:r>
      <w:r>
        <w:t>)</w:t>
      </w:r>
    </w:p>
    <w:p w14:paraId="4F95E7D5" w14:textId="076A3078" w:rsidR="000C52A3" w:rsidRDefault="000C52A3" w:rsidP="000C52A3">
      <w:pPr>
        <w:spacing w:before="120"/>
      </w:pPr>
      <w:r>
        <w:t>A secondary evaluation was conducted to evaluate the sterility aspects and concluded there are no objections from a microbiological perspective for the proposed product presentations.</w:t>
      </w:r>
    </w:p>
    <w:p w14:paraId="44EBAC2C" w14:textId="342C1B61" w:rsidR="000C52A3" w:rsidRDefault="00756E83" w:rsidP="00C51B28">
      <w:pPr>
        <w:pStyle w:val="Heading5"/>
      </w:pPr>
      <w:r>
        <w:t>Conclusions and r</w:t>
      </w:r>
      <w:r w:rsidR="002E2811">
        <w:t>ecommendation</w:t>
      </w:r>
      <w:r>
        <w:t>s</w:t>
      </w:r>
    </w:p>
    <w:p w14:paraId="0484D918" w14:textId="4DC6766A" w:rsidR="000C52A3" w:rsidRDefault="000C52A3" w:rsidP="000C52A3">
      <w:pPr>
        <w:spacing w:before="120"/>
      </w:pPr>
      <w:r>
        <w:t>There are no significant issues identified from the quality evaluation of the submitted data that would indicate the product should not be fully registered on the basis of quality, or safety-related issues arising from the quality of the product. The manufacturing quality information submitted by the sponsor support the full registration of:</w:t>
      </w:r>
    </w:p>
    <w:p w14:paraId="778910DB" w14:textId="6A52FED1" w:rsidR="000C52A3" w:rsidRDefault="000C52A3" w:rsidP="000C52A3">
      <w:pPr>
        <w:pStyle w:val="ListBullet"/>
      </w:pPr>
      <w:r>
        <w:t>Comirnaty Omicron XBB.1.5 (raxtozinameran) COVID-19 Vaccine 30 µg/0.3 mL suspension for injection multidose vial (AUST R 419330)</w:t>
      </w:r>
    </w:p>
    <w:p w14:paraId="6058A907" w14:textId="396A892D" w:rsidR="000C52A3" w:rsidRDefault="000C52A3" w:rsidP="000C52A3">
      <w:pPr>
        <w:pStyle w:val="ListBullet"/>
      </w:pPr>
      <w:r>
        <w:t>Comirnaty Omicron XBB.1.5 (raxtozinameran) COVID-19 Vaccine 10 µg/0.3 mL suspension for injection single</w:t>
      </w:r>
      <w:r w:rsidR="00A1402A">
        <w:t xml:space="preserve"> </w:t>
      </w:r>
      <w:r>
        <w:t>dose vial (AUSTR R 419371)</w:t>
      </w:r>
    </w:p>
    <w:p w14:paraId="499C1674" w14:textId="677BFAF5" w:rsidR="000C52A3" w:rsidRDefault="000C52A3" w:rsidP="000C52A3">
      <w:pPr>
        <w:spacing w:before="120"/>
      </w:pPr>
      <w:r>
        <w:t xml:space="preserve">The quality </w:t>
      </w:r>
      <w:r w:rsidR="009767EA">
        <w:t xml:space="preserve">evaluation </w:t>
      </w:r>
      <w:r>
        <w:t xml:space="preserve">has advised that the Delegate should review the Proposed Conditions of Registration to ensure the product is fully compliant with all the previously mentioned </w:t>
      </w:r>
      <w:r w:rsidR="00784034">
        <w:t>instruments before</w:t>
      </w:r>
      <w:r>
        <w:t xml:space="preserve"> release into the market.</w:t>
      </w:r>
    </w:p>
    <w:p w14:paraId="00BABFD5" w14:textId="2A29887C" w:rsidR="00B77071" w:rsidRDefault="00B77071" w:rsidP="00C51B28">
      <w:pPr>
        <w:pStyle w:val="Heading5"/>
      </w:pPr>
      <w:r>
        <w:lastRenderedPageBreak/>
        <w:t>Post approval commitment</w:t>
      </w:r>
    </w:p>
    <w:p w14:paraId="1665B71F" w14:textId="3B09F8BA" w:rsidR="00B77071" w:rsidRDefault="00B77071" w:rsidP="00B77071">
      <w:r w:rsidRPr="00B77071">
        <w:t xml:space="preserve">The </w:t>
      </w:r>
      <w:r>
        <w:t>s</w:t>
      </w:r>
      <w:r w:rsidRPr="00B77071">
        <w:t>ponsor should complete the following post-approval commitments within the stated timeframe</w:t>
      </w:r>
      <w:r>
        <w:t xml:space="preserve"> (see </w:t>
      </w:r>
      <w:r>
        <w:fldChar w:fldCharType="begin"/>
      </w:r>
      <w:r>
        <w:instrText xml:space="preserve"> REF _Ref147400227 \h </w:instrText>
      </w:r>
      <w:r>
        <w:fldChar w:fldCharType="separate"/>
      </w:r>
      <w:r w:rsidR="003A20CD" w:rsidRPr="00B77071">
        <w:t xml:space="preserve">Table </w:t>
      </w:r>
      <w:r w:rsidR="003A20CD">
        <w:rPr>
          <w:noProof/>
        </w:rPr>
        <w:t>3</w:t>
      </w:r>
      <w:r>
        <w:fldChar w:fldCharType="end"/>
      </w:r>
      <w:r w:rsidR="00B404DF">
        <w:t xml:space="preserve"> below</w:t>
      </w:r>
      <w:r>
        <w:t>).</w:t>
      </w:r>
    </w:p>
    <w:p w14:paraId="371E6199" w14:textId="10A64168" w:rsidR="00B77071" w:rsidRDefault="00B77071" w:rsidP="00B77071">
      <w:pPr>
        <w:pStyle w:val="TableTitle"/>
      </w:pPr>
      <w:bookmarkStart w:id="42" w:name="_Ref147400227"/>
      <w:r w:rsidRPr="00B77071">
        <w:t xml:space="preserve">Table </w:t>
      </w:r>
      <w:r>
        <w:fldChar w:fldCharType="begin"/>
      </w:r>
      <w:r>
        <w:instrText>SEQ Table \* ARABIC</w:instrText>
      </w:r>
      <w:r>
        <w:fldChar w:fldCharType="separate"/>
      </w:r>
      <w:r w:rsidR="003A20CD">
        <w:rPr>
          <w:noProof/>
        </w:rPr>
        <w:t>3</w:t>
      </w:r>
      <w:r>
        <w:fldChar w:fldCharType="end"/>
      </w:r>
      <w:bookmarkEnd w:id="42"/>
      <w:r w:rsidRPr="00B77071">
        <w:t>:</w:t>
      </w:r>
      <w:r>
        <w:t xml:space="preserve"> Post approval quality commitments</w:t>
      </w:r>
    </w:p>
    <w:tbl>
      <w:tblPr>
        <w:tblStyle w:val="TableTGAblue2023"/>
        <w:tblW w:w="5000" w:type="pct"/>
        <w:tblLook w:val="04A0" w:firstRow="1" w:lastRow="0" w:firstColumn="1" w:lastColumn="0" w:noHBand="0" w:noVBand="1"/>
      </w:tblPr>
      <w:tblGrid>
        <w:gridCol w:w="7353"/>
        <w:gridCol w:w="1707"/>
      </w:tblGrid>
      <w:tr w:rsidR="00B77071" w:rsidRPr="00B77071" w14:paraId="6939C04E" w14:textId="77777777" w:rsidTr="00B770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8" w:type="pct"/>
          </w:tcPr>
          <w:p w14:paraId="453F780E" w14:textId="77777777" w:rsidR="00B77071" w:rsidRPr="00B77071" w:rsidRDefault="00B77071" w:rsidP="00EC4E0E">
            <w:r w:rsidRPr="00B77071">
              <w:t>Description</w:t>
            </w:r>
          </w:p>
        </w:tc>
        <w:tc>
          <w:tcPr>
            <w:tcW w:w="942" w:type="pct"/>
          </w:tcPr>
          <w:p w14:paraId="2EED85FB" w14:textId="77777777" w:rsidR="00B77071" w:rsidRPr="00B77071" w:rsidRDefault="00B77071" w:rsidP="00EC4E0E">
            <w:pPr>
              <w:cnfStyle w:val="100000000000" w:firstRow="1" w:lastRow="0" w:firstColumn="0" w:lastColumn="0" w:oddVBand="0" w:evenVBand="0" w:oddHBand="0" w:evenHBand="0" w:firstRowFirstColumn="0" w:firstRowLastColumn="0" w:lastRowFirstColumn="0" w:lastRowLastColumn="0"/>
            </w:pPr>
            <w:r w:rsidRPr="00B77071">
              <w:t>Due date</w:t>
            </w:r>
          </w:p>
        </w:tc>
      </w:tr>
      <w:tr w:rsidR="00B77071" w:rsidRPr="00B77071" w14:paraId="31045E97" w14:textId="77777777" w:rsidTr="00B77071">
        <w:tc>
          <w:tcPr>
            <w:cnfStyle w:val="001000000000" w:firstRow="0" w:lastRow="0" w:firstColumn="1" w:lastColumn="0" w:oddVBand="0" w:evenVBand="0" w:oddHBand="0" w:evenHBand="0" w:firstRowFirstColumn="0" w:firstRowLastColumn="0" w:lastRowFirstColumn="0" w:lastRowLastColumn="0"/>
            <w:tcW w:w="4058" w:type="pct"/>
          </w:tcPr>
          <w:p w14:paraId="67934D2C" w14:textId="556F1A0C" w:rsidR="00B77071" w:rsidRPr="00B77071" w:rsidRDefault="00B77071" w:rsidP="00EC4E0E">
            <w:pPr>
              <w:rPr>
                <w:rFonts w:eastAsia="Times New Roman"/>
              </w:rPr>
            </w:pPr>
            <w:r w:rsidRPr="00B77071">
              <w:rPr>
                <w:rFonts w:eastAsia="Times New Roman"/>
              </w:rPr>
              <w:t>GMP</w:t>
            </w:r>
            <w:r w:rsidR="00D00C21">
              <w:rPr>
                <w:rStyle w:val="FootnoteReference"/>
                <w:rFonts w:eastAsia="Times New Roman"/>
                <w:sz w:val="20"/>
                <w:szCs w:val="20"/>
              </w:rPr>
              <w:footnoteReference w:id="7"/>
            </w:r>
            <w:r w:rsidRPr="00B77071">
              <w:rPr>
                <w:rFonts w:eastAsia="Times New Roman"/>
              </w:rPr>
              <w:t xml:space="preserve"> clearance of manufacturing sites:</w:t>
            </w:r>
          </w:p>
          <w:p w14:paraId="19046CD9" w14:textId="10F21654" w:rsidR="00B77071" w:rsidRPr="00B77071" w:rsidRDefault="00B77071" w:rsidP="00EC4E0E">
            <w:pPr>
              <w:rPr>
                <w:rFonts w:eastAsia="Times New Roman"/>
                <w:bCs/>
              </w:rPr>
            </w:pPr>
            <w:r w:rsidRPr="00B77071">
              <w:rPr>
                <w:rFonts w:eastAsia="Times New Roman"/>
                <w:bCs/>
              </w:rPr>
              <w:t xml:space="preserve">All relevant manufacturing sites require approved and current GMP </w:t>
            </w:r>
            <w:r w:rsidR="000B38A5" w:rsidRPr="00B77071">
              <w:rPr>
                <w:rFonts w:eastAsia="Times New Roman"/>
                <w:bCs/>
              </w:rPr>
              <w:t>clearances</w:t>
            </w:r>
            <w:r w:rsidRPr="00B77071">
              <w:rPr>
                <w:rFonts w:eastAsia="Times New Roman"/>
                <w:bCs/>
              </w:rPr>
              <w:t xml:space="preserve"> prior to Australian supply. A commitment is required from the </w:t>
            </w:r>
            <w:r w:rsidR="006F6508">
              <w:rPr>
                <w:rFonts w:eastAsia="Times New Roman"/>
                <w:bCs/>
              </w:rPr>
              <w:t>s</w:t>
            </w:r>
            <w:r w:rsidRPr="00B77071">
              <w:rPr>
                <w:rFonts w:eastAsia="Times New Roman"/>
                <w:bCs/>
              </w:rPr>
              <w:t xml:space="preserve">ponsor that they maintain the validity of all manufacturer GMP </w:t>
            </w:r>
            <w:r w:rsidR="000B38A5" w:rsidRPr="00B77071">
              <w:rPr>
                <w:rFonts w:eastAsia="Times New Roman"/>
                <w:bCs/>
              </w:rPr>
              <w:t>clearances</w:t>
            </w:r>
            <w:r w:rsidRPr="00B77071">
              <w:rPr>
                <w:rFonts w:eastAsia="Times New Roman"/>
                <w:bCs/>
              </w:rPr>
              <w:t xml:space="preserve"> for the duration of product supply to Australia. Additionally, that adherence to the conditions of GMP Clearance approval is upheld.</w:t>
            </w:r>
          </w:p>
        </w:tc>
        <w:tc>
          <w:tcPr>
            <w:tcW w:w="942" w:type="pct"/>
          </w:tcPr>
          <w:p w14:paraId="59D08ED5" w14:textId="77777777" w:rsidR="00B77071" w:rsidRPr="00B77071" w:rsidRDefault="00B77071" w:rsidP="00EC4E0E">
            <w:pPr>
              <w:cnfStyle w:val="000000000000" w:firstRow="0" w:lastRow="0" w:firstColumn="0" w:lastColumn="0" w:oddVBand="0" w:evenVBand="0" w:oddHBand="0" w:evenHBand="0" w:firstRowFirstColumn="0" w:firstRowLastColumn="0" w:lastRowFirstColumn="0" w:lastRowLastColumn="0"/>
            </w:pPr>
            <w:r w:rsidRPr="00B77071">
              <w:t>No date</w:t>
            </w:r>
          </w:p>
        </w:tc>
      </w:tr>
      <w:tr w:rsidR="00B77071" w:rsidRPr="00B77071" w14:paraId="52DC2B05" w14:textId="77777777" w:rsidTr="00B77071">
        <w:tc>
          <w:tcPr>
            <w:cnfStyle w:val="001000000000" w:firstRow="0" w:lastRow="0" w:firstColumn="1" w:lastColumn="0" w:oddVBand="0" w:evenVBand="0" w:oddHBand="0" w:evenHBand="0" w:firstRowFirstColumn="0" w:firstRowLastColumn="0" w:lastRowFirstColumn="0" w:lastRowLastColumn="0"/>
            <w:tcW w:w="4058" w:type="pct"/>
          </w:tcPr>
          <w:p w14:paraId="0FAD9F33" w14:textId="05464542" w:rsidR="00B77071" w:rsidRPr="00B77071" w:rsidRDefault="00B77071" w:rsidP="00EC4E0E">
            <w:pPr>
              <w:rPr>
                <w:rFonts w:eastAsia="Times New Roman"/>
                <w:shd w:val="clear" w:color="auto" w:fill="FFFFFF"/>
              </w:rPr>
            </w:pPr>
            <w:r w:rsidRPr="00B77071">
              <w:rPr>
                <w:rFonts w:eastAsia="Times New Roman"/>
                <w:shd w:val="clear" w:color="auto" w:fill="FFFFFF"/>
              </w:rPr>
              <w:t>Post-approval stability protocol and stability commitment:</w:t>
            </w:r>
          </w:p>
          <w:p w14:paraId="12C120ED" w14:textId="22471068" w:rsidR="00B77071" w:rsidRPr="00B77071" w:rsidRDefault="00B77071" w:rsidP="00EC4E0E">
            <w:pPr>
              <w:rPr>
                <w:rFonts w:eastAsia="Times New Roman"/>
                <w:bCs/>
                <w:shd w:val="clear" w:color="auto" w:fill="FFFFFF"/>
              </w:rPr>
            </w:pPr>
            <w:r w:rsidRPr="00B77071">
              <w:rPr>
                <w:rFonts w:eastAsia="Times New Roman"/>
                <w:bCs/>
                <w:shd w:val="clear" w:color="auto" w:fill="FFFFFF"/>
              </w:rPr>
              <w:t xml:space="preserve">Provide the results from ongoing stability studies performed on Omicron XBB.1.5 DS lots when stored at -20 ± 5°C and 5 ± 3 °C for each time point in accordance with the stability testing protocols to support the shelf-life of the DS. Provide the results from ongoing stability studies performed on XBB.1.5 </w:t>
            </w:r>
            <w:r w:rsidR="00444D43">
              <w:rPr>
                <w:rFonts w:eastAsia="Times New Roman"/>
                <w:bCs/>
                <w:shd w:val="clear" w:color="auto" w:fill="FFFFFF"/>
              </w:rPr>
              <w:t>v</w:t>
            </w:r>
            <w:r w:rsidRPr="00B77071">
              <w:rPr>
                <w:rFonts w:eastAsia="Times New Roman"/>
                <w:bCs/>
                <w:shd w:val="clear" w:color="auto" w:fill="FFFFFF"/>
              </w:rPr>
              <w:t>ariant DP lots when stored at -90 to -60 °C and 5 ± 3 °C for each time point in accordance with the stability testing protocols to support the shelf-life of the DP.</w:t>
            </w:r>
          </w:p>
        </w:tc>
        <w:tc>
          <w:tcPr>
            <w:tcW w:w="942" w:type="pct"/>
          </w:tcPr>
          <w:p w14:paraId="1618DCD2" w14:textId="75FD4845" w:rsidR="00B77071" w:rsidRPr="00B77071" w:rsidRDefault="00B77071" w:rsidP="00EC4E0E">
            <w:pPr>
              <w:cnfStyle w:val="000000000000" w:firstRow="0" w:lastRow="0" w:firstColumn="0" w:lastColumn="0" w:oddVBand="0" w:evenVBand="0" w:oddHBand="0" w:evenHBand="0" w:firstRowFirstColumn="0" w:firstRowLastColumn="0" w:lastRowFirstColumn="0" w:lastRowLastColumn="0"/>
              <w:rPr>
                <w:rFonts w:eastAsia="Times New Roman"/>
              </w:rPr>
            </w:pPr>
            <w:r w:rsidRPr="00B77071">
              <w:rPr>
                <w:rFonts w:eastAsia="Times New Roman"/>
              </w:rPr>
              <w:t>First quarter of 2024</w:t>
            </w:r>
          </w:p>
        </w:tc>
      </w:tr>
      <w:tr w:rsidR="00B77071" w:rsidRPr="00B77071" w14:paraId="358BC78C" w14:textId="77777777" w:rsidTr="00B77071">
        <w:tc>
          <w:tcPr>
            <w:cnfStyle w:val="001000000000" w:firstRow="0" w:lastRow="0" w:firstColumn="1" w:lastColumn="0" w:oddVBand="0" w:evenVBand="0" w:oddHBand="0" w:evenHBand="0" w:firstRowFirstColumn="0" w:firstRowLastColumn="0" w:lastRowFirstColumn="0" w:lastRowLastColumn="0"/>
            <w:tcW w:w="4058" w:type="pct"/>
          </w:tcPr>
          <w:p w14:paraId="636B4AA3" w14:textId="57FC4DEC" w:rsidR="00B77071" w:rsidRPr="00B77071" w:rsidRDefault="00B77071" w:rsidP="00EC4E0E">
            <w:pPr>
              <w:rPr>
                <w:rFonts w:eastAsia="Times New Roman"/>
              </w:rPr>
            </w:pPr>
            <w:r w:rsidRPr="00B77071">
              <w:rPr>
                <w:rFonts w:eastAsia="Times New Roman"/>
              </w:rPr>
              <w:t>Batch analysis:</w:t>
            </w:r>
          </w:p>
          <w:p w14:paraId="261B37AB" w14:textId="202D9552" w:rsidR="00B77071" w:rsidRPr="00B77071" w:rsidRDefault="00B77071" w:rsidP="00EC4E0E">
            <w:pPr>
              <w:rPr>
                <w:rFonts w:eastAsia="Times New Roman"/>
                <w:bCs/>
              </w:rPr>
            </w:pPr>
            <w:r w:rsidRPr="00B77071">
              <w:rPr>
                <w:rFonts w:eastAsia="Times New Roman"/>
                <w:bCs/>
              </w:rPr>
              <w:t>Provide batch analysis data for additional DS and DP batches manufactured at the commercial scale once they become available to support batch-to-batch consistency.</w:t>
            </w:r>
          </w:p>
        </w:tc>
        <w:tc>
          <w:tcPr>
            <w:tcW w:w="942" w:type="pct"/>
          </w:tcPr>
          <w:p w14:paraId="7D335689" w14:textId="11CAEEA8" w:rsidR="00B77071" w:rsidRPr="00B77071" w:rsidRDefault="00B77071" w:rsidP="00EC4E0E">
            <w:pPr>
              <w:cnfStyle w:val="000000000000" w:firstRow="0" w:lastRow="0" w:firstColumn="0" w:lastColumn="0" w:oddVBand="0" w:evenVBand="0" w:oddHBand="0" w:evenHBand="0" w:firstRowFirstColumn="0" w:firstRowLastColumn="0" w:lastRowFirstColumn="0" w:lastRowLastColumn="0"/>
              <w:rPr>
                <w:rFonts w:eastAsia="Times New Roman"/>
              </w:rPr>
            </w:pPr>
            <w:r w:rsidRPr="00B77071">
              <w:rPr>
                <w:rFonts w:eastAsia="Times New Roman"/>
              </w:rPr>
              <w:t>First quarter of 2024</w:t>
            </w:r>
          </w:p>
        </w:tc>
      </w:tr>
    </w:tbl>
    <w:p w14:paraId="65374362" w14:textId="2DBA6D27" w:rsidR="006D629B" w:rsidRPr="000B38A5" w:rsidRDefault="006D629B" w:rsidP="00C51B28">
      <w:pPr>
        <w:pStyle w:val="TableDescription"/>
      </w:pPr>
      <w:bookmarkStart w:id="43" w:name="_Toc314842512"/>
      <w:bookmarkStart w:id="44" w:name="_Toc103679296"/>
      <w:r w:rsidRPr="000B38A5">
        <w:t xml:space="preserve">Abbreviations: </w:t>
      </w:r>
      <w:r w:rsidR="000B38A5" w:rsidRPr="000B38A5">
        <w:t xml:space="preserve">DP = drug product; DP = drug substance; </w:t>
      </w:r>
      <w:r w:rsidRPr="000B38A5">
        <w:t xml:space="preserve">GMP = </w:t>
      </w:r>
      <w:bookmarkStart w:id="45" w:name="_Hlk155343763"/>
      <w:r w:rsidRPr="000B38A5">
        <w:t>Good Manufacturing Practice</w:t>
      </w:r>
      <w:bookmarkEnd w:id="45"/>
      <w:r w:rsidR="000B38A5" w:rsidRPr="000B38A5">
        <w:t>.</w:t>
      </w:r>
    </w:p>
    <w:p w14:paraId="15E6007C" w14:textId="56705577" w:rsidR="000175C9" w:rsidRPr="00143872" w:rsidRDefault="005E3FEC" w:rsidP="00C51B28">
      <w:pPr>
        <w:pStyle w:val="Heading4"/>
      </w:pPr>
      <w:bookmarkStart w:id="46" w:name="_Toc158382390"/>
      <w:r>
        <w:t>Stage</w:t>
      </w:r>
      <w:r w:rsidR="000175C9" w:rsidRPr="00143872">
        <w:t xml:space="preserve"> </w:t>
      </w:r>
      <w:r w:rsidR="009C1818">
        <w:t>II</w:t>
      </w:r>
      <w:r w:rsidR="000175C9" w:rsidRPr="00143872">
        <w:t xml:space="preserve"> decision (AUST R 419331, 419332, 419370, 419372 and 428610)</w:t>
      </w:r>
      <w:bookmarkEnd w:id="46"/>
    </w:p>
    <w:p w14:paraId="33AD5496" w14:textId="059AF647" w:rsidR="000175C9" w:rsidRPr="00023C75" w:rsidRDefault="005E3FEC" w:rsidP="00023C75">
      <w:bookmarkStart w:id="47" w:name="_Ref155255554"/>
      <w:r>
        <w:t>Stage</w:t>
      </w:r>
      <w:r w:rsidR="000175C9" w:rsidRPr="00023C75">
        <w:t xml:space="preserve"> </w:t>
      </w:r>
      <w:r w:rsidR="009C1818">
        <w:t>II</w:t>
      </w:r>
      <w:r w:rsidR="000175C9" w:rsidRPr="00023C75">
        <w:t xml:space="preserve"> decision covers assessment of quality data for the final </w:t>
      </w:r>
      <w:r w:rsidR="006E4FCB">
        <w:t>five</w:t>
      </w:r>
      <w:r w:rsidR="000175C9" w:rsidRPr="00023C75">
        <w:t xml:space="preserve"> presentations out of seven, with an additional presentation submitted after the completion of </w:t>
      </w:r>
      <w:r>
        <w:t>Stage</w:t>
      </w:r>
      <w:r w:rsidR="000175C9" w:rsidRPr="00023C75">
        <w:t xml:space="preserve"> </w:t>
      </w:r>
      <w:r w:rsidR="009C1818">
        <w:t>I</w:t>
      </w:r>
      <w:r w:rsidR="000175C9" w:rsidRPr="00023C75">
        <w:t xml:space="preserve"> decision. </w:t>
      </w:r>
      <w:r w:rsidR="000175C9" w:rsidRPr="00023C75">
        <w:fldChar w:fldCharType="begin"/>
      </w:r>
      <w:r w:rsidR="000175C9" w:rsidRPr="00023C75">
        <w:instrText xml:space="preserve"> REF _Ref154060707 \h  \* MERGEFORMAT </w:instrText>
      </w:r>
      <w:r w:rsidR="000175C9" w:rsidRPr="00023C75">
        <w:fldChar w:fldCharType="separate"/>
      </w:r>
      <w:r w:rsidR="003A20CD" w:rsidRPr="003C1237">
        <w:t xml:space="preserve">Table </w:t>
      </w:r>
      <w:r w:rsidR="003A20CD">
        <w:t>4</w:t>
      </w:r>
      <w:r w:rsidR="000175C9" w:rsidRPr="00023C75">
        <w:fldChar w:fldCharType="end"/>
      </w:r>
      <w:r w:rsidR="000175C9" w:rsidRPr="00023C75">
        <w:t xml:space="preserve"> summarise</w:t>
      </w:r>
      <w:r w:rsidR="00023C75" w:rsidRPr="00023C75">
        <w:t>s</w:t>
      </w:r>
      <w:r w:rsidR="000175C9" w:rsidRPr="00023C75">
        <w:t xml:space="preserve"> all seven formulations/presentations of </w:t>
      </w:r>
      <w:r w:rsidR="00023C75" w:rsidRPr="00023C75">
        <w:t xml:space="preserve">Comirnaty </w:t>
      </w:r>
      <w:r w:rsidR="000175C9" w:rsidRPr="00023C75">
        <w:t>Omicron XBB.1.5 evaluated for this submission.</w:t>
      </w:r>
    </w:p>
    <w:p w14:paraId="1B92D988" w14:textId="4BBDC4CF" w:rsidR="000175C9" w:rsidRPr="003C1237" w:rsidRDefault="000175C9" w:rsidP="003C1237">
      <w:pPr>
        <w:pStyle w:val="TableTitle"/>
      </w:pPr>
      <w:bookmarkStart w:id="48" w:name="_Ref154060707"/>
      <w:r w:rsidRPr="003C1237">
        <w:t xml:space="preserve">Table </w:t>
      </w:r>
      <w:r>
        <w:fldChar w:fldCharType="begin"/>
      </w:r>
      <w:r>
        <w:instrText>SEQ Table \* ARABIC</w:instrText>
      </w:r>
      <w:r>
        <w:fldChar w:fldCharType="separate"/>
      </w:r>
      <w:r w:rsidR="003A20CD">
        <w:rPr>
          <w:noProof/>
        </w:rPr>
        <w:t>4</w:t>
      </w:r>
      <w:r>
        <w:fldChar w:fldCharType="end"/>
      </w:r>
      <w:bookmarkEnd w:id="47"/>
      <w:bookmarkEnd w:id="48"/>
      <w:r w:rsidRPr="003C1237">
        <w:t xml:space="preserve">: Seven presentations of </w:t>
      </w:r>
      <w:r w:rsidR="00987B5B" w:rsidRPr="003C1237">
        <w:t>Comirnaty</w:t>
      </w:r>
      <w:r w:rsidRPr="003C1237">
        <w:t xml:space="preserve"> Omicron XBB.1.5</w:t>
      </w:r>
    </w:p>
    <w:tbl>
      <w:tblPr>
        <w:tblStyle w:val="TableTGAblue2023"/>
        <w:tblW w:w="5000" w:type="pct"/>
        <w:tblLayout w:type="fixed"/>
        <w:tblLook w:val="01E0" w:firstRow="1" w:lastRow="1" w:firstColumn="1" w:lastColumn="1" w:noHBand="0" w:noVBand="0"/>
      </w:tblPr>
      <w:tblGrid>
        <w:gridCol w:w="1269"/>
        <w:gridCol w:w="1136"/>
        <w:gridCol w:w="1134"/>
        <w:gridCol w:w="1134"/>
        <w:gridCol w:w="1276"/>
        <w:gridCol w:w="1134"/>
        <w:gridCol w:w="993"/>
        <w:gridCol w:w="984"/>
      </w:tblGrid>
      <w:tr w:rsidR="00444D43" w:rsidRPr="00FF70A0" w14:paraId="4E9D4017" w14:textId="77777777" w:rsidTr="004F40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 w:type="pct"/>
          </w:tcPr>
          <w:p w14:paraId="6BB0047B" w14:textId="77777777" w:rsidR="000175C9" w:rsidRPr="003A20CD" w:rsidRDefault="000175C9" w:rsidP="006B2CA6">
            <w:pPr>
              <w:keepLines/>
              <w:widowControl w:val="0"/>
              <w:spacing w:after="0" w:line="276" w:lineRule="auto"/>
              <w:ind w:left="-57" w:right="-57"/>
              <w:rPr>
                <w:bCs/>
                <w:sz w:val="20"/>
                <w:szCs w:val="20"/>
              </w:rPr>
            </w:pPr>
            <w:r w:rsidRPr="003A20CD">
              <w:rPr>
                <w:rFonts w:eastAsia="MS Mincho"/>
                <w:bCs/>
                <w:kern w:val="2"/>
                <w:sz w:val="20"/>
                <w:szCs w:val="20"/>
              </w:rPr>
              <w:t>Age group</w:t>
            </w:r>
          </w:p>
        </w:tc>
        <w:tc>
          <w:tcPr>
            <w:tcW w:w="1253" w:type="pct"/>
            <w:gridSpan w:val="2"/>
          </w:tcPr>
          <w:p w14:paraId="5AA8C6DD" w14:textId="77777777" w:rsidR="000175C9" w:rsidRPr="003A20CD" w:rsidRDefault="000175C9" w:rsidP="006B2CA6">
            <w:pPr>
              <w:keepLines/>
              <w:widowControl w:val="0"/>
              <w:spacing w:after="0" w:line="276" w:lineRule="auto"/>
              <w:ind w:left="-57" w:right="-57"/>
              <w:jc w:val="center"/>
              <w:cnfStyle w:val="100000000000" w:firstRow="1" w:lastRow="0" w:firstColumn="0" w:lastColumn="0" w:oddVBand="0" w:evenVBand="0" w:oddHBand="0" w:evenHBand="0" w:firstRowFirstColumn="0" w:firstRowLastColumn="0" w:lastRowFirstColumn="0" w:lastRowLastColumn="0"/>
              <w:rPr>
                <w:bCs/>
                <w:sz w:val="20"/>
                <w:szCs w:val="20"/>
              </w:rPr>
            </w:pPr>
            <w:r w:rsidRPr="003A20CD">
              <w:rPr>
                <w:rFonts w:eastAsia="MS Mincho"/>
                <w:bCs/>
                <w:kern w:val="2"/>
                <w:sz w:val="20"/>
                <w:szCs w:val="20"/>
              </w:rPr>
              <w:t>12 years and older</w:t>
            </w:r>
          </w:p>
        </w:tc>
        <w:tc>
          <w:tcPr>
            <w:tcW w:w="1956" w:type="pct"/>
            <w:gridSpan w:val="3"/>
          </w:tcPr>
          <w:p w14:paraId="17E1E095" w14:textId="77777777" w:rsidR="000175C9" w:rsidRPr="003A20CD" w:rsidRDefault="000175C9" w:rsidP="006B2CA6">
            <w:pPr>
              <w:keepLines/>
              <w:widowControl w:val="0"/>
              <w:spacing w:after="0" w:line="276" w:lineRule="auto"/>
              <w:ind w:left="-57" w:right="-57"/>
              <w:jc w:val="center"/>
              <w:cnfStyle w:val="100000000000" w:firstRow="1" w:lastRow="0" w:firstColumn="0" w:lastColumn="0" w:oddVBand="0" w:evenVBand="0" w:oddHBand="0" w:evenHBand="0" w:firstRowFirstColumn="0" w:firstRowLastColumn="0" w:lastRowFirstColumn="0" w:lastRowLastColumn="0"/>
              <w:rPr>
                <w:bCs/>
                <w:sz w:val="20"/>
                <w:szCs w:val="20"/>
              </w:rPr>
            </w:pPr>
            <w:r w:rsidRPr="003A20CD">
              <w:rPr>
                <w:rFonts w:eastAsia="MS Mincho"/>
                <w:bCs/>
                <w:kern w:val="2"/>
                <w:sz w:val="20"/>
                <w:szCs w:val="20"/>
              </w:rPr>
              <w:t>5 to &lt;12 years</w:t>
            </w:r>
          </w:p>
        </w:tc>
        <w:tc>
          <w:tcPr>
            <w:tcW w:w="1091" w:type="pct"/>
            <w:gridSpan w:val="2"/>
          </w:tcPr>
          <w:p w14:paraId="4F7174DE" w14:textId="77777777" w:rsidR="000175C9" w:rsidRPr="003A20CD" w:rsidRDefault="000175C9" w:rsidP="006B2CA6">
            <w:pPr>
              <w:keepLines/>
              <w:widowControl w:val="0"/>
              <w:spacing w:after="0" w:line="276" w:lineRule="auto"/>
              <w:ind w:left="-57" w:right="-57"/>
              <w:jc w:val="center"/>
              <w:cnfStyle w:val="100000000000" w:firstRow="1" w:lastRow="0" w:firstColumn="0" w:lastColumn="0" w:oddVBand="0" w:evenVBand="0" w:oddHBand="0" w:evenHBand="0" w:firstRowFirstColumn="0" w:firstRowLastColumn="0" w:lastRowFirstColumn="0" w:lastRowLastColumn="0"/>
              <w:rPr>
                <w:bCs/>
                <w:sz w:val="20"/>
                <w:szCs w:val="20"/>
              </w:rPr>
            </w:pPr>
            <w:r w:rsidRPr="003A20CD">
              <w:rPr>
                <w:rFonts w:eastAsia="MS Mincho"/>
                <w:bCs/>
                <w:kern w:val="2"/>
                <w:sz w:val="20"/>
                <w:szCs w:val="20"/>
              </w:rPr>
              <w:t>6 months to &lt;5 years</w:t>
            </w:r>
          </w:p>
        </w:tc>
      </w:tr>
      <w:tr w:rsidR="004F40FC" w:rsidRPr="00FF70A0" w14:paraId="7F14938F" w14:textId="77777777" w:rsidTr="004F40FC">
        <w:tc>
          <w:tcPr>
            <w:cnfStyle w:val="001000000000" w:firstRow="0" w:lastRow="0" w:firstColumn="1" w:lastColumn="0" w:oddVBand="0" w:evenVBand="0" w:oddHBand="0" w:evenHBand="0" w:firstRowFirstColumn="0" w:firstRowLastColumn="0" w:lastRowFirstColumn="0" w:lastRowLastColumn="0"/>
            <w:tcW w:w="700" w:type="pct"/>
          </w:tcPr>
          <w:p w14:paraId="01B08B39" w14:textId="77777777" w:rsidR="000175C9" w:rsidRPr="00C51B28" w:rsidRDefault="000175C9" w:rsidP="006B2CA6">
            <w:pPr>
              <w:pStyle w:val="TableText"/>
              <w:ind w:left="-57" w:right="-57"/>
              <w:rPr>
                <w:b/>
                <w:szCs w:val="20"/>
              </w:rPr>
            </w:pPr>
            <w:r w:rsidRPr="00C51B28">
              <w:rPr>
                <w:b/>
                <w:szCs w:val="20"/>
              </w:rPr>
              <w:t>AUST R</w:t>
            </w:r>
          </w:p>
        </w:tc>
        <w:tc>
          <w:tcPr>
            <w:tcW w:w="627" w:type="pct"/>
          </w:tcPr>
          <w:p w14:paraId="6CD9CD84"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bCs/>
                <w:szCs w:val="20"/>
              </w:rPr>
            </w:pPr>
            <w:r w:rsidRPr="00444D43">
              <w:rPr>
                <w:bCs/>
                <w:szCs w:val="20"/>
              </w:rPr>
              <w:t>419370</w:t>
            </w:r>
          </w:p>
        </w:tc>
        <w:tc>
          <w:tcPr>
            <w:tcW w:w="626" w:type="pct"/>
          </w:tcPr>
          <w:p w14:paraId="7AAE298D"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bCs/>
                <w:szCs w:val="20"/>
              </w:rPr>
            </w:pPr>
            <w:r w:rsidRPr="00444D43">
              <w:rPr>
                <w:bCs/>
                <w:szCs w:val="20"/>
              </w:rPr>
              <w:t>419330</w:t>
            </w:r>
          </w:p>
        </w:tc>
        <w:tc>
          <w:tcPr>
            <w:tcW w:w="626" w:type="pct"/>
          </w:tcPr>
          <w:p w14:paraId="067D0D06"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bCs/>
                <w:szCs w:val="20"/>
              </w:rPr>
            </w:pPr>
            <w:r w:rsidRPr="00444D43">
              <w:rPr>
                <w:bCs/>
                <w:szCs w:val="20"/>
              </w:rPr>
              <w:t>419331</w:t>
            </w:r>
          </w:p>
        </w:tc>
        <w:tc>
          <w:tcPr>
            <w:tcW w:w="704" w:type="pct"/>
          </w:tcPr>
          <w:p w14:paraId="066949F8"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bCs/>
                <w:szCs w:val="20"/>
              </w:rPr>
            </w:pPr>
            <w:r w:rsidRPr="00444D43">
              <w:rPr>
                <w:bCs/>
                <w:szCs w:val="20"/>
              </w:rPr>
              <w:t>419371</w:t>
            </w:r>
          </w:p>
        </w:tc>
        <w:tc>
          <w:tcPr>
            <w:tcW w:w="626" w:type="pct"/>
          </w:tcPr>
          <w:p w14:paraId="104757B5"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bCs/>
                <w:szCs w:val="20"/>
              </w:rPr>
            </w:pPr>
            <w:r w:rsidRPr="00444D43">
              <w:rPr>
                <w:bCs/>
                <w:szCs w:val="20"/>
              </w:rPr>
              <w:t>419372</w:t>
            </w:r>
          </w:p>
        </w:tc>
        <w:tc>
          <w:tcPr>
            <w:tcW w:w="548" w:type="pct"/>
          </w:tcPr>
          <w:p w14:paraId="1BFC7F77"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bCs/>
                <w:szCs w:val="20"/>
              </w:rPr>
            </w:pPr>
            <w:r w:rsidRPr="00444D43">
              <w:rPr>
                <w:bCs/>
                <w:szCs w:val="20"/>
              </w:rPr>
              <w:t>419332</w:t>
            </w:r>
          </w:p>
        </w:tc>
        <w:tc>
          <w:tcPr>
            <w:tcW w:w="543" w:type="pct"/>
          </w:tcPr>
          <w:p w14:paraId="40B2C15C" w14:textId="77777777" w:rsidR="000175C9" w:rsidRPr="00C51B28" w:rsidRDefault="000175C9" w:rsidP="006B2CA6">
            <w:pPr>
              <w:pStyle w:val="TableHeader"/>
              <w:ind w:left="-57" w:right="-57"/>
              <w:cnfStyle w:val="000000000000" w:firstRow="0" w:lastRow="0" w:firstColumn="0" w:lastColumn="0" w:oddVBand="0" w:evenVBand="0" w:oddHBand="0" w:evenHBand="0" w:firstRowFirstColumn="0" w:firstRowLastColumn="0" w:lastRowFirstColumn="0" w:lastRowLastColumn="0"/>
              <w:rPr>
                <w:b w:val="0"/>
                <w:bCs/>
                <w:sz w:val="20"/>
                <w:szCs w:val="20"/>
              </w:rPr>
            </w:pPr>
            <w:r w:rsidRPr="00C51B28">
              <w:rPr>
                <w:b w:val="0"/>
                <w:bCs/>
                <w:sz w:val="20"/>
                <w:szCs w:val="20"/>
              </w:rPr>
              <w:t>428610</w:t>
            </w:r>
          </w:p>
        </w:tc>
      </w:tr>
      <w:tr w:rsidR="004F40FC" w:rsidRPr="00FF70A0" w14:paraId="78CCACB1" w14:textId="77777777" w:rsidTr="004F40FC">
        <w:tc>
          <w:tcPr>
            <w:cnfStyle w:val="001000000000" w:firstRow="0" w:lastRow="0" w:firstColumn="1" w:lastColumn="0" w:oddVBand="0" w:evenVBand="0" w:oddHBand="0" w:evenHBand="0" w:firstRowFirstColumn="0" w:firstRowLastColumn="0" w:lastRowFirstColumn="0" w:lastRowLastColumn="0"/>
            <w:tcW w:w="700" w:type="pct"/>
          </w:tcPr>
          <w:p w14:paraId="2D6A8964" w14:textId="77777777" w:rsidR="000175C9" w:rsidRPr="00444D43" w:rsidRDefault="000175C9" w:rsidP="006B2CA6">
            <w:pPr>
              <w:pStyle w:val="TableText"/>
              <w:ind w:left="-57" w:right="-57"/>
              <w:rPr>
                <w:bCs/>
                <w:szCs w:val="20"/>
              </w:rPr>
            </w:pPr>
            <w:r w:rsidRPr="00C51B28">
              <w:rPr>
                <w:b/>
                <w:bCs/>
                <w:szCs w:val="20"/>
              </w:rPr>
              <w:t>Cap and label colour code</w:t>
            </w:r>
          </w:p>
        </w:tc>
        <w:tc>
          <w:tcPr>
            <w:tcW w:w="627" w:type="pct"/>
          </w:tcPr>
          <w:p w14:paraId="6B2588BC"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szCs w:val="20"/>
              </w:rPr>
            </w:pPr>
            <w:r w:rsidRPr="00444D43">
              <w:rPr>
                <w:szCs w:val="20"/>
              </w:rPr>
              <w:t>Light Grey</w:t>
            </w:r>
          </w:p>
        </w:tc>
        <w:tc>
          <w:tcPr>
            <w:tcW w:w="626" w:type="pct"/>
          </w:tcPr>
          <w:p w14:paraId="19FB721C"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szCs w:val="20"/>
              </w:rPr>
            </w:pPr>
            <w:r w:rsidRPr="00444D43">
              <w:rPr>
                <w:szCs w:val="20"/>
              </w:rPr>
              <w:t>Dark Grey</w:t>
            </w:r>
          </w:p>
        </w:tc>
        <w:tc>
          <w:tcPr>
            <w:tcW w:w="626" w:type="pct"/>
          </w:tcPr>
          <w:p w14:paraId="5E555F88"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szCs w:val="20"/>
              </w:rPr>
            </w:pPr>
            <w:r w:rsidRPr="00444D43">
              <w:rPr>
                <w:szCs w:val="20"/>
              </w:rPr>
              <w:t>Orange</w:t>
            </w:r>
          </w:p>
        </w:tc>
        <w:tc>
          <w:tcPr>
            <w:tcW w:w="704" w:type="pct"/>
          </w:tcPr>
          <w:p w14:paraId="0C3EC990"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szCs w:val="20"/>
              </w:rPr>
            </w:pPr>
            <w:r w:rsidRPr="00444D43">
              <w:rPr>
                <w:szCs w:val="20"/>
              </w:rPr>
              <w:t>Light Blue</w:t>
            </w:r>
          </w:p>
        </w:tc>
        <w:tc>
          <w:tcPr>
            <w:tcW w:w="626" w:type="pct"/>
          </w:tcPr>
          <w:p w14:paraId="5FC75507"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szCs w:val="20"/>
              </w:rPr>
            </w:pPr>
            <w:r w:rsidRPr="00444D43">
              <w:rPr>
                <w:szCs w:val="20"/>
              </w:rPr>
              <w:t>Dark Blue</w:t>
            </w:r>
          </w:p>
        </w:tc>
        <w:tc>
          <w:tcPr>
            <w:tcW w:w="548" w:type="pct"/>
          </w:tcPr>
          <w:p w14:paraId="7D15E4D3"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szCs w:val="20"/>
              </w:rPr>
            </w:pPr>
            <w:r w:rsidRPr="00C51B28">
              <w:t>Maroon</w:t>
            </w:r>
          </w:p>
        </w:tc>
        <w:tc>
          <w:tcPr>
            <w:tcW w:w="543" w:type="pct"/>
          </w:tcPr>
          <w:p w14:paraId="4BF87973" w14:textId="77777777" w:rsidR="000175C9" w:rsidRPr="00321A3B"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pPr>
            <w:r w:rsidRPr="00321A3B">
              <w:t>Yellow</w:t>
            </w:r>
          </w:p>
        </w:tc>
      </w:tr>
      <w:tr w:rsidR="003A20CD" w:rsidRPr="00FF70A0" w14:paraId="1F9DF056" w14:textId="77777777" w:rsidTr="004F40FC">
        <w:tc>
          <w:tcPr>
            <w:cnfStyle w:val="001000000000" w:firstRow="0" w:lastRow="0" w:firstColumn="1" w:lastColumn="0" w:oddVBand="0" w:evenVBand="0" w:oddHBand="0" w:evenHBand="0" w:firstRowFirstColumn="0" w:firstRowLastColumn="0" w:lastRowFirstColumn="0" w:lastRowLastColumn="0"/>
            <w:tcW w:w="700" w:type="pct"/>
          </w:tcPr>
          <w:p w14:paraId="494EB012" w14:textId="77777777" w:rsidR="000175C9" w:rsidRPr="00444D43" w:rsidRDefault="000175C9" w:rsidP="006B2CA6">
            <w:pPr>
              <w:pStyle w:val="TableText"/>
              <w:ind w:left="-57" w:right="-57"/>
              <w:rPr>
                <w:bCs/>
                <w:szCs w:val="20"/>
              </w:rPr>
            </w:pPr>
            <w:r w:rsidRPr="00C51B28">
              <w:rPr>
                <w:b/>
                <w:bCs/>
                <w:szCs w:val="20"/>
              </w:rPr>
              <w:t>Pharmaceutical form</w:t>
            </w:r>
          </w:p>
        </w:tc>
        <w:tc>
          <w:tcPr>
            <w:tcW w:w="1253" w:type="pct"/>
            <w:gridSpan w:val="2"/>
          </w:tcPr>
          <w:p w14:paraId="6AC58D9C"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szCs w:val="20"/>
              </w:rPr>
            </w:pPr>
            <w:r w:rsidRPr="00444D43">
              <w:rPr>
                <w:szCs w:val="20"/>
              </w:rPr>
              <w:t>Suspension for injection</w:t>
            </w:r>
          </w:p>
        </w:tc>
        <w:tc>
          <w:tcPr>
            <w:tcW w:w="626" w:type="pct"/>
          </w:tcPr>
          <w:p w14:paraId="37D6892A" w14:textId="77777777" w:rsidR="000175C9" w:rsidRPr="00444D43" w:rsidRDefault="000175C9" w:rsidP="006B2CA6">
            <w:pPr>
              <w:pStyle w:val="TableText"/>
              <w:ind w:left="-113" w:right="-113"/>
              <w:jc w:val="center"/>
              <w:cnfStyle w:val="000000000000" w:firstRow="0" w:lastRow="0" w:firstColumn="0" w:lastColumn="0" w:oddVBand="0" w:evenVBand="0" w:oddHBand="0" w:evenHBand="0" w:firstRowFirstColumn="0" w:firstRowLastColumn="0" w:lastRowFirstColumn="0" w:lastRowLastColumn="0"/>
              <w:rPr>
                <w:szCs w:val="20"/>
              </w:rPr>
            </w:pPr>
            <w:r w:rsidRPr="00444D43">
              <w:rPr>
                <w:szCs w:val="20"/>
              </w:rPr>
              <w:t>Concentrate for suspension for injection</w:t>
            </w:r>
          </w:p>
        </w:tc>
        <w:tc>
          <w:tcPr>
            <w:tcW w:w="1330" w:type="pct"/>
            <w:gridSpan w:val="2"/>
          </w:tcPr>
          <w:p w14:paraId="3C58F4E3"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szCs w:val="20"/>
              </w:rPr>
            </w:pPr>
            <w:r w:rsidRPr="00444D43">
              <w:rPr>
                <w:szCs w:val="20"/>
              </w:rPr>
              <w:t>Suspension for injection</w:t>
            </w:r>
          </w:p>
        </w:tc>
        <w:tc>
          <w:tcPr>
            <w:tcW w:w="1091" w:type="pct"/>
            <w:gridSpan w:val="2"/>
          </w:tcPr>
          <w:p w14:paraId="3BB78022"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szCs w:val="20"/>
              </w:rPr>
            </w:pPr>
            <w:r w:rsidRPr="00444D43">
              <w:rPr>
                <w:szCs w:val="20"/>
              </w:rPr>
              <w:t>Concentrate for suspension for injection</w:t>
            </w:r>
          </w:p>
        </w:tc>
      </w:tr>
      <w:tr w:rsidR="003A20CD" w:rsidRPr="00FF70A0" w14:paraId="75CD2267" w14:textId="77777777" w:rsidTr="004F40FC">
        <w:tc>
          <w:tcPr>
            <w:cnfStyle w:val="001000000000" w:firstRow="0" w:lastRow="0" w:firstColumn="1" w:lastColumn="0" w:oddVBand="0" w:evenVBand="0" w:oddHBand="0" w:evenHBand="0" w:firstRowFirstColumn="0" w:firstRowLastColumn="0" w:lastRowFirstColumn="0" w:lastRowLastColumn="0"/>
            <w:tcW w:w="700" w:type="pct"/>
          </w:tcPr>
          <w:p w14:paraId="74557349" w14:textId="77777777" w:rsidR="000175C9" w:rsidRPr="00444D43" w:rsidRDefault="000175C9" w:rsidP="006B2CA6">
            <w:pPr>
              <w:pStyle w:val="TableText"/>
              <w:ind w:left="-57" w:right="-57"/>
              <w:rPr>
                <w:bCs/>
                <w:szCs w:val="20"/>
              </w:rPr>
            </w:pPr>
            <w:r w:rsidRPr="00C51B28">
              <w:rPr>
                <w:b/>
                <w:bCs/>
                <w:szCs w:val="20"/>
              </w:rPr>
              <w:lastRenderedPageBreak/>
              <w:t>Strength per dose</w:t>
            </w:r>
          </w:p>
        </w:tc>
        <w:tc>
          <w:tcPr>
            <w:tcW w:w="1253" w:type="pct"/>
            <w:gridSpan w:val="2"/>
          </w:tcPr>
          <w:p w14:paraId="0D34A13F"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szCs w:val="20"/>
              </w:rPr>
            </w:pPr>
            <w:r w:rsidRPr="00444D43">
              <w:rPr>
                <w:szCs w:val="20"/>
              </w:rPr>
              <w:t>30 μg</w:t>
            </w:r>
          </w:p>
          <w:p w14:paraId="371AACC1"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szCs w:val="20"/>
              </w:rPr>
            </w:pPr>
            <w:r w:rsidRPr="00444D43">
              <w:rPr>
                <w:szCs w:val="20"/>
              </w:rPr>
              <w:t>(0.3 mL dose)</w:t>
            </w:r>
          </w:p>
        </w:tc>
        <w:tc>
          <w:tcPr>
            <w:tcW w:w="626" w:type="pct"/>
          </w:tcPr>
          <w:p w14:paraId="15622ACD"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szCs w:val="20"/>
              </w:rPr>
            </w:pPr>
            <w:r w:rsidRPr="00444D43">
              <w:rPr>
                <w:szCs w:val="20"/>
              </w:rPr>
              <w:t>10 μg</w:t>
            </w:r>
          </w:p>
          <w:p w14:paraId="7210C745"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szCs w:val="20"/>
              </w:rPr>
            </w:pPr>
            <w:r w:rsidRPr="00444D43">
              <w:rPr>
                <w:szCs w:val="20"/>
              </w:rPr>
              <w:t>(0.2 mL dose)</w:t>
            </w:r>
          </w:p>
        </w:tc>
        <w:tc>
          <w:tcPr>
            <w:tcW w:w="1330" w:type="pct"/>
            <w:gridSpan w:val="2"/>
          </w:tcPr>
          <w:p w14:paraId="08B9A93E"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szCs w:val="20"/>
              </w:rPr>
            </w:pPr>
            <w:r w:rsidRPr="00444D43">
              <w:rPr>
                <w:szCs w:val="20"/>
              </w:rPr>
              <w:t>10 μg</w:t>
            </w:r>
          </w:p>
          <w:p w14:paraId="559E56B6"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szCs w:val="20"/>
              </w:rPr>
            </w:pPr>
            <w:r w:rsidRPr="00444D43">
              <w:rPr>
                <w:szCs w:val="20"/>
              </w:rPr>
              <w:t>(0.3 mL dose)</w:t>
            </w:r>
          </w:p>
        </w:tc>
        <w:tc>
          <w:tcPr>
            <w:tcW w:w="548" w:type="pct"/>
          </w:tcPr>
          <w:p w14:paraId="36715DE2"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szCs w:val="20"/>
              </w:rPr>
            </w:pPr>
            <w:r w:rsidRPr="00444D43">
              <w:rPr>
                <w:szCs w:val="20"/>
              </w:rPr>
              <w:t>3 μg</w:t>
            </w:r>
          </w:p>
          <w:p w14:paraId="362B71CE"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szCs w:val="20"/>
              </w:rPr>
            </w:pPr>
            <w:r w:rsidRPr="00444D43">
              <w:rPr>
                <w:szCs w:val="20"/>
              </w:rPr>
              <w:t>(0.2 mL dose)</w:t>
            </w:r>
          </w:p>
        </w:tc>
        <w:tc>
          <w:tcPr>
            <w:tcW w:w="543" w:type="pct"/>
          </w:tcPr>
          <w:p w14:paraId="3BB9C959" w14:textId="77777777" w:rsidR="000175C9" w:rsidRPr="00321A3B"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pPr>
            <w:r w:rsidRPr="00321A3B">
              <w:t xml:space="preserve">3 </w:t>
            </w:r>
            <w:r>
              <w:t>μg</w:t>
            </w:r>
          </w:p>
          <w:p w14:paraId="616E292E" w14:textId="4DB89462" w:rsidR="000175C9" w:rsidRPr="00321A3B"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pPr>
            <w:r w:rsidRPr="00321A3B">
              <w:t>(0.3 mL dose)</w:t>
            </w:r>
          </w:p>
        </w:tc>
      </w:tr>
      <w:tr w:rsidR="004F40FC" w:rsidRPr="00FF70A0" w14:paraId="44AFDCAA" w14:textId="77777777" w:rsidTr="004F40FC">
        <w:tc>
          <w:tcPr>
            <w:cnfStyle w:val="001000000000" w:firstRow="0" w:lastRow="0" w:firstColumn="1" w:lastColumn="0" w:oddVBand="0" w:evenVBand="0" w:oddHBand="0" w:evenHBand="0" w:firstRowFirstColumn="0" w:firstRowLastColumn="0" w:lastRowFirstColumn="0" w:lastRowLastColumn="0"/>
            <w:tcW w:w="700" w:type="pct"/>
          </w:tcPr>
          <w:p w14:paraId="4E6F99EA" w14:textId="77777777" w:rsidR="000175C9" w:rsidRPr="00444D43" w:rsidRDefault="000175C9" w:rsidP="006B2CA6">
            <w:pPr>
              <w:pStyle w:val="TableText"/>
              <w:ind w:left="-57" w:right="-57"/>
              <w:rPr>
                <w:bCs/>
                <w:szCs w:val="20"/>
              </w:rPr>
            </w:pPr>
            <w:r w:rsidRPr="00C51B28">
              <w:rPr>
                <w:b/>
                <w:bCs/>
                <w:szCs w:val="20"/>
              </w:rPr>
              <w:t>Fill volume</w:t>
            </w:r>
          </w:p>
        </w:tc>
        <w:tc>
          <w:tcPr>
            <w:tcW w:w="627" w:type="pct"/>
          </w:tcPr>
          <w:p w14:paraId="2A708505"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szCs w:val="20"/>
              </w:rPr>
            </w:pPr>
            <w:r w:rsidRPr="00444D43">
              <w:rPr>
                <w:szCs w:val="20"/>
              </w:rPr>
              <w:t>0.48 mL</w:t>
            </w:r>
          </w:p>
        </w:tc>
        <w:tc>
          <w:tcPr>
            <w:tcW w:w="626" w:type="pct"/>
          </w:tcPr>
          <w:p w14:paraId="39ABD095"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szCs w:val="20"/>
              </w:rPr>
            </w:pPr>
            <w:r w:rsidRPr="00444D43">
              <w:rPr>
                <w:szCs w:val="20"/>
              </w:rPr>
              <w:t>2.25 mL</w:t>
            </w:r>
          </w:p>
        </w:tc>
        <w:tc>
          <w:tcPr>
            <w:tcW w:w="626" w:type="pct"/>
          </w:tcPr>
          <w:p w14:paraId="0F6DADB6"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szCs w:val="20"/>
              </w:rPr>
            </w:pPr>
            <w:r w:rsidRPr="00444D43">
              <w:rPr>
                <w:szCs w:val="20"/>
              </w:rPr>
              <w:t>1.3 mL</w:t>
            </w:r>
          </w:p>
        </w:tc>
        <w:tc>
          <w:tcPr>
            <w:tcW w:w="704" w:type="pct"/>
          </w:tcPr>
          <w:p w14:paraId="7DADE0D3"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szCs w:val="20"/>
              </w:rPr>
            </w:pPr>
            <w:r w:rsidRPr="00444D43">
              <w:rPr>
                <w:szCs w:val="20"/>
              </w:rPr>
              <w:t>0.48 mL</w:t>
            </w:r>
          </w:p>
        </w:tc>
        <w:tc>
          <w:tcPr>
            <w:tcW w:w="626" w:type="pct"/>
          </w:tcPr>
          <w:p w14:paraId="12970A52"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szCs w:val="20"/>
              </w:rPr>
            </w:pPr>
            <w:r w:rsidRPr="00444D43">
              <w:rPr>
                <w:szCs w:val="20"/>
              </w:rPr>
              <w:t>2.25 mL</w:t>
            </w:r>
          </w:p>
        </w:tc>
        <w:tc>
          <w:tcPr>
            <w:tcW w:w="548" w:type="pct"/>
          </w:tcPr>
          <w:p w14:paraId="4773B572"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szCs w:val="20"/>
              </w:rPr>
            </w:pPr>
            <w:r w:rsidRPr="00444D43">
              <w:rPr>
                <w:szCs w:val="20"/>
              </w:rPr>
              <w:t>0.4 mL</w:t>
            </w:r>
          </w:p>
        </w:tc>
        <w:tc>
          <w:tcPr>
            <w:tcW w:w="543" w:type="pct"/>
          </w:tcPr>
          <w:p w14:paraId="3D049F18" w14:textId="77777777" w:rsidR="000175C9" w:rsidRPr="001D6CAC"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pPr>
            <w:r w:rsidRPr="001D6CAC">
              <w:t>0.48 mL</w:t>
            </w:r>
          </w:p>
        </w:tc>
      </w:tr>
      <w:tr w:rsidR="004F40FC" w:rsidRPr="00FF70A0" w14:paraId="63BCE1AB" w14:textId="77777777" w:rsidTr="004F40FC">
        <w:tc>
          <w:tcPr>
            <w:cnfStyle w:val="001000000000" w:firstRow="0" w:lastRow="0" w:firstColumn="1" w:lastColumn="0" w:oddVBand="0" w:evenVBand="0" w:oddHBand="0" w:evenHBand="0" w:firstRowFirstColumn="0" w:firstRowLastColumn="0" w:lastRowFirstColumn="0" w:lastRowLastColumn="0"/>
            <w:tcW w:w="700" w:type="pct"/>
          </w:tcPr>
          <w:p w14:paraId="552533F2" w14:textId="77777777" w:rsidR="000175C9" w:rsidRPr="00444D43" w:rsidRDefault="000175C9" w:rsidP="006B2CA6">
            <w:pPr>
              <w:pStyle w:val="TableText"/>
              <w:ind w:left="-57" w:right="-57"/>
              <w:rPr>
                <w:bCs/>
                <w:szCs w:val="20"/>
              </w:rPr>
            </w:pPr>
            <w:r w:rsidRPr="00C51B28">
              <w:rPr>
                <w:b/>
                <w:bCs/>
                <w:szCs w:val="20"/>
              </w:rPr>
              <w:t>No. of doses per vial</w:t>
            </w:r>
          </w:p>
        </w:tc>
        <w:tc>
          <w:tcPr>
            <w:tcW w:w="627" w:type="pct"/>
          </w:tcPr>
          <w:p w14:paraId="0F46B671"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szCs w:val="20"/>
              </w:rPr>
            </w:pPr>
            <w:r w:rsidRPr="00444D43">
              <w:rPr>
                <w:szCs w:val="20"/>
              </w:rPr>
              <w:t>1</w:t>
            </w:r>
          </w:p>
        </w:tc>
        <w:tc>
          <w:tcPr>
            <w:tcW w:w="626" w:type="pct"/>
          </w:tcPr>
          <w:p w14:paraId="26D1B344"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szCs w:val="20"/>
              </w:rPr>
            </w:pPr>
            <w:r w:rsidRPr="00444D43">
              <w:rPr>
                <w:szCs w:val="20"/>
              </w:rPr>
              <w:t>6</w:t>
            </w:r>
          </w:p>
        </w:tc>
        <w:tc>
          <w:tcPr>
            <w:tcW w:w="626" w:type="pct"/>
          </w:tcPr>
          <w:p w14:paraId="55D7039B"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szCs w:val="20"/>
              </w:rPr>
            </w:pPr>
            <w:r w:rsidRPr="00444D43">
              <w:rPr>
                <w:szCs w:val="20"/>
              </w:rPr>
              <w:t>10</w:t>
            </w:r>
          </w:p>
        </w:tc>
        <w:tc>
          <w:tcPr>
            <w:tcW w:w="704" w:type="pct"/>
          </w:tcPr>
          <w:p w14:paraId="34B22B39"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szCs w:val="20"/>
              </w:rPr>
            </w:pPr>
            <w:r w:rsidRPr="00444D43">
              <w:rPr>
                <w:szCs w:val="20"/>
              </w:rPr>
              <w:t>1</w:t>
            </w:r>
          </w:p>
        </w:tc>
        <w:tc>
          <w:tcPr>
            <w:tcW w:w="626" w:type="pct"/>
          </w:tcPr>
          <w:p w14:paraId="32310259"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szCs w:val="20"/>
              </w:rPr>
            </w:pPr>
            <w:r w:rsidRPr="00444D43">
              <w:rPr>
                <w:szCs w:val="20"/>
              </w:rPr>
              <w:t>6</w:t>
            </w:r>
          </w:p>
        </w:tc>
        <w:tc>
          <w:tcPr>
            <w:tcW w:w="548" w:type="pct"/>
          </w:tcPr>
          <w:p w14:paraId="1D33E59A"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szCs w:val="20"/>
              </w:rPr>
            </w:pPr>
            <w:r w:rsidRPr="00444D43">
              <w:rPr>
                <w:szCs w:val="20"/>
              </w:rPr>
              <w:t>10</w:t>
            </w:r>
          </w:p>
        </w:tc>
        <w:tc>
          <w:tcPr>
            <w:tcW w:w="543" w:type="pct"/>
          </w:tcPr>
          <w:p w14:paraId="6AFC138B" w14:textId="77777777" w:rsidR="000175C9" w:rsidRPr="00321A3B"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pPr>
            <w:r w:rsidRPr="00321A3B">
              <w:t>3</w:t>
            </w:r>
          </w:p>
        </w:tc>
      </w:tr>
      <w:tr w:rsidR="003A20CD" w:rsidRPr="00FF70A0" w14:paraId="7D1167B9" w14:textId="77777777" w:rsidTr="004F40FC">
        <w:tc>
          <w:tcPr>
            <w:cnfStyle w:val="001000000000" w:firstRow="0" w:lastRow="0" w:firstColumn="1" w:lastColumn="0" w:oddVBand="0" w:evenVBand="0" w:oddHBand="0" w:evenHBand="0" w:firstRowFirstColumn="0" w:firstRowLastColumn="0" w:lastRowFirstColumn="0" w:lastRowLastColumn="0"/>
            <w:tcW w:w="700" w:type="pct"/>
          </w:tcPr>
          <w:p w14:paraId="40381217" w14:textId="77777777" w:rsidR="000175C9" w:rsidRPr="00444D43" w:rsidRDefault="000175C9" w:rsidP="006B2CA6">
            <w:pPr>
              <w:pStyle w:val="TableText"/>
              <w:ind w:left="-57" w:right="-57"/>
              <w:rPr>
                <w:bCs/>
                <w:szCs w:val="20"/>
              </w:rPr>
            </w:pPr>
            <w:r w:rsidRPr="00C51B28">
              <w:rPr>
                <w:b/>
                <w:bCs/>
                <w:szCs w:val="20"/>
              </w:rPr>
              <w:t>Dilution</w:t>
            </w:r>
          </w:p>
        </w:tc>
        <w:tc>
          <w:tcPr>
            <w:tcW w:w="1253" w:type="pct"/>
            <w:gridSpan w:val="2"/>
          </w:tcPr>
          <w:p w14:paraId="421ADF1C"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szCs w:val="20"/>
              </w:rPr>
            </w:pPr>
            <w:r w:rsidRPr="00444D43">
              <w:rPr>
                <w:szCs w:val="20"/>
              </w:rPr>
              <w:t>Do not dilute</w:t>
            </w:r>
          </w:p>
        </w:tc>
        <w:tc>
          <w:tcPr>
            <w:tcW w:w="626" w:type="pct"/>
          </w:tcPr>
          <w:p w14:paraId="1BEE1E73"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szCs w:val="20"/>
              </w:rPr>
            </w:pPr>
            <w:r w:rsidRPr="00444D43">
              <w:rPr>
                <w:szCs w:val="20"/>
              </w:rPr>
              <w:t>Requires dilution</w:t>
            </w:r>
          </w:p>
        </w:tc>
        <w:tc>
          <w:tcPr>
            <w:tcW w:w="1330" w:type="pct"/>
            <w:gridSpan w:val="2"/>
          </w:tcPr>
          <w:p w14:paraId="1912DD20"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szCs w:val="20"/>
              </w:rPr>
            </w:pPr>
            <w:r w:rsidRPr="00444D43">
              <w:rPr>
                <w:szCs w:val="20"/>
              </w:rPr>
              <w:t>Do not dilute</w:t>
            </w:r>
          </w:p>
        </w:tc>
        <w:tc>
          <w:tcPr>
            <w:tcW w:w="1091" w:type="pct"/>
            <w:gridSpan w:val="2"/>
          </w:tcPr>
          <w:p w14:paraId="03B9C2B6" w14:textId="77777777" w:rsidR="000175C9" w:rsidRPr="00444D43" w:rsidRDefault="000175C9" w:rsidP="006B2CA6">
            <w:pPr>
              <w:pStyle w:val="TableText"/>
              <w:ind w:left="-57" w:right="-57"/>
              <w:jc w:val="center"/>
              <w:cnfStyle w:val="000000000000" w:firstRow="0" w:lastRow="0" w:firstColumn="0" w:lastColumn="0" w:oddVBand="0" w:evenVBand="0" w:oddHBand="0" w:evenHBand="0" w:firstRowFirstColumn="0" w:firstRowLastColumn="0" w:lastRowFirstColumn="0" w:lastRowLastColumn="0"/>
              <w:rPr>
                <w:szCs w:val="20"/>
              </w:rPr>
            </w:pPr>
            <w:r w:rsidRPr="00444D43">
              <w:rPr>
                <w:szCs w:val="20"/>
              </w:rPr>
              <w:t>Requires dilution</w:t>
            </w:r>
          </w:p>
        </w:tc>
      </w:tr>
    </w:tbl>
    <w:p w14:paraId="4519E582" w14:textId="77777777" w:rsidR="000175C9" w:rsidRPr="002C5121" w:rsidRDefault="000175C9" w:rsidP="00C51B28">
      <w:pPr>
        <w:pStyle w:val="Heading5"/>
        <w:rPr>
          <w:snapToGrid w:val="0"/>
          <w:lang w:val="en-US"/>
        </w:rPr>
      </w:pPr>
      <w:bookmarkStart w:id="49" w:name="_Toc146896303"/>
      <w:r w:rsidRPr="002C5121">
        <w:rPr>
          <w:snapToGrid w:val="0"/>
          <w:lang w:val="en-US"/>
        </w:rPr>
        <w:t>Comparability</w:t>
      </w:r>
      <w:bookmarkEnd w:id="49"/>
    </w:p>
    <w:p w14:paraId="0D868F5C" w14:textId="276F6F56" w:rsidR="000175C9" w:rsidRPr="00C51B28" w:rsidRDefault="000175C9" w:rsidP="00C51B28">
      <w:r w:rsidRPr="00023C75">
        <w:t xml:space="preserve">The quality </w:t>
      </w:r>
      <w:r w:rsidR="009767EA">
        <w:t>evaluation</w:t>
      </w:r>
      <w:r w:rsidRPr="00023C75">
        <w:t xml:space="preserve"> commented that since</w:t>
      </w:r>
      <w:r w:rsidRPr="00C51B28">
        <w:t xml:space="preserve"> the manufacturing processes remains unchanged for both the DS and DP such that processes are previously validated (linear DNA template, DS and DP), the </w:t>
      </w:r>
      <w:r w:rsidR="002E0716" w:rsidRPr="002E0716">
        <w:t>sponsor</w:t>
      </w:r>
      <w:r w:rsidRPr="00C51B28">
        <w:t xml:space="preserve"> has provided a single confirmatory batch of DS (HD1999) and four confirmatory lots of </w:t>
      </w:r>
      <w:proofErr w:type="gramStart"/>
      <w:r w:rsidRPr="00C51B28">
        <w:t>DP</w:t>
      </w:r>
      <w:proofErr w:type="gramEnd"/>
      <w:r w:rsidRPr="00C51B28">
        <w:t xml:space="preserve"> (HD9835; HE0781; HE0786; and HE2391) manufactured at one approved manufacturing facility on approved manufacturing line(s).</w:t>
      </w:r>
    </w:p>
    <w:p w14:paraId="7E367BCF" w14:textId="6696AFB7" w:rsidR="000175C9" w:rsidRPr="00C51B28" w:rsidRDefault="000175C9" w:rsidP="00C51B28">
      <w:r w:rsidRPr="00C51B28">
        <w:t xml:space="preserve">The quality </w:t>
      </w:r>
      <w:r w:rsidR="009767EA">
        <w:t>evaluation</w:t>
      </w:r>
      <w:r w:rsidRPr="00C51B28">
        <w:t xml:space="preserve"> noted that the four DP lots represent the different product presentations: HD9835 </w:t>
      </w:r>
      <w:r w:rsidR="008E4386">
        <w:t>(</w:t>
      </w:r>
      <w:r w:rsidRPr="00C51B28">
        <w:t xml:space="preserve">0.48 mL </w:t>
      </w:r>
      <w:r w:rsidR="008E4386" w:rsidRPr="008E4386">
        <w:t>fill</w:t>
      </w:r>
      <w:r w:rsidRPr="00C51B28">
        <w:t>, 30 µg dose</w:t>
      </w:r>
      <w:r w:rsidR="008E4386">
        <w:t>),</w:t>
      </w:r>
      <w:r w:rsidRPr="00C51B28">
        <w:t xml:space="preserve"> HE0781 </w:t>
      </w:r>
      <w:r w:rsidR="008E4386">
        <w:t>(</w:t>
      </w:r>
      <w:r w:rsidRPr="00C51B28">
        <w:t xml:space="preserve">1.3 mL </w:t>
      </w:r>
      <w:r w:rsidR="008E4386" w:rsidRPr="008E4386">
        <w:t>fill</w:t>
      </w:r>
      <w:r w:rsidRPr="00C51B28">
        <w:t>, 10 µg dose (dilute to use)</w:t>
      </w:r>
      <w:r w:rsidR="008E4386">
        <w:t>),</w:t>
      </w:r>
      <w:r w:rsidRPr="00C51B28">
        <w:t xml:space="preserve"> HE0786 </w:t>
      </w:r>
      <w:r w:rsidR="008E4386">
        <w:t>(</w:t>
      </w:r>
      <w:r w:rsidRPr="00C51B28">
        <w:t>0.4</w:t>
      </w:r>
      <w:r w:rsidR="008E4386">
        <w:t> </w:t>
      </w:r>
      <w:r w:rsidRPr="00C51B28">
        <w:t xml:space="preserve">mL </w:t>
      </w:r>
      <w:r w:rsidR="008E4386" w:rsidRPr="008E4386">
        <w:t>fill</w:t>
      </w:r>
      <w:r w:rsidRPr="00C51B28">
        <w:t>, 3 µg dose (dilute to use)</w:t>
      </w:r>
      <w:r w:rsidR="008E4386">
        <w:t>),</w:t>
      </w:r>
      <w:r w:rsidRPr="00C51B28">
        <w:t xml:space="preserve"> and HE2391</w:t>
      </w:r>
      <w:r w:rsidR="008E4386">
        <w:t>(</w:t>
      </w:r>
      <w:r w:rsidRPr="00C51B28">
        <w:t xml:space="preserve">0.48 mL </w:t>
      </w:r>
      <w:r w:rsidR="008E4386" w:rsidRPr="008E4386">
        <w:t>fill</w:t>
      </w:r>
      <w:r w:rsidRPr="00C51B28">
        <w:t>, 10 µg dose (ready to use)</w:t>
      </w:r>
      <w:r w:rsidR="008E4386">
        <w:t>)</w:t>
      </w:r>
      <w:r w:rsidRPr="00C51B28">
        <w:t>. Given that the manufacture of the remains unchanged, the DP lots are considered representative of the DP manufacturing process and are acceptable.</w:t>
      </w:r>
    </w:p>
    <w:p w14:paraId="0B38A7AB" w14:textId="06BBFA00" w:rsidR="000175C9" w:rsidRDefault="000175C9" w:rsidP="00C51B28">
      <w:pPr>
        <w:pStyle w:val="Heading6"/>
        <w:rPr>
          <w:snapToGrid w:val="0"/>
        </w:rPr>
      </w:pPr>
      <w:bookmarkStart w:id="50" w:name="_Toc146896304"/>
      <w:r w:rsidRPr="002C5121">
        <w:rPr>
          <w:snapToGrid w:val="0"/>
        </w:rPr>
        <w:t xml:space="preserve">Drug </w:t>
      </w:r>
      <w:r w:rsidR="00F9304A">
        <w:rPr>
          <w:snapToGrid w:val="0"/>
        </w:rPr>
        <w:t>s</w:t>
      </w:r>
      <w:r w:rsidRPr="002C5121">
        <w:rPr>
          <w:snapToGrid w:val="0"/>
        </w:rPr>
        <w:t>ubstance</w:t>
      </w:r>
      <w:bookmarkEnd w:id="50"/>
    </w:p>
    <w:p w14:paraId="1784FB27" w14:textId="5C2418D0" w:rsidR="000175C9" w:rsidRPr="00C51B28" w:rsidRDefault="000175C9" w:rsidP="00023C75">
      <w:r w:rsidRPr="00023C75">
        <w:t xml:space="preserve">The quality </w:t>
      </w:r>
      <w:r w:rsidR="009767EA">
        <w:t>evaluation</w:t>
      </w:r>
      <w:r w:rsidRPr="00023C75">
        <w:t xml:space="preserve"> commented that b</w:t>
      </w:r>
      <w:r w:rsidRPr="00C51B28">
        <w:t>atch analysis for the single Omicron XBB.1.5 DS batch HD1999 met the acceptance criteria in place at the time of release. Since the manufacturing process of the DS is unchanged from the previous Original and Omicron DS manufacturing, the single DS release data indicate that the DS manufacturing process remains capable of consistently manufacturing DS meeting the required quality attributes.</w:t>
      </w:r>
    </w:p>
    <w:p w14:paraId="63A3CB33" w14:textId="47A30BFC" w:rsidR="000175C9" w:rsidRDefault="000175C9" w:rsidP="00C51B28">
      <w:pPr>
        <w:pStyle w:val="Heading6"/>
        <w:rPr>
          <w:snapToGrid w:val="0"/>
        </w:rPr>
      </w:pPr>
      <w:bookmarkStart w:id="51" w:name="_Toc146896305"/>
      <w:r w:rsidRPr="002C5121">
        <w:rPr>
          <w:snapToGrid w:val="0"/>
        </w:rPr>
        <w:t xml:space="preserve">Drug </w:t>
      </w:r>
      <w:r w:rsidR="002C0DB3" w:rsidRPr="002C5121">
        <w:rPr>
          <w:snapToGrid w:val="0"/>
        </w:rPr>
        <w:t>product</w:t>
      </w:r>
      <w:bookmarkEnd w:id="51"/>
    </w:p>
    <w:p w14:paraId="1DB76109" w14:textId="718A40D7" w:rsidR="000175C9" w:rsidRPr="00C51B28" w:rsidRDefault="000175C9" w:rsidP="00C51B28">
      <w:r w:rsidRPr="00023C75">
        <w:t xml:space="preserve">The quality </w:t>
      </w:r>
      <w:r w:rsidR="009767EA">
        <w:t>evaluation</w:t>
      </w:r>
      <w:r w:rsidRPr="00023C75">
        <w:t xml:space="preserve"> commented that the batch formula for the 0.1 mg/mL and the 0.033</w:t>
      </w:r>
      <w:r w:rsidR="002C0DB3">
        <w:t> </w:t>
      </w:r>
      <w:r w:rsidRPr="00023C75">
        <w:t xml:space="preserve">mg/mL bulk DP was previously evaluated as part of </w:t>
      </w:r>
      <w:r w:rsidR="005E3FEC">
        <w:t>Stage</w:t>
      </w:r>
      <w:r w:rsidR="002C0DB3">
        <w:t xml:space="preserve"> I </w:t>
      </w:r>
      <w:r w:rsidR="005E3FEC" w:rsidRPr="00023C75">
        <w:t>decision</w:t>
      </w:r>
      <w:r w:rsidRPr="00023C75">
        <w:t xml:space="preserve"> and is applicable for the remaining 5 presentations. It should also be noted that the newly introduced </w:t>
      </w:r>
      <w:r w:rsidRPr="00C51B28">
        <w:t>yellow cap</w:t>
      </w:r>
      <w:r w:rsidRPr="00023C75">
        <w:t xml:space="preserve"> presentation </w:t>
      </w:r>
      <w:r w:rsidRPr="00C51B28">
        <w:t xml:space="preserve">(3 </w:t>
      </w:r>
      <w:r w:rsidR="002C0DB3">
        <w:rPr>
          <w:bCs/>
          <w:sz w:val="20"/>
        </w:rPr>
        <w:t>µg</w:t>
      </w:r>
      <w:r w:rsidRPr="00C51B28">
        <w:t xml:space="preserve">/0.3 mL) is the same as the light blue presentation (AUST R </w:t>
      </w:r>
      <w:r w:rsidRPr="00023C75">
        <w:t>419371</w:t>
      </w:r>
      <w:r w:rsidRPr="00C51B28">
        <w:t xml:space="preserve">) approved under </w:t>
      </w:r>
      <w:r w:rsidR="005E3FEC">
        <w:t>Stage</w:t>
      </w:r>
      <w:r w:rsidR="002C0DB3">
        <w:t xml:space="preserve"> I </w:t>
      </w:r>
      <w:r w:rsidR="005E3FEC" w:rsidRPr="00023C75">
        <w:t>decision</w:t>
      </w:r>
      <w:r w:rsidRPr="00023C75">
        <w:t>.</w:t>
      </w:r>
    </w:p>
    <w:p w14:paraId="1F125343" w14:textId="77777777" w:rsidR="000175C9" w:rsidRPr="00827DAE" w:rsidRDefault="000175C9" w:rsidP="00C51B28">
      <w:pPr>
        <w:pStyle w:val="Heading5"/>
      </w:pPr>
      <w:bookmarkStart w:id="52" w:name="_Toc146896306"/>
      <w:r w:rsidRPr="00827DAE">
        <w:t>Stability</w:t>
      </w:r>
      <w:bookmarkEnd w:id="52"/>
    </w:p>
    <w:p w14:paraId="1D1105A3" w14:textId="377509C6" w:rsidR="000175C9" w:rsidRPr="002C5121" w:rsidRDefault="000175C9" w:rsidP="00C51B28">
      <w:pPr>
        <w:pStyle w:val="Heading6"/>
        <w:rPr>
          <w:snapToGrid w:val="0"/>
        </w:rPr>
      </w:pPr>
      <w:bookmarkStart w:id="53" w:name="_Toc146896307"/>
      <w:r w:rsidRPr="002C5121">
        <w:rPr>
          <w:snapToGrid w:val="0"/>
        </w:rPr>
        <w:t xml:space="preserve">Drug </w:t>
      </w:r>
      <w:r w:rsidR="00392F76" w:rsidRPr="002C5121">
        <w:rPr>
          <w:snapToGrid w:val="0"/>
        </w:rPr>
        <w:t>substance</w:t>
      </w:r>
      <w:bookmarkEnd w:id="53"/>
    </w:p>
    <w:p w14:paraId="3111FEF4" w14:textId="7025253C" w:rsidR="000175C9" w:rsidRPr="00C51B28" w:rsidRDefault="000175C9" w:rsidP="00C51B28">
      <w:r w:rsidRPr="00023C75">
        <w:t xml:space="preserve">The quality </w:t>
      </w:r>
      <w:r w:rsidR="009767EA">
        <w:t>evaluation</w:t>
      </w:r>
      <w:r w:rsidRPr="00023C75">
        <w:t xml:space="preserve"> commented that n</w:t>
      </w:r>
      <w:r w:rsidRPr="00C51B28">
        <w:t>o new stability data was submitted for the Omicron</w:t>
      </w:r>
      <w:r w:rsidR="00392F76">
        <w:t> </w:t>
      </w:r>
      <w:r w:rsidRPr="00C51B28">
        <w:t xml:space="preserve">XBB.1.5 DS at the time of evaluation. This </w:t>
      </w:r>
      <w:r w:rsidRPr="00023C75">
        <w:t xml:space="preserve">was previously discussed as part of </w:t>
      </w:r>
      <w:r w:rsidR="005E3FEC">
        <w:t>Stage</w:t>
      </w:r>
      <w:r w:rsidR="00444D43">
        <w:t> </w:t>
      </w:r>
      <w:r w:rsidR="002C0DB3">
        <w:t xml:space="preserve">I </w:t>
      </w:r>
      <w:r w:rsidR="005E3FEC" w:rsidRPr="00023C75">
        <w:t>decision</w:t>
      </w:r>
      <w:r w:rsidRPr="00023C75">
        <w:t xml:space="preserve"> and is applicable for the remaining 5 presentations.</w:t>
      </w:r>
      <w:r w:rsidRPr="00C51B28">
        <w:t xml:space="preserve"> The </w:t>
      </w:r>
      <w:r w:rsidR="002E0716" w:rsidRPr="002E0716">
        <w:t>sponsor</w:t>
      </w:r>
      <w:r w:rsidRPr="00C51B28">
        <w:t xml:space="preserve"> proposed a commercial shelf-life of the Omicron XBB.1.5 DS of:</w:t>
      </w:r>
    </w:p>
    <w:p w14:paraId="1A6EAE16" w14:textId="1885BF18" w:rsidR="000175C9" w:rsidRPr="00C51B28" w:rsidRDefault="000175C9" w:rsidP="00C51B28">
      <w:pPr>
        <w:pStyle w:val="ListBullet"/>
      </w:pPr>
      <w:r w:rsidRPr="00C51B28">
        <w:t xml:space="preserve">6 months when stored at the intended storage condition of -20±5°C in </w:t>
      </w:r>
      <w:r w:rsidR="00FF7784" w:rsidRPr="00FF7784">
        <w:t>ethyl vinyl acetate</w:t>
      </w:r>
      <w:r w:rsidR="00FF7784">
        <w:t xml:space="preserve"> (</w:t>
      </w:r>
      <w:r w:rsidRPr="00C51B28">
        <w:t>EVA</w:t>
      </w:r>
      <w:r w:rsidR="00FF7784">
        <w:t>)</w:t>
      </w:r>
      <w:r w:rsidRPr="00C51B28">
        <w:t xml:space="preserve"> bags</w:t>
      </w:r>
      <w:r w:rsidR="00FF7784">
        <w:t>.</w:t>
      </w:r>
    </w:p>
    <w:p w14:paraId="2319347F" w14:textId="3BBABE4B" w:rsidR="000175C9" w:rsidRPr="00C51B28" w:rsidRDefault="000175C9" w:rsidP="00C51B28">
      <w:r w:rsidRPr="00C51B28">
        <w:lastRenderedPageBreak/>
        <w:t>The shelf-life is based on the currently available results of primary stability studies conducted on commercial Original and Omicron (BA.4-5) DS batches corresponding with the approved shelf-life of the Original (tozinameran) DS and is acceptable since they are highly similar.</w:t>
      </w:r>
    </w:p>
    <w:p w14:paraId="18FFAFF3" w14:textId="7A3299DD" w:rsidR="000175C9" w:rsidRPr="002C5121" w:rsidRDefault="000175C9" w:rsidP="00C51B28">
      <w:pPr>
        <w:pStyle w:val="Heading7"/>
        <w:rPr>
          <w:rFonts w:eastAsia="Times New Roman"/>
          <w:snapToGrid w:val="0"/>
        </w:rPr>
      </w:pPr>
      <w:r w:rsidRPr="002C5121">
        <w:rPr>
          <w:rFonts w:eastAsia="Times New Roman"/>
          <w:snapToGrid w:val="0"/>
        </w:rPr>
        <w:t>Post-approval commitment</w:t>
      </w:r>
    </w:p>
    <w:p w14:paraId="240DBF84" w14:textId="5EC9F627" w:rsidR="000175C9" w:rsidRPr="00023C75" w:rsidRDefault="000175C9" w:rsidP="00023C75">
      <w:r w:rsidRPr="00023C75">
        <w:t xml:space="preserve">The sponsor is requested to provide the results from ongoing stability studies performed on Omicron XBB.1.5 DS lots when stored at -20±5°C and 5±3°C for each time point in accordance with the stability testing protocols provided </w:t>
      </w:r>
      <w:r w:rsidR="00145907">
        <w:t>to the TGA</w:t>
      </w:r>
      <w:r w:rsidR="000F39C4">
        <w:t xml:space="preserve"> (</w:t>
      </w:r>
      <w:r w:rsidRPr="00023C75">
        <w:t xml:space="preserve">Omicron XBB.1.5 </w:t>
      </w:r>
      <w:r w:rsidR="00444D43">
        <w:t>v</w:t>
      </w:r>
      <w:r w:rsidRPr="00023C75">
        <w:t>ariant</w:t>
      </w:r>
      <w:r w:rsidR="000F39C4">
        <w:t>)</w:t>
      </w:r>
      <w:r w:rsidRPr="00023C75">
        <w:t xml:space="preserve"> to confirm the shelf life of 6 months stored at -20±5°C.</w:t>
      </w:r>
    </w:p>
    <w:p w14:paraId="3E78F44F" w14:textId="62BC8912" w:rsidR="000175C9" w:rsidRPr="00C51B28" w:rsidRDefault="000175C9" w:rsidP="00C51B28">
      <w:pPr>
        <w:pStyle w:val="Heading6"/>
      </w:pPr>
      <w:bookmarkStart w:id="54" w:name="_Toc146896308"/>
      <w:r w:rsidRPr="00C51B28">
        <w:t xml:space="preserve">Drug </w:t>
      </w:r>
      <w:r w:rsidR="000F39C4" w:rsidRPr="000F39C4">
        <w:t>product</w:t>
      </w:r>
      <w:bookmarkEnd w:id="54"/>
    </w:p>
    <w:p w14:paraId="41414DDF" w14:textId="32E64AC1" w:rsidR="000175C9" w:rsidRPr="00C46CB4" w:rsidRDefault="000175C9" w:rsidP="00C51B28">
      <w:r w:rsidRPr="00C46CB4">
        <w:t xml:space="preserve">As noted previously in </w:t>
      </w:r>
      <w:r w:rsidR="005E3FEC">
        <w:t>Stage</w:t>
      </w:r>
      <w:r w:rsidR="002C0DB3">
        <w:t xml:space="preserve"> I </w:t>
      </w:r>
      <w:r w:rsidR="005E3FEC" w:rsidRPr="00023C75">
        <w:t>decision</w:t>
      </w:r>
      <w:r w:rsidRPr="00C46CB4">
        <w:t xml:space="preserve">, there was no stability data available at the time of evaluation of the DP. Following the </w:t>
      </w:r>
      <w:r w:rsidR="000341A4" w:rsidRPr="00C46CB4">
        <w:t>first</w:t>
      </w:r>
      <w:r w:rsidR="00903F60">
        <w:t xml:space="preserve"> </w:t>
      </w:r>
      <w:r w:rsidR="000341A4">
        <w:t>round</w:t>
      </w:r>
      <w:r w:rsidRPr="00C46CB4">
        <w:t xml:space="preserve"> </w:t>
      </w:r>
      <w:r w:rsidR="00903F60">
        <w:t xml:space="preserve">of </w:t>
      </w:r>
      <w:r w:rsidRPr="00C46CB4">
        <w:t xml:space="preserve">evaluation, the sponsor submitted a limited stability dataset for the XBB.1.5 DP which was evaluated in </w:t>
      </w:r>
      <w:r w:rsidR="000341A4">
        <w:t xml:space="preserve">the </w:t>
      </w:r>
      <w:r w:rsidR="00903F60">
        <w:t>second round</w:t>
      </w:r>
      <w:r w:rsidR="000341A4">
        <w:t xml:space="preserve"> </w:t>
      </w:r>
      <w:r w:rsidR="00903F60">
        <w:t xml:space="preserve">of </w:t>
      </w:r>
      <w:r w:rsidR="000341A4">
        <w:t>evaluation</w:t>
      </w:r>
      <w:r w:rsidRPr="00C46CB4">
        <w:t>.</w:t>
      </w:r>
    </w:p>
    <w:p w14:paraId="01552F52" w14:textId="60227799" w:rsidR="000175C9" w:rsidRPr="00C46CB4" w:rsidRDefault="000175C9" w:rsidP="00C51B28">
      <w:r w:rsidRPr="00C46CB4">
        <w:t xml:space="preserve">One month stability data was available for three DP lots stored at -90°C to -60°C (HD9835; HE0781; and HE0786) and demonstrated comparable stability with the Original monovalent DP at the </w:t>
      </w:r>
      <w:r w:rsidR="00DF0952">
        <w:t>one</w:t>
      </w:r>
      <w:r w:rsidRPr="00C46CB4">
        <w:t xml:space="preserve">-month storage point when stored at the recommended storage condition of -90°C to </w:t>
      </w:r>
      <w:r w:rsidR="00444D43">
        <w:noBreakHyphen/>
      </w:r>
      <w:r w:rsidRPr="00C46CB4">
        <w:t>60°C.</w:t>
      </w:r>
    </w:p>
    <w:p w14:paraId="280304FD" w14:textId="2BD2BE60" w:rsidR="000175C9" w:rsidRDefault="000175C9" w:rsidP="00C51B28">
      <w:pPr>
        <w:rPr>
          <w:rFonts w:eastAsia="Times New Roman"/>
          <w:b/>
          <w:bCs/>
          <w:snapToGrid w:val="0"/>
          <w:kern w:val="16"/>
          <w:szCs w:val="24"/>
        </w:rPr>
      </w:pPr>
      <w:r w:rsidRPr="00C51B28">
        <w:t>Since the XBB.1.5 DP is manufactured in an equivalent manner as previously registered Comirnaty products (Original and Bivalent presentations) and at the same manufacturing sites, and only differ in the sequence in the DS, leveraging the shelf-life from previously registered Comirnaty products for the establishment of the shelf-life for the XBB.1.5 DP is acceptable.</w:t>
      </w:r>
    </w:p>
    <w:p w14:paraId="16E31A4E" w14:textId="25C56336" w:rsidR="000175C9" w:rsidRPr="00C51B28" w:rsidRDefault="000175C9" w:rsidP="00C51B28">
      <w:r w:rsidRPr="00C51B28">
        <w:t xml:space="preserve">The recommended shelf-life for the XBB.1.5 </w:t>
      </w:r>
      <w:r w:rsidR="00DF0952">
        <w:t>v</w:t>
      </w:r>
      <w:r w:rsidRPr="00C51B28">
        <w:t>ariant DP is:</w:t>
      </w:r>
    </w:p>
    <w:p w14:paraId="2174E540" w14:textId="6D11734B" w:rsidR="000175C9" w:rsidRPr="00C51B28" w:rsidRDefault="000175C9" w:rsidP="00C51B28">
      <w:pPr>
        <w:pStyle w:val="ListBullet"/>
      </w:pPr>
      <w:r w:rsidRPr="00C51B28">
        <w:t>24 months when stored at the long-term storage condition of -90°C to -60°C</w:t>
      </w:r>
    </w:p>
    <w:p w14:paraId="1C8B8398" w14:textId="2E9B1FBF" w:rsidR="000175C9" w:rsidRPr="00C51B28" w:rsidRDefault="00DF0952" w:rsidP="00C51B28">
      <w:pPr>
        <w:pStyle w:val="ListBullet"/>
      </w:pPr>
      <w:r>
        <w:t>s</w:t>
      </w:r>
      <w:r w:rsidR="000175C9" w:rsidRPr="00C51B28">
        <w:t>helf-life also includes an allowance for storage at 5±3°C for up to 3 months, within the 24</w:t>
      </w:r>
      <w:r w:rsidR="00444D43">
        <w:noBreakHyphen/>
      </w:r>
      <w:r w:rsidR="000175C9" w:rsidRPr="00C51B28">
        <w:t>month, supporting the subsequent storage conditions of 5±3°C for 10 weeks at the point of use.</w:t>
      </w:r>
    </w:p>
    <w:p w14:paraId="6658726E" w14:textId="3A4ED23E" w:rsidR="000175C9" w:rsidRPr="002C5121" w:rsidRDefault="000175C9" w:rsidP="00C51B28">
      <w:pPr>
        <w:pStyle w:val="Heading5"/>
        <w:rPr>
          <w:rFonts w:eastAsia="Calibri"/>
          <w:snapToGrid w:val="0"/>
        </w:rPr>
      </w:pPr>
      <w:bookmarkStart w:id="55" w:name="_Toc146896309"/>
      <w:r w:rsidRPr="002C5121">
        <w:rPr>
          <w:rFonts w:eastAsia="Calibri"/>
          <w:snapToGrid w:val="0"/>
        </w:rPr>
        <w:t xml:space="preserve">Container </w:t>
      </w:r>
      <w:r w:rsidR="00DF0952" w:rsidRPr="00DF0952">
        <w:rPr>
          <w:rFonts w:eastAsia="Calibri"/>
        </w:rPr>
        <w:t>safety</w:t>
      </w:r>
      <w:bookmarkEnd w:id="55"/>
    </w:p>
    <w:p w14:paraId="6A2ADB85" w14:textId="24B96A00" w:rsidR="000175C9" w:rsidRPr="00C51B28" w:rsidRDefault="000175C9" w:rsidP="00C51B28">
      <w:r w:rsidRPr="00C51B28">
        <w:t xml:space="preserve">No updated information was submitted for the container closure system and the </w:t>
      </w:r>
      <w:r w:rsidR="00DF0952" w:rsidRPr="00DF0952">
        <w:t xml:space="preserve">container safety </w:t>
      </w:r>
      <w:r w:rsidR="00DF0952">
        <w:t>evaluation</w:t>
      </w:r>
      <w:r w:rsidR="00DF0952" w:rsidRPr="00DF0952">
        <w:t xml:space="preserve"> </w:t>
      </w:r>
      <w:r w:rsidRPr="00C51B28">
        <w:t xml:space="preserve">indicated that this was </w:t>
      </w:r>
      <w:r w:rsidR="00C46CB4" w:rsidRPr="00C46CB4">
        <w:t>acceptable,</w:t>
      </w:r>
      <w:r w:rsidRPr="00C51B28">
        <w:t xml:space="preserve"> and no further evaluation was required.</w:t>
      </w:r>
    </w:p>
    <w:p w14:paraId="09347D4C" w14:textId="77777777" w:rsidR="000175C9" w:rsidRPr="002C5121" w:rsidRDefault="000175C9" w:rsidP="00C51B28">
      <w:pPr>
        <w:pStyle w:val="Heading5"/>
        <w:rPr>
          <w:rFonts w:eastAsia="Calibri"/>
          <w:snapToGrid w:val="0"/>
        </w:rPr>
      </w:pPr>
      <w:bookmarkStart w:id="56" w:name="_Toc146896310"/>
      <w:r w:rsidRPr="002C5121">
        <w:rPr>
          <w:rFonts w:eastAsia="Calibri"/>
          <w:snapToGrid w:val="0"/>
        </w:rPr>
        <w:t>Endotoxin</w:t>
      </w:r>
      <w:bookmarkEnd w:id="56"/>
    </w:p>
    <w:p w14:paraId="3DB78960" w14:textId="50948861" w:rsidR="000175C9" w:rsidRPr="00C51B28" w:rsidRDefault="000175C9" w:rsidP="00C51B28">
      <w:r w:rsidRPr="00C51B28">
        <w:t>An endotoxin secondary evaluation was not required since it is the same formulation as those already submitted and the change relates to RNA sequence(s) used only.</w:t>
      </w:r>
    </w:p>
    <w:p w14:paraId="451E0DA1" w14:textId="28E5CF62" w:rsidR="000175C9" w:rsidRPr="002C5121" w:rsidRDefault="000175C9" w:rsidP="00C51B28">
      <w:pPr>
        <w:pStyle w:val="Heading5"/>
        <w:rPr>
          <w:rFonts w:eastAsia="Calibri"/>
          <w:snapToGrid w:val="0"/>
        </w:rPr>
      </w:pPr>
      <w:bookmarkStart w:id="57" w:name="_Toc146896311"/>
      <w:r w:rsidRPr="002C5121">
        <w:rPr>
          <w:rFonts w:eastAsia="Calibri"/>
          <w:snapToGrid w:val="0"/>
        </w:rPr>
        <w:t xml:space="preserve">Infectious </w:t>
      </w:r>
      <w:r w:rsidR="00C46CB4" w:rsidRPr="002C5121">
        <w:rPr>
          <w:rFonts w:eastAsia="Calibri"/>
          <w:snapToGrid w:val="0"/>
        </w:rPr>
        <w:t>disease/viral safety</w:t>
      </w:r>
      <w:bookmarkEnd w:id="57"/>
    </w:p>
    <w:p w14:paraId="2CFDA697" w14:textId="0AE45340" w:rsidR="000175C9" w:rsidRPr="00C51B28" w:rsidRDefault="000175C9" w:rsidP="00C51B28">
      <w:r w:rsidRPr="00C51B28">
        <w:t xml:space="preserve">A secondary evaluation was conducted to evaluate the infectious disease safety of the DS and DP and concluded that sufficient evidence has been provided to demonstrate that the risks related to the presence of adventitious agents in the manufacturing of </w:t>
      </w:r>
      <w:r w:rsidR="00987B5B" w:rsidRPr="00987B5B">
        <w:t>Comirnaty</w:t>
      </w:r>
      <w:r w:rsidRPr="00C51B28">
        <w:t xml:space="preserve"> Omicron XBB.1.5 (raxtozinameran) COVID-19 </w:t>
      </w:r>
      <w:r w:rsidR="00987B5B" w:rsidRPr="00987B5B">
        <w:t>vaccine</w:t>
      </w:r>
      <w:r w:rsidRPr="00C51B28">
        <w:t xml:space="preserve"> have been controlled to an acceptable level.</w:t>
      </w:r>
    </w:p>
    <w:p w14:paraId="19ECC52D" w14:textId="5BB617BF" w:rsidR="000175C9" w:rsidRPr="002C5121" w:rsidRDefault="000175C9" w:rsidP="00C51B28">
      <w:pPr>
        <w:pStyle w:val="Heading5"/>
        <w:rPr>
          <w:rFonts w:eastAsia="Calibri"/>
          <w:snapToGrid w:val="0"/>
        </w:rPr>
      </w:pPr>
      <w:bookmarkStart w:id="58" w:name="_Toc146896312"/>
      <w:r w:rsidRPr="002C5121">
        <w:rPr>
          <w:rFonts w:eastAsia="Calibri"/>
          <w:snapToGrid w:val="0"/>
        </w:rPr>
        <w:t>Microbiology (</w:t>
      </w:r>
      <w:r w:rsidR="00972FD3" w:rsidRPr="002C5121">
        <w:rPr>
          <w:rFonts w:eastAsia="Calibri"/>
          <w:snapToGrid w:val="0"/>
        </w:rPr>
        <w:t>sterility</w:t>
      </w:r>
      <w:r w:rsidRPr="002C5121">
        <w:rPr>
          <w:rFonts w:eastAsia="Calibri"/>
          <w:snapToGrid w:val="0"/>
        </w:rPr>
        <w:t>)</w:t>
      </w:r>
      <w:bookmarkEnd w:id="58"/>
    </w:p>
    <w:p w14:paraId="2B550C6A" w14:textId="7DD2CF2D" w:rsidR="000175C9" w:rsidRPr="00C51B28" w:rsidRDefault="000175C9" w:rsidP="00C51B28">
      <w:r w:rsidRPr="00C51B28">
        <w:t>A secondary evaluation was conducted to evaluate the sterility aspects and concluded there are no objections from a microbiological perspective for the proposed product presentations.</w:t>
      </w:r>
    </w:p>
    <w:p w14:paraId="78CA19C4" w14:textId="38A0539A" w:rsidR="000175C9" w:rsidRDefault="000175C9" w:rsidP="00C51B28">
      <w:pPr>
        <w:pStyle w:val="Heading5"/>
      </w:pPr>
      <w:r>
        <w:lastRenderedPageBreak/>
        <w:t>Conclusions and recommendation</w:t>
      </w:r>
      <w:r w:rsidR="00756E83">
        <w:t>s</w:t>
      </w:r>
    </w:p>
    <w:p w14:paraId="7C4B7D8B" w14:textId="2F59025E" w:rsidR="000175C9" w:rsidRPr="00C46CB4" w:rsidRDefault="000175C9" w:rsidP="00C46CB4">
      <w:r w:rsidRPr="00C46CB4">
        <w:t xml:space="preserve">There are no significant issues identified from </w:t>
      </w:r>
      <w:r w:rsidR="00A72880" w:rsidRPr="00C46CB4">
        <w:t xml:space="preserve">the quality evaluation of the submitted </w:t>
      </w:r>
      <w:r w:rsidRPr="00C46CB4">
        <w:t>data that would indicate the product should not be fully registered on the basis of quality, or safety</w:t>
      </w:r>
      <w:r w:rsidR="00545FAF">
        <w:noBreakHyphen/>
      </w:r>
      <w:r w:rsidRPr="00C46CB4">
        <w:t>related issues arising from the quality of the product.</w:t>
      </w:r>
    </w:p>
    <w:p w14:paraId="771C3BBF" w14:textId="08A54CE8" w:rsidR="000175C9" w:rsidRPr="00C51B28" w:rsidRDefault="000175C9" w:rsidP="00C46CB4">
      <w:r w:rsidRPr="00C46CB4">
        <w:t xml:space="preserve">The manufacturing quality information submitted by the </w:t>
      </w:r>
      <w:r w:rsidR="002E0716" w:rsidRPr="00C46CB4">
        <w:t>sponsor</w:t>
      </w:r>
      <w:r w:rsidRPr="00C46CB4">
        <w:t xml:space="preserve"> support the full registration of:</w:t>
      </w:r>
    </w:p>
    <w:p w14:paraId="112D1124" w14:textId="0DE1C59E" w:rsidR="000175C9" w:rsidRPr="00C46CB4" w:rsidRDefault="00987B5B" w:rsidP="00C51B28">
      <w:pPr>
        <w:pStyle w:val="ListBullet"/>
      </w:pPr>
      <w:r w:rsidRPr="00C46CB4">
        <w:t>Comirnaty</w:t>
      </w:r>
      <w:r w:rsidR="000175C9" w:rsidRPr="00C46CB4">
        <w:t xml:space="preserve"> Omicron XBB.1.5 (raxtozinameran) COVID-19 </w:t>
      </w:r>
      <w:r w:rsidRPr="00C46CB4">
        <w:t>vaccine</w:t>
      </w:r>
      <w:r w:rsidR="000175C9" w:rsidRPr="00C46CB4">
        <w:t xml:space="preserve"> 30 </w:t>
      </w:r>
      <w:r w:rsidR="002C0DB3">
        <w:rPr>
          <w:bCs/>
          <w:sz w:val="20"/>
        </w:rPr>
        <w:t>µg</w:t>
      </w:r>
      <w:r w:rsidR="000175C9" w:rsidRPr="00C46CB4">
        <w:t>/0.3 mL suspension for injection single dose vial (</w:t>
      </w:r>
      <w:r w:rsidR="00AB22CD">
        <w:t>one</w:t>
      </w:r>
      <w:r w:rsidR="000175C9" w:rsidRPr="00C46CB4">
        <w:t xml:space="preserve"> dose per vial) (</w:t>
      </w:r>
      <w:r w:rsidR="00F91C8D" w:rsidRPr="00F91C8D">
        <w:t xml:space="preserve">light grey cap – </w:t>
      </w:r>
      <w:r w:rsidR="00F91C8D" w:rsidRPr="00AB22CD">
        <w:t>ready to use</w:t>
      </w:r>
      <w:r w:rsidR="00F91C8D" w:rsidRPr="00C46CB4">
        <w:t>)</w:t>
      </w:r>
    </w:p>
    <w:p w14:paraId="08F74435" w14:textId="06B9C295" w:rsidR="000175C9" w:rsidRPr="00C46CB4" w:rsidRDefault="00987B5B" w:rsidP="00C51B28">
      <w:pPr>
        <w:pStyle w:val="ListBullet"/>
      </w:pPr>
      <w:r w:rsidRPr="00C46CB4">
        <w:t>Comirnaty</w:t>
      </w:r>
      <w:r w:rsidR="000175C9" w:rsidRPr="00C46CB4">
        <w:t xml:space="preserve"> Omicron XBB.1.5 (raxtozinameran) COVID-19 </w:t>
      </w:r>
      <w:r w:rsidRPr="00C46CB4">
        <w:t>vaccine</w:t>
      </w:r>
      <w:r w:rsidR="000175C9" w:rsidRPr="00C46CB4">
        <w:t xml:space="preserve"> 10 </w:t>
      </w:r>
      <w:r w:rsidR="002C0DB3">
        <w:rPr>
          <w:bCs/>
          <w:sz w:val="20"/>
        </w:rPr>
        <w:t>µg</w:t>
      </w:r>
      <w:r w:rsidR="000175C9" w:rsidRPr="00C46CB4">
        <w:t>/0.2 mL concentrated suspension for injection multidose vial (10 doses per vial) (</w:t>
      </w:r>
      <w:r w:rsidR="00F91C8D" w:rsidRPr="00F91C8D">
        <w:t>orange cap</w:t>
      </w:r>
      <w:r w:rsidR="00F91C8D" w:rsidRPr="00C46CB4">
        <w:t xml:space="preserve"> </w:t>
      </w:r>
      <w:r w:rsidR="00F91C8D" w:rsidRPr="00F91C8D">
        <w:t>–</w:t>
      </w:r>
      <w:r w:rsidR="00F91C8D" w:rsidRPr="00C46CB4">
        <w:t xml:space="preserve"> </w:t>
      </w:r>
      <w:r w:rsidR="00F91C8D" w:rsidRPr="00F91C8D">
        <w:t>requires dilution</w:t>
      </w:r>
      <w:r w:rsidR="000175C9" w:rsidRPr="00C46CB4">
        <w:t>)</w:t>
      </w:r>
    </w:p>
    <w:p w14:paraId="11006C97" w14:textId="3CB6B3BB" w:rsidR="000175C9" w:rsidRPr="00C46CB4" w:rsidRDefault="00987B5B" w:rsidP="00C51B28">
      <w:pPr>
        <w:pStyle w:val="ListBullet"/>
      </w:pPr>
      <w:r w:rsidRPr="00C46CB4">
        <w:t>Comirnaty</w:t>
      </w:r>
      <w:r w:rsidR="000175C9" w:rsidRPr="00C46CB4">
        <w:t xml:space="preserve"> Omicron XBB.1.5 (raxtozinameran) COVID-19 </w:t>
      </w:r>
      <w:r w:rsidRPr="00C46CB4">
        <w:t>vaccine</w:t>
      </w:r>
      <w:r w:rsidR="000175C9" w:rsidRPr="00C46CB4">
        <w:t xml:space="preserve"> 10 </w:t>
      </w:r>
      <w:r w:rsidR="002C0DB3">
        <w:rPr>
          <w:bCs/>
          <w:sz w:val="20"/>
        </w:rPr>
        <w:t>µg</w:t>
      </w:r>
      <w:r w:rsidR="000175C9" w:rsidRPr="00C46CB4">
        <w:t>/0.3 mL suspension for injection multidose vial (6 doses per vial) (</w:t>
      </w:r>
      <w:r w:rsidR="00F91C8D" w:rsidRPr="00F91C8D">
        <w:t>dark blue cap – ready to use</w:t>
      </w:r>
      <w:r w:rsidR="000175C9" w:rsidRPr="00C46CB4">
        <w:t>)</w:t>
      </w:r>
    </w:p>
    <w:p w14:paraId="58528D55" w14:textId="028898FB" w:rsidR="000175C9" w:rsidRPr="00C46CB4" w:rsidRDefault="00987B5B" w:rsidP="00C51B28">
      <w:pPr>
        <w:pStyle w:val="ListBullet"/>
      </w:pPr>
      <w:r w:rsidRPr="00C46CB4">
        <w:t>Comirnaty</w:t>
      </w:r>
      <w:r w:rsidR="000175C9" w:rsidRPr="00C46CB4">
        <w:t xml:space="preserve"> Omicron XBB.1.5 (raxtozinameran) COVID-19 </w:t>
      </w:r>
      <w:r w:rsidRPr="00C46CB4">
        <w:t>vaccine</w:t>
      </w:r>
      <w:r w:rsidR="000175C9" w:rsidRPr="00C46CB4">
        <w:t xml:space="preserve"> 3 </w:t>
      </w:r>
      <w:r w:rsidR="002C0DB3">
        <w:rPr>
          <w:bCs/>
          <w:sz w:val="20"/>
        </w:rPr>
        <w:t>µg</w:t>
      </w:r>
      <w:r w:rsidR="000175C9" w:rsidRPr="00C46CB4">
        <w:t>/0.2 mL concentrated suspension for injection multidose vial (10 doses per vial) (</w:t>
      </w:r>
      <w:r w:rsidR="00F91C8D" w:rsidRPr="00F91C8D">
        <w:t>maroon cap – requires dilution</w:t>
      </w:r>
      <w:r w:rsidR="000175C9" w:rsidRPr="00C46CB4">
        <w:t>)</w:t>
      </w:r>
    </w:p>
    <w:p w14:paraId="7204E3B9" w14:textId="210F8061" w:rsidR="000175C9" w:rsidRPr="00C46CB4" w:rsidRDefault="00987B5B" w:rsidP="00C51B28">
      <w:pPr>
        <w:pStyle w:val="ListBullet"/>
      </w:pPr>
      <w:r w:rsidRPr="00C46CB4">
        <w:t>Comirnaty</w:t>
      </w:r>
      <w:r w:rsidR="000175C9" w:rsidRPr="00C46CB4">
        <w:t xml:space="preserve"> Omicron XBB.1.5 (raxtozinameran) COVID-19 </w:t>
      </w:r>
      <w:r w:rsidRPr="00C46CB4">
        <w:t>vaccine</w:t>
      </w:r>
      <w:r w:rsidR="000175C9" w:rsidRPr="00C46CB4">
        <w:t xml:space="preserve"> 3 </w:t>
      </w:r>
      <w:r w:rsidR="002C0DB3">
        <w:rPr>
          <w:bCs/>
          <w:sz w:val="20"/>
        </w:rPr>
        <w:t>µg</w:t>
      </w:r>
      <w:r w:rsidR="000175C9" w:rsidRPr="00C46CB4">
        <w:t>/0.3 mL concentrated suspension for injection multidose vial (3 doses per vial) (</w:t>
      </w:r>
      <w:r w:rsidR="00F91C8D" w:rsidRPr="00F91C8D">
        <w:t>yellow cap – requires dilution</w:t>
      </w:r>
      <w:r w:rsidR="000175C9" w:rsidRPr="00C46CB4">
        <w:t>)</w:t>
      </w:r>
    </w:p>
    <w:p w14:paraId="423B7B25" w14:textId="57515DD3" w:rsidR="005D15BF" w:rsidRPr="00C46CB4" w:rsidRDefault="000175C9" w:rsidP="00C51B28">
      <w:r w:rsidRPr="00C46CB4">
        <w:t xml:space="preserve">The </w:t>
      </w:r>
      <w:r w:rsidR="00545FAF">
        <w:t>quality</w:t>
      </w:r>
      <w:r w:rsidRPr="00C46CB4">
        <w:t xml:space="preserve"> Delegate has reviewed the </w:t>
      </w:r>
      <w:r w:rsidR="00853F83" w:rsidRPr="00C46CB4">
        <w:t xml:space="preserve">proposed conditions of registration </w:t>
      </w:r>
      <w:r w:rsidRPr="00C46CB4">
        <w:t xml:space="preserve">to ensure the product is fully compliant with all the previously mentioned </w:t>
      </w:r>
      <w:proofErr w:type="gramStart"/>
      <w:r w:rsidRPr="00C46CB4">
        <w:t>instruments, before</w:t>
      </w:r>
      <w:proofErr w:type="gramEnd"/>
      <w:r w:rsidRPr="00C46CB4">
        <w:t xml:space="preserve"> release into the market.</w:t>
      </w:r>
    </w:p>
    <w:p w14:paraId="2BE90AAE" w14:textId="491714B5" w:rsidR="00C22214" w:rsidRDefault="00C22214" w:rsidP="00C22214">
      <w:pPr>
        <w:pStyle w:val="Heading3"/>
      </w:pPr>
      <w:bookmarkStart w:id="59" w:name="_Toc158382391"/>
      <w:r>
        <w:t>Nonclinical</w:t>
      </w:r>
      <w:bookmarkEnd w:id="43"/>
      <w:bookmarkEnd w:id="44"/>
      <w:bookmarkEnd w:id="59"/>
    </w:p>
    <w:p w14:paraId="7C9F9F4A" w14:textId="177EADA6" w:rsidR="00FB3F9F" w:rsidRDefault="00FB3F9F" w:rsidP="00FB3F9F">
      <w:bookmarkStart w:id="60" w:name="_Toc247691530"/>
      <w:bookmarkStart w:id="61" w:name="_Toc314842513"/>
      <w:bookmarkStart w:id="62" w:name="_Toc103679297"/>
      <w:r>
        <w:t xml:space="preserve">The nonclinical dossier comprised of two pharmacology studies comparing the immunogenicity of the Omicron XBB.1.5 </w:t>
      </w:r>
      <w:proofErr w:type="spellStart"/>
      <w:r>
        <w:t>sublineage</w:t>
      </w:r>
      <w:proofErr w:type="spellEnd"/>
      <w:r>
        <w:t>-modified vaccines as a primary series (two doses) in naïve mice and a fourth booster dose in</w:t>
      </w:r>
      <w:r w:rsidR="00563B3B" w:rsidRPr="00563B3B">
        <w:t xml:space="preserve"> BNT162b2</w:t>
      </w:r>
      <w:r>
        <w:t xml:space="preserve"> experienced mice. In addition, a study report on distribution and protein expression in mice after injection of a green fluorescent protein (GFP) modified RNA LNP was submitted. No pharmacology protection studies for Omicron XBB.1.5 were submitted. This is acceptable as there are no changes to the original vaccine formulation except for replacement of a serotype strain RNA. All other nonclinical safety studies were covered in the original Comirnaty application.</w:t>
      </w:r>
      <w:bookmarkStart w:id="63" w:name="_Ref147401181"/>
      <w:r>
        <w:rPr>
          <w:rStyle w:val="FootnoteReference"/>
        </w:rPr>
        <w:footnoteReference w:id="8"/>
      </w:r>
      <w:bookmarkEnd w:id="63"/>
    </w:p>
    <w:p w14:paraId="5A66FEED" w14:textId="77777777" w:rsidR="00FB3F9F" w:rsidRDefault="00FB3F9F" w:rsidP="00FB3F9F">
      <w:pPr>
        <w:pStyle w:val="Heading4"/>
      </w:pPr>
      <w:bookmarkStart w:id="64" w:name="_Toc158382392"/>
      <w:r>
        <w:t>Immunogenicity</w:t>
      </w:r>
      <w:bookmarkEnd w:id="64"/>
    </w:p>
    <w:p w14:paraId="3C4EABCE" w14:textId="18CF5B9D" w:rsidR="00FB3F9F" w:rsidRDefault="00FB3F9F" w:rsidP="00FB3F9F">
      <w:r>
        <w:t xml:space="preserve">The immunogenicity of COVID-19 monovalent and bivalent XBB.1.5, </w:t>
      </w:r>
      <w:proofErr w:type="spellStart"/>
      <w:r>
        <w:t>sublineage</w:t>
      </w:r>
      <w:proofErr w:type="spellEnd"/>
      <w:r>
        <w:t>-modified vaccines in naïve mice as a primary series is listed below</w:t>
      </w:r>
      <w:r w:rsidR="00DA15B8">
        <w:t>.</w:t>
      </w:r>
    </w:p>
    <w:p w14:paraId="7BCC1C17" w14:textId="58150962" w:rsidR="00FB3F9F" w:rsidRDefault="00FB3F9F" w:rsidP="00FB3F9F">
      <w:r>
        <w:t>The Omicron XBB.1.5 (0.5</w:t>
      </w:r>
      <w:r w:rsidR="00DA15B8">
        <w:t xml:space="preserve"> </w:t>
      </w:r>
      <w:r>
        <w:t xml:space="preserve">µg) </w:t>
      </w:r>
      <w:proofErr w:type="spellStart"/>
      <w:r>
        <w:t>sublineage</w:t>
      </w:r>
      <w:proofErr w:type="spellEnd"/>
      <w:r>
        <w:t>-modified monovalent and bivalent vaccines (</w:t>
      </w:r>
      <w:r w:rsidR="00DA15B8">
        <w:t xml:space="preserve">Omicron </w:t>
      </w:r>
      <w:r>
        <w:t>BA.4/5 (0.25</w:t>
      </w:r>
      <w:r w:rsidR="00DA15B8">
        <w:t xml:space="preserve"> </w:t>
      </w:r>
      <w:r>
        <w:t xml:space="preserve">µg) </w:t>
      </w:r>
      <w:r w:rsidR="00DA15B8">
        <w:t>plus</w:t>
      </w:r>
      <w:r>
        <w:t xml:space="preserve"> </w:t>
      </w:r>
      <w:r w:rsidR="00DA15B8">
        <w:t xml:space="preserve">Omicron </w:t>
      </w:r>
      <w:r>
        <w:t>XBB.1.5(0.25</w:t>
      </w:r>
      <w:r w:rsidR="00DA15B8">
        <w:t xml:space="preserve"> </w:t>
      </w:r>
      <w:r>
        <w:t xml:space="preserve">µg)) as a primary </w:t>
      </w:r>
      <w:r w:rsidR="00DA15B8">
        <w:t xml:space="preserve">two </w:t>
      </w:r>
      <w:r>
        <w:t>dose series in naïve mice induced higher (19</w:t>
      </w:r>
      <w:r w:rsidR="00DA15B8">
        <w:t xml:space="preserve"> to </w:t>
      </w:r>
      <w:r>
        <w:t xml:space="preserve">42-fold) neutralising antibody response against </w:t>
      </w:r>
      <w:r w:rsidR="00DA15B8">
        <w:t xml:space="preserve">Omicron </w:t>
      </w:r>
      <w:r>
        <w:t>XBB.1.5, XBB.1.16, XBB.1.16.1 and XBB.2.3 compared to bivalent (</w:t>
      </w:r>
      <w:r w:rsidR="00DA15B8">
        <w:t>wild type</w:t>
      </w:r>
      <w:r>
        <w:t xml:space="preserve"> (0.25</w:t>
      </w:r>
      <w:r w:rsidR="00DA15B8">
        <w:t xml:space="preserve"> </w:t>
      </w:r>
      <w:r>
        <w:t>µg)</w:t>
      </w:r>
      <w:r w:rsidR="00DA15B8">
        <w:t xml:space="preserve"> plus Omicron </w:t>
      </w:r>
      <w:r>
        <w:t>BA.4/5</w:t>
      </w:r>
      <w:r w:rsidR="00DA15B8">
        <w:t xml:space="preserve"> </w:t>
      </w:r>
      <w:r>
        <w:t>(0.25</w:t>
      </w:r>
      <w:r w:rsidR="00DA15B8">
        <w:t xml:space="preserve"> </w:t>
      </w:r>
      <w:r>
        <w:t xml:space="preserve">µg)) vaccine. However, the strongest responses were generally observed with the monovalent BNT162b2 XBB.1.5 group (see </w:t>
      </w:r>
      <w:r w:rsidR="00DA15B8">
        <w:fldChar w:fldCharType="begin"/>
      </w:r>
      <w:r w:rsidR="00DA15B8">
        <w:instrText xml:space="preserve"> REF _Ref147400771 \h </w:instrText>
      </w:r>
      <w:r w:rsidR="00DA15B8">
        <w:fldChar w:fldCharType="separate"/>
      </w:r>
      <w:r w:rsidR="003A20CD" w:rsidRPr="00DA15B8">
        <w:t xml:space="preserve">Table </w:t>
      </w:r>
      <w:r w:rsidR="003A20CD">
        <w:rPr>
          <w:noProof/>
        </w:rPr>
        <w:t>5</w:t>
      </w:r>
      <w:r w:rsidR="00DA15B8">
        <w:fldChar w:fldCharType="end"/>
      </w:r>
      <w:r w:rsidR="00DA15B8">
        <w:t xml:space="preserve"> </w:t>
      </w:r>
      <w:r>
        <w:t>below).</w:t>
      </w:r>
    </w:p>
    <w:p w14:paraId="32FC0F62" w14:textId="2AE919B1" w:rsidR="00DA15B8" w:rsidRDefault="00DA15B8" w:rsidP="003B1DA9">
      <w:pPr>
        <w:pStyle w:val="TableTitle"/>
        <w:pageBreakBefore/>
      </w:pPr>
      <w:bookmarkStart w:id="65" w:name="_Ref147400771"/>
      <w:r w:rsidRPr="00DA15B8">
        <w:lastRenderedPageBreak/>
        <w:t xml:space="preserve">Table </w:t>
      </w:r>
      <w:r>
        <w:fldChar w:fldCharType="begin"/>
      </w:r>
      <w:r>
        <w:instrText>SEQ Table \* ARABIC</w:instrText>
      </w:r>
      <w:r>
        <w:fldChar w:fldCharType="separate"/>
      </w:r>
      <w:r w:rsidR="003A20CD">
        <w:rPr>
          <w:noProof/>
        </w:rPr>
        <w:t>5</w:t>
      </w:r>
      <w:r>
        <w:fldChar w:fldCharType="end"/>
      </w:r>
      <w:bookmarkEnd w:id="65"/>
      <w:r>
        <w:t xml:space="preserve">: </w:t>
      </w:r>
      <w:r w:rsidRPr="00DA15B8">
        <w:t xml:space="preserve">Neutralising antibody titres, </w:t>
      </w:r>
      <w:r>
        <w:t>one</w:t>
      </w:r>
      <w:r w:rsidRPr="00DA15B8">
        <w:t xml:space="preserve"> month after </w:t>
      </w:r>
      <w:r>
        <w:t>two</w:t>
      </w:r>
      <w:r w:rsidRPr="00DA15B8">
        <w:t xml:space="preserve"> doses of monovalent or bivalent vaccine as a primary series</w:t>
      </w:r>
    </w:p>
    <w:tbl>
      <w:tblPr>
        <w:tblStyle w:val="TableGrid"/>
        <w:tblW w:w="5000" w:type="pct"/>
        <w:tblLook w:val="04A0" w:firstRow="1" w:lastRow="0" w:firstColumn="1" w:lastColumn="0" w:noHBand="0" w:noVBand="1"/>
      </w:tblPr>
      <w:tblGrid>
        <w:gridCol w:w="2581"/>
        <w:gridCol w:w="941"/>
        <w:gridCol w:w="990"/>
        <w:gridCol w:w="1101"/>
        <w:gridCol w:w="1132"/>
        <w:gridCol w:w="1313"/>
        <w:gridCol w:w="1002"/>
      </w:tblGrid>
      <w:tr w:rsidR="00DA15B8" w:rsidRPr="001F2DBB" w14:paraId="3EF408AB" w14:textId="77777777" w:rsidTr="00DA15B8">
        <w:trPr>
          <w:trHeight w:val="290"/>
        </w:trPr>
        <w:tc>
          <w:tcPr>
            <w:tcW w:w="1486" w:type="pct"/>
            <w:vMerge w:val="restart"/>
            <w:noWrap/>
          </w:tcPr>
          <w:p w14:paraId="4D9E3975" w14:textId="77777777" w:rsidR="00DA15B8" w:rsidRPr="001F2DBB" w:rsidRDefault="00DA15B8" w:rsidP="000E35DC">
            <w:pPr>
              <w:rPr>
                <w:bCs/>
              </w:rPr>
            </w:pPr>
            <w:r w:rsidRPr="001F2DBB">
              <w:rPr>
                <w:b/>
                <w:bCs/>
              </w:rPr>
              <w:t>Vaccines</w:t>
            </w:r>
          </w:p>
        </w:tc>
        <w:tc>
          <w:tcPr>
            <w:tcW w:w="3514" w:type="pct"/>
            <w:gridSpan w:val="6"/>
            <w:noWrap/>
          </w:tcPr>
          <w:p w14:paraId="4A0F1060" w14:textId="77777777" w:rsidR="00DA15B8" w:rsidRPr="001F2DBB" w:rsidRDefault="00DA15B8" w:rsidP="000E35DC">
            <w:pPr>
              <w:rPr>
                <w:b/>
                <w:bCs/>
              </w:rPr>
            </w:pPr>
            <w:r w:rsidRPr="001F2DBB">
              <w:rPr>
                <w:b/>
                <w:bCs/>
              </w:rPr>
              <w:t>Variants</w:t>
            </w:r>
          </w:p>
        </w:tc>
      </w:tr>
      <w:tr w:rsidR="00DA15B8" w:rsidRPr="001F2DBB" w14:paraId="6147B26E" w14:textId="77777777" w:rsidTr="00DA15B8">
        <w:trPr>
          <w:trHeight w:val="290"/>
        </w:trPr>
        <w:tc>
          <w:tcPr>
            <w:tcW w:w="1486" w:type="pct"/>
            <w:vMerge/>
            <w:noWrap/>
          </w:tcPr>
          <w:p w14:paraId="32FD6123" w14:textId="77777777" w:rsidR="00DA15B8" w:rsidRPr="001F2DBB" w:rsidRDefault="00DA15B8" w:rsidP="000E35DC">
            <w:pPr>
              <w:rPr>
                <w:b/>
                <w:bCs/>
              </w:rPr>
            </w:pPr>
          </w:p>
        </w:tc>
        <w:tc>
          <w:tcPr>
            <w:tcW w:w="520" w:type="pct"/>
            <w:noWrap/>
          </w:tcPr>
          <w:p w14:paraId="3D844D76" w14:textId="77777777" w:rsidR="00DA15B8" w:rsidRPr="001F2DBB" w:rsidRDefault="00DA15B8" w:rsidP="000E35DC">
            <w:pPr>
              <w:rPr>
                <w:b/>
                <w:bCs/>
              </w:rPr>
            </w:pPr>
            <w:r w:rsidRPr="001F2DBB">
              <w:rPr>
                <w:b/>
                <w:bCs/>
              </w:rPr>
              <w:t>Wuhan</w:t>
            </w:r>
          </w:p>
        </w:tc>
        <w:tc>
          <w:tcPr>
            <w:tcW w:w="669" w:type="pct"/>
            <w:noWrap/>
          </w:tcPr>
          <w:p w14:paraId="179C883A" w14:textId="77777777" w:rsidR="00DA15B8" w:rsidRPr="001F2DBB" w:rsidRDefault="00DA15B8" w:rsidP="000E35DC">
            <w:pPr>
              <w:rPr>
                <w:b/>
                <w:bCs/>
              </w:rPr>
            </w:pPr>
            <w:r w:rsidRPr="001F2DBB">
              <w:rPr>
                <w:b/>
                <w:bCs/>
              </w:rPr>
              <w:t>BA.4/5</w:t>
            </w:r>
          </w:p>
        </w:tc>
        <w:tc>
          <w:tcPr>
            <w:tcW w:w="669" w:type="pct"/>
            <w:noWrap/>
          </w:tcPr>
          <w:p w14:paraId="6B22E32C" w14:textId="77777777" w:rsidR="00DA15B8" w:rsidRPr="001F2DBB" w:rsidRDefault="00DA15B8" w:rsidP="000E35DC">
            <w:pPr>
              <w:rPr>
                <w:b/>
                <w:bCs/>
              </w:rPr>
            </w:pPr>
            <w:r w:rsidRPr="001F2DBB">
              <w:rPr>
                <w:b/>
                <w:bCs/>
              </w:rPr>
              <w:t>XBB.1.5</w:t>
            </w:r>
          </w:p>
        </w:tc>
        <w:tc>
          <w:tcPr>
            <w:tcW w:w="594" w:type="pct"/>
            <w:noWrap/>
          </w:tcPr>
          <w:p w14:paraId="3472017A" w14:textId="77777777" w:rsidR="00DA15B8" w:rsidRPr="001F2DBB" w:rsidRDefault="00DA15B8" w:rsidP="000E35DC">
            <w:pPr>
              <w:rPr>
                <w:b/>
                <w:bCs/>
              </w:rPr>
            </w:pPr>
            <w:r w:rsidRPr="001F2DBB">
              <w:rPr>
                <w:b/>
                <w:bCs/>
              </w:rPr>
              <w:t>XBB.1.16</w:t>
            </w:r>
          </w:p>
        </w:tc>
        <w:tc>
          <w:tcPr>
            <w:tcW w:w="594" w:type="pct"/>
            <w:noWrap/>
          </w:tcPr>
          <w:p w14:paraId="14AF6DC7" w14:textId="77777777" w:rsidR="00DA15B8" w:rsidRPr="001F2DBB" w:rsidRDefault="00DA15B8" w:rsidP="000E35DC">
            <w:pPr>
              <w:rPr>
                <w:b/>
                <w:bCs/>
              </w:rPr>
            </w:pPr>
            <w:r w:rsidRPr="001F2DBB">
              <w:rPr>
                <w:b/>
                <w:bCs/>
              </w:rPr>
              <w:t>XBB.1.16.1</w:t>
            </w:r>
          </w:p>
        </w:tc>
        <w:tc>
          <w:tcPr>
            <w:tcW w:w="468" w:type="pct"/>
            <w:noWrap/>
          </w:tcPr>
          <w:p w14:paraId="29133792" w14:textId="77777777" w:rsidR="00DA15B8" w:rsidRPr="001F2DBB" w:rsidRDefault="00DA15B8" w:rsidP="000E35DC">
            <w:pPr>
              <w:rPr>
                <w:b/>
                <w:bCs/>
              </w:rPr>
            </w:pPr>
            <w:r w:rsidRPr="001F2DBB">
              <w:rPr>
                <w:b/>
                <w:bCs/>
              </w:rPr>
              <w:t>XBB.2.3</w:t>
            </w:r>
          </w:p>
        </w:tc>
      </w:tr>
      <w:tr w:rsidR="00DA15B8" w:rsidRPr="001F2DBB" w14:paraId="6FA17090" w14:textId="77777777" w:rsidTr="00DA15B8">
        <w:trPr>
          <w:trHeight w:val="290"/>
        </w:trPr>
        <w:tc>
          <w:tcPr>
            <w:tcW w:w="5000" w:type="pct"/>
            <w:gridSpan w:val="7"/>
            <w:noWrap/>
          </w:tcPr>
          <w:p w14:paraId="1695105D" w14:textId="77777777" w:rsidR="00DA15B8" w:rsidRPr="001F2DBB" w:rsidRDefault="00DA15B8" w:rsidP="000E35DC">
            <w:pPr>
              <w:rPr>
                <w:bCs/>
              </w:rPr>
            </w:pPr>
            <w:r w:rsidRPr="001F2DBB">
              <w:rPr>
                <w:b/>
                <w:bCs/>
              </w:rPr>
              <w:t>NAb titre</w:t>
            </w:r>
          </w:p>
        </w:tc>
      </w:tr>
      <w:tr w:rsidR="00DA15B8" w:rsidRPr="001F2DBB" w14:paraId="7E0A5B89" w14:textId="77777777" w:rsidTr="00DA15B8">
        <w:trPr>
          <w:trHeight w:val="290"/>
        </w:trPr>
        <w:tc>
          <w:tcPr>
            <w:tcW w:w="1486" w:type="pct"/>
            <w:noWrap/>
          </w:tcPr>
          <w:p w14:paraId="1F6827AB" w14:textId="77777777" w:rsidR="00DA15B8" w:rsidRPr="001F2DBB" w:rsidRDefault="00DA15B8" w:rsidP="000E35DC">
            <w:pPr>
              <w:rPr>
                <w:bCs/>
              </w:rPr>
            </w:pPr>
            <w:r w:rsidRPr="001F2DBB">
              <w:rPr>
                <w:bCs/>
              </w:rPr>
              <w:t>WT-BA.4/5</w:t>
            </w:r>
          </w:p>
        </w:tc>
        <w:tc>
          <w:tcPr>
            <w:tcW w:w="520" w:type="pct"/>
            <w:noWrap/>
          </w:tcPr>
          <w:p w14:paraId="79C69F90" w14:textId="77777777" w:rsidR="00DA15B8" w:rsidRPr="001F2DBB" w:rsidRDefault="00DA15B8" w:rsidP="000E35DC">
            <w:pPr>
              <w:rPr>
                <w:bCs/>
              </w:rPr>
            </w:pPr>
            <w:r w:rsidRPr="001F2DBB">
              <w:rPr>
                <w:bCs/>
              </w:rPr>
              <w:t>981</w:t>
            </w:r>
          </w:p>
        </w:tc>
        <w:tc>
          <w:tcPr>
            <w:tcW w:w="669" w:type="pct"/>
            <w:noWrap/>
          </w:tcPr>
          <w:p w14:paraId="53E44C5A" w14:textId="77777777" w:rsidR="00DA15B8" w:rsidRPr="001F2DBB" w:rsidRDefault="00DA15B8" w:rsidP="000E35DC">
            <w:pPr>
              <w:rPr>
                <w:bCs/>
              </w:rPr>
            </w:pPr>
            <w:r w:rsidRPr="001F2DBB">
              <w:rPr>
                <w:bCs/>
              </w:rPr>
              <w:t>8580</w:t>
            </w:r>
          </w:p>
        </w:tc>
        <w:tc>
          <w:tcPr>
            <w:tcW w:w="669" w:type="pct"/>
            <w:noWrap/>
          </w:tcPr>
          <w:p w14:paraId="7851E80B" w14:textId="77777777" w:rsidR="00DA15B8" w:rsidRPr="001F2DBB" w:rsidRDefault="00DA15B8" w:rsidP="000E35DC">
            <w:pPr>
              <w:rPr>
                <w:bCs/>
              </w:rPr>
            </w:pPr>
            <w:r w:rsidRPr="001F2DBB">
              <w:rPr>
                <w:bCs/>
              </w:rPr>
              <w:t>87</w:t>
            </w:r>
          </w:p>
        </w:tc>
        <w:tc>
          <w:tcPr>
            <w:tcW w:w="594" w:type="pct"/>
            <w:noWrap/>
          </w:tcPr>
          <w:p w14:paraId="793FD58B" w14:textId="77777777" w:rsidR="00DA15B8" w:rsidRPr="001F2DBB" w:rsidRDefault="00DA15B8" w:rsidP="000E35DC">
            <w:pPr>
              <w:rPr>
                <w:bCs/>
              </w:rPr>
            </w:pPr>
            <w:r w:rsidRPr="001F2DBB">
              <w:rPr>
                <w:bCs/>
              </w:rPr>
              <w:t>182</w:t>
            </w:r>
          </w:p>
        </w:tc>
        <w:tc>
          <w:tcPr>
            <w:tcW w:w="594" w:type="pct"/>
            <w:noWrap/>
          </w:tcPr>
          <w:p w14:paraId="20F036E6" w14:textId="77777777" w:rsidR="00DA15B8" w:rsidRPr="001F2DBB" w:rsidRDefault="00DA15B8" w:rsidP="000E35DC">
            <w:pPr>
              <w:rPr>
                <w:bCs/>
              </w:rPr>
            </w:pPr>
            <w:r w:rsidRPr="001F2DBB">
              <w:rPr>
                <w:bCs/>
              </w:rPr>
              <w:t>114</w:t>
            </w:r>
          </w:p>
        </w:tc>
        <w:tc>
          <w:tcPr>
            <w:tcW w:w="468" w:type="pct"/>
            <w:noWrap/>
          </w:tcPr>
          <w:p w14:paraId="3A76E3B5" w14:textId="77777777" w:rsidR="00DA15B8" w:rsidRPr="001F2DBB" w:rsidRDefault="00DA15B8" w:rsidP="000E35DC">
            <w:pPr>
              <w:rPr>
                <w:bCs/>
              </w:rPr>
            </w:pPr>
            <w:r w:rsidRPr="001F2DBB">
              <w:rPr>
                <w:bCs/>
              </w:rPr>
              <w:t>116</w:t>
            </w:r>
          </w:p>
        </w:tc>
      </w:tr>
      <w:tr w:rsidR="00DA15B8" w:rsidRPr="001F2DBB" w14:paraId="1C4F3D8C" w14:textId="77777777" w:rsidTr="00DA15B8">
        <w:trPr>
          <w:trHeight w:val="290"/>
        </w:trPr>
        <w:tc>
          <w:tcPr>
            <w:tcW w:w="1486" w:type="pct"/>
            <w:noWrap/>
          </w:tcPr>
          <w:p w14:paraId="6E668D3B" w14:textId="77777777" w:rsidR="00DA15B8" w:rsidRPr="001F2DBB" w:rsidRDefault="00DA15B8" w:rsidP="000E35DC">
            <w:pPr>
              <w:rPr>
                <w:bCs/>
              </w:rPr>
            </w:pPr>
            <w:r w:rsidRPr="001F2DBB">
              <w:rPr>
                <w:bCs/>
              </w:rPr>
              <w:t>XBB.1.5</w:t>
            </w:r>
          </w:p>
        </w:tc>
        <w:tc>
          <w:tcPr>
            <w:tcW w:w="520" w:type="pct"/>
            <w:noWrap/>
          </w:tcPr>
          <w:p w14:paraId="6F44F103" w14:textId="77777777" w:rsidR="00DA15B8" w:rsidRPr="001F2DBB" w:rsidRDefault="00DA15B8" w:rsidP="000E35DC">
            <w:pPr>
              <w:rPr>
                <w:bCs/>
              </w:rPr>
            </w:pPr>
            <w:r w:rsidRPr="001F2DBB">
              <w:rPr>
                <w:bCs/>
              </w:rPr>
              <w:t>41</w:t>
            </w:r>
          </w:p>
        </w:tc>
        <w:tc>
          <w:tcPr>
            <w:tcW w:w="669" w:type="pct"/>
            <w:noWrap/>
          </w:tcPr>
          <w:p w14:paraId="42DF058A" w14:textId="77777777" w:rsidR="00DA15B8" w:rsidRPr="001F2DBB" w:rsidRDefault="00DA15B8" w:rsidP="000E35DC">
            <w:pPr>
              <w:rPr>
                <w:bCs/>
              </w:rPr>
            </w:pPr>
            <w:r w:rsidRPr="001F2DBB">
              <w:rPr>
                <w:bCs/>
              </w:rPr>
              <w:t>1717</w:t>
            </w:r>
          </w:p>
        </w:tc>
        <w:tc>
          <w:tcPr>
            <w:tcW w:w="669" w:type="pct"/>
            <w:noWrap/>
          </w:tcPr>
          <w:p w14:paraId="00E445F2" w14:textId="77777777" w:rsidR="00DA15B8" w:rsidRPr="001F2DBB" w:rsidRDefault="00DA15B8" w:rsidP="000E35DC">
            <w:pPr>
              <w:rPr>
                <w:bCs/>
              </w:rPr>
            </w:pPr>
            <w:r w:rsidRPr="001F2DBB">
              <w:rPr>
                <w:bCs/>
              </w:rPr>
              <w:t>3064</w:t>
            </w:r>
          </w:p>
        </w:tc>
        <w:tc>
          <w:tcPr>
            <w:tcW w:w="594" w:type="pct"/>
            <w:noWrap/>
          </w:tcPr>
          <w:p w14:paraId="505BFAFA" w14:textId="77777777" w:rsidR="00DA15B8" w:rsidRPr="001F2DBB" w:rsidRDefault="00DA15B8" w:rsidP="000E35DC">
            <w:pPr>
              <w:rPr>
                <w:bCs/>
              </w:rPr>
            </w:pPr>
            <w:r w:rsidRPr="001F2DBB">
              <w:rPr>
                <w:bCs/>
              </w:rPr>
              <w:t>3767</w:t>
            </w:r>
          </w:p>
        </w:tc>
        <w:tc>
          <w:tcPr>
            <w:tcW w:w="594" w:type="pct"/>
            <w:noWrap/>
          </w:tcPr>
          <w:p w14:paraId="73B82D26" w14:textId="77777777" w:rsidR="00DA15B8" w:rsidRPr="001F2DBB" w:rsidRDefault="00DA15B8" w:rsidP="000E35DC">
            <w:pPr>
              <w:rPr>
                <w:bCs/>
              </w:rPr>
            </w:pPr>
            <w:r w:rsidRPr="001F2DBB">
              <w:rPr>
                <w:bCs/>
              </w:rPr>
              <w:t>3461</w:t>
            </w:r>
          </w:p>
        </w:tc>
        <w:tc>
          <w:tcPr>
            <w:tcW w:w="468" w:type="pct"/>
            <w:noWrap/>
          </w:tcPr>
          <w:p w14:paraId="7BA8F86C" w14:textId="77777777" w:rsidR="00DA15B8" w:rsidRPr="001F2DBB" w:rsidRDefault="00DA15B8" w:rsidP="000E35DC">
            <w:pPr>
              <w:rPr>
                <w:bCs/>
              </w:rPr>
            </w:pPr>
            <w:r w:rsidRPr="001F2DBB">
              <w:rPr>
                <w:bCs/>
              </w:rPr>
              <w:t>2689</w:t>
            </w:r>
          </w:p>
        </w:tc>
      </w:tr>
      <w:tr w:rsidR="00DA15B8" w:rsidRPr="001F2DBB" w14:paraId="414C2137" w14:textId="77777777" w:rsidTr="00DA15B8">
        <w:trPr>
          <w:trHeight w:val="290"/>
        </w:trPr>
        <w:tc>
          <w:tcPr>
            <w:tcW w:w="1486" w:type="pct"/>
            <w:noWrap/>
          </w:tcPr>
          <w:p w14:paraId="26F8F682" w14:textId="77777777" w:rsidR="00DA15B8" w:rsidRPr="001F2DBB" w:rsidRDefault="00DA15B8" w:rsidP="000E35DC">
            <w:pPr>
              <w:rPr>
                <w:bCs/>
              </w:rPr>
            </w:pPr>
            <w:r w:rsidRPr="001F2DBB">
              <w:rPr>
                <w:bCs/>
              </w:rPr>
              <w:t>BA.4/5 + XBB.1.5</w:t>
            </w:r>
          </w:p>
        </w:tc>
        <w:tc>
          <w:tcPr>
            <w:tcW w:w="520" w:type="pct"/>
            <w:noWrap/>
          </w:tcPr>
          <w:p w14:paraId="38159A1E" w14:textId="77777777" w:rsidR="00DA15B8" w:rsidRPr="001F2DBB" w:rsidRDefault="00DA15B8" w:rsidP="000E35DC">
            <w:pPr>
              <w:rPr>
                <w:bCs/>
              </w:rPr>
            </w:pPr>
            <w:r w:rsidRPr="001F2DBB">
              <w:rPr>
                <w:bCs/>
              </w:rPr>
              <w:t>47</w:t>
            </w:r>
          </w:p>
        </w:tc>
        <w:tc>
          <w:tcPr>
            <w:tcW w:w="669" w:type="pct"/>
            <w:noWrap/>
          </w:tcPr>
          <w:p w14:paraId="2FC62FEA" w14:textId="77777777" w:rsidR="00DA15B8" w:rsidRPr="001F2DBB" w:rsidRDefault="00DA15B8" w:rsidP="000E35DC">
            <w:pPr>
              <w:rPr>
                <w:bCs/>
              </w:rPr>
            </w:pPr>
            <w:r w:rsidRPr="001F2DBB">
              <w:rPr>
                <w:bCs/>
              </w:rPr>
              <w:t>14730</w:t>
            </w:r>
          </w:p>
        </w:tc>
        <w:tc>
          <w:tcPr>
            <w:tcW w:w="669" w:type="pct"/>
            <w:noWrap/>
          </w:tcPr>
          <w:p w14:paraId="6128F4A1" w14:textId="77777777" w:rsidR="00DA15B8" w:rsidRPr="001F2DBB" w:rsidRDefault="00DA15B8" w:rsidP="000E35DC">
            <w:pPr>
              <w:rPr>
                <w:bCs/>
              </w:rPr>
            </w:pPr>
            <w:r w:rsidRPr="001F2DBB">
              <w:rPr>
                <w:bCs/>
              </w:rPr>
              <w:t>2664</w:t>
            </w:r>
          </w:p>
        </w:tc>
        <w:tc>
          <w:tcPr>
            <w:tcW w:w="594" w:type="pct"/>
            <w:noWrap/>
          </w:tcPr>
          <w:p w14:paraId="7B3DAF68" w14:textId="77777777" w:rsidR="00DA15B8" w:rsidRPr="001F2DBB" w:rsidRDefault="00DA15B8" w:rsidP="000E35DC">
            <w:pPr>
              <w:rPr>
                <w:bCs/>
              </w:rPr>
            </w:pPr>
            <w:r w:rsidRPr="001F2DBB">
              <w:rPr>
                <w:bCs/>
              </w:rPr>
              <w:t>3493</w:t>
            </w:r>
          </w:p>
        </w:tc>
        <w:tc>
          <w:tcPr>
            <w:tcW w:w="594" w:type="pct"/>
            <w:noWrap/>
          </w:tcPr>
          <w:p w14:paraId="087F30B4" w14:textId="77777777" w:rsidR="00DA15B8" w:rsidRPr="001F2DBB" w:rsidRDefault="00DA15B8" w:rsidP="000E35DC">
            <w:pPr>
              <w:rPr>
                <w:bCs/>
              </w:rPr>
            </w:pPr>
            <w:r w:rsidRPr="001F2DBB">
              <w:rPr>
                <w:bCs/>
              </w:rPr>
              <w:t>4724</w:t>
            </w:r>
          </w:p>
        </w:tc>
        <w:tc>
          <w:tcPr>
            <w:tcW w:w="468" w:type="pct"/>
            <w:noWrap/>
          </w:tcPr>
          <w:p w14:paraId="127C300D" w14:textId="77777777" w:rsidR="00DA15B8" w:rsidRPr="001F2DBB" w:rsidRDefault="00DA15B8" w:rsidP="000E35DC">
            <w:pPr>
              <w:rPr>
                <w:bCs/>
              </w:rPr>
            </w:pPr>
            <w:r w:rsidRPr="001F2DBB">
              <w:rPr>
                <w:bCs/>
              </w:rPr>
              <w:t>2602</w:t>
            </w:r>
          </w:p>
        </w:tc>
      </w:tr>
      <w:tr w:rsidR="00DA15B8" w:rsidRPr="001F2DBB" w14:paraId="28716FD9" w14:textId="77777777" w:rsidTr="00DA15B8">
        <w:trPr>
          <w:trHeight w:val="290"/>
        </w:trPr>
        <w:tc>
          <w:tcPr>
            <w:tcW w:w="5000" w:type="pct"/>
            <w:gridSpan w:val="7"/>
            <w:noWrap/>
          </w:tcPr>
          <w:p w14:paraId="20A30131" w14:textId="77777777" w:rsidR="00DA15B8" w:rsidRPr="001F2DBB" w:rsidRDefault="00DA15B8" w:rsidP="000E35DC">
            <w:pPr>
              <w:rPr>
                <w:b/>
                <w:bCs/>
              </w:rPr>
            </w:pPr>
            <w:r w:rsidRPr="001F2DBB">
              <w:rPr>
                <w:b/>
                <w:bCs/>
              </w:rPr>
              <w:t>NAb titre ratio</w:t>
            </w:r>
          </w:p>
        </w:tc>
      </w:tr>
      <w:tr w:rsidR="00DA15B8" w:rsidRPr="001F2DBB" w14:paraId="783318E7" w14:textId="77777777" w:rsidTr="00DA15B8">
        <w:trPr>
          <w:trHeight w:val="290"/>
        </w:trPr>
        <w:tc>
          <w:tcPr>
            <w:tcW w:w="1486" w:type="pct"/>
            <w:noWrap/>
          </w:tcPr>
          <w:p w14:paraId="22DC9068" w14:textId="77777777" w:rsidR="00DA15B8" w:rsidRPr="001F2DBB" w:rsidRDefault="00DA15B8" w:rsidP="000E35DC">
            <w:pPr>
              <w:rPr>
                <w:bCs/>
              </w:rPr>
            </w:pPr>
            <w:r w:rsidRPr="001F2DBB">
              <w:rPr>
                <w:bCs/>
              </w:rPr>
              <w:t>XBB.1.5</w:t>
            </w:r>
          </w:p>
        </w:tc>
        <w:tc>
          <w:tcPr>
            <w:tcW w:w="520" w:type="pct"/>
            <w:noWrap/>
          </w:tcPr>
          <w:p w14:paraId="029C9E95" w14:textId="77777777" w:rsidR="00DA15B8" w:rsidRPr="001F2DBB" w:rsidRDefault="00DA15B8" w:rsidP="000E35DC">
            <w:pPr>
              <w:rPr>
                <w:bCs/>
              </w:rPr>
            </w:pPr>
            <w:r w:rsidRPr="001F2DBB">
              <w:rPr>
                <w:bCs/>
              </w:rPr>
              <w:t>0.04</w:t>
            </w:r>
          </w:p>
        </w:tc>
        <w:tc>
          <w:tcPr>
            <w:tcW w:w="669" w:type="pct"/>
            <w:noWrap/>
          </w:tcPr>
          <w:p w14:paraId="4D7C6177" w14:textId="77777777" w:rsidR="00DA15B8" w:rsidRPr="001F2DBB" w:rsidRDefault="00DA15B8" w:rsidP="000E35DC">
            <w:pPr>
              <w:rPr>
                <w:bCs/>
              </w:rPr>
            </w:pPr>
            <w:r w:rsidRPr="001F2DBB">
              <w:rPr>
                <w:bCs/>
              </w:rPr>
              <w:t>0.2</w:t>
            </w:r>
          </w:p>
        </w:tc>
        <w:tc>
          <w:tcPr>
            <w:tcW w:w="669" w:type="pct"/>
            <w:noWrap/>
          </w:tcPr>
          <w:p w14:paraId="37B3F9EF" w14:textId="77777777" w:rsidR="00DA15B8" w:rsidRPr="001F2DBB" w:rsidRDefault="00DA15B8" w:rsidP="000E35DC">
            <w:pPr>
              <w:rPr>
                <w:bCs/>
              </w:rPr>
            </w:pPr>
            <w:r w:rsidRPr="001F2DBB">
              <w:rPr>
                <w:bCs/>
              </w:rPr>
              <w:t>36</w:t>
            </w:r>
          </w:p>
        </w:tc>
        <w:tc>
          <w:tcPr>
            <w:tcW w:w="594" w:type="pct"/>
            <w:noWrap/>
          </w:tcPr>
          <w:p w14:paraId="0E881F4B" w14:textId="77777777" w:rsidR="00DA15B8" w:rsidRPr="001F2DBB" w:rsidRDefault="00DA15B8" w:rsidP="000E35DC">
            <w:pPr>
              <w:rPr>
                <w:bCs/>
              </w:rPr>
            </w:pPr>
            <w:r w:rsidRPr="001F2DBB">
              <w:rPr>
                <w:bCs/>
              </w:rPr>
              <w:t>21</w:t>
            </w:r>
          </w:p>
        </w:tc>
        <w:tc>
          <w:tcPr>
            <w:tcW w:w="594" w:type="pct"/>
            <w:noWrap/>
          </w:tcPr>
          <w:p w14:paraId="17252F14" w14:textId="77777777" w:rsidR="00DA15B8" w:rsidRPr="001F2DBB" w:rsidRDefault="00DA15B8" w:rsidP="000E35DC">
            <w:pPr>
              <w:rPr>
                <w:bCs/>
              </w:rPr>
            </w:pPr>
            <w:r w:rsidRPr="001F2DBB">
              <w:rPr>
                <w:bCs/>
              </w:rPr>
              <w:t>30</w:t>
            </w:r>
          </w:p>
        </w:tc>
        <w:tc>
          <w:tcPr>
            <w:tcW w:w="468" w:type="pct"/>
            <w:noWrap/>
          </w:tcPr>
          <w:p w14:paraId="088BD9E7" w14:textId="77777777" w:rsidR="00DA15B8" w:rsidRPr="001F2DBB" w:rsidRDefault="00DA15B8" w:rsidP="000E35DC">
            <w:pPr>
              <w:rPr>
                <w:bCs/>
              </w:rPr>
            </w:pPr>
            <w:r w:rsidRPr="001F2DBB">
              <w:rPr>
                <w:bCs/>
              </w:rPr>
              <w:t>23</w:t>
            </w:r>
          </w:p>
        </w:tc>
      </w:tr>
      <w:tr w:rsidR="00DA15B8" w:rsidRPr="001F2DBB" w14:paraId="19494AC2" w14:textId="77777777" w:rsidTr="00DA15B8">
        <w:trPr>
          <w:trHeight w:val="290"/>
        </w:trPr>
        <w:tc>
          <w:tcPr>
            <w:tcW w:w="1486" w:type="pct"/>
            <w:noWrap/>
          </w:tcPr>
          <w:p w14:paraId="5B4F59A4" w14:textId="77777777" w:rsidR="00DA15B8" w:rsidRPr="001F2DBB" w:rsidRDefault="00DA15B8" w:rsidP="000E35DC">
            <w:pPr>
              <w:rPr>
                <w:bCs/>
              </w:rPr>
            </w:pPr>
            <w:r w:rsidRPr="001F2DBB">
              <w:rPr>
                <w:bCs/>
              </w:rPr>
              <w:t>BA.4/5 + XBB.1.5</w:t>
            </w:r>
          </w:p>
        </w:tc>
        <w:tc>
          <w:tcPr>
            <w:tcW w:w="520" w:type="pct"/>
            <w:noWrap/>
          </w:tcPr>
          <w:p w14:paraId="0E2ECF02" w14:textId="77777777" w:rsidR="00DA15B8" w:rsidRPr="001F2DBB" w:rsidRDefault="00DA15B8" w:rsidP="000E35DC">
            <w:pPr>
              <w:rPr>
                <w:bCs/>
              </w:rPr>
            </w:pPr>
            <w:r w:rsidRPr="001F2DBB">
              <w:rPr>
                <w:bCs/>
              </w:rPr>
              <w:t>0.05</w:t>
            </w:r>
          </w:p>
        </w:tc>
        <w:tc>
          <w:tcPr>
            <w:tcW w:w="669" w:type="pct"/>
            <w:noWrap/>
          </w:tcPr>
          <w:p w14:paraId="34C83ED1" w14:textId="77777777" w:rsidR="00DA15B8" w:rsidRPr="001F2DBB" w:rsidRDefault="00DA15B8" w:rsidP="000E35DC">
            <w:pPr>
              <w:rPr>
                <w:bCs/>
              </w:rPr>
            </w:pPr>
            <w:r w:rsidRPr="001F2DBB">
              <w:rPr>
                <w:bCs/>
              </w:rPr>
              <w:t>1.7</w:t>
            </w:r>
          </w:p>
        </w:tc>
        <w:tc>
          <w:tcPr>
            <w:tcW w:w="669" w:type="pct"/>
            <w:noWrap/>
          </w:tcPr>
          <w:p w14:paraId="011EAF85" w14:textId="77777777" w:rsidR="00DA15B8" w:rsidRPr="001F2DBB" w:rsidRDefault="00DA15B8" w:rsidP="000E35DC">
            <w:pPr>
              <w:rPr>
                <w:bCs/>
              </w:rPr>
            </w:pPr>
            <w:r w:rsidRPr="001F2DBB">
              <w:rPr>
                <w:bCs/>
              </w:rPr>
              <w:t>31</w:t>
            </w:r>
          </w:p>
        </w:tc>
        <w:tc>
          <w:tcPr>
            <w:tcW w:w="594" w:type="pct"/>
            <w:noWrap/>
          </w:tcPr>
          <w:p w14:paraId="114041C2" w14:textId="77777777" w:rsidR="00DA15B8" w:rsidRPr="001F2DBB" w:rsidRDefault="00DA15B8" w:rsidP="000E35DC">
            <w:pPr>
              <w:rPr>
                <w:bCs/>
              </w:rPr>
            </w:pPr>
            <w:r w:rsidRPr="001F2DBB">
              <w:rPr>
                <w:bCs/>
              </w:rPr>
              <w:t>19</w:t>
            </w:r>
          </w:p>
        </w:tc>
        <w:tc>
          <w:tcPr>
            <w:tcW w:w="594" w:type="pct"/>
            <w:noWrap/>
          </w:tcPr>
          <w:p w14:paraId="69276B0B" w14:textId="77777777" w:rsidR="00DA15B8" w:rsidRPr="001F2DBB" w:rsidRDefault="00DA15B8" w:rsidP="000E35DC">
            <w:pPr>
              <w:rPr>
                <w:bCs/>
              </w:rPr>
            </w:pPr>
            <w:r w:rsidRPr="001F2DBB">
              <w:rPr>
                <w:bCs/>
              </w:rPr>
              <w:t>42</w:t>
            </w:r>
          </w:p>
        </w:tc>
        <w:tc>
          <w:tcPr>
            <w:tcW w:w="468" w:type="pct"/>
            <w:noWrap/>
          </w:tcPr>
          <w:p w14:paraId="284279D9" w14:textId="77777777" w:rsidR="00DA15B8" w:rsidRPr="001F2DBB" w:rsidRDefault="00DA15B8" w:rsidP="000E35DC">
            <w:pPr>
              <w:rPr>
                <w:bCs/>
              </w:rPr>
            </w:pPr>
            <w:r w:rsidRPr="001F2DBB">
              <w:rPr>
                <w:bCs/>
              </w:rPr>
              <w:t>22</w:t>
            </w:r>
          </w:p>
        </w:tc>
      </w:tr>
    </w:tbl>
    <w:p w14:paraId="793054F0" w14:textId="19D09866" w:rsidR="00DA15B8" w:rsidRDefault="00DA15B8" w:rsidP="00DA15B8">
      <w:pPr>
        <w:pStyle w:val="TableDescription"/>
      </w:pPr>
      <w:r>
        <w:t>Abbreviation: NAb = neutralising antibody, WT = wild type</w:t>
      </w:r>
    </w:p>
    <w:p w14:paraId="2E5A3822" w14:textId="4AF5C93E" w:rsidR="00DA15B8" w:rsidRPr="00DA15B8" w:rsidRDefault="00DA15B8" w:rsidP="00DA15B8">
      <w:r>
        <w:t>The i</w:t>
      </w:r>
      <w:r w:rsidRPr="00DA15B8">
        <w:t xml:space="preserve">mmunogenicity of COVID-19 monovalent and bivalent XBB.1.5 </w:t>
      </w:r>
      <w:r w:rsidR="00784034" w:rsidRPr="00DA15B8">
        <w:t>sub lineage</w:t>
      </w:r>
      <w:r w:rsidRPr="00DA15B8">
        <w:t>-modified vaccines in BNT162b2 experienced mice as a fourth dose booster</w:t>
      </w:r>
      <w:r>
        <w:t xml:space="preserve"> is listed below.</w:t>
      </w:r>
    </w:p>
    <w:p w14:paraId="56284D69" w14:textId="2989BB7F" w:rsidR="00DA15B8" w:rsidRPr="00DA15B8" w:rsidRDefault="74C066EE" w:rsidP="00DA15B8">
      <w:r>
        <w:t>In BNT162b2 experience</w:t>
      </w:r>
      <w:r w:rsidR="7EDB28B1">
        <w:t>d</w:t>
      </w:r>
      <w:r>
        <w:t xml:space="preserve"> </w:t>
      </w:r>
      <w:r w:rsidR="55DC368A">
        <w:t>mice</w:t>
      </w:r>
      <w:r>
        <w:t xml:space="preserve">, monovalent BNT162b2 XBB.1.5 (0.5 µg) induced four-to-six-fold higher neutralising responses against Omicron </w:t>
      </w:r>
      <w:r w:rsidR="00784034">
        <w:t>sub lineages</w:t>
      </w:r>
      <w:r>
        <w:t xml:space="preserve"> XBB.1.5, XBB.1.16, XBB.1.16.1 and XBB.2.3 compared to benchmark bivalent BNT162b2 (wild type (0.25 µg) plus Omicron BA.4/5(0.25 µg)), (see </w:t>
      </w:r>
      <w:r w:rsidR="00DA15B8">
        <w:fldChar w:fldCharType="begin"/>
      </w:r>
      <w:r w:rsidR="00DA15B8">
        <w:instrText xml:space="preserve"> REF _Ref147400977 \h </w:instrText>
      </w:r>
      <w:r w:rsidR="00DA15B8">
        <w:fldChar w:fldCharType="separate"/>
      </w:r>
      <w:r w:rsidR="7A717035">
        <w:t xml:space="preserve">Table </w:t>
      </w:r>
      <w:r w:rsidR="7A717035" w:rsidRPr="7CC8F668">
        <w:rPr>
          <w:noProof/>
        </w:rPr>
        <w:t>6</w:t>
      </w:r>
      <w:r w:rsidR="00DA15B8">
        <w:fldChar w:fldCharType="end"/>
      </w:r>
      <w:r>
        <w:t xml:space="preserve"> below).</w:t>
      </w:r>
    </w:p>
    <w:p w14:paraId="7273338E" w14:textId="42213070" w:rsidR="00DA15B8" w:rsidRDefault="00DA15B8" w:rsidP="00DA15B8">
      <w:pPr>
        <w:pStyle w:val="TableTitle"/>
      </w:pPr>
      <w:bookmarkStart w:id="66" w:name="_Ref147400977"/>
      <w:r w:rsidRPr="00DA15B8">
        <w:t xml:space="preserve">Table </w:t>
      </w:r>
      <w:r>
        <w:fldChar w:fldCharType="begin"/>
      </w:r>
      <w:r>
        <w:instrText>SEQ Table \* ARABIC</w:instrText>
      </w:r>
      <w:r>
        <w:fldChar w:fldCharType="separate"/>
      </w:r>
      <w:r w:rsidR="003A20CD">
        <w:rPr>
          <w:noProof/>
        </w:rPr>
        <w:t>6</w:t>
      </w:r>
      <w:r>
        <w:fldChar w:fldCharType="end"/>
      </w:r>
      <w:bookmarkEnd w:id="66"/>
      <w:r w:rsidRPr="00DA15B8">
        <w:t>:</w:t>
      </w:r>
      <w:r>
        <w:t xml:space="preserve"> </w:t>
      </w:r>
      <w:r w:rsidRPr="00DA15B8">
        <w:t xml:space="preserve">Neutralising antibody titres, </w:t>
      </w:r>
      <w:r>
        <w:t>one</w:t>
      </w:r>
      <w:r w:rsidRPr="00DA15B8">
        <w:t xml:space="preserve"> month post fourth dose booster with </w:t>
      </w:r>
      <w:r>
        <w:t xml:space="preserve">Omicron </w:t>
      </w:r>
      <w:r w:rsidRPr="00DA15B8">
        <w:t>XBB monovalent and bivalent vaccines</w:t>
      </w:r>
    </w:p>
    <w:tbl>
      <w:tblPr>
        <w:tblStyle w:val="TableGrid"/>
        <w:tblW w:w="5000" w:type="pct"/>
        <w:tblLook w:val="04A0" w:firstRow="1" w:lastRow="0" w:firstColumn="1" w:lastColumn="0" w:noHBand="0" w:noVBand="1"/>
      </w:tblPr>
      <w:tblGrid>
        <w:gridCol w:w="2541"/>
        <w:gridCol w:w="947"/>
        <w:gridCol w:w="1061"/>
        <w:gridCol w:w="1062"/>
        <w:gridCol w:w="1133"/>
        <w:gridCol w:w="1314"/>
        <w:gridCol w:w="1002"/>
      </w:tblGrid>
      <w:tr w:rsidR="00DA15B8" w:rsidRPr="001F2DBB" w14:paraId="6C224817" w14:textId="77777777" w:rsidTr="00DA15B8">
        <w:trPr>
          <w:trHeight w:val="290"/>
        </w:trPr>
        <w:tc>
          <w:tcPr>
            <w:tcW w:w="1403" w:type="pct"/>
            <w:vMerge w:val="restart"/>
            <w:noWrap/>
          </w:tcPr>
          <w:p w14:paraId="67BEBB4F" w14:textId="77777777" w:rsidR="00DA15B8" w:rsidRPr="001F2DBB" w:rsidRDefault="00DA15B8" w:rsidP="000E35DC">
            <w:pPr>
              <w:rPr>
                <w:bCs/>
              </w:rPr>
            </w:pPr>
            <w:r w:rsidRPr="001F2DBB">
              <w:rPr>
                <w:b/>
                <w:bCs/>
              </w:rPr>
              <w:t>Vaccines</w:t>
            </w:r>
          </w:p>
        </w:tc>
        <w:tc>
          <w:tcPr>
            <w:tcW w:w="3597" w:type="pct"/>
            <w:gridSpan w:val="6"/>
            <w:noWrap/>
          </w:tcPr>
          <w:p w14:paraId="1B24C18F" w14:textId="77777777" w:rsidR="00DA15B8" w:rsidRPr="001F2DBB" w:rsidRDefault="00DA15B8" w:rsidP="000E35DC">
            <w:pPr>
              <w:rPr>
                <w:b/>
                <w:bCs/>
              </w:rPr>
            </w:pPr>
            <w:r w:rsidRPr="001F2DBB">
              <w:rPr>
                <w:b/>
                <w:bCs/>
              </w:rPr>
              <w:t>Variants</w:t>
            </w:r>
          </w:p>
        </w:tc>
      </w:tr>
      <w:tr w:rsidR="00DA15B8" w:rsidRPr="001F2DBB" w14:paraId="4C086E5C" w14:textId="77777777" w:rsidTr="00DA15B8">
        <w:trPr>
          <w:trHeight w:val="290"/>
        </w:trPr>
        <w:tc>
          <w:tcPr>
            <w:tcW w:w="1403" w:type="pct"/>
            <w:vMerge/>
            <w:noWrap/>
          </w:tcPr>
          <w:p w14:paraId="7A347C95" w14:textId="77777777" w:rsidR="00DA15B8" w:rsidRPr="001F2DBB" w:rsidRDefault="00DA15B8" w:rsidP="000E35DC">
            <w:pPr>
              <w:rPr>
                <w:b/>
                <w:bCs/>
              </w:rPr>
            </w:pPr>
          </w:p>
        </w:tc>
        <w:tc>
          <w:tcPr>
            <w:tcW w:w="523" w:type="pct"/>
            <w:noWrap/>
          </w:tcPr>
          <w:p w14:paraId="4A9C656D" w14:textId="77777777" w:rsidR="00DA15B8" w:rsidRPr="001F2DBB" w:rsidRDefault="00DA15B8" w:rsidP="000E35DC">
            <w:pPr>
              <w:rPr>
                <w:b/>
                <w:bCs/>
              </w:rPr>
            </w:pPr>
            <w:r w:rsidRPr="001F2DBB">
              <w:rPr>
                <w:b/>
                <w:bCs/>
              </w:rPr>
              <w:t>Wuhan</w:t>
            </w:r>
          </w:p>
        </w:tc>
        <w:tc>
          <w:tcPr>
            <w:tcW w:w="586" w:type="pct"/>
            <w:noWrap/>
          </w:tcPr>
          <w:p w14:paraId="6CEBE5D4" w14:textId="77777777" w:rsidR="00DA15B8" w:rsidRPr="001F2DBB" w:rsidRDefault="00DA15B8" w:rsidP="000E35DC">
            <w:pPr>
              <w:rPr>
                <w:b/>
                <w:bCs/>
              </w:rPr>
            </w:pPr>
            <w:r w:rsidRPr="001F2DBB">
              <w:rPr>
                <w:b/>
                <w:bCs/>
              </w:rPr>
              <w:t>BA.4/5</w:t>
            </w:r>
          </w:p>
        </w:tc>
        <w:tc>
          <w:tcPr>
            <w:tcW w:w="586" w:type="pct"/>
            <w:noWrap/>
          </w:tcPr>
          <w:p w14:paraId="30DCF10D" w14:textId="77777777" w:rsidR="00DA15B8" w:rsidRPr="001F2DBB" w:rsidRDefault="00DA15B8" w:rsidP="000E35DC">
            <w:pPr>
              <w:rPr>
                <w:b/>
                <w:bCs/>
              </w:rPr>
            </w:pPr>
            <w:r w:rsidRPr="001F2DBB">
              <w:rPr>
                <w:b/>
                <w:bCs/>
              </w:rPr>
              <w:t>XBB.1.5</w:t>
            </w:r>
          </w:p>
        </w:tc>
        <w:tc>
          <w:tcPr>
            <w:tcW w:w="625" w:type="pct"/>
            <w:noWrap/>
          </w:tcPr>
          <w:p w14:paraId="27183D17" w14:textId="77777777" w:rsidR="00DA15B8" w:rsidRPr="001F2DBB" w:rsidRDefault="00DA15B8" w:rsidP="000E35DC">
            <w:pPr>
              <w:rPr>
                <w:b/>
                <w:bCs/>
              </w:rPr>
            </w:pPr>
            <w:r w:rsidRPr="001F2DBB">
              <w:rPr>
                <w:b/>
                <w:bCs/>
              </w:rPr>
              <w:t>XBB.1.16</w:t>
            </w:r>
          </w:p>
        </w:tc>
        <w:tc>
          <w:tcPr>
            <w:tcW w:w="725" w:type="pct"/>
            <w:noWrap/>
          </w:tcPr>
          <w:p w14:paraId="67EC6C20" w14:textId="77777777" w:rsidR="00DA15B8" w:rsidRPr="001F2DBB" w:rsidRDefault="00DA15B8" w:rsidP="000E35DC">
            <w:pPr>
              <w:rPr>
                <w:b/>
                <w:bCs/>
              </w:rPr>
            </w:pPr>
            <w:r w:rsidRPr="001F2DBB">
              <w:rPr>
                <w:b/>
                <w:bCs/>
              </w:rPr>
              <w:t>XBB.1.16.1</w:t>
            </w:r>
          </w:p>
        </w:tc>
        <w:tc>
          <w:tcPr>
            <w:tcW w:w="553" w:type="pct"/>
            <w:noWrap/>
          </w:tcPr>
          <w:p w14:paraId="73FD007B" w14:textId="77777777" w:rsidR="00DA15B8" w:rsidRPr="001F2DBB" w:rsidRDefault="00DA15B8" w:rsidP="000E35DC">
            <w:pPr>
              <w:rPr>
                <w:b/>
                <w:bCs/>
              </w:rPr>
            </w:pPr>
            <w:r w:rsidRPr="001F2DBB">
              <w:rPr>
                <w:b/>
                <w:bCs/>
              </w:rPr>
              <w:t>XBB.2.3</w:t>
            </w:r>
          </w:p>
        </w:tc>
      </w:tr>
      <w:tr w:rsidR="00DA15B8" w:rsidRPr="001F2DBB" w14:paraId="68C14EDE" w14:textId="77777777" w:rsidTr="00DA15B8">
        <w:trPr>
          <w:trHeight w:val="290"/>
        </w:trPr>
        <w:tc>
          <w:tcPr>
            <w:tcW w:w="5000" w:type="pct"/>
            <w:gridSpan w:val="7"/>
            <w:noWrap/>
          </w:tcPr>
          <w:p w14:paraId="7A7EAD0A" w14:textId="77777777" w:rsidR="00DA15B8" w:rsidRPr="001F2DBB" w:rsidRDefault="00DA15B8" w:rsidP="000E35DC">
            <w:pPr>
              <w:rPr>
                <w:bCs/>
              </w:rPr>
            </w:pPr>
            <w:r w:rsidRPr="001F2DBB">
              <w:rPr>
                <w:b/>
                <w:bCs/>
              </w:rPr>
              <w:t>NAb Titre</w:t>
            </w:r>
          </w:p>
        </w:tc>
      </w:tr>
      <w:tr w:rsidR="00DA15B8" w:rsidRPr="001F2DBB" w14:paraId="337DE0FC" w14:textId="77777777" w:rsidTr="00DA15B8">
        <w:trPr>
          <w:trHeight w:val="290"/>
        </w:trPr>
        <w:tc>
          <w:tcPr>
            <w:tcW w:w="1403" w:type="pct"/>
            <w:noWrap/>
          </w:tcPr>
          <w:p w14:paraId="5AFB8CC3" w14:textId="77777777" w:rsidR="00DA15B8" w:rsidRPr="001F2DBB" w:rsidRDefault="00DA15B8" w:rsidP="000E35DC">
            <w:pPr>
              <w:rPr>
                <w:bCs/>
              </w:rPr>
            </w:pPr>
            <w:r w:rsidRPr="001F2DBB">
              <w:rPr>
                <w:bCs/>
              </w:rPr>
              <w:t>WT-BA.4/5</w:t>
            </w:r>
          </w:p>
        </w:tc>
        <w:tc>
          <w:tcPr>
            <w:tcW w:w="523" w:type="pct"/>
            <w:noWrap/>
          </w:tcPr>
          <w:p w14:paraId="7F54072D" w14:textId="77777777" w:rsidR="00DA15B8" w:rsidRPr="001F2DBB" w:rsidRDefault="00DA15B8" w:rsidP="000E35DC">
            <w:pPr>
              <w:rPr>
                <w:bCs/>
              </w:rPr>
            </w:pPr>
            <w:r w:rsidRPr="001F2DBB">
              <w:rPr>
                <w:bCs/>
              </w:rPr>
              <w:t>71748</w:t>
            </w:r>
          </w:p>
        </w:tc>
        <w:tc>
          <w:tcPr>
            <w:tcW w:w="586" w:type="pct"/>
            <w:noWrap/>
          </w:tcPr>
          <w:p w14:paraId="55A45098" w14:textId="77777777" w:rsidR="00DA15B8" w:rsidRPr="001F2DBB" w:rsidRDefault="00DA15B8" w:rsidP="000E35DC">
            <w:pPr>
              <w:rPr>
                <w:bCs/>
              </w:rPr>
            </w:pPr>
            <w:r w:rsidRPr="001F2DBB">
              <w:rPr>
                <w:bCs/>
              </w:rPr>
              <w:t>40689</w:t>
            </w:r>
          </w:p>
        </w:tc>
        <w:tc>
          <w:tcPr>
            <w:tcW w:w="586" w:type="pct"/>
            <w:noWrap/>
          </w:tcPr>
          <w:p w14:paraId="1BB4ABD1" w14:textId="77777777" w:rsidR="00DA15B8" w:rsidRPr="001F2DBB" w:rsidRDefault="00DA15B8" w:rsidP="000E35DC">
            <w:pPr>
              <w:rPr>
                <w:bCs/>
              </w:rPr>
            </w:pPr>
            <w:r w:rsidRPr="001F2DBB">
              <w:rPr>
                <w:bCs/>
              </w:rPr>
              <w:t>444</w:t>
            </w:r>
          </w:p>
        </w:tc>
        <w:tc>
          <w:tcPr>
            <w:tcW w:w="625" w:type="pct"/>
            <w:noWrap/>
          </w:tcPr>
          <w:p w14:paraId="7D30272C" w14:textId="77777777" w:rsidR="00DA15B8" w:rsidRPr="001F2DBB" w:rsidRDefault="00DA15B8" w:rsidP="000E35DC">
            <w:pPr>
              <w:rPr>
                <w:bCs/>
              </w:rPr>
            </w:pPr>
            <w:r w:rsidRPr="001F2DBB">
              <w:rPr>
                <w:bCs/>
              </w:rPr>
              <w:t>733</w:t>
            </w:r>
          </w:p>
        </w:tc>
        <w:tc>
          <w:tcPr>
            <w:tcW w:w="725" w:type="pct"/>
            <w:noWrap/>
          </w:tcPr>
          <w:p w14:paraId="3B5BB04E" w14:textId="77777777" w:rsidR="00DA15B8" w:rsidRPr="001F2DBB" w:rsidRDefault="00DA15B8" w:rsidP="000E35DC">
            <w:pPr>
              <w:rPr>
                <w:bCs/>
              </w:rPr>
            </w:pPr>
            <w:r w:rsidRPr="001F2DBB">
              <w:rPr>
                <w:bCs/>
              </w:rPr>
              <w:t>598</w:t>
            </w:r>
          </w:p>
        </w:tc>
        <w:tc>
          <w:tcPr>
            <w:tcW w:w="553" w:type="pct"/>
            <w:noWrap/>
          </w:tcPr>
          <w:p w14:paraId="47877AC6" w14:textId="77777777" w:rsidR="00DA15B8" w:rsidRPr="001F2DBB" w:rsidRDefault="00DA15B8" w:rsidP="000E35DC">
            <w:pPr>
              <w:rPr>
                <w:bCs/>
              </w:rPr>
            </w:pPr>
            <w:r w:rsidRPr="001F2DBB">
              <w:rPr>
                <w:bCs/>
              </w:rPr>
              <w:t>621</w:t>
            </w:r>
          </w:p>
        </w:tc>
      </w:tr>
      <w:tr w:rsidR="00DA15B8" w:rsidRPr="001F2DBB" w14:paraId="17FDEFD3" w14:textId="77777777" w:rsidTr="00DA15B8">
        <w:trPr>
          <w:trHeight w:val="290"/>
        </w:trPr>
        <w:tc>
          <w:tcPr>
            <w:tcW w:w="1403" w:type="pct"/>
            <w:noWrap/>
          </w:tcPr>
          <w:p w14:paraId="7F2D0254" w14:textId="77777777" w:rsidR="00DA15B8" w:rsidRPr="001F2DBB" w:rsidRDefault="00DA15B8" w:rsidP="000E35DC">
            <w:pPr>
              <w:rPr>
                <w:bCs/>
              </w:rPr>
            </w:pPr>
            <w:r w:rsidRPr="001F2DBB">
              <w:rPr>
                <w:bCs/>
              </w:rPr>
              <w:t>XBB.1.5</w:t>
            </w:r>
          </w:p>
        </w:tc>
        <w:tc>
          <w:tcPr>
            <w:tcW w:w="523" w:type="pct"/>
            <w:noWrap/>
          </w:tcPr>
          <w:p w14:paraId="7CBF4819" w14:textId="77777777" w:rsidR="00DA15B8" w:rsidRPr="001F2DBB" w:rsidRDefault="00DA15B8" w:rsidP="000E35DC">
            <w:pPr>
              <w:rPr>
                <w:bCs/>
              </w:rPr>
            </w:pPr>
            <w:r w:rsidRPr="001F2DBB">
              <w:rPr>
                <w:bCs/>
              </w:rPr>
              <w:t>100108</w:t>
            </w:r>
          </w:p>
        </w:tc>
        <w:tc>
          <w:tcPr>
            <w:tcW w:w="586" w:type="pct"/>
            <w:noWrap/>
          </w:tcPr>
          <w:p w14:paraId="513DE363" w14:textId="77777777" w:rsidR="00DA15B8" w:rsidRPr="001F2DBB" w:rsidRDefault="00DA15B8" w:rsidP="000E35DC">
            <w:pPr>
              <w:rPr>
                <w:bCs/>
              </w:rPr>
            </w:pPr>
            <w:r w:rsidRPr="001F2DBB">
              <w:rPr>
                <w:bCs/>
              </w:rPr>
              <w:t>41055</w:t>
            </w:r>
          </w:p>
        </w:tc>
        <w:tc>
          <w:tcPr>
            <w:tcW w:w="586" w:type="pct"/>
            <w:noWrap/>
          </w:tcPr>
          <w:p w14:paraId="4E4933FE" w14:textId="77777777" w:rsidR="00DA15B8" w:rsidRPr="001F2DBB" w:rsidRDefault="00DA15B8" w:rsidP="000E35DC">
            <w:pPr>
              <w:rPr>
                <w:bCs/>
              </w:rPr>
            </w:pPr>
            <w:r w:rsidRPr="001F2DBB">
              <w:rPr>
                <w:bCs/>
              </w:rPr>
              <w:t>1800</w:t>
            </w:r>
          </w:p>
        </w:tc>
        <w:tc>
          <w:tcPr>
            <w:tcW w:w="625" w:type="pct"/>
            <w:noWrap/>
          </w:tcPr>
          <w:p w14:paraId="695C67BF" w14:textId="77777777" w:rsidR="00DA15B8" w:rsidRPr="001F2DBB" w:rsidRDefault="00DA15B8" w:rsidP="000E35DC">
            <w:pPr>
              <w:rPr>
                <w:bCs/>
              </w:rPr>
            </w:pPr>
            <w:r w:rsidRPr="001F2DBB">
              <w:rPr>
                <w:bCs/>
              </w:rPr>
              <w:t>3766</w:t>
            </w:r>
          </w:p>
        </w:tc>
        <w:tc>
          <w:tcPr>
            <w:tcW w:w="725" w:type="pct"/>
            <w:noWrap/>
          </w:tcPr>
          <w:p w14:paraId="1904E760" w14:textId="77777777" w:rsidR="00DA15B8" w:rsidRPr="001F2DBB" w:rsidRDefault="00DA15B8" w:rsidP="000E35DC">
            <w:pPr>
              <w:rPr>
                <w:bCs/>
              </w:rPr>
            </w:pPr>
            <w:r w:rsidRPr="001F2DBB">
              <w:rPr>
                <w:bCs/>
              </w:rPr>
              <w:t>3456</w:t>
            </w:r>
          </w:p>
        </w:tc>
        <w:tc>
          <w:tcPr>
            <w:tcW w:w="553" w:type="pct"/>
            <w:noWrap/>
          </w:tcPr>
          <w:p w14:paraId="6C2D114F" w14:textId="77777777" w:rsidR="00DA15B8" w:rsidRPr="001F2DBB" w:rsidRDefault="00DA15B8" w:rsidP="000E35DC">
            <w:pPr>
              <w:rPr>
                <w:bCs/>
              </w:rPr>
            </w:pPr>
            <w:r w:rsidRPr="001F2DBB">
              <w:rPr>
                <w:bCs/>
              </w:rPr>
              <w:t>3020</w:t>
            </w:r>
          </w:p>
        </w:tc>
      </w:tr>
      <w:tr w:rsidR="00DA15B8" w:rsidRPr="001F2DBB" w14:paraId="76343BE1" w14:textId="77777777" w:rsidTr="00DA15B8">
        <w:trPr>
          <w:trHeight w:val="290"/>
        </w:trPr>
        <w:tc>
          <w:tcPr>
            <w:tcW w:w="1403" w:type="pct"/>
            <w:noWrap/>
          </w:tcPr>
          <w:p w14:paraId="03E62954" w14:textId="77777777" w:rsidR="00DA15B8" w:rsidRPr="001F2DBB" w:rsidRDefault="00DA15B8" w:rsidP="000E35DC">
            <w:pPr>
              <w:rPr>
                <w:bCs/>
              </w:rPr>
            </w:pPr>
            <w:r w:rsidRPr="001F2DBB">
              <w:rPr>
                <w:bCs/>
              </w:rPr>
              <w:t>BA.4/5 + XBB.1.5</w:t>
            </w:r>
          </w:p>
        </w:tc>
        <w:tc>
          <w:tcPr>
            <w:tcW w:w="523" w:type="pct"/>
            <w:noWrap/>
          </w:tcPr>
          <w:p w14:paraId="2FCC2D6B" w14:textId="77777777" w:rsidR="00DA15B8" w:rsidRPr="001F2DBB" w:rsidRDefault="00DA15B8" w:rsidP="000E35DC">
            <w:pPr>
              <w:rPr>
                <w:bCs/>
              </w:rPr>
            </w:pPr>
            <w:r w:rsidRPr="001F2DBB">
              <w:rPr>
                <w:bCs/>
              </w:rPr>
              <w:t>74398</w:t>
            </w:r>
          </w:p>
        </w:tc>
        <w:tc>
          <w:tcPr>
            <w:tcW w:w="586" w:type="pct"/>
            <w:noWrap/>
          </w:tcPr>
          <w:p w14:paraId="46F73AA9" w14:textId="77777777" w:rsidR="00DA15B8" w:rsidRPr="001F2DBB" w:rsidRDefault="00DA15B8" w:rsidP="000E35DC">
            <w:pPr>
              <w:rPr>
                <w:bCs/>
              </w:rPr>
            </w:pPr>
            <w:r w:rsidRPr="001F2DBB">
              <w:rPr>
                <w:bCs/>
              </w:rPr>
              <w:t>54322</w:t>
            </w:r>
          </w:p>
        </w:tc>
        <w:tc>
          <w:tcPr>
            <w:tcW w:w="586" w:type="pct"/>
            <w:noWrap/>
          </w:tcPr>
          <w:p w14:paraId="1592489A" w14:textId="77777777" w:rsidR="00DA15B8" w:rsidRPr="001F2DBB" w:rsidRDefault="00DA15B8" w:rsidP="000E35DC">
            <w:pPr>
              <w:rPr>
                <w:bCs/>
              </w:rPr>
            </w:pPr>
            <w:r w:rsidRPr="001F2DBB">
              <w:rPr>
                <w:bCs/>
              </w:rPr>
              <w:t>775</w:t>
            </w:r>
          </w:p>
        </w:tc>
        <w:tc>
          <w:tcPr>
            <w:tcW w:w="625" w:type="pct"/>
            <w:noWrap/>
          </w:tcPr>
          <w:p w14:paraId="27F8024E" w14:textId="77777777" w:rsidR="00DA15B8" w:rsidRPr="001F2DBB" w:rsidRDefault="00DA15B8" w:rsidP="000E35DC">
            <w:pPr>
              <w:rPr>
                <w:bCs/>
              </w:rPr>
            </w:pPr>
            <w:r w:rsidRPr="001F2DBB">
              <w:rPr>
                <w:bCs/>
              </w:rPr>
              <w:t>1523</w:t>
            </w:r>
          </w:p>
        </w:tc>
        <w:tc>
          <w:tcPr>
            <w:tcW w:w="725" w:type="pct"/>
            <w:noWrap/>
          </w:tcPr>
          <w:p w14:paraId="707D3350" w14:textId="77777777" w:rsidR="00DA15B8" w:rsidRPr="001F2DBB" w:rsidRDefault="00DA15B8" w:rsidP="000E35DC">
            <w:pPr>
              <w:rPr>
                <w:bCs/>
              </w:rPr>
            </w:pPr>
            <w:r w:rsidRPr="001F2DBB">
              <w:rPr>
                <w:bCs/>
              </w:rPr>
              <w:t>1046</w:t>
            </w:r>
          </w:p>
        </w:tc>
        <w:tc>
          <w:tcPr>
            <w:tcW w:w="553" w:type="pct"/>
            <w:noWrap/>
          </w:tcPr>
          <w:p w14:paraId="0E26811F" w14:textId="77777777" w:rsidR="00DA15B8" w:rsidRPr="001F2DBB" w:rsidRDefault="00DA15B8" w:rsidP="000E35DC">
            <w:pPr>
              <w:rPr>
                <w:bCs/>
              </w:rPr>
            </w:pPr>
            <w:r w:rsidRPr="001F2DBB">
              <w:rPr>
                <w:bCs/>
              </w:rPr>
              <w:t>669</w:t>
            </w:r>
          </w:p>
        </w:tc>
      </w:tr>
      <w:tr w:rsidR="00DA15B8" w:rsidRPr="001F2DBB" w14:paraId="4C10324D" w14:textId="77777777" w:rsidTr="00DA15B8">
        <w:trPr>
          <w:trHeight w:val="290"/>
        </w:trPr>
        <w:tc>
          <w:tcPr>
            <w:tcW w:w="5000" w:type="pct"/>
            <w:gridSpan w:val="7"/>
            <w:noWrap/>
          </w:tcPr>
          <w:p w14:paraId="4CEA1ABA" w14:textId="77777777" w:rsidR="00DA15B8" w:rsidRPr="001F2DBB" w:rsidRDefault="00DA15B8" w:rsidP="000E35DC">
            <w:pPr>
              <w:rPr>
                <w:b/>
                <w:bCs/>
              </w:rPr>
            </w:pPr>
            <w:r w:rsidRPr="001F2DBB">
              <w:rPr>
                <w:b/>
                <w:bCs/>
              </w:rPr>
              <w:t>NAb titre ratio</w:t>
            </w:r>
          </w:p>
        </w:tc>
      </w:tr>
      <w:tr w:rsidR="00DA15B8" w:rsidRPr="001F2DBB" w14:paraId="78BA3EDB" w14:textId="77777777" w:rsidTr="00DA15B8">
        <w:trPr>
          <w:trHeight w:val="290"/>
        </w:trPr>
        <w:tc>
          <w:tcPr>
            <w:tcW w:w="1403" w:type="pct"/>
            <w:noWrap/>
          </w:tcPr>
          <w:p w14:paraId="2466A0EC" w14:textId="77777777" w:rsidR="00DA15B8" w:rsidRPr="001F2DBB" w:rsidRDefault="00DA15B8" w:rsidP="000E35DC">
            <w:pPr>
              <w:rPr>
                <w:bCs/>
              </w:rPr>
            </w:pPr>
            <w:r w:rsidRPr="001F2DBB">
              <w:rPr>
                <w:bCs/>
              </w:rPr>
              <w:t>XBB.1.5</w:t>
            </w:r>
          </w:p>
        </w:tc>
        <w:tc>
          <w:tcPr>
            <w:tcW w:w="523" w:type="pct"/>
            <w:noWrap/>
          </w:tcPr>
          <w:p w14:paraId="10383542" w14:textId="77777777" w:rsidR="00DA15B8" w:rsidRPr="001F2DBB" w:rsidRDefault="00DA15B8" w:rsidP="000E35DC">
            <w:pPr>
              <w:rPr>
                <w:bCs/>
              </w:rPr>
            </w:pPr>
            <w:r w:rsidRPr="001F2DBB">
              <w:rPr>
                <w:bCs/>
              </w:rPr>
              <w:t>1.4</w:t>
            </w:r>
          </w:p>
        </w:tc>
        <w:tc>
          <w:tcPr>
            <w:tcW w:w="586" w:type="pct"/>
            <w:noWrap/>
          </w:tcPr>
          <w:p w14:paraId="575FEF4E" w14:textId="77777777" w:rsidR="00DA15B8" w:rsidRPr="001F2DBB" w:rsidRDefault="00DA15B8" w:rsidP="000E35DC">
            <w:pPr>
              <w:rPr>
                <w:bCs/>
              </w:rPr>
            </w:pPr>
            <w:r w:rsidRPr="001F2DBB">
              <w:rPr>
                <w:bCs/>
              </w:rPr>
              <w:t>1.0</w:t>
            </w:r>
          </w:p>
        </w:tc>
        <w:tc>
          <w:tcPr>
            <w:tcW w:w="586" w:type="pct"/>
            <w:noWrap/>
          </w:tcPr>
          <w:p w14:paraId="166C645F" w14:textId="77777777" w:rsidR="00DA15B8" w:rsidRPr="001F2DBB" w:rsidRDefault="00DA15B8" w:rsidP="000E35DC">
            <w:pPr>
              <w:rPr>
                <w:bCs/>
              </w:rPr>
            </w:pPr>
            <w:r w:rsidRPr="001F2DBB">
              <w:rPr>
                <w:bCs/>
              </w:rPr>
              <w:t>4.1</w:t>
            </w:r>
          </w:p>
        </w:tc>
        <w:tc>
          <w:tcPr>
            <w:tcW w:w="625" w:type="pct"/>
            <w:noWrap/>
          </w:tcPr>
          <w:p w14:paraId="57534C9A" w14:textId="77777777" w:rsidR="00DA15B8" w:rsidRPr="001F2DBB" w:rsidRDefault="00DA15B8" w:rsidP="000E35DC">
            <w:pPr>
              <w:rPr>
                <w:bCs/>
              </w:rPr>
            </w:pPr>
            <w:r w:rsidRPr="001F2DBB">
              <w:rPr>
                <w:bCs/>
              </w:rPr>
              <w:t>5.1</w:t>
            </w:r>
          </w:p>
        </w:tc>
        <w:tc>
          <w:tcPr>
            <w:tcW w:w="725" w:type="pct"/>
            <w:noWrap/>
          </w:tcPr>
          <w:p w14:paraId="31AEA3B6" w14:textId="77777777" w:rsidR="00DA15B8" w:rsidRPr="001F2DBB" w:rsidRDefault="00DA15B8" w:rsidP="000E35DC">
            <w:pPr>
              <w:rPr>
                <w:bCs/>
              </w:rPr>
            </w:pPr>
            <w:r w:rsidRPr="001F2DBB">
              <w:rPr>
                <w:bCs/>
              </w:rPr>
              <w:t>5.8</w:t>
            </w:r>
          </w:p>
        </w:tc>
        <w:tc>
          <w:tcPr>
            <w:tcW w:w="553" w:type="pct"/>
            <w:noWrap/>
          </w:tcPr>
          <w:p w14:paraId="13CB48F3" w14:textId="77777777" w:rsidR="00DA15B8" w:rsidRPr="001F2DBB" w:rsidRDefault="00DA15B8" w:rsidP="000E35DC">
            <w:pPr>
              <w:rPr>
                <w:bCs/>
              </w:rPr>
            </w:pPr>
            <w:r w:rsidRPr="001F2DBB">
              <w:rPr>
                <w:bCs/>
              </w:rPr>
              <w:t>4.9</w:t>
            </w:r>
          </w:p>
        </w:tc>
      </w:tr>
      <w:tr w:rsidR="00DA15B8" w:rsidRPr="001F2DBB" w14:paraId="59EB65B6" w14:textId="77777777" w:rsidTr="00DA15B8">
        <w:trPr>
          <w:trHeight w:val="290"/>
        </w:trPr>
        <w:tc>
          <w:tcPr>
            <w:tcW w:w="1403" w:type="pct"/>
            <w:noWrap/>
          </w:tcPr>
          <w:p w14:paraId="1C0A5AB0" w14:textId="77777777" w:rsidR="00DA15B8" w:rsidRPr="001F2DBB" w:rsidRDefault="00DA15B8" w:rsidP="000E35DC">
            <w:pPr>
              <w:rPr>
                <w:bCs/>
              </w:rPr>
            </w:pPr>
            <w:r w:rsidRPr="001F2DBB">
              <w:rPr>
                <w:bCs/>
              </w:rPr>
              <w:t>BA.4/5 + XBB.1.5</w:t>
            </w:r>
          </w:p>
        </w:tc>
        <w:tc>
          <w:tcPr>
            <w:tcW w:w="523" w:type="pct"/>
            <w:noWrap/>
          </w:tcPr>
          <w:p w14:paraId="5445C09E" w14:textId="77777777" w:rsidR="00DA15B8" w:rsidRPr="001F2DBB" w:rsidRDefault="00DA15B8" w:rsidP="000E35DC">
            <w:pPr>
              <w:rPr>
                <w:bCs/>
              </w:rPr>
            </w:pPr>
            <w:r w:rsidRPr="001F2DBB">
              <w:rPr>
                <w:bCs/>
              </w:rPr>
              <w:t>1.0</w:t>
            </w:r>
          </w:p>
        </w:tc>
        <w:tc>
          <w:tcPr>
            <w:tcW w:w="586" w:type="pct"/>
            <w:noWrap/>
          </w:tcPr>
          <w:p w14:paraId="12FB4D76" w14:textId="77777777" w:rsidR="00DA15B8" w:rsidRPr="001F2DBB" w:rsidRDefault="00DA15B8" w:rsidP="000E35DC">
            <w:pPr>
              <w:rPr>
                <w:bCs/>
              </w:rPr>
            </w:pPr>
            <w:r w:rsidRPr="001F2DBB">
              <w:rPr>
                <w:bCs/>
              </w:rPr>
              <w:t>1.3</w:t>
            </w:r>
          </w:p>
        </w:tc>
        <w:tc>
          <w:tcPr>
            <w:tcW w:w="586" w:type="pct"/>
            <w:noWrap/>
          </w:tcPr>
          <w:p w14:paraId="4DD75619" w14:textId="77777777" w:rsidR="00DA15B8" w:rsidRPr="001F2DBB" w:rsidRDefault="00DA15B8" w:rsidP="000E35DC">
            <w:pPr>
              <w:rPr>
                <w:bCs/>
              </w:rPr>
            </w:pPr>
            <w:r w:rsidRPr="001F2DBB">
              <w:rPr>
                <w:bCs/>
              </w:rPr>
              <w:t>1.7</w:t>
            </w:r>
          </w:p>
        </w:tc>
        <w:tc>
          <w:tcPr>
            <w:tcW w:w="625" w:type="pct"/>
            <w:noWrap/>
          </w:tcPr>
          <w:p w14:paraId="590ED9B1" w14:textId="77777777" w:rsidR="00DA15B8" w:rsidRPr="001F2DBB" w:rsidRDefault="00DA15B8" w:rsidP="000E35DC">
            <w:pPr>
              <w:rPr>
                <w:bCs/>
              </w:rPr>
            </w:pPr>
            <w:r w:rsidRPr="001F2DBB">
              <w:rPr>
                <w:bCs/>
              </w:rPr>
              <w:t>2.1</w:t>
            </w:r>
          </w:p>
        </w:tc>
        <w:tc>
          <w:tcPr>
            <w:tcW w:w="725" w:type="pct"/>
            <w:noWrap/>
          </w:tcPr>
          <w:p w14:paraId="29C2489F" w14:textId="77777777" w:rsidR="00DA15B8" w:rsidRPr="001F2DBB" w:rsidRDefault="00DA15B8" w:rsidP="000E35DC">
            <w:pPr>
              <w:rPr>
                <w:bCs/>
              </w:rPr>
            </w:pPr>
            <w:r w:rsidRPr="001F2DBB">
              <w:rPr>
                <w:bCs/>
              </w:rPr>
              <w:t>2.4</w:t>
            </w:r>
          </w:p>
        </w:tc>
        <w:tc>
          <w:tcPr>
            <w:tcW w:w="553" w:type="pct"/>
            <w:noWrap/>
          </w:tcPr>
          <w:p w14:paraId="1D68D621" w14:textId="77777777" w:rsidR="00DA15B8" w:rsidRPr="001F2DBB" w:rsidRDefault="00DA15B8" w:rsidP="000E35DC">
            <w:pPr>
              <w:rPr>
                <w:bCs/>
              </w:rPr>
            </w:pPr>
            <w:r w:rsidRPr="001F2DBB">
              <w:rPr>
                <w:bCs/>
              </w:rPr>
              <w:t>1.1</w:t>
            </w:r>
          </w:p>
        </w:tc>
      </w:tr>
    </w:tbl>
    <w:p w14:paraId="5FCB1C94" w14:textId="77777777" w:rsidR="00DA15B8" w:rsidRDefault="00DA15B8" w:rsidP="00DA15B8">
      <w:pPr>
        <w:pStyle w:val="TableDescription"/>
      </w:pPr>
      <w:r>
        <w:t>Abbreviation: NAb = neutralising antibody, WT = wild type</w:t>
      </w:r>
    </w:p>
    <w:p w14:paraId="02501AD4" w14:textId="47E753FF" w:rsidR="00DA15B8" w:rsidRDefault="00DA15B8" w:rsidP="00DA15B8">
      <w:r w:rsidRPr="00DA15B8">
        <w:t>In both the pharmacology studies, none of the XBB sub-lineages tested showed evidence of immune escape. Both monovalent and bivalent containing XBB.1.5 vaccines induced a CD4</w:t>
      </w:r>
      <w:r w:rsidRPr="00DA15B8">
        <w:rPr>
          <w:vertAlign w:val="superscript"/>
        </w:rPr>
        <w:t>+</w:t>
      </w:r>
      <w:r w:rsidRPr="00DA15B8">
        <w:t xml:space="preserve"> and CD8</w:t>
      </w:r>
      <w:r w:rsidRPr="00DA15B8">
        <w:rPr>
          <w:vertAlign w:val="superscript"/>
        </w:rPr>
        <w:t>+</w:t>
      </w:r>
      <w:r w:rsidRPr="00DA15B8">
        <w:t xml:space="preserve"> T-cell response. The monovalent XBB.1.5 vaccine showed a higher response than the bivalent variant. Therefore, the XBB.1.5 monovalent vaccine is likely to provide better protection against currently circulating strains as compared to the previously approved variant vaccines.</w:t>
      </w:r>
    </w:p>
    <w:p w14:paraId="3C772389" w14:textId="77777777" w:rsidR="00DA15B8" w:rsidRPr="00DA15B8" w:rsidRDefault="00DA15B8" w:rsidP="00DA15B8">
      <w:pPr>
        <w:pStyle w:val="Heading4"/>
      </w:pPr>
      <w:bookmarkStart w:id="67" w:name="_Toc158382393"/>
      <w:r w:rsidRPr="00DA15B8">
        <w:t>Distribution and protein expression</w:t>
      </w:r>
      <w:bookmarkEnd w:id="67"/>
    </w:p>
    <w:p w14:paraId="419B04E7" w14:textId="0E152D58" w:rsidR="00DA15B8" w:rsidRPr="00DA15B8" w:rsidRDefault="00DA15B8" w:rsidP="00DA15B8">
      <w:r w:rsidRPr="00DA15B8">
        <w:t xml:space="preserve">A distribution study in mice with </w:t>
      </w:r>
      <w:r>
        <w:t>LNP</w:t>
      </w:r>
      <w:r w:rsidRPr="00DA15B8">
        <w:t xml:space="preserve"> containing mod</w:t>
      </w:r>
      <w:r>
        <w:t xml:space="preserve">ified </w:t>
      </w:r>
      <w:r w:rsidRPr="00DA15B8">
        <w:t>RNA for GFP showed presence of mod</w:t>
      </w:r>
      <w:r>
        <w:t xml:space="preserve">ified </w:t>
      </w:r>
      <w:r w:rsidRPr="00DA15B8">
        <w:t>RNA and expression of GFP predominantly at the injection site, draining lymph nodes and spleen, with rare observations in the liver. These findings are in line with data submitted in the original application,</w:t>
      </w:r>
      <w:r w:rsidRPr="00DA15B8">
        <w:rPr>
          <w:vertAlign w:val="superscript"/>
        </w:rPr>
        <w:fldChar w:fldCharType="begin"/>
      </w:r>
      <w:r w:rsidRPr="00DA15B8">
        <w:rPr>
          <w:vertAlign w:val="superscript"/>
        </w:rPr>
        <w:instrText xml:space="preserve"> NOTEREF _Ref147401181 \h </w:instrText>
      </w:r>
      <w:r>
        <w:rPr>
          <w:vertAlign w:val="superscript"/>
        </w:rPr>
        <w:instrText xml:space="preserve"> \* MERGEFORMAT </w:instrText>
      </w:r>
      <w:r w:rsidRPr="00DA15B8">
        <w:rPr>
          <w:vertAlign w:val="superscript"/>
        </w:rPr>
      </w:r>
      <w:r w:rsidRPr="00DA15B8">
        <w:rPr>
          <w:vertAlign w:val="superscript"/>
        </w:rPr>
        <w:fldChar w:fldCharType="separate"/>
      </w:r>
      <w:r w:rsidR="003A20CD">
        <w:rPr>
          <w:vertAlign w:val="superscript"/>
        </w:rPr>
        <w:t>8</w:t>
      </w:r>
      <w:r w:rsidRPr="00DA15B8">
        <w:rPr>
          <w:vertAlign w:val="superscript"/>
        </w:rPr>
        <w:fldChar w:fldCharType="end"/>
      </w:r>
      <w:r w:rsidRPr="00DA15B8">
        <w:t xml:space="preserve"> where distribution studies used mod</w:t>
      </w:r>
      <w:r>
        <w:t xml:space="preserve">ified </w:t>
      </w:r>
      <w:r w:rsidRPr="00DA15B8">
        <w:t>RNA expressing luciferase.</w:t>
      </w:r>
    </w:p>
    <w:p w14:paraId="7317EC5B" w14:textId="2FB9507B" w:rsidR="00DA15B8" w:rsidRPr="00DA15B8" w:rsidRDefault="00DA15B8" w:rsidP="00DA15B8">
      <w:pPr>
        <w:pStyle w:val="Heading4"/>
      </w:pPr>
      <w:bookmarkStart w:id="68" w:name="_Toc112249624"/>
      <w:bookmarkStart w:id="69" w:name="_Toc122421329"/>
      <w:bookmarkStart w:id="70" w:name="_Toc144311606"/>
      <w:bookmarkStart w:id="71" w:name="_Toc158382394"/>
      <w:r w:rsidRPr="00DA15B8">
        <w:t>Recommendation</w:t>
      </w:r>
      <w:bookmarkEnd w:id="68"/>
      <w:bookmarkEnd w:id="69"/>
      <w:bookmarkEnd w:id="70"/>
      <w:bookmarkEnd w:id="71"/>
    </w:p>
    <w:p w14:paraId="108E4198" w14:textId="126A821B" w:rsidR="00DA15B8" w:rsidRPr="00DA15B8" w:rsidRDefault="00DA15B8" w:rsidP="00DA15B8">
      <w:r w:rsidRPr="00DA15B8">
        <w:t>There are no nonclinical objections to the approval of the Comirnaty Omicron XBB.1.5 monovalent vaccine.</w:t>
      </w:r>
    </w:p>
    <w:p w14:paraId="35B580A5" w14:textId="47E01D2D" w:rsidR="00C22214" w:rsidRDefault="00C22214" w:rsidP="008804CF">
      <w:pPr>
        <w:pStyle w:val="Heading3"/>
      </w:pPr>
      <w:bookmarkStart w:id="72" w:name="_Toc158382395"/>
      <w:r>
        <w:lastRenderedPageBreak/>
        <w:t>Clinical</w:t>
      </w:r>
      <w:bookmarkEnd w:id="60"/>
      <w:bookmarkEnd w:id="61"/>
      <w:bookmarkEnd w:id="62"/>
      <w:bookmarkEnd w:id="72"/>
    </w:p>
    <w:p w14:paraId="0DAD02C1" w14:textId="414F5192" w:rsidR="00DA15B8" w:rsidRPr="00DA15B8" w:rsidRDefault="00DA15B8" w:rsidP="00DA15B8">
      <w:bookmarkStart w:id="73" w:name="_Toc314842514"/>
      <w:bookmarkStart w:id="74" w:name="_Toc103679298"/>
      <w:r w:rsidRPr="00DA15B8">
        <w:t>No clinical data was submitted with this application</w:t>
      </w:r>
      <w:r>
        <w:t>.</w:t>
      </w:r>
    </w:p>
    <w:p w14:paraId="2858B006" w14:textId="3CB52DDB" w:rsidR="00C22214" w:rsidRDefault="00C22214" w:rsidP="00C22214">
      <w:pPr>
        <w:pStyle w:val="Heading3"/>
        <w:rPr>
          <w:lang w:eastAsia="en-AU"/>
        </w:rPr>
      </w:pPr>
      <w:bookmarkStart w:id="75" w:name="_Toc158382396"/>
      <w:r>
        <w:rPr>
          <w:lang w:eastAsia="en-AU"/>
        </w:rPr>
        <w:t>Risk management plan</w:t>
      </w:r>
      <w:bookmarkEnd w:id="73"/>
      <w:bookmarkEnd w:id="74"/>
      <w:bookmarkEnd w:id="75"/>
    </w:p>
    <w:p w14:paraId="273A7EAE" w14:textId="79C4AD47" w:rsidR="00DA15B8" w:rsidRPr="00DA15B8" w:rsidRDefault="00DA15B8" w:rsidP="00DA15B8">
      <w:bookmarkStart w:id="76" w:name="_Toc247691531"/>
      <w:bookmarkStart w:id="77" w:name="_Toc314842515"/>
      <w:bookmarkStart w:id="78" w:name="_Toc103679299"/>
      <w:r w:rsidRPr="00DA15B8">
        <w:t xml:space="preserve">No </w:t>
      </w:r>
      <w:r>
        <w:t>risk management plan (R</w:t>
      </w:r>
      <w:r w:rsidRPr="00DA15B8">
        <w:t>MP</w:t>
      </w:r>
      <w:r>
        <w:t>)</w:t>
      </w:r>
      <w:r w:rsidRPr="00DA15B8">
        <w:t xml:space="preserve"> has been provided by the sponsor and it is acceptable at this stage. The changes proposed in this application are not significant from an RMP </w:t>
      </w:r>
      <w:r>
        <w:t>p</w:t>
      </w:r>
      <w:r w:rsidRPr="00DA15B8">
        <w:t>erspective.</w:t>
      </w:r>
    </w:p>
    <w:p w14:paraId="74A4F87F" w14:textId="6E5AAA0C" w:rsidR="00C22214" w:rsidRDefault="00C22214" w:rsidP="00C22214">
      <w:pPr>
        <w:pStyle w:val="Heading3"/>
      </w:pPr>
      <w:bookmarkStart w:id="79" w:name="_Toc158382397"/>
      <w:r>
        <w:t>Risk-benefit analysis</w:t>
      </w:r>
      <w:bookmarkEnd w:id="76"/>
      <w:bookmarkEnd w:id="77"/>
      <w:bookmarkEnd w:id="78"/>
      <w:bookmarkEnd w:id="79"/>
    </w:p>
    <w:p w14:paraId="77DE2655" w14:textId="77777777" w:rsidR="00C22214" w:rsidRDefault="00C22214" w:rsidP="00C22214">
      <w:pPr>
        <w:pStyle w:val="Heading4"/>
      </w:pPr>
      <w:bookmarkStart w:id="80" w:name="_Toc98931932"/>
      <w:bookmarkStart w:id="81" w:name="_Toc158382398"/>
      <w:r>
        <w:t>Delegate’s considerations</w:t>
      </w:r>
      <w:bookmarkEnd w:id="80"/>
      <w:bookmarkEnd w:id="81"/>
    </w:p>
    <w:p w14:paraId="110CD50D" w14:textId="67779C51" w:rsidR="00ED240A" w:rsidRPr="00ED240A" w:rsidRDefault="400D16E9" w:rsidP="00ED240A">
      <w:r>
        <w:t>This is a major and minor variation application to update the currently approved Comirnaty (original) vaccine strain to the Omicron subvariant XBB</w:t>
      </w:r>
      <w:r w:rsidR="38E4010E">
        <w:t>.</w:t>
      </w:r>
      <w:r>
        <w:t>1.5 and to register new formulations.</w:t>
      </w:r>
    </w:p>
    <w:p w14:paraId="64DA7020" w14:textId="423CBC6E" w:rsidR="00ED240A" w:rsidRPr="00ED240A" w:rsidRDefault="00ED240A" w:rsidP="00ED240A">
      <w:r w:rsidRPr="00ED240A">
        <w:t>To support this application, the sponsor has provided nonclinical study report, providing immunogenicity in mice.</w:t>
      </w:r>
      <w:r>
        <w:t xml:space="preserve"> The quality</w:t>
      </w:r>
      <w:r w:rsidRPr="00ED240A">
        <w:t xml:space="preserve"> data has been submitted for only two formulations out of the six proposed.</w:t>
      </w:r>
    </w:p>
    <w:p w14:paraId="2A44C10B" w14:textId="4E1DD1FC" w:rsidR="00ED240A" w:rsidRPr="00ED240A" w:rsidRDefault="00ED240A" w:rsidP="00ED240A">
      <w:r w:rsidRPr="00ED240A">
        <w:t>TGA has published a guidance for the Covid 19 vaccine strain update. This guidance aims to simplify the indication and dosing.</w:t>
      </w:r>
      <w:r>
        <w:rPr>
          <w:rStyle w:val="FootnoteReference"/>
        </w:rPr>
        <w:footnoteReference w:id="9"/>
      </w:r>
    </w:p>
    <w:p w14:paraId="2AAE92DF" w14:textId="4A57290C" w:rsidR="00ED240A" w:rsidRPr="00ED240A" w:rsidRDefault="00ED240A" w:rsidP="00ED240A">
      <w:pPr>
        <w:pStyle w:val="Heading5"/>
      </w:pPr>
      <w:r w:rsidRPr="00ED240A">
        <w:t>Public health need</w:t>
      </w:r>
    </w:p>
    <w:p w14:paraId="0645409E" w14:textId="06B67D76" w:rsidR="00ED240A" w:rsidRPr="00ED240A" w:rsidRDefault="00ED240A" w:rsidP="00ED240A">
      <w:r w:rsidRPr="00ED240A">
        <w:t>SARS</w:t>
      </w:r>
      <w:r w:rsidR="00E137D3">
        <w:t>-</w:t>
      </w:r>
      <w:r w:rsidRPr="00ED240A">
        <w:t>Co</w:t>
      </w:r>
      <w:r w:rsidR="00E137D3">
        <w:t>V-</w:t>
      </w:r>
      <w:r w:rsidRPr="00ED240A">
        <w:t>2 (</w:t>
      </w:r>
      <w:r w:rsidR="004F403F">
        <w:t>O</w:t>
      </w:r>
      <w:r w:rsidRPr="00ED240A">
        <w:t>micron variant) is still circulating in Australia</w:t>
      </w:r>
      <w:r>
        <w:t>.</w:t>
      </w:r>
      <w:r w:rsidRPr="00ED240A">
        <w:rPr>
          <w:vertAlign w:val="superscript"/>
        </w:rPr>
        <w:footnoteReference w:id="10"/>
      </w:r>
      <w:r>
        <w:t xml:space="preserve"> </w:t>
      </w:r>
      <w:r w:rsidRPr="00ED240A">
        <w:t>There is a need for C</w:t>
      </w:r>
      <w:r>
        <w:t>OVID-</w:t>
      </w:r>
      <w:r w:rsidRPr="00ED240A">
        <w:t>19 vaccine which provides better protection against the currently circulating Omicron subvariants.</w:t>
      </w:r>
    </w:p>
    <w:p w14:paraId="29CCAB71" w14:textId="6ED3A61E" w:rsidR="00ED240A" w:rsidRPr="00ED240A" w:rsidRDefault="00ED240A" w:rsidP="00ED240A">
      <w:r w:rsidRPr="00ED240A">
        <w:t>Although Omicron BA.4/BA.5-adapted bivalent COVID-19 vaccines provide some protection against a range of outcomes from XBB-related COVID-19,</w:t>
      </w:r>
      <w:r w:rsidRPr="00ED240A">
        <w:rPr>
          <w:vertAlign w:val="superscript"/>
        </w:rPr>
        <w:footnoteReference w:id="11"/>
      </w:r>
      <w:r w:rsidRPr="00ED240A">
        <w:rPr>
          <w:vertAlign w:val="superscript"/>
        </w:rPr>
        <w:t>,</w:t>
      </w:r>
      <w:r w:rsidRPr="00ED240A">
        <w:rPr>
          <w:vertAlign w:val="superscript"/>
        </w:rPr>
        <w:footnoteReference w:id="12"/>
      </w:r>
      <w:r w:rsidRPr="00ED240A">
        <w:rPr>
          <w:vertAlign w:val="superscript"/>
        </w:rPr>
        <w:t> </w:t>
      </w:r>
      <w:r w:rsidRPr="00ED240A">
        <w:t>evidence suggests that vaccines better matched to currently circulating strains can offer improved protection against symptomatic and severe disease.</w:t>
      </w:r>
      <w:r w:rsidRPr="00ED240A">
        <w:rPr>
          <w:vertAlign w:val="superscript"/>
        </w:rPr>
        <w:footnoteReference w:id="13"/>
      </w:r>
    </w:p>
    <w:p w14:paraId="7AC90357" w14:textId="2ED17A9D" w:rsidR="00ED240A" w:rsidRDefault="00ED240A" w:rsidP="00ED240A">
      <w:pPr>
        <w:pStyle w:val="Heading5"/>
      </w:pPr>
      <w:r>
        <w:t>Proposed indication</w:t>
      </w:r>
    </w:p>
    <w:p w14:paraId="3559B6B2" w14:textId="37FEFAA3" w:rsidR="00ED240A" w:rsidRPr="00ED240A" w:rsidRDefault="00ED240A" w:rsidP="00ED240A">
      <w:pPr>
        <w:ind w:left="720"/>
        <w:rPr>
          <w:i/>
          <w:iCs/>
        </w:rPr>
      </w:pPr>
      <w:r w:rsidRPr="00ED240A">
        <w:rPr>
          <w:i/>
          <w:iCs/>
        </w:rPr>
        <w:t>Active immunisation to prevent coronavirus disease 2019 (COVID-19) caused by SARS</w:t>
      </w:r>
      <w:r w:rsidR="00444D43">
        <w:rPr>
          <w:i/>
          <w:iCs/>
        </w:rPr>
        <w:noBreakHyphen/>
      </w:r>
      <w:r w:rsidRPr="00ED240A">
        <w:rPr>
          <w:i/>
          <w:iCs/>
        </w:rPr>
        <w:t>CoV</w:t>
      </w:r>
      <w:r w:rsidR="00444D43">
        <w:rPr>
          <w:i/>
          <w:iCs/>
        </w:rPr>
        <w:noBreakHyphen/>
      </w:r>
      <w:r w:rsidRPr="00ED240A">
        <w:rPr>
          <w:i/>
          <w:iCs/>
        </w:rPr>
        <w:t>2, in individuals 5 years of age and older.</w:t>
      </w:r>
    </w:p>
    <w:p w14:paraId="1585D722" w14:textId="30F7CF58" w:rsidR="00ED240A" w:rsidRPr="00ED240A" w:rsidRDefault="00ED240A" w:rsidP="00ED240A">
      <w:pPr>
        <w:ind w:left="720"/>
      </w:pPr>
      <w:r w:rsidRPr="00ED240A">
        <w:rPr>
          <w:i/>
          <w:iCs/>
        </w:rPr>
        <w:t>The use of this vaccine should be in accordance with official recommendations.</w:t>
      </w:r>
    </w:p>
    <w:p w14:paraId="7CE8FBB2" w14:textId="57EF541F" w:rsidR="00ED240A" w:rsidRDefault="00B33A6A" w:rsidP="00ED240A">
      <w:pPr>
        <w:pStyle w:val="Heading5"/>
      </w:pPr>
      <w:r>
        <w:lastRenderedPageBreak/>
        <w:t>D</w:t>
      </w:r>
      <w:r w:rsidR="00ED240A">
        <w:t>osage and dose schedule</w:t>
      </w:r>
    </w:p>
    <w:p w14:paraId="5B844ECE" w14:textId="4BA27474" w:rsidR="00ED240A" w:rsidRDefault="00B33A6A" w:rsidP="00ED240A">
      <w:r>
        <w:fldChar w:fldCharType="begin"/>
      </w:r>
      <w:r>
        <w:instrText xml:space="preserve"> REF _Ref147480569 \h </w:instrText>
      </w:r>
      <w:r>
        <w:fldChar w:fldCharType="separate"/>
      </w:r>
      <w:r w:rsidR="003A20CD" w:rsidRPr="00034300">
        <w:t xml:space="preserve">Table </w:t>
      </w:r>
      <w:r w:rsidR="003A20CD">
        <w:rPr>
          <w:noProof/>
        </w:rPr>
        <w:t>7</w:t>
      </w:r>
      <w:r>
        <w:fldChar w:fldCharType="end"/>
      </w:r>
      <w:r>
        <w:t xml:space="preserve"> </w:t>
      </w:r>
      <w:r w:rsidR="00ED240A">
        <w:t>lists the proposed dosage and dose schedule</w:t>
      </w:r>
      <w:r>
        <w:t xml:space="preserve"> by sponsor for this application.</w:t>
      </w:r>
    </w:p>
    <w:p w14:paraId="14D63AA3" w14:textId="5D03163B" w:rsidR="00034300" w:rsidRDefault="00034300" w:rsidP="00034300">
      <w:pPr>
        <w:pStyle w:val="TableTitle"/>
      </w:pPr>
      <w:bookmarkStart w:id="82" w:name="_Ref147480569"/>
      <w:r w:rsidRPr="00034300">
        <w:t xml:space="preserve">Table </w:t>
      </w:r>
      <w:r>
        <w:fldChar w:fldCharType="begin"/>
      </w:r>
      <w:r>
        <w:instrText>SEQ Table \* ARABIC</w:instrText>
      </w:r>
      <w:r>
        <w:fldChar w:fldCharType="separate"/>
      </w:r>
      <w:r w:rsidR="003A20CD">
        <w:rPr>
          <w:noProof/>
        </w:rPr>
        <w:t>7</w:t>
      </w:r>
      <w:r>
        <w:fldChar w:fldCharType="end"/>
      </w:r>
      <w:bookmarkEnd w:id="82"/>
      <w:r w:rsidRPr="00034300">
        <w:t>:</w:t>
      </w:r>
      <w:r>
        <w:t xml:space="preserve"> Proposed dosage and dose schedule</w:t>
      </w:r>
    </w:p>
    <w:p w14:paraId="51D190EC" w14:textId="4FF2D12A" w:rsidR="00ED240A" w:rsidRDefault="00ED240A" w:rsidP="00ED240A">
      <w:r w:rsidRPr="00436423">
        <w:rPr>
          <w:noProof/>
        </w:rPr>
        <w:drawing>
          <wp:inline distT="0" distB="0" distL="0" distR="0" wp14:anchorId="5FEFC3D0" wp14:editId="1C410AAC">
            <wp:extent cx="5579560" cy="1144463"/>
            <wp:effectExtent l="0" t="0" r="2540" b="0"/>
            <wp:docPr id="2" name="Picture 2" descr="Proposed dosage and dose sche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oposed dosage and dose schedule"/>
                    <pic:cNvPicPr>
                      <a:picLocks noChangeAspect="1" noChangeArrowheads="1"/>
                    </pic:cNvPicPr>
                  </pic:nvPicPr>
                  <pic:blipFill rotWithShape="1">
                    <a:blip r:embed="rId27">
                      <a:lum bright="-20000" contrast="40000"/>
                      <a:extLst>
                        <a:ext uri="{28A0092B-C50C-407E-A947-70E740481C1C}">
                          <a14:useLocalDpi xmlns:a14="http://schemas.microsoft.com/office/drawing/2010/main" val="0"/>
                        </a:ext>
                      </a:extLst>
                    </a:blip>
                    <a:srcRect t="9301" r="2587" b="48862"/>
                    <a:stretch/>
                  </pic:blipFill>
                  <pic:spPr bwMode="auto">
                    <a:xfrm>
                      <a:off x="0" y="0"/>
                      <a:ext cx="5604393" cy="1149557"/>
                    </a:xfrm>
                    <a:prstGeom prst="rect">
                      <a:avLst/>
                    </a:prstGeom>
                    <a:noFill/>
                    <a:ln>
                      <a:noFill/>
                    </a:ln>
                    <a:extLst>
                      <a:ext uri="{53640926-AAD7-44D8-BBD7-CCE9431645EC}">
                        <a14:shadowObscured xmlns:a14="http://schemas.microsoft.com/office/drawing/2010/main"/>
                      </a:ext>
                    </a:extLst>
                  </pic:spPr>
                </pic:pic>
              </a:graphicData>
            </a:graphic>
          </wp:inline>
        </w:drawing>
      </w:r>
    </w:p>
    <w:p w14:paraId="7DB76E7C" w14:textId="4386A8B3" w:rsidR="00ED240A" w:rsidRPr="00034300" w:rsidRDefault="00ED240A" w:rsidP="00034300">
      <w:r w:rsidRPr="00034300">
        <w:t>Subsequent doses of Comirnaty Omicron XBB.1.5 may be administered to individual 18 years of age and older at least 3 months after a previous booster dose of Comirnaty.</w:t>
      </w:r>
    </w:p>
    <w:p w14:paraId="36184A52" w14:textId="0F9A5BC3" w:rsidR="00ED240A" w:rsidRDefault="00ED240A" w:rsidP="00034300">
      <w:r w:rsidRPr="00034300">
        <w:t xml:space="preserve">The decision when and for whom to implement a booster dose of Comirnaty Omicron XBB.1.5 should be </w:t>
      </w:r>
      <w:proofErr w:type="spellStart"/>
      <w:r w:rsidRPr="00034300">
        <w:t>ased</w:t>
      </w:r>
      <w:proofErr w:type="spellEnd"/>
      <w:r w:rsidRPr="00034300">
        <w:t xml:space="preserve"> on available vaccine safety and effectiveness data (see</w:t>
      </w:r>
      <w:r w:rsidR="00034300" w:rsidRPr="00034300">
        <w:t xml:space="preserve"> Sections 4.4 Special warnings and precautions for use and 5.1 Pharmacodynamic properties in Product Information), in accordance with official recommendations.</w:t>
      </w:r>
    </w:p>
    <w:p w14:paraId="403F2427" w14:textId="237C3EC8" w:rsidR="00034300" w:rsidRDefault="00BA5EA7" w:rsidP="00BA5EA7">
      <w:pPr>
        <w:pStyle w:val="Heading5"/>
      </w:pPr>
      <w:r>
        <w:t>Immunogenicity</w:t>
      </w:r>
    </w:p>
    <w:p w14:paraId="454D0B76" w14:textId="45452FAB" w:rsidR="00BA5EA7" w:rsidRPr="00BA5EA7" w:rsidRDefault="00BA5EA7" w:rsidP="00BA5EA7">
      <w:r w:rsidRPr="00BA5EA7">
        <w:t xml:space="preserve">The </w:t>
      </w:r>
      <w:r>
        <w:t xml:space="preserve">Omicron </w:t>
      </w:r>
      <w:r w:rsidRPr="00BA5EA7">
        <w:t xml:space="preserve">XBB.1.5 containing variant vaccine as a primary series or booster dose was immunogenic in mice and induced significantly higher neutralising antibodies against </w:t>
      </w:r>
      <w:r>
        <w:t xml:space="preserve">Omicron </w:t>
      </w:r>
      <w:r w:rsidRPr="00BA5EA7">
        <w:t xml:space="preserve">XBB.1.5 and other related variants (XBB.1.16, XBB.1.16.1, XBB.2.3). The monovalent </w:t>
      </w:r>
      <w:r>
        <w:t xml:space="preserve">Omicron </w:t>
      </w:r>
      <w:r w:rsidRPr="00BA5EA7">
        <w:t>XBB.1.5 (0.5 µg) vaccine showed higher neutralising antibodies and T</w:t>
      </w:r>
      <w:r>
        <w:t>-</w:t>
      </w:r>
      <w:r w:rsidRPr="00BA5EA7">
        <w:t>cell response compared to the bivalent variant vaccine (</w:t>
      </w:r>
      <w:r>
        <w:t xml:space="preserve">Omicron </w:t>
      </w:r>
      <w:r w:rsidRPr="00BA5EA7">
        <w:t>BA.4/5 (0.25</w:t>
      </w:r>
      <w:r>
        <w:t xml:space="preserve"> </w:t>
      </w:r>
      <w:r w:rsidRPr="00BA5EA7">
        <w:t xml:space="preserve">µg) </w:t>
      </w:r>
      <w:r>
        <w:t>plus</w:t>
      </w:r>
      <w:r w:rsidRPr="00BA5EA7">
        <w:t xml:space="preserve"> </w:t>
      </w:r>
      <w:r>
        <w:t xml:space="preserve">Omicron </w:t>
      </w:r>
      <w:r w:rsidRPr="00BA5EA7">
        <w:t>XBB.1.5(0.25</w:t>
      </w:r>
      <w:r>
        <w:t xml:space="preserve"> </w:t>
      </w:r>
      <w:r w:rsidRPr="00BA5EA7">
        <w:t>µg)).</w:t>
      </w:r>
    </w:p>
    <w:p w14:paraId="708145D6" w14:textId="57AB9C67" w:rsidR="00BA5EA7" w:rsidRDefault="00BA5EA7" w:rsidP="00BA5EA7">
      <w:pPr>
        <w:pStyle w:val="Heading5"/>
      </w:pPr>
      <w:r>
        <w:t>Overall data limitation</w:t>
      </w:r>
    </w:p>
    <w:p w14:paraId="6D9C103B" w14:textId="6DDD2C05" w:rsidR="00BA5EA7" w:rsidRPr="00BA5EA7" w:rsidRDefault="00BA5EA7" w:rsidP="00BA5EA7">
      <w:r>
        <w:t>There is no clinical efficacy or safety data and no available real world/post market data.</w:t>
      </w:r>
    </w:p>
    <w:p w14:paraId="3916F296" w14:textId="77777777" w:rsidR="00C22214" w:rsidRDefault="00C22214" w:rsidP="00C22214">
      <w:pPr>
        <w:pStyle w:val="Heading4"/>
      </w:pPr>
      <w:bookmarkStart w:id="83" w:name="_Toc98931933"/>
      <w:bookmarkStart w:id="84" w:name="_Toc158382399"/>
      <w:r w:rsidRPr="00D23139">
        <w:t>Proposed action</w:t>
      </w:r>
      <w:bookmarkEnd w:id="83"/>
      <w:bookmarkEnd w:id="84"/>
    </w:p>
    <w:p w14:paraId="2C39A96E" w14:textId="7A422D83" w:rsidR="00BA5EA7" w:rsidRPr="00BA5EA7" w:rsidRDefault="00BA5EA7" w:rsidP="00BA5EA7">
      <w:r w:rsidRPr="00BA5EA7">
        <w:t xml:space="preserve">There is existing public health need for a </w:t>
      </w:r>
      <w:r>
        <w:t>COVID-</w:t>
      </w:r>
      <w:r w:rsidRPr="00BA5EA7">
        <w:t xml:space="preserve">19 vaccines to offer better protection against the currently circulating SARS-CoV-2 Omicron subvariants. This submission is for strain update, leveraging on the fully registered Comirnaty (original) vaccine. Based on the acceptable nonclinical immunogenicity data, and </w:t>
      </w:r>
      <w:r>
        <w:t>quality</w:t>
      </w:r>
      <w:r w:rsidRPr="00BA5EA7">
        <w:t xml:space="preserve"> data, the </w:t>
      </w:r>
      <w:r>
        <w:t>D</w:t>
      </w:r>
      <w:r w:rsidRPr="00BA5EA7">
        <w:t xml:space="preserve">elegate is inclined to approve this variation. In addition to the submitted data with this application, the approval is also based on the full body of previous clinical, nonclinical, and real-world evidence supporting the safety and efficacy. There are issues raised in this overview, which will be discussed with the </w:t>
      </w:r>
      <w:r>
        <w:t>A</w:t>
      </w:r>
      <w:r w:rsidRPr="00BA5EA7">
        <w:t>dvisory Committee on Vaccines (ACV</w:t>
      </w:r>
      <w:r>
        <w:t>)</w:t>
      </w:r>
      <w:r w:rsidRPr="00BA5EA7">
        <w:t xml:space="preserve"> and a final decision will be taken only after that.</w:t>
      </w:r>
    </w:p>
    <w:p w14:paraId="3B259B55" w14:textId="6FDE9167" w:rsidR="00BA5EA7" w:rsidRPr="00BA5EA7" w:rsidRDefault="00BA5EA7" w:rsidP="00BA5EA7">
      <w:pPr>
        <w:pStyle w:val="Heading5"/>
      </w:pPr>
      <w:r w:rsidRPr="00BA5EA7">
        <w:t xml:space="preserve">Proposed </w:t>
      </w:r>
      <w:r>
        <w:t>t</w:t>
      </w:r>
      <w:r w:rsidRPr="00BA5EA7">
        <w:t xml:space="preserve">herapeutic </w:t>
      </w:r>
      <w:r>
        <w:t>i</w:t>
      </w:r>
      <w:r w:rsidRPr="00BA5EA7">
        <w:t>ndication and dosing</w:t>
      </w:r>
    </w:p>
    <w:p w14:paraId="219D7472" w14:textId="5B56E195" w:rsidR="00BA5EA7" w:rsidRPr="00BA5EA7" w:rsidRDefault="00BA5EA7" w:rsidP="00BA5EA7">
      <w:pPr>
        <w:ind w:left="720"/>
        <w:rPr>
          <w:i/>
          <w:iCs/>
        </w:rPr>
      </w:pPr>
      <w:r w:rsidRPr="00BA5EA7">
        <w:rPr>
          <w:i/>
          <w:iCs/>
        </w:rPr>
        <w:t>Active immunisation to prevent coronavirus disease 2019 (COVID-19) caused by SARS-CoV-2, in individuals 5 years of age and older.</w:t>
      </w:r>
    </w:p>
    <w:p w14:paraId="3088F416" w14:textId="77777777" w:rsidR="00BA5EA7" w:rsidRPr="00BA5EA7" w:rsidRDefault="00BA5EA7" w:rsidP="00BA5EA7">
      <w:pPr>
        <w:ind w:left="720"/>
      </w:pPr>
      <w:r w:rsidRPr="00BA5EA7">
        <w:rPr>
          <w:i/>
          <w:iCs/>
        </w:rPr>
        <w:t>The use of this vaccine should be in accordance with official recommendations.</w:t>
      </w:r>
    </w:p>
    <w:p w14:paraId="5D843AC3" w14:textId="0B4CEEB2" w:rsidR="0014257C" w:rsidRDefault="0014257C" w:rsidP="0014257C">
      <w:pPr>
        <w:pStyle w:val="TableTitle"/>
      </w:pPr>
      <w:bookmarkStart w:id="85" w:name="_Toc98931934"/>
      <w:r w:rsidRPr="0014257C">
        <w:lastRenderedPageBreak/>
        <w:t xml:space="preserve">Table </w:t>
      </w:r>
      <w:r>
        <w:fldChar w:fldCharType="begin"/>
      </w:r>
      <w:r>
        <w:instrText>SEQ Table \* ARABIC</w:instrText>
      </w:r>
      <w:r>
        <w:fldChar w:fldCharType="separate"/>
      </w:r>
      <w:r w:rsidR="003A20CD">
        <w:rPr>
          <w:noProof/>
        </w:rPr>
        <w:t>8</w:t>
      </w:r>
      <w:r>
        <w:fldChar w:fldCharType="end"/>
      </w:r>
      <w:r>
        <w:t>: Dosage</w:t>
      </w:r>
    </w:p>
    <w:p w14:paraId="770D6001" w14:textId="462AD798" w:rsidR="0014257C" w:rsidRDefault="0014257C" w:rsidP="003615E3">
      <w:r w:rsidRPr="0014257C">
        <w:rPr>
          <w:noProof/>
          <w:lang w:eastAsia="en-AU"/>
        </w:rPr>
        <w:drawing>
          <wp:inline distT="0" distB="0" distL="0" distR="0" wp14:anchorId="095A5D6A" wp14:editId="332DB75C">
            <wp:extent cx="5571076" cy="1001865"/>
            <wp:effectExtent l="0" t="0" r="0" b="8255"/>
            <wp:docPr id="6" name="Picture 6" descr="Do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osage"/>
                    <pic:cNvPicPr>
                      <a:picLocks noChangeAspect="1" noChangeArrowheads="1"/>
                    </pic:cNvPicPr>
                  </pic:nvPicPr>
                  <pic:blipFill rotWithShape="1">
                    <a:blip r:embed="rId28">
                      <a:lum bright="-20000" contrast="40000"/>
                      <a:extLst>
                        <a:ext uri="{28A0092B-C50C-407E-A947-70E740481C1C}">
                          <a14:useLocalDpi xmlns:a14="http://schemas.microsoft.com/office/drawing/2010/main" val="0"/>
                        </a:ext>
                      </a:extLst>
                    </a:blip>
                    <a:srcRect t="9583" r="2731" b="50151"/>
                    <a:stretch/>
                  </pic:blipFill>
                  <pic:spPr bwMode="auto">
                    <a:xfrm>
                      <a:off x="0" y="0"/>
                      <a:ext cx="5574984" cy="1002568"/>
                    </a:xfrm>
                    <a:prstGeom prst="rect">
                      <a:avLst/>
                    </a:prstGeom>
                    <a:noFill/>
                    <a:ln>
                      <a:noFill/>
                    </a:ln>
                    <a:extLst>
                      <a:ext uri="{53640926-AAD7-44D8-BBD7-CCE9431645EC}">
                        <a14:shadowObscured xmlns:a14="http://schemas.microsoft.com/office/drawing/2010/main"/>
                      </a:ext>
                    </a:extLst>
                  </pic:spPr>
                </pic:pic>
              </a:graphicData>
            </a:graphic>
          </wp:inline>
        </w:drawing>
      </w:r>
    </w:p>
    <w:p w14:paraId="400F3352" w14:textId="77777777" w:rsidR="0014257C" w:rsidRPr="00034300" w:rsidRDefault="0014257C" w:rsidP="0014257C">
      <w:r w:rsidRPr="00034300">
        <w:t>Subsequent doses of Comirnaty Omicron XBB.1.5 may be administered to individual 18 years of age and older at least 3 months after a previous booster dose of Comirnaty.</w:t>
      </w:r>
    </w:p>
    <w:p w14:paraId="2230B711" w14:textId="10C5EC37" w:rsidR="0014257C" w:rsidRDefault="0014257C" w:rsidP="0014257C">
      <w:r w:rsidRPr="00034300">
        <w:t>The decision when and for whom to implement a booster dose of Comirnaty Omicron XBB.1.5 should be ma</w:t>
      </w:r>
      <w:r w:rsidR="00F42721">
        <w:t>d</w:t>
      </w:r>
      <w:r w:rsidRPr="00034300">
        <w:t>e based on available vaccine safety and effectiveness data (see Sections 4.4 Special warnings and precautions for use and 5.1 Pharmacodynamic properties in Product Information), in accordance with official recommendations.</w:t>
      </w:r>
    </w:p>
    <w:p w14:paraId="5252CCE0" w14:textId="6C3D0B49" w:rsidR="0014257C" w:rsidRDefault="0014257C" w:rsidP="0014257C">
      <w:pPr>
        <w:pStyle w:val="Heading4"/>
      </w:pPr>
      <w:bookmarkStart w:id="86" w:name="_Toc158382400"/>
      <w:r>
        <w:t>Conclusion</w:t>
      </w:r>
      <w:bookmarkEnd w:id="86"/>
    </w:p>
    <w:p w14:paraId="007F9C52" w14:textId="0383629F" w:rsidR="0014257C" w:rsidRPr="0014257C" w:rsidRDefault="0014257C" w:rsidP="0014257C">
      <w:r w:rsidRPr="0014257C">
        <w:t xml:space="preserve">This </w:t>
      </w:r>
      <w:r w:rsidR="00563B3B">
        <w:t>overview</w:t>
      </w:r>
      <w:r>
        <w:t xml:space="preserve"> </w:t>
      </w:r>
      <w:r w:rsidRPr="0014257C">
        <w:t xml:space="preserve">is submitted for the ACV advice. The ACV’s advice is requested for the </w:t>
      </w:r>
      <w:r>
        <w:t xml:space="preserve">listed </w:t>
      </w:r>
      <w:r w:rsidRPr="0014257C">
        <w:t>questions</w:t>
      </w:r>
      <w:r>
        <w:t xml:space="preserve"> (see </w:t>
      </w:r>
      <w:r>
        <w:fldChar w:fldCharType="begin"/>
      </w:r>
      <w:r>
        <w:instrText xml:space="preserve"> REF _Ref147405148 \h </w:instrText>
      </w:r>
      <w:r>
        <w:fldChar w:fldCharType="separate"/>
      </w:r>
      <w:r w:rsidR="003A20CD" w:rsidRPr="00F73346">
        <w:t>Advisory Committee considerations</w:t>
      </w:r>
      <w:r>
        <w:fldChar w:fldCharType="end"/>
      </w:r>
      <w:r>
        <w:t>)</w:t>
      </w:r>
    </w:p>
    <w:p w14:paraId="3617B295" w14:textId="5CD1CD69" w:rsidR="0014257C" w:rsidRPr="0014257C" w:rsidRDefault="0014257C" w:rsidP="0014257C">
      <w:r w:rsidRPr="0014257C">
        <w:t>The final decision will be made following the ACV discussion and satisfactory resolutions of the subsequent PI issues.</w:t>
      </w:r>
    </w:p>
    <w:p w14:paraId="07994E9B" w14:textId="0B1FBE25" w:rsidR="00C22214" w:rsidRDefault="00C22214" w:rsidP="00C22214">
      <w:pPr>
        <w:pStyle w:val="Heading4"/>
      </w:pPr>
      <w:bookmarkStart w:id="87" w:name="_Toc158382401"/>
      <w:r>
        <w:t>Questions for the sponsor</w:t>
      </w:r>
      <w:bookmarkEnd w:id="85"/>
      <w:bookmarkEnd w:id="87"/>
    </w:p>
    <w:p w14:paraId="1F694596" w14:textId="20F45104" w:rsidR="00C22214" w:rsidRDefault="00C22214" w:rsidP="00C22214">
      <w:pPr>
        <w:rPr>
          <w:szCs w:val="22"/>
        </w:rPr>
      </w:pPr>
      <w:r w:rsidRPr="00BD5DBD">
        <w:rPr>
          <w:szCs w:val="22"/>
        </w:rPr>
        <w:t>The sponsor provided the following response to questions from the Delegate.</w:t>
      </w:r>
    </w:p>
    <w:p w14:paraId="56977AF7" w14:textId="14103309" w:rsidR="0014257C" w:rsidRDefault="0014257C" w:rsidP="0014257C">
      <w:pPr>
        <w:pStyle w:val="Numberbullet0"/>
        <w:rPr>
          <w:b/>
          <w:bCs/>
          <w:i/>
          <w:iCs/>
        </w:rPr>
      </w:pPr>
      <w:r w:rsidRPr="0014257C">
        <w:rPr>
          <w:b/>
          <w:bCs/>
          <w:i/>
          <w:iCs/>
        </w:rPr>
        <w:t xml:space="preserve">Please explain the discrepancy concerning the proposed dosing intervals. </w:t>
      </w:r>
      <w:r w:rsidR="00B33A6A">
        <w:rPr>
          <w:b/>
          <w:bCs/>
          <w:i/>
          <w:iCs/>
        </w:rPr>
        <w:t>European Medicines Agency</w:t>
      </w:r>
      <w:r w:rsidRPr="0014257C">
        <w:rPr>
          <w:b/>
          <w:bCs/>
          <w:i/>
          <w:iCs/>
        </w:rPr>
        <w:t xml:space="preserve"> approved dosing interval states </w:t>
      </w:r>
      <w:r w:rsidR="00A31809">
        <w:rPr>
          <w:b/>
          <w:bCs/>
          <w:i/>
          <w:iCs/>
        </w:rPr>
        <w:t>‘</w:t>
      </w:r>
      <w:r w:rsidRPr="0014257C">
        <w:rPr>
          <w:b/>
          <w:bCs/>
          <w:i/>
          <w:iCs/>
        </w:rPr>
        <w:t>a dose at least 3 months after the primary vaccination or the booster dose</w:t>
      </w:r>
      <w:r w:rsidR="00A31809">
        <w:rPr>
          <w:b/>
          <w:bCs/>
          <w:i/>
          <w:iCs/>
        </w:rPr>
        <w:t>’</w:t>
      </w:r>
      <w:r w:rsidRPr="0014257C">
        <w:rPr>
          <w:b/>
          <w:bCs/>
          <w:i/>
          <w:iCs/>
        </w:rPr>
        <w:t xml:space="preserve">. A dosing interval of </w:t>
      </w:r>
      <w:r w:rsidR="00A31809">
        <w:rPr>
          <w:b/>
          <w:bCs/>
          <w:i/>
          <w:iCs/>
        </w:rPr>
        <w:t>‘</w:t>
      </w:r>
      <w:r w:rsidRPr="0014257C">
        <w:rPr>
          <w:b/>
          <w:bCs/>
          <w:i/>
          <w:iCs/>
        </w:rPr>
        <w:t>at least 6 months after primary immun</w:t>
      </w:r>
      <w:r w:rsidR="006F6508">
        <w:rPr>
          <w:b/>
          <w:bCs/>
          <w:i/>
          <w:iCs/>
        </w:rPr>
        <w:t>is</w:t>
      </w:r>
      <w:r w:rsidRPr="0014257C">
        <w:rPr>
          <w:b/>
          <w:bCs/>
          <w:i/>
          <w:iCs/>
        </w:rPr>
        <w:t>ation and at least 3 months after the booster dose</w:t>
      </w:r>
      <w:r w:rsidR="00A31809">
        <w:rPr>
          <w:b/>
          <w:bCs/>
          <w:i/>
          <w:iCs/>
        </w:rPr>
        <w:t>’</w:t>
      </w:r>
      <w:r w:rsidRPr="0014257C">
        <w:rPr>
          <w:b/>
          <w:bCs/>
          <w:i/>
          <w:iCs/>
        </w:rPr>
        <w:t>, is proposed in this application.</w:t>
      </w:r>
    </w:p>
    <w:p w14:paraId="448935C1" w14:textId="4B92D7D9" w:rsidR="00A31809" w:rsidRDefault="00A31809" w:rsidP="00A31809">
      <w:r>
        <w:t>The dosing intervals for a booster dose following completion of primary course for Comirnaty COVID-19 vaccines have evolved over the pandemic with everchanging disease landscape and emerging variants with antibody evading mutations. Comirnaty Original/Omicron BA.4-5 bivalent vaccine, which is the presentation latest approved, it is currently approved with the dosing interval of ‘at least 3 month after…’.</w:t>
      </w:r>
    </w:p>
    <w:p w14:paraId="5EE01569" w14:textId="099D027B" w:rsidR="00A31809" w:rsidRDefault="00A31809" w:rsidP="00A31809">
      <w:r>
        <w:t xml:space="preserve">The current approved dosing interval of </w:t>
      </w:r>
      <w:r w:rsidR="00B33A6A">
        <w:t>six</w:t>
      </w:r>
      <w:r>
        <w:t xml:space="preserve"> months after primary immunisation for the monovalent vaccine was approved in alignment with the dosing time point per the supporting clinical data available at the time in January 2022.</w:t>
      </w:r>
    </w:p>
    <w:p w14:paraId="6D3A694E" w14:textId="1FC8E024" w:rsidR="00A31809" w:rsidRDefault="00A31809" w:rsidP="00A31809">
      <w:r>
        <w:t xml:space="preserve">The sponsor takes this opportunity to indicate that Pfizer wishes to align the proposed PI to the EMA approved dosing interval and provides the rational for the 3-month booster interval, which is supported by immunogenicity data from Study C4591017, Study C4591001, and C4591031 Substudy D Cohort 1 and Cohort 2, safety data from Study C4591017, Study C4591001, and C4591031 </w:t>
      </w:r>
      <w:r w:rsidR="004F403F">
        <w:t>Substudy D</w:t>
      </w:r>
      <w:r w:rsidR="004F403F" w:rsidDel="004F403F">
        <w:t xml:space="preserve"> </w:t>
      </w:r>
      <w:r>
        <w:t>Cohort 1 as well as real-world evidence. Overview of the immunogenicity and safety data are presented below.</w:t>
      </w:r>
    </w:p>
    <w:p w14:paraId="2B819C88" w14:textId="6E21AB6F" w:rsidR="00A31809" w:rsidRPr="003615E3" w:rsidRDefault="00A31809" w:rsidP="00A31809">
      <w:pPr>
        <w:rPr>
          <w:b/>
          <w:bCs/>
        </w:rPr>
      </w:pPr>
      <w:r w:rsidRPr="003615E3">
        <w:rPr>
          <w:b/>
          <w:bCs/>
        </w:rPr>
        <w:t xml:space="preserve">Overview of </w:t>
      </w:r>
      <w:r w:rsidR="004F403F" w:rsidRPr="003615E3">
        <w:rPr>
          <w:b/>
          <w:bCs/>
        </w:rPr>
        <w:t>i</w:t>
      </w:r>
      <w:r w:rsidRPr="003615E3">
        <w:rPr>
          <w:b/>
          <w:bCs/>
        </w:rPr>
        <w:t xml:space="preserve">mmunogenicity </w:t>
      </w:r>
      <w:r w:rsidR="004F403F" w:rsidRPr="003615E3">
        <w:rPr>
          <w:b/>
          <w:bCs/>
        </w:rPr>
        <w:t>s</w:t>
      </w:r>
      <w:r w:rsidRPr="003615E3">
        <w:rPr>
          <w:b/>
          <w:bCs/>
        </w:rPr>
        <w:t>upporting 3-month interval</w:t>
      </w:r>
    </w:p>
    <w:p w14:paraId="5AA14BDF" w14:textId="1EB4E8F3" w:rsidR="00A31809" w:rsidRPr="00A31809" w:rsidRDefault="00A31809" w:rsidP="00A31809">
      <w:pPr>
        <w:rPr>
          <w:i/>
          <w:iCs/>
        </w:rPr>
      </w:pPr>
      <w:r w:rsidRPr="00A31809">
        <w:rPr>
          <w:i/>
          <w:iCs/>
        </w:rPr>
        <w:t>Study C4591017</w:t>
      </w:r>
    </w:p>
    <w:p w14:paraId="1D7EDFBD" w14:textId="1CBABB29" w:rsidR="00A31809" w:rsidRPr="00A31809" w:rsidRDefault="00A31809" w:rsidP="00A31809">
      <w:r w:rsidRPr="00A31809">
        <w:t xml:space="preserve">Study C4591017 was comprised of a primary study and booster study. The primary study evaluated the safety, tolerability, and immunogenicity of 4 manufacturing lots of BNT162b2 as a </w:t>
      </w:r>
      <w:r w:rsidRPr="00A31809">
        <w:lastRenderedPageBreak/>
        <w:t>30</w:t>
      </w:r>
      <w:r>
        <w:t> </w:t>
      </w:r>
      <w:r w:rsidRPr="00A31809">
        <w:t>μg dose and an additional 20</w:t>
      </w:r>
      <w:r>
        <w:t> </w:t>
      </w:r>
      <w:r w:rsidRPr="00A31809">
        <w:t>μg dose arm. The booster study enrolled a subset of approximately 60 adult participants (18 to 50 years of age) who each received two 30</w:t>
      </w:r>
      <w:r w:rsidR="00B33A6A">
        <w:t xml:space="preserve"> </w:t>
      </w:r>
      <w:r w:rsidRPr="00A31809">
        <w:t>μg doses of BNT162b2 (Original) in the primary study. Participants were randomly assigned in a 1:1 ratio to receive either BNT162b2 or BNT162b2 (B.1.351) at 30</w:t>
      </w:r>
      <w:r w:rsidR="00B33A6A">
        <w:t xml:space="preserve"> </w:t>
      </w:r>
      <w:r w:rsidRPr="00A31809">
        <w:t xml:space="preserve">μg as a booster dose (BNT162b2 [B.1.351] contained the Beta variant-specific mutations of South African origin and is also referred to as BNT162b2SA, BNT162b2s01, or BNT162b2.B.1.351 and hereafter referred to as BNT162b2 [B.1.351]). In the booster study, the booster dose (Dose 3) was administered approximately </w:t>
      </w:r>
      <w:r w:rsidR="00B33A6A">
        <w:t>three</w:t>
      </w:r>
      <w:r w:rsidRPr="00A31809">
        <w:t xml:space="preserve"> months after BNT162b2 Dose 2 of the primary study. In the booster evaluable immunogenicity population and for both vaccine groups (N</w:t>
      </w:r>
      <w:r w:rsidR="00B33A6A">
        <w:t xml:space="preserve"> </w:t>
      </w:r>
      <w:r w:rsidRPr="00A31809">
        <w:t>=</w:t>
      </w:r>
      <w:r w:rsidR="00B33A6A">
        <w:t xml:space="preserve"> </w:t>
      </w:r>
      <w:r w:rsidRPr="00A31809">
        <w:t xml:space="preserve">53), </w:t>
      </w:r>
      <w:r w:rsidR="00B33A6A">
        <w:t>g</w:t>
      </w:r>
      <w:r w:rsidR="00B33A6A" w:rsidRPr="00A31809">
        <w:t xml:space="preserve">eometric </w:t>
      </w:r>
      <w:r w:rsidR="00B33A6A">
        <w:t>m</w:t>
      </w:r>
      <w:r w:rsidR="00B33A6A" w:rsidRPr="00A31809">
        <w:t xml:space="preserve">ean </w:t>
      </w:r>
      <w:r w:rsidR="00B33A6A">
        <w:t>t</w:t>
      </w:r>
      <w:r w:rsidR="00B33A6A" w:rsidRPr="00A31809">
        <w:t>itr</w:t>
      </w:r>
      <w:r w:rsidR="00850CE3">
        <w:t>e</w:t>
      </w:r>
      <w:r w:rsidR="00B33A6A" w:rsidRPr="00A31809">
        <w:t xml:space="preserve">s </w:t>
      </w:r>
      <w:r w:rsidR="00B33A6A">
        <w:t>(</w:t>
      </w:r>
      <w:r w:rsidRPr="00A31809">
        <w:t>GMTs</w:t>
      </w:r>
      <w:r w:rsidR="00B33A6A">
        <w:t>)</w:t>
      </w:r>
      <w:r w:rsidRPr="00A31809">
        <w:t xml:space="preserve"> for the reference strain had decreased between 1MPD2</w:t>
      </w:r>
      <w:r w:rsidR="005E1EE4">
        <w:t xml:space="preserve"> (one month post Dose 2)</w:t>
      </w:r>
      <w:r w:rsidRPr="00A31809">
        <w:t xml:space="preserve"> and just prior to the booster (Dose 3). After administration of the booster (Dose 3), GMTs in both the BNT162b2 and BNT162b2 [B.1.351] groups increased to greater than 1MPD2 levels.</w:t>
      </w:r>
    </w:p>
    <w:p w14:paraId="275A22C3" w14:textId="1D597DE2" w:rsidR="00A31809" w:rsidRPr="00A31809" w:rsidRDefault="00A31809" w:rsidP="00A31809">
      <w:pPr>
        <w:rPr>
          <w:i/>
          <w:iCs/>
        </w:rPr>
      </w:pPr>
      <w:r w:rsidRPr="00A31809">
        <w:rPr>
          <w:i/>
          <w:iCs/>
        </w:rPr>
        <w:t>Study C4591001</w:t>
      </w:r>
    </w:p>
    <w:p w14:paraId="34E84CA0" w14:textId="283ABCF5" w:rsidR="005E1EE4" w:rsidRDefault="00A31809">
      <w:r w:rsidRPr="00A31809">
        <w:t>Study C4591001 included participants 18 to 55 years of age who received BNT162b2 [B.1.351] as booster doses (Dose 3 [N</w:t>
      </w:r>
      <w:r w:rsidR="005E1EE4">
        <w:t xml:space="preserve"> </w:t>
      </w:r>
      <w:r w:rsidRPr="00A31809">
        <w:t>=</w:t>
      </w:r>
      <w:r w:rsidR="005E1EE4">
        <w:t xml:space="preserve"> </w:t>
      </w:r>
      <w:r w:rsidRPr="00A31809">
        <w:t>30] and Dose 4 [N</w:t>
      </w:r>
      <w:r w:rsidR="005E1EE4">
        <w:t xml:space="preserve"> </w:t>
      </w:r>
      <w:r w:rsidRPr="00A31809">
        <w:t>=</w:t>
      </w:r>
      <w:r w:rsidR="005E1EE4">
        <w:t xml:space="preserve"> </w:t>
      </w:r>
      <w:r w:rsidRPr="00A31809">
        <w:t xml:space="preserve">28]) approximately </w:t>
      </w:r>
      <w:r w:rsidR="005E1EE4">
        <w:t>one</w:t>
      </w:r>
      <w:r w:rsidRPr="00A31809">
        <w:t xml:space="preserve"> month apart, after 2</w:t>
      </w:r>
      <w:r w:rsidR="005E1EE4">
        <w:t> </w:t>
      </w:r>
      <w:r w:rsidRPr="00A31809">
        <w:t>doses of BNT162b2 30</w:t>
      </w:r>
      <w:r w:rsidR="005E1EE4">
        <w:t> µ</w:t>
      </w:r>
      <w:r w:rsidRPr="00A31809">
        <w:t xml:space="preserve">g. Most participants in this group received the first booster (Dose 3) </w:t>
      </w:r>
      <w:r w:rsidR="005E1EE4">
        <w:t xml:space="preserve">at least </w:t>
      </w:r>
      <w:r w:rsidRPr="00A31809">
        <w:t>6 months after Dose 2, and most received the second booster (Dose 4) between 28 and 34</w:t>
      </w:r>
      <w:r w:rsidR="00444D43">
        <w:t> </w:t>
      </w:r>
      <w:r w:rsidRPr="00A31809">
        <w:t>days after Dose 3. Among BNT162b2-experienced participants in the Dose 3 booster evaluable immunogenicity population (N</w:t>
      </w:r>
      <w:r w:rsidR="005E1EE4">
        <w:t xml:space="preserve"> </w:t>
      </w:r>
      <w:r w:rsidRPr="00A31809">
        <w:t>=</w:t>
      </w:r>
      <w:r w:rsidR="005E1EE4">
        <w:t xml:space="preserve"> </w:t>
      </w:r>
      <w:r w:rsidRPr="00A31809">
        <w:t>30) and Dose 4 booster evaluable</w:t>
      </w:r>
      <w:r w:rsidR="005E1EE4">
        <w:t xml:space="preserve"> </w:t>
      </w:r>
      <w:r w:rsidRPr="00A31809">
        <w:t>immunogenicity population (N</w:t>
      </w:r>
      <w:r w:rsidR="005E1EE4">
        <w:t> </w:t>
      </w:r>
      <w:r w:rsidRPr="00A31809">
        <w:t>=</w:t>
      </w:r>
      <w:r w:rsidR="005E1EE4">
        <w:t xml:space="preserve"> </w:t>
      </w:r>
      <w:r w:rsidRPr="00A31809">
        <w:t xml:space="preserve">27) without prior evidence of SARS-CoV-2 infection up to </w:t>
      </w:r>
      <w:r w:rsidR="005E1EE4">
        <w:t>one</w:t>
      </w:r>
      <w:r w:rsidRPr="00A31809">
        <w:t xml:space="preserve"> month after Dose</w:t>
      </w:r>
      <w:r w:rsidR="00444D43">
        <w:t> </w:t>
      </w:r>
      <w:r w:rsidRPr="00A31809">
        <w:t>4, SARS</w:t>
      </w:r>
      <w:r w:rsidR="005E1EE4">
        <w:t>-</w:t>
      </w:r>
      <w:r w:rsidRPr="00A31809">
        <w:t>CoV</w:t>
      </w:r>
      <w:r w:rsidR="005E1EE4">
        <w:t>-</w:t>
      </w:r>
      <w:r w:rsidRPr="00A31809">
        <w:t>2 50% neutrali</w:t>
      </w:r>
      <w:r w:rsidR="005E1EE4">
        <w:t>s</w:t>
      </w:r>
      <w:r w:rsidRPr="00A31809">
        <w:t>ing GMTs for the Beta variant and reference strain increased after administration of the first booster dose (Dose 3). GMTs for the Beta variant and reference strain further increased after the second booster dose (Dose 4) relative to 1 month after the first booster dose (Dose 3), further boosting the neutral</w:t>
      </w:r>
      <w:r w:rsidR="006F6508">
        <w:t>is</w:t>
      </w:r>
      <w:r w:rsidRPr="00A31809">
        <w:t>ing antibody response for both the Beta variant and reference strain.</w:t>
      </w:r>
    </w:p>
    <w:p w14:paraId="05DEE6A2" w14:textId="0959571E" w:rsidR="00A31809" w:rsidRPr="00A31809" w:rsidRDefault="00A31809" w:rsidP="00A31809">
      <w:pPr>
        <w:rPr>
          <w:i/>
          <w:iCs/>
        </w:rPr>
      </w:pPr>
      <w:r w:rsidRPr="00A31809">
        <w:rPr>
          <w:i/>
          <w:iCs/>
        </w:rPr>
        <w:t xml:space="preserve">Study C4591031 </w:t>
      </w:r>
      <w:r w:rsidR="004F403F" w:rsidRPr="00C51B28">
        <w:rPr>
          <w:i/>
          <w:iCs/>
        </w:rPr>
        <w:t>Substudy D</w:t>
      </w:r>
      <w:r w:rsidR="004F403F" w:rsidRPr="00A31809" w:rsidDel="004F403F">
        <w:rPr>
          <w:i/>
          <w:iCs/>
        </w:rPr>
        <w:t xml:space="preserve"> </w:t>
      </w:r>
      <w:r w:rsidRPr="00A31809">
        <w:rPr>
          <w:i/>
          <w:iCs/>
        </w:rPr>
        <w:t>Cohort 1 and Cohort 2</w:t>
      </w:r>
    </w:p>
    <w:p w14:paraId="5D371D31" w14:textId="6605237A" w:rsidR="00A31809" w:rsidRDefault="00A31809" w:rsidP="00A31809">
      <w:r w:rsidRPr="00A31809">
        <w:t xml:space="preserve">Study C4591031 </w:t>
      </w:r>
      <w:r w:rsidR="004F403F" w:rsidRPr="004F403F">
        <w:t xml:space="preserve">Substudy D </w:t>
      </w:r>
      <w:r w:rsidRPr="00A31809">
        <w:t>included the cohorts and groups presented below in</w:t>
      </w:r>
      <w:r>
        <w:t xml:space="preserve"> </w:t>
      </w:r>
      <w:r>
        <w:fldChar w:fldCharType="begin"/>
      </w:r>
      <w:r>
        <w:instrText xml:space="preserve"> REF _Ref147405436 \h </w:instrText>
      </w:r>
      <w:r>
        <w:fldChar w:fldCharType="separate"/>
      </w:r>
      <w:r w:rsidR="003A20CD" w:rsidRPr="00A31809">
        <w:t xml:space="preserve">Table </w:t>
      </w:r>
      <w:r w:rsidR="003A20CD">
        <w:rPr>
          <w:noProof/>
        </w:rPr>
        <w:t>9</w:t>
      </w:r>
      <w:r>
        <w:fldChar w:fldCharType="end"/>
      </w:r>
      <w:r>
        <w:t>.</w:t>
      </w:r>
    </w:p>
    <w:p w14:paraId="507AE1A9" w14:textId="588A8C34" w:rsidR="00A31809" w:rsidRDefault="00A31809" w:rsidP="00A31809">
      <w:pPr>
        <w:pStyle w:val="TableTitle"/>
      </w:pPr>
      <w:bookmarkStart w:id="88" w:name="_Ref147405436"/>
      <w:r w:rsidRPr="00A31809">
        <w:t xml:space="preserve">Table </w:t>
      </w:r>
      <w:r>
        <w:fldChar w:fldCharType="begin"/>
      </w:r>
      <w:r>
        <w:instrText>SEQ Table \* ARABIC</w:instrText>
      </w:r>
      <w:r>
        <w:fldChar w:fldCharType="separate"/>
      </w:r>
      <w:r w:rsidR="003A20CD">
        <w:rPr>
          <w:noProof/>
        </w:rPr>
        <w:t>9</w:t>
      </w:r>
      <w:r>
        <w:fldChar w:fldCharType="end"/>
      </w:r>
      <w:bookmarkEnd w:id="88"/>
      <w:r>
        <w:t xml:space="preserve">: Study </w:t>
      </w:r>
      <w:r w:rsidRPr="00A31809">
        <w:t>C4591031 Substudy D: Cohort 1 and Cohort 2</w:t>
      </w:r>
    </w:p>
    <w:p w14:paraId="7855775A" w14:textId="092239FF" w:rsidR="00A31809" w:rsidRDefault="00A31809" w:rsidP="00A31809">
      <w:r w:rsidRPr="00A31809">
        <w:rPr>
          <w:noProof/>
        </w:rPr>
        <w:drawing>
          <wp:inline distT="0" distB="0" distL="0" distR="0" wp14:anchorId="73915FAB" wp14:editId="4DCA5F5A">
            <wp:extent cx="5462546" cy="1515299"/>
            <wp:effectExtent l="0" t="0" r="5080" b="8890"/>
            <wp:docPr id="1" name="Picture 1" descr="Study C4591031 Substudy D: Cohort 1 and Coho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udy C4591031 Substudy D: Cohort 1 and Cohort 2"/>
                    <pic:cNvPicPr/>
                  </pic:nvPicPr>
                  <pic:blipFill>
                    <a:blip r:embed="rId29"/>
                    <a:stretch>
                      <a:fillRect/>
                    </a:stretch>
                  </pic:blipFill>
                  <pic:spPr>
                    <a:xfrm>
                      <a:off x="0" y="0"/>
                      <a:ext cx="5469043" cy="1517101"/>
                    </a:xfrm>
                    <a:prstGeom prst="rect">
                      <a:avLst/>
                    </a:prstGeom>
                  </pic:spPr>
                </pic:pic>
              </a:graphicData>
            </a:graphic>
          </wp:inline>
        </w:drawing>
      </w:r>
    </w:p>
    <w:p w14:paraId="01179394" w14:textId="36B281A5" w:rsidR="00A31809" w:rsidRPr="00A31809" w:rsidRDefault="00A31809" w:rsidP="00A31809">
      <w:pPr>
        <w:pStyle w:val="TableDescription"/>
      </w:pPr>
      <w:r w:rsidRPr="00A31809">
        <w:t xml:space="preserve">a Data presented in this </w:t>
      </w:r>
      <w:r w:rsidR="004F403F">
        <w:t>cohort</w:t>
      </w:r>
      <w:r w:rsidRPr="00A31809">
        <w:t xml:space="preserve"> are from a subset of </w:t>
      </w:r>
      <w:r>
        <w:t xml:space="preserve">about </w:t>
      </w:r>
      <w:r w:rsidRPr="00A31809">
        <w:t>30 participants per group serving as sentinel groups for immunogenicity assessment. Participants in the subset will not contribute to the assessment of primary and secondary immunogenicity objectives. Immunogenicity data from these participants will be summar</w:t>
      </w:r>
      <w:r w:rsidR="006F6508">
        <w:t>is</w:t>
      </w:r>
      <w:r w:rsidRPr="00A31809">
        <w:t>ed separately for the exploratory objective specific for the subset.</w:t>
      </w:r>
    </w:p>
    <w:p w14:paraId="089780DE" w14:textId="6DC08B47" w:rsidR="00A31809" w:rsidRDefault="00A31809" w:rsidP="00A31809">
      <w:pPr>
        <w:pStyle w:val="TableDescription"/>
      </w:pPr>
      <w:r w:rsidRPr="00A31809">
        <w:t xml:space="preserve">b. Data presented in this </w:t>
      </w:r>
      <w:r w:rsidR="004F403F">
        <w:t>cohort</w:t>
      </w:r>
      <w:r w:rsidR="004F403F" w:rsidRPr="00A31809">
        <w:t xml:space="preserve"> </w:t>
      </w:r>
      <w:r w:rsidRPr="00A31809">
        <w:t xml:space="preserve">are from </w:t>
      </w:r>
      <w:r>
        <w:t xml:space="preserve">about </w:t>
      </w:r>
      <w:r w:rsidRPr="00A31809">
        <w:t>40 participants per group (subsets) selected from the entire cohort such that half are baseline positive and half are baseline negative. The second study intervention was BNT162b2 (</w:t>
      </w:r>
      <w:r w:rsidR="004F403F">
        <w:t>Omicron</w:t>
      </w:r>
      <w:r w:rsidRPr="00A31809">
        <w:t xml:space="preserve"> BA.1) 30</w:t>
      </w:r>
      <w:r w:rsidR="004F403F">
        <w:t xml:space="preserve"> </w:t>
      </w:r>
      <w:r w:rsidRPr="00A31809">
        <w:t>μg for both vaccine groups.</w:t>
      </w:r>
    </w:p>
    <w:p w14:paraId="087582C7" w14:textId="1B538AEB" w:rsidR="00A31809" w:rsidRPr="00A31809" w:rsidRDefault="00A31809" w:rsidP="00A31809">
      <w:r w:rsidRPr="00A31809">
        <w:t xml:space="preserve">Cohort 1 Sentinel Groups – Participants </w:t>
      </w:r>
      <w:r w:rsidR="005E1EE4">
        <w:t>w</w:t>
      </w:r>
      <w:r w:rsidRPr="00A31809">
        <w:t xml:space="preserve">ith or </w:t>
      </w:r>
      <w:r w:rsidR="005E1EE4">
        <w:t>w</w:t>
      </w:r>
      <w:r w:rsidRPr="00A31809">
        <w:t xml:space="preserve">ithout </w:t>
      </w:r>
      <w:r w:rsidR="005E1EE4">
        <w:t>e</w:t>
      </w:r>
      <w:r w:rsidRPr="00A31809">
        <w:t xml:space="preserve">vidence of </w:t>
      </w:r>
      <w:r w:rsidR="005E1EE4">
        <w:t>i</w:t>
      </w:r>
      <w:r w:rsidRPr="00A31809">
        <w:t xml:space="preserve">nfection, </w:t>
      </w:r>
      <w:r w:rsidR="005E1EE4">
        <w:t>e</w:t>
      </w:r>
      <w:r w:rsidRPr="00A31809">
        <w:t>valuable</w:t>
      </w:r>
      <w:r>
        <w:t xml:space="preserve"> </w:t>
      </w:r>
      <w:r w:rsidR="005E1EE4">
        <w:t>i</w:t>
      </w:r>
      <w:r w:rsidRPr="00A31809">
        <w:t xml:space="preserve">mmunogenicity </w:t>
      </w:r>
      <w:r w:rsidR="005E1EE4">
        <w:t>p</w:t>
      </w:r>
      <w:r w:rsidRPr="00A31809">
        <w:t>opulation:</w:t>
      </w:r>
    </w:p>
    <w:p w14:paraId="1F26AF23" w14:textId="1F735814" w:rsidR="00A31809" w:rsidRPr="00A31809" w:rsidRDefault="00A31809" w:rsidP="00A31809">
      <w:pPr>
        <w:pStyle w:val="ListBullet"/>
      </w:pPr>
      <w:r w:rsidRPr="00A31809">
        <w:t>Group 1 (N</w:t>
      </w:r>
      <w:r w:rsidR="005E1EE4">
        <w:t xml:space="preserve"> </w:t>
      </w:r>
      <w:r w:rsidRPr="00A31809">
        <w:t>=</w:t>
      </w:r>
      <w:r w:rsidR="005E1EE4">
        <w:t xml:space="preserve"> </w:t>
      </w:r>
      <w:r w:rsidRPr="00A31809">
        <w:t>29): Median time between Dose 2 of BNT162b2 (Original) and first booster dose (Dose 3) was 5.9 months (range: 3 to 8 months).</w:t>
      </w:r>
    </w:p>
    <w:p w14:paraId="2A19A274" w14:textId="563C9537" w:rsidR="00A31809" w:rsidRPr="00A31809" w:rsidRDefault="00A31809" w:rsidP="00A31809">
      <w:pPr>
        <w:pStyle w:val="ListBullet"/>
      </w:pPr>
      <w:r w:rsidRPr="00A31809">
        <w:lastRenderedPageBreak/>
        <w:t>Group 2 (N</w:t>
      </w:r>
      <w:r w:rsidR="005E1EE4">
        <w:t xml:space="preserve"> </w:t>
      </w:r>
      <w:r w:rsidRPr="00A31809">
        <w:t>=</w:t>
      </w:r>
      <w:r w:rsidR="005E1EE4">
        <w:t xml:space="preserve"> </w:t>
      </w:r>
      <w:r w:rsidRPr="00A31809">
        <w:t>25): Median time between Dose 2 of BNT162b2 (Original) and first booster dose (Dose 3) was 5.5 months (range: 3 to 8 months).</w:t>
      </w:r>
    </w:p>
    <w:p w14:paraId="462AD3A7" w14:textId="0D688C76" w:rsidR="00A31809" w:rsidRPr="00A31809" w:rsidRDefault="00A31809" w:rsidP="00A31809">
      <w:pPr>
        <w:pStyle w:val="ListBullet"/>
      </w:pPr>
      <w:r w:rsidRPr="00A31809">
        <w:t>Group 2b (N</w:t>
      </w:r>
      <w:r w:rsidR="005E1EE4">
        <w:t xml:space="preserve"> </w:t>
      </w:r>
      <w:r w:rsidRPr="00A31809">
        <w:t>=</w:t>
      </w:r>
      <w:r w:rsidR="005E1EE4">
        <w:t xml:space="preserve"> </w:t>
      </w:r>
      <w:r w:rsidRPr="00A31809">
        <w:t>28): Median time between Dose 2 of BNT162b2 (Original) and first booster dose (Dose 3) was 5.6 months (range: 3 to 7 months).</w:t>
      </w:r>
    </w:p>
    <w:p w14:paraId="740674BC" w14:textId="481AA809" w:rsidR="00A31809" w:rsidRPr="00A31809" w:rsidRDefault="00A31809" w:rsidP="00A31809">
      <w:r w:rsidRPr="00A31809">
        <w:t xml:space="preserve">For all </w:t>
      </w:r>
      <w:r w:rsidR="005E1EE4">
        <w:t>g</w:t>
      </w:r>
      <w:r w:rsidRPr="00A31809">
        <w:t xml:space="preserve">roups, GMTs for BA.1, the reference strain, and BA.4/BA.5 increased </w:t>
      </w:r>
      <w:r w:rsidR="005E1EE4">
        <w:t>one</w:t>
      </w:r>
      <w:r w:rsidRPr="00A31809">
        <w:t xml:space="preserve"> month after administration of the first booster dose (Dose 3). For Group 2, GMTs for BA.1, the reference strain, and BA.4/BA.5 further increased </w:t>
      </w:r>
      <w:r w:rsidR="005E1EE4">
        <w:t>one</w:t>
      </w:r>
      <w:r w:rsidRPr="00A31809">
        <w:t xml:space="preserve"> month after the second booster dose (Dose 4) relative to </w:t>
      </w:r>
      <w:r w:rsidR="005E1EE4">
        <w:t>one</w:t>
      </w:r>
      <w:r w:rsidRPr="00A31809">
        <w:t xml:space="preserve"> month after the first booster dose (Dose 3), further boosting the neutrali</w:t>
      </w:r>
      <w:r w:rsidR="005E1EE4">
        <w:t>s</w:t>
      </w:r>
      <w:r w:rsidRPr="00A31809">
        <w:t>ing antibody response for BA.1, the reference strain, and BA.4/BA.5.</w:t>
      </w:r>
    </w:p>
    <w:p w14:paraId="36B94855" w14:textId="67B1BC85" w:rsidR="00A31809" w:rsidRPr="00A31809" w:rsidRDefault="00A31809" w:rsidP="00A31809">
      <w:r w:rsidRPr="00A31809">
        <w:t xml:space="preserve">Cohort 2 Subsets – Participants </w:t>
      </w:r>
      <w:r w:rsidR="005E1EE4">
        <w:t>w</w:t>
      </w:r>
      <w:r w:rsidRPr="00A31809">
        <w:t xml:space="preserve">ith or </w:t>
      </w:r>
      <w:r w:rsidR="005E1EE4">
        <w:t>w</w:t>
      </w:r>
      <w:r w:rsidRPr="00A31809">
        <w:t xml:space="preserve">ithout </w:t>
      </w:r>
      <w:r w:rsidR="005E1EE4">
        <w:t>e</w:t>
      </w:r>
      <w:r w:rsidRPr="00A31809">
        <w:t xml:space="preserve">vidence of </w:t>
      </w:r>
      <w:r w:rsidR="005E1EE4">
        <w:t>i</w:t>
      </w:r>
      <w:r w:rsidRPr="00A31809">
        <w:t xml:space="preserve">nfection, </w:t>
      </w:r>
      <w:r w:rsidR="005E1EE4">
        <w:t>e</w:t>
      </w:r>
      <w:r w:rsidRPr="00A31809">
        <w:t xml:space="preserve">valuable </w:t>
      </w:r>
      <w:r w:rsidR="005E1EE4">
        <w:t>i</w:t>
      </w:r>
      <w:r w:rsidRPr="00A31809">
        <w:t xml:space="preserve">mmunogenicity </w:t>
      </w:r>
      <w:r w:rsidR="005E1EE4">
        <w:t>p</w:t>
      </w:r>
      <w:r w:rsidRPr="00A31809">
        <w:t>opulation:</w:t>
      </w:r>
    </w:p>
    <w:p w14:paraId="7D18BE6A" w14:textId="30C8C380" w:rsidR="00A31809" w:rsidRPr="00A31809" w:rsidRDefault="00A31809" w:rsidP="00A31809">
      <w:pPr>
        <w:pStyle w:val="ListBullet"/>
      </w:pPr>
      <w:r w:rsidRPr="00A31809">
        <w:t>Group 3 (N</w:t>
      </w:r>
      <w:r w:rsidR="005E1EE4">
        <w:t xml:space="preserve"> </w:t>
      </w:r>
      <w:r w:rsidRPr="00A31809">
        <w:t>=</w:t>
      </w:r>
      <w:r w:rsidR="005E1EE4">
        <w:t xml:space="preserve"> </w:t>
      </w:r>
      <w:r w:rsidRPr="00A31809">
        <w:t>40): Median time between Dose 3 of BNT162b2 (Original) and second booster dose (Dose 4) of BNT162b2 (</w:t>
      </w:r>
      <w:r w:rsidR="005E1EE4">
        <w:t>Omicron</w:t>
      </w:r>
      <w:r w:rsidRPr="00A31809">
        <w:t xml:space="preserve"> BA.1) was 3.8 months (range: 3.2 to 6.4 months).</w:t>
      </w:r>
    </w:p>
    <w:p w14:paraId="394DEB09" w14:textId="75D1A018" w:rsidR="00A31809" w:rsidRPr="00A31809" w:rsidRDefault="00A31809" w:rsidP="00A31809">
      <w:pPr>
        <w:pStyle w:val="ListBullet"/>
      </w:pPr>
      <w:r w:rsidRPr="00A31809">
        <w:t>Group 4 (N</w:t>
      </w:r>
      <w:r w:rsidR="005E1EE4">
        <w:t xml:space="preserve"> </w:t>
      </w:r>
      <w:r w:rsidRPr="00A31809">
        <w:t>=</w:t>
      </w:r>
      <w:r w:rsidR="005E1EE4">
        <w:t xml:space="preserve"> </w:t>
      </w:r>
      <w:r w:rsidRPr="00A31809">
        <w:t>38): Median time between Dose 3 of BNT162b2 (Original) and second booster dose (Dose 4) of BNT162b2 (Original) was 4.0 months (range: 3.3 to 6.4 months).</w:t>
      </w:r>
    </w:p>
    <w:p w14:paraId="6125341F" w14:textId="3CFB073F" w:rsidR="00A31809" w:rsidRPr="00A31809" w:rsidRDefault="00A31809" w:rsidP="00A31809">
      <w:pPr>
        <w:pStyle w:val="ListBullet"/>
      </w:pPr>
      <w:r w:rsidRPr="00A31809">
        <w:t>For Groups 3 and 4, Dose 5 of BNT162b2 (</w:t>
      </w:r>
      <w:r w:rsidR="005E1EE4">
        <w:t>Omicron</w:t>
      </w:r>
      <w:r w:rsidRPr="00A31809">
        <w:t xml:space="preserve"> BA.1) was administered at the 3-month follow-up visit.</w:t>
      </w:r>
    </w:p>
    <w:p w14:paraId="58331969" w14:textId="6601C011" w:rsidR="005E1EE4" w:rsidRDefault="00A31809">
      <w:r w:rsidRPr="00A31809">
        <w:t>In both groups, GMTs for BA.1 and the reference strain increased after the second booster dose (Dose 4)</w:t>
      </w:r>
      <w:r w:rsidR="00784034">
        <w:t xml:space="preserve"> </w:t>
      </w:r>
      <w:r w:rsidRPr="00A31809">
        <w:t>but decreased 3 months after the second booster dose (Dose 4). After administration of the third booster (Dose 5), GMTs for both BA.1 strain in both groups increased to greater than 1MPD4 levels.</w:t>
      </w:r>
    </w:p>
    <w:p w14:paraId="1768F9DF" w14:textId="4709A9F0" w:rsidR="00A31809" w:rsidRPr="00E037D9" w:rsidRDefault="00A31809" w:rsidP="00A31809">
      <w:pPr>
        <w:rPr>
          <w:b/>
          <w:bCs/>
        </w:rPr>
      </w:pPr>
      <w:r w:rsidRPr="00E037D9">
        <w:rPr>
          <w:b/>
          <w:bCs/>
        </w:rPr>
        <w:t xml:space="preserve">Overview of </w:t>
      </w:r>
      <w:r w:rsidR="004F403F" w:rsidRPr="00E037D9">
        <w:rPr>
          <w:b/>
          <w:bCs/>
        </w:rPr>
        <w:t>s</w:t>
      </w:r>
      <w:r w:rsidRPr="00E037D9">
        <w:rPr>
          <w:b/>
          <w:bCs/>
        </w:rPr>
        <w:t xml:space="preserve">afety </w:t>
      </w:r>
      <w:r w:rsidR="004F403F" w:rsidRPr="00E037D9">
        <w:rPr>
          <w:b/>
          <w:bCs/>
        </w:rPr>
        <w:t>s</w:t>
      </w:r>
      <w:r w:rsidRPr="00E037D9">
        <w:rPr>
          <w:b/>
          <w:bCs/>
        </w:rPr>
        <w:t>upporting 3-month interval</w:t>
      </w:r>
    </w:p>
    <w:p w14:paraId="3146AA44" w14:textId="6EB6EC7C" w:rsidR="00A31809" w:rsidRPr="00A31809" w:rsidRDefault="00A31809" w:rsidP="00A31809">
      <w:pPr>
        <w:rPr>
          <w:i/>
          <w:iCs/>
        </w:rPr>
      </w:pPr>
      <w:r w:rsidRPr="00A31809">
        <w:rPr>
          <w:i/>
          <w:iCs/>
        </w:rPr>
        <w:t>Study C4591017</w:t>
      </w:r>
    </w:p>
    <w:p w14:paraId="21B61460" w14:textId="58C93427" w:rsidR="00A31809" w:rsidRDefault="00A31809" w:rsidP="00A31809">
      <w:r w:rsidRPr="00A31809">
        <w:t>In Study C4591017, a booster dose (Dose 3) of either BNT162b2 or BNT162b2 (B.1.351) at 30</w:t>
      </w:r>
      <w:r w:rsidR="005E1EE4">
        <w:t> </w:t>
      </w:r>
      <w:r w:rsidRPr="00A31809">
        <w:t xml:space="preserve">μg was administered approximately </w:t>
      </w:r>
      <w:r w:rsidR="005E1EE4">
        <w:t>three</w:t>
      </w:r>
      <w:r w:rsidRPr="00A31809">
        <w:t xml:space="preserve"> months after BNT162b2 Dose 2 of the primary study. 93.5% (58 of 62) of participants received the booster dose (Dose 3) 83 to 97 days after Dose 2. The most common reactogenicity events for the booster study included pain at the injection site, fatigue, headache, and new or worsened muscle pain. The proportion of participants in the booster study who reported pain at the injection site was higher after Dose</w:t>
      </w:r>
      <w:r w:rsidR="00444D43">
        <w:t> </w:t>
      </w:r>
      <w:r w:rsidRPr="00A31809">
        <w:t>3 compared to after Dose 2, but similar for local reactions redness and swelling. In the booster study, similar</w:t>
      </w:r>
      <w:r>
        <w:t xml:space="preserve"> proportions of participants reported systemic events after Dose 3 and Dose 2. Overall, the proportion of participants reporting AEs in the booster study was low across all vaccine groups (1 related event; no severe </w:t>
      </w:r>
      <w:r w:rsidR="005E1EE4">
        <w:t>adverse event (</w:t>
      </w:r>
      <w:r>
        <w:t>AE</w:t>
      </w:r>
      <w:r w:rsidR="005E1EE4">
        <w:t>)</w:t>
      </w:r>
      <w:r>
        <w:t xml:space="preserve">, </w:t>
      </w:r>
      <w:r w:rsidR="005E1EE4">
        <w:t>serious adverse events (</w:t>
      </w:r>
      <w:r>
        <w:t>SAE</w:t>
      </w:r>
      <w:r w:rsidR="005E1EE4">
        <w:t>)</w:t>
      </w:r>
      <w:r>
        <w:t>, or AEs leading to withdrawal).</w:t>
      </w:r>
    </w:p>
    <w:p w14:paraId="61386D3B" w14:textId="77777777" w:rsidR="00A31809" w:rsidRPr="00A31809" w:rsidRDefault="00A31809" w:rsidP="00A31809">
      <w:pPr>
        <w:rPr>
          <w:i/>
          <w:iCs/>
        </w:rPr>
      </w:pPr>
      <w:r w:rsidRPr="00A31809">
        <w:rPr>
          <w:i/>
          <w:iCs/>
        </w:rPr>
        <w:t>Study C4591001</w:t>
      </w:r>
    </w:p>
    <w:p w14:paraId="4CC35FC7" w14:textId="5FE46B07" w:rsidR="00A31809" w:rsidRDefault="00A31809" w:rsidP="00A31809">
      <w:r>
        <w:t>In Study C4591001, participants received BNT162b2 [B.1.351] as booster doses (Dose 3 and Dose 4) approximately 1 month apart after a primary series with BNT162b2 (N</w:t>
      </w:r>
      <w:r w:rsidR="005E1EE4">
        <w:t xml:space="preserve"> </w:t>
      </w:r>
      <w:r>
        <w:t>=</w:t>
      </w:r>
      <w:r w:rsidR="005E1EE4">
        <w:t xml:space="preserve"> </w:t>
      </w:r>
      <w:r>
        <w:t>30; 22 to 55</w:t>
      </w:r>
      <w:r w:rsidR="005E1EE4">
        <w:t> </w:t>
      </w:r>
      <w:r>
        <w:t xml:space="preserve">years of age). Most participants in this group received the first booster (Dose 3) </w:t>
      </w:r>
      <w:r w:rsidR="005E1EE4">
        <w:t xml:space="preserve">at least </w:t>
      </w:r>
      <w:r>
        <w:t>6</w:t>
      </w:r>
      <w:r w:rsidR="005E1EE4">
        <w:t> </w:t>
      </w:r>
      <w:r>
        <w:t xml:space="preserve">months after Dose 2, and most received the second booster (Dose 4) between 28 and 34 days after Dose 3. Local reactions and systemic events were generally similar or lower in frequency after the second booster (Dose 4) compared with first booster (Dose 3). Local and systemic reactogenicity events were well-tolerated and short-lived. Most reactogenicity events were mild or moderate in severity, with no Grade 4 events. The frequency of participants with any AE from the first booster (Dose 3) to 1 month after the second booster (Dose 4) was 6 (20%), with </w:t>
      </w:r>
      <w:r w:rsidR="005E1EE4">
        <w:t>one</w:t>
      </w:r>
      <w:r>
        <w:t xml:space="preserve"> participant experiencing an unrelated SAE and </w:t>
      </w:r>
      <w:r w:rsidR="005E1EE4">
        <w:t>two</w:t>
      </w:r>
      <w:r>
        <w:t xml:space="preserve"> participants experiencing AEs leading to </w:t>
      </w:r>
      <w:r>
        <w:lastRenderedPageBreak/>
        <w:t xml:space="preserve">withdrawal from study intervention. No additional participants reported AEs from Dose 3 to approximately </w:t>
      </w:r>
      <w:r w:rsidR="005E1EE4">
        <w:t>five</w:t>
      </w:r>
      <w:r>
        <w:t xml:space="preserve"> months after Dose 4.</w:t>
      </w:r>
    </w:p>
    <w:p w14:paraId="7E3E2BFB" w14:textId="39E29F73" w:rsidR="00A31809" w:rsidRPr="00A31809" w:rsidRDefault="00A31809" w:rsidP="00A31809">
      <w:pPr>
        <w:rPr>
          <w:i/>
          <w:iCs/>
        </w:rPr>
      </w:pPr>
      <w:r w:rsidRPr="00A31809">
        <w:rPr>
          <w:i/>
          <w:iCs/>
        </w:rPr>
        <w:t xml:space="preserve">Study C4591031 </w:t>
      </w:r>
      <w:r w:rsidR="004F403F" w:rsidRPr="004F403F">
        <w:rPr>
          <w:i/>
          <w:iCs/>
        </w:rPr>
        <w:t>Substudy D</w:t>
      </w:r>
      <w:r w:rsidRPr="00A31809">
        <w:rPr>
          <w:i/>
          <w:iCs/>
        </w:rPr>
        <w:t xml:space="preserve"> Cohort 1</w:t>
      </w:r>
    </w:p>
    <w:p w14:paraId="322A4275" w14:textId="460BCC1A" w:rsidR="00A31809" w:rsidRDefault="00A31809" w:rsidP="00A31809">
      <w:r>
        <w:t xml:space="preserve">In Study C4591031 </w:t>
      </w:r>
      <w:r w:rsidR="004F403F" w:rsidRPr="004F403F">
        <w:t xml:space="preserve">Substudy D </w:t>
      </w:r>
      <w:r>
        <w:t>Cohort 1, sentinel groups (30 participants each in Groups 1, 2, and 2b safety populations; total N</w:t>
      </w:r>
      <w:r w:rsidR="005E1EE4">
        <w:t xml:space="preserve"> </w:t>
      </w:r>
      <w:r>
        <w:t>=</w:t>
      </w:r>
      <w:r w:rsidR="005E1EE4">
        <w:t xml:space="preserve"> </w:t>
      </w:r>
      <w:r>
        <w:t>90) received BNT162b2 (</w:t>
      </w:r>
      <w:r w:rsidR="005E1EE4">
        <w:t>Omicron</w:t>
      </w:r>
      <w:r>
        <w:t xml:space="preserve"> BA.1) or BNT162b2 (Original) as a booster dose (Dose 3), with participants in Group 2 additionally receiving a second booster dose (Dose 4) of BNT162b2 (</w:t>
      </w:r>
      <w:r w:rsidR="005E1EE4">
        <w:t>Omicron</w:t>
      </w:r>
      <w:r>
        <w:t xml:space="preserve"> BA.1) 1 month later. The most common reactogenicity events for participants in the Cohort 1 sentinel groups included pain at the injection site, fatigue, headache, and new or worsened muscle pain. In Group 2, except for swelling, headache, and muscle pain, local reactions and systemic events were generally similar or lower in frequency after the second booster (Dose 4) compared with first booster (Dose 3). Local and systemic reactogenicity events were well-tolerated and short-lived. Most reactogenicity events were mild or moderate in severity, with no Grade 4 events. Overall, the proportion of participants reporting AEs in the Cohort 1 sentinel groups was low across all vaccine groups. In Group 2, </w:t>
      </w:r>
      <w:r w:rsidR="005E1EE4">
        <w:t>one</w:t>
      </w:r>
      <w:r>
        <w:t xml:space="preserve"> participant experienced a related AE. In Group 3, </w:t>
      </w:r>
      <w:r w:rsidR="005E1EE4">
        <w:t>one</w:t>
      </w:r>
      <w:r>
        <w:t xml:space="preserve"> participant experienced an SAE (severe), and </w:t>
      </w:r>
      <w:r w:rsidR="005E1EE4">
        <w:t>one</w:t>
      </w:r>
      <w:r>
        <w:t xml:space="preserve"> participant experienced a related AE.</w:t>
      </w:r>
    </w:p>
    <w:p w14:paraId="1A44492A" w14:textId="77777777" w:rsidR="00A31809" w:rsidRPr="00E037D9" w:rsidRDefault="00A31809" w:rsidP="00A31809">
      <w:pPr>
        <w:rPr>
          <w:b/>
          <w:bCs/>
        </w:rPr>
      </w:pPr>
      <w:r w:rsidRPr="00E037D9">
        <w:rPr>
          <w:b/>
          <w:bCs/>
        </w:rPr>
        <w:t>Conclusions</w:t>
      </w:r>
    </w:p>
    <w:p w14:paraId="5A9F91E6" w14:textId="4DA1ECAB" w:rsidR="00A31809" w:rsidRPr="00A31809" w:rsidRDefault="00A31809" w:rsidP="00A31809">
      <w:r>
        <w:t xml:space="preserve">Together, the available clinical trial and real-world data (US CDC study </w:t>
      </w:r>
      <w:r w:rsidR="001B2F76">
        <w:t>and</w:t>
      </w:r>
      <w:r>
        <w:t xml:space="preserve"> Israel population-based cohort study) have demonstrated use of a range of dosing intervals between primary vaccination and subsequent booster doses. An interval of at least 2</w:t>
      </w:r>
      <w:r w:rsidR="005E1EE4">
        <w:t xml:space="preserve"> to </w:t>
      </w:r>
      <w:r>
        <w:t>3 months between the last dose (primary or booster) and subsequent doses with Comirnaty and/or Comirnaty Original/Omicron BA.4-5 (Bivalent) has not revealed new or unexpected safety findings in individuals at least 6 months of age, while the benefit of vaccination in all age groups has remained favourable. The epidemiology of SARS-CoV-2, the effectiveness and safety of the vaccines will continue to be monitored by Pfizer and BioNTech.</w:t>
      </w:r>
    </w:p>
    <w:p w14:paraId="57D4CB29" w14:textId="067A9D47" w:rsidR="0014257C" w:rsidRDefault="0014257C" w:rsidP="0014257C">
      <w:pPr>
        <w:pStyle w:val="Numberbullet0"/>
        <w:rPr>
          <w:b/>
          <w:bCs/>
          <w:i/>
          <w:iCs/>
        </w:rPr>
      </w:pPr>
      <w:r w:rsidRPr="0014257C">
        <w:rPr>
          <w:b/>
          <w:bCs/>
          <w:i/>
          <w:iCs/>
        </w:rPr>
        <w:t>Can the sponsor provide information whether there is a plan for post marketing clinical trial to assess efficacy/immunogenicity/safety for the Comirnaty XBB 1.5?</w:t>
      </w:r>
    </w:p>
    <w:p w14:paraId="197CD9A6" w14:textId="7E6386AE" w:rsidR="00A31809" w:rsidRDefault="00A31809" w:rsidP="00A31809">
      <w:r>
        <w:t>The sponsor confirms that there are post-marketing clinical trials planned/on-going to assess the safety, tolerability and immunogenicity for the proposed Comirnaty Omicron XBB.1.5 COVID</w:t>
      </w:r>
      <w:r>
        <w:noBreakHyphen/>
        <w:t>19 vaccine in healthy individuals. Please see below for the information requested.</w:t>
      </w:r>
    </w:p>
    <w:p w14:paraId="65B668A1" w14:textId="77777777" w:rsidR="00A31809" w:rsidRPr="00E037D9" w:rsidRDefault="00A31809" w:rsidP="00A31809">
      <w:pPr>
        <w:rPr>
          <w:b/>
          <w:bCs/>
        </w:rPr>
      </w:pPr>
      <w:r w:rsidRPr="00E037D9">
        <w:rPr>
          <w:b/>
          <w:bCs/>
        </w:rPr>
        <w:t>Study Protocol C4591054</w:t>
      </w:r>
    </w:p>
    <w:p w14:paraId="21D8DE17" w14:textId="6882FCFE" w:rsidR="00A31809" w:rsidRDefault="00A31809" w:rsidP="00A31809">
      <w:r>
        <w:t xml:space="preserve">The monovalent XBB.1.5 vaccine will be evaluated in Study C4591054, a Phase II/III </w:t>
      </w:r>
      <w:r w:rsidR="005E1EE4">
        <w:t>p</w:t>
      </w:r>
      <w:r>
        <w:t xml:space="preserve">rotocol to </w:t>
      </w:r>
      <w:r w:rsidR="005E1EE4">
        <w:t>i</w:t>
      </w:r>
      <w:r>
        <w:t xml:space="preserve">nvestigate the </w:t>
      </w:r>
      <w:r w:rsidR="005E1EE4">
        <w:t>s</w:t>
      </w:r>
      <w:r>
        <w:t xml:space="preserve">afety, </w:t>
      </w:r>
      <w:r w:rsidR="005E1EE4">
        <w:t>t</w:t>
      </w:r>
      <w:r>
        <w:t xml:space="preserve">olerability, and </w:t>
      </w:r>
      <w:r w:rsidR="005E1EE4">
        <w:t>i</w:t>
      </w:r>
      <w:r>
        <w:t>mmunogenicity of BNT162b2 RNA-</w:t>
      </w:r>
      <w:r w:rsidR="005E1EE4">
        <w:t>b</w:t>
      </w:r>
      <w:r>
        <w:t xml:space="preserve">ased </w:t>
      </w:r>
      <w:r w:rsidR="005E1EE4">
        <w:t>v</w:t>
      </w:r>
      <w:r>
        <w:t xml:space="preserve">accine </w:t>
      </w:r>
      <w:r w:rsidR="005E1EE4">
        <w:t>c</w:t>
      </w:r>
      <w:r>
        <w:t xml:space="preserve">andidates for SARS-CoV-2 </w:t>
      </w:r>
      <w:r w:rsidR="005E1EE4">
        <w:t>n</w:t>
      </w:r>
      <w:r>
        <w:t xml:space="preserve">ew </w:t>
      </w:r>
      <w:r w:rsidR="005E1EE4">
        <w:t>v</w:t>
      </w:r>
      <w:r>
        <w:t xml:space="preserve">ariants in </w:t>
      </w:r>
      <w:r w:rsidR="005E1EE4">
        <w:t>h</w:t>
      </w:r>
      <w:r>
        <w:t xml:space="preserve">ealthy </w:t>
      </w:r>
      <w:r w:rsidR="005E1EE4">
        <w:t>i</w:t>
      </w:r>
      <w:r>
        <w:t>ndividuals.</w:t>
      </w:r>
    </w:p>
    <w:p w14:paraId="17CCE23D" w14:textId="7E3C8172" w:rsidR="00A31809" w:rsidRDefault="00A31809" w:rsidP="00A31809">
      <w:r>
        <w:t xml:space="preserve">In Study C4591054 Substudy A (SSA), participants 12 through 55 and older than 55 years of age who have received at least </w:t>
      </w:r>
      <w:r w:rsidR="00776337">
        <w:t>three</w:t>
      </w:r>
      <w:r>
        <w:t xml:space="preserve"> prior doses of a US-authori</w:t>
      </w:r>
      <w:r w:rsidR="00776337">
        <w:t>s</w:t>
      </w:r>
      <w:r>
        <w:t>ed mRNA COVID-19 vaccine, with the most recent dose being an Omicron BA.4/BA.5–adapted bivalent vaccine received at least 150 days prior to study vaccination, will receive a single open-label 30</w:t>
      </w:r>
      <w:r w:rsidR="00776337">
        <w:t> µ</w:t>
      </w:r>
      <w:r>
        <w:t>g dose of Pfizer/BioNTech COVID-19 2023-2024 formula (monovalent XBB.1.5 vaccine).</w:t>
      </w:r>
    </w:p>
    <w:p w14:paraId="2A0FF562" w14:textId="2D1F51DF" w:rsidR="00A31809" w:rsidRDefault="00A31809" w:rsidP="00A31809">
      <w:r>
        <w:t>Approximately 400 participants were enrolled</w:t>
      </w:r>
      <w:r w:rsidR="00776337">
        <w:t xml:space="preserve"> [Information redacted]</w:t>
      </w:r>
      <w:r>
        <w:t xml:space="preserve">. This </w:t>
      </w:r>
      <w:proofErr w:type="spellStart"/>
      <w:r>
        <w:t>substudy</w:t>
      </w:r>
      <w:proofErr w:type="spellEnd"/>
      <w:r>
        <w:t xml:space="preserve"> started in </w:t>
      </w:r>
      <w:r w:rsidR="00776337">
        <w:t xml:space="preserve">third quarter of </w:t>
      </w:r>
      <w:r>
        <w:t>2023</w:t>
      </w:r>
      <w:r w:rsidR="006331A0">
        <w:t xml:space="preserve"> [Information redacted</w:t>
      </w:r>
      <w:proofErr w:type="gramStart"/>
      <w:r w:rsidR="006331A0">
        <w:t>].</w:t>
      </w:r>
      <w:r>
        <w:t>.</w:t>
      </w:r>
      <w:proofErr w:type="gramEnd"/>
    </w:p>
    <w:p w14:paraId="4145856C" w14:textId="11260EEE" w:rsidR="00A31809" w:rsidRDefault="00A31809" w:rsidP="00A31809">
      <w:r>
        <w:t>Study C4591054 Substudy B (SSB) is planned to demonstrate the noninferiority with respect to level of neutrali</w:t>
      </w:r>
      <w:r w:rsidR="00776337">
        <w:t>s</w:t>
      </w:r>
      <w:r>
        <w:t xml:space="preserve">ing titre and seroresponse rate of the anti-XBB.1.5 immune response elicited by a single dose of the monovalent XBB.1.5 vaccine in approximately 300 COVID-19 vaccine-naïve participants </w:t>
      </w:r>
      <w:r w:rsidR="00776337">
        <w:t xml:space="preserve">at least </w:t>
      </w:r>
      <w:r>
        <w:t>12 years of age who were previously SARS-CoV-2 exposed compared to a single dose of the monovalent XBB.1.5 vaccine given to vaccine-experienced participants in SSA.</w:t>
      </w:r>
    </w:p>
    <w:p w14:paraId="231C4B64" w14:textId="77777777" w:rsidR="00A31809" w:rsidRPr="00E037D9" w:rsidRDefault="00A31809" w:rsidP="00A31809">
      <w:pPr>
        <w:rPr>
          <w:b/>
          <w:bCs/>
        </w:rPr>
      </w:pPr>
      <w:r w:rsidRPr="00E037D9">
        <w:rPr>
          <w:b/>
          <w:bCs/>
        </w:rPr>
        <w:lastRenderedPageBreak/>
        <w:t>Study Protocol C4591048</w:t>
      </w:r>
    </w:p>
    <w:p w14:paraId="28F06C42" w14:textId="2586D850" w:rsidR="00A31809" w:rsidRPr="00A31809" w:rsidRDefault="00A31809" w:rsidP="00A31809">
      <w:r>
        <w:t xml:space="preserve">The monovalent XBB.1.5 vaccine will be evaluated in Study C4591048, </w:t>
      </w:r>
      <w:r w:rsidR="00F5745E">
        <w:t>p</w:t>
      </w:r>
      <w:r>
        <w:t xml:space="preserve">rotocol to </w:t>
      </w:r>
      <w:r w:rsidR="00F5745E">
        <w:t>i</w:t>
      </w:r>
      <w:r>
        <w:t xml:space="preserve">nvestigate the </w:t>
      </w:r>
      <w:r w:rsidR="00F5745E">
        <w:t>s</w:t>
      </w:r>
      <w:r>
        <w:t xml:space="preserve">afety, </w:t>
      </w:r>
      <w:r w:rsidR="00F5745E">
        <w:t>t</w:t>
      </w:r>
      <w:r>
        <w:t xml:space="preserve">olerability, and </w:t>
      </w:r>
      <w:r w:rsidR="00F5745E">
        <w:t>i</w:t>
      </w:r>
      <w:r>
        <w:t xml:space="preserve">mmunogenicity of </w:t>
      </w:r>
      <w:r w:rsidR="00F5745E">
        <w:t>v</w:t>
      </w:r>
      <w:r>
        <w:t>ariant-</w:t>
      </w:r>
      <w:r w:rsidR="00F5745E">
        <w:t>a</w:t>
      </w:r>
      <w:r>
        <w:t>dapted BNT162b2 RNA-</w:t>
      </w:r>
      <w:r w:rsidR="00F5745E">
        <w:t>b</w:t>
      </w:r>
      <w:r>
        <w:t xml:space="preserve">ased </w:t>
      </w:r>
      <w:r w:rsidR="00F5745E">
        <w:t>v</w:t>
      </w:r>
      <w:r>
        <w:t xml:space="preserve">accine </w:t>
      </w:r>
      <w:r w:rsidR="00F5745E">
        <w:t>c</w:t>
      </w:r>
      <w:r>
        <w:t xml:space="preserve">andidates for SARS-CoV-2 </w:t>
      </w:r>
      <w:r w:rsidR="00F5745E">
        <w:t>n</w:t>
      </w:r>
      <w:r>
        <w:t xml:space="preserve">ew </w:t>
      </w:r>
      <w:r w:rsidR="00F5745E">
        <w:t>v</w:t>
      </w:r>
      <w:r>
        <w:t xml:space="preserve">ariants in </w:t>
      </w:r>
      <w:r w:rsidR="00F5745E">
        <w:t>h</w:t>
      </w:r>
      <w:r>
        <w:t xml:space="preserve">ealthy </w:t>
      </w:r>
      <w:r w:rsidR="00F5745E">
        <w:t>i</w:t>
      </w:r>
      <w:r>
        <w:t>ndividuals in vaccine naïve children and vaccine experienced children 6 months to 11 years.</w:t>
      </w:r>
    </w:p>
    <w:p w14:paraId="318CFABC" w14:textId="77777777" w:rsidR="00C22214" w:rsidRPr="00F73346" w:rsidRDefault="3E404ED3" w:rsidP="00C22214">
      <w:pPr>
        <w:pStyle w:val="Heading4"/>
      </w:pPr>
      <w:bookmarkStart w:id="89" w:name="_Toc98931936"/>
      <w:bookmarkStart w:id="90" w:name="_Ref147405148"/>
      <w:bookmarkStart w:id="91" w:name="_Toc158382402"/>
      <w:bookmarkStart w:id="92" w:name="_Toc247691532"/>
      <w:bookmarkStart w:id="93" w:name="_Toc314842516"/>
      <w:r>
        <w:t>Advisory Committee considerations</w:t>
      </w:r>
      <w:bookmarkEnd w:id="89"/>
      <w:bookmarkEnd w:id="90"/>
      <w:bookmarkEnd w:id="91"/>
    </w:p>
    <w:p w14:paraId="087BB9CB" w14:textId="7817BF63" w:rsidR="00C22214" w:rsidRPr="00BD5DBD" w:rsidRDefault="00C22214" w:rsidP="00C22214">
      <w:pPr>
        <w:rPr>
          <w:bCs/>
          <w:szCs w:val="22"/>
        </w:rPr>
      </w:pPr>
      <w:r w:rsidRPr="00BD5DBD">
        <w:rPr>
          <w:bCs/>
          <w:szCs w:val="22"/>
        </w:rPr>
        <w:t xml:space="preserve">The </w:t>
      </w:r>
      <w:hyperlink r:id="rId30" w:history="1">
        <w:r w:rsidRPr="00BD5DBD">
          <w:rPr>
            <w:rStyle w:val="Hyperlink"/>
            <w:szCs w:val="22"/>
          </w:rPr>
          <w:t>Advisory Committee on Vaccines (ACV)</w:t>
        </w:r>
      </w:hyperlink>
      <w:r w:rsidRPr="00BD5DBD">
        <w:rPr>
          <w:szCs w:val="22"/>
        </w:rPr>
        <w:t>,</w:t>
      </w:r>
      <w:r w:rsidRPr="00BD5DBD">
        <w:rPr>
          <w:bCs/>
          <w:szCs w:val="22"/>
        </w:rPr>
        <w:t xml:space="preserve"> having considered the evaluations and the Delegate’s overview, as well as the sponsor’s response to these documents, advised the following.</w:t>
      </w:r>
    </w:p>
    <w:p w14:paraId="0D935CC4" w14:textId="77777777" w:rsidR="00C22214" w:rsidRPr="00F73346" w:rsidRDefault="00C22214" w:rsidP="00C22214">
      <w:pPr>
        <w:pStyle w:val="Heading5"/>
      </w:pPr>
      <w:r w:rsidRPr="00F73346">
        <w:t>Specific advice to the Delegate</w:t>
      </w:r>
    </w:p>
    <w:p w14:paraId="77A2A50C" w14:textId="29AE7714" w:rsidR="00E117F7" w:rsidRPr="00E117F7" w:rsidRDefault="00E117F7" w:rsidP="00E117F7">
      <w:pPr>
        <w:pStyle w:val="Numberbullet0"/>
        <w:numPr>
          <w:ilvl w:val="0"/>
          <w:numId w:val="13"/>
        </w:numPr>
        <w:rPr>
          <w:b/>
          <w:bCs/>
          <w:i/>
          <w:iCs/>
        </w:rPr>
      </w:pPr>
      <w:r w:rsidRPr="00E117F7">
        <w:rPr>
          <w:b/>
          <w:bCs/>
          <w:i/>
          <w:iCs/>
        </w:rPr>
        <w:t>Does the ACV support the proposed indication?</w:t>
      </w:r>
    </w:p>
    <w:p w14:paraId="0995A36C" w14:textId="6F44E7FE" w:rsidR="00E117F7" w:rsidRPr="00E117F7" w:rsidRDefault="00E117F7" w:rsidP="00E117F7">
      <w:r w:rsidRPr="00E117F7">
        <w:t>The ACV supported the proposed indication:</w:t>
      </w:r>
    </w:p>
    <w:p w14:paraId="24C4DD81" w14:textId="411594D3" w:rsidR="00E117F7" w:rsidRPr="00E117F7" w:rsidRDefault="00E117F7" w:rsidP="00E117F7">
      <w:pPr>
        <w:ind w:left="720"/>
        <w:rPr>
          <w:i/>
          <w:iCs/>
        </w:rPr>
      </w:pPr>
      <w:r w:rsidRPr="00E117F7">
        <w:rPr>
          <w:i/>
          <w:iCs/>
        </w:rPr>
        <w:t>Active immunisation to prevent coronavirus disease 2019 (COVID-19) caused by SARS</w:t>
      </w:r>
      <w:r w:rsidR="00444D43">
        <w:rPr>
          <w:i/>
          <w:iCs/>
        </w:rPr>
        <w:noBreakHyphen/>
      </w:r>
      <w:r w:rsidRPr="00E117F7">
        <w:rPr>
          <w:i/>
          <w:iCs/>
        </w:rPr>
        <w:t>CoV</w:t>
      </w:r>
      <w:r w:rsidR="00444D43">
        <w:rPr>
          <w:i/>
          <w:iCs/>
        </w:rPr>
        <w:noBreakHyphen/>
      </w:r>
      <w:r w:rsidRPr="00E117F7">
        <w:rPr>
          <w:i/>
          <w:iCs/>
        </w:rPr>
        <w:t>2, in individuals 5 years and older.</w:t>
      </w:r>
    </w:p>
    <w:p w14:paraId="4424F586" w14:textId="58EBF5E3" w:rsidR="00E117F7" w:rsidRPr="00E117F7" w:rsidRDefault="00E117F7" w:rsidP="00E117F7">
      <w:pPr>
        <w:ind w:left="720"/>
      </w:pPr>
      <w:r w:rsidRPr="00E117F7">
        <w:rPr>
          <w:i/>
          <w:iCs/>
        </w:rPr>
        <w:t>The use of this vaccine should be in accordance with official recommendations.</w:t>
      </w:r>
    </w:p>
    <w:p w14:paraId="519B71C6" w14:textId="4BCFEDF0" w:rsidR="00E117F7" w:rsidRPr="00E117F7" w:rsidRDefault="00E117F7" w:rsidP="00E117F7">
      <w:r w:rsidRPr="00E117F7">
        <w:t>The ACV acknowledged that the epidemiology of COVID-19 supports a need for a vaccine targeted to protect against the currently-circulating SARS-CoV-2 variant of concern, Omicron XBB.1.5 and related emerging sub-variants. The ACV noted that the main objective of an update to COVID-19 vaccine target variant is to achieve a wider breadth of immunity.</w:t>
      </w:r>
    </w:p>
    <w:p w14:paraId="53689E28" w14:textId="5E0EE9C4" w:rsidR="00E117F7" w:rsidRPr="00E117F7" w:rsidRDefault="00E117F7" w:rsidP="00E117F7">
      <w:r w:rsidRPr="00E117F7">
        <w:t>The ACV noted this submission is supported by quality data and that manufacture uses the same well-characterised mRNA platform as for earlier versions of Comirnaty COVID-19 vaccines. The ACV noted the submission was supported by preclinical (immunogenicity in mice) data but not clinical data. The ACV noted that the sponsor has commenced clinical studies for safety, tolerability and immunogenicity data in both vaccine-naive and previously-vaccinated human subjects.</w:t>
      </w:r>
      <w:r>
        <w:rPr>
          <w:rStyle w:val="FootnoteReference"/>
        </w:rPr>
        <w:footnoteReference w:id="14"/>
      </w:r>
    </w:p>
    <w:p w14:paraId="6F884D94" w14:textId="02E7FD5D" w:rsidR="00E117F7" w:rsidRPr="00E117F7" w:rsidRDefault="00E117F7" w:rsidP="00E117F7">
      <w:r w:rsidRPr="00E117F7">
        <w:t xml:space="preserve">Overall, the ACV supported the </w:t>
      </w:r>
      <w:r>
        <w:t>D</w:t>
      </w:r>
      <w:r w:rsidRPr="00E117F7">
        <w:t>elegate’s view in favour of registration.</w:t>
      </w:r>
    </w:p>
    <w:p w14:paraId="48C73D46" w14:textId="7940831E" w:rsidR="00E117F7" w:rsidRPr="00E117F7" w:rsidRDefault="00E117F7" w:rsidP="00E117F7">
      <w:r w:rsidRPr="00E117F7">
        <w:t xml:space="preserve">The ACV noted the proposed indication is for use in individuals 5 years and older. The ACV noted that regulatory agencies in Europe and Canada have approved use for individuals from 6 months of age, and in the USA use in individuals from 6 months </w:t>
      </w:r>
      <w:r w:rsidR="006F2894">
        <w:t xml:space="preserve">to &lt;12 years </w:t>
      </w:r>
      <w:r w:rsidRPr="00E117F7">
        <w:t>of age is authorised (under Emergency Use Authorization) and approved (under a Biologics License Application) in individuals 12 years and older. The ACV highlighted the need for a vaccine for infants from 6 months of age and young children who are at risk of severe COVID-19 using a vaccine relevant to currently-circulating strains rather than against the original wild-type virus and advised availability of updated vaccines in this age group is a current gap in Australia.</w:t>
      </w:r>
    </w:p>
    <w:p w14:paraId="1E8675B5" w14:textId="61C02219" w:rsidR="00E117F7" w:rsidRPr="00E117F7" w:rsidRDefault="00E117F7" w:rsidP="00E117F7">
      <w:pPr>
        <w:pStyle w:val="Numberbullet0"/>
        <w:rPr>
          <w:b/>
          <w:bCs/>
          <w:i/>
          <w:iCs/>
        </w:rPr>
      </w:pPr>
      <w:r w:rsidRPr="00E117F7">
        <w:rPr>
          <w:b/>
          <w:bCs/>
          <w:i/>
          <w:iCs/>
        </w:rPr>
        <w:t>Does the ACV agree with proposed dosing schedule for primary and booster doses?</w:t>
      </w:r>
    </w:p>
    <w:p w14:paraId="275E5AFA" w14:textId="259871B6" w:rsidR="00E117F7" w:rsidRPr="00E117F7" w:rsidRDefault="00E117F7" w:rsidP="00E117F7">
      <w:r w:rsidRPr="00E117F7">
        <w:t xml:space="preserve">The ACV agreed with the proposed dosing of 30 </w:t>
      </w:r>
      <w:r>
        <w:t>µg</w:t>
      </w:r>
      <w:r w:rsidRPr="00E117F7">
        <w:t xml:space="preserve"> raxtozinameran for individuals 12 years and older, and 10 </w:t>
      </w:r>
      <w:r>
        <w:t>µg</w:t>
      </w:r>
      <w:r w:rsidRPr="00E117F7">
        <w:t xml:space="preserve"> raxtozinameran for individuals aged 5 to </w:t>
      </w:r>
      <w:r w:rsidR="006F2894">
        <w:t>&lt;</w:t>
      </w:r>
      <w:r w:rsidRPr="00E117F7">
        <w:t>12 years.</w:t>
      </w:r>
    </w:p>
    <w:p w14:paraId="69D4E177" w14:textId="2BA591DA" w:rsidR="00E117F7" w:rsidRPr="00E117F7" w:rsidRDefault="00E117F7" w:rsidP="00E117F7">
      <w:r w:rsidRPr="00E117F7">
        <w:t>The ACV advised that a simplified dosing schedule (compared with earlier Comirnaty vaccines) would be appropriate.</w:t>
      </w:r>
    </w:p>
    <w:p w14:paraId="26DA785C" w14:textId="6B953E1F" w:rsidR="00E117F7" w:rsidRPr="00E117F7" w:rsidRDefault="00E117F7" w:rsidP="00E117F7">
      <w:r w:rsidRPr="00E117F7">
        <w:lastRenderedPageBreak/>
        <w:t>The ACV advised that information regarding how to administer a primary (that is, multi-dose) series, when clinically indicated, should be included in the dosage section of the PI and include details specific for use in such individuals, such as those who are vaccine -naive and immunocompromised individuals. Reference should be made to use of the vaccine in accordance with clinical recommendations in Australia, that is, as made by the ATAGI in the Australian Immunisation Handbook.</w:t>
      </w:r>
    </w:p>
    <w:p w14:paraId="26482B01" w14:textId="577D1CB4" w:rsidR="00E117F7" w:rsidRPr="00E117F7" w:rsidRDefault="00E117F7" w:rsidP="00E117F7">
      <w:r w:rsidRPr="00E117F7">
        <w:t>General reference to ‘booster’ doses in the product information is no longer useful or accurate. Raxtozinameran is a different active ingredient to the tozinameran used in the original Comirnaty vaccine, with nucleoside modified mRNA (modRNA) adapted to target Omicron XBB.1.5, and Comirnaty Omicron XBB.1.5 vaccine is not boosting the immune response against the wild-type virus (which is no longer circulating). The terms ‘Subsequent’ or ‘Additional’ dose(s) could be used instead of ‘booster’ where needed. The ACV advised that subsequent doses could be administered at least 3 months after the most recent COVID-19 vaccine, including to people under 18 years of age.</w:t>
      </w:r>
    </w:p>
    <w:p w14:paraId="39A68713" w14:textId="75C2FF87" w:rsidR="00E117F7" w:rsidRPr="00E117F7" w:rsidRDefault="00E117F7" w:rsidP="00E117F7">
      <w:r w:rsidRPr="00E117F7">
        <w:t>In providing this advice the ACV noted that the doses and dosing schedule are supported by immunogenicity and safety data and real-world experience with earlier Comirnaty vaccines. The simplified schedule aligns with that approved by the European Medicines Agency.</w:t>
      </w:r>
    </w:p>
    <w:p w14:paraId="346BBFE9" w14:textId="3CCF1ED5" w:rsidR="00E117F7" w:rsidRPr="00E117F7" w:rsidRDefault="00E117F7" w:rsidP="00E117F7">
      <w:pPr>
        <w:pStyle w:val="Numberbullet0"/>
        <w:rPr>
          <w:b/>
          <w:bCs/>
          <w:i/>
          <w:iCs/>
        </w:rPr>
      </w:pPr>
      <w:r w:rsidRPr="00E117F7">
        <w:rPr>
          <w:b/>
          <w:bCs/>
          <w:i/>
          <w:iCs/>
        </w:rPr>
        <w:t>The committee is also requested to provide advice on any other issues that it thinks may be relevant to a decision on whether or not to approve this application?</w:t>
      </w:r>
    </w:p>
    <w:p w14:paraId="24AE1654" w14:textId="2248EB51" w:rsidR="00E117F7" w:rsidRPr="00E117F7" w:rsidRDefault="00E117F7" w:rsidP="00E117F7">
      <w:r w:rsidRPr="00E117F7">
        <w:t>The ACV noted that safety and immunogenicity has been inferred from extensive clinical studies and real-world experience with earlier Comirnaty vaccines. Given this, the following statement could be included in the PI:</w:t>
      </w:r>
    </w:p>
    <w:p w14:paraId="459B4F56" w14:textId="1776A4DB" w:rsidR="00E117F7" w:rsidRPr="00E117F7" w:rsidRDefault="00E117F7" w:rsidP="00E117F7">
      <w:pPr>
        <w:rPr>
          <w:i/>
          <w:iCs/>
        </w:rPr>
      </w:pPr>
      <w:r>
        <w:rPr>
          <w:i/>
          <w:iCs/>
        </w:rPr>
        <w:t>‘</w:t>
      </w:r>
      <w:r w:rsidRPr="00E117F7">
        <w:rPr>
          <w:i/>
          <w:iCs/>
        </w:rPr>
        <w:t>The safety of Comirnaty Omicron XBB.1.5 is inferred from safety data of the prior Comirnaty vaccines.</w:t>
      </w:r>
      <w:r>
        <w:rPr>
          <w:i/>
          <w:iCs/>
        </w:rPr>
        <w:t>’</w:t>
      </w:r>
    </w:p>
    <w:p w14:paraId="723F6045" w14:textId="70DE96AF" w:rsidR="00E117F7" w:rsidRPr="00E117F7" w:rsidRDefault="00E117F7" w:rsidP="00E117F7">
      <w:r w:rsidRPr="00E117F7">
        <w:t>The ACV supported the inclusion of additional information in the PI regarding pregnancy and breast-feeding, such as the following information from the European Summary of Product Characteristics:</w:t>
      </w:r>
    </w:p>
    <w:p w14:paraId="045D2298" w14:textId="73FB3B11" w:rsidR="00E117F7" w:rsidRPr="00E117F7" w:rsidRDefault="00E117F7" w:rsidP="00E117F7">
      <w:pPr>
        <w:rPr>
          <w:i/>
          <w:iCs/>
        </w:rPr>
      </w:pPr>
      <w:r>
        <w:t>‘</w:t>
      </w:r>
      <w:r w:rsidRPr="00E117F7">
        <w:rPr>
          <w:i/>
          <w:iCs/>
        </w:rPr>
        <w:t>No data are available yet regarding the use of Comirnaty Omicron XBB.1.5 during pregnancy. However, a large amount of information from pregnant women vaccinated with the initially approved Comirnaty vaccine during the second and third trimester have not shown negative effects on the pregnancy or the newborn baby. While information on effects on pregnancy or the newborn baby after vaccination during the first trimester is limited, no change to the risk for miscarriage has been seen. Comirnaty Omicron XBB.1.5 can be used during pregnancy.</w:t>
      </w:r>
    </w:p>
    <w:p w14:paraId="262742F9" w14:textId="74919664" w:rsidR="00E117F7" w:rsidRPr="00E117F7" w:rsidRDefault="00E117F7" w:rsidP="00E117F7">
      <w:r w:rsidRPr="00E117F7">
        <w:rPr>
          <w:i/>
          <w:iCs/>
        </w:rPr>
        <w:t>No data are available yet regarding the use of Comirnaty Omicron XBB.1.5 during breast-feeding. However, no effects on the breastfed newborn/infant are anticipated. Data from women who were breast-feeding after vaccination with the initially approved Comirnaty vaccine have not shown a risk for adverse effects in breastfed newborns/infants. Comirnaty Omicron XBB.1.5 can be used while breast-feeding</w:t>
      </w:r>
      <w:r w:rsidRPr="00E117F7">
        <w:t>.</w:t>
      </w:r>
      <w:r>
        <w:t>’</w:t>
      </w:r>
    </w:p>
    <w:p w14:paraId="5291EA2A" w14:textId="717DC0F3" w:rsidR="00C22214" w:rsidRDefault="00C22214" w:rsidP="00C22214">
      <w:pPr>
        <w:pStyle w:val="Heading5"/>
      </w:pPr>
      <w:r w:rsidRPr="00F73346">
        <w:t>Conclusion</w:t>
      </w:r>
    </w:p>
    <w:p w14:paraId="231B9D38" w14:textId="3916010C" w:rsidR="00E117F7" w:rsidRPr="00E117F7" w:rsidRDefault="003B1DA9" w:rsidP="00911B23">
      <w:r>
        <w:t>O</w:t>
      </w:r>
      <w:r w:rsidRPr="00911B23">
        <w:t>verall,</w:t>
      </w:r>
      <w:r w:rsidR="00911B23" w:rsidRPr="00911B23">
        <w:t xml:space="preserve"> the ACV agreed with </w:t>
      </w:r>
      <w:r w:rsidR="00911B23">
        <w:t>D</w:t>
      </w:r>
      <w:r w:rsidR="00911B23" w:rsidRPr="00911B23">
        <w:t>elegate</w:t>
      </w:r>
      <w:r w:rsidR="00911B23">
        <w:t>.</w:t>
      </w:r>
    </w:p>
    <w:p w14:paraId="307F236C" w14:textId="01D67D95" w:rsidR="00C22214" w:rsidRDefault="00C22214" w:rsidP="00C22214">
      <w:pPr>
        <w:pStyle w:val="Heading2"/>
      </w:pPr>
      <w:bookmarkStart w:id="94" w:name="_Toc103679300"/>
      <w:bookmarkStart w:id="95" w:name="_Toc158382403"/>
      <w:r>
        <w:t>Outcome</w:t>
      </w:r>
      <w:bookmarkEnd w:id="92"/>
      <w:bookmarkEnd w:id="93"/>
      <w:bookmarkEnd w:id="94"/>
      <w:bookmarkEnd w:id="95"/>
    </w:p>
    <w:p w14:paraId="35937EC6" w14:textId="4A8835F5" w:rsidR="00064B9A" w:rsidRPr="00DF1365" w:rsidRDefault="00064B9A" w:rsidP="00C51B28">
      <w:r w:rsidRPr="00DF1365">
        <w:t>Based on a review of quality,</w:t>
      </w:r>
      <w:r w:rsidR="00563B3B" w:rsidRPr="00DF1365">
        <w:t xml:space="preserve"> nonclinical and</w:t>
      </w:r>
      <w:r w:rsidRPr="00DF1365">
        <w:t xml:space="preserve"> safety</w:t>
      </w:r>
      <w:r w:rsidR="00563B3B" w:rsidRPr="00DF1365">
        <w:t>/</w:t>
      </w:r>
      <w:r w:rsidRPr="00DF1365">
        <w:t>efficacy</w:t>
      </w:r>
      <w:r w:rsidR="00563B3B" w:rsidRPr="00DF1365">
        <w:t xml:space="preserve"> data (inferred from original C</w:t>
      </w:r>
      <w:r w:rsidR="008F5D26" w:rsidRPr="00DF1365">
        <w:t>omirnaty</w:t>
      </w:r>
      <w:r w:rsidR="00563B3B" w:rsidRPr="00DF1365">
        <w:t xml:space="preserve"> data)</w:t>
      </w:r>
      <w:r w:rsidRPr="00DF1365">
        <w:t xml:space="preserve">, the TGA approved the registration of Comirnaty Omicron XBB.1.5 </w:t>
      </w:r>
      <w:r w:rsidRPr="00DF1365">
        <w:lastRenderedPageBreak/>
        <w:t xml:space="preserve">(raxtozinameran) </w:t>
      </w:r>
      <w:r w:rsidR="00D845DD" w:rsidRPr="006D3555">
        <w:rPr>
          <w:szCs w:val="22"/>
        </w:rPr>
        <w:t>3</w:t>
      </w:r>
      <w:r w:rsidR="00D845DD">
        <w:rPr>
          <w:szCs w:val="22"/>
        </w:rPr>
        <w:t> </w:t>
      </w:r>
      <w:r w:rsidR="00D845DD" w:rsidRPr="00776337">
        <w:rPr>
          <w:szCs w:val="22"/>
        </w:rPr>
        <w:t>µg</w:t>
      </w:r>
      <w:r w:rsidR="00D845DD" w:rsidRPr="006D3555">
        <w:rPr>
          <w:szCs w:val="22"/>
        </w:rPr>
        <w:t>/0.3 mL</w:t>
      </w:r>
      <w:r w:rsidR="00D845DD">
        <w:rPr>
          <w:szCs w:val="22"/>
        </w:rPr>
        <w:t>,</w:t>
      </w:r>
      <w:r w:rsidR="00D845DD" w:rsidRPr="006D3555">
        <w:rPr>
          <w:szCs w:val="22"/>
        </w:rPr>
        <w:t xml:space="preserve"> 3 </w:t>
      </w:r>
      <w:r w:rsidR="00D845DD" w:rsidRPr="00776337">
        <w:rPr>
          <w:szCs w:val="22"/>
        </w:rPr>
        <w:t>µg</w:t>
      </w:r>
      <w:r w:rsidR="00D845DD" w:rsidRPr="006D3555">
        <w:rPr>
          <w:szCs w:val="22"/>
        </w:rPr>
        <w:t>/0.2 mL</w:t>
      </w:r>
      <w:r w:rsidR="00D845DD">
        <w:rPr>
          <w:szCs w:val="22"/>
        </w:rPr>
        <w:t xml:space="preserve">, </w:t>
      </w:r>
      <w:r w:rsidR="00D845DD" w:rsidRPr="00776337">
        <w:rPr>
          <w:szCs w:val="22"/>
        </w:rPr>
        <w:t>10 µg</w:t>
      </w:r>
      <w:r w:rsidR="00D845DD">
        <w:rPr>
          <w:szCs w:val="22"/>
        </w:rPr>
        <w:t xml:space="preserve">/0.3 mL, </w:t>
      </w:r>
      <w:r w:rsidR="00D845DD" w:rsidRPr="00CA13A9">
        <w:rPr>
          <w:szCs w:val="22"/>
        </w:rPr>
        <w:t xml:space="preserve">10 </w:t>
      </w:r>
      <w:r w:rsidR="00D845DD" w:rsidRPr="00776337">
        <w:rPr>
          <w:szCs w:val="22"/>
        </w:rPr>
        <w:t>µg</w:t>
      </w:r>
      <w:r w:rsidR="00D845DD" w:rsidRPr="00CA13A9">
        <w:rPr>
          <w:szCs w:val="22"/>
        </w:rPr>
        <w:t>/0.2 mL</w:t>
      </w:r>
      <w:r w:rsidR="00D845DD">
        <w:rPr>
          <w:szCs w:val="22"/>
        </w:rPr>
        <w:t xml:space="preserve">, and </w:t>
      </w:r>
      <w:r w:rsidR="00D845DD" w:rsidRPr="00776337">
        <w:rPr>
          <w:szCs w:val="22"/>
        </w:rPr>
        <w:t>30</w:t>
      </w:r>
      <w:r w:rsidR="00D845DD">
        <w:rPr>
          <w:szCs w:val="22"/>
        </w:rPr>
        <w:t> </w:t>
      </w:r>
      <w:r w:rsidR="00D845DD" w:rsidRPr="00776337">
        <w:rPr>
          <w:szCs w:val="22"/>
        </w:rPr>
        <w:t>µg</w:t>
      </w:r>
      <w:r w:rsidR="00D845DD">
        <w:rPr>
          <w:szCs w:val="22"/>
        </w:rPr>
        <w:t>/0.3 mL</w:t>
      </w:r>
      <w:r w:rsidR="00E17DEF">
        <w:rPr>
          <w:szCs w:val="22"/>
        </w:rPr>
        <w:t>,</w:t>
      </w:r>
      <w:r w:rsidRPr="00DF1365">
        <w:t xml:space="preserve"> suspension for injection, single dose vial and multidose vial, indicated for:</w:t>
      </w:r>
    </w:p>
    <w:p w14:paraId="71156E4F" w14:textId="74835854" w:rsidR="00D55595" w:rsidRPr="00D55595" w:rsidRDefault="00D55595" w:rsidP="00D55595">
      <w:pPr>
        <w:ind w:left="720"/>
        <w:rPr>
          <w:i/>
          <w:iCs/>
          <w:szCs w:val="22"/>
        </w:rPr>
      </w:pPr>
      <w:r w:rsidRPr="00D55595">
        <w:rPr>
          <w:i/>
          <w:iCs/>
          <w:szCs w:val="22"/>
        </w:rPr>
        <w:t>Active immunisation to prevent coronavirus disease 2019 (COVID-19) caused by SARS</w:t>
      </w:r>
      <w:r w:rsidR="00DF1365">
        <w:rPr>
          <w:i/>
          <w:iCs/>
          <w:szCs w:val="22"/>
        </w:rPr>
        <w:noBreakHyphen/>
      </w:r>
      <w:r w:rsidRPr="00D55595">
        <w:rPr>
          <w:i/>
          <w:iCs/>
          <w:szCs w:val="22"/>
        </w:rPr>
        <w:t>CoV</w:t>
      </w:r>
      <w:r w:rsidR="00DF1365">
        <w:rPr>
          <w:i/>
          <w:iCs/>
          <w:szCs w:val="22"/>
        </w:rPr>
        <w:noBreakHyphen/>
      </w:r>
      <w:r w:rsidRPr="00D55595">
        <w:rPr>
          <w:i/>
          <w:iCs/>
          <w:szCs w:val="22"/>
        </w:rPr>
        <w:t xml:space="preserve">2, in individuals </w:t>
      </w:r>
      <w:r w:rsidR="00F37941">
        <w:rPr>
          <w:i/>
          <w:iCs/>
          <w:szCs w:val="22"/>
        </w:rPr>
        <w:t>6 months</w:t>
      </w:r>
      <w:r w:rsidRPr="00D55595">
        <w:rPr>
          <w:i/>
          <w:iCs/>
          <w:szCs w:val="22"/>
        </w:rPr>
        <w:t xml:space="preserve"> of age and older.</w:t>
      </w:r>
    </w:p>
    <w:p w14:paraId="1C9C5C74" w14:textId="5E35B659" w:rsidR="00064B9A" w:rsidRPr="00064B9A" w:rsidRDefault="00D55595" w:rsidP="00D55595">
      <w:pPr>
        <w:ind w:left="720"/>
        <w:rPr>
          <w:szCs w:val="22"/>
        </w:rPr>
      </w:pPr>
      <w:r w:rsidRPr="00D55595">
        <w:rPr>
          <w:i/>
          <w:iCs/>
          <w:szCs w:val="22"/>
        </w:rPr>
        <w:t>The use of this vaccine should be in accordance with official recommendations.</w:t>
      </w:r>
    </w:p>
    <w:p w14:paraId="7A53F21E" w14:textId="3239D2E5" w:rsidR="00854D98" w:rsidRDefault="00854D98" w:rsidP="00064B9A">
      <w:pPr>
        <w:pStyle w:val="Heading3"/>
      </w:pPr>
      <w:bookmarkStart w:id="96" w:name="_Toc103679301"/>
      <w:bookmarkStart w:id="97" w:name="_Toc158382404"/>
      <w:r w:rsidRPr="00D23139">
        <w:t>Specific conditions of registration applying to these goods</w:t>
      </w:r>
      <w:bookmarkEnd w:id="96"/>
      <w:bookmarkEnd w:id="97"/>
    </w:p>
    <w:p w14:paraId="4DD41B77" w14:textId="77777777" w:rsidR="00064B9A" w:rsidRPr="00FE0876" w:rsidRDefault="00064B9A" w:rsidP="00064B9A">
      <w:pPr>
        <w:pStyle w:val="ListBullet"/>
      </w:pPr>
      <w:r w:rsidRPr="00FE0876">
        <w:t>Comirnaty Omicron XBB.1.5 (raxtozinameran) is to be included in the Black Triangle Scheme. The PI and CMI for Comirnaty Omicron XBB.1.5 must include the black triangle symbol and mandatory accompanying text for five years, which starts from the date that the sponsor notifies the TGA of supply of the products.</w:t>
      </w:r>
    </w:p>
    <w:p w14:paraId="32BD6F33" w14:textId="44EBED3C" w:rsidR="00064B9A" w:rsidRPr="00FE0876" w:rsidRDefault="00064B9A" w:rsidP="00064B9A">
      <w:pPr>
        <w:pStyle w:val="ListBullet"/>
      </w:pPr>
      <w:r w:rsidRPr="00FE0876">
        <w:t xml:space="preserve">Batch </w:t>
      </w:r>
      <w:r w:rsidR="00C4036C" w:rsidRPr="00FE0876">
        <w:t>release testing and compliance</w:t>
      </w:r>
    </w:p>
    <w:p w14:paraId="01F377F7" w14:textId="7CB8D6A1" w:rsidR="00E63812" w:rsidRDefault="00064B9A" w:rsidP="00064B9A">
      <w:pPr>
        <w:pStyle w:val="ListBullet"/>
        <w:numPr>
          <w:ilvl w:val="0"/>
          <w:numId w:val="0"/>
        </w:numPr>
        <w:ind w:left="360"/>
        <w:rPr>
          <w:rFonts w:cs="Cambria"/>
          <w:color w:val="000000"/>
          <w:szCs w:val="22"/>
        </w:rPr>
      </w:pPr>
      <w:r w:rsidRPr="00FE0876">
        <w:rPr>
          <w:rFonts w:cs="Cambria"/>
          <w:color w:val="000000"/>
          <w:szCs w:val="22"/>
        </w:rPr>
        <w:t>It is a condition of registration that all independent batches of</w:t>
      </w:r>
    </w:p>
    <w:p w14:paraId="08E06EB9" w14:textId="5A0EE4FC" w:rsidR="00664A24" w:rsidRPr="008A7EDC" w:rsidRDefault="00064B9A" w:rsidP="00C51B28">
      <w:pPr>
        <w:pStyle w:val="ListBullet2"/>
      </w:pPr>
      <w:r w:rsidRPr="008A7EDC">
        <w:t xml:space="preserve">Comirnaty Omicron XBB.1.5 (raxtozinameran) COVID-19 </w:t>
      </w:r>
      <w:r w:rsidR="008A7EDC" w:rsidRPr="008A7EDC">
        <w:t xml:space="preserve">vaccine </w:t>
      </w:r>
      <w:r w:rsidRPr="008A7EDC">
        <w:t xml:space="preserve">30 </w:t>
      </w:r>
      <w:r w:rsidR="002C0DB3" w:rsidRPr="00C51B28">
        <w:t>µg</w:t>
      </w:r>
      <w:r w:rsidRPr="008A7EDC">
        <w:t>/0.3 mL suspension for injection multi-dose vial [AUST R 419330]</w:t>
      </w:r>
    </w:p>
    <w:p w14:paraId="1FEBEF31" w14:textId="11A597FC" w:rsidR="00664A24" w:rsidRPr="008A7EDC" w:rsidRDefault="00064B9A" w:rsidP="00C51B28">
      <w:pPr>
        <w:pStyle w:val="ListBullet2"/>
      </w:pPr>
      <w:r w:rsidRPr="008A7EDC">
        <w:t xml:space="preserve">Comirnaty Omicron XBB.1.5 (raxtozinameran) COVID-19 </w:t>
      </w:r>
      <w:r w:rsidR="008A7EDC" w:rsidRPr="008A7EDC">
        <w:t xml:space="preserve">vaccine </w:t>
      </w:r>
      <w:r w:rsidRPr="008A7EDC">
        <w:t xml:space="preserve">10 </w:t>
      </w:r>
      <w:r w:rsidR="002C0DB3" w:rsidRPr="00C51B28">
        <w:t>µg</w:t>
      </w:r>
      <w:r w:rsidRPr="008A7EDC">
        <w:t>/0.3 mL suspension for injection single-dose vial [AUSTR R 419371]</w:t>
      </w:r>
    </w:p>
    <w:p w14:paraId="621142C5" w14:textId="7A2DA753" w:rsidR="00664A24" w:rsidRPr="008A7EDC" w:rsidRDefault="008A7EDC" w:rsidP="00C51B28">
      <w:pPr>
        <w:pStyle w:val="ListBullet2"/>
      </w:pPr>
      <w:r w:rsidRPr="008A7EDC">
        <w:t xml:space="preserve">Comirnaty </w:t>
      </w:r>
      <w:r w:rsidR="00664A24" w:rsidRPr="008A7EDC">
        <w:t xml:space="preserve">Omicron XBB.1.5 (raxtozinameran) COVID-19 </w:t>
      </w:r>
      <w:r w:rsidRPr="008A7EDC">
        <w:t xml:space="preserve">vaccine </w:t>
      </w:r>
      <w:r w:rsidR="00664A24" w:rsidRPr="008A7EDC">
        <w:t xml:space="preserve">30 </w:t>
      </w:r>
      <w:r w:rsidRPr="000B7FE4">
        <w:t>µg</w:t>
      </w:r>
      <w:r w:rsidR="00664A24" w:rsidRPr="008A7EDC">
        <w:t>/0.3 mL suspension for injection vial [AUSTR R 419370]</w:t>
      </w:r>
    </w:p>
    <w:p w14:paraId="4F56B74F" w14:textId="5F68975B" w:rsidR="00664A24" w:rsidRPr="008A7EDC" w:rsidRDefault="008A7EDC" w:rsidP="00C51B28">
      <w:pPr>
        <w:pStyle w:val="ListBullet2"/>
      </w:pPr>
      <w:r w:rsidRPr="008A7EDC">
        <w:t xml:space="preserve">Comirnaty </w:t>
      </w:r>
      <w:r w:rsidR="00664A24" w:rsidRPr="008A7EDC">
        <w:t xml:space="preserve">Omicron XBB.1.5 (raxtozinameran) COVID-19 </w:t>
      </w:r>
      <w:r w:rsidRPr="008A7EDC">
        <w:t xml:space="preserve">vaccine </w:t>
      </w:r>
      <w:r w:rsidR="00664A24" w:rsidRPr="008A7EDC">
        <w:t xml:space="preserve">10 </w:t>
      </w:r>
      <w:r w:rsidRPr="000B7FE4">
        <w:t>µg</w:t>
      </w:r>
      <w:r w:rsidR="00664A24" w:rsidRPr="008A7EDC">
        <w:t>/0.2 mL concentrated suspension for injection multidose vial [AUSTR R 419331]</w:t>
      </w:r>
    </w:p>
    <w:p w14:paraId="79F564D0" w14:textId="0D2A3067" w:rsidR="008A7EDC" w:rsidRPr="008A7EDC" w:rsidRDefault="008A7EDC" w:rsidP="00C51B28">
      <w:pPr>
        <w:pStyle w:val="ListBullet2"/>
      </w:pPr>
      <w:r w:rsidRPr="008A7EDC">
        <w:t>Comirnaty Omicron XBB.1.5 (raxtozinameran) COVID-19 vaccine</w:t>
      </w:r>
      <w:r>
        <w:t xml:space="preserve"> </w:t>
      </w:r>
      <w:r w:rsidRPr="008A7EDC">
        <w:t xml:space="preserve">10 </w:t>
      </w:r>
      <w:r w:rsidRPr="000B7FE4">
        <w:t>µg</w:t>
      </w:r>
      <w:r w:rsidRPr="008A7EDC">
        <w:t>/0.3 mL suspension for injection multidose vial</w:t>
      </w:r>
      <w:r>
        <w:t xml:space="preserve"> </w:t>
      </w:r>
      <w:r w:rsidRPr="008A7EDC">
        <w:t>[AUST R 419372]</w:t>
      </w:r>
    </w:p>
    <w:p w14:paraId="50FB5A62" w14:textId="2E0396F9" w:rsidR="008A7EDC" w:rsidRPr="008A7EDC" w:rsidRDefault="008A7EDC" w:rsidP="00C51B28">
      <w:pPr>
        <w:pStyle w:val="ListBullet2"/>
      </w:pPr>
      <w:r w:rsidRPr="008A7EDC">
        <w:t>Comirnaty Omicron XBB.1.5 (raxtozinameran) COVID-19 vaccine</w:t>
      </w:r>
      <w:r>
        <w:t xml:space="preserve"> </w:t>
      </w:r>
      <w:r w:rsidRPr="008A7EDC">
        <w:t xml:space="preserve">3 </w:t>
      </w:r>
      <w:r w:rsidRPr="000B7FE4">
        <w:t>µg</w:t>
      </w:r>
      <w:r w:rsidRPr="008A7EDC">
        <w:t>/0.2 mL concentrated suspension for injection multidose vial</w:t>
      </w:r>
      <w:r>
        <w:t xml:space="preserve"> </w:t>
      </w:r>
      <w:r w:rsidRPr="008A7EDC">
        <w:t>[AUSTR R 419332]</w:t>
      </w:r>
    </w:p>
    <w:p w14:paraId="527CE331" w14:textId="3AFFA07D" w:rsidR="008A7EDC" w:rsidRPr="008A7EDC" w:rsidRDefault="008A7EDC" w:rsidP="00C51B28">
      <w:pPr>
        <w:pStyle w:val="ListBullet2"/>
      </w:pPr>
      <w:r w:rsidRPr="008A7EDC">
        <w:t>Comirnaty Omicron XBB.1.5 (raxtozinameran) COVID-19 vaccine</w:t>
      </w:r>
      <w:r>
        <w:t xml:space="preserve"> </w:t>
      </w:r>
      <w:r w:rsidRPr="008A7EDC">
        <w:t>3 micrograms/0.3 mL concentrated suspension for injection multidose vial</w:t>
      </w:r>
      <w:r>
        <w:t xml:space="preserve"> </w:t>
      </w:r>
      <w:r w:rsidRPr="008A7EDC">
        <w:t>[AUSTR R 428610]</w:t>
      </w:r>
    </w:p>
    <w:p w14:paraId="420ED0BC" w14:textId="59CCC69A" w:rsidR="00064B9A" w:rsidRPr="00FE0876" w:rsidRDefault="00064B9A" w:rsidP="00064B9A">
      <w:pPr>
        <w:pStyle w:val="ListBullet"/>
        <w:numPr>
          <w:ilvl w:val="0"/>
          <w:numId w:val="0"/>
        </w:numPr>
        <w:ind w:left="360"/>
        <w:rPr>
          <w:rFonts w:cs="Cambria"/>
          <w:color w:val="000000"/>
          <w:szCs w:val="22"/>
        </w:rPr>
      </w:pPr>
      <w:r w:rsidRPr="00FE0876">
        <w:rPr>
          <w:rFonts w:cs="Cambria"/>
          <w:color w:val="000000"/>
          <w:szCs w:val="22"/>
        </w:rPr>
        <w:t>vaccine imported into Australia are not released for sale until samples and the manufacturer’s release data have been assessed and sponsor have received notification acknowledging release from the Laboratories Branch, TGA.</w:t>
      </w:r>
    </w:p>
    <w:p w14:paraId="07A40550" w14:textId="4D41B6F2" w:rsidR="00064B9A" w:rsidRPr="00FE0876" w:rsidRDefault="00064B9A" w:rsidP="00064B9A">
      <w:pPr>
        <w:pStyle w:val="ListBullet"/>
        <w:numPr>
          <w:ilvl w:val="0"/>
          <w:numId w:val="0"/>
        </w:numPr>
        <w:ind w:left="360"/>
      </w:pPr>
      <w:r w:rsidRPr="00FE0876">
        <w:rPr>
          <w:rFonts w:cs="Cambria"/>
          <w:color w:val="000000"/>
          <w:szCs w:val="22"/>
        </w:rPr>
        <w:t>For each independent batch of the product imported into Australia, the sponsor must supply the following:</w:t>
      </w:r>
    </w:p>
    <w:p w14:paraId="3A6C81EA" w14:textId="7DB72FF3" w:rsidR="00064B9A" w:rsidRPr="00FE0876" w:rsidRDefault="00064B9A" w:rsidP="00064B9A">
      <w:pPr>
        <w:pStyle w:val="ListBullet2"/>
      </w:pPr>
      <w:r w:rsidRPr="00FE0876">
        <w:t xml:space="preserve">A completed Request for Release Form, available from </w:t>
      </w:r>
      <w:r w:rsidRPr="00FE0876">
        <w:rPr>
          <w:color w:val="0000FF"/>
        </w:rPr>
        <w:t>vaccines@health.gov.au</w:t>
      </w:r>
      <w:r w:rsidRPr="00FE0876">
        <w:t>.</w:t>
      </w:r>
    </w:p>
    <w:p w14:paraId="3B166D3D" w14:textId="77777777" w:rsidR="00064B9A" w:rsidRPr="00FE0876" w:rsidRDefault="00064B9A" w:rsidP="00064B9A">
      <w:pPr>
        <w:pStyle w:val="ListBullet2"/>
      </w:pPr>
      <w:r w:rsidRPr="00FE0876">
        <w:t>Complete summary protocols for manufacture and QC, including all steps in production in the agreed format.</w:t>
      </w:r>
    </w:p>
    <w:p w14:paraId="797FD142" w14:textId="7560E769" w:rsidR="00064B9A" w:rsidRPr="00FE0876" w:rsidRDefault="00064B9A" w:rsidP="00AC05E8">
      <w:pPr>
        <w:pStyle w:val="ListBullet2"/>
      </w:pPr>
      <w:r w:rsidRPr="001C2190">
        <w:rPr>
          <w:rFonts w:cs="Cambria"/>
          <w:color w:val="000000"/>
          <w:szCs w:val="22"/>
        </w:rPr>
        <w:t xml:space="preserve">At least ten (10) vials (samples) of each manufacturing batch of </w:t>
      </w:r>
      <w:r w:rsidR="00CB3E19" w:rsidRPr="001C2190">
        <w:rPr>
          <w:rFonts w:cs="Cambria"/>
          <w:color w:val="000000"/>
          <w:szCs w:val="22"/>
        </w:rPr>
        <w:t xml:space="preserve">the above </w:t>
      </w:r>
      <w:r w:rsidR="00F107BE" w:rsidRPr="001C2190">
        <w:rPr>
          <w:rFonts w:cs="Cambria"/>
          <w:color w:val="000000"/>
          <w:szCs w:val="22"/>
        </w:rPr>
        <w:t xml:space="preserve">listed vaccines </w:t>
      </w:r>
      <w:r w:rsidRPr="001C2190">
        <w:rPr>
          <w:rFonts w:cs="Cambria"/>
          <w:color w:val="000000"/>
          <w:szCs w:val="22"/>
        </w:rPr>
        <w:t>with the Australian approved labels, PI and packaging (unless an exemption to supply these has been granted) representative of all batches of product seeking distribution in Australia.</w:t>
      </w:r>
    </w:p>
    <w:p w14:paraId="5CC83E54" w14:textId="577406B4" w:rsidR="00064B9A" w:rsidRPr="00FE0876" w:rsidRDefault="00064B9A" w:rsidP="00064B9A">
      <w:pPr>
        <w:pStyle w:val="ListBullet2"/>
      </w:pPr>
      <w:r w:rsidRPr="00FE0876">
        <w:rPr>
          <w:rFonts w:cs="Cambria"/>
          <w:color w:val="000000"/>
          <w:szCs w:val="22"/>
        </w:rPr>
        <w:t xml:space="preserve">At least five (5) vials (samples) of any further consignments of a manufacturing batch of </w:t>
      </w:r>
      <w:r w:rsidR="00AD7CA2" w:rsidRPr="00AD7CA2">
        <w:rPr>
          <w:rFonts w:cs="Cambria"/>
          <w:color w:val="000000"/>
          <w:szCs w:val="22"/>
        </w:rPr>
        <w:t>the above listed vaccines</w:t>
      </w:r>
      <w:r w:rsidRPr="00FE0876">
        <w:rPr>
          <w:rFonts w:cs="Cambria"/>
          <w:color w:val="000000"/>
          <w:szCs w:val="22"/>
        </w:rPr>
        <w:t xml:space="preserve"> with the Australian approved labels, PI and packaging (unless an exemption to supply these has been granted). Further consignments cover </w:t>
      </w:r>
      <w:r w:rsidRPr="00FE0876">
        <w:rPr>
          <w:rFonts w:cs="Cambria"/>
          <w:color w:val="000000"/>
          <w:szCs w:val="22"/>
        </w:rPr>
        <w:lastRenderedPageBreak/>
        <w:t>batches previously supplied to TGA for the purposes of batch release testing but are seeking to be supplied again.</w:t>
      </w:r>
    </w:p>
    <w:p w14:paraId="7AF9B385" w14:textId="77777777" w:rsidR="00064B9A" w:rsidRPr="00FE0876" w:rsidRDefault="00064B9A" w:rsidP="00064B9A">
      <w:pPr>
        <w:pStyle w:val="ListBullet2"/>
      </w:pPr>
      <w:r w:rsidRPr="00FE0876">
        <w:rPr>
          <w:rFonts w:cs="Cambria"/>
          <w:color w:val="000000"/>
          <w:szCs w:val="22"/>
        </w:rPr>
        <w:t>If the manufacturing batch has been released in Europe or United Kingdom a copy of the EU Official Control Authority Batch Release (OCABR) certificate (or equivalent from the UK) must be provided.</w:t>
      </w:r>
    </w:p>
    <w:p w14:paraId="7F99F9CC" w14:textId="77777777" w:rsidR="00064B9A" w:rsidRPr="00FE0876" w:rsidRDefault="00064B9A" w:rsidP="00064B9A">
      <w:pPr>
        <w:pStyle w:val="ListBullet2"/>
      </w:pPr>
      <w:r w:rsidRPr="00FE0876">
        <w:rPr>
          <w:rFonts w:cs="Cambria"/>
          <w:color w:val="000000"/>
          <w:szCs w:val="22"/>
        </w:rPr>
        <w:t>Any reagents, reference material and standards required to undertake testing, as requested by Laboratories Branch, TGA</w:t>
      </w:r>
    </w:p>
    <w:p w14:paraId="650467D9" w14:textId="2BB8864A" w:rsidR="00064B9A" w:rsidRPr="00FE0876" w:rsidRDefault="00064B9A" w:rsidP="00064B9A">
      <w:pPr>
        <w:pStyle w:val="ListBullet2"/>
        <w:numPr>
          <w:ilvl w:val="0"/>
          <w:numId w:val="0"/>
        </w:numPr>
        <w:ind w:left="850"/>
        <w:rPr>
          <w:rFonts w:cs="Cambria"/>
          <w:color w:val="000000"/>
          <w:szCs w:val="22"/>
        </w:rPr>
      </w:pPr>
      <w:r w:rsidRPr="00FE0876">
        <w:rPr>
          <w:rFonts w:cs="Cambria"/>
          <w:color w:val="000000"/>
          <w:szCs w:val="22"/>
        </w:rPr>
        <w:t>Sponsors must provide all requested samples and data in sufficient time (at least 5 business days) prior to any distribution date to allow the TGA to perform testing and review. Distribution of each batch of vaccine is conditional upon fulfilment of these conditions and receipt of a letter from the Laboratories Branch acknowledging release.</w:t>
      </w:r>
    </w:p>
    <w:p w14:paraId="50C1DB58" w14:textId="77777777" w:rsidR="00064B9A" w:rsidRPr="00FE0876" w:rsidRDefault="00064B9A" w:rsidP="00064B9A">
      <w:pPr>
        <w:pStyle w:val="ListBullet2"/>
        <w:numPr>
          <w:ilvl w:val="0"/>
          <w:numId w:val="0"/>
        </w:numPr>
        <w:ind w:left="850"/>
        <w:rPr>
          <w:rFonts w:cs="Cambria"/>
          <w:color w:val="000000"/>
          <w:szCs w:val="22"/>
        </w:rPr>
      </w:pPr>
      <w:r w:rsidRPr="00FE0876">
        <w:rPr>
          <w:rFonts w:cs="Cambria"/>
          <w:color w:val="000000"/>
          <w:szCs w:val="22"/>
        </w:rPr>
        <w:t>Samples and data should be forwarded to the Biotherapeutics Section, Laboratories Branch before release of each batch and with sufficient lead time to allow for Laboratories Branch testing.</w:t>
      </w:r>
    </w:p>
    <w:p w14:paraId="24A26313" w14:textId="1BABFFFE" w:rsidR="00064B9A" w:rsidRPr="00FE0876" w:rsidRDefault="00064B9A" w:rsidP="00064B9A">
      <w:pPr>
        <w:pStyle w:val="ListBullet2"/>
        <w:numPr>
          <w:ilvl w:val="0"/>
          <w:numId w:val="0"/>
        </w:numPr>
        <w:ind w:left="850"/>
        <w:rPr>
          <w:rFonts w:cs="Cambria"/>
          <w:color w:val="000000"/>
          <w:szCs w:val="22"/>
        </w:rPr>
      </w:pPr>
      <w:r w:rsidRPr="00FE0876">
        <w:rPr>
          <w:rFonts w:cs="Cambria"/>
          <w:color w:val="000000"/>
          <w:szCs w:val="22"/>
        </w:rPr>
        <w:t xml:space="preserve">The shipments (including reagents) to TGA are the responsibility of the Australian </w:t>
      </w:r>
      <w:r w:rsidR="004F6B2C" w:rsidRPr="00FE0876">
        <w:rPr>
          <w:rFonts w:cs="Cambria"/>
          <w:color w:val="000000"/>
          <w:szCs w:val="22"/>
        </w:rPr>
        <w:t xml:space="preserve">sponsor/agent </w:t>
      </w:r>
      <w:r w:rsidRPr="00FE0876">
        <w:rPr>
          <w:rFonts w:cs="Cambria"/>
          <w:color w:val="000000"/>
          <w:szCs w:val="22"/>
        </w:rPr>
        <w:t>who will be required to facilitate the import and customs clearance process.</w:t>
      </w:r>
    </w:p>
    <w:p w14:paraId="087D2593" w14:textId="77777777" w:rsidR="00064B9A" w:rsidRPr="00FE0876" w:rsidRDefault="00064B9A" w:rsidP="00064B9A">
      <w:pPr>
        <w:pStyle w:val="ListBullet"/>
        <w:numPr>
          <w:ilvl w:val="0"/>
          <w:numId w:val="0"/>
        </w:numPr>
        <w:ind w:left="360"/>
      </w:pPr>
      <w:r w:rsidRPr="00FE0876">
        <w:t>Certified Product Details</w:t>
      </w:r>
    </w:p>
    <w:p w14:paraId="230FF9EE" w14:textId="42C25E93" w:rsidR="00064B9A" w:rsidRPr="00FE0876" w:rsidRDefault="00064B9A" w:rsidP="00064B9A">
      <w:pPr>
        <w:pStyle w:val="ListBullet"/>
        <w:numPr>
          <w:ilvl w:val="0"/>
          <w:numId w:val="0"/>
        </w:numPr>
        <w:ind w:left="360"/>
      </w:pPr>
      <w:r w:rsidRPr="00FE0876">
        <w:t xml:space="preserve">An electronic copy of the Certified Product Details (CPD) as described in Guidance 7: Certified Product Details of the Australian Regulatory Guidelines for Prescription Medicines (ARGPM) </w:t>
      </w:r>
      <w:hyperlink r:id="rId31" w:history="1">
        <w:r w:rsidRPr="00FE0876">
          <w:rPr>
            <w:rStyle w:val="Hyperlink"/>
            <w:rFonts w:cs="Cambria"/>
            <w:szCs w:val="22"/>
          </w:rPr>
          <w:t>https://www.tga.gov.au/guidance-7-certified-product-details</w:t>
        </w:r>
      </w:hyperlink>
      <w:r w:rsidRPr="00FE0876">
        <w:rPr>
          <w:color w:val="0000FF"/>
        </w:rPr>
        <w:t xml:space="preserve"> </w:t>
      </w:r>
      <w:r w:rsidRPr="00FE0876">
        <w:t xml:space="preserve">should be provided upon registration of the therapeutic good. In addition, an updated CPD, for the above products incorporating the approved changes is to be provided within one month of the date of approval letter. A template for preparation of CPD for biological prescription medicines and Vaccines can be obtained from the TGA website </w:t>
      </w:r>
      <w:hyperlink r:id="rId32" w:history="1">
        <w:r w:rsidRPr="00FE0876">
          <w:rPr>
            <w:rStyle w:val="Hyperlink"/>
            <w:rFonts w:cs="Cambria"/>
            <w:szCs w:val="22"/>
          </w:rPr>
          <w:t>https://www.tga.gov.au/form/certified-product-details-cpd-biological-prescriptionmedicines</w:t>
        </w:r>
      </w:hyperlink>
      <w:r w:rsidRPr="00FE0876">
        <w:t xml:space="preserve">]. The CPD should be sent as a </w:t>
      </w:r>
      <w:r w:rsidRPr="00C51B28">
        <w:rPr>
          <w:rFonts w:ascii="Cambria-Bold" w:hAnsi="Cambria-Bold" w:cs="Cambria-Bold"/>
        </w:rPr>
        <w:t xml:space="preserve">single bookmarked PDF </w:t>
      </w:r>
      <w:r w:rsidRPr="00FE0876">
        <w:t xml:space="preserve">document to </w:t>
      </w:r>
      <w:r w:rsidRPr="00FE0876">
        <w:rPr>
          <w:color w:val="0000FF"/>
        </w:rPr>
        <w:t xml:space="preserve">Vaccines@health.gov.au </w:t>
      </w:r>
      <w:r w:rsidRPr="00FE0876">
        <w:t>as soon as possible after registration/approval of the product or any subsequent changes as indicated above.</w:t>
      </w:r>
    </w:p>
    <w:p w14:paraId="36F3E705" w14:textId="0AE24083" w:rsidR="00064B9A" w:rsidRPr="00FE0876" w:rsidRDefault="00064B9A" w:rsidP="00064B9A">
      <w:pPr>
        <w:pStyle w:val="ListBullet"/>
      </w:pPr>
      <w:r w:rsidRPr="00FE0876">
        <w:t>Post approval commitments</w:t>
      </w:r>
    </w:p>
    <w:p w14:paraId="662C93BB" w14:textId="67F83A85" w:rsidR="00064B9A" w:rsidRPr="00FE0876" w:rsidRDefault="00064B9A" w:rsidP="00C51B28">
      <w:pPr>
        <w:pStyle w:val="ListBullet2"/>
      </w:pPr>
      <w:r w:rsidRPr="00C51B28">
        <w:rPr>
          <w:rFonts w:ascii="Cambria-Bold" w:hAnsi="Cambria-Bold" w:cs="Cambria-Bold"/>
        </w:rPr>
        <w:t>GMP</w:t>
      </w:r>
      <w:r w:rsidR="00342D26">
        <w:rPr>
          <w:rFonts w:ascii="Cambria-Bold" w:hAnsi="Cambria-Bold" w:cs="Cambria-Bold"/>
        </w:rPr>
        <w:t xml:space="preserve"> [</w:t>
      </w:r>
      <w:r w:rsidR="00342D26" w:rsidRPr="00342D26">
        <w:rPr>
          <w:rFonts w:ascii="Cambria-Bold" w:hAnsi="Cambria-Bold" w:cs="Cambria-Bold"/>
        </w:rPr>
        <w:t>Good Manufacturing Practice</w:t>
      </w:r>
      <w:r w:rsidR="00342D26">
        <w:rPr>
          <w:rFonts w:ascii="Cambria-Bold" w:hAnsi="Cambria-Bold" w:cs="Cambria-Bold"/>
        </w:rPr>
        <w:t>]</w:t>
      </w:r>
      <w:r w:rsidRPr="00C51B28">
        <w:rPr>
          <w:rFonts w:ascii="Cambria-Bold" w:hAnsi="Cambria-Bold" w:cs="Cambria-Bold"/>
        </w:rPr>
        <w:t xml:space="preserve"> clearance for listed manufacturers: </w:t>
      </w:r>
      <w:r w:rsidRPr="00FE0876">
        <w:t xml:space="preserve">All relevant manufacturing sites require approved and current GMP </w:t>
      </w:r>
      <w:r w:rsidR="000B38A5" w:rsidRPr="00FE0876">
        <w:t>clearances</w:t>
      </w:r>
      <w:r w:rsidRPr="00FE0876">
        <w:t xml:space="preserve"> prior to Australian supply. A commitment is required from the </w:t>
      </w:r>
      <w:r w:rsidR="004F6B2C" w:rsidRPr="00FE0876">
        <w:t>sponsor</w:t>
      </w:r>
      <w:r w:rsidRPr="00FE0876">
        <w:t xml:space="preserve"> that they maintain the validity of all manufacturer GMP </w:t>
      </w:r>
      <w:r w:rsidR="000B38A5" w:rsidRPr="00FE0876">
        <w:t>clearances</w:t>
      </w:r>
      <w:r w:rsidRPr="00FE0876">
        <w:t xml:space="preserve"> for the duration of product supply to Australia. Additionally, that adherence to the conditions of GMP Clearance approval is upheld.</w:t>
      </w:r>
    </w:p>
    <w:p w14:paraId="0A1BB31A" w14:textId="3D4A8E38" w:rsidR="00064B9A" w:rsidRPr="00FE0876" w:rsidRDefault="00064B9A" w:rsidP="00C51B28">
      <w:pPr>
        <w:pStyle w:val="ListBullet2"/>
      </w:pPr>
      <w:r w:rsidRPr="00FE0876">
        <w:t>Post-approval stability protocol and stability commitment: The manufacturer has provided commitment to continue the ongoing stability studies presented in the stability studies protocol. Additionally, one (1) batch of drug product per year for all relevant products will be placed on long-term stability program and on accelerated stability testing where significant changes are made to the manufacturing process. The manufacturer has committed to communicate any out of specifications stability test results to the TGA.</w:t>
      </w:r>
    </w:p>
    <w:p w14:paraId="57C0C8F0" w14:textId="4FA9DFCD" w:rsidR="00064B9A" w:rsidRPr="00FE0876" w:rsidRDefault="00064B9A" w:rsidP="00C51B28">
      <w:pPr>
        <w:pStyle w:val="ListBullet2"/>
      </w:pPr>
      <w:r w:rsidRPr="00C51B28">
        <w:rPr>
          <w:rFonts w:ascii="Cambria-Bold" w:hAnsi="Cambria-Bold" w:cs="Cambria-Bold"/>
        </w:rPr>
        <w:t xml:space="preserve">Batch Analysis (DS and DP): </w:t>
      </w:r>
      <w:r w:rsidRPr="00FE0876">
        <w:t xml:space="preserve">Provide batch analysis data for additional DS and DP batches manufactured at the commercial scale once they become available to support batch-to-batch consistency. </w:t>
      </w:r>
      <w:r w:rsidRPr="00C51B28">
        <w:rPr>
          <w:rFonts w:ascii="Cambria-Bold" w:hAnsi="Cambria-Bold" w:cs="Cambria-Bold"/>
        </w:rPr>
        <w:t xml:space="preserve">Due date: </w:t>
      </w:r>
      <w:r w:rsidRPr="00FE0876">
        <w:t>First quarter of 2024</w:t>
      </w:r>
      <w:r w:rsidR="00991EBD">
        <w:t xml:space="preserve"> </w:t>
      </w:r>
      <w:r w:rsidR="00F75077">
        <w:t>[</w:t>
      </w:r>
      <w:bookmarkStart w:id="98" w:name="_Hlk155353131"/>
      <w:r w:rsidR="005E3FEC">
        <w:t>Stage</w:t>
      </w:r>
      <w:r w:rsidR="00F75077">
        <w:t xml:space="preserve"> </w:t>
      </w:r>
      <w:bookmarkEnd w:id="98"/>
      <w:r w:rsidR="00F75077">
        <w:t xml:space="preserve">I decision </w:t>
      </w:r>
      <w:r w:rsidR="00CC4CE6">
        <w:t xml:space="preserve">on </w:t>
      </w:r>
      <w:r w:rsidR="00F75077" w:rsidRPr="00F75077">
        <w:t>AUS</w:t>
      </w:r>
      <w:r w:rsidR="00F75077">
        <w:t>T</w:t>
      </w:r>
      <w:r w:rsidR="00F75077" w:rsidRPr="00F75077">
        <w:t xml:space="preserve"> R 419330 and 419371</w:t>
      </w:r>
      <w:r w:rsidR="00CC4CE6">
        <w:t xml:space="preserve">] and </w:t>
      </w:r>
      <w:r w:rsidR="00CC4CE6" w:rsidRPr="00CC4CE6">
        <w:t>March 2024</w:t>
      </w:r>
      <w:r w:rsidR="00CC4CE6">
        <w:t xml:space="preserve"> [</w:t>
      </w:r>
      <w:r w:rsidR="005E3FEC">
        <w:t>Stage</w:t>
      </w:r>
      <w:r w:rsidR="00CC4CE6">
        <w:t xml:space="preserve"> II decision on </w:t>
      </w:r>
      <w:r w:rsidR="00CC4CE6" w:rsidRPr="00CC4CE6">
        <w:t>AUST R 419331, 419332, 419370, 419372 and 428610</w:t>
      </w:r>
      <w:r w:rsidR="00CC4CE6">
        <w:t>].</w:t>
      </w:r>
    </w:p>
    <w:p w14:paraId="42E77AB2" w14:textId="19320F52" w:rsidR="00064B9A" w:rsidRDefault="00064B9A" w:rsidP="00091C00">
      <w:pPr>
        <w:pStyle w:val="ListBullet2"/>
      </w:pPr>
      <w:r w:rsidRPr="00C51B28">
        <w:rPr>
          <w:rFonts w:ascii="Cambria-Bold" w:hAnsi="Cambria-Bold" w:cs="Cambria-Bold"/>
        </w:rPr>
        <w:lastRenderedPageBreak/>
        <w:t xml:space="preserve">Stability (DS and DP): </w:t>
      </w:r>
      <w:r w:rsidRPr="00FE0876">
        <w:t xml:space="preserve">Provide the results from ongoing stability studies performed on Omicron XBB.1.5 DS lots when stored at -20±5°C and 5±3°C for each time point in accordance with the stability testing protocols to support the shelf-life of the DS. Provide the results from ongoing stability studies performed on XBB.1.5 </w:t>
      </w:r>
      <w:r w:rsidR="00444D43">
        <w:t>v</w:t>
      </w:r>
      <w:r w:rsidRPr="00FE0876">
        <w:t xml:space="preserve">ariant DP lots when stored at -90°C to -60°C and 5±3°C for each time point in accordance with the stability testing protocols to support the shelf-life of the DP. </w:t>
      </w:r>
      <w:r w:rsidRPr="00C51B28">
        <w:rPr>
          <w:rFonts w:ascii="Cambria-Bold" w:hAnsi="Cambria-Bold" w:cs="Cambria-Bold"/>
        </w:rPr>
        <w:t xml:space="preserve">Due date: </w:t>
      </w:r>
      <w:r w:rsidRPr="00FE0876">
        <w:t>First quarter of 2024</w:t>
      </w:r>
      <w:r w:rsidR="0068578C">
        <w:t xml:space="preserve"> [</w:t>
      </w:r>
      <w:r w:rsidR="005E3FEC">
        <w:t>Stage</w:t>
      </w:r>
      <w:r w:rsidR="0068578C">
        <w:t xml:space="preserve"> I decision on </w:t>
      </w:r>
      <w:r w:rsidR="0068578C" w:rsidRPr="00F75077">
        <w:t>AUS</w:t>
      </w:r>
      <w:r w:rsidR="0068578C">
        <w:t>T</w:t>
      </w:r>
      <w:r w:rsidR="0068578C" w:rsidRPr="00F75077">
        <w:t xml:space="preserve"> R 419330 and 419371</w:t>
      </w:r>
      <w:r w:rsidR="0068578C">
        <w:t xml:space="preserve">] and </w:t>
      </w:r>
      <w:r w:rsidR="0068578C" w:rsidRPr="00CC4CE6">
        <w:t>March 2024</w:t>
      </w:r>
      <w:r w:rsidR="0068578C">
        <w:t xml:space="preserve"> [</w:t>
      </w:r>
      <w:r w:rsidR="005E3FEC">
        <w:t>Stage</w:t>
      </w:r>
      <w:r w:rsidR="0068578C">
        <w:t xml:space="preserve"> II decision on </w:t>
      </w:r>
      <w:r w:rsidR="0068578C" w:rsidRPr="00CC4CE6">
        <w:t>AUST R 419331, 419332, 419370, 419372 and 428610</w:t>
      </w:r>
      <w:r w:rsidR="0068578C">
        <w:t>].</w:t>
      </w:r>
    </w:p>
    <w:p w14:paraId="2FA04525" w14:textId="1354CF85" w:rsidR="00261A55" w:rsidRPr="00FE0876" w:rsidRDefault="00261A55" w:rsidP="00C51B28">
      <w:pPr>
        <w:pStyle w:val="ListBullet2"/>
      </w:pPr>
      <w:r>
        <w:t>Multidose vials: Four (4) of the proposed Omicron XBB.1.5 DP presentations are multidose vials. At this stage in the pandemic, a move to single dose presentations is preferable. A period of 18 months is recommended to phase out the use of multidose vials [</w:t>
      </w:r>
      <w:r w:rsidR="005E3FEC">
        <w:t>Stage</w:t>
      </w:r>
      <w:r>
        <w:t xml:space="preserve"> II decision on </w:t>
      </w:r>
      <w:r w:rsidRPr="00CC4CE6">
        <w:t>AUST R 419331, 419332, 419370, 419372 and 428610</w:t>
      </w:r>
      <w:r>
        <w:t>].</w:t>
      </w:r>
    </w:p>
    <w:p w14:paraId="451DC3FC" w14:textId="77777777" w:rsidR="00C22214" w:rsidRDefault="00C22214" w:rsidP="00C22214">
      <w:pPr>
        <w:pStyle w:val="Heading2"/>
      </w:pPr>
      <w:bookmarkStart w:id="99" w:name="_Toc103679303"/>
      <w:bookmarkStart w:id="100" w:name="_Toc158382405"/>
      <w:r>
        <w:t>Attachment 1. Product Information</w:t>
      </w:r>
      <w:bookmarkEnd w:id="99"/>
      <w:bookmarkEnd w:id="100"/>
    </w:p>
    <w:p w14:paraId="21F47164" w14:textId="30826DCB" w:rsidR="00C22214" w:rsidRPr="00BD5DBD" w:rsidRDefault="00C22214" w:rsidP="00C22214">
      <w:pPr>
        <w:rPr>
          <w:szCs w:val="22"/>
        </w:rPr>
      </w:pPr>
      <w:r w:rsidRPr="00BD5DBD">
        <w:rPr>
          <w:szCs w:val="22"/>
        </w:rPr>
        <w:t>The PI for</w:t>
      </w:r>
      <w:r w:rsidR="00776337">
        <w:rPr>
          <w:szCs w:val="22"/>
        </w:rPr>
        <w:t xml:space="preserve"> Comirnaty Omicron XBB.1.5</w:t>
      </w:r>
      <w:r w:rsidRPr="00BD5DBD">
        <w:rPr>
          <w:szCs w:val="22"/>
        </w:rPr>
        <w:t xml:space="preserve"> approved with the submission which is described in this AusPAR is at Attachment 1. For the most recent PI, please refer to the TGA </w:t>
      </w:r>
      <w:hyperlink r:id="rId33" w:history="1">
        <w:r w:rsidRPr="00BD5DBD">
          <w:rPr>
            <w:rStyle w:val="Hyperlink"/>
            <w:szCs w:val="22"/>
          </w:rPr>
          <w:t>PI/CMI search facility.</w:t>
        </w:r>
      </w:hyperlink>
    </w:p>
    <w:p w14:paraId="40740B65" w14:textId="77777777" w:rsidR="00C22214" w:rsidRPr="008B4DA3" w:rsidRDefault="00C22214" w:rsidP="00C22214">
      <w:pPr>
        <w:autoSpaceDE w:val="0"/>
        <w:autoSpaceDN w:val="0"/>
        <w:adjustRightInd w:val="0"/>
        <w:spacing w:after="0"/>
      </w:pPr>
      <w:r w:rsidRPr="00C80137">
        <w:rPr>
          <w:b/>
        </w:rPr>
        <w:br w:type="page"/>
      </w:r>
    </w:p>
    <w:p w14:paraId="53357BF3" w14:textId="276457B5" w:rsidR="00C22214" w:rsidRDefault="00C22214" w:rsidP="00C22214">
      <w:pPr>
        <w:rPr>
          <w:lang w:eastAsia="ja-JP"/>
        </w:rPr>
        <w:sectPr w:rsidR="00C22214" w:rsidSect="007452E8">
          <w:headerReference w:type="default" r:id="rId34"/>
          <w:footerReference w:type="default" r:id="rId35"/>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3C0C07BF" w14:textId="77777777" w:rsidTr="007452E8">
        <w:trPr>
          <w:trHeight w:hRule="exact" w:val="565"/>
          <w:jc w:val="center"/>
        </w:trPr>
        <w:tc>
          <w:tcPr>
            <w:tcW w:w="9145" w:type="dxa"/>
          </w:tcPr>
          <w:bookmarkEnd w:id="3"/>
          <w:bookmarkEnd w:id="4"/>
          <w:p w14:paraId="7E090B86" w14:textId="77777777" w:rsidR="00F02AEC" w:rsidRPr="00215D48" w:rsidRDefault="00F02AEC" w:rsidP="007452E8">
            <w:pPr>
              <w:pStyle w:val="TGASignoff"/>
            </w:pPr>
            <w:r w:rsidRPr="00215D48">
              <w:lastRenderedPageBreak/>
              <w:t>Therapeutic Goods Administration</w:t>
            </w:r>
          </w:p>
        </w:tc>
      </w:tr>
      <w:tr w:rsidR="00F02AEC" w:rsidRPr="00215D48" w14:paraId="70F47EA1" w14:textId="77777777" w:rsidTr="007452E8">
        <w:trPr>
          <w:trHeight w:val="963"/>
          <w:jc w:val="center"/>
        </w:trPr>
        <w:tc>
          <w:tcPr>
            <w:tcW w:w="9145" w:type="dxa"/>
            <w:tcMar>
              <w:top w:w="28" w:type="dxa"/>
            </w:tcMar>
          </w:tcPr>
          <w:p w14:paraId="3491EBCD" w14:textId="77777777" w:rsidR="00F02AEC" w:rsidRPr="00215D48" w:rsidRDefault="00F02AEC" w:rsidP="007452E8">
            <w:pPr>
              <w:pStyle w:val="Address"/>
              <w:jc w:val="center"/>
            </w:pPr>
            <w:r w:rsidRPr="00215D48">
              <w:t>PO Box 100 Woden ACT 2606 Australia</w:t>
            </w:r>
          </w:p>
          <w:p w14:paraId="5D0FE0E7" w14:textId="71E1A0A7" w:rsidR="00F02AEC" w:rsidRDefault="00F02AEC">
            <w:pPr>
              <w:pStyle w:val="Address"/>
              <w:jc w:val="center"/>
              <w:rPr>
                <w:sz w:val="22"/>
                <w:szCs w:val="22"/>
              </w:rPr>
            </w:pPr>
            <w:r w:rsidRPr="00215D48">
              <w:t xml:space="preserve">Email: </w:t>
            </w:r>
            <w:hyperlink r:id="rId36" w:history="1">
              <w:r w:rsidRPr="00215D48">
                <w:rPr>
                  <w:rStyle w:val="Hyperlink"/>
                </w:rPr>
                <w:t>info@tga.gov.au</w:t>
              </w:r>
            </w:hyperlink>
            <w:r w:rsidRPr="00215D48">
              <w:t xml:space="preserve">  Phone: 1800 020 653  Fax: </w:t>
            </w:r>
            <w:r w:rsidRPr="00BA0DFC">
              <w:t>02 6203 1605</w:t>
            </w:r>
          </w:p>
          <w:p w14:paraId="4533D80F" w14:textId="79237673" w:rsidR="00F02AEC" w:rsidRPr="00215D48" w:rsidRDefault="008004A2">
            <w:pPr>
              <w:pStyle w:val="Address"/>
              <w:jc w:val="center"/>
              <w:rPr>
                <w:rStyle w:val="Hyperlink"/>
                <w:b/>
                <w:color w:val="auto"/>
                <w:sz w:val="22"/>
              </w:rPr>
            </w:pPr>
            <w:hyperlink r:id="rId37" w:history="1">
              <w:r w:rsidR="00F02AEC" w:rsidRPr="00C4721A">
                <w:rPr>
                  <w:rStyle w:val="Hyperlink"/>
                  <w:b/>
                </w:rPr>
                <w:t>https://www.tga.gov.au</w:t>
              </w:r>
            </w:hyperlink>
          </w:p>
        </w:tc>
      </w:tr>
      <w:tr w:rsidR="00F02AEC" w:rsidRPr="00215D48" w14:paraId="2AD74347" w14:textId="77777777" w:rsidTr="007452E8">
        <w:trPr>
          <w:trHeight w:val="251"/>
          <w:jc w:val="center"/>
        </w:trPr>
        <w:tc>
          <w:tcPr>
            <w:tcW w:w="9145" w:type="dxa"/>
            <w:tcMar>
              <w:top w:w="28" w:type="dxa"/>
            </w:tcMar>
          </w:tcPr>
          <w:p w14:paraId="6EAAD5C1" w14:textId="77777777" w:rsidR="00F02AEC" w:rsidRPr="00215D48" w:rsidRDefault="00F02AEC" w:rsidP="007452E8">
            <w:pPr>
              <w:pStyle w:val="Address"/>
              <w:jc w:val="center"/>
            </w:pPr>
            <w:r w:rsidRPr="00215D48">
              <w:t>Reference/Publication #</w:t>
            </w:r>
          </w:p>
        </w:tc>
      </w:tr>
    </w:tbl>
    <w:p w14:paraId="788B80FD" w14:textId="77777777" w:rsidR="007452E8" w:rsidRDefault="007452E8"/>
    <w:sectPr w:rsidR="007452E8" w:rsidSect="007452E8">
      <w:headerReference w:type="first" r:id="rId38"/>
      <w:footerReference w:type="first" r:id="rId39"/>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BE445" w14:textId="77777777" w:rsidR="00863363" w:rsidRDefault="00863363" w:rsidP="00F02AEC">
      <w:pPr>
        <w:spacing w:after="0" w:line="240" w:lineRule="auto"/>
      </w:pPr>
      <w:r>
        <w:separator/>
      </w:r>
    </w:p>
  </w:endnote>
  <w:endnote w:type="continuationSeparator" w:id="0">
    <w:p w14:paraId="671D3ED4" w14:textId="77777777" w:rsidR="00863363" w:rsidRDefault="00863363"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mbria-Bol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452E8" w:rsidRPr="00257138" w14:paraId="162D69C2" w14:textId="77777777" w:rsidTr="007452E8">
      <w:trPr>
        <w:trHeight w:val="423"/>
      </w:trPr>
      <w:tc>
        <w:tcPr>
          <w:tcW w:w="4360" w:type="dxa"/>
          <w:tcBorders>
            <w:top w:val="single" w:sz="4" w:space="0" w:color="auto"/>
          </w:tcBorders>
        </w:tcPr>
        <w:p w14:paraId="32E1B782" w14:textId="77777777" w:rsidR="007452E8" w:rsidRDefault="007452E8" w:rsidP="007452E8">
          <w:pPr>
            <w:pStyle w:val="Footer"/>
          </w:pPr>
        </w:p>
        <w:p w14:paraId="1849C07C" w14:textId="77777777" w:rsidR="007452E8" w:rsidRPr="00257138" w:rsidRDefault="007452E8" w:rsidP="007452E8">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06A08BF" w14:textId="77777777" w:rsidR="007452E8" w:rsidRDefault="007452E8" w:rsidP="007452E8">
              <w:pPr>
                <w:pStyle w:val="Footer"/>
                <w:jc w:val="right"/>
              </w:pPr>
            </w:p>
            <w:p w14:paraId="5EDE6DF6" w14:textId="77777777" w:rsidR="007452E8" w:rsidRPr="00257138" w:rsidRDefault="007452E8" w:rsidP="007452E8">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NUMPAGES</w:instrText>
              </w:r>
              <w:r>
                <w:fldChar w:fldCharType="separate"/>
              </w:r>
              <w:r>
                <w:rPr>
                  <w:noProof/>
                </w:rPr>
                <w:t>2</w:t>
              </w:r>
              <w:r>
                <w:fldChar w:fldCharType="end"/>
              </w:r>
            </w:p>
          </w:sdtContent>
        </w:sdt>
      </w:tc>
    </w:tr>
    <w:tr w:rsidR="007452E8" w:rsidRPr="00257138" w14:paraId="280F09C8" w14:textId="77777777" w:rsidTr="007452E8">
      <w:trPr>
        <w:trHeight w:val="263"/>
      </w:trPr>
      <w:tc>
        <w:tcPr>
          <w:tcW w:w="4360" w:type="dxa"/>
        </w:tcPr>
        <w:p w14:paraId="673F06D3" w14:textId="77777777" w:rsidR="007452E8" w:rsidRPr="00257138" w:rsidRDefault="007452E8" w:rsidP="007452E8">
          <w:pPr>
            <w:pStyle w:val="Footer"/>
          </w:pPr>
          <w:r w:rsidRPr="00257138">
            <w:t xml:space="preserve">V1.0 </w:t>
          </w:r>
          <w:r>
            <w:t>Month</w:t>
          </w:r>
          <w:r w:rsidRPr="00257138">
            <w:t xml:space="preserve"> 201</w:t>
          </w:r>
          <w:r>
            <w:t>2</w:t>
          </w:r>
        </w:p>
      </w:tc>
      <w:tc>
        <w:tcPr>
          <w:tcW w:w="4360" w:type="dxa"/>
        </w:tcPr>
        <w:p w14:paraId="77F5B433" w14:textId="77777777" w:rsidR="007452E8" w:rsidRPr="00257138" w:rsidRDefault="007452E8" w:rsidP="007452E8">
          <w:pPr>
            <w:pStyle w:val="Footer"/>
            <w:jc w:val="right"/>
          </w:pPr>
        </w:p>
      </w:tc>
    </w:tr>
  </w:tbl>
  <w:p w14:paraId="63F6FDDE" w14:textId="77777777" w:rsidR="007452E8" w:rsidRPr="00826007" w:rsidRDefault="007452E8" w:rsidP="007452E8">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A29C" w14:textId="77777777" w:rsidR="007452E8" w:rsidRDefault="007452E8" w:rsidP="007452E8">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938"/>
      <w:gridCol w:w="1134"/>
    </w:tblGrid>
    <w:tr w:rsidR="007452E8" w:rsidRPr="004A3084" w14:paraId="6266BC33" w14:textId="77777777" w:rsidTr="008004A2">
      <w:trPr>
        <w:trHeight w:val="423"/>
      </w:trPr>
      <w:tc>
        <w:tcPr>
          <w:tcW w:w="7938" w:type="dxa"/>
          <w:tcBorders>
            <w:top w:val="single" w:sz="4" w:space="0" w:color="auto"/>
          </w:tcBorders>
        </w:tcPr>
        <w:p w14:paraId="57139727" w14:textId="7AD0494F" w:rsidR="004E4980" w:rsidRDefault="007452E8" w:rsidP="007452E8">
          <w:pPr>
            <w:pStyle w:val="Footer"/>
          </w:pPr>
          <w:r w:rsidRPr="00487162">
            <w:t>AusPA</w:t>
          </w:r>
          <w:r>
            <w:t xml:space="preserve">R </w:t>
          </w:r>
          <w:r w:rsidR="004E4980">
            <w:t>–</w:t>
          </w:r>
          <w:r>
            <w:t xml:space="preserve"> </w:t>
          </w:r>
          <w:r w:rsidR="004E4980">
            <w:t>Comirnaty Omicron XBB.1.5</w:t>
          </w:r>
          <w:r>
            <w:t xml:space="preserve"> -</w:t>
          </w:r>
          <w:r w:rsidRPr="00460036">
            <w:t xml:space="preserve"> </w:t>
          </w:r>
          <w:r w:rsidR="004E4980">
            <w:t>raxtozinameran</w:t>
          </w:r>
          <w:r w:rsidRPr="00460036">
            <w:t xml:space="preserve"> </w:t>
          </w:r>
          <w:r w:rsidR="008C754C">
            <w:t>-</w:t>
          </w:r>
          <w:r>
            <w:t xml:space="preserve"> </w:t>
          </w:r>
          <w:r w:rsidR="004E4980">
            <w:t>Pfizer Australia</w:t>
          </w:r>
          <w:r w:rsidR="004E4980" w:rsidRPr="00ED6F9D">
            <w:t xml:space="preserve"> Pty Ltd</w:t>
          </w:r>
          <w:r>
            <w:t xml:space="preserve"> - </w:t>
          </w:r>
          <w:r w:rsidR="004E4980" w:rsidRPr="004E4980">
            <w:t>PM-2023-03730-1-2</w:t>
          </w:r>
        </w:p>
        <w:p w14:paraId="3C421323" w14:textId="3576C4B2" w:rsidR="007452E8" w:rsidRPr="004A3084" w:rsidRDefault="008004A2" w:rsidP="007452E8">
          <w:pPr>
            <w:pStyle w:val="Footer"/>
          </w:pPr>
          <w:r>
            <w:t xml:space="preserve">Final 9 </w:t>
          </w:r>
          <w:r w:rsidR="0043149B">
            <w:t>February</w:t>
          </w:r>
          <w:r>
            <w:t xml:space="preserve"> </w:t>
          </w:r>
          <w:r w:rsidR="006463E2">
            <w:t>2024</w:t>
          </w:r>
        </w:p>
      </w:tc>
      <w:tc>
        <w:tcPr>
          <w:tcW w:w="1134" w:type="dxa"/>
          <w:tcBorders>
            <w:top w:val="single" w:sz="4" w:space="0" w:color="auto"/>
          </w:tcBorders>
        </w:tcPr>
        <w:sdt>
          <w:sdtPr>
            <w:id w:val="11571659"/>
            <w:docPartObj>
              <w:docPartGallery w:val="Page Numbers (Top of Page)"/>
              <w:docPartUnique/>
            </w:docPartObj>
          </w:sdtPr>
          <w:sdtEndPr/>
          <w:sdtContent>
            <w:p w14:paraId="4DE4ED0C" w14:textId="29F65FFD" w:rsidR="007452E8" w:rsidRPr="004A3084" w:rsidRDefault="007452E8" w:rsidP="007452E8">
              <w:pPr>
                <w:pStyle w:val="Footer"/>
                <w:jc w:val="right"/>
              </w:pPr>
              <w:r w:rsidRPr="004A3084">
                <w:t xml:space="preserve">Page </w:t>
              </w:r>
              <w:r>
                <w:fldChar w:fldCharType="begin"/>
              </w:r>
              <w:r>
                <w:instrText xml:space="preserve"> PAGE </w:instrText>
              </w:r>
              <w:r>
                <w:fldChar w:fldCharType="separate"/>
              </w:r>
              <w:r w:rsidR="006D6B44">
                <w:rPr>
                  <w:noProof/>
                </w:rPr>
                <w:t>13</w:t>
              </w:r>
              <w:r>
                <w:rPr>
                  <w:noProof/>
                </w:rPr>
                <w:fldChar w:fldCharType="end"/>
              </w:r>
              <w:r w:rsidRPr="004A3084">
                <w:t xml:space="preserve"> of </w:t>
              </w:r>
              <w:r>
                <w:fldChar w:fldCharType="begin"/>
              </w:r>
              <w:r>
                <w:instrText>NUMPAGES</w:instrText>
              </w:r>
              <w:r>
                <w:fldChar w:fldCharType="separate"/>
              </w:r>
              <w:r w:rsidR="006D6B44">
                <w:rPr>
                  <w:noProof/>
                </w:rPr>
                <w:t>17</w:t>
              </w:r>
              <w:r>
                <w:fldChar w:fldCharType="end"/>
              </w:r>
            </w:p>
          </w:sdtContent>
        </w:sdt>
      </w:tc>
    </w:tr>
  </w:tbl>
  <w:p w14:paraId="1A4EDE60" w14:textId="77777777" w:rsidR="007452E8" w:rsidRPr="00826007" w:rsidRDefault="007452E8" w:rsidP="007452E8">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F70A" w14:textId="77777777" w:rsidR="007452E8" w:rsidRPr="008E3C43" w:rsidRDefault="007452E8" w:rsidP="0074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6146C" w14:textId="77777777" w:rsidR="00863363" w:rsidRDefault="00863363" w:rsidP="00F02AEC">
      <w:pPr>
        <w:spacing w:after="0" w:line="240" w:lineRule="auto"/>
      </w:pPr>
      <w:r>
        <w:separator/>
      </w:r>
    </w:p>
  </w:footnote>
  <w:footnote w:type="continuationSeparator" w:id="0">
    <w:p w14:paraId="3B73970C" w14:textId="77777777" w:rsidR="00863363" w:rsidRDefault="00863363" w:rsidP="00F02AEC">
      <w:pPr>
        <w:spacing w:after="0" w:line="240" w:lineRule="auto"/>
      </w:pPr>
      <w:r>
        <w:continuationSeparator/>
      </w:r>
    </w:p>
  </w:footnote>
  <w:footnote w:id="1">
    <w:p w14:paraId="68402A9B" w14:textId="39FF9EE5" w:rsidR="007452E8" w:rsidRPr="00A93DC6" w:rsidRDefault="007452E8">
      <w:pPr>
        <w:pStyle w:val="FootnoteText"/>
        <w:rPr>
          <w:lang w:val="en-GB"/>
        </w:rPr>
      </w:pPr>
      <w:r>
        <w:rPr>
          <w:rStyle w:val="FootnoteReference"/>
        </w:rPr>
        <w:footnoteRef/>
      </w:r>
      <w:r>
        <w:t xml:space="preserve"> </w:t>
      </w:r>
      <w:r w:rsidR="00FB236E">
        <w:t xml:space="preserve">This is the original </w:t>
      </w:r>
      <w:r w:rsidR="000C52A3">
        <w:t>dose regime</w:t>
      </w:r>
      <w:r w:rsidR="00FB236E">
        <w:t xml:space="preserve"> proposed by the sponsor</w:t>
      </w:r>
      <w:r w:rsidR="00FB236E">
        <w:rPr>
          <w:lang w:val="en-GB"/>
        </w:rPr>
        <w:t xml:space="preserve"> when the TGA commenced the evaluation of this submission. It </w:t>
      </w:r>
      <w:r w:rsidRPr="007452E8">
        <w:rPr>
          <w:lang w:val="en-GB"/>
        </w:rPr>
        <w:t xml:space="preserve">may </w:t>
      </w:r>
      <w:r w:rsidR="00FB236E">
        <w:rPr>
          <w:lang w:val="en-GB"/>
        </w:rPr>
        <w:t>differ</w:t>
      </w:r>
      <w:r w:rsidRPr="007452E8">
        <w:rPr>
          <w:lang w:val="en-GB"/>
        </w:rPr>
        <w:t xml:space="preserve"> to the final indication approved by th</w:t>
      </w:r>
      <w:r w:rsidR="00FB236E">
        <w:rPr>
          <w:lang w:val="en-GB"/>
        </w:rPr>
        <w:t>e TGA.</w:t>
      </w:r>
    </w:p>
  </w:footnote>
  <w:footnote w:id="2">
    <w:p w14:paraId="1B9D3796" w14:textId="2F5EDE64" w:rsidR="006331A0" w:rsidRDefault="006331A0">
      <w:pPr>
        <w:pStyle w:val="FootnoteText"/>
      </w:pPr>
      <w:r>
        <w:rPr>
          <w:rStyle w:val="FootnoteReference"/>
        </w:rPr>
        <w:footnoteRef/>
      </w:r>
      <w:r>
        <w:t xml:space="preserve"> Sponsor clarification: Sponsor </w:t>
      </w:r>
      <w:r w:rsidRPr="006331A0">
        <w:t>submitted quality data for all six presentations proposed with the initial submission.</w:t>
      </w:r>
    </w:p>
  </w:footnote>
  <w:footnote w:id="3">
    <w:p w14:paraId="2B39D9B6" w14:textId="2F008735" w:rsidR="00263103" w:rsidRDefault="00263103">
      <w:pPr>
        <w:pStyle w:val="FootnoteText"/>
      </w:pPr>
      <w:r>
        <w:rPr>
          <w:rStyle w:val="FootnoteReference"/>
        </w:rPr>
        <w:footnoteRef/>
      </w:r>
      <w:r>
        <w:t xml:space="preserve"> </w:t>
      </w:r>
      <w:r w:rsidR="00E3652E" w:rsidRPr="00E3652E">
        <w:t xml:space="preserve">American Medical Association (AMA) </w:t>
      </w:r>
      <w:r w:rsidR="00F91CC5" w:rsidRPr="00F91CC5">
        <w:t xml:space="preserve">XBB.1.5 Omicron </w:t>
      </w:r>
      <w:r w:rsidR="00E3652E" w:rsidRPr="00F91CC5">
        <w:t>Subvariant</w:t>
      </w:r>
      <w:r w:rsidR="00F91CC5" w:rsidRPr="00F91CC5">
        <w:t xml:space="preserve">: Questions </w:t>
      </w:r>
      <w:r w:rsidR="00E3652E" w:rsidRPr="00F91CC5">
        <w:t>Patients May Have</w:t>
      </w:r>
      <w:r w:rsidR="00F91CC5">
        <w:t xml:space="preserve">, </w:t>
      </w:r>
      <w:r w:rsidR="00F91CC5" w:rsidRPr="00F91CC5">
        <w:t>2</w:t>
      </w:r>
      <w:r w:rsidR="00F91CC5">
        <w:t xml:space="preserve"> February</w:t>
      </w:r>
      <w:r w:rsidR="00F91CC5" w:rsidRPr="00F91CC5">
        <w:t xml:space="preserve"> 2023</w:t>
      </w:r>
      <w:r w:rsidR="00F91CC5">
        <w:t xml:space="preserve">. Available at: </w:t>
      </w:r>
      <w:hyperlink r:id="rId1" w:history="1">
        <w:r w:rsidR="00F91CC5" w:rsidRPr="00180BA4">
          <w:rPr>
            <w:rStyle w:val="Hyperlink"/>
          </w:rPr>
          <w:t>https://www.ama-assn.org/delivering-care/public-health/xbb15-omicron-subvariant-questions-patients-may-have</w:t>
        </w:r>
      </w:hyperlink>
      <w:r w:rsidR="00F91CC5">
        <w:t>.</w:t>
      </w:r>
    </w:p>
  </w:footnote>
  <w:footnote w:id="4">
    <w:p w14:paraId="10BE1C9C" w14:textId="43F4827A" w:rsidR="0053712B" w:rsidRDefault="0053712B">
      <w:pPr>
        <w:pStyle w:val="FootnoteText"/>
      </w:pPr>
      <w:r>
        <w:rPr>
          <w:rStyle w:val="FootnoteReference"/>
        </w:rPr>
        <w:footnoteRef/>
      </w:r>
      <w:r>
        <w:t xml:space="preserve"> AusPAR for Comirnaty transition of provisional registration to full registration</w:t>
      </w:r>
      <w:r w:rsidR="00860248">
        <w:t>. A</w:t>
      </w:r>
      <w:r>
        <w:t xml:space="preserve">vailable at </w:t>
      </w:r>
      <w:hyperlink r:id="rId2" w:history="1">
        <w:r w:rsidRPr="00E64EEC">
          <w:rPr>
            <w:rStyle w:val="Hyperlink"/>
          </w:rPr>
          <w:t>https://www.tga.gov.au/resources/auspar/auspar-comirnaty-covid-19-vaccine</w:t>
        </w:r>
      </w:hyperlink>
      <w:r>
        <w:t xml:space="preserve"> </w:t>
      </w:r>
    </w:p>
  </w:footnote>
  <w:footnote w:id="5">
    <w:p w14:paraId="212E25EA" w14:textId="3917671E" w:rsidR="00860248" w:rsidRDefault="00860248">
      <w:pPr>
        <w:pStyle w:val="FootnoteText"/>
      </w:pPr>
      <w:r>
        <w:rPr>
          <w:rStyle w:val="FootnoteReference"/>
        </w:rPr>
        <w:footnoteRef/>
      </w:r>
      <w:r>
        <w:t xml:space="preserve"> </w:t>
      </w:r>
      <w:r w:rsidRPr="00860248">
        <w:t>In this report the ‘Delegate’ is the Delegate of the Secretary of the Department of Health and Aged Care who decided the submission under section 25 of the Act.</w:t>
      </w:r>
    </w:p>
  </w:footnote>
  <w:footnote w:id="6">
    <w:p w14:paraId="1434E31F" w14:textId="4221768F" w:rsidR="00B33A6A" w:rsidRDefault="00B33A6A">
      <w:pPr>
        <w:pStyle w:val="FootnoteText"/>
      </w:pPr>
      <w:r>
        <w:rPr>
          <w:rStyle w:val="FootnoteReference"/>
        </w:rPr>
        <w:footnoteRef/>
      </w:r>
      <w:r>
        <w:t xml:space="preserve"> ARTG entry for Comirnaty (tozinameran) COVID-19 </w:t>
      </w:r>
      <w:r w:rsidR="00860248">
        <w:t>v</w:t>
      </w:r>
      <w:r>
        <w:t>accine 30 µg/0.3</w:t>
      </w:r>
      <w:r w:rsidR="00860248">
        <w:t xml:space="preserve"> </w:t>
      </w:r>
      <w:r>
        <w:t>mL suspension for injection vial</w:t>
      </w:r>
      <w:r w:rsidR="00860248">
        <w:t>. A</w:t>
      </w:r>
      <w:r>
        <w:t>vailable at</w:t>
      </w:r>
      <w:r w:rsidR="00860248">
        <w:t>:</w:t>
      </w:r>
      <w:r>
        <w:t xml:space="preserve"> </w:t>
      </w:r>
      <w:hyperlink r:id="rId3" w:history="1">
        <w:r w:rsidRPr="00DC3EBC">
          <w:rPr>
            <w:rStyle w:val="Hyperlink"/>
          </w:rPr>
          <w:t>https://www.tga.gov.au/resources/artg/377110</w:t>
        </w:r>
      </w:hyperlink>
      <w:r w:rsidR="00860248">
        <w:t>.</w:t>
      </w:r>
    </w:p>
  </w:footnote>
  <w:footnote w:id="7">
    <w:p w14:paraId="39F4017C" w14:textId="757190FF" w:rsidR="00D00C21" w:rsidRDefault="00D00C21">
      <w:pPr>
        <w:pStyle w:val="FootnoteText"/>
      </w:pPr>
      <w:r>
        <w:rPr>
          <w:rStyle w:val="FootnoteReference"/>
        </w:rPr>
        <w:footnoteRef/>
      </w:r>
      <w:r>
        <w:t xml:space="preserve"> </w:t>
      </w:r>
      <w:r w:rsidRPr="00D00C21">
        <w:t>Good Manufacturing Practice (GMP) is a code of standards that describes a set of principles and procedures that when followed helps ensure that therapeutic goods are of high quality.</w:t>
      </w:r>
    </w:p>
  </w:footnote>
  <w:footnote w:id="8">
    <w:p w14:paraId="58589E16" w14:textId="37E5A40C" w:rsidR="00FB3F9F" w:rsidRDefault="00FB3F9F">
      <w:pPr>
        <w:pStyle w:val="FootnoteText"/>
      </w:pPr>
      <w:r>
        <w:rPr>
          <w:rStyle w:val="FootnoteReference"/>
        </w:rPr>
        <w:footnoteRef/>
      </w:r>
      <w:r>
        <w:t xml:space="preserve"> AusPAR for original Comirnaty application</w:t>
      </w:r>
      <w:r w:rsidR="00860248">
        <w:t>. A</w:t>
      </w:r>
      <w:r>
        <w:t>vailable at</w:t>
      </w:r>
      <w:r w:rsidR="00860248">
        <w:t>:</w:t>
      </w:r>
      <w:r>
        <w:t xml:space="preserve"> </w:t>
      </w:r>
      <w:hyperlink r:id="rId4" w:history="1">
        <w:r w:rsidRPr="002E78F1">
          <w:rPr>
            <w:rStyle w:val="Hyperlink"/>
          </w:rPr>
          <w:t>https://www.tga.gov.au/resources/auspar/auspar-bnt162b2-mrna-comirnaty</w:t>
        </w:r>
      </w:hyperlink>
      <w:r w:rsidR="00860248">
        <w:t>.</w:t>
      </w:r>
    </w:p>
  </w:footnote>
  <w:footnote w:id="9">
    <w:p w14:paraId="391828D2" w14:textId="2D8F8321" w:rsidR="00ED240A" w:rsidRDefault="00ED240A">
      <w:pPr>
        <w:pStyle w:val="FootnoteText"/>
      </w:pPr>
      <w:r>
        <w:rPr>
          <w:rStyle w:val="FootnoteReference"/>
        </w:rPr>
        <w:footnoteRef/>
      </w:r>
      <w:r>
        <w:t xml:space="preserve"> </w:t>
      </w:r>
      <w:r w:rsidR="00503253">
        <w:t>Therapeutic Goods Administration (</w:t>
      </w:r>
      <w:r>
        <w:t>TGA</w:t>
      </w:r>
      <w:r w:rsidR="00503253">
        <w:t>)</w:t>
      </w:r>
      <w:r w:rsidR="00C819BD" w:rsidRPr="00C819BD">
        <w:t xml:space="preserve"> COVID-19 Vaccine Strain Updates</w:t>
      </w:r>
      <w:r w:rsidR="00C819BD">
        <w:t xml:space="preserve">, last updated on </w:t>
      </w:r>
      <w:r w:rsidR="00C819BD" w:rsidRPr="00C819BD">
        <w:t>6 September 2023</w:t>
      </w:r>
      <w:r w:rsidR="00C819BD">
        <w:t xml:space="preserve">. </w:t>
      </w:r>
      <w:r w:rsidR="00860248">
        <w:t>A</w:t>
      </w:r>
      <w:r>
        <w:t xml:space="preserve">vailable at </w:t>
      </w:r>
      <w:hyperlink r:id="rId5" w:history="1">
        <w:r w:rsidRPr="00ED240A">
          <w:rPr>
            <w:rStyle w:val="Hyperlink"/>
          </w:rPr>
          <w:t>https://www.tga.gov.au/resources/resource/guidance/covid-19-vaccine-strain-updates</w:t>
        </w:r>
      </w:hyperlink>
      <w:r w:rsidR="00C819BD">
        <w:rPr>
          <w:rStyle w:val="Hyperlink"/>
        </w:rPr>
        <w:t>.</w:t>
      </w:r>
    </w:p>
  </w:footnote>
  <w:footnote w:id="10">
    <w:p w14:paraId="2BD9D0D0" w14:textId="50F7759A" w:rsidR="00ED240A" w:rsidRDefault="00ED240A" w:rsidP="00ED240A">
      <w:pPr>
        <w:pStyle w:val="FootnoteText"/>
      </w:pPr>
      <w:r>
        <w:rPr>
          <w:rStyle w:val="FootnoteReference"/>
        </w:rPr>
        <w:footnoteRef/>
      </w:r>
      <w:r>
        <w:t xml:space="preserve"> </w:t>
      </w:r>
      <w:r w:rsidR="005801E9">
        <w:t xml:space="preserve">Department of Health and Aged Care, </w:t>
      </w:r>
      <w:r w:rsidR="005801E9" w:rsidRPr="005801E9">
        <w:t>COVID-19 Reporting</w:t>
      </w:r>
      <w:r w:rsidR="005801E9">
        <w:t xml:space="preserve">. Available at: </w:t>
      </w:r>
      <w:hyperlink r:id="rId6" w:history="1">
        <w:r w:rsidR="005801E9" w:rsidRPr="005801E9">
          <w:rPr>
            <w:rStyle w:val="Hyperlink"/>
          </w:rPr>
          <w:t>https://www.health.gov.au/health-alerts/covid-19/weekly-reporting</w:t>
        </w:r>
      </w:hyperlink>
      <w:r w:rsidR="005801E9">
        <w:t>.</w:t>
      </w:r>
    </w:p>
  </w:footnote>
  <w:footnote w:id="11">
    <w:p w14:paraId="5E2C8F55" w14:textId="3E511B38" w:rsidR="00ED240A" w:rsidRDefault="00ED240A" w:rsidP="00ED240A">
      <w:pPr>
        <w:pStyle w:val="FootnoteText"/>
      </w:pPr>
      <w:r>
        <w:rPr>
          <w:rStyle w:val="FootnoteReference"/>
        </w:rPr>
        <w:footnoteRef/>
      </w:r>
      <w:r>
        <w:t xml:space="preserve"> </w:t>
      </w:r>
      <w:r w:rsidR="00E51ACD">
        <w:t>Center for Disease Control and Prevention</w:t>
      </w:r>
      <w:r w:rsidR="001959BE">
        <w:t xml:space="preserve"> (CDC)</w:t>
      </w:r>
      <w:r w:rsidR="00E51ACD">
        <w:t xml:space="preserve"> </w:t>
      </w:r>
      <w:r w:rsidR="00E51ACD" w:rsidRPr="00E51ACD">
        <w:t>Early Estimates of Bivalent mRNA Booster Dose Vaccine Effectiveness in Preventing Symptomatic SARS-CoV-2 Infection Attributable to Omicron BA.5</w:t>
      </w:r>
      <w:r w:rsidR="001959BE">
        <w:t xml:space="preserve"> -</w:t>
      </w:r>
      <w:r w:rsidR="00E51ACD" w:rsidRPr="00E51ACD">
        <w:t xml:space="preserve"> and XBB/XBB.1.5</w:t>
      </w:r>
      <w:r w:rsidR="001959BE">
        <w:t>-</w:t>
      </w:r>
      <w:r w:rsidR="00E51ACD" w:rsidRPr="00E51ACD">
        <w:t xml:space="preserve">Related </w:t>
      </w:r>
      <w:r w:rsidR="00E51ACD" w:rsidRPr="00E51ACD">
        <w:t xml:space="preserve">Sublineages Among Immunocompetent Adults </w:t>
      </w:r>
      <w:r w:rsidR="001959BE">
        <w:t>-</w:t>
      </w:r>
      <w:r w:rsidR="00E51ACD" w:rsidRPr="00E51ACD">
        <w:t xml:space="preserve"> Increasing Community Access to Testing Program, United States, December 2022</w:t>
      </w:r>
      <w:r w:rsidR="001959BE">
        <w:t>-</w:t>
      </w:r>
      <w:r w:rsidR="00E51ACD" w:rsidRPr="00E51ACD">
        <w:t>January 2023</w:t>
      </w:r>
      <w:r w:rsidR="001959BE">
        <w:t xml:space="preserve">, </w:t>
      </w:r>
      <w:r w:rsidR="002F5106" w:rsidRPr="00C51B28">
        <w:rPr>
          <w:i/>
          <w:iCs/>
        </w:rPr>
        <w:t>MMWR</w:t>
      </w:r>
      <w:r w:rsidR="002F5106">
        <w:t xml:space="preserve">, </w:t>
      </w:r>
      <w:r w:rsidR="002F5106" w:rsidRPr="002F5106">
        <w:t>2023</w:t>
      </w:r>
      <w:r w:rsidR="002F5106">
        <w:t xml:space="preserve">; </w:t>
      </w:r>
      <w:r w:rsidR="002F5106" w:rsidRPr="002F5106">
        <w:t>72(5)</w:t>
      </w:r>
      <w:r w:rsidR="002F5106">
        <w:t>:</w:t>
      </w:r>
      <w:r w:rsidR="001A4363">
        <w:t xml:space="preserve"> </w:t>
      </w:r>
      <w:r w:rsidR="002F5106" w:rsidRPr="002F5106">
        <w:t>119</w:t>
      </w:r>
      <w:r w:rsidR="002F5106">
        <w:t>-</w:t>
      </w:r>
      <w:r w:rsidR="002F5106" w:rsidRPr="002F5106">
        <w:t>124</w:t>
      </w:r>
      <w:r w:rsidR="002F5106">
        <w:t>. Av</w:t>
      </w:r>
      <w:r w:rsidR="00DC49DE">
        <w:t xml:space="preserve">ailable at: </w:t>
      </w:r>
      <w:hyperlink r:id="rId7" w:history="1">
        <w:r w:rsidR="00E51ACD" w:rsidRPr="00E51ACD">
          <w:rPr>
            <w:rStyle w:val="Hyperlink"/>
          </w:rPr>
          <w:t>http://dx.doi.org/10.15585/mmwr.mm7205e1</w:t>
        </w:r>
      </w:hyperlink>
      <w:r w:rsidR="00DC49DE">
        <w:t>.</w:t>
      </w:r>
    </w:p>
  </w:footnote>
  <w:footnote w:id="12">
    <w:p w14:paraId="6E838C90" w14:textId="45003278" w:rsidR="00ED240A" w:rsidRDefault="00ED240A" w:rsidP="00ED240A">
      <w:pPr>
        <w:pStyle w:val="FootnoteText"/>
      </w:pPr>
      <w:r>
        <w:rPr>
          <w:rStyle w:val="FootnoteReference"/>
        </w:rPr>
        <w:footnoteRef/>
      </w:r>
      <w:r>
        <w:t xml:space="preserve"> </w:t>
      </w:r>
      <w:r w:rsidR="00DC49DE">
        <w:t xml:space="preserve">Center for Disease Control and Prevention (CDC) </w:t>
      </w:r>
      <w:r w:rsidR="009A0BC0" w:rsidRPr="009A0BC0">
        <w:t>Estimates of Bivalent mRNA Vaccine Durability in Preventing COVID-19</w:t>
      </w:r>
      <w:r w:rsidR="009A0BC0">
        <w:t>-</w:t>
      </w:r>
      <w:r w:rsidR="009A0BC0" w:rsidRPr="009A0BC0">
        <w:t xml:space="preserve">Associated Hospitalization and Critical Illness Among Adults with and Without Immunocompromising Conditions </w:t>
      </w:r>
      <w:r w:rsidR="009A0BC0">
        <w:t>-</w:t>
      </w:r>
      <w:r w:rsidR="009A0BC0" w:rsidRPr="009A0BC0">
        <w:t xml:space="preserve"> VISION Network, September 2022</w:t>
      </w:r>
      <w:r w:rsidR="009A0BC0">
        <w:t>-</w:t>
      </w:r>
      <w:r w:rsidR="009A0BC0" w:rsidRPr="009A0BC0">
        <w:t>April 2023</w:t>
      </w:r>
      <w:r w:rsidR="009A0BC0">
        <w:t xml:space="preserve">, </w:t>
      </w:r>
      <w:r w:rsidR="009A0BC0" w:rsidRPr="00C85BF8">
        <w:rPr>
          <w:i/>
          <w:iCs/>
        </w:rPr>
        <w:t>MMWR</w:t>
      </w:r>
      <w:r w:rsidR="009A0BC0">
        <w:t xml:space="preserve">, </w:t>
      </w:r>
      <w:r w:rsidR="009A0BC0" w:rsidRPr="002F5106">
        <w:t>2023</w:t>
      </w:r>
      <w:r w:rsidR="009A0BC0">
        <w:t xml:space="preserve">; </w:t>
      </w:r>
      <w:r w:rsidR="001A4363" w:rsidRPr="001A4363">
        <w:t>72(21)</w:t>
      </w:r>
      <w:r w:rsidR="001A4363">
        <w:t xml:space="preserve">: </w:t>
      </w:r>
      <w:r w:rsidR="001A4363" w:rsidRPr="001A4363">
        <w:t>579</w:t>
      </w:r>
      <w:r w:rsidR="001A4363">
        <w:t>-</w:t>
      </w:r>
      <w:r w:rsidR="001A4363" w:rsidRPr="001A4363">
        <w:t>588</w:t>
      </w:r>
      <w:r w:rsidR="001A4363">
        <w:t xml:space="preserve">. Available at: </w:t>
      </w:r>
      <w:hyperlink r:id="rId8" w:history="1">
        <w:r w:rsidR="009A0BC0" w:rsidRPr="009A0BC0">
          <w:rPr>
            <w:rStyle w:val="Hyperlink"/>
          </w:rPr>
          <w:t>http://dx.doi.org/10.15585/mmwr.mm7221a3</w:t>
        </w:r>
      </w:hyperlink>
      <w:r w:rsidR="001A4363">
        <w:t>.</w:t>
      </w:r>
    </w:p>
  </w:footnote>
  <w:footnote w:id="13">
    <w:p w14:paraId="47B4649A" w14:textId="59B4DDDE" w:rsidR="00ED240A" w:rsidRDefault="00ED240A" w:rsidP="00ED240A">
      <w:pPr>
        <w:pStyle w:val="FootnoteText"/>
      </w:pPr>
      <w:r>
        <w:rPr>
          <w:rStyle w:val="FootnoteReference"/>
        </w:rPr>
        <w:footnoteRef/>
      </w:r>
      <w:r>
        <w:t xml:space="preserve"> </w:t>
      </w:r>
      <w:r w:rsidRPr="009076D7">
        <w:t xml:space="preserve">Khoury DS, </w:t>
      </w:r>
      <w:r>
        <w:t>et al</w:t>
      </w:r>
      <w:r w:rsidRPr="009076D7">
        <w:t xml:space="preserve">. Predicting the </w:t>
      </w:r>
      <w:r w:rsidR="001A4363" w:rsidRPr="009076D7">
        <w:t xml:space="preserve">Efficacy of Variant-Modified </w:t>
      </w:r>
      <w:r w:rsidRPr="009076D7">
        <w:t xml:space="preserve">COVID-19 </w:t>
      </w:r>
      <w:r w:rsidR="001A4363" w:rsidRPr="009076D7">
        <w:t>Vaccine Boosters</w:t>
      </w:r>
      <w:r w:rsidR="001A4363">
        <w:t>,</w:t>
      </w:r>
      <w:r w:rsidRPr="009076D7">
        <w:t xml:space="preserve"> </w:t>
      </w:r>
      <w:r w:rsidRPr="00ED240A">
        <w:rPr>
          <w:i/>
          <w:iCs/>
        </w:rPr>
        <w:t>Nature Medicine</w:t>
      </w:r>
      <w:r w:rsidR="001A4363">
        <w:rPr>
          <w:i/>
          <w:iCs/>
        </w:rPr>
        <w:t>,</w:t>
      </w:r>
      <w:r w:rsidRPr="009076D7">
        <w:t xml:space="preserve"> 2023;</w:t>
      </w:r>
      <w:r w:rsidR="001A4363">
        <w:t xml:space="preserve"> </w:t>
      </w:r>
      <w:r w:rsidRPr="009076D7">
        <w:t>29(3):</w:t>
      </w:r>
      <w:r w:rsidR="001A4363">
        <w:t xml:space="preserve"> </w:t>
      </w:r>
      <w:r w:rsidRPr="009076D7">
        <w:t>574-</w:t>
      </w:r>
      <w:r w:rsidR="001A4363">
        <w:t>57</w:t>
      </w:r>
      <w:r w:rsidRPr="009076D7">
        <w:t>8.</w:t>
      </w:r>
      <w:r w:rsidR="00C64E88" w:rsidRPr="00C64E88">
        <w:t xml:space="preserve"> </w:t>
      </w:r>
      <w:r w:rsidR="00C64E88" w:rsidRPr="00C64E88">
        <w:t>doi: 10.1038/s41591-023-02228-4.</w:t>
      </w:r>
    </w:p>
  </w:footnote>
  <w:footnote w:id="14">
    <w:p w14:paraId="7D2AF784" w14:textId="30AF27D8" w:rsidR="00E117F7" w:rsidRDefault="00E117F7">
      <w:pPr>
        <w:pStyle w:val="FootnoteText"/>
      </w:pPr>
      <w:r>
        <w:rPr>
          <w:rStyle w:val="FootnoteReference"/>
        </w:rPr>
        <w:footnoteRef/>
      </w:r>
      <w:r>
        <w:t xml:space="preserve"> </w:t>
      </w:r>
      <w:r>
        <w:rPr>
          <w:sz w:val="20"/>
        </w:rPr>
        <w:t>See EMA statement published 30 May 2023. Global regulators agree on way forward to adapt COVID-19 vaccines to emerging variants | European Medicines Agency (europa.eu)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3517" w14:textId="77777777" w:rsidR="007452E8" w:rsidRPr="00CB0550" w:rsidRDefault="007452E8"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452E8" w:rsidRPr="002B29B2" w14:paraId="3E15C3BC" w14:textId="77777777" w:rsidTr="007452E8">
      <w:trPr>
        <w:trHeight w:hRule="exact" w:val="8845"/>
      </w:trPr>
      <w:tc>
        <w:tcPr>
          <w:tcW w:w="11964" w:type="dxa"/>
          <w:vAlign w:val="center"/>
        </w:tcPr>
        <w:p w14:paraId="6FDE4BFB" w14:textId="77777777" w:rsidR="007452E8" w:rsidRPr="002B29B2" w:rsidRDefault="008004A2" w:rsidP="007452E8">
          <w:pPr>
            <w:ind w:left="-57"/>
            <w:rPr>
              <w:noProof/>
            </w:rPr>
          </w:pPr>
          <w:sdt>
            <w:sdtPr>
              <w:rPr>
                <w:noProof/>
              </w:rPr>
              <w:id w:val="1926993388"/>
              <w:showingPlcHdr/>
              <w:picture/>
            </w:sdtPr>
            <w:sdtEndPr/>
            <w:sdtContent>
              <w:r w:rsidR="007452E8" w:rsidRPr="00F71E1E">
                <w:rPr>
                  <w:noProof/>
                  <w:lang w:val="en-GB" w:eastAsia="en-GB"/>
                </w:rPr>
                <w:drawing>
                  <wp:inline distT="0" distB="0" distL="0" distR="0" wp14:anchorId="5C7F8AC9" wp14:editId="23FC1BBE">
                    <wp:extent cx="7631430" cy="5523865"/>
                    <wp:effectExtent l="0" t="0" r="762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402DE55" w14:textId="77777777" w:rsidR="007452E8" w:rsidRDefault="007452E8" w:rsidP="007452E8">
    <w:pPr>
      <w:rPr>
        <w:noProof/>
      </w:rPr>
    </w:pPr>
    <w:r>
      <w:rPr>
        <w:noProof/>
        <w:lang w:val="en-GB" w:eastAsia="en-GB"/>
      </w:rPr>
      <w:drawing>
        <wp:anchor distT="0" distB="0" distL="114300" distR="114300" simplePos="0" relativeHeight="251661312" behindDoc="0" locked="0" layoutInCell="1" allowOverlap="1" wp14:anchorId="19C10218" wp14:editId="1C7A23CB">
          <wp:simplePos x="0" y="0"/>
          <wp:positionH relativeFrom="column">
            <wp:posOffset>-400050</wp:posOffset>
          </wp:positionH>
          <wp:positionV relativeFrom="paragraph">
            <wp:posOffset>-116205</wp:posOffset>
          </wp:positionV>
          <wp:extent cx="2676525" cy="621665"/>
          <wp:effectExtent l="0" t="0" r="9525" b="6985"/>
          <wp:wrapTopAndBottom/>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B29B2">
      <w:rPr>
        <w:noProof/>
        <w:lang w:val="en-GB" w:eastAsia="en-GB"/>
      </w:rPr>
      <w:drawing>
        <wp:anchor distT="0" distB="0" distL="114300" distR="114300" simplePos="0" relativeHeight="251660288" behindDoc="0" locked="0" layoutInCell="0" allowOverlap="1" wp14:anchorId="14BBEAC1" wp14:editId="0829B6F3">
          <wp:simplePos x="0" y="0"/>
          <wp:positionH relativeFrom="page">
            <wp:align>left</wp:align>
          </wp:positionH>
          <wp:positionV relativeFrom="page">
            <wp:posOffset>3239495</wp:posOffset>
          </wp:positionV>
          <wp:extent cx="7663815" cy="4323091"/>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632D" w14:textId="77777777" w:rsidR="007452E8" w:rsidRDefault="007452E8" w:rsidP="007452E8">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477B" w14:textId="77777777" w:rsidR="007452E8" w:rsidRPr="00FE501F" w:rsidRDefault="007452E8" w:rsidP="007452E8">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20C4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D4D2A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3B449E"/>
    <w:multiLevelType w:val="hybridMultilevel"/>
    <w:tmpl w:val="08144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1466054"/>
    <w:multiLevelType w:val="hybridMultilevel"/>
    <w:tmpl w:val="9AB23472"/>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5" w15:restartNumberingAfterBreak="0">
    <w:nsid w:val="155E60FD"/>
    <w:multiLevelType w:val="hybridMultilevel"/>
    <w:tmpl w:val="0F98A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168F13E9"/>
    <w:multiLevelType w:val="multilevel"/>
    <w:tmpl w:val="520883D8"/>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38666C64"/>
    <w:multiLevelType w:val="multilevel"/>
    <w:tmpl w:val="26EA4E64"/>
    <w:lvl w:ilvl="0">
      <w:start w:val="1"/>
      <w:numFmt w:val="decimal"/>
      <w:lvlText w:val="%1."/>
      <w:lvlJc w:val="left"/>
      <w:pPr>
        <w:ind w:left="502" w:hanging="360"/>
      </w:pPr>
      <w:rPr>
        <w:rFonts w:asciiTheme="majorHAnsi" w:hAnsiTheme="majorHAnsi" w:cstheme="majorHAnsi" w:hint="default"/>
        <w:b/>
        <w:bCs/>
        <w:sz w:val="26"/>
        <w:szCs w:val="26"/>
      </w:rPr>
    </w:lvl>
    <w:lvl w:ilvl="1">
      <w:start w:val="1"/>
      <w:numFmt w:val="decimal"/>
      <w:isLgl/>
      <w:lvlText w:val="%1.%2."/>
      <w:lvlJc w:val="left"/>
      <w:pPr>
        <w:ind w:left="720" w:hanging="720"/>
      </w:pPr>
      <w:rPr>
        <w:rFonts w:hint="default"/>
        <w:b/>
        <w:strike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BC70C93"/>
    <w:multiLevelType w:val="hybridMultilevel"/>
    <w:tmpl w:val="AE80D3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A72363"/>
    <w:multiLevelType w:val="hybridMultilevel"/>
    <w:tmpl w:val="B05EB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151B0F"/>
    <w:multiLevelType w:val="hybridMultilevel"/>
    <w:tmpl w:val="6A3CE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4"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D9D01BB"/>
    <w:multiLevelType w:val="hybridMultilevel"/>
    <w:tmpl w:val="A4EA128E"/>
    <w:lvl w:ilvl="0" w:tplc="E4BA58A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02149113">
    <w:abstractNumId w:val="7"/>
  </w:num>
  <w:num w:numId="2" w16cid:durableId="2094819226">
    <w:abstractNumId w:val="3"/>
  </w:num>
  <w:num w:numId="3" w16cid:durableId="151530360">
    <w:abstractNumId w:val="6"/>
  </w:num>
  <w:num w:numId="4" w16cid:durableId="1128209143">
    <w:abstractNumId w:val="14"/>
  </w:num>
  <w:num w:numId="5" w16cid:durableId="713425149">
    <w:abstractNumId w:val="8"/>
  </w:num>
  <w:num w:numId="6" w16cid:durableId="772826149">
    <w:abstractNumId w:val="13"/>
  </w:num>
  <w:num w:numId="7" w16cid:durableId="1567183740">
    <w:abstractNumId w:val="3"/>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16cid:durableId="857279344">
    <w:abstractNumId w:val="15"/>
  </w:num>
  <w:num w:numId="9" w16cid:durableId="813258332">
    <w:abstractNumId w:val="9"/>
  </w:num>
  <w:num w:numId="10" w16cid:durableId="1833450557">
    <w:abstractNumId w:val="10"/>
  </w:num>
  <w:num w:numId="11" w16cid:durableId="1273200551">
    <w:abstractNumId w:val="1"/>
  </w:num>
  <w:num w:numId="12" w16cid:durableId="1929343453">
    <w:abstractNumId w:val="0"/>
  </w:num>
  <w:num w:numId="13" w16cid:durableId="13501823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1575535">
    <w:abstractNumId w:val="2"/>
  </w:num>
  <w:num w:numId="15" w16cid:durableId="794062033">
    <w:abstractNumId w:val="5"/>
  </w:num>
  <w:num w:numId="16" w16cid:durableId="1288439388">
    <w:abstractNumId w:val="4"/>
  </w:num>
  <w:num w:numId="17" w16cid:durableId="539901824">
    <w:abstractNumId w:val="12"/>
  </w:num>
  <w:num w:numId="18" w16cid:durableId="15790547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0326A"/>
    <w:rsid w:val="00004A11"/>
    <w:rsid w:val="00011474"/>
    <w:rsid w:val="000136A5"/>
    <w:rsid w:val="000175C9"/>
    <w:rsid w:val="00023C75"/>
    <w:rsid w:val="000341A4"/>
    <w:rsid w:val="00034300"/>
    <w:rsid w:val="000418BB"/>
    <w:rsid w:val="00050309"/>
    <w:rsid w:val="00064B9A"/>
    <w:rsid w:val="00073816"/>
    <w:rsid w:val="00077844"/>
    <w:rsid w:val="000850CC"/>
    <w:rsid w:val="00091C00"/>
    <w:rsid w:val="00094B81"/>
    <w:rsid w:val="000975AA"/>
    <w:rsid w:val="000A1861"/>
    <w:rsid w:val="000B38A5"/>
    <w:rsid w:val="000C52A3"/>
    <w:rsid w:val="000D7934"/>
    <w:rsid w:val="000E0139"/>
    <w:rsid w:val="000F39C4"/>
    <w:rsid w:val="00101FB1"/>
    <w:rsid w:val="00117C3C"/>
    <w:rsid w:val="00121B7B"/>
    <w:rsid w:val="0012473C"/>
    <w:rsid w:val="00126515"/>
    <w:rsid w:val="0013132F"/>
    <w:rsid w:val="0013528C"/>
    <w:rsid w:val="0014257C"/>
    <w:rsid w:val="00145907"/>
    <w:rsid w:val="00165C0F"/>
    <w:rsid w:val="00165D28"/>
    <w:rsid w:val="00175CD8"/>
    <w:rsid w:val="00182758"/>
    <w:rsid w:val="00184301"/>
    <w:rsid w:val="00192C90"/>
    <w:rsid w:val="001959BE"/>
    <w:rsid w:val="001A4363"/>
    <w:rsid w:val="001B2F76"/>
    <w:rsid w:val="001C1C2E"/>
    <w:rsid w:val="001C2190"/>
    <w:rsid w:val="001C2528"/>
    <w:rsid w:val="001D31B5"/>
    <w:rsid w:val="001E468A"/>
    <w:rsid w:val="001F5671"/>
    <w:rsid w:val="0020369B"/>
    <w:rsid w:val="002204C0"/>
    <w:rsid w:val="00226F39"/>
    <w:rsid w:val="00241B60"/>
    <w:rsid w:val="00241BBD"/>
    <w:rsid w:val="00253F3E"/>
    <w:rsid w:val="00261A55"/>
    <w:rsid w:val="00263103"/>
    <w:rsid w:val="0026517E"/>
    <w:rsid w:val="002834EC"/>
    <w:rsid w:val="002B30E9"/>
    <w:rsid w:val="002C0DB3"/>
    <w:rsid w:val="002C5E29"/>
    <w:rsid w:val="002D7127"/>
    <w:rsid w:val="002E0716"/>
    <w:rsid w:val="002E2811"/>
    <w:rsid w:val="002F5106"/>
    <w:rsid w:val="003008D8"/>
    <w:rsid w:val="00303959"/>
    <w:rsid w:val="00312AC3"/>
    <w:rsid w:val="00314430"/>
    <w:rsid w:val="00324B33"/>
    <w:rsid w:val="00331D96"/>
    <w:rsid w:val="00342D26"/>
    <w:rsid w:val="00346EC2"/>
    <w:rsid w:val="003504E6"/>
    <w:rsid w:val="0035444D"/>
    <w:rsid w:val="003615E3"/>
    <w:rsid w:val="00381B16"/>
    <w:rsid w:val="00386B95"/>
    <w:rsid w:val="00392F76"/>
    <w:rsid w:val="00395140"/>
    <w:rsid w:val="003A20CD"/>
    <w:rsid w:val="003B149C"/>
    <w:rsid w:val="003B1DA9"/>
    <w:rsid w:val="003C1237"/>
    <w:rsid w:val="003C3D90"/>
    <w:rsid w:val="003D71A1"/>
    <w:rsid w:val="003F683E"/>
    <w:rsid w:val="0041688F"/>
    <w:rsid w:val="0042376F"/>
    <w:rsid w:val="004246B8"/>
    <w:rsid w:val="0043149B"/>
    <w:rsid w:val="00433318"/>
    <w:rsid w:val="00436A23"/>
    <w:rsid w:val="00444D43"/>
    <w:rsid w:val="00454038"/>
    <w:rsid w:val="00477C4E"/>
    <w:rsid w:val="00484930"/>
    <w:rsid w:val="00491A55"/>
    <w:rsid w:val="00491F4C"/>
    <w:rsid w:val="004B3081"/>
    <w:rsid w:val="004D2B7D"/>
    <w:rsid w:val="004E4980"/>
    <w:rsid w:val="004E629C"/>
    <w:rsid w:val="004F403F"/>
    <w:rsid w:val="004F40FC"/>
    <w:rsid w:val="004F6B2C"/>
    <w:rsid w:val="00503253"/>
    <w:rsid w:val="005034B2"/>
    <w:rsid w:val="005069C4"/>
    <w:rsid w:val="00524D9D"/>
    <w:rsid w:val="005328FF"/>
    <w:rsid w:val="00535105"/>
    <w:rsid w:val="00535DFE"/>
    <w:rsid w:val="0053712B"/>
    <w:rsid w:val="00542D5A"/>
    <w:rsid w:val="005440C3"/>
    <w:rsid w:val="00545FAF"/>
    <w:rsid w:val="005557C9"/>
    <w:rsid w:val="00561383"/>
    <w:rsid w:val="00562F42"/>
    <w:rsid w:val="00563B3B"/>
    <w:rsid w:val="0056766D"/>
    <w:rsid w:val="005801E9"/>
    <w:rsid w:val="0058575E"/>
    <w:rsid w:val="0058783C"/>
    <w:rsid w:val="005911AE"/>
    <w:rsid w:val="0059313A"/>
    <w:rsid w:val="005B023F"/>
    <w:rsid w:val="005B2CD3"/>
    <w:rsid w:val="005C3697"/>
    <w:rsid w:val="005D15BF"/>
    <w:rsid w:val="005D2089"/>
    <w:rsid w:val="005D7514"/>
    <w:rsid w:val="005E1A7B"/>
    <w:rsid w:val="005E1EE4"/>
    <w:rsid w:val="005E3FEC"/>
    <w:rsid w:val="006277A1"/>
    <w:rsid w:val="00631277"/>
    <w:rsid w:val="00632A33"/>
    <w:rsid w:val="006331A0"/>
    <w:rsid w:val="006351D9"/>
    <w:rsid w:val="00637130"/>
    <w:rsid w:val="00637F0E"/>
    <w:rsid w:val="006423F2"/>
    <w:rsid w:val="006463E2"/>
    <w:rsid w:val="00652262"/>
    <w:rsid w:val="00656271"/>
    <w:rsid w:val="00664A24"/>
    <w:rsid w:val="00665F93"/>
    <w:rsid w:val="0066660A"/>
    <w:rsid w:val="00674ECF"/>
    <w:rsid w:val="00675172"/>
    <w:rsid w:val="0068578C"/>
    <w:rsid w:val="00692CCD"/>
    <w:rsid w:val="006A1F0B"/>
    <w:rsid w:val="006A277A"/>
    <w:rsid w:val="006B1207"/>
    <w:rsid w:val="006B2CA6"/>
    <w:rsid w:val="006D3555"/>
    <w:rsid w:val="006D629B"/>
    <w:rsid w:val="006D6B44"/>
    <w:rsid w:val="006E4FCB"/>
    <w:rsid w:val="006F2894"/>
    <w:rsid w:val="006F4F51"/>
    <w:rsid w:val="006F6508"/>
    <w:rsid w:val="007072A1"/>
    <w:rsid w:val="00710BC5"/>
    <w:rsid w:val="0072003B"/>
    <w:rsid w:val="0072311A"/>
    <w:rsid w:val="007357B9"/>
    <w:rsid w:val="007452E8"/>
    <w:rsid w:val="00746990"/>
    <w:rsid w:val="00750D70"/>
    <w:rsid w:val="00756E83"/>
    <w:rsid w:val="0076314A"/>
    <w:rsid w:val="00776337"/>
    <w:rsid w:val="00784034"/>
    <w:rsid w:val="00793272"/>
    <w:rsid w:val="007A6AB2"/>
    <w:rsid w:val="007B04DE"/>
    <w:rsid w:val="007C57BC"/>
    <w:rsid w:val="007D4138"/>
    <w:rsid w:val="007E2BCA"/>
    <w:rsid w:val="007E341C"/>
    <w:rsid w:val="007F0A77"/>
    <w:rsid w:val="007F50D3"/>
    <w:rsid w:val="008004A2"/>
    <w:rsid w:val="008329DB"/>
    <w:rsid w:val="008361C5"/>
    <w:rsid w:val="0083628F"/>
    <w:rsid w:val="00837AB9"/>
    <w:rsid w:val="0084354D"/>
    <w:rsid w:val="00850637"/>
    <w:rsid w:val="00850CE3"/>
    <w:rsid w:val="00853F83"/>
    <w:rsid w:val="00854D98"/>
    <w:rsid w:val="00860248"/>
    <w:rsid w:val="00860B29"/>
    <w:rsid w:val="00863363"/>
    <w:rsid w:val="008804CF"/>
    <w:rsid w:val="008821D5"/>
    <w:rsid w:val="00884AF4"/>
    <w:rsid w:val="008952C6"/>
    <w:rsid w:val="008964B3"/>
    <w:rsid w:val="008A06BB"/>
    <w:rsid w:val="008A7EDC"/>
    <w:rsid w:val="008C49C6"/>
    <w:rsid w:val="008C754C"/>
    <w:rsid w:val="008D22FA"/>
    <w:rsid w:val="008D6A54"/>
    <w:rsid w:val="008E4386"/>
    <w:rsid w:val="008F1712"/>
    <w:rsid w:val="008F5D26"/>
    <w:rsid w:val="00903F60"/>
    <w:rsid w:val="0090605E"/>
    <w:rsid w:val="009108CE"/>
    <w:rsid w:val="00911B23"/>
    <w:rsid w:val="00915A9F"/>
    <w:rsid w:val="00930D58"/>
    <w:rsid w:val="00940A77"/>
    <w:rsid w:val="00944A89"/>
    <w:rsid w:val="009530B9"/>
    <w:rsid w:val="00966EF1"/>
    <w:rsid w:val="00972FD3"/>
    <w:rsid w:val="009767EA"/>
    <w:rsid w:val="0098350E"/>
    <w:rsid w:val="00987B5B"/>
    <w:rsid w:val="00991EBD"/>
    <w:rsid w:val="00996FA5"/>
    <w:rsid w:val="009A0BC0"/>
    <w:rsid w:val="009C1818"/>
    <w:rsid w:val="009E6F8C"/>
    <w:rsid w:val="009F6C73"/>
    <w:rsid w:val="00A01C56"/>
    <w:rsid w:val="00A1120F"/>
    <w:rsid w:val="00A1402A"/>
    <w:rsid w:val="00A31809"/>
    <w:rsid w:val="00A358E7"/>
    <w:rsid w:val="00A47FD9"/>
    <w:rsid w:val="00A51A2D"/>
    <w:rsid w:val="00A63D9B"/>
    <w:rsid w:val="00A65B5E"/>
    <w:rsid w:val="00A709FF"/>
    <w:rsid w:val="00A72880"/>
    <w:rsid w:val="00A7751B"/>
    <w:rsid w:val="00A84DCD"/>
    <w:rsid w:val="00A93DC6"/>
    <w:rsid w:val="00AB22CD"/>
    <w:rsid w:val="00AB7CBF"/>
    <w:rsid w:val="00AD6C37"/>
    <w:rsid w:val="00AD7CA2"/>
    <w:rsid w:val="00AE1947"/>
    <w:rsid w:val="00B25F80"/>
    <w:rsid w:val="00B33A6A"/>
    <w:rsid w:val="00B36CB4"/>
    <w:rsid w:val="00B404DF"/>
    <w:rsid w:val="00B46BC0"/>
    <w:rsid w:val="00B55681"/>
    <w:rsid w:val="00B678D0"/>
    <w:rsid w:val="00B77071"/>
    <w:rsid w:val="00B82C23"/>
    <w:rsid w:val="00B967FF"/>
    <w:rsid w:val="00BA5EA7"/>
    <w:rsid w:val="00BA7F7D"/>
    <w:rsid w:val="00BB1C14"/>
    <w:rsid w:val="00BB35CC"/>
    <w:rsid w:val="00BD07DF"/>
    <w:rsid w:val="00BD2880"/>
    <w:rsid w:val="00BD5DBD"/>
    <w:rsid w:val="00BD6F31"/>
    <w:rsid w:val="00BD71CD"/>
    <w:rsid w:val="00BF4638"/>
    <w:rsid w:val="00C07551"/>
    <w:rsid w:val="00C22214"/>
    <w:rsid w:val="00C25E48"/>
    <w:rsid w:val="00C3193D"/>
    <w:rsid w:val="00C36097"/>
    <w:rsid w:val="00C4036C"/>
    <w:rsid w:val="00C407AB"/>
    <w:rsid w:val="00C46CB4"/>
    <w:rsid w:val="00C51B28"/>
    <w:rsid w:val="00C570FF"/>
    <w:rsid w:val="00C64E88"/>
    <w:rsid w:val="00C6574E"/>
    <w:rsid w:val="00C734C5"/>
    <w:rsid w:val="00C816C6"/>
    <w:rsid w:val="00C819BD"/>
    <w:rsid w:val="00CA13A9"/>
    <w:rsid w:val="00CA2586"/>
    <w:rsid w:val="00CB0550"/>
    <w:rsid w:val="00CB3E19"/>
    <w:rsid w:val="00CC1FF4"/>
    <w:rsid w:val="00CC4CE6"/>
    <w:rsid w:val="00CD24CA"/>
    <w:rsid w:val="00CF6920"/>
    <w:rsid w:val="00D00C21"/>
    <w:rsid w:val="00D01DDB"/>
    <w:rsid w:val="00D02324"/>
    <w:rsid w:val="00D03BFF"/>
    <w:rsid w:val="00D078BE"/>
    <w:rsid w:val="00D1195C"/>
    <w:rsid w:val="00D13F8A"/>
    <w:rsid w:val="00D33901"/>
    <w:rsid w:val="00D55595"/>
    <w:rsid w:val="00D62877"/>
    <w:rsid w:val="00D63760"/>
    <w:rsid w:val="00D845DD"/>
    <w:rsid w:val="00D914B7"/>
    <w:rsid w:val="00D918D5"/>
    <w:rsid w:val="00D94C8E"/>
    <w:rsid w:val="00DA0AF5"/>
    <w:rsid w:val="00DA15B8"/>
    <w:rsid w:val="00DB192C"/>
    <w:rsid w:val="00DB1CF3"/>
    <w:rsid w:val="00DB3416"/>
    <w:rsid w:val="00DC3C07"/>
    <w:rsid w:val="00DC49DE"/>
    <w:rsid w:val="00DD0F4A"/>
    <w:rsid w:val="00DD1FA1"/>
    <w:rsid w:val="00DE3560"/>
    <w:rsid w:val="00DF0952"/>
    <w:rsid w:val="00DF133E"/>
    <w:rsid w:val="00DF1365"/>
    <w:rsid w:val="00DF5BFE"/>
    <w:rsid w:val="00E037D9"/>
    <w:rsid w:val="00E117F7"/>
    <w:rsid w:val="00E137D3"/>
    <w:rsid w:val="00E17DEF"/>
    <w:rsid w:val="00E2395C"/>
    <w:rsid w:val="00E30356"/>
    <w:rsid w:val="00E3652E"/>
    <w:rsid w:val="00E47E0C"/>
    <w:rsid w:val="00E51799"/>
    <w:rsid w:val="00E51813"/>
    <w:rsid w:val="00E51ACD"/>
    <w:rsid w:val="00E53D3F"/>
    <w:rsid w:val="00E5579B"/>
    <w:rsid w:val="00E558C5"/>
    <w:rsid w:val="00E5750E"/>
    <w:rsid w:val="00E60ED0"/>
    <w:rsid w:val="00E63812"/>
    <w:rsid w:val="00E75597"/>
    <w:rsid w:val="00E81D37"/>
    <w:rsid w:val="00E91244"/>
    <w:rsid w:val="00EB62E2"/>
    <w:rsid w:val="00EC1CA7"/>
    <w:rsid w:val="00EC4E0E"/>
    <w:rsid w:val="00EC7DF1"/>
    <w:rsid w:val="00ED240A"/>
    <w:rsid w:val="00ED4CA6"/>
    <w:rsid w:val="00EE3E59"/>
    <w:rsid w:val="00F02AEC"/>
    <w:rsid w:val="00F107BE"/>
    <w:rsid w:val="00F157FC"/>
    <w:rsid w:val="00F20A54"/>
    <w:rsid w:val="00F24914"/>
    <w:rsid w:val="00F30AF3"/>
    <w:rsid w:val="00F37941"/>
    <w:rsid w:val="00F417E9"/>
    <w:rsid w:val="00F42721"/>
    <w:rsid w:val="00F55113"/>
    <w:rsid w:val="00F5745E"/>
    <w:rsid w:val="00F61860"/>
    <w:rsid w:val="00F657B4"/>
    <w:rsid w:val="00F75077"/>
    <w:rsid w:val="00F865A7"/>
    <w:rsid w:val="00F91C8D"/>
    <w:rsid w:val="00F91CC5"/>
    <w:rsid w:val="00F9304A"/>
    <w:rsid w:val="00FA0754"/>
    <w:rsid w:val="00FA1BC9"/>
    <w:rsid w:val="00FA1EE1"/>
    <w:rsid w:val="00FA49C3"/>
    <w:rsid w:val="00FB1A7E"/>
    <w:rsid w:val="00FB1AC7"/>
    <w:rsid w:val="00FB236E"/>
    <w:rsid w:val="00FB3F9F"/>
    <w:rsid w:val="00FB7619"/>
    <w:rsid w:val="00FC136A"/>
    <w:rsid w:val="00FC6F56"/>
    <w:rsid w:val="00FE0876"/>
    <w:rsid w:val="00FE087C"/>
    <w:rsid w:val="00FE2D88"/>
    <w:rsid w:val="00FF7784"/>
    <w:rsid w:val="11511ACF"/>
    <w:rsid w:val="1A93D71B"/>
    <w:rsid w:val="1E78C343"/>
    <w:rsid w:val="270E3C50"/>
    <w:rsid w:val="290FCC01"/>
    <w:rsid w:val="3378D002"/>
    <w:rsid w:val="38E4010E"/>
    <w:rsid w:val="3DF002E5"/>
    <w:rsid w:val="3E404ED3"/>
    <w:rsid w:val="400D16E9"/>
    <w:rsid w:val="4292B9B7"/>
    <w:rsid w:val="4A2C3CCD"/>
    <w:rsid w:val="55DC368A"/>
    <w:rsid w:val="60B8A696"/>
    <w:rsid w:val="6111F613"/>
    <w:rsid w:val="74C066EE"/>
    <w:rsid w:val="7A717035"/>
    <w:rsid w:val="7CC8F668"/>
    <w:rsid w:val="7DBFADB8"/>
    <w:rsid w:val="7EDB28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024"/>
  <w15:chartTrackingRefBased/>
  <w15:docId w15:val="{3B7A0CE6-F5BB-4D40-8ED5-1531A62F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49C"/>
    <w:rPr>
      <w:rFonts w:ascii="Cambria" w:hAnsi="Cambria"/>
      <w:sz w:val="2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paragraph" w:styleId="Heading7">
    <w:name w:val="heading 7"/>
    <w:basedOn w:val="Normal"/>
    <w:next w:val="Normal"/>
    <w:link w:val="Heading7Char"/>
    <w:uiPriority w:val="9"/>
    <w:unhideWhenUsed/>
    <w:qFormat/>
    <w:rsid w:val="00192C9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rsid w:val="0056766D"/>
  </w:style>
  <w:style w:type="paragraph" w:customStyle="1" w:styleId="LegalSubheading">
    <w:name w:val="Legal Subheading"/>
    <w:basedOn w:val="Footer"/>
    <w:rsid w:val="0056766D"/>
    <w:pPr>
      <w:outlineLvl w:val="1"/>
    </w:pPr>
    <w:rPr>
      <w:b/>
    </w:rPr>
  </w:style>
  <w:style w:type="paragraph" w:styleId="ListBullet">
    <w:name w:val="List Bullet"/>
    <w:basedOn w:val="Normal"/>
    <w:uiPriority w:val="2"/>
    <w:qFormat/>
    <w:rsid w:val="00FC6F56"/>
    <w:pPr>
      <w:numPr>
        <w:numId w:val="1"/>
      </w:numPr>
      <w:spacing w:before="120" w:after="180" w:line="240" w:lineRule="atLeast"/>
    </w:pPr>
    <w:rPr>
      <w:rFonts w:eastAsia="Cambria" w:cs="Times New Roman"/>
      <w:color w:val="000000" w:themeColor="text1"/>
    </w:rPr>
  </w:style>
  <w:style w:type="paragraph" w:styleId="ListBullet2">
    <w:name w:val="List Bullet 2"/>
    <w:basedOn w:val="Normal"/>
    <w:uiPriority w:val="2"/>
    <w:qFormat/>
    <w:rsid w:val="00FC6F56"/>
    <w:pPr>
      <w:numPr>
        <w:ilvl w:val="1"/>
        <w:numId w:val="1"/>
      </w:numPr>
      <w:spacing w:before="120" w:after="180" w:line="240" w:lineRule="atLeast"/>
      <w:ind w:left="850" w:hanging="425"/>
    </w:pPr>
    <w:rPr>
      <w:rFonts w:eastAsia="Cambria" w:cs="Times New Roman"/>
      <w:color w:val="000000" w:themeColor="text1"/>
    </w:rPr>
  </w:style>
  <w:style w:type="paragraph" w:styleId="ListBullet3">
    <w:name w:val="List Bullet 3"/>
    <w:basedOn w:val="Normal"/>
    <w:uiPriority w:val="2"/>
    <w:qFormat/>
    <w:rsid w:val="00FC6F5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2"/>
    <w:qFormat/>
    <w:rsid w:val="00FC6F56"/>
    <w:pPr>
      <w:numPr>
        <w:numId w:val="2"/>
      </w:numPr>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3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uiPriority w:val="99"/>
    <w:qFormat/>
    <w:rsid w:val="00FE087C"/>
    <w:pPr>
      <w:keepLines/>
      <w:spacing w:after="0" w:line="240" w:lineRule="atLeast"/>
    </w:pPr>
    <w:rPr>
      <w:rFonts w:eastAsia="Cambria" w:cs="Times New Roman"/>
      <w:color w:val="333F48"/>
      <w:sz w:val="17"/>
    </w:rPr>
  </w:style>
  <w:style w:type="character" w:customStyle="1" w:styleId="FootnoteTextChar">
    <w:name w:val="Footnote Text Char"/>
    <w:basedOn w:val="DefaultParagraphFont"/>
    <w:link w:val="FootnoteText"/>
    <w:uiPriority w:val="99"/>
    <w:rsid w:val="00FE087C"/>
    <w:rPr>
      <w:rFonts w:ascii="Cambria" w:eastAsia="Cambria" w:hAnsi="Cambria" w:cs="Times New Roman"/>
      <w:color w:val="333F48"/>
      <w:sz w:val="17"/>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link w:val="TableTitleChar"/>
    <w:qFormat/>
    <w:rsid w:val="00324B33"/>
    <w:pPr>
      <w:keepNext/>
      <w:spacing w:before="120" w:line="240" w:lineRule="atLeast"/>
    </w:pPr>
    <w:rPr>
      <w:rFonts w:eastAsia="Cambria" w:cs="Times New Roman"/>
      <w:b/>
      <w:szCs w:val="22"/>
    </w:rPr>
  </w:style>
  <w:style w:type="paragraph" w:customStyle="1" w:styleId="TableDescription">
    <w:name w:val="Table Description"/>
    <w:basedOn w:val="Normal"/>
    <w:qFormat/>
    <w:rsid w:val="00854D98"/>
    <w:pPr>
      <w:spacing w:before="120" w:line="240" w:lineRule="auto"/>
    </w:pPr>
    <w:rPr>
      <w:rFonts w:eastAsia="Cambria" w:cs="Times New Roman"/>
      <w:sz w:val="18"/>
      <w:szCs w:val="19"/>
    </w:rPr>
  </w:style>
  <w:style w:type="character" w:styleId="CommentReference">
    <w:name w:val="annotation reference"/>
    <w:aliases w:val="Annotationmark"/>
    <w:basedOn w:val="DefaultParagraphFont"/>
    <w:uiPriority w:val="99"/>
    <w:semiHidden/>
    <w:unhideWhenUsed/>
    <w:rsid w:val="00E47E0C"/>
    <w:rPr>
      <w:sz w:val="16"/>
      <w:szCs w:val="16"/>
    </w:rPr>
  </w:style>
  <w:style w:type="paragraph" w:styleId="CommentText">
    <w:name w:val="annotation text"/>
    <w:aliases w:val="Annotationtext,Comment Text_0"/>
    <w:basedOn w:val="Normal"/>
    <w:link w:val="CommentTextChar"/>
    <w:uiPriority w:val="99"/>
    <w:unhideWhenUsed/>
    <w:qFormat/>
    <w:rsid w:val="00E47E0C"/>
    <w:pPr>
      <w:spacing w:line="240" w:lineRule="auto"/>
    </w:pPr>
  </w:style>
  <w:style w:type="character" w:customStyle="1" w:styleId="CommentTextChar">
    <w:name w:val="Comment Text Char"/>
    <w:aliases w:val="Annotationtext Char,Comment Text_0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styleId="UnresolvedMention">
    <w:name w:val="Unresolved Mention"/>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98350E"/>
    <w:rPr>
      <w:color w:val="000000" w:themeColor="text1"/>
      <w:sz w:val="20"/>
      <w:lang w:val="en-GB"/>
    </w:rPr>
  </w:style>
  <w:style w:type="paragraph" w:customStyle="1" w:styleId="FigureTitle">
    <w:name w:val="Figure Title"/>
    <w:basedOn w:val="Normal"/>
    <w:qFormat/>
    <w:rsid w:val="00FC6F56"/>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98350E"/>
    <w:rPr>
      <w:b w:val="0"/>
      <w:sz w:val="19"/>
    </w:rPr>
  </w:style>
  <w:style w:type="paragraph" w:styleId="ListParagraph">
    <w:name w:val="List Paragraph"/>
    <w:aliases w:val="List Paragraph 1"/>
    <w:basedOn w:val="Normal"/>
    <w:link w:val="ListParagraphChar"/>
    <w:uiPriority w:val="34"/>
    <w:qFormat/>
    <w:rsid w:val="004E4980"/>
    <w:pPr>
      <w:ind w:left="720"/>
      <w:contextualSpacing/>
    </w:pPr>
  </w:style>
  <w:style w:type="paragraph" w:customStyle="1" w:styleId="TableParagraph">
    <w:name w:val="Table Paragraph"/>
    <w:basedOn w:val="Normal"/>
    <w:uiPriority w:val="1"/>
    <w:qFormat/>
    <w:rsid w:val="000C52A3"/>
    <w:pPr>
      <w:widowControl w:val="0"/>
      <w:autoSpaceDE w:val="0"/>
      <w:autoSpaceDN w:val="0"/>
      <w:spacing w:after="0" w:line="240" w:lineRule="auto"/>
      <w:ind w:left="114"/>
      <w:jc w:val="center"/>
    </w:pPr>
    <w:rPr>
      <w:rFonts w:ascii="Times New Roman" w:eastAsia="Times New Roman" w:hAnsi="Times New Roman" w:cs="Times New Roman"/>
      <w:szCs w:val="22"/>
      <w:lang w:val="en-US"/>
    </w:rPr>
  </w:style>
  <w:style w:type="paragraph" w:customStyle="1" w:styleId="Default">
    <w:name w:val="Default"/>
    <w:rsid w:val="00A3180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List Paragraph 1 Char"/>
    <w:link w:val="ListParagraph"/>
    <w:uiPriority w:val="34"/>
    <w:locked/>
    <w:rsid w:val="00004A11"/>
    <w:rPr>
      <w:rFonts w:ascii="Cambria" w:hAnsi="Cambria"/>
      <w:sz w:val="22"/>
    </w:rPr>
  </w:style>
  <w:style w:type="paragraph" w:customStyle="1" w:styleId="CLDNormal">
    <w:name w:val="CLD Normal"/>
    <w:basedOn w:val="Normal"/>
    <w:uiPriority w:val="6"/>
    <w:qFormat/>
    <w:rsid w:val="00004A11"/>
    <w:pPr>
      <w:spacing w:after="240" w:line="240" w:lineRule="auto"/>
      <w:jc w:val="both"/>
    </w:pPr>
    <w:rPr>
      <w:rFonts w:ascii="Times New Roman" w:eastAsia="SimSun" w:hAnsi="Times New Roman" w:cs="Times New Roman"/>
      <w:sz w:val="24"/>
      <w:lang w:val="en-GB"/>
    </w:rPr>
  </w:style>
  <w:style w:type="paragraph" w:customStyle="1" w:styleId="TableHeader">
    <w:name w:val="Table Header"/>
    <w:basedOn w:val="Normal"/>
    <w:rsid w:val="000175C9"/>
    <w:pPr>
      <w:keepNext/>
      <w:keepLines/>
      <w:widowControl w:val="0"/>
      <w:spacing w:after="0" w:line="276" w:lineRule="auto"/>
      <w:jc w:val="center"/>
    </w:pPr>
    <w:rPr>
      <w:rFonts w:eastAsia="MS Mincho"/>
      <w:b/>
      <w:kern w:val="2"/>
      <w:sz w:val="18"/>
      <w:szCs w:val="19"/>
    </w:rPr>
  </w:style>
  <w:style w:type="character" w:customStyle="1" w:styleId="TableTitleChar">
    <w:name w:val="Table Title Char"/>
    <w:basedOn w:val="DefaultParagraphFont"/>
    <w:link w:val="TableTitle"/>
    <w:rsid w:val="000175C9"/>
    <w:rPr>
      <w:rFonts w:ascii="Cambria" w:eastAsia="Cambria" w:hAnsi="Cambria" w:cs="Times New Roman"/>
      <w:b/>
      <w:sz w:val="22"/>
      <w:szCs w:val="22"/>
    </w:rPr>
  </w:style>
  <w:style w:type="paragraph" w:customStyle="1" w:styleId="Standard">
    <w:name w:val="Standard"/>
    <w:basedOn w:val="Normal"/>
    <w:link w:val="StandardChar"/>
    <w:qFormat/>
    <w:rsid w:val="000175C9"/>
    <w:pPr>
      <w:spacing w:after="180" w:line="276" w:lineRule="auto"/>
    </w:pPr>
    <w:rPr>
      <w:rFonts w:eastAsia="Times New Roman" w:cs="Times New Roman"/>
      <w:snapToGrid w:val="0"/>
      <w:kern w:val="16"/>
      <w:szCs w:val="24"/>
    </w:rPr>
  </w:style>
  <w:style w:type="character" w:customStyle="1" w:styleId="StandardChar">
    <w:name w:val="Standard Char"/>
    <w:basedOn w:val="DefaultParagraphFont"/>
    <w:link w:val="Standard"/>
    <w:rsid w:val="000175C9"/>
    <w:rPr>
      <w:rFonts w:ascii="Cambria" w:eastAsia="Times New Roman" w:hAnsi="Cambria" w:cs="Times New Roman"/>
      <w:snapToGrid w:val="0"/>
      <w:kern w:val="16"/>
      <w:sz w:val="22"/>
      <w:szCs w:val="24"/>
    </w:rPr>
  </w:style>
  <w:style w:type="paragraph" w:styleId="Quote">
    <w:name w:val="Quote"/>
    <w:basedOn w:val="Standard"/>
    <w:next w:val="Standard"/>
    <w:link w:val="QuoteChar"/>
    <w:qFormat/>
    <w:rsid w:val="000175C9"/>
    <w:pPr>
      <w:widowControl w:val="0"/>
      <w:ind w:left="454" w:right="397" w:hanging="57"/>
    </w:pPr>
    <w:rPr>
      <w:i/>
      <w:iCs/>
      <w:snapToGrid/>
    </w:rPr>
  </w:style>
  <w:style w:type="character" w:customStyle="1" w:styleId="QuoteChar">
    <w:name w:val="Quote Char"/>
    <w:basedOn w:val="DefaultParagraphFont"/>
    <w:link w:val="Quote"/>
    <w:rsid w:val="000175C9"/>
    <w:rPr>
      <w:rFonts w:ascii="Cambria" w:eastAsia="Times New Roman" w:hAnsi="Cambria" w:cs="Times New Roman"/>
      <w:i/>
      <w:iCs/>
      <w:kern w:val="16"/>
      <w:sz w:val="22"/>
      <w:szCs w:val="24"/>
    </w:rPr>
  </w:style>
  <w:style w:type="character" w:customStyle="1" w:styleId="Heading7Char">
    <w:name w:val="Heading 7 Char"/>
    <w:basedOn w:val="DefaultParagraphFont"/>
    <w:link w:val="Heading7"/>
    <w:uiPriority w:val="9"/>
    <w:rsid w:val="00192C90"/>
    <w:rPr>
      <w:rFonts w:asciiTheme="majorHAnsi" w:eastAsiaTheme="majorEastAsia" w:hAnsiTheme="majorHAnsi" w:cstheme="majorBidi"/>
      <w:i/>
      <w:iCs/>
      <w:color w:val="1F3763" w:themeColor="accent1" w:themeShade="7F"/>
      <w:sz w:val="22"/>
    </w:rPr>
  </w:style>
  <w:style w:type="character" w:styleId="Mention">
    <w:name w:val="Mention"/>
    <w:basedOn w:val="DefaultParagraphFont"/>
    <w:uiPriority w:val="99"/>
    <w:unhideWhenUsed/>
    <w:rsid w:val="00542D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580530">
      <w:bodyDiv w:val="1"/>
      <w:marLeft w:val="0"/>
      <w:marRight w:val="0"/>
      <w:marTop w:val="0"/>
      <w:marBottom w:val="0"/>
      <w:divBdr>
        <w:top w:val="none" w:sz="0" w:space="0" w:color="auto"/>
        <w:left w:val="none" w:sz="0" w:space="0" w:color="auto"/>
        <w:bottom w:val="none" w:sz="0" w:space="0" w:color="auto"/>
        <w:right w:val="none" w:sz="0" w:space="0" w:color="auto"/>
      </w:divBdr>
    </w:div>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818227441">
      <w:bodyDiv w:val="1"/>
      <w:marLeft w:val="0"/>
      <w:marRight w:val="0"/>
      <w:marTop w:val="0"/>
      <w:marBottom w:val="0"/>
      <w:divBdr>
        <w:top w:val="none" w:sz="0" w:space="0" w:color="auto"/>
        <w:left w:val="none" w:sz="0" w:space="0" w:color="auto"/>
        <w:bottom w:val="none" w:sz="0" w:space="0" w:color="auto"/>
        <w:right w:val="none" w:sz="0" w:space="0" w:color="auto"/>
      </w:divBdr>
    </w:div>
    <w:div w:id="869298980">
      <w:bodyDiv w:val="1"/>
      <w:marLeft w:val="0"/>
      <w:marRight w:val="0"/>
      <w:marTop w:val="0"/>
      <w:marBottom w:val="0"/>
      <w:divBdr>
        <w:top w:val="none" w:sz="0" w:space="0" w:color="auto"/>
        <w:left w:val="none" w:sz="0" w:space="0" w:color="auto"/>
        <w:bottom w:val="none" w:sz="0" w:space="0" w:color="auto"/>
        <w:right w:val="none" w:sz="0" w:space="0" w:color="auto"/>
      </w:divBdr>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 w:id="145733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tga.gov.au/black-triangle-scheme" TargetMode="External"/><Relationship Id="rId26" Type="http://schemas.openxmlformats.org/officeDocument/2006/relationships/hyperlink" Target="https://www.tga.gov.au/how-we-regulate/supply-therapeutic-good-0/supply-prescription-medicine/application-process/prescription-medicines-registration-process" TargetMode="External"/><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tga.copyright@tga.gov.au" TargetMode="External"/><Relationship Id="rId25" Type="http://schemas.openxmlformats.org/officeDocument/2006/relationships/hyperlink" Target="https://www.tga.gov.au/picmi-search-facility" TargetMode="External"/><Relationship Id="rId33" Type="http://schemas.openxmlformats.org/officeDocument/2006/relationships/hyperlink" Target="https://www.tga.gov.au/picmi-search-facility" TargetMode="Externa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tga.gov.au/australian-public-assessment-report-auspar-guidance" TargetMode="External"/><Relationship Id="rId20" Type="http://schemas.openxmlformats.org/officeDocument/2006/relationships/hyperlink" Target="https://www.tga.gov.au/obstetric-drug-information-services" TargetMode="External"/><Relationship Id="rId29" Type="http://schemas.openxmlformats.org/officeDocument/2006/relationships/image" Target="media/image7.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tga.gov.au/products/australian-register-therapeutic-goods-artg/consumer-medicines-information-cmi" TargetMode="External"/><Relationship Id="rId32" Type="http://schemas.openxmlformats.org/officeDocument/2006/relationships/hyperlink" Target="https://www.tga.gov.au/form/certified-product-details-cpd-biological-prescriptionmedicines" TargetMode="External"/><Relationship Id="rId37" Type="http://schemas.openxmlformats.org/officeDocument/2006/relationships/hyperlink" Target="https://www.tga.gov.au"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ga.gov.au" TargetMode="External"/><Relationship Id="rId23" Type="http://schemas.openxmlformats.org/officeDocument/2006/relationships/hyperlink" Target="https://www.tga.gov.au/products/australian-register-therapeutic-goods-artg/product-information-one" TargetMode="External"/><Relationship Id="rId28" Type="http://schemas.openxmlformats.org/officeDocument/2006/relationships/image" Target="media/image6.emf"/><Relationship Id="rId36" Type="http://schemas.openxmlformats.org/officeDocument/2006/relationships/hyperlink" Target="mailto:info@tga.gov.au" TargetMode="External"/><Relationship Id="rId10" Type="http://schemas.openxmlformats.org/officeDocument/2006/relationships/endnotes" Target="endnotes.xml"/><Relationship Id="rId19" Type="http://schemas.openxmlformats.org/officeDocument/2006/relationships/hyperlink" Target="https://www.tga.gov.au/products/medicines/find-information-about-medicine/prescribing-medicines-pregnancy-database" TargetMode="External"/><Relationship Id="rId31" Type="http://schemas.openxmlformats.org/officeDocument/2006/relationships/hyperlink" Target="https://www.tga.gov.au/guidance-7-certified-product-detai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tga.gov.au/products/australian-register-therapeutic-goods-artg/product-information-one" TargetMode="External"/><Relationship Id="rId27" Type="http://schemas.openxmlformats.org/officeDocument/2006/relationships/image" Target="media/image5.emf"/><Relationship Id="rId30" Type="http://schemas.openxmlformats.org/officeDocument/2006/relationships/hyperlink" Target="https://www.tga.gov.au/committee/advisory-committee-vaccines-acv" TargetMode="External"/><Relationship Id="rId35"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dx.doi.org/10.15585/mmwr.mm7221a3" TargetMode="External"/><Relationship Id="rId3" Type="http://schemas.openxmlformats.org/officeDocument/2006/relationships/hyperlink" Target="https://www.tga.gov.au/resources/artg/377110" TargetMode="External"/><Relationship Id="rId7" Type="http://schemas.openxmlformats.org/officeDocument/2006/relationships/hyperlink" Target="http://dx.doi.org/10.15585/mmwr.mm7205e1" TargetMode="External"/><Relationship Id="rId2" Type="http://schemas.openxmlformats.org/officeDocument/2006/relationships/hyperlink" Target="https://www.tga.gov.au/resources/auspar/auspar-comirnaty-covid-19-vaccine" TargetMode="External"/><Relationship Id="rId1" Type="http://schemas.openxmlformats.org/officeDocument/2006/relationships/hyperlink" Target="https://www.ama-assn.org/delivering-care/public-health/xbb15-omicron-subvariant-questions-patients-may-have" TargetMode="External"/><Relationship Id="rId6" Type="http://schemas.openxmlformats.org/officeDocument/2006/relationships/hyperlink" Target="https://www.health.gov.au/health-alerts/covid-19/weekly-reporting" TargetMode="External"/><Relationship Id="rId5" Type="http://schemas.openxmlformats.org/officeDocument/2006/relationships/hyperlink" Target="https://www.tga.gov.au/resources/resource/guidance/covid-19-vaccine-strain-updates" TargetMode="External"/><Relationship Id="rId4" Type="http://schemas.openxmlformats.org/officeDocument/2006/relationships/hyperlink" Target="https://www.tga.gov.au/resources/auspar/auspar-bnt162b2-mrna-comirnat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5b6e32-1e1a-41c5-84e2-e82a2e1e74da" xsi:nil="true"/>
    <lcf76f155ced4ddcb4097134ff3c332f xmlns="7d9695bf-e6d0-4b43-b8d0-e2ae2c6afeb2">
      <Terms xmlns="http://schemas.microsoft.com/office/infopath/2007/PartnerControls"/>
    </lcf76f155ced4ddcb4097134ff3c332f>
    <SharedWithUsers xmlns="475b6e32-1e1a-41c5-84e2-e82a2e1e74da">
      <UserInfo>
        <DisplayName>Sands, Leslie Camille</DisplayName>
        <AccountId>1641</AccountId>
        <AccountType/>
      </UserInfo>
      <UserInfo>
        <DisplayName>Kitchin, Nicholas</DisplayName>
        <AccountId>76</AccountId>
        <AccountType/>
      </UserInfo>
      <UserInfo>
        <DisplayName>Harkins Tull, Elisa</DisplayName>
        <AccountId>223</AccountId>
        <AccountType/>
      </UserInfo>
      <UserInfo>
        <DisplayName>Mather, Susan</DisplayName>
        <AccountId>73</AccountId>
        <AccountType/>
      </UserInfo>
      <UserInfo>
        <DisplayName>Perry, Kristen</DisplayName>
        <AccountId>518</AccountId>
        <AccountType/>
      </UserInfo>
      <UserInfo>
        <DisplayName>Goebe, Henry</DisplayName>
        <AccountId>1072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BEB30668636243801BCB9125EB3629" ma:contentTypeVersion="17" ma:contentTypeDescription="Create a new document." ma:contentTypeScope="" ma:versionID="e27f95d2c02fd3c7884e799e290d0a16">
  <xsd:schema xmlns:xsd="http://www.w3.org/2001/XMLSchema" xmlns:xs="http://www.w3.org/2001/XMLSchema" xmlns:p="http://schemas.microsoft.com/office/2006/metadata/properties" xmlns:ns2="7d9695bf-e6d0-4b43-b8d0-e2ae2c6afeb2" xmlns:ns3="475b6e32-1e1a-41c5-84e2-e82a2e1e74da" targetNamespace="http://schemas.microsoft.com/office/2006/metadata/properties" ma:root="true" ma:fieldsID="7e2e28fb0b926d0eec3112924d823850" ns2:_="" ns3:_="">
    <xsd:import namespace="7d9695bf-e6d0-4b43-b8d0-e2ae2c6afeb2"/>
    <xsd:import namespace="475b6e32-1e1a-41c5-84e2-e82a2e1e74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695bf-e6d0-4b43-b8d0-e2ae2c6af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9dd247-5f48-452a-8dc4-ff9a39258eb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5b6e32-1e1a-41c5-84e2-e82a2e1e74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a8ae40c-3a42-41ed-98b4-6f7c505f2d10}" ma:internalName="TaxCatchAll" ma:showField="CatchAllData" ma:web="475b6e32-1e1a-41c5-84e2-e82a2e1e7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FDA385-7775-4D21-A27A-42714BB9EAE7}">
  <ds:schemaRefs>
    <ds:schemaRef ds:uri="http://schemas.microsoft.com/office/2006/metadata/properties"/>
    <ds:schemaRef ds:uri="http://schemas.microsoft.com/office/infopath/2007/PartnerControls"/>
    <ds:schemaRef ds:uri="475b6e32-1e1a-41c5-84e2-e82a2e1e74da"/>
    <ds:schemaRef ds:uri="7d9695bf-e6d0-4b43-b8d0-e2ae2c6afeb2"/>
  </ds:schemaRefs>
</ds:datastoreItem>
</file>

<file path=customXml/itemProps2.xml><?xml version="1.0" encoding="utf-8"?>
<ds:datastoreItem xmlns:ds="http://schemas.openxmlformats.org/officeDocument/2006/customXml" ds:itemID="{30D649D7-682C-4C62-A102-9D9C0EEB27E6}">
  <ds:schemaRefs>
    <ds:schemaRef ds:uri="http://schemas.microsoft.com/sharepoint/v3/contenttype/forms"/>
  </ds:schemaRefs>
</ds:datastoreItem>
</file>

<file path=customXml/itemProps3.xml><?xml version="1.0" encoding="utf-8"?>
<ds:datastoreItem xmlns:ds="http://schemas.openxmlformats.org/officeDocument/2006/customXml" ds:itemID="{5911AE68-6449-47E6-9F10-0220946BAFE5}">
  <ds:schemaRefs>
    <ds:schemaRef ds:uri="http://schemas.openxmlformats.org/officeDocument/2006/bibliography"/>
  </ds:schemaRefs>
</ds:datastoreItem>
</file>

<file path=customXml/itemProps4.xml><?xml version="1.0" encoding="utf-8"?>
<ds:datastoreItem xmlns:ds="http://schemas.openxmlformats.org/officeDocument/2006/customXml" ds:itemID="{367CF40F-8494-4B1D-8CB3-AB2293888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9695bf-e6d0-4b43-b8d0-e2ae2c6afeb2"/>
    <ds:schemaRef ds:uri="475b6e32-1e1a-41c5-84e2-e82a2e1e7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10876</Words>
  <Characters>57213</Characters>
  <Application>Microsoft Office Word</Application>
  <DocSecurity>0</DocSecurity>
  <Lines>3814</Lines>
  <Paragraphs>1309</Paragraphs>
  <ScaleCrop>false</ScaleCrop>
  <HeadingPairs>
    <vt:vector size="2" baseType="variant">
      <vt:variant>
        <vt:lpstr>Title</vt:lpstr>
      </vt:variant>
      <vt:variant>
        <vt:i4>1</vt:i4>
      </vt:variant>
    </vt:vector>
  </HeadingPairs>
  <TitlesOfParts>
    <vt:vector size="1" baseType="lpstr">
      <vt:lpstr>Australian public assessment report fo rComirnaty Omicron XBB.1.5</vt:lpstr>
    </vt:vector>
  </TitlesOfParts>
  <Company>Department of Health and Aged Care</Company>
  <LinksUpToDate>false</LinksUpToDate>
  <CharactersWithSpaces>66780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 rComirnaty Omicron XBB.1.5</dc:title>
  <dc:subject>Prescription medicines</dc:subject>
  <dc:creator>Therapeutic Goods Administration</dc:creator>
  <cp:keywords/>
  <dc:description/>
  <cp:lastModifiedBy>LACK, Janet</cp:lastModifiedBy>
  <cp:revision>4</cp:revision>
  <dcterms:created xsi:type="dcterms:W3CDTF">2024-02-12T21:35:00Z</dcterms:created>
  <dcterms:modified xsi:type="dcterms:W3CDTF">2024-02-13T03:38:00Z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2023-10-06T08:07:51Z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f77c0fc0-69b4-4871-ba6b-82a5b4ce74b5</vt:lpwstr>
  </property>
  <property fmtid="{D5CDD505-2E9C-101B-9397-08002B2CF9AE}" pid="8" name="MSIP_Label_4791b42f-c435-42ca-9531-75a3f42aae3d_ContentBits">
    <vt:lpwstr>0</vt:lpwstr>
  </property>
  <property fmtid="{D5CDD505-2E9C-101B-9397-08002B2CF9AE}" pid="9" name="ContentTypeId">
    <vt:lpwstr>0x0101009DBEB30668636243801BCB9125EB3629</vt:lpwstr>
  </property>
  <property fmtid="{D5CDD505-2E9C-101B-9397-08002B2CF9AE}" pid="10" name="MediaServiceImageTags">
    <vt:lpwstr/>
  </property>
</Properties>
</file>